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C41A7" w14:textId="55D5A0B4" w:rsidR="00F117C6" w:rsidRPr="00500C4E" w:rsidRDefault="009A0721" w:rsidP="00F117C6">
      <w:pPr>
        <w:pStyle w:val="WPnumber"/>
      </w:pPr>
      <w:bookmarkStart w:id="0" w:name="_Toc153189647"/>
      <w:r>
        <w:t xml:space="preserve">Short Form </w:t>
      </w:r>
      <w:r w:rsidR="00F117C6" w:rsidRPr="00500C4E">
        <w:t xml:space="preserve">Work Paper </w:t>
      </w:r>
      <w:sdt>
        <w:sdtPr>
          <w:alias w:val="Title"/>
          <w:tag w:val=""/>
          <w:id w:val="650333005"/>
          <w:placeholder>
            <w:docPart w:val="2D1C3A54D61944DBB3D63B92C982C696"/>
          </w:placeholder>
          <w:dataBinding w:prefixMappings="xmlns:ns0='http://purl.org/dc/elements/1.1/' xmlns:ns1='http://schemas.openxmlformats.org/package/2006/metadata/core-properties' " w:xpath="/ns1:coreProperties[1]/ns0:title[1]" w:storeItemID="{6C3C8BC8-F283-45AE-878A-BAB7291924A1}"/>
          <w:text/>
        </w:sdtPr>
        <w:sdtEndPr/>
        <w:sdtContent>
          <w:r w:rsidR="00C43A86">
            <w:t>WPSDGENRLG0083</w:t>
          </w:r>
        </w:sdtContent>
      </w:sdt>
    </w:p>
    <w:bookmarkEnd w:id="0"/>
    <w:p w14:paraId="6F0F94CF" w14:textId="5E446B5A" w:rsidR="00F117C6" w:rsidRPr="00500C4E" w:rsidRDefault="00855E16" w:rsidP="00F117C6">
      <w:pPr>
        <w:pStyle w:val="Revnumber"/>
        <w:rPr>
          <w:rStyle w:val="CaptionChar"/>
          <w:b/>
          <w:bCs w:val="0"/>
        </w:rPr>
      </w:pPr>
      <w:sdt>
        <w:sdtPr>
          <w:rPr>
            <w:rStyle w:val="CaptionChar"/>
            <w:b/>
            <w:bCs w:val="0"/>
          </w:rPr>
          <w:alias w:val="Revision"/>
          <w:tag w:val=""/>
          <w:id w:val="-1338455471"/>
          <w:placeholder>
            <w:docPart w:val="5420FAF41CED451EAB8369D8BC2C0B60"/>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152BB8">
            <w:rPr>
              <w:rStyle w:val="CaptionChar"/>
              <w:b/>
              <w:bCs w:val="0"/>
            </w:rPr>
            <w:t xml:space="preserve">Revision </w:t>
          </w:r>
          <w:r w:rsidR="00A57313">
            <w:rPr>
              <w:rStyle w:val="CaptionChar"/>
              <w:b/>
              <w:bCs w:val="0"/>
            </w:rPr>
            <w:t>2</w:t>
          </w:r>
        </w:sdtContent>
      </w:sdt>
    </w:p>
    <w:p w14:paraId="43CCADD4" w14:textId="77777777" w:rsidR="00F117C6" w:rsidRPr="00500C4E" w:rsidRDefault="00F117C6" w:rsidP="00F117C6">
      <w:pPr>
        <w:jc w:val="right"/>
        <w:rPr>
          <w:rFonts w:cstheme="minorHAnsi"/>
          <w:b/>
          <w:sz w:val="48"/>
          <w:szCs w:val="48"/>
        </w:rPr>
      </w:pPr>
    </w:p>
    <w:bookmarkStart w:id="1" w:name="SCE"/>
    <w:p w14:paraId="1E3575C2" w14:textId="77777777" w:rsidR="00F117C6" w:rsidRPr="00500C4E" w:rsidRDefault="00855E16" w:rsidP="00F117C6">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954041495DA644508C725EBE45A9A075"/>
          </w:placeholder>
          <w:dataBinding w:prefixMappings="xmlns:ns0='http://schemas.openxmlformats.org/officeDocument/2006/extended-properties' " w:xpath="/ns0:Properties[1]/ns0:Company[1]" w:storeItemID="{6668398D-A668-4E3E-A5EB-62B293D839F1}"/>
          <w:text/>
        </w:sdtPr>
        <w:sdtEndPr/>
        <w:sdtContent>
          <w:r w:rsidR="00861B74">
            <w:rPr>
              <w:rFonts w:cstheme="minorHAnsi"/>
              <w:b/>
              <w:sz w:val="36"/>
              <w:szCs w:val="36"/>
            </w:rPr>
            <w:t>S</w:t>
          </w:r>
          <w:r w:rsidR="006049AE">
            <w:rPr>
              <w:rFonts w:cstheme="minorHAnsi"/>
              <w:b/>
              <w:sz w:val="36"/>
              <w:szCs w:val="36"/>
            </w:rPr>
            <w:t>an Diego Gas &amp; Electric</w:t>
          </w:r>
        </w:sdtContent>
      </w:sdt>
      <w:bookmarkEnd w:id="1"/>
    </w:p>
    <w:p w14:paraId="03F361DB" w14:textId="77777777" w:rsidR="00F117C6" w:rsidRPr="006049AE" w:rsidRDefault="006049AE" w:rsidP="00F117C6">
      <w:pPr>
        <w:rPr>
          <w:rFonts w:cstheme="minorHAnsi"/>
          <w:b/>
        </w:rPr>
      </w:pPr>
      <w:r w:rsidRPr="006049AE">
        <w:rPr>
          <w:rFonts w:cstheme="minorHAnsi"/>
          <w:b/>
        </w:rPr>
        <w:t>Energy Efficiency Engineering</w:t>
      </w:r>
    </w:p>
    <w:p w14:paraId="2AFDC1E3" w14:textId="77777777" w:rsidR="00F117C6" w:rsidRPr="00500C4E" w:rsidRDefault="00F117C6" w:rsidP="00F117C6">
      <w:pPr>
        <w:rPr>
          <w:rFonts w:cstheme="minorHAnsi"/>
        </w:rPr>
      </w:pPr>
    </w:p>
    <w:p w14:paraId="6403E533" w14:textId="77777777" w:rsidR="00F117C6" w:rsidRPr="00500C4E" w:rsidRDefault="00F117C6" w:rsidP="00F117C6">
      <w:pPr>
        <w:tabs>
          <w:tab w:val="left" w:pos="8190"/>
        </w:tabs>
        <w:rPr>
          <w:rFonts w:cstheme="minorHAnsi"/>
        </w:rPr>
      </w:pPr>
      <w:r w:rsidRPr="00500C4E">
        <w:rPr>
          <w:rFonts w:cstheme="minorHAnsi"/>
        </w:rPr>
        <w:tab/>
      </w:r>
    </w:p>
    <w:p w14:paraId="047CB72A" w14:textId="77777777" w:rsidR="00F117C6" w:rsidRPr="00500C4E" w:rsidRDefault="00F117C6" w:rsidP="00F117C6">
      <w:pPr>
        <w:rPr>
          <w:rFonts w:cstheme="minorHAnsi"/>
        </w:rPr>
      </w:pPr>
    </w:p>
    <w:p w14:paraId="3F8B6D5F" w14:textId="77777777" w:rsidR="00F117C6" w:rsidRPr="00500C4E" w:rsidRDefault="00F117C6" w:rsidP="00F117C6">
      <w:pPr>
        <w:rPr>
          <w:rFonts w:cstheme="minorHAnsi"/>
        </w:rPr>
      </w:pPr>
    </w:p>
    <w:p w14:paraId="62EFA84E" w14:textId="77777777" w:rsidR="00F117C6" w:rsidRPr="00500C4E" w:rsidRDefault="00F117C6" w:rsidP="00F117C6">
      <w:pPr>
        <w:rPr>
          <w:rFonts w:cstheme="minorHAnsi"/>
        </w:rPr>
      </w:pPr>
    </w:p>
    <w:p w14:paraId="1F18AD87" w14:textId="77777777" w:rsidR="00F117C6" w:rsidRPr="00500C4E" w:rsidRDefault="00F117C6" w:rsidP="00F117C6">
      <w:pPr>
        <w:rPr>
          <w:rFonts w:cstheme="minorHAnsi"/>
        </w:rPr>
      </w:pPr>
    </w:p>
    <w:p w14:paraId="10C5CAD2" w14:textId="77777777" w:rsidR="00F117C6" w:rsidRPr="00500C4E" w:rsidRDefault="00F117C6" w:rsidP="00F117C6">
      <w:pPr>
        <w:rPr>
          <w:rFonts w:cstheme="minorHAnsi"/>
        </w:rPr>
      </w:pPr>
    </w:p>
    <w:p w14:paraId="0F02854D" w14:textId="3B9780CF" w:rsidR="00861B74" w:rsidRDefault="00C43A86" w:rsidP="000F72EF">
      <w:pPr>
        <w:rPr>
          <w:rFonts w:cstheme="minorHAnsi"/>
          <w:b/>
          <w:sz w:val="72"/>
          <w:szCs w:val="72"/>
        </w:rPr>
      </w:pPr>
      <w:r>
        <w:rPr>
          <w:rFonts w:cstheme="minorHAnsi"/>
          <w:b/>
          <w:sz w:val="72"/>
          <w:szCs w:val="72"/>
        </w:rPr>
        <w:t>LED Ambient Commercial Fixtures and Retrofit Kits (Troffers)</w:t>
      </w:r>
    </w:p>
    <w:p w14:paraId="0B9ED9F1" w14:textId="77777777" w:rsidR="007C417B" w:rsidRDefault="007C417B" w:rsidP="000F72EF">
      <w:pPr>
        <w:rPr>
          <w:rFonts w:cstheme="minorHAnsi"/>
          <w:b/>
          <w:sz w:val="20"/>
          <w:szCs w:val="20"/>
        </w:rPr>
      </w:pPr>
      <w:r>
        <w:rPr>
          <w:rFonts w:cstheme="minorHAnsi"/>
          <w:b/>
          <w:sz w:val="20"/>
          <w:szCs w:val="20"/>
        </w:rPr>
        <w:tab/>
      </w:r>
      <w:r>
        <w:rPr>
          <w:rFonts w:cstheme="minorHAnsi"/>
          <w:b/>
          <w:sz w:val="20"/>
          <w:szCs w:val="20"/>
        </w:rPr>
        <w:tab/>
      </w:r>
      <w:r>
        <w:rPr>
          <w:rFonts w:cstheme="minorHAnsi"/>
          <w:b/>
          <w:sz w:val="20"/>
          <w:szCs w:val="20"/>
        </w:rPr>
        <w:tab/>
      </w:r>
    </w:p>
    <w:p w14:paraId="6EC0987C" w14:textId="514CF101" w:rsidR="00861B74" w:rsidRPr="007C417B" w:rsidRDefault="007C417B" w:rsidP="007C417B">
      <w:pPr>
        <w:ind w:firstLine="720"/>
        <w:rPr>
          <w:rFonts w:cstheme="minorHAnsi"/>
          <w:b/>
          <w:szCs w:val="22"/>
        </w:rPr>
      </w:pPr>
      <w:r w:rsidRPr="007C417B">
        <w:rPr>
          <w:rFonts w:cstheme="minorHAnsi"/>
          <w:b/>
          <w:szCs w:val="22"/>
        </w:rPr>
        <w:t>Implementation IDs: 464226 to 464261</w:t>
      </w:r>
      <w:r w:rsidR="008C18A1">
        <w:rPr>
          <w:rFonts w:cstheme="minorHAnsi"/>
          <w:b/>
          <w:szCs w:val="22"/>
        </w:rPr>
        <w:t xml:space="preserve">, </w:t>
      </w:r>
      <w:r w:rsidR="002B4B72">
        <w:rPr>
          <w:rFonts w:cstheme="minorHAnsi"/>
          <w:b/>
          <w:szCs w:val="22"/>
        </w:rPr>
        <w:t xml:space="preserve">and </w:t>
      </w:r>
      <w:r w:rsidR="00D0681F">
        <w:rPr>
          <w:rFonts w:cstheme="minorHAnsi"/>
          <w:b/>
          <w:szCs w:val="22"/>
        </w:rPr>
        <w:t xml:space="preserve">467427 to </w:t>
      </w:r>
      <w:r w:rsidR="00686679">
        <w:rPr>
          <w:rFonts w:cstheme="minorHAnsi"/>
          <w:b/>
          <w:szCs w:val="22"/>
        </w:rPr>
        <w:t>4674</w:t>
      </w:r>
      <w:r w:rsidR="002B4B72">
        <w:rPr>
          <w:rFonts w:cstheme="minorHAnsi"/>
          <w:b/>
          <w:szCs w:val="22"/>
        </w:rPr>
        <w:t>74</w:t>
      </w:r>
    </w:p>
    <w:p w14:paraId="6DA6D21E" w14:textId="77777777" w:rsidR="00861B74" w:rsidRDefault="00861B74" w:rsidP="000F72EF">
      <w:pPr>
        <w:rPr>
          <w:rFonts w:cstheme="minorHAnsi"/>
          <w:b/>
          <w:sz w:val="72"/>
          <w:szCs w:val="72"/>
        </w:rPr>
      </w:pPr>
    </w:p>
    <w:p w14:paraId="33D7B984" w14:textId="77777777" w:rsidR="00861B74" w:rsidRDefault="00861B74" w:rsidP="000F72EF">
      <w:pPr>
        <w:rPr>
          <w:rFonts w:cstheme="minorHAnsi"/>
          <w:b/>
          <w:sz w:val="72"/>
          <w:szCs w:val="72"/>
        </w:rPr>
      </w:pPr>
    </w:p>
    <w:p w14:paraId="75F4D717" w14:textId="77777777" w:rsidR="00861B74" w:rsidRDefault="00861B74" w:rsidP="000F72EF">
      <w:pPr>
        <w:rPr>
          <w:rFonts w:cstheme="minorHAnsi"/>
          <w:b/>
          <w:sz w:val="72"/>
          <w:szCs w:val="72"/>
        </w:rPr>
      </w:pPr>
    </w:p>
    <w:p w14:paraId="4CEC7AE6" w14:textId="77777777" w:rsidR="00861B74" w:rsidRDefault="00861B74" w:rsidP="000F72EF">
      <w:pPr>
        <w:rPr>
          <w:rFonts w:cstheme="minorHAnsi"/>
          <w:b/>
          <w:sz w:val="72"/>
          <w:szCs w:val="72"/>
        </w:rPr>
      </w:pPr>
    </w:p>
    <w:p w14:paraId="2733B8FA" w14:textId="77777777" w:rsidR="00861B74" w:rsidRDefault="00861B74" w:rsidP="000F72EF">
      <w:pPr>
        <w:rPr>
          <w:rFonts w:cstheme="minorHAnsi"/>
          <w:b/>
          <w:sz w:val="72"/>
          <w:szCs w:val="72"/>
        </w:rPr>
      </w:pPr>
    </w:p>
    <w:p w14:paraId="064C061F" w14:textId="4573C406" w:rsidR="00861B74" w:rsidRPr="00861B74" w:rsidRDefault="00875659" w:rsidP="00861B74">
      <w:pPr>
        <w:jc w:val="right"/>
        <w:rPr>
          <w:rFonts w:cstheme="minorHAnsi"/>
          <w:b/>
          <w:sz w:val="28"/>
          <w:szCs w:val="28"/>
        </w:rPr>
        <w:sectPr w:rsidR="00861B74" w:rsidRPr="00861B74" w:rsidSect="00017E7E">
          <w:footerReference w:type="default" r:id="rId8"/>
          <w:pgSz w:w="12240" w:h="15840"/>
          <w:pgMar w:top="1440" w:right="1440" w:bottom="1440" w:left="1440" w:header="720" w:footer="720" w:gutter="0"/>
          <w:cols w:space="720"/>
          <w:titlePg/>
          <w:docGrid w:linePitch="360"/>
        </w:sectPr>
      </w:pPr>
      <w:r>
        <w:rPr>
          <w:rFonts w:cstheme="minorHAnsi"/>
          <w:b/>
          <w:sz w:val="28"/>
          <w:szCs w:val="28"/>
        </w:rPr>
        <w:t>J</w:t>
      </w:r>
      <w:r w:rsidR="002B4B72">
        <w:rPr>
          <w:rFonts w:cstheme="minorHAnsi"/>
          <w:b/>
          <w:sz w:val="28"/>
          <w:szCs w:val="28"/>
        </w:rPr>
        <w:t xml:space="preserve">une </w:t>
      </w:r>
      <w:r w:rsidR="00DC2692">
        <w:rPr>
          <w:rFonts w:cstheme="minorHAnsi"/>
          <w:b/>
          <w:sz w:val="28"/>
          <w:szCs w:val="28"/>
        </w:rPr>
        <w:t>14</w:t>
      </w:r>
      <w:r w:rsidR="008E017D">
        <w:rPr>
          <w:rFonts w:cstheme="minorHAnsi"/>
          <w:b/>
          <w:sz w:val="28"/>
          <w:szCs w:val="28"/>
        </w:rPr>
        <w:t>,</w:t>
      </w:r>
      <w:r w:rsidR="00500D21">
        <w:rPr>
          <w:rFonts w:cstheme="minorHAnsi"/>
          <w:b/>
          <w:sz w:val="28"/>
          <w:szCs w:val="28"/>
        </w:rPr>
        <w:t xml:space="preserve"> </w:t>
      </w:r>
      <w:r w:rsidR="002372ED">
        <w:rPr>
          <w:rFonts w:cstheme="minorHAnsi"/>
          <w:b/>
          <w:sz w:val="28"/>
          <w:szCs w:val="28"/>
        </w:rPr>
        <w:t>201</w:t>
      </w:r>
      <w:r w:rsidR="002B4B72">
        <w:rPr>
          <w:rFonts w:cstheme="minorHAnsi"/>
          <w:b/>
          <w:sz w:val="28"/>
          <w:szCs w:val="28"/>
        </w:rPr>
        <w:t>9</w:t>
      </w:r>
    </w:p>
    <w:p w14:paraId="4A39465F" w14:textId="77777777" w:rsidR="00C43A86" w:rsidRPr="00C43A86" w:rsidRDefault="00C43A86" w:rsidP="00C43A86">
      <w:pPr>
        <w:pStyle w:val="Heading1"/>
      </w:pPr>
      <w:r w:rsidRPr="00C43A86">
        <w:lastRenderedPageBreak/>
        <w:t>LED Ambient Commercial Fixtures and Retrofit Kits (Troffers)</w:t>
      </w:r>
    </w:p>
    <w:p w14:paraId="2D9388B0" w14:textId="43C7273E" w:rsidR="008828CF" w:rsidRPr="008828CF" w:rsidRDefault="008828CF" w:rsidP="008828CF">
      <w:pPr>
        <w:pStyle w:val="Heading1"/>
      </w:pPr>
      <w:r w:rsidRPr="008828CF">
        <w:t>Short Form WP</w:t>
      </w:r>
    </w:p>
    <w:p w14:paraId="0FEF8EF9" w14:textId="77777777" w:rsidR="008828CF" w:rsidRDefault="008828CF" w:rsidP="008828CF">
      <w:pPr>
        <w:pStyle w:val="Heading2"/>
      </w:pPr>
      <w:r>
        <w:t>Introduction</w:t>
      </w:r>
    </w:p>
    <w:p w14:paraId="0D80E152" w14:textId="43368C3A" w:rsidR="00152BB8" w:rsidRPr="00D727CA" w:rsidRDefault="00152BB8" w:rsidP="00152BB8">
      <w:pPr>
        <w:rPr>
          <w:rFonts w:cstheme="minorHAnsi"/>
          <w:szCs w:val="22"/>
        </w:rPr>
      </w:pPr>
      <w:r w:rsidRPr="00D727CA">
        <w:rPr>
          <w:rFonts w:cstheme="minorHAnsi"/>
          <w:szCs w:val="22"/>
        </w:rPr>
        <w:t>This short form workpaper documen</w:t>
      </w:r>
      <w:r w:rsidR="00C43A86" w:rsidRPr="00D727CA">
        <w:rPr>
          <w:rFonts w:cstheme="minorHAnsi"/>
          <w:szCs w:val="22"/>
        </w:rPr>
        <w:t>ts the values adopted from PG</w:t>
      </w:r>
      <w:r w:rsidR="00893A85">
        <w:rPr>
          <w:rFonts w:cstheme="minorHAnsi"/>
          <w:szCs w:val="22"/>
        </w:rPr>
        <w:t>&amp;</w:t>
      </w:r>
      <w:r w:rsidR="00C43A86" w:rsidRPr="00D727CA">
        <w:rPr>
          <w:rFonts w:cstheme="minorHAnsi"/>
          <w:szCs w:val="22"/>
        </w:rPr>
        <w:t>E’s</w:t>
      </w:r>
      <w:r w:rsidRPr="00D727CA">
        <w:rPr>
          <w:rFonts w:cstheme="minorHAnsi"/>
          <w:szCs w:val="22"/>
        </w:rPr>
        <w:t xml:space="preserve"> workpaper entitled “</w:t>
      </w:r>
      <w:r w:rsidR="00C43A86" w:rsidRPr="00D727CA">
        <w:rPr>
          <w:rFonts w:cstheme="minorHAnsi"/>
          <w:bCs/>
          <w:szCs w:val="22"/>
        </w:rPr>
        <w:t>LED Ambient Commercial Fixtures and Retrofit Kits</w:t>
      </w:r>
      <w:r w:rsidRPr="00D727CA">
        <w:rPr>
          <w:rFonts w:cstheme="minorHAnsi"/>
          <w:szCs w:val="22"/>
        </w:rPr>
        <w:t>” (</w:t>
      </w:r>
      <w:r w:rsidR="00195A43" w:rsidRPr="00195A43">
        <w:rPr>
          <w:rFonts w:cstheme="minorHAnsi"/>
          <w:szCs w:val="22"/>
        </w:rPr>
        <w:t>PGECOLTG179 R6 LED Ambient Com Fixt WP_Mar2019</w:t>
      </w:r>
      <w:r w:rsidR="00C43A86" w:rsidRPr="00D727CA">
        <w:rPr>
          <w:rFonts w:cstheme="minorHAnsi"/>
          <w:szCs w:val="22"/>
        </w:rPr>
        <w:t>.doc</w:t>
      </w:r>
      <w:r w:rsidRPr="00D727CA">
        <w:rPr>
          <w:rFonts w:cstheme="minorHAnsi"/>
          <w:szCs w:val="22"/>
        </w:rPr>
        <w:t xml:space="preserve">). SDG&amp;E adopts all the values in </w:t>
      </w:r>
      <w:r w:rsidR="00C43A86" w:rsidRPr="00D727CA">
        <w:rPr>
          <w:rFonts w:cstheme="minorHAnsi"/>
          <w:szCs w:val="22"/>
        </w:rPr>
        <w:t>PGECOLTG179 R</w:t>
      </w:r>
      <w:r w:rsidR="00E9269A">
        <w:rPr>
          <w:rFonts w:cstheme="minorHAnsi"/>
          <w:szCs w:val="22"/>
        </w:rPr>
        <w:t>6</w:t>
      </w:r>
      <w:r w:rsidR="00C43A86" w:rsidRPr="00D727CA">
        <w:rPr>
          <w:rFonts w:cstheme="minorHAnsi"/>
          <w:szCs w:val="22"/>
        </w:rPr>
        <w:t xml:space="preserve"> LED Ambient Com Fixt-Ret Kits </w:t>
      </w:r>
      <w:r w:rsidRPr="00D727CA">
        <w:rPr>
          <w:rFonts w:cstheme="minorHAnsi"/>
          <w:szCs w:val="22"/>
        </w:rPr>
        <w:t xml:space="preserve">with </w:t>
      </w:r>
      <w:r w:rsidR="00C43A86" w:rsidRPr="00D727CA">
        <w:rPr>
          <w:rFonts w:cstheme="minorHAnsi"/>
          <w:szCs w:val="22"/>
        </w:rPr>
        <w:t>these exceptions:</w:t>
      </w:r>
    </w:p>
    <w:p w14:paraId="7A63BE08" w14:textId="121B3A2D" w:rsidR="00C43A86" w:rsidRPr="00D727CA" w:rsidRDefault="00C43A86" w:rsidP="00152BB8">
      <w:pPr>
        <w:rPr>
          <w:rFonts w:cstheme="minorHAnsi"/>
          <w:szCs w:val="22"/>
        </w:rPr>
      </w:pPr>
    </w:p>
    <w:p w14:paraId="370EB3CC" w14:textId="77777777" w:rsidR="000F7059" w:rsidRPr="00D727CA" w:rsidRDefault="000F7059" w:rsidP="0054132F">
      <w:pPr>
        <w:pStyle w:val="ListParagraph"/>
        <w:ind w:left="1080"/>
        <w:rPr>
          <w:rFonts w:cstheme="minorHAnsi"/>
          <w:szCs w:val="22"/>
        </w:rPr>
      </w:pPr>
    </w:p>
    <w:p w14:paraId="35757D25" w14:textId="3B81E657" w:rsidR="00EF5D4E" w:rsidRDefault="00EF5D4E" w:rsidP="000F7059">
      <w:pPr>
        <w:pStyle w:val="ListParagraph"/>
        <w:numPr>
          <w:ilvl w:val="0"/>
          <w:numId w:val="37"/>
        </w:numPr>
        <w:rPr>
          <w:rStyle w:val="Strong"/>
          <w:b w:val="0"/>
          <w:bCs w:val="0"/>
          <w:szCs w:val="22"/>
        </w:rPr>
      </w:pPr>
      <w:r w:rsidRPr="000F7059">
        <w:rPr>
          <w:rStyle w:val="Strong"/>
          <w:b w:val="0"/>
          <w:bCs w:val="0"/>
          <w:szCs w:val="22"/>
        </w:rPr>
        <w:t xml:space="preserve">SDG&amp;E Ex-ante data includes “Com” building type but all reporting shall be based on actual installation site building type and climate zone. </w:t>
      </w:r>
      <w:bookmarkStart w:id="2" w:name="_Hlk500419888"/>
      <w:r w:rsidRPr="000F7059">
        <w:rPr>
          <w:rStyle w:val="Strong"/>
          <w:b w:val="0"/>
          <w:bCs w:val="0"/>
          <w:szCs w:val="22"/>
        </w:rPr>
        <w:t xml:space="preserve">SDG&amp;E reporting will not include “Com” building type for claims purposes. </w:t>
      </w:r>
      <w:bookmarkEnd w:id="2"/>
    </w:p>
    <w:p w14:paraId="016E79B1" w14:textId="21B3D995" w:rsidR="008C2D30" w:rsidRPr="008803B4" w:rsidRDefault="000F683D" w:rsidP="008803B4">
      <w:pPr>
        <w:pStyle w:val="ListParagraph"/>
        <w:numPr>
          <w:ilvl w:val="0"/>
          <w:numId w:val="37"/>
        </w:numPr>
        <w:rPr>
          <w:rStyle w:val="Strong"/>
          <w:b w:val="0"/>
          <w:bCs w:val="0"/>
          <w:szCs w:val="22"/>
        </w:rPr>
      </w:pPr>
      <w:r w:rsidRPr="000F683D">
        <w:rPr>
          <w:rStyle w:val="Strong"/>
          <w:b w:val="0"/>
          <w:bCs w:val="0"/>
          <w:szCs w:val="22"/>
        </w:rPr>
        <w:t>SDG&amp;E is in the process of simplifying its internal Ex</w:t>
      </w:r>
      <w:r w:rsidR="00893A85">
        <w:rPr>
          <w:rStyle w:val="Strong"/>
          <w:b w:val="0"/>
          <w:bCs w:val="0"/>
          <w:szCs w:val="22"/>
        </w:rPr>
        <w:t>-a</w:t>
      </w:r>
      <w:r w:rsidRPr="000F683D">
        <w:rPr>
          <w:rStyle w:val="Strong"/>
          <w:b w:val="0"/>
          <w:bCs w:val="0"/>
          <w:szCs w:val="22"/>
        </w:rPr>
        <w:t>nte data and tracking data warehouse.   Part of that process requires that there be savings values for all potential climate zone and building type combinations</w:t>
      </w:r>
      <w:r w:rsidR="00EA39A7">
        <w:rPr>
          <w:rStyle w:val="Strong"/>
          <w:b w:val="0"/>
          <w:bCs w:val="0"/>
          <w:szCs w:val="22"/>
        </w:rPr>
        <w:t xml:space="preserve">, </w:t>
      </w:r>
      <w:r w:rsidR="003964B4">
        <w:rPr>
          <w:rStyle w:val="Strong"/>
          <w:b w:val="0"/>
          <w:bCs w:val="0"/>
          <w:szCs w:val="22"/>
        </w:rPr>
        <w:t xml:space="preserve">however, </w:t>
      </w:r>
      <w:r w:rsidR="00EA39A7">
        <w:rPr>
          <w:rStyle w:val="Strong"/>
          <w:b w:val="0"/>
          <w:bCs w:val="0"/>
          <w:szCs w:val="22"/>
        </w:rPr>
        <w:t>PG</w:t>
      </w:r>
      <w:r w:rsidR="00893A85">
        <w:rPr>
          <w:rStyle w:val="Strong"/>
          <w:b w:val="0"/>
          <w:bCs w:val="0"/>
          <w:szCs w:val="22"/>
        </w:rPr>
        <w:t>&amp;</w:t>
      </w:r>
      <w:r w:rsidR="00EA39A7">
        <w:rPr>
          <w:rStyle w:val="Strong"/>
          <w:b w:val="0"/>
          <w:bCs w:val="0"/>
          <w:szCs w:val="22"/>
        </w:rPr>
        <w:t xml:space="preserve">E’s latest workpaper </w:t>
      </w:r>
      <w:r w:rsidRPr="000F683D">
        <w:rPr>
          <w:rStyle w:val="Strong"/>
          <w:b w:val="0"/>
          <w:bCs w:val="0"/>
          <w:szCs w:val="22"/>
        </w:rPr>
        <w:t xml:space="preserve">did not include </w:t>
      </w:r>
      <w:r w:rsidR="00CF77AD">
        <w:rPr>
          <w:rStyle w:val="Strong"/>
          <w:b w:val="0"/>
          <w:bCs w:val="0"/>
          <w:szCs w:val="22"/>
        </w:rPr>
        <w:t xml:space="preserve">statewide </w:t>
      </w:r>
      <w:r w:rsidR="00D452B3">
        <w:rPr>
          <w:rStyle w:val="Strong"/>
          <w:b w:val="0"/>
          <w:bCs w:val="0"/>
          <w:szCs w:val="22"/>
        </w:rPr>
        <w:t xml:space="preserve">IOU </w:t>
      </w:r>
      <w:r w:rsidRPr="000F683D">
        <w:rPr>
          <w:rStyle w:val="Strong"/>
          <w:b w:val="0"/>
          <w:bCs w:val="0"/>
          <w:szCs w:val="22"/>
        </w:rPr>
        <w:t xml:space="preserve">impacts for </w:t>
      </w:r>
      <w:r w:rsidR="009768D0">
        <w:rPr>
          <w:rStyle w:val="Strong"/>
          <w:b w:val="0"/>
          <w:bCs w:val="0"/>
          <w:szCs w:val="22"/>
        </w:rPr>
        <w:t xml:space="preserve">all climate zone and </w:t>
      </w:r>
      <w:r w:rsidRPr="000F683D">
        <w:rPr>
          <w:rStyle w:val="Strong"/>
          <w:b w:val="0"/>
          <w:bCs w:val="0"/>
          <w:szCs w:val="22"/>
        </w:rPr>
        <w:t xml:space="preserve">building type </w:t>
      </w:r>
      <w:r w:rsidR="009768D0">
        <w:rPr>
          <w:rStyle w:val="Strong"/>
          <w:b w:val="0"/>
          <w:bCs w:val="0"/>
          <w:szCs w:val="22"/>
        </w:rPr>
        <w:t>permutations</w:t>
      </w:r>
      <w:r w:rsidR="00EB7020">
        <w:rPr>
          <w:rStyle w:val="Strong"/>
          <w:b w:val="0"/>
          <w:bCs w:val="0"/>
          <w:szCs w:val="22"/>
        </w:rPr>
        <w:t>. As a remedy</w:t>
      </w:r>
      <w:r w:rsidR="00893A85">
        <w:rPr>
          <w:rStyle w:val="Strong"/>
          <w:b w:val="0"/>
          <w:bCs w:val="0"/>
          <w:szCs w:val="22"/>
        </w:rPr>
        <w:t>,</w:t>
      </w:r>
      <w:r w:rsidR="00EB7020">
        <w:rPr>
          <w:rStyle w:val="Strong"/>
          <w:b w:val="0"/>
          <w:bCs w:val="0"/>
          <w:szCs w:val="22"/>
        </w:rPr>
        <w:t xml:space="preserve"> SDG&amp;E </w:t>
      </w:r>
      <w:r w:rsidR="008A0FAF">
        <w:rPr>
          <w:rStyle w:val="Strong"/>
          <w:b w:val="0"/>
          <w:bCs w:val="0"/>
          <w:szCs w:val="22"/>
        </w:rPr>
        <w:t xml:space="preserve">generated </w:t>
      </w:r>
      <w:r w:rsidR="00893A85">
        <w:rPr>
          <w:rStyle w:val="Strong"/>
          <w:b w:val="0"/>
          <w:bCs w:val="0"/>
          <w:szCs w:val="22"/>
        </w:rPr>
        <w:t>E</w:t>
      </w:r>
      <w:r w:rsidR="00EB7020">
        <w:rPr>
          <w:rStyle w:val="Strong"/>
          <w:b w:val="0"/>
          <w:bCs w:val="0"/>
          <w:szCs w:val="22"/>
        </w:rPr>
        <w:t xml:space="preserve">x-ante </w:t>
      </w:r>
      <w:r w:rsidR="00856556">
        <w:rPr>
          <w:rStyle w:val="Strong"/>
          <w:b w:val="0"/>
          <w:bCs w:val="0"/>
          <w:szCs w:val="22"/>
        </w:rPr>
        <w:t>energy</w:t>
      </w:r>
      <w:r w:rsidR="00C73EBF">
        <w:rPr>
          <w:rStyle w:val="Strong"/>
          <w:b w:val="0"/>
          <w:bCs w:val="0"/>
          <w:szCs w:val="22"/>
        </w:rPr>
        <w:t xml:space="preserve"> savings </w:t>
      </w:r>
      <w:r w:rsidR="00856556">
        <w:rPr>
          <w:rStyle w:val="Strong"/>
          <w:b w:val="0"/>
          <w:bCs w:val="0"/>
          <w:szCs w:val="22"/>
        </w:rPr>
        <w:t xml:space="preserve">impacts </w:t>
      </w:r>
      <w:r w:rsidR="005E185B">
        <w:rPr>
          <w:rStyle w:val="Strong"/>
          <w:b w:val="0"/>
          <w:bCs w:val="0"/>
          <w:szCs w:val="22"/>
        </w:rPr>
        <w:t xml:space="preserve">to </w:t>
      </w:r>
      <w:r w:rsidR="00856556">
        <w:rPr>
          <w:rStyle w:val="Strong"/>
          <w:b w:val="0"/>
          <w:bCs w:val="0"/>
          <w:szCs w:val="22"/>
        </w:rPr>
        <w:t>include</w:t>
      </w:r>
      <w:r w:rsidR="005E185B">
        <w:rPr>
          <w:rStyle w:val="Strong"/>
          <w:b w:val="0"/>
          <w:bCs w:val="0"/>
          <w:szCs w:val="22"/>
        </w:rPr>
        <w:t xml:space="preserve"> </w:t>
      </w:r>
      <w:r w:rsidR="00527923">
        <w:rPr>
          <w:rStyle w:val="Strong"/>
          <w:b w:val="0"/>
          <w:bCs w:val="0"/>
          <w:szCs w:val="22"/>
        </w:rPr>
        <w:t>all possible climate zone</w:t>
      </w:r>
      <w:r w:rsidR="00893A85">
        <w:rPr>
          <w:rStyle w:val="Strong"/>
          <w:b w:val="0"/>
          <w:bCs w:val="0"/>
          <w:szCs w:val="22"/>
        </w:rPr>
        <w:t>s</w:t>
      </w:r>
      <w:r w:rsidR="00527923">
        <w:rPr>
          <w:rStyle w:val="Strong"/>
          <w:b w:val="0"/>
          <w:bCs w:val="0"/>
          <w:szCs w:val="22"/>
        </w:rPr>
        <w:t xml:space="preserve"> and building types</w:t>
      </w:r>
      <w:r w:rsidR="005E185B">
        <w:rPr>
          <w:rStyle w:val="Strong"/>
          <w:b w:val="0"/>
          <w:bCs w:val="0"/>
          <w:szCs w:val="22"/>
        </w:rPr>
        <w:t xml:space="preserve">, within SDG&amp;E’s service </w:t>
      </w:r>
      <w:r w:rsidR="00306324">
        <w:rPr>
          <w:rStyle w:val="Strong"/>
          <w:b w:val="0"/>
          <w:bCs w:val="0"/>
          <w:szCs w:val="22"/>
        </w:rPr>
        <w:t>territory</w:t>
      </w:r>
      <w:r w:rsidR="00AD6067">
        <w:rPr>
          <w:rStyle w:val="Strong"/>
          <w:b w:val="0"/>
          <w:bCs w:val="0"/>
          <w:szCs w:val="22"/>
        </w:rPr>
        <w:t xml:space="preserve">. This includes </w:t>
      </w:r>
      <w:r w:rsidR="00880F95">
        <w:rPr>
          <w:rStyle w:val="Strong"/>
          <w:b w:val="0"/>
          <w:bCs w:val="0"/>
          <w:szCs w:val="22"/>
        </w:rPr>
        <w:t xml:space="preserve">generating records for </w:t>
      </w:r>
      <w:r w:rsidRPr="000F683D">
        <w:rPr>
          <w:rStyle w:val="Strong"/>
          <w:b w:val="0"/>
          <w:bCs w:val="0"/>
          <w:szCs w:val="22"/>
        </w:rPr>
        <w:t xml:space="preserve">ECC, EUn, </w:t>
      </w:r>
      <w:r w:rsidR="0022589C">
        <w:rPr>
          <w:rStyle w:val="Strong"/>
          <w:b w:val="0"/>
          <w:bCs w:val="0"/>
          <w:szCs w:val="22"/>
        </w:rPr>
        <w:t>Nrs</w:t>
      </w:r>
      <w:r w:rsidRPr="000F683D">
        <w:rPr>
          <w:rStyle w:val="Strong"/>
          <w:b w:val="0"/>
          <w:bCs w:val="0"/>
          <w:szCs w:val="22"/>
        </w:rPr>
        <w:t xml:space="preserve">, Hsp, </w:t>
      </w:r>
      <w:r w:rsidR="00C02AD5">
        <w:rPr>
          <w:rStyle w:val="Strong"/>
          <w:b w:val="0"/>
          <w:bCs w:val="0"/>
          <w:szCs w:val="22"/>
        </w:rPr>
        <w:t xml:space="preserve">and </w:t>
      </w:r>
      <w:r w:rsidRPr="000F683D">
        <w:rPr>
          <w:rStyle w:val="Strong"/>
          <w:b w:val="0"/>
          <w:bCs w:val="0"/>
          <w:szCs w:val="22"/>
        </w:rPr>
        <w:t>WRf</w:t>
      </w:r>
      <w:r w:rsidR="00880F95">
        <w:rPr>
          <w:rStyle w:val="Strong"/>
          <w:b w:val="0"/>
          <w:bCs w:val="0"/>
          <w:szCs w:val="22"/>
        </w:rPr>
        <w:t xml:space="preserve"> building types </w:t>
      </w:r>
      <w:r w:rsidR="00B96C37">
        <w:rPr>
          <w:rStyle w:val="Strong"/>
          <w:b w:val="0"/>
          <w:bCs w:val="0"/>
          <w:szCs w:val="22"/>
        </w:rPr>
        <w:t xml:space="preserve">that </w:t>
      </w:r>
      <w:r w:rsidR="00183002">
        <w:rPr>
          <w:rStyle w:val="Strong"/>
          <w:b w:val="0"/>
          <w:bCs w:val="0"/>
          <w:szCs w:val="22"/>
        </w:rPr>
        <w:t xml:space="preserve">typically </w:t>
      </w:r>
      <w:r w:rsidR="00306324">
        <w:rPr>
          <w:rStyle w:val="Strong"/>
          <w:b w:val="0"/>
          <w:bCs w:val="0"/>
          <w:szCs w:val="22"/>
        </w:rPr>
        <w:t xml:space="preserve">are </w:t>
      </w:r>
      <w:r w:rsidRPr="00C14511">
        <w:rPr>
          <w:rStyle w:val="Strong"/>
          <w:b w:val="0"/>
          <w:bCs w:val="0"/>
          <w:szCs w:val="22"/>
        </w:rPr>
        <w:t>missing climate zone</w:t>
      </w:r>
      <w:r w:rsidR="00E9269A">
        <w:rPr>
          <w:rStyle w:val="Strong"/>
          <w:b w:val="0"/>
          <w:bCs w:val="0"/>
          <w:szCs w:val="22"/>
        </w:rPr>
        <w:t xml:space="preserve"> 15</w:t>
      </w:r>
      <w:r w:rsidRPr="00C14511">
        <w:rPr>
          <w:rStyle w:val="Strong"/>
          <w:b w:val="0"/>
          <w:bCs w:val="0"/>
          <w:szCs w:val="22"/>
        </w:rPr>
        <w:t xml:space="preserve">, </w:t>
      </w:r>
      <w:r w:rsidR="00183002">
        <w:rPr>
          <w:rStyle w:val="Strong"/>
          <w:b w:val="0"/>
          <w:bCs w:val="0"/>
          <w:szCs w:val="22"/>
        </w:rPr>
        <w:t>and also include climate zone</w:t>
      </w:r>
      <w:r w:rsidR="00893A85">
        <w:rPr>
          <w:rStyle w:val="Strong"/>
          <w:b w:val="0"/>
          <w:bCs w:val="0"/>
          <w:szCs w:val="22"/>
        </w:rPr>
        <w:t>s</w:t>
      </w:r>
      <w:r w:rsidR="00183002">
        <w:rPr>
          <w:rStyle w:val="Strong"/>
          <w:b w:val="0"/>
          <w:bCs w:val="0"/>
          <w:szCs w:val="22"/>
        </w:rPr>
        <w:t xml:space="preserve"> </w:t>
      </w:r>
      <w:r w:rsidR="00E44611">
        <w:rPr>
          <w:rStyle w:val="Strong"/>
          <w:b w:val="0"/>
          <w:bCs w:val="0"/>
          <w:szCs w:val="22"/>
        </w:rPr>
        <w:t xml:space="preserve">8 and 14 for WRf building type. SDG&amp;E used </w:t>
      </w:r>
      <w:r w:rsidR="00E66DEA">
        <w:rPr>
          <w:rStyle w:val="Strong"/>
          <w:b w:val="0"/>
          <w:bCs w:val="0"/>
          <w:szCs w:val="22"/>
        </w:rPr>
        <w:t xml:space="preserve">DEER/PEAR support table </w:t>
      </w:r>
      <w:r w:rsidR="001218DC">
        <w:rPr>
          <w:rStyle w:val="Strong"/>
          <w:b w:val="0"/>
          <w:bCs w:val="0"/>
          <w:szCs w:val="22"/>
        </w:rPr>
        <w:t>“</w:t>
      </w:r>
      <w:r w:rsidR="00E44611">
        <w:rPr>
          <w:rStyle w:val="Strong"/>
          <w:b w:val="0"/>
          <w:bCs w:val="0"/>
          <w:szCs w:val="22"/>
        </w:rPr>
        <w:t xml:space="preserve">2016 </w:t>
      </w:r>
      <w:r w:rsidR="001E3E0E">
        <w:rPr>
          <w:rStyle w:val="Strong"/>
          <w:b w:val="0"/>
          <w:bCs w:val="0"/>
          <w:szCs w:val="22"/>
        </w:rPr>
        <w:t>Lighting Summary</w:t>
      </w:r>
      <w:r w:rsidR="001218DC">
        <w:rPr>
          <w:rStyle w:val="Strong"/>
          <w:b w:val="0"/>
          <w:bCs w:val="0"/>
          <w:szCs w:val="22"/>
        </w:rPr>
        <w:t>”</w:t>
      </w:r>
      <w:r w:rsidR="001E3E0E">
        <w:rPr>
          <w:rStyle w:val="Strong"/>
          <w:b w:val="0"/>
          <w:bCs w:val="0"/>
          <w:szCs w:val="22"/>
        </w:rPr>
        <w:t xml:space="preserve"> </w:t>
      </w:r>
      <w:r w:rsidR="00B5736B">
        <w:rPr>
          <w:rStyle w:val="Strong"/>
          <w:b w:val="0"/>
          <w:bCs w:val="0"/>
          <w:szCs w:val="22"/>
        </w:rPr>
        <w:t>for “Com</w:t>
      </w:r>
      <w:r w:rsidR="00E66DEA">
        <w:rPr>
          <w:rStyle w:val="Strong"/>
          <w:b w:val="0"/>
          <w:bCs w:val="0"/>
          <w:szCs w:val="22"/>
        </w:rPr>
        <w:t xml:space="preserve">-Indoor-LF” for </w:t>
      </w:r>
      <w:r w:rsidR="00B5736B">
        <w:rPr>
          <w:rStyle w:val="Strong"/>
          <w:b w:val="0"/>
          <w:bCs w:val="0"/>
          <w:szCs w:val="22"/>
        </w:rPr>
        <w:t>interactive effects</w:t>
      </w:r>
      <w:r w:rsidR="00D55874">
        <w:rPr>
          <w:rStyle w:val="Strong"/>
          <w:b w:val="0"/>
          <w:bCs w:val="0"/>
          <w:szCs w:val="22"/>
        </w:rPr>
        <w:t xml:space="preserve"> (IE)</w:t>
      </w:r>
      <w:r w:rsidR="00DE7E05">
        <w:rPr>
          <w:rStyle w:val="Strong"/>
          <w:b w:val="0"/>
          <w:bCs w:val="0"/>
          <w:szCs w:val="22"/>
        </w:rPr>
        <w:t xml:space="preserve">, and </w:t>
      </w:r>
      <w:r w:rsidR="00031296">
        <w:rPr>
          <w:rStyle w:val="Strong"/>
          <w:b w:val="0"/>
          <w:bCs w:val="0"/>
          <w:szCs w:val="22"/>
        </w:rPr>
        <w:t xml:space="preserve">adopted SCE </w:t>
      </w:r>
      <w:r w:rsidR="00CC0E37">
        <w:rPr>
          <w:rStyle w:val="Strong"/>
          <w:b w:val="0"/>
          <w:bCs w:val="0"/>
          <w:szCs w:val="22"/>
        </w:rPr>
        <w:t xml:space="preserve">interactive effects (IE) for </w:t>
      </w:r>
      <w:r w:rsidR="00DE304D">
        <w:rPr>
          <w:rStyle w:val="Strong"/>
          <w:b w:val="0"/>
          <w:bCs w:val="0"/>
          <w:szCs w:val="22"/>
        </w:rPr>
        <w:t>ECC, EUn, Nrs, Hsp, and WRf, for climate zone 15</w:t>
      </w:r>
      <w:r w:rsidR="006B3BB0">
        <w:rPr>
          <w:rStyle w:val="Strong"/>
          <w:b w:val="0"/>
          <w:bCs w:val="0"/>
          <w:szCs w:val="22"/>
        </w:rPr>
        <w:t xml:space="preserve">, and climate </w:t>
      </w:r>
      <w:r w:rsidR="00893A85">
        <w:rPr>
          <w:rStyle w:val="Strong"/>
          <w:b w:val="0"/>
          <w:bCs w:val="0"/>
          <w:szCs w:val="22"/>
        </w:rPr>
        <w:t xml:space="preserve">zones </w:t>
      </w:r>
      <w:r w:rsidR="006B3BB0">
        <w:rPr>
          <w:rStyle w:val="Strong"/>
          <w:b w:val="0"/>
          <w:bCs w:val="0"/>
          <w:szCs w:val="22"/>
        </w:rPr>
        <w:t xml:space="preserve">8 and 14 for WRf (building type). </w:t>
      </w:r>
    </w:p>
    <w:p w14:paraId="56DCE4B6" w14:textId="436117F6" w:rsidR="006928BD" w:rsidRDefault="006928BD" w:rsidP="006928BD">
      <w:pPr>
        <w:pStyle w:val="ListParagraph"/>
        <w:numPr>
          <w:ilvl w:val="0"/>
          <w:numId w:val="37"/>
        </w:numPr>
        <w:rPr>
          <w:rFonts w:cstheme="minorHAnsi"/>
          <w:szCs w:val="22"/>
        </w:rPr>
      </w:pPr>
      <w:r w:rsidRPr="00D727CA">
        <w:rPr>
          <w:rFonts w:cstheme="minorHAnsi"/>
          <w:szCs w:val="22"/>
        </w:rPr>
        <w:t xml:space="preserve">SDG&amp;E </w:t>
      </w:r>
      <w:r w:rsidR="009952CF">
        <w:rPr>
          <w:rFonts w:cstheme="minorHAnsi"/>
          <w:szCs w:val="22"/>
        </w:rPr>
        <w:t>adopted PG</w:t>
      </w:r>
      <w:r w:rsidR="00893A85">
        <w:rPr>
          <w:rFonts w:cstheme="minorHAnsi"/>
          <w:szCs w:val="22"/>
        </w:rPr>
        <w:t>&amp;</w:t>
      </w:r>
      <w:r w:rsidR="009952CF">
        <w:rPr>
          <w:rFonts w:cstheme="minorHAnsi"/>
          <w:szCs w:val="22"/>
        </w:rPr>
        <w:t>E labor and material cost</w:t>
      </w:r>
      <w:r w:rsidR="00893A85">
        <w:rPr>
          <w:rFonts w:cstheme="minorHAnsi"/>
          <w:szCs w:val="22"/>
        </w:rPr>
        <w:t>s</w:t>
      </w:r>
      <w:r w:rsidR="009952CF">
        <w:rPr>
          <w:rFonts w:cstheme="minorHAnsi"/>
          <w:szCs w:val="22"/>
        </w:rPr>
        <w:t xml:space="preserve"> and created sepa</w:t>
      </w:r>
      <w:r w:rsidR="001D4963">
        <w:rPr>
          <w:rFonts w:cstheme="minorHAnsi"/>
          <w:szCs w:val="22"/>
        </w:rPr>
        <w:t>rate Cost IDs for Measure Cost and Standard Cost</w:t>
      </w:r>
      <w:r w:rsidRPr="00D727CA">
        <w:rPr>
          <w:rFonts w:cstheme="minorHAnsi"/>
          <w:szCs w:val="22"/>
        </w:rPr>
        <w:t>.</w:t>
      </w:r>
    </w:p>
    <w:p w14:paraId="2A8F0AA3" w14:textId="77777777" w:rsidR="00274A26" w:rsidRPr="00274A26" w:rsidRDefault="00274A26" w:rsidP="00274A26">
      <w:pPr>
        <w:pStyle w:val="ListParagraph"/>
        <w:rPr>
          <w:rFonts w:cstheme="minorHAnsi"/>
          <w:szCs w:val="22"/>
        </w:rPr>
      </w:pPr>
    </w:p>
    <w:tbl>
      <w:tblPr>
        <w:tblStyle w:val="TableGrid"/>
        <w:tblW w:w="9205" w:type="dxa"/>
        <w:tblInd w:w="600" w:type="dxa"/>
        <w:tblLayout w:type="fixed"/>
        <w:tblCellMar>
          <w:left w:w="115" w:type="dxa"/>
          <w:right w:w="115" w:type="dxa"/>
        </w:tblCellMar>
        <w:tblLook w:val="04A0" w:firstRow="1" w:lastRow="0" w:firstColumn="1" w:lastColumn="0" w:noHBand="0" w:noVBand="1"/>
      </w:tblPr>
      <w:tblGrid>
        <w:gridCol w:w="2095"/>
        <w:gridCol w:w="2880"/>
        <w:gridCol w:w="2880"/>
        <w:gridCol w:w="1350"/>
      </w:tblGrid>
      <w:tr w:rsidR="00936226" w14:paraId="63AC0BAC" w14:textId="71960271" w:rsidTr="005D3DDC">
        <w:trPr>
          <w:trHeight w:val="70"/>
        </w:trPr>
        <w:tc>
          <w:tcPr>
            <w:tcW w:w="2095" w:type="dxa"/>
            <w:vAlign w:val="center"/>
          </w:tcPr>
          <w:p w14:paraId="513FF643" w14:textId="0A936A82" w:rsidR="00936226" w:rsidRDefault="00936226" w:rsidP="005D3DDC">
            <w:pPr>
              <w:jc w:val="center"/>
              <w:rPr>
                <w:rFonts w:cstheme="minorHAnsi"/>
                <w:szCs w:val="22"/>
              </w:rPr>
            </w:pPr>
            <w:r>
              <w:rPr>
                <w:rFonts w:cstheme="minorHAnsi"/>
                <w:szCs w:val="22"/>
              </w:rPr>
              <w:t>SDG&amp;E MeasureID</w:t>
            </w:r>
          </w:p>
          <w:p w14:paraId="1D97AFB5" w14:textId="7D9F0B63" w:rsidR="0011724E" w:rsidRPr="00F626AF" w:rsidRDefault="0011724E" w:rsidP="005D3DDC">
            <w:pPr>
              <w:jc w:val="center"/>
              <w:rPr>
                <w:rFonts w:cstheme="minorHAnsi"/>
                <w:szCs w:val="22"/>
              </w:rPr>
            </w:pPr>
            <w:r>
              <w:rPr>
                <w:rFonts w:cstheme="minorHAnsi"/>
                <w:szCs w:val="22"/>
              </w:rPr>
              <w:t>WPSDGENRLG0083-Rev02-MsrXXX</w:t>
            </w:r>
          </w:p>
        </w:tc>
        <w:tc>
          <w:tcPr>
            <w:tcW w:w="2880" w:type="dxa"/>
            <w:vAlign w:val="center"/>
          </w:tcPr>
          <w:p w14:paraId="4ABCAEA7" w14:textId="6BC31C54" w:rsidR="00936226" w:rsidRPr="00F626AF" w:rsidRDefault="00936226" w:rsidP="005D3DDC">
            <w:pPr>
              <w:jc w:val="center"/>
              <w:rPr>
                <w:rFonts w:cstheme="minorHAnsi"/>
                <w:szCs w:val="22"/>
              </w:rPr>
            </w:pPr>
            <w:r w:rsidRPr="00F626AF">
              <w:rPr>
                <w:rFonts w:cstheme="minorHAnsi"/>
                <w:szCs w:val="22"/>
              </w:rPr>
              <w:t>Meas</w:t>
            </w:r>
            <w:r w:rsidR="00921746">
              <w:rPr>
                <w:rFonts w:cstheme="minorHAnsi"/>
                <w:szCs w:val="22"/>
              </w:rPr>
              <w:t>ure C</w:t>
            </w:r>
            <w:r w:rsidRPr="00F626AF">
              <w:rPr>
                <w:rFonts w:cstheme="minorHAnsi"/>
                <w:szCs w:val="22"/>
              </w:rPr>
              <w:t>ost</w:t>
            </w:r>
            <w:r w:rsidR="00921746">
              <w:rPr>
                <w:rFonts w:cstheme="minorHAnsi"/>
                <w:szCs w:val="22"/>
              </w:rPr>
              <w:t xml:space="preserve"> </w:t>
            </w:r>
            <w:r w:rsidRPr="00F626AF">
              <w:rPr>
                <w:rFonts w:cstheme="minorHAnsi"/>
                <w:szCs w:val="22"/>
              </w:rPr>
              <w:t>ID</w:t>
            </w:r>
          </w:p>
        </w:tc>
        <w:tc>
          <w:tcPr>
            <w:tcW w:w="2880" w:type="dxa"/>
            <w:vAlign w:val="center"/>
          </w:tcPr>
          <w:tbl>
            <w:tblPr>
              <w:tblW w:w="3580" w:type="dxa"/>
              <w:tblLayout w:type="fixed"/>
              <w:tblLook w:val="04A0" w:firstRow="1" w:lastRow="0" w:firstColumn="1" w:lastColumn="0" w:noHBand="0" w:noVBand="1"/>
            </w:tblPr>
            <w:tblGrid>
              <w:gridCol w:w="3580"/>
            </w:tblGrid>
            <w:tr w:rsidR="00936226" w:rsidRPr="00F626AF" w14:paraId="23AF1D49" w14:textId="77777777" w:rsidTr="00274A26">
              <w:trPr>
                <w:trHeight w:val="292"/>
              </w:trPr>
              <w:tc>
                <w:tcPr>
                  <w:tcW w:w="3580" w:type="dxa"/>
                  <w:tcBorders>
                    <w:top w:val="nil"/>
                    <w:left w:val="nil"/>
                    <w:bottom w:val="nil"/>
                    <w:right w:val="nil"/>
                  </w:tcBorders>
                  <w:shd w:val="clear" w:color="auto" w:fill="auto"/>
                  <w:noWrap/>
                  <w:vAlign w:val="bottom"/>
                  <w:hideMark/>
                </w:tcPr>
                <w:p w14:paraId="52FF355D" w14:textId="5D58A6F6" w:rsidR="00936226" w:rsidRPr="00274A26" w:rsidRDefault="00936226" w:rsidP="005D3DDC">
                  <w:pPr>
                    <w:jc w:val="center"/>
                    <w:rPr>
                      <w:rFonts w:cstheme="minorHAnsi"/>
                      <w:color w:val="000000"/>
                      <w:szCs w:val="22"/>
                    </w:rPr>
                  </w:pPr>
                  <w:r w:rsidRPr="00274A26">
                    <w:rPr>
                      <w:rFonts w:cstheme="minorHAnsi"/>
                      <w:color w:val="000000"/>
                      <w:szCs w:val="22"/>
                    </w:rPr>
                    <w:t>St</w:t>
                  </w:r>
                  <w:r w:rsidR="00921746">
                    <w:rPr>
                      <w:rFonts w:cstheme="minorHAnsi"/>
                      <w:color w:val="000000"/>
                      <w:szCs w:val="22"/>
                    </w:rPr>
                    <w:t>andar</w:t>
                  </w:r>
                  <w:r w:rsidRPr="00274A26">
                    <w:rPr>
                      <w:rFonts w:cstheme="minorHAnsi"/>
                      <w:color w:val="000000"/>
                      <w:szCs w:val="22"/>
                    </w:rPr>
                    <w:t>d</w:t>
                  </w:r>
                  <w:r w:rsidR="00921746">
                    <w:rPr>
                      <w:rFonts w:cstheme="minorHAnsi"/>
                      <w:color w:val="000000"/>
                      <w:szCs w:val="22"/>
                    </w:rPr>
                    <w:t xml:space="preserve"> </w:t>
                  </w:r>
                  <w:r w:rsidRPr="00274A26">
                    <w:rPr>
                      <w:rFonts w:cstheme="minorHAnsi"/>
                      <w:color w:val="000000"/>
                      <w:szCs w:val="22"/>
                    </w:rPr>
                    <w:t>Cost</w:t>
                  </w:r>
                  <w:r w:rsidR="00921746">
                    <w:rPr>
                      <w:rFonts w:cstheme="minorHAnsi"/>
                      <w:color w:val="000000"/>
                      <w:szCs w:val="22"/>
                    </w:rPr>
                    <w:t xml:space="preserve"> </w:t>
                  </w:r>
                  <w:r w:rsidRPr="00274A26">
                    <w:rPr>
                      <w:rFonts w:cstheme="minorHAnsi"/>
                      <w:color w:val="000000"/>
                      <w:szCs w:val="22"/>
                    </w:rPr>
                    <w:t>ID</w:t>
                  </w:r>
                </w:p>
              </w:tc>
            </w:tr>
          </w:tbl>
          <w:p w14:paraId="4385160F" w14:textId="77777777" w:rsidR="00936226" w:rsidRPr="00F626AF" w:rsidRDefault="00936226" w:rsidP="005D3DDC">
            <w:pPr>
              <w:jc w:val="center"/>
              <w:rPr>
                <w:rFonts w:cstheme="minorHAnsi"/>
                <w:szCs w:val="22"/>
              </w:rPr>
            </w:pPr>
          </w:p>
        </w:tc>
        <w:tc>
          <w:tcPr>
            <w:tcW w:w="1350" w:type="dxa"/>
            <w:vAlign w:val="center"/>
          </w:tcPr>
          <w:p w14:paraId="22E8A4D6" w14:textId="533AFA20" w:rsidR="00936226" w:rsidRPr="00274A26" w:rsidRDefault="00936226" w:rsidP="005D3DDC">
            <w:pPr>
              <w:jc w:val="center"/>
              <w:rPr>
                <w:rFonts w:cstheme="minorHAnsi"/>
                <w:color w:val="000000"/>
                <w:szCs w:val="22"/>
              </w:rPr>
            </w:pPr>
            <w:r>
              <w:rPr>
                <w:rFonts w:cstheme="minorHAnsi"/>
                <w:color w:val="000000"/>
                <w:szCs w:val="22"/>
              </w:rPr>
              <w:t>IMC</w:t>
            </w:r>
          </w:p>
        </w:tc>
      </w:tr>
      <w:tr w:rsidR="00D125DC" w14:paraId="1B06A3D6" w14:textId="12EFD5E9" w:rsidTr="006F26EF">
        <w:tc>
          <w:tcPr>
            <w:tcW w:w="2095" w:type="dxa"/>
          </w:tcPr>
          <w:p w14:paraId="55B0A971" w14:textId="69A2E588" w:rsidR="00D125DC" w:rsidRPr="00F626AF" w:rsidRDefault="00D125DC" w:rsidP="00921746">
            <w:pPr>
              <w:jc w:val="center"/>
              <w:rPr>
                <w:rFonts w:cstheme="minorHAnsi"/>
                <w:szCs w:val="22"/>
              </w:rPr>
            </w:pPr>
            <w:r>
              <w:rPr>
                <w:rFonts w:cstheme="minorHAnsi"/>
                <w:szCs w:val="22"/>
              </w:rPr>
              <w:t>Msr001</w:t>
            </w:r>
          </w:p>
        </w:tc>
        <w:tc>
          <w:tcPr>
            <w:tcW w:w="2880" w:type="dxa"/>
          </w:tcPr>
          <w:p w14:paraId="4AD42B23" w14:textId="7808DD27" w:rsidR="00D125DC" w:rsidRPr="00F626AF" w:rsidRDefault="00D125DC" w:rsidP="00D125DC">
            <w:pPr>
              <w:rPr>
                <w:rFonts w:cstheme="minorHAnsi"/>
                <w:szCs w:val="22"/>
              </w:rPr>
            </w:pPr>
            <w:r w:rsidRPr="00821E12">
              <w:rPr>
                <w:rFonts w:cstheme="minorHAnsi"/>
                <w:color w:val="000000"/>
                <w:szCs w:val="22"/>
              </w:rPr>
              <w:t>SDG-LEDfixt125LPW-1x4-new</w:t>
            </w:r>
          </w:p>
        </w:tc>
        <w:tc>
          <w:tcPr>
            <w:tcW w:w="2880" w:type="dxa"/>
          </w:tcPr>
          <w:p w14:paraId="4887C112" w14:textId="2DECC60B" w:rsidR="00D125DC" w:rsidRPr="00274A26" w:rsidRDefault="005935D0" w:rsidP="00D125DC">
            <w:pPr>
              <w:rPr>
                <w:rFonts w:cstheme="minorHAnsi"/>
                <w:color w:val="000000"/>
                <w:szCs w:val="22"/>
              </w:rPr>
            </w:pPr>
            <w:r w:rsidRPr="005935D0">
              <w:rPr>
                <w:rFonts w:cstheme="minorHAnsi"/>
                <w:color w:val="000000"/>
                <w:szCs w:val="22"/>
              </w:rPr>
              <w:t>SDG-LF-Troffer-Base-LEDMsr</w:t>
            </w:r>
          </w:p>
        </w:tc>
        <w:tc>
          <w:tcPr>
            <w:tcW w:w="1350" w:type="dxa"/>
          </w:tcPr>
          <w:p w14:paraId="15EE00FF" w14:textId="58532C92" w:rsidR="00D125DC" w:rsidRPr="00274A26" w:rsidRDefault="008E7A0D" w:rsidP="00D125DC">
            <w:pPr>
              <w:rPr>
                <w:rFonts w:cstheme="minorHAnsi"/>
                <w:color w:val="000000"/>
                <w:szCs w:val="22"/>
              </w:rPr>
            </w:pPr>
            <w:r>
              <w:rPr>
                <w:rFonts w:cstheme="minorHAnsi"/>
                <w:color w:val="000000"/>
                <w:szCs w:val="22"/>
              </w:rPr>
              <w:t>$6.12</w:t>
            </w:r>
          </w:p>
        </w:tc>
      </w:tr>
      <w:tr w:rsidR="00D125DC" w14:paraId="6DBA1756" w14:textId="40244446" w:rsidTr="006F26EF">
        <w:tc>
          <w:tcPr>
            <w:tcW w:w="2095" w:type="dxa"/>
          </w:tcPr>
          <w:p w14:paraId="0AF8EF95" w14:textId="2C7F5537" w:rsidR="00D125DC" w:rsidRPr="00F626AF" w:rsidRDefault="00D125DC" w:rsidP="00921746">
            <w:pPr>
              <w:jc w:val="center"/>
              <w:rPr>
                <w:rFonts w:cstheme="minorHAnsi"/>
                <w:szCs w:val="22"/>
              </w:rPr>
            </w:pPr>
            <w:r>
              <w:rPr>
                <w:rFonts w:cstheme="minorHAnsi"/>
                <w:szCs w:val="22"/>
              </w:rPr>
              <w:t>Msr002</w:t>
            </w:r>
          </w:p>
        </w:tc>
        <w:tc>
          <w:tcPr>
            <w:tcW w:w="2880" w:type="dxa"/>
          </w:tcPr>
          <w:p w14:paraId="3572EFF3" w14:textId="0719239F" w:rsidR="00D125DC" w:rsidRPr="00F626AF" w:rsidRDefault="00D125DC" w:rsidP="00D125DC">
            <w:pPr>
              <w:rPr>
                <w:rFonts w:cstheme="minorHAnsi"/>
                <w:szCs w:val="22"/>
              </w:rPr>
            </w:pPr>
            <w:r w:rsidRPr="00821E12">
              <w:rPr>
                <w:rFonts w:cstheme="minorHAnsi"/>
                <w:color w:val="000000"/>
                <w:szCs w:val="22"/>
              </w:rPr>
              <w:t>SDG-LEDfixt125LPW-2x2-new</w:t>
            </w:r>
          </w:p>
        </w:tc>
        <w:tc>
          <w:tcPr>
            <w:tcW w:w="2880" w:type="dxa"/>
          </w:tcPr>
          <w:p w14:paraId="156C104D" w14:textId="6F659145" w:rsidR="00D125DC" w:rsidRPr="00274A26" w:rsidRDefault="005935D0" w:rsidP="00D125DC">
            <w:pPr>
              <w:rPr>
                <w:rFonts w:cstheme="minorHAnsi"/>
                <w:color w:val="000000"/>
                <w:szCs w:val="22"/>
              </w:rPr>
            </w:pPr>
            <w:r w:rsidRPr="005935D0">
              <w:rPr>
                <w:rFonts w:cstheme="minorHAnsi"/>
                <w:color w:val="000000"/>
                <w:szCs w:val="22"/>
              </w:rPr>
              <w:t>SDG-LF-Troffer-Base-LEDMsr</w:t>
            </w:r>
          </w:p>
        </w:tc>
        <w:tc>
          <w:tcPr>
            <w:tcW w:w="1350" w:type="dxa"/>
          </w:tcPr>
          <w:p w14:paraId="4A5C184E" w14:textId="193E8C8E" w:rsidR="00D125DC" w:rsidRPr="00274A26" w:rsidRDefault="0088439D" w:rsidP="00D125DC">
            <w:pPr>
              <w:rPr>
                <w:rFonts w:cstheme="minorHAnsi"/>
                <w:color w:val="000000"/>
                <w:szCs w:val="22"/>
              </w:rPr>
            </w:pPr>
            <w:r>
              <w:rPr>
                <w:rFonts w:cstheme="minorHAnsi"/>
                <w:color w:val="000000"/>
                <w:szCs w:val="22"/>
              </w:rPr>
              <w:t>$6.12</w:t>
            </w:r>
          </w:p>
        </w:tc>
      </w:tr>
      <w:tr w:rsidR="00D125DC" w14:paraId="31C7AD62" w14:textId="7684DF3A" w:rsidTr="006F26EF">
        <w:tc>
          <w:tcPr>
            <w:tcW w:w="2095" w:type="dxa"/>
          </w:tcPr>
          <w:p w14:paraId="50644941" w14:textId="3235F705" w:rsidR="00D125DC" w:rsidRPr="00F626AF" w:rsidRDefault="00D125DC" w:rsidP="00921746">
            <w:pPr>
              <w:jc w:val="center"/>
              <w:rPr>
                <w:rFonts w:cstheme="minorHAnsi"/>
                <w:szCs w:val="22"/>
              </w:rPr>
            </w:pPr>
            <w:r>
              <w:rPr>
                <w:rFonts w:cstheme="minorHAnsi"/>
                <w:szCs w:val="22"/>
              </w:rPr>
              <w:t>Msr003</w:t>
            </w:r>
          </w:p>
        </w:tc>
        <w:tc>
          <w:tcPr>
            <w:tcW w:w="2880" w:type="dxa"/>
            <w:vAlign w:val="center"/>
          </w:tcPr>
          <w:p w14:paraId="66A486AA" w14:textId="6A784760" w:rsidR="00D125DC" w:rsidRPr="00F626AF" w:rsidRDefault="00D125DC" w:rsidP="00D125DC">
            <w:pPr>
              <w:rPr>
                <w:rFonts w:cstheme="minorHAnsi"/>
                <w:szCs w:val="22"/>
              </w:rPr>
            </w:pPr>
            <w:r w:rsidRPr="00821E12">
              <w:rPr>
                <w:rFonts w:cstheme="minorHAnsi"/>
                <w:color w:val="000000"/>
                <w:szCs w:val="22"/>
              </w:rPr>
              <w:t>SDG-LEDfixt125LPW-2x4-new</w:t>
            </w:r>
          </w:p>
        </w:tc>
        <w:tc>
          <w:tcPr>
            <w:tcW w:w="2880" w:type="dxa"/>
            <w:vAlign w:val="center"/>
          </w:tcPr>
          <w:p w14:paraId="50CF0A36" w14:textId="3096594E" w:rsidR="00D125DC" w:rsidRPr="00274A26" w:rsidRDefault="005935D0" w:rsidP="00D125DC">
            <w:pPr>
              <w:rPr>
                <w:rFonts w:cstheme="minorHAnsi"/>
                <w:color w:val="000000"/>
                <w:szCs w:val="22"/>
              </w:rPr>
            </w:pPr>
            <w:r w:rsidRPr="005935D0">
              <w:rPr>
                <w:rFonts w:cstheme="minorHAnsi"/>
                <w:color w:val="000000"/>
                <w:szCs w:val="22"/>
              </w:rPr>
              <w:t>SDG-LF-Troffer-Base-LEDMsr</w:t>
            </w:r>
          </w:p>
        </w:tc>
        <w:tc>
          <w:tcPr>
            <w:tcW w:w="1350" w:type="dxa"/>
          </w:tcPr>
          <w:p w14:paraId="6274A73C" w14:textId="0FA2EA2C" w:rsidR="00D125DC" w:rsidRPr="00274A26" w:rsidRDefault="0088439D" w:rsidP="00D125DC">
            <w:pPr>
              <w:rPr>
                <w:rFonts w:cstheme="minorHAnsi"/>
                <w:color w:val="000000"/>
                <w:szCs w:val="22"/>
              </w:rPr>
            </w:pPr>
            <w:r>
              <w:rPr>
                <w:rFonts w:cstheme="minorHAnsi"/>
                <w:color w:val="000000"/>
                <w:szCs w:val="22"/>
              </w:rPr>
              <w:t>$6.12</w:t>
            </w:r>
          </w:p>
        </w:tc>
      </w:tr>
      <w:tr w:rsidR="00D125DC" w14:paraId="6EB40289" w14:textId="7D655793" w:rsidTr="006F26EF">
        <w:tc>
          <w:tcPr>
            <w:tcW w:w="2095" w:type="dxa"/>
          </w:tcPr>
          <w:p w14:paraId="15E454E5" w14:textId="7FFC88E8" w:rsidR="00D125DC" w:rsidRPr="00F626AF" w:rsidRDefault="00D125DC" w:rsidP="00921746">
            <w:pPr>
              <w:jc w:val="center"/>
              <w:rPr>
                <w:rFonts w:cstheme="minorHAnsi"/>
                <w:szCs w:val="22"/>
              </w:rPr>
            </w:pPr>
            <w:r>
              <w:rPr>
                <w:rFonts w:cstheme="minorHAnsi"/>
                <w:szCs w:val="22"/>
              </w:rPr>
              <w:t>Msr004</w:t>
            </w:r>
          </w:p>
        </w:tc>
        <w:tc>
          <w:tcPr>
            <w:tcW w:w="2880" w:type="dxa"/>
            <w:vAlign w:val="center"/>
          </w:tcPr>
          <w:p w14:paraId="4FBEAC11" w14:textId="23572C0E" w:rsidR="00D125DC" w:rsidRPr="00F626AF" w:rsidRDefault="00D125DC" w:rsidP="00D125DC">
            <w:pPr>
              <w:rPr>
                <w:rFonts w:cstheme="minorHAnsi"/>
                <w:szCs w:val="22"/>
              </w:rPr>
            </w:pPr>
            <w:r w:rsidRPr="00AA4205">
              <w:rPr>
                <w:rFonts w:cstheme="minorHAnsi"/>
                <w:color w:val="000000"/>
                <w:szCs w:val="22"/>
              </w:rPr>
              <w:t>SDG-LEDfixt125LPW-1x4-kit</w:t>
            </w:r>
          </w:p>
        </w:tc>
        <w:tc>
          <w:tcPr>
            <w:tcW w:w="2880" w:type="dxa"/>
            <w:vAlign w:val="center"/>
          </w:tcPr>
          <w:p w14:paraId="60DBE383" w14:textId="2047C179" w:rsidR="00D125DC" w:rsidRPr="00274A26" w:rsidRDefault="005935D0" w:rsidP="00D125DC">
            <w:pPr>
              <w:rPr>
                <w:rFonts w:cstheme="minorHAnsi"/>
                <w:color w:val="000000"/>
                <w:szCs w:val="22"/>
              </w:rPr>
            </w:pPr>
            <w:r w:rsidRPr="005935D0">
              <w:rPr>
                <w:rFonts w:cstheme="minorHAnsi"/>
                <w:color w:val="000000"/>
                <w:szCs w:val="22"/>
              </w:rPr>
              <w:t>SDG-LF-Troffer-Base-LEDMsr</w:t>
            </w:r>
          </w:p>
        </w:tc>
        <w:tc>
          <w:tcPr>
            <w:tcW w:w="1350" w:type="dxa"/>
          </w:tcPr>
          <w:p w14:paraId="33DD93D8" w14:textId="77FE5181" w:rsidR="00D125DC" w:rsidRPr="00274A26" w:rsidRDefault="0088439D" w:rsidP="00D125DC">
            <w:pPr>
              <w:rPr>
                <w:rFonts w:cstheme="minorHAnsi"/>
                <w:color w:val="000000"/>
                <w:szCs w:val="22"/>
              </w:rPr>
            </w:pPr>
            <w:r>
              <w:rPr>
                <w:rFonts w:cstheme="minorHAnsi"/>
                <w:color w:val="000000"/>
                <w:szCs w:val="22"/>
              </w:rPr>
              <w:t>$6.12</w:t>
            </w:r>
          </w:p>
        </w:tc>
      </w:tr>
      <w:tr w:rsidR="00D125DC" w14:paraId="4A1D3129" w14:textId="1D1E9C77" w:rsidTr="006F26EF">
        <w:tc>
          <w:tcPr>
            <w:tcW w:w="2095" w:type="dxa"/>
          </w:tcPr>
          <w:p w14:paraId="43238002" w14:textId="79151938" w:rsidR="00D125DC" w:rsidRPr="00F626AF" w:rsidRDefault="00D125DC" w:rsidP="00921746">
            <w:pPr>
              <w:jc w:val="center"/>
              <w:rPr>
                <w:rFonts w:cstheme="minorHAnsi"/>
                <w:szCs w:val="22"/>
              </w:rPr>
            </w:pPr>
            <w:r>
              <w:rPr>
                <w:rFonts w:cstheme="minorHAnsi"/>
                <w:szCs w:val="22"/>
              </w:rPr>
              <w:t>Msr005</w:t>
            </w:r>
          </w:p>
        </w:tc>
        <w:tc>
          <w:tcPr>
            <w:tcW w:w="2880" w:type="dxa"/>
            <w:vAlign w:val="center"/>
          </w:tcPr>
          <w:p w14:paraId="1631C567" w14:textId="6241EA6D" w:rsidR="00D125DC" w:rsidRPr="00F626AF" w:rsidRDefault="00D125DC" w:rsidP="00D125DC">
            <w:pPr>
              <w:rPr>
                <w:rFonts w:cstheme="minorHAnsi"/>
                <w:szCs w:val="22"/>
              </w:rPr>
            </w:pPr>
            <w:r w:rsidRPr="00AA4205">
              <w:rPr>
                <w:rFonts w:cstheme="minorHAnsi"/>
                <w:color w:val="000000"/>
                <w:szCs w:val="22"/>
              </w:rPr>
              <w:t>SDG-LEDfixt125LPW-2x2-kit</w:t>
            </w:r>
          </w:p>
        </w:tc>
        <w:tc>
          <w:tcPr>
            <w:tcW w:w="2880" w:type="dxa"/>
            <w:vAlign w:val="center"/>
          </w:tcPr>
          <w:p w14:paraId="0E6EC235" w14:textId="5EC16A79" w:rsidR="00D125DC" w:rsidRPr="00274A26" w:rsidRDefault="005935D0" w:rsidP="00D125DC">
            <w:pPr>
              <w:rPr>
                <w:rFonts w:cstheme="minorHAnsi"/>
                <w:color w:val="000000"/>
                <w:szCs w:val="22"/>
              </w:rPr>
            </w:pPr>
            <w:r w:rsidRPr="005935D0">
              <w:rPr>
                <w:rFonts w:cstheme="minorHAnsi"/>
                <w:color w:val="000000"/>
                <w:szCs w:val="22"/>
              </w:rPr>
              <w:t>SDG-LF-Troffer-Base-LEDMsr</w:t>
            </w:r>
          </w:p>
        </w:tc>
        <w:tc>
          <w:tcPr>
            <w:tcW w:w="1350" w:type="dxa"/>
          </w:tcPr>
          <w:p w14:paraId="3A6550F4" w14:textId="7289B28D" w:rsidR="00D125DC" w:rsidRPr="00274A26" w:rsidRDefault="0088439D" w:rsidP="00D125DC">
            <w:pPr>
              <w:rPr>
                <w:rFonts w:cstheme="minorHAnsi"/>
                <w:color w:val="000000"/>
                <w:szCs w:val="22"/>
              </w:rPr>
            </w:pPr>
            <w:r>
              <w:rPr>
                <w:rFonts w:cstheme="minorHAnsi"/>
                <w:color w:val="000000"/>
                <w:szCs w:val="22"/>
              </w:rPr>
              <w:t>$6.12</w:t>
            </w:r>
          </w:p>
        </w:tc>
      </w:tr>
      <w:tr w:rsidR="00D125DC" w14:paraId="35FF24EB" w14:textId="53E5C794" w:rsidTr="006F26EF">
        <w:tc>
          <w:tcPr>
            <w:tcW w:w="2095" w:type="dxa"/>
          </w:tcPr>
          <w:p w14:paraId="50231BF4" w14:textId="6C0992EA" w:rsidR="00D125DC" w:rsidRPr="00F626AF" w:rsidRDefault="00D125DC" w:rsidP="00921746">
            <w:pPr>
              <w:jc w:val="center"/>
              <w:rPr>
                <w:rFonts w:cstheme="minorHAnsi"/>
                <w:szCs w:val="22"/>
              </w:rPr>
            </w:pPr>
            <w:r>
              <w:rPr>
                <w:rFonts w:cstheme="minorHAnsi"/>
                <w:szCs w:val="22"/>
              </w:rPr>
              <w:t>Msr006</w:t>
            </w:r>
          </w:p>
        </w:tc>
        <w:tc>
          <w:tcPr>
            <w:tcW w:w="2880" w:type="dxa"/>
            <w:vAlign w:val="center"/>
          </w:tcPr>
          <w:p w14:paraId="4A142790" w14:textId="15CB5388" w:rsidR="00D125DC" w:rsidRPr="00F626AF" w:rsidRDefault="00D125DC" w:rsidP="00D125DC">
            <w:pPr>
              <w:rPr>
                <w:rFonts w:cstheme="minorHAnsi"/>
                <w:szCs w:val="22"/>
              </w:rPr>
            </w:pPr>
            <w:r w:rsidRPr="00AA4205">
              <w:rPr>
                <w:rFonts w:cstheme="minorHAnsi"/>
                <w:color w:val="000000"/>
                <w:szCs w:val="22"/>
              </w:rPr>
              <w:t>SDG-LEDfixt125LPW-2x4-kit</w:t>
            </w:r>
          </w:p>
        </w:tc>
        <w:tc>
          <w:tcPr>
            <w:tcW w:w="2880" w:type="dxa"/>
            <w:vAlign w:val="center"/>
          </w:tcPr>
          <w:p w14:paraId="023E95A2" w14:textId="5806C7A0" w:rsidR="00D125DC" w:rsidRPr="00274A26" w:rsidRDefault="005935D0" w:rsidP="00D125DC">
            <w:pPr>
              <w:rPr>
                <w:rFonts w:cstheme="minorHAnsi"/>
                <w:color w:val="000000"/>
                <w:szCs w:val="22"/>
              </w:rPr>
            </w:pPr>
            <w:r w:rsidRPr="005935D0">
              <w:rPr>
                <w:rFonts w:cstheme="minorHAnsi"/>
                <w:color w:val="000000"/>
                <w:szCs w:val="22"/>
              </w:rPr>
              <w:t>SDG-LF-Troffer-Base-LEDMsr</w:t>
            </w:r>
          </w:p>
        </w:tc>
        <w:tc>
          <w:tcPr>
            <w:tcW w:w="1350" w:type="dxa"/>
          </w:tcPr>
          <w:p w14:paraId="31265394" w14:textId="2793D29F" w:rsidR="00D125DC" w:rsidRPr="00274A26" w:rsidRDefault="0088439D" w:rsidP="00D125DC">
            <w:pPr>
              <w:rPr>
                <w:rFonts w:cstheme="minorHAnsi"/>
                <w:color w:val="000000"/>
                <w:szCs w:val="22"/>
              </w:rPr>
            </w:pPr>
            <w:r>
              <w:rPr>
                <w:rFonts w:cstheme="minorHAnsi"/>
                <w:color w:val="000000"/>
                <w:szCs w:val="22"/>
              </w:rPr>
              <w:t>$6.12</w:t>
            </w:r>
          </w:p>
        </w:tc>
      </w:tr>
      <w:tr w:rsidR="00D125DC" w14:paraId="69237324" w14:textId="41170344" w:rsidTr="006F26EF">
        <w:tc>
          <w:tcPr>
            <w:tcW w:w="2095" w:type="dxa"/>
          </w:tcPr>
          <w:p w14:paraId="52DEB11F" w14:textId="6F816265" w:rsidR="00D125DC" w:rsidRPr="00F626AF" w:rsidRDefault="00D125DC" w:rsidP="00921746">
            <w:pPr>
              <w:jc w:val="center"/>
              <w:rPr>
                <w:rFonts w:cstheme="minorHAnsi"/>
                <w:szCs w:val="22"/>
              </w:rPr>
            </w:pPr>
            <w:r>
              <w:rPr>
                <w:rFonts w:cstheme="minorHAnsi"/>
                <w:szCs w:val="22"/>
              </w:rPr>
              <w:t>Msr007</w:t>
            </w:r>
          </w:p>
        </w:tc>
        <w:tc>
          <w:tcPr>
            <w:tcW w:w="2880" w:type="dxa"/>
            <w:vAlign w:val="center"/>
          </w:tcPr>
          <w:p w14:paraId="25DB7902" w14:textId="34504C84" w:rsidR="00D125DC" w:rsidRPr="00F626AF" w:rsidRDefault="00D125DC" w:rsidP="00D125DC">
            <w:pPr>
              <w:rPr>
                <w:rFonts w:cstheme="minorHAnsi"/>
                <w:szCs w:val="22"/>
              </w:rPr>
            </w:pPr>
            <w:r w:rsidRPr="00B04CA2">
              <w:rPr>
                <w:rFonts w:cstheme="minorHAnsi"/>
                <w:color w:val="000000"/>
                <w:szCs w:val="22"/>
              </w:rPr>
              <w:t>SDG-LEDfixt140LPW-1x4-new</w:t>
            </w:r>
          </w:p>
        </w:tc>
        <w:tc>
          <w:tcPr>
            <w:tcW w:w="2880" w:type="dxa"/>
            <w:vAlign w:val="center"/>
          </w:tcPr>
          <w:p w14:paraId="6FBE0DC7" w14:textId="6A625AA8" w:rsidR="00D125DC" w:rsidRPr="00274A26" w:rsidRDefault="005935D0" w:rsidP="00D125DC">
            <w:pPr>
              <w:rPr>
                <w:rFonts w:cstheme="minorHAnsi"/>
                <w:color w:val="000000"/>
                <w:szCs w:val="22"/>
              </w:rPr>
            </w:pPr>
            <w:r w:rsidRPr="005935D0">
              <w:rPr>
                <w:rFonts w:cstheme="minorHAnsi"/>
                <w:color w:val="000000"/>
                <w:szCs w:val="22"/>
              </w:rPr>
              <w:t>SDG-LF-Troffer-Base-LEDMsr</w:t>
            </w:r>
          </w:p>
        </w:tc>
        <w:tc>
          <w:tcPr>
            <w:tcW w:w="1350" w:type="dxa"/>
          </w:tcPr>
          <w:p w14:paraId="2AE50C1D" w14:textId="380CC3C7" w:rsidR="00D125DC" w:rsidRPr="00274A26" w:rsidRDefault="009A5067" w:rsidP="00D125DC">
            <w:pPr>
              <w:rPr>
                <w:rFonts w:cstheme="minorHAnsi"/>
                <w:color w:val="000000"/>
                <w:szCs w:val="22"/>
              </w:rPr>
            </w:pPr>
            <w:r>
              <w:rPr>
                <w:rFonts w:cstheme="minorHAnsi"/>
                <w:color w:val="000000"/>
                <w:szCs w:val="22"/>
              </w:rPr>
              <w:t>$6.45</w:t>
            </w:r>
          </w:p>
        </w:tc>
      </w:tr>
      <w:tr w:rsidR="00D125DC" w14:paraId="2AD22C28" w14:textId="292AE153" w:rsidTr="006F26EF">
        <w:tc>
          <w:tcPr>
            <w:tcW w:w="2095" w:type="dxa"/>
          </w:tcPr>
          <w:p w14:paraId="6584F7EC" w14:textId="4F38A7F9" w:rsidR="00D125DC" w:rsidRPr="00F626AF" w:rsidRDefault="00D125DC" w:rsidP="00921746">
            <w:pPr>
              <w:jc w:val="center"/>
              <w:rPr>
                <w:rFonts w:cstheme="minorHAnsi"/>
                <w:szCs w:val="22"/>
              </w:rPr>
            </w:pPr>
            <w:r>
              <w:rPr>
                <w:rFonts w:cstheme="minorHAnsi"/>
                <w:szCs w:val="22"/>
              </w:rPr>
              <w:t>Msr008</w:t>
            </w:r>
          </w:p>
        </w:tc>
        <w:tc>
          <w:tcPr>
            <w:tcW w:w="2880" w:type="dxa"/>
            <w:vAlign w:val="center"/>
          </w:tcPr>
          <w:p w14:paraId="63764799" w14:textId="07944211" w:rsidR="00D125DC" w:rsidRPr="00F626AF" w:rsidRDefault="00D125DC" w:rsidP="00D125DC">
            <w:pPr>
              <w:rPr>
                <w:rFonts w:cstheme="minorHAnsi"/>
                <w:szCs w:val="22"/>
              </w:rPr>
            </w:pPr>
            <w:r w:rsidRPr="00B04CA2">
              <w:rPr>
                <w:rFonts w:cstheme="minorHAnsi"/>
                <w:color w:val="000000"/>
                <w:szCs w:val="22"/>
              </w:rPr>
              <w:t>SDG-LEDfixt140LPW-2x2-new</w:t>
            </w:r>
          </w:p>
        </w:tc>
        <w:tc>
          <w:tcPr>
            <w:tcW w:w="2880" w:type="dxa"/>
            <w:vAlign w:val="center"/>
          </w:tcPr>
          <w:p w14:paraId="4BA59857" w14:textId="5C392027" w:rsidR="00D125DC" w:rsidRPr="00274A26" w:rsidRDefault="005935D0" w:rsidP="00D125DC">
            <w:pPr>
              <w:rPr>
                <w:rFonts w:cstheme="minorHAnsi"/>
                <w:color w:val="000000"/>
                <w:szCs w:val="22"/>
              </w:rPr>
            </w:pPr>
            <w:r w:rsidRPr="005935D0">
              <w:rPr>
                <w:rFonts w:cstheme="minorHAnsi"/>
                <w:color w:val="000000"/>
                <w:szCs w:val="22"/>
              </w:rPr>
              <w:t>SDG-LF-Troffer-Base-LEDMsr</w:t>
            </w:r>
          </w:p>
        </w:tc>
        <w:tc>
          <w:tcPr>
            <w:tcW w:w="1350" w:type="dxa"/>
          </w:tcPr>
          <w:p w14:paraId="6D1302A5" w14:textId="6DBFE7C4" w:rsidR="00D125DC" w:rsidRPr="00274A26" w:rsidRDefault="00DA7858" w:rsidP="00D125DC">
            <w:pPr>
              <w:rPr>
                <w:rFonts w:cstheme="minorHAnsi"/>
                <w:color w:val="000000"/>
                <w:szCs w:val="22"/>
              </w:rPr>
            </w:pPr>
            <w:r>
              <w:rPr>
                <w:rFonts w:cstheme="minorHAnsi"/>
                <w:color w:val="000000"/>
                <w:szCs w:val="22"/>
              </w:rPr>
              <w:t>$6.45</w:t>
            </w:r>
          </w:p>
        </w:tc>
      </w:tr>
      <w:tr w:rsidR="00D125DC" w14:paraId="7895C815" w14:textId="4112A2CD" w:rsidTr="006F26EF">
        <w:tc>
          <w:tcPr>
            <w:tcW w:w="2095" w:type="dxa"/>
          </w:tcPr>
          <w:p w14:paraId="215D41F3" w14:textId="47EB16AC" w:rsidR="00C90C85" w:rsidRPr="00F626AF" w:rsidRDefault="007308B2" w:rsidP="00921746">
            <w:pPr>
              <w:jc w:val="center"/>
              <w:rPr>
                <w:rFonts w:cstheme="minorHAnsi"/>
                <w:szCs w:val="22"/>
              </w:rPr>
            </w:pPr>
            <w:r>
              <w:rPr>
                <w:rFonts w:cstheme="minorHAnsi"/>
                <w:szCs w:val="22"/>
              </w:rPr>
              <w:t>Msr009</w:t>
            </w:r>
          </w:p>
        </w:tc>
        <w:tc>
          <w:tcPr>
            <w:tcW w:w="2880" w:type="dxa"/>
            <w:vAlign w:val="center"/>
          </w:tcPr>
          <w:p w14:paraId="7B3D4EC4" w14:textId="5DB73F0B" w:rsidR="00D125DC" w:rsidRPr="00F626AF" w:rsidRDefault="00D125DC" w:rsidP="00D125DC">
            <w:pPr>
              <w:rPr>
                <w:rFonts w:cstheme="minorHAnsi"/>
                <w:szCs w:val="22"/>
              </w:rPr>
            </w:pPr>
            <w:r w:rsidRPr="00B04CA2">
              <w:rPr>
                <w:rFonts w:cstheme="minorHAnsi"/>
                <w:color w:val="000000"/>
                <w:szCs w:val="22"/>
              </w:rPr>
              <w:t>SDG-LEDfixt140LPW-2x4-new</w:t>
            </w:r>
          </w:p>
        </w:tc>
        <w:tc>
          <w:tcPr>
            <w:tcW w:w="2880" w:type="dxa"/>
            <w:vAlign w:val="center"/>
          </w:tcPr>
          <w:p w14:paraId="7A03A31F" w14:textId="5ED91B43" w:rsidR="00D125DC" w:rsidRPr="00274A26" w:rsidRDefault="005935D0" w:rsidP="00D125DC">
            <w:pPr>
              <w:rPr>
                <w:rFonts w:cstheme="minorHAnsi"/>
                <w:color w:val="000000"/>
                <w:szCs w:val="22"/>
              </w:rPr>
            </w:pPr>
            <w:r w:rsidRPr="005935D0">
              <w:rPr>
                <w:rFonts w:cstheme="minorHAnsi"/>
                <w:color w:val="000000"/>
                <w:szCs w:val="22"/>
              </w:rPr>
              <w:t>SDG-LF-Troffer-Base-LEDMsr</w:t>
            </w:r>
          </w:p>
        </w:tc>
        <w:tc>
          <w:tcPr>
            <w:tcW w:w="1350" w:type="dxa"/>
          </w:tcPr>
          <w:p w14:paraId="02FC6AAB" w14:textId="762B3892" w:rsidR="00D125DC" w:rsidRPr="00274A26" w:rsidRDefault="00DA7858" w:rsidP="00D125DC">
            <w:pPr>
              <w:rPr>
                <w:rFonts w:cstheme="minorHAnsi"/>
                <w:color w:val="000000"/>
                <w:szCs w:val="22"/>
              </w:rPr>
            </w:pPr>
            <w:r>
              <w:rPr>
                <w:rFonts w:cstheme="minorHAnsi"/>
                <w:color w:val="000000"/>
                <w:szCs w:val="22"/>
              </w:rPr>
              <w:t>$6.45</w:t>
            </w:r>
          </w:p>
        </w:tc>
      </w:tr>
      <w:tr w:rsidR="00D125DC" w14:paraId="3B288445" w14:textId="571B0BB4" w:rsidTr="006F26EF">
        <w:tc>
          <w:tcPr>
            <w:tcW w:w="2095" w:type="dxa"/>
          </w:tcPr>
          <w:p w14:paraId="3D8341B4" w14:textId="1DEA7958" w:rsidR="00D125DC" w:rsidRPr="00F626AF" w:rsidRDefault="00D125DC" w:rsidP="00921746">
            <w:pPr>
              <w:jc w:val="center"/>
              <w:rPr>
                <w:rFonts w:cstheme="minorHAnsi"/>
                <w:szCs w:val="22"/>
              </w:rPr>
            </w:pPr>
            <w:r>
              <w:rPr>
                <w:rFonts w:cstheme="minorHAnsi"/>
                <w:szCs w:val="22"/>
              </w:rPr>
              <w:t>Msr010</w:t>
            </w:r>
          </w:p>
        </w:tc>
        <w:tc>
          <w:tcPr>
            <w:tcW w:w="2880" w:type="dxa"/>
            <w:vAlign w:val="center"/>
          </w:tcPr>
          <w:p w14:paraId="7CA09488" w14:textId="59FA8407" w:rsidR="00D125DC" w:rsidRPr="00F626AF" w:rsidRDefault="00D125DC" w:rsidP="00D125DC">
            <w:pPr>
              <w:rPr>
                <w:rFonts w:cstheme="minorHAnsi"/>
                <w:szCs w:val="22"/>
              </w:rPr>
            </w:pPr>
            <w:r w:rsidRPr="00B04CA2">
              <w:rPr>
                <w:rFonts w:cstheme="minorHAnsi"/>
                <w:color w:val="000000"/>
                <w:szCs w:val="22"/>
              </w:rPr>
              <w:t>SDG-LEDfixt140LPW-1x4-kit</w:t>
            </w:r>
          </w:p>
        </w:tc>
        <w:tc>
          <w:tcPr>
            <w:tcW w:w="2880" w:type="dxa"/>
            <w:vAlign w:val="center"/>
          </w:tcPr>
          <w:p w14:paraId="376F1294" w14:textId="2803C106" w:rsidR="00D125DC" w:rsidRPr="00274A26" w:rsidRDefault="005935D0" w:rsidP="00D125DC">
            <w:pPr>
              <w:rPr>
                <w:rFonts w:cstheme="minorHAnsi"/>
                <w:color w:val="000000"/>
                <w:szCs w:val="22"/>
              </w:rPr>
            </w:pPr>
            <w:r w:rsidRPr="005935D0">
              <w:rPr>
                <w:rFonts w:cstheme="minorHAnsi"/>
                <w:color w:val="000000"/>
                <w:szCs w:val="22"/>
              </w:rPr>
              <w:t>SDG-LF-Troffer-Base-LEDMsr</w:t>
            </w:r>
          </w:p>
        </w:tc>
        <w:tc>
          <w:tcPr>
            <w:tcW w:w="1350" w:type="dxa"/>
          </w:tcPr>
          <w:p w14:paraId="439CE244" w14:textId="7326284E" w:rsidR="00D125DC" w:rsidRPr="00274A26" w:rsidRDefault="00DA7858" w:rsidP="00D125DC">
            <w:pPr>
              <w:rPr>
                <w:rFonts w:cstheme="minorHAnsi"/>
                <w:color w:val="000000"/>
                <w:szCs w:val="22"/>
              </w:rPr>
            </w:pPr>
            <w:r>
              <w:rPr>
                <w:rFonts w:cstheme="minorHAnsi"/>
                <w:color w:val="000000"/>
                <w:szCs w:val="22"/>
              </w:rPr>
              <w:t>$6.45</w:t>
            </w:r>
          </w:p>
        </w:tc>
      </w:tr>
      <w:tr w:rsidR="00D125DC" w14:paraId="68181027" w14:textId="78E77A37" w:rsidTr="006F26EF">
        <w:tc>
          <w:tcPr>
            <w:tcW w:w="2095" w:type="dxa"/>
          </w:tcPr>
          <w:p w14:paraId="7982DCC0" w14:textId="2C462C56" w:rsidR="00D125DC" w:rsidRPr="00F626AF" w:rsidRDefault="00D125DC" w:rsidP="00921746">
            <w:pPr>
              <w:jc w:val="center"/>
              <w:rPr>
                <w:rFonts w:cstheme="minorHAnsi"/>
                <w:szCs w:val="22"/>
              </w:rPr>
            </w:pPr>
            <w:r>
              <w:rPr>
                <w:rFonts w:cstheme="minorHAnsi"/>
                <w:szCs w:val="22"/>
              </w:rPr>
              <w:t>Msr011</w:t>
            </w:r>
          </w:p>
        </w:tc>
        <w:tc>
          <w:tcPr>
            <w:tcW w:w="2880" w:type="dxa"/>
            <w:vAlign w:val="center"/>
          </w:tcPr>
          <w:p w14:paraId="2B6A6789" w14:textId="16DE933E" w:rsidR="00D125DC" w:rsidRPr="00F626AF" w:rsidRDefault="00D125DC" w:rsidP="00D125DC">
            <w:pPr>
              <w:rPr>
                <w:rFonts w:cstheme="minorHAnsi"/>
                <w:szCs w:val="22"/>
              </w:rPr>
            </w:pPr>
            <w:r w:rsidRPr="00B52183">
              <w:rPr>
                <w:rFonts w:cstheme="minorHAnsi"/>
                <w:color w:val="000000"/>
                <w:szCs w:val="22"/>
              </w:rPr>
              <w:t>SDG-LEDfixt140LPW-2x2-kit</w:t>
            </w:r>
          </w:p>
        </w:tc>
        <w:tc>
          <w:tcPr>
            <w:tcW w:w="2880" w:type="dxa"/>
            <w:vAlign w:val="center"/>
          </w:tcPr>
          <w:p w14:paraId="2C12CB90" w14:textId="12082FAF" w:rsidR="00D125DC" w:rsidRPr="00274A26" w:rsidRDefault="00B506F7" w:rsidP="00D125DC">
            <w:pPr>
              <w:rPr>
                <w:rFonts w:cstheme="minorHAnsi"/>
                <w:color w:val="000000"/>
                <w:szCs w:val="22"/>
              </w:rPr>
            </w:pPr>
            <w:r w:rsidRPr="00B506F7">
              <w:rPr>
                <w:rFonts w:cstheme="minorHAnsi"/>
                <w:color w:val="000000"/>
                <w:szCs w:val="22"/>
              </w:rPr>
              <w:t>SDG-LF-Troffer-Base-LEDMsr</w:t>
            </w:r>
          </w:p>
        </w:tc>
        <w:tc>
          <w:tcPr>
            <w:tcW w:w="1350" w:type="dxa"/>
          </w:tcPr>
          <w:p w14:paraId="634896B3" w14:textId="19E52E80" w:rsidR="00D125DC" w:rsidRPr="00274A26" w:rsidRDefault="00DA7858" w:rsidP="00D125DC">
            <w:pPr>
              <w:rPr>
                <w:rFonts w:cstheme="minorHAnsi"/>
                <w:color w:val="000000"/>
                <w:szCs w:val="22"/>
              </w:rPr>
            </w:pPr>
            <w:r>
              <w:rPr>
                <w:rFonts w:cstheme="minorHAnsi"/>
                <w:color w:val="000000"/>
                <w:szCs w:val="22"/>
              </w:rPr>
              <w:t>$6.45</w:t>
            </w:r>
          </w:p>
        </w:tc>
      </w:tr>
      <w:tr w:rsidR="00D125DC" w14:paraId="50B4570A" w14:textId="7D75DA16" w:rsidTr="006F26EF">
        <w:tc>
          <w:tcPr>
            <w:tcW w:w="2095" w:type="dxa"/>
          </w:tcPr>
          <w:p w14:paraId="7D5A2204" w14:textId="27AAF33B" w:rsidR="00D125DC" w:rsidRPr="00F626AF" w:rsidRDefault="00D125DC" w:rsidP="00921746">
            <w:pPr>
              <w:jc w:val="center"/>
              <w:rPr>
                <w:rFonts w:cstheme="minorHAnsi"/>
                <w:szCs w:val="22"/>
              </w:rPr>
            </w:pPr>
            <w:r>
              <w:rPr>
                <w:rFonts w:cstheme="minorHAnsi"/>
                <w:szCs w:val="22"/>
              </w:rPr>
              <w:t>Msr012</w:t>
            </w:r>
          </w:p>
        </w:tc>
        <w:tc>
          <w:tcPr>
            <w:tcW w:w="2880" w:type="dxa"/>
            <w:vAlign w:val="center"/>
          </w:tcPr>
          <w:p w14:paraId="7E3094E3" w14:textId="73C362F9" w:rsidR="00D125DC" w:rsidRPr="00F626AF" w:rsidRDefault="00D125DC" w:rsidP="00D125DC">
            <w:pPr>
              <w:rPr>
                <w:rFonts w:cstheme="minorHAnsi"/>
                <w:szCs w:val="22"/>
              </w:rPr>
            </w:pPr>
            <w:r w:rsidRPr="00B52183">
              <w:rPr>
                <w:rFonts w:cstheme="minorHAnsi"/>
                <w:color w:val="000000"/>
                <w:szCs w:val="22"/>
              </w:rPr>
              <w:t>SDG-LEDfixt140LPW-2x4-kit</w:t>
            </w:r>
          </w:p>
        </w:tc>
        <w:tc>
          <w:tcPr>
            <w:tcW w:w="2880" w:type="dxa"/>
            <w:vAlign w:val="center"/>
          </w:tcPr>
          <w:p w14:paraId="28CCB7CF" w14:textId="6223941E" w:rsidR="00D125DC" w:rsidRPr="00274A26" w:rsidRDefault="00B506F7" w:rsidP="00D125DC">
            <w:pPr>
              <w:rPr>
                <w:rFonts w:cstheme="minorHAnsi"/>
                <w:color w:val="000000"/>
                <w:szCs w:val="22"/>
              </w:rPr>
            </w:pPr>
            <w:r w:rsidRPr="00B506F7">
              <w:rPr>
                <w:rFonts w:cstheme="minorHAnsi"/>
                <w:color w:val="000000"/>
                <w:szCs w:val="22"/>
              </w:rPr>
              <w:t>SDG-LF-Troffer-Base-LEDMsr</w:t>
            </w:r>
          </w:p>
        </w:tc>
        <w:tc>
          <w:tcPr>
            <w:tcW w:w="1350" w:type="dxa"/>
          </w:tcPr>
          <w:p w14:paraId="2D3C7F52" w14:textId="0835A937" w:rsidR="00D125DC" w:rsidRPr="00274A26" w:rsidRDefault="00DA7858" w:rsidP="00D125DC">
            <w:pPr>
              <w:rPr>
                <w:rFonts w:cstheme="minorHAnsi"/>
                <w:color w:val="000000"/>
                <w:szCs w:val="22"/>
              </w:rPr>
            </w:pPr>
            <w:r>
              <w:rPr>
                <w:rFonts w:cstheme="minorHAnsi"/>
                <w:color w:val="000000"/>
                <w:szCs w:val="22"/>
              </w:rPr>
              <w:t>$6.45</w:t>
            </w:r>
          </w:p>
        </w:tc>
      </w:tr>
      <w:tr w:rsidR="00D125DC" w14:paraId="73443414" w14:textId="642E4966" w:rsidTr="006F26EF">
        <w:tc>
          <w:tcPr>
            <w:tcW w:w="2095" w:type="dxa"/>
          </w:tcPr>
          <w:p w14:paraId="2283A795" w14:textId="4DF8F3FA" w:rsidR="00D125DC" w:rsidRPr="00F626AF" w:rsidRDefault="00D125DC" w:rsidP="00921746">
            <w:pPr>
              <w:jc w:val="center"/>
              <w:rPr>
                <w:rFonts w:cstheme="minorHAnsi"/>
                <w:szCs w:val="22"/>
              </w:rPr>
            </w:pPr>
            <w:r>
              <w:rPr>
                <w:rFonts w:cstheme="minorHAnsi"/>
                <w:szCs w:val="22"/>
              </w:rPr>
              <w:t>Msr013</w:t>
            </w:r>
          </w:p>
        </w:tc>
        <w:tc>
          <w:tcPr>
            <w:tcW w:w="2880" w:type="dxa"/>
            <w:vAlign w:val="center"/>
          </w:tcPr>
          <w:p w14:paraId="7A5C45AE" w14:textId="29B8E62A" w:rsidR="00D125DC" w:rsidRPr="00F626AF" w:rsidRDefault="00D125DC" w:rsidP="00D125DC">
            <w:pPr>
              <w:rPr>
                <w:rFonts w:cstheme="minorHAnsi"/>
                <w:szCs w:val="22"/>
              </w:rPr>
            </w:pPr>
            <w:r w:rsidRPr="006C62B3">
              <w:rPr>
                <w:rFonts w:cstheme="minorHAnsi"/>
                <w:color w:val="000000"/>
                <w:szCs w:val="22"/>
              </w:rPr>
              <w:t>SDG-LEDfixt125LPW-2ft</w:t>
            </w:r>
          </w:p>
        </w:tc>
        <w:tc>
          <w:tcPr>
            <w:tcW w:w="2880" w:type="dxa"/>
            <w:vAlign w:val="center"/>
          </w:tcPr>
          <w:p w14:paraId="40EA301A" w14:textId="3A3A04C6" w:rsidR="00D125DC" w:rsidRPr="00274A26" w:rsidRDefault="00D125DC" w:rsidP="00D125DC">
            <w:pPr>
              <w:rPr>
                <w:rFonts w:cstheme="minorHAnsi"/>
                <w:color w:val="000000"/>
                <w:szCs w:val="22"/>
              </w:rPr>
            </w:pPr>
            <w:r w:rsidRPr="00D125DC">
              <w:rPr>
                <w:rFonts w:cstheme="minorHAnsi"/>
                <w:color w:val="000000"/>
                <w:szCs w:val="22"/>
              </w:rPr>
              <w:t>SDG-LFfixt-Base-LEDMsr</w:t>
            </w:r>
          </w:p>
        </w:tc>
        <w:tc>
          <w:tcPr>
            <w:tcW w:w="1350" w:type="dxa"/>
          </w:tcPr>
          <w:p w14:paraId="5EC2B275" w14:textId="721C9E92" w:rsidR="00D125DC" w:rsidRPr="00274A26" w:rsidRDefault="00EE36F3" w:rsidP="00D125DC">
            <w:pPr>
              <w:rPr>
                <w:rFonts w:cstheme="minorHAnsi"/>
                <w:color w:val="000000"/>
                <w:szCs w:val="22"/>
              </w:rPr>
            </w:pPr>
            <w:r>
              <w:rPr>
                <w:rFonts w:cstheme="minorHAnsi"/>
                <w:color w:val="000000"/>
                <w:szCs w:val="22"/>
              </w:rPr>
              <w:t>$6.51</w:t>
            </w:r>
          </w:p>
        </w:tc>
      </w:tr>
      <w:tr w:rsidR="00D125DC" w14:paraId="13B7FCBF" w14:textId="31EC97D0" w:rsidTr="006F26EF">
        <w:tc>
          <w:tcPr>
            <w:tcW w:w="2095" w:type="dxa"/>
          </w:tcPr>
          <w:p w14:paraId="02C12353" w14:textId="18D4EB90" w:rsidR="00D125DC" w:rsidRPr="00F626AF" w:rsidRDefault="00D125DC" w:rsidP="00921746">
            <w:pPr>
              <w:jc w:val="center"/>
              <w:rPr>
                <w:rFonts w:cstheme="minorHAnsi"/>
                <w:szCs w:val="22"/>
              </w:rPr>
            </w:pPr>
            <w:r>
              <w:rPr>
                <w:rFonts w:cstheme="minorHAnsi"/>
                <w:szCs w:val="22"/>
              </w:rPr>
              <w:lastRenderedPageBreak/>
              <w:t>Msr014</w:t>
            </w:r>
          </w:p>
        </w:tc>
        <w:tc>
          <w:tcPr>
            <w:tcW w:w="2880" w:type="dxa"/>
            <w:vAlign w:val="center"/>
          </w:tcPr>
          <w:p w14:paraId="1A8ECCEB" w14:textId="3562AEE7" w:rsidR="00D125DC" w:rsidRPr="00F626AF" w:rsidRDefault="00D125DC" w:rsidP="00D125DC">
            <w:pPr>
              <w:rPr>
                <w:rFonts w:cstheme="minorHAnsi"/>
                <w:szCs w:val="22"/>
              </w:rPr>
            </w:pPr>
            <w:r w:rsidRPr="009A4CFA">
              <w:rPr>
                <w:rFonts w:cstheme="minorHAnsi"/>
                <w:color w:val="000000"/>
                <w:szCs w:val="22"/>
              </w:rPr>
              <w:t>SDG-LEDfixt140LPW-2ft</w:t>
            </w:r>
          </w:p>
        </w:tc>
        <w:tc>
          <w:tcPr>
            <w:tcW w:w="2880" w:type="dxa"/>
            <w:vAlign w:val="center"/>
          </w:tcPr>
          <w:p w14:paraId="73580B57" w14:textId="11AB5D06" w:rsidR="00D125DC" w:rsidRPr="00274A26" w:rsidRDefault="00D125DC" w:rsidP="00D125DC">
            <w:pPr>
              <w:rPr>
                <w:rFonts w:cstheme="minorHAnsi"/>
                <w:color w:val="000000"/>
                <w:szCs w:val="22"/>
              </w:rPr>
            </w:pPr>
            <w:r w:rsidRPr="00D125DC">
              <w:rPr>
                <w:rFonts w:cstheme="minorHAnsi"/>
                <w:color w:val="000000"/>
                <w:szCs w:val="22"/>
              </w:rPr>
              <w:t>SDG-LFfixt-Base-LEDMsr</w:t>
            </w:r>
          </w:p>
        </w:tc>
        <w:tc>
          <w:tcPr>
            <w:tcW w:w="1350" w:type="dxa"/>
          </w:tcPr>
          <w:p w14:paraId="5C88E280" w14:textId="3C1DBB17" w:rsidR="00D125DC" w:rsidRPr="00274A26" w:rsidRDefault="00651A29" w:rsidP="00D125DC">
            <w:pPr>
              <w:rPr>
                <w:rFonts w:cstheme="minorHAnsi"/>
                <w:color w:val="000000"/>
                <w:szCs w:val="22"/>
              </w:rPr>
            </w:pPr>
            <w:r>
              <w:rPr>
                <w:rFonts w:cstheme="minorHAnsi"/>
                <w:color w:val="000000"/>
                <w:szCs w:val="22"/>
              </w:rPr>
              <w:t>$7.89</w:t>
            </w:r>
          </w:p>
        </w:tc>
      </w:tr>
      <w:tr w:rsidR="0007180E" w14:paraId="3FD282C8" w14:textId="3967DB4A" w:rsidTr="006F26EF">
        <w:tc>
          <w:tcPr>
            <w:tcW w:w="2095" w:type="dxa"/>
          </w:tcPr>
          <w:p w14:paraId="2D1E0032" w14:textId="149D707F" w:rsidR="0007180E" w:rsidRPr="00F626AF" w:rsidRDefault="0007180E" w:rsidP="00921746">
            <w:pPr>
              <w:jc w:val="center"/>
              <w:rPr>
                <w:rFonts w:cstheme="minorHAnsi"/>
                <w:szCs w:val="22"/>
              </w:rPr>
            </w:pPr>
            <w:r>
              <w:rPr>
                <w:rFonts w:cstheme="minorHAnsi"/>
                <w:szCs w:val="22"/>
              </w:rPr>
              <w:t>Msr015</w:t>
            </w:r>
          </w:p>
        </w:tc>
        <w:tc>
          <w:tcPr>
            <w:tcW w:w="2880" w:type="dxa"/>
            <w:vAlign w:val="center"/>
          </w:tcPr>
          <w:p w14:paraId="1467F3D8" w14:textId="25DC9EFF" w:rsidR="0007180E" w:rsidRPr="00F626AF" w:rsidRDefault="0007180E" w:rsidP="0007180E">
            <w:pPr>
              <w:rPr>
                <w:rFonts w:cstheme="minorHAnsi"/>
                <w:szCs w:val="22"/>
              </w:rPr>
            </w:pPr>
            <w:r w:rsidRPr="009A4CFA">
              <w:rPr>
                <w:rFonts w:cstheme="minorHAnsi"/>
                <w:color w:val="000000"/>
                <w:szCs w:val="22"/>
              </w:rPr>
              <w:t>SDG-LEDfixt125LPW-4ft</w:t>
            </w:r>
          </w:p>
        </w:tc>
        <w:tc>
          <w:tcPr>
            <w:tcW w:w="2880" w:type="dxa"/>
            <w:vAlign w:val="center"/>
          </w:tcPr>
          <w:p w14:paraId="730271BE" w14:textId="24EF3F2A" w:rsidR="0007180E" w:rsidRPr="00274A26" w:rsidRDefault="0007180E" w:rsidP="0007180E">
            <w:pPr>
              <w:rPr>
                <w:rFonts w:cstheme="minorHAnsi"/>
                <w:color w:val="000000"/>
                <w:szCs w:val="22"/>
              </w:rPr>
            </w:pPr>
            <w:r w:rsidRPr="00D125DC">
              <w:rPr>
                <w:rFonts w:cstheme="minorHAnsi"/>
                <w:color w:val="000000"/>
                <w:szCs w:val="22"/>
              </w:rPr>
              <w:t>SDG-LFfixt-Base-LEDMsr</w:t>
            </w:r>
          </w:p>
        </w:tc>
        <w:tc>
          <w:tcPr>
            <w:tcW w:w="1350" w:type="dxa"/>
          </w:tcPr>
          <w:p w14:paraId="6054821E" w14:textId="50A2CCA4" w:rsidR="0007180E" w:rsidRPr="00274A26" w:rsidRDefault="0007180E" w:rsidP="0007180E">
            <w:pPr>
              <w:rPr>
                <w:rFonts w:cstheme="minorHAnsi"/>
                <w:color w:val="000000"/>
                <w:szCs w:val="22"/>
              </w:rPr>
            </w:pPr>
            <w:r>
              <w:rPr>
                <w:rFonts w:cstheme="minorHAnsi"/>
                <w:color w:val="000000"/>
                <w:szCs w:val="22"/>
              </w:rPr>
              <w:t>$6.51</w:t>
            </w:r>
          </w:p>
        </w:tc>
      </w:tr>
      <w:tr w:rsidR="0007180E" w14:paraId="3E852B4C" w14:textId="16A148B4" w:rsidTr="006F26EF">
        <w:tc>
          <w:tcPr>
            <w:tcW w:w="2095" w:type="dxa"/>
          </w:tcPr>
          <w:p w14:paraId="1D377A38" w14:textId="26331DCA" w:rsidR="0007180E" w:rsidRPr="00F626AF" w:rsidRDefault="0007180E" w:rsidP="00921746">
            <w:pPr>
              <w:jc w:val="center"/>
              <w:rPr>
                <w:rFonts w:cstheme="minorHAnsi"/>
                <w:szCs w:val="22"/>
              </w:rPr>
            </w:pPr>
            <w:r>
              <w:rPr>
                <w:rFonts w:cstheme="minorHAnsi"/>
                <w:szCs w:val="22"/>
              </w:rPr>
              <w:t>Msr016</w:t>
            </w:r>
          </w:p>
        </w:tc>
        <w:tc>
          <w:tcPr>
            <w:tcW w:w="2880" w:type="dxa"/>
            <w:vAlign w:val="center"/>
          </w:tcPr>
          <w:p w14:paraId="09EFF6C5" w14:textId="1BCC76A1" w:rsidR="0007180E" w:rsidRPr="00F626AF" w:rsidRDefault="0007180E" w:rsidP="0007180E">
            <w:pPr>
              <w:rPr>
                <w:rFonts w:cstheme="minorHAnsi"/>
                <w:szCs w:val="22"/>
              </w:rPr>
            </w:pPr>
            <w:r w:rsidRPr="009A4CFA">
              <w:rPr>
                <w:rFonts w:cstheme="minorHAnsi"/>
                <w:color w:val="000000"/>
                <w:szCs w:val="22"/>
              </w:rPr>
              <w:t>SDG-LEDfixt140LPW-4ft</w:t>
            </w:r>
          </w:p>
        </w:tc>
        <w:tc>
          <w:tcPr>
            <w:tcW w:w="2880" w:type="dxa"/>
            <w:vAlign w:val="center"/>
          </w:tcPr>
          <w:p w14:paraId="55DA9B50" w14:textId="3D7265C1" w:rsidR="0007180E" w:rsidRPr="00274A26" w:rsidRDefault="0007180E" w:rsidP="0007180E">
            <w:pPr>
              <w:rPr>
                <w:rFonts w:cstheme="minorHAnsi"/>
                <w:color w:val="000000"/>
                <w:szCs w:val="22"/>
              </w:rPr>
            </w:pPr>
            <w:r w:rsidRPr="00D125DC">
              <w:rPr>
                <w:rFonts w:cstheme="minorHAnsi"/>
                <w:color w:val="000000"/>
                <w:szCs w:val="22"/>
              </w:rPr>
              <w:t>SDG-LFfixt-Base-LEDMsr</w:t>
            </w:r>
          </w:p>
        </w:tc>
        <w:tc>
          <w:tcPr>
            <w:tcW w:w="1350" w:type="dxa"/>
          </w:tcPr>
          <w:p w14:paraId="446EEF8A" w14:textId="10919D6D" w:rsidR="0007180E" w:rsidRPr="00274A26" w:rsidRDefault="0007180E" w:rsidP="0007180E">
            <w:pPr>
              <w:rPr>
                <w:rFonts w:cstheme="minorHAnsi"/>
                <w:color w:val="000000"/>
                <w:szCs w:val="22"/>
              </w:rPr>
            </w:pPr>
            <w:r>
              <w:rPr>
                <w:rFonts w:cstheme="minorHAnsi"/>
                <w:color w:val="000000"/>
                <w:szCs w:val="22"/>
              </w:rPr>
              <w:t>$7.89</w:t>
            </w:r>
          </w:p>
        </w:tc>
      </w:tr>
      <w:tr w:rsidR="0007180E" w14:paraId="4D3A8120" w14:textId="33BE5C32" w:rsidTr="006F26EF">
        <w:tc>
          <w:tcPr>
            <w:tcW w:w="2095" w:type="dxa"/>
          </w:tcPr>
          <w:p w14:paraId="4245333A" w14:textId="0FF8F7CF" w:rsidR="0007180E" w:rsidRPr="00F626AF" w:rsidRDefault="0007180E" w:rsidP="00921746">
            <w:pPr>
              <w:jc w:val="center"/>
              <w:rPr>
                <w:rFonts w:cstheme="minorHAnsi"/>
                <w:szCs w:val="22"/>
              </w:rPr>
            </w:pPr>
            <w:r>
              <w:rPr>
                <w:rFonts w:cstheme="minorHAnsi"/>
                <w:szCs w:val="22"/>
              </w:rPr>
              <w:t>Msr017</w:t>
            </w:r>
          </w:p>
        </w:tc>
        <w:tc>
          <w:tcPr>
            <w:tcW w:w="2880" w:type="dxa"/>
            <w:vAlign w:val="center"/>
          </w:tcPr>
          <w:p w14:paraId="133EFFB7" w14:textId="0DEFB7BD" w:rsidR="0007180E" w:rsidRPr="00F626AF" w:rsidRDefault="0007180E" w:rsidP="0007180E">
            <w:pPr>
              <w:rPr>
                <w:rFonts w:cstheme="minorHAnsi"/>
                <w:szCs w:val="22"/>
              </w:rPr>
            </w:pPr>
            <w:r w:rsidRPr="009925A2">
              <w:rPr>
                <w:rFonts w:cstheme="minorHAnsi"/>
                <w:color w:val="000000"/>
                <w:szCs w:val="22"/>
              </w:rPr>
              <w:t>SDG-LEDfixt125LPW-8ft</w:t>
            </w:r>
          </w:p>
        </w:tc>
        <w:tc>
          <w:tcPr>
            <w:tcW w:w="2880" w:type="dxa"/>
            <w:vAlign w:val="center"/>
          </w:tcPr>
          <w:p w14:paraId="72E4C3DA" w14:textId="25E642BA" w:rsidR="0007180E" w:rsidRPr="00274A26" w:rsidRDefault="0007180E" w:rsidP="0007180E">
            <w:pPr>
              <w:rPr>
                <w:rFonts w:cstheme="minorHAnsi"/>
                <w:color w:val="000000"/>
                <w:szCs w:val="22"/>
              </w:rPr>
            </w:pPr>
            <w:r w:rsidRPr="00D125DC">
              <w:rPr>
                <w:rFonts w:cstheme="minorHAnsi"/>
                <w:color w:val="000000"/>
                <w:szCs w:val="22"/>
              </w:rPr>
              <w:t>SDG-LFfixt-Base-LEDMsr</w:t>
            </w:r>
          </w:p>
        </w:tc>
        <w:tc>
          <w:tcPr>
            <w:tcW w:w="1350" w:type="dxa"/>
          </w:tcPr>
          <w:p w14:paraId="28E3C92D" w14:textId="2135F823" w:rsidR="0007180E" w:rsidRPr="00274A26" w:rsidRDefault="0007180E" w:rsidP="0007180E">
            <w:pPr>
              <w:rPr>
                <w:rFonts w:cstheme="minorHAnsi"/>
                <w:color w:val="000000"/>
                <w:szCs w:val="22"/>
              </w:rPr>
            </w:pPr>
            <w:r>
              <w:rPr>
                <w:rFonts w:cstheme="minorHAnsi"/>
                <w:color w:val="000000"/>
                <w:szCs w:val="22"/>
              </w:rPr>
              <w:t>$6.51</w:t>
            </w:r>
          </w:p>
        </w:tc>
      </w:tr>
      <w:tr w:rsidR="0007180E" w14:paraId="74BEF7EC" w14:textId="1025759D" w:rsidTr="006F26EF">
        <w:tc>
          <w:tcPr>
            <w:tcW w:w="2095" w:type="dxa"/>
          </w:tcPr>
          <w:p w14:paraId="47DA4A89" w14:textId="5D478834" w:rsidR="0007180E" w:rsidRPr="00F626AF" w:rsidRDefault="0007180E" w:rsidP="00921746">
            <w:pPr>
              <w:jc w:val="center"/>
              <w:rPr>
                <w:rFonts w:cstheme="minorHAnsi"/>
                <w:szCs w:val="22"/>
              </w:rPr>
            </w:pPr>
            <w:r>
              <w:rPr>
                <w:rFonts w:cstheme="minorHAnsi"/>
                <w:szCs w:val="22"/>
              </w:rPr>
              <w:t>Msr018</w:t>
            </w:r>
          </w:p>
        </w:tc>
        <w:tc>
          <w:tcPr>
            <w:tcW w:w="2880" w:type="dxa"/>
            <w:vAlign w:val="center"/>
          </w:tcPr>
          <w:p w14:paraId="58787713" w14:textId="40687872" w:rsidR="0007180E" w:rsidRPr="00F626AF" w:rsidRDefault="0007180E" w:rsidP="0007180E">
            <w:pPr>
              <w:rPr>
                <w:rFonts w:cstheme="minorHAnsi"/>
                <w:szCs w:val="22"/>
              </w:rPr>
            </w:pPr>
            <w:r w:rsidRPr="009925A2">
              <w:rPr>
                <w:rFonts w:cstheme="minorHAnsi"/>
                <w:color w:val="000000"/>
                <w:szCs w:val="22"/>
              </w:rPr>
              <w:t>SDG-LEDfixt140LPW-8ft</w:t>
            </w:r>
          </w:p>
        </w:tc>
        <w:tc>
          <w:tcPr>
            <w:tcW w:w="2880" w:type="dxa"/>
            <w:vAlign w:val="center"/>
          </w:tcPr>
          <w:p w14:paraId="207CF490" w14:textId="52CD3FAA" w:rsidR="0007180E" w:rsidRPr="00274A26" w:rsidRDefault="0007180E" w:rsidP="0007180E">
            <w:pPr>
              <w:rPr>
                <w:rFonts w:cstheme="minorHAnsi"/>
                <w:color w:val="000000"/>
                <w:szCs w:val="22"/>
              </w:rPr>
            </w:pPr>
            <w:r w:rsidRPr="00D125DC">
              <w:rPr>
                <w:rFonts w:cstheme="minorHAnsi"/>
                <w:color w:val="000000"/>
                <w:szCs w:val="22"/>
              </w:rPr>
              <w:t>SDG-LFfixt-Base-LEDMsr</w:t>
            </w:r>
          </w:p>
        </w:tc>
        <w:tc>
          <w:tcPr>
            <w:tcW w:w="1350" w:type="dxa"/>
          </w:tcPr>
          <w:p w14:paraId="081DC6FB" w14:textId="2E7D16A1" w:rsidR="0007180E" w:rsidRPr="00274A26" w:rsidRDefault="0007180E" w:rsidP="0007180E">
            <w:pPr>
              <w:rPr>
                <w:rFonts w:cstheme="minorHAnsi"/>
                <w:color w:val="000000"/>
                <w:szCs w:val="22"/>
              </w:rPr>
            </w:pPr>
            <w:r>
              <w:rPr>
                <w:rFonts w:cstheme="minorHAnsi"/>
                <w:color w:val="000000"/>
                <w:szCs w:val="22"/>
              </w:rPr>
              <w:t>$7.89</w:t>
            </w:r>
          </w:p>
        </w:tc>
      </w:tr>
      <w:tr w:rsidR="0007180E" w14:paraId="2BE66765" w14:textId="62D52C54" w:rsidTr="006F26EF">
        <w:tc>
          <w:tcPr>
            <w:tcW w:w="2095" w:type="dxa"/>
          </w:tcPr>
          <w:p w14:paraId="23AA2172" w14:textId="1C412216" w:rsidR="0007180E" w:rsidRPr="00F626AF" w:rsidRDefault="0007180E" w:rsidP="00921746">
            <w:pPr>
              <w:jc w:val="center"/>
              <w:rPr>
                <w:rFonts w:cstheme="minorHAnsi"/>
                <w:szCs w:val="22"/>
              </w:rPr>
            </w:pPr>
            <w:r>
              <w:rPr>
                <w:rFonts w:cstheme="minorHAnsi"/>
                <w:szCs w:val="22"/>
              </w:rPr>
              <w:t>Msr019</w:t>
            </w:r>
          </w:p>
        </w:tc>
        <w:tc>
          <w:tcPr>
            <w:tcW w:w="2880" w:type="dxa"/>
            <w:vAlign w:val="center"/>
          </w:tcPr>
          <w:p w14:paraId="5D3A211A" w14:textId="02E17C64" w:rsidR="0007180E" w:rsidRPr="00F626AF" w:rsidRDefault="0007180E" w:rsidP="0007180E">
            <w:pPr>
              <w:rPr>
                <w:rFonts w:cstheme="minorHAnsi"/>
                <w:szCs w:val="22"/>
              </w:rPr>
            </w:pPr>
            <w:r w:rsidRPr="006C62B3">
              <w:rPr>
                <w:rFonts w:cstheme="minorHAnsi"/>
                <w:color w:val="000000"/>
                <w:szCs w:val="22"/>
              </w:rPr>
              <w:t>SDG-LEDfixt125LPW-2ft</w:t>
            </w:r>
          </w:p>
        </w:tc>
        <w:tc>
          <w:tcPr>
            <w:tcW w:w="2880" w:type="dxa"/>
            <w:vAlign w:val="center"/>
          </w:tcPr>
          <w:p w14:paraId="1A14D2C4" w14:textId="059613EF" w:rsidR="0007180E" w:rsidRPr="00274A26" w:rsidRDefault="0007180E" w:rsidP="0007180E">
            <w:pPr>
              <w:rPr>
                <w:rFonts w:cstheme="minorHAnsi"/>
                <w:color w:val="000000"/>
                <w:szCs w:val="22"/>
              </w:rPr>
            </w:pPr>
            <w:r w:rsidRPr="00D125DC">
              <w:rPr>
                <w:rFonts w:cstheme="minorHAnsi"/>
                <w:color w:val="000000"/>
                <w:szCs w:val="22"/>
              </w:rPr>
              <w:t>SDG-LFfixt-Base-LEDMsr</w:t>
            </w:r>
          </w:p>
        </w:tc>
        <w:tc>
          <w:tcPr>
            <w:tcW w:w="1350" w:type="dxa"/>
          </w:tcPr>
          <w:p w14:paraId="271290D9" w14:textId="3FAA6486" w:rsidR="0007180E" w:rsidRPr="00274A26" w:rsidRDefault="0007180E" w:rsidP="0007180E">
            <w:pPr>
              <w:rPr>
                <w:rFonts w:cstheme="minorHAnsi"/>
                <w:color w:val="000000"/>
                <w:szCs w:val="22"/>
              </w:rPr>
            </w:pPr>
            <w:r>
              <w:rPr>
                <w:rFonts w:cstheme="minorHAnsi"/>
                <w:color w:val="000000"/>
                <w:szCs w:val="22"/>
              </w:rPr>
              <w:t>$6.51</w:t>
            </w:r>
          </w:p>
        </w:tc>
      </w:tr>
      <w:tr w:rsidR="0007180E" w14:paraId="0D1FC7FF" w14:textId="25E72185" w:rsidTr="006F26EF">
        <w:tc>
          <w:tcPr>
            <w:tcW w:w="2095" w:type="dxa"/>
          </w:tcPr>
          <w:p w14:paraId="582B9BF7" w14:textId="237ADD0B" w:rsidR="0007180E" w:rsidRPr="00F626AF" w:rsidRDefault="0007180E" w:rsidP="00921746">
            <w:pPr>
              <w:jc w:val="center"/>
              <w:rPr>
                <w:rFonts w:cstheme="minorHAnsi"/>
                <w:szCs w:val="22"/>
              </w:rPr>
            </w:pPr>
            <w:r>
              <w:rPr>
                <w:rFonts w:cstheme="minorHAnsi"/>
                <w:szCs w:val="22"/>
              </w:rPr>
              <w:t>Msr020</w:t>
            </w:r>
          </w:p>
        </w:tc>
        <w:tc>
          <w:tcPr>
            <w:tcW w:w="2880" w:type="dxa"/>
            <w:vAlign w:val="center"/>
          </w:tcPr>
          <w:p w14:paraId="41195E64" w14:textId="1F6DCD0A" w:rsidR="0007180E" w:rsidRPr="00F626AF" w:rsidRDefault="0007180E" w:rsidP="0007180E">
            <w:pPr>
              <w:rPr>
                <w:rFonts w:cstheme="minorHAnsi"/>
                <w:szCs w:val="22"/>
              </w:rPr>
            </w:pPr>
            <w:r w:rsidRPr="009A4CFA">
              <w:rPr>
                <w:rFonts w:cstheme="minorHAnsi"/>
                <w:color w:val="000000"/>
                <w:szCs w:val="22"/>
              </w:rPr>
              <w:t>SDG-LEDfixt140LPW-2ft</w:t>
            </w:r>
          </w:p>
        </w:tc>
        <w:tc>
          <w:tcPr>
            <w:tcW w:w="2880" w:type="dxa"/>
            <w:vAlign w:val="center"/>
          </w:tcPr>
          <w:p w14:paraId="0546EDDC" w14:textId="23646308" w:rsidR="0007180E" w:rsidRPr="00274A26" w:rsidRDefault="0007180E" w:rsidP="0007180E">
            <w:pPr>
              <w:rPr>
                <w:rFonts w:cstheme="minorHAnsi"/>
                <w:color w:val="000000"/>
                <w:szCs w:val="22"/>
              </w:rPr>
            </w:pPr>
            <w:r w:rsidRPr="00D125DC">
              <w:rPr>
                <w:rFonts w:cstheme="minorHAnsi"/>
                <w:color w:val="000000"/>
                <w:szCs w:val="22"/>
              </w:rPr>
              <w:t>SDG-LFfixt-Base-LEDMsr</w:t>
            </w:r>
          </w:p>
        </w:tc>
        <w:tc>
          <w:tcPr>
            <w:tcW w:w="1350" w:type="dxa"/>
          </w:tcPr>
          <w:p w14:paraId="2EFDA90F" w14:textId="06DF45D2" w:rsidR="0007180E" w:rsidRPr="00274A26" w:rsidRDefault="0007180E" w:rsidP="0007180E">
            <w:pPr>
              <w:rPr>
                <w:rFonts w:cstheme="minorHAnsi"/>
                <w:color w:val="000000"/>
                <w:szCs w:val="22"/>
              </w:rPr>
            </w:pPr>
            <w:r>
              <w:rPr>
                <w:rFonts w:cstheme="minorHAnsi"/>
                <w:color w:val="000000"/>
                <w:szCs w:val="22"/>
              </w:rPr>
              <w:t>$7.89</w:t>
            </w:r>
          </w:p>
        </w:tc>
      </w:tr>
      <w:tr w:rsidR="0007180E" w14:paraId="2F9CCB54" w14:textId="0E57D959" w:rsidTr="006F26EF">
        <w:tc>
          <w:tcPr>
            <w:tcW w:w="2095" w:type="dxa"/>
          </w:tcPr>
          <w:p w14:paraId="6F6BADCE" w14:textId="3B7EB49B" w:rsidR="0007180E" w:rsidRPr="00F626AF" w:rsidRDefault="0007180E" w:rsidP="00921746">
            <w:pPr>
              <w:jc w:val="center"/>
              <w:rPr>
                <w:rFonts w:cstheme="minorHAnsi"/>
                <w:szCs w:val="22"/>
              </w:rPr>
            </w:pPr>
            <w:r>
              <w:rPr>
                <w:rFonts w:cstheme="minorHAnsi"/>
                <w:szCs w:val="22"/>
              </w:rPr>
              <w:t>Msr021</w:t>
            </w:r>
          </w:p>
        </w:tc>
        <w:tc>
          <w:tcPr>
            <w:tcW w:w="2880" w:type="dxa"/>
            <w:vAlign w:val="center"/>
          </w:tcPr>
          <w:p w14:paraId="17484886" w14:textId="525FC1C4" w:rsidR="0007180E" w:rsidRPr="00F626AF" w:rsidRDefault="0007180E" w:rsidP="0007180E">
            <w:pPr>
              <w:rPr>
                <w:rFonts w:cstheme="minorHAnsi"/>
                <w:szCs w:val="22"/>
              </w:rPr>
            </w:pPr>
            <w:r w:rsidRPr="009A4CFA">
              <w:rPr>
                <w:rFonts w:cstheme="minorHAnsi"/>
                <w:color w:val="000000"/>
                <w:szCs w:val="22"/>
              </w:rPr>
              <w:t>SDG-LEDfixt125LPW-4ft</w:t>
            </w:r>
          </w:p>
        </w:tc>
        <w:tc>
          <w:tcPr>
            <w:tcW w:w="2880" w:type="dxa"/>
            <w:vAlign w:val="center"/>
          </w:tcPr>
          <w:p w14:paraId="4B12E9B6" w14:textId="3B1EE04D" w:rsidR="0007180E" w:rsidRPr="00274A26" w:rsidRDefault="0007180E" w:rsidP="0007180E">
            <w:pPr>
              <w:rPr>
                <w:rFonts w:cstheme="minorHAnsi"/>
                <w:color w:val="000000"/>
                <w:szCs w:val="22"/>
              </w:rPr>
            </w:pPr>
            <w:r w:rsidRPr="00D125DC">
              <w:rPr>
                <w:rFonts w:cstheme="minorHAnsi"/>
                <w:color w:val="000000"/>
                <w:szCs w:val="22"/>
              </w:rPr>
              <w:t>SDG-LFfixt-Base-LEDMsr</w:t>
            </w:r>
          </w:p>
        </w:tc>
        <w:tc>
          <w:tcPr>
            <w:tcW w:w="1350" w:type="dxa"/>
          </w:tcPr>
          <w:p w14:paraId="5B39E10E" w14:textId="17213D1F" w:rsidR="0007180E" w:rsidRPr="00274A26" w:rsidRDefault="0007180E" w:rsidP="0007180E">
            <w:pPr>
              <w:rPr>
                <w:rFonts w:cstheme="minorHAnsi"/>
                <w:color w:val="000000"/>
                <w:szCs w:val="22"/>
              </w:rPr>
            </w:pPr>
            <w:r>
              <w:rPr>
                <w:rFonts w:cstheme="minorHAnsi"/>
                <w:color w:val="000000"/>
                <w:szCs w:val="22"/>
              </w:rPr>
              <w:t>$6.51</w:t>
            </w:r>
          </w:p>
        </w:tc>
      </w:tr>
      <w:tr w:rsidR="0007180E" w14:paraId="28621D9F" w14:textId="0FEEB3BB" w:rsidTr="006F26EF">
        <w:tc>
          <w:tcPr>
            <w:tcW w:w="2095" w:type="dxa"/>
          </w:tcPr>
          <w:p w14:paraId="2C711727" w14:textId="4DC139C8" w:rsidR="0007180E" w:rsidRPr="00F626AF" w:rsidRDefault="0007180E" w:rsidP="00921746">
            <w:pPr>
              <w:jc w:val="center"/>
              <w:rPr>
                <w:rFonts w:cstheme="minorHAnsi"/>
                <w:szCs w:val="22"/>
              </w:rPr>
            </w:pPr>
            <w:r>
              <w:rPr>
                <w:rFonts w:cstheme="minorHAnsi"/>
                <w:szCs w:val="22"/>
              </w:rPr>
              <w:t>Msr022</w:t>
            </w:r>
          </w:p>
        </w:tc>
        <w:tc>
          <w:tcPr>
            <w:tcW w:w="2880" w:type="dxa"/>
            <w:vAlign w:val="center"/>
          </w:tcPr>
          <w:p w14:paraId="2D3111AF" w14:textId="3E995179" w:rsidR="0007180E" w:rsidRPr="00F626AF" w:rsidRDefault="0007180E" w:rsidP="0007180E">
            <w:pPr>
              <w:rPr>
                <w:rFonts w:cstheme="minorHAnsi"/>
                <w:szCs w:val="22"/>
              </w:rPr>
            </w:pPr>
            <w:r w:rsidRPr="009A4CFA">
              <w:rPr>
                <w:rFonts w:cstheme="minorHAnsi"/>
                <w:color w:val="000000"/>
                <w:szCs w:val="22"/>
              </w:rPr>
              <w:t>SDG-LEDfixt140LPW-4ft</w:t>
            </w:r>
          </w:p>
        </w:tc>
        <w:tc>
          <w:tcPr>
            <w:tcW w:w="2880" w:type="dxa"/>
            <w:vAlign w:val="center"/>
          </w:tcPr>
          <w:p w14:paraId="4E803AF1" w14:textId="00AF2B7D" w:rsidR="0007180E" w:rsidRPr="00274A26" w:rsidRDefault="0007180E" w:rsidP="0007180E">
            <w:pPr>
              <w:rPr>
                <w:rFonts w:cstheme="minorHAnsi"/>
                <w:color w:val="000000"/>
                <w:szCs w:val="22"/>
              </w:rPr>
            </w:pPr>
            <w:r w:rsidRPr="00D125DC">
              <w:rPr>
                <w:rFonts w:cstheme="minorHAnsi"/>
                <w:color w:val="000000"/>
                <w:szCs w:val="22"/>
              </w:rPr>
              <w:t>SDG-LFfixt-Base-LEDMsr</w:t>
            </w:r>
          </w:p>
        </w:tc>
        <w:tc>
          <w:tcPr>
            <w:tcW w:w="1350" w:type="dxa"/>
          </w:tcPr>
          <w:p w14:paraId="5371BBC3" w14:textId="71327F1D" w:rsidR="0007180E" w:rsidRPr="00274A26" w:rsidRDefault="0007180E" w:rsidP="0007180E">
            <w:pPr>
              <w:rPr>
                <w:rFonts w:cstheme="minorHAnsi"/>
                <w:color w:val="000000"/>
                <w:szCs w:val="22"/>
              </w:rPr>
            </w:pPr>
            <w:r>
              <w:rPr>
                <w:rFonts w:cstheme="minorHAnsi"/>
                <w:color w:val="000000"/>
                <w:szCs w:val="22"/>
              </w:rPr>
              <w:t>$7.89</w:t>
            </w:r>
          </w:p>
        </w:tc>
      </w:tr>
      <w:tr w:rsidR="0007180E" w14:paraId="1F56214D" w14:textId="0BC79915" w:rsidTr="006F26EF">
        <w:tc>
          <w:tcPr>
            <w:tcW w:w="2095" w:type="dxa"/>
          </w:tcPr>
          <w:p w14:paraId="054125C5" w14:textId="5CA74598" w:rsidR="0007180E" w:rsidRPr="00F626AF" w:rsidRDefault="0007180E" w:rsidP="00921746">
            <w:pPr>
              <w:jc w:val="center"/>
              <w:rPr>
                <w:rFonts w:cstheme="minorHAnsi"/>
                <w:szCs w:val="22"/>
              </w:rPr>
            </w:pPr>
            <w:r>
              <w:rPr>
                <w:rFonts w:cstheme="minorHAnsi"/>
                <w:szCs w:val="22"/>
              </w:rPr>
              <w:t>Msr023</w:t>
            </w:r>
          </w:p>
        </w:tc>
        <w:tc>
          <w:tcPr>
            <w:tcW w:w="2880" w:type="dxa"/>
            <w:vAlign w:val="center"/>
          </w:tcPr>
          <w:p w14:paraId="57173015" w14:textId="1AD75D8F" w:rsidR="0007180E" w:rsidRPr="00F626AF" w:rsidRDefault="0007180E" w:rsidP="0007180E">
            <w:pPr>
              <w:rPr>
                <w:rFonts w:cstheme="minorHAnsi"/>
                <w:szCs w:val="22"/>
              </w:rPr>
            </w:pPr>
            <w:r w:rsidRPr="009925A2">
              <w:rPr>
                <w:rFonts w:cstheme="minorHAnsi"/>
                <w:color w:val="000000"/>
                <w:szCs w:val="22"/>
              </w:rPr>
              <w:t>SDG-LEDfixt125LPW-8ft</w:t>
            </w:r>
          </w:p>
        </w:tc>
        <w:tc>
          <w:tcPr>
            <w:tcW w:w="2880" w:type="dxa"/>
            <w:vAlign w:val="center"/>
          </w:tcPr>
          <w:p w14:paraId="2F9C6EDF" w14:textId="4F3D8AFF" w:rsidR="0007180E" w:rsidRPr="00274A26" w:rsidRDefault="0007180E" w:rsidP="0007180E">
            <w:pPr>
              <w:rPr>
                <w:rFonts w:cstheme="minorHAnsi"/>
                <w:color w:val="000000"/>
                <w:szCs w:val="22"/>
              </w:rPr>
            </w:pPr>
            <w:r w:rsidRPr="00D125DC">
              <w:rPr>
                <w:rFonts w:cstheme="minorHAnsi"/>
                <w:color w:val="000000"/>
                <w:szCs w:val="22"/>
              </w:rPr>
              <w:t>SDG-LFfixt-Base-LEDMsr</w:t>
            </w:r>
          </w:p>
        </w:tc>
        <w:tc>
          <w:tcPr>
            <w:tcW w:w="1350" w:type="dxa"/>
          </w:tcPr>
          <w:p w14:paraId="03487A8C" w14:textId="05A71D11" w:rsidR="0007180E" w:rsidRPr="00274A26" w:rsidRDefault="0007180E" w:rsidP="0007180E">
            <w:pPr>
              <w:rPr>
                <w:rFonts w:cstheme="minorHAnsi"/>
                <w:color w:val="000000"/>
                <w:szCs w:val="22"/>
              </w:rPr>
            </w:pPr>
            <w:r>
              <w:rPr>
                <w:rFonts w:cstheme="minorHAnsi"/>
                <w:color w:val="000000"/>
                <w:szCs w:val="22"/>
              </w:rPr>
              <w:t>$6.51</w:t>
            </w:r>
          </w:p>
        </w:tc>
      </w:tr>
      <w:tr w:rsidR="0007180E" w14:paraId="25DDDCB7" w14:textId="245992CB" w:rsidTr="006F26EF">
        <w:tc>
          <w:tcPr>
            <w:tcW w:w="2095" w:type="dxa"/>
          </w:tcPr>
          <w:p w14:paraId="39B0421C" w14:textId="51CE466E" w:rsidR="0007180E" w:rsidRPr="00F626AF" w:rsidRDefault="0007180E" w:rsidP="00921746">
            <w:pPr>
              <w:jc w:val="center"/>
              <w:rPr>
                <w:rFonts w:cstheme="minorHAnsi"/>
                <w:szCs w:val="22"/>
              </w:rPr>
            </w:pPr>
            <w:r>
              <w:rPr>
                <w:rFonts w:cstheme="minorHAnsi"/>
                <w:szCs w:val="22"/>
              </w:rPr>
              <w:t>Msr024</w:t>
            </w:r>
          </w:p>
        </w:tc>
        <w:tc>
          <w:tcPr>
            <w:tcW w:w="2880" w:type="dxa"/>
            <w:vAlign w:val="center"/>
          </w:tcPr>
          <w:p w14:paraId="46485AF8" w14:textId="532CFF2E" w:rsidR="0007180E" w:rsidRPr="00F626AF" w:rsidRDefault="0007180E" w:rsidP="0007180E">
            <w:pPr>
              <w:rPr>
                <w:rFonts w:cstheme="minorHAnsi"/>
                <w:szCs w:val="22"/>
              </w:rPr>
            </w:pPr>
            <w:r w:rsidRPr="009925A2">
              <w:rPr>
                <w:rFonts w:cstheme="minorHAnsi"/>
                <w:color w:val="000000"/>
                <w:szCs w:val="22"/>
              </w:rPr>
              <w:t>SDG-LEDfixt140LPW-8ft</w:t>
            </w:r>
          </w:p>
        </w:tc>
        <w:tc>
          <w:tcPr>
            <w:tcW w:w="2880" w:type="dxa"/>
            <w:vAlign w:val="center"/>
          </w:tcPr>
          <w:p w14:paraId="60D6A752" w14:textId="3BF97F82" w:rsidR="0007180E" w:rsidRPr="00274A26" w:rsidRDefault="0007180E" w:rsidP="0007180E">
            <w:pPr>
              <w:rPr>
                <w:rFonts w:cstheme="minorHAnsi"/>
                <w:color w:val="000000"/>
                <w:szCs w:val="22"/>
              </w:rPr>
            </w:pPr>
            <w:r w:rsidRPr="00D125DC">
              <w:rPr>
                <w:rFonts w:cstheme="minorHAnsi"/>
                <w:color w:val="000000"/>
                <w:szCs w:val="22"/>
              </w:rPr>
              <w:t>SDG-LFfixt-Base-LEDMsr</w:t>
            </w:r>
          </w:p>
        </w:tc>
        <w:tc>
          <w:tcPr>
            <w:tcW w:w="1350" w:type="dxa"/>
          </w:tcPr>
          <w:p w14:paraId="1B612F4B" w14:textId="7712D04B" w:rsidR="0007180E" w:rsidRPr="00274A26" w:rsidRDefault="0007180E" w:rsidP="0007180E">
            <w:pPr>
              <w:rPr>
                <w:rFonts w:cstheme="minorHAnsi"/>
                <w:color w:val="000000"/>
                <w:szCs w:val="22"/>
              </w:rPr>
            </w:pPr>
            <w:r>
              <w:rPr>
                <w:rFonts w:cstheme="minorHAnsi"/>
                <w:color w:val="000000"/>
                <w:szCs w:val="22"/>
              </w:rPr>
              <w:t>$7.89</w:t>
            </w:r>
          </w:p>
        </w:tc>
      </w:tr>
      <w:tr w:rsidR="00156556" w14:paraId="16811A3E" w14:textId="77777777" w:rsidTr="006F26EF">
        <w:tc>
          <w:tcPr>
            <w:tcW w:w="2095" w:type="dxa"/>
          </w:tcPr>
          <w:p w14:paraId="187A8675" w14:textId="1F9B1DCC" w:rsidR="00156556" w:rsidRPr="00F626AF" w:rsidRDefault="00156556" w:rsidP="00921746">
            <w:pPr>
              <w:jc w:val="center"/>
              <w:rPr>
                <w:rFonts w:cstheme="minorHAnsi"/>
                <w:szCs w:val="22"/>
              </w:rPr>
            </w:pPr>
            <w:r>
              <w:rPr>
                <w:rFonts w:cstheme="minorHAnsi"/>
                <w:szCs w:val="22"/>
              </w:rPr>
              <w:t>Msr025</w:t>
            </w:r>
          </w:p>
        </w:tc>
        <w:tc>
          <w:tcPr>
            <w:tcW w:w="2880" w:type="dxa"/>
            <w:vAlign w:val="center"/>
          </w:tcPr>
          <w:p w14:paraId="2F850362" w14:textId="7E6FE8A8" w:rsidR="00156556" w:rsidRPr="00F626AF" w:rsidRDefault="00156556" w:rsidP="00156556">
            <w:pPr>
              <w:rPr>
                <w:rFonts w:cstheme="minorHAnsi"/>
                <w:szCs w:val="22"/>
              </w:rPr>
            </w:pPr>
            <w:r w:rsidRPr="006A2B9C">
              <w:rPr>
                <w:rFonts w:cstheme="minorHAnsi"/>
                <w:color w:val="000000"/>
                <w:szCs w:val="22"/>
              </w:rPr>
              <w:t>SDG-LEDfixt125LPW-1x4-</w:t>
            </w:r>
            <w:r>
              <w:rPr>
                <w:rFonts w:cstheme="minorHAnsi"/>
                <w:color w:val="000000"/>
                <w:szCs w:val="22"/>
              </w:rPr>
              <w:t>new</w:t>
            </w:r>
          </w:p>
        </w:tc>
        <w:tc>
          <w:tcPr>
            <w:tcW w:w="2880" w:type="dxa"/>
            <w:vAlign w:val="center"/>
          </w:tcPr>
          <w:p w14:paraId="1CDF8804" w14:textId="4F08E15A" w:rsidR="00156556" w:rsidRPr="00274A26" w:rsidRDefault="00156556" w:rsidP="00156556">
            <w:pPr>
              <w:rPr>
                <w:rFonts w:cstheme="minorHAnsi"/>
                <w:color w:val="000000"/>
                <w:szCs w:val="22"/>
              </w:rPr>
            </w:pPr>
            <w:r w:rsidRPr="00F572E6">
              <w:rPr>
                <w:rFonts w:cstheme="minorHAnsi"/>
                <w:color w:val="000000"/>
                <w:szCs w:val="22"/>
              </w:rPr>
              <w:t>SDG-LF-Troffer-Base-LEDMsr</w:t>
            </w:r>
          </w:p>
        </w:tc>
        <w:tc>
          <w:tcPr>
            <w:tcW w:w="1350" w:type="dxa"/>
          </w:tcPr>
          <w:p w14:paraId="4671CAE2" w14:textId="24A03F1E" w:rsidR="00156556" w:rsidRPr="00274A26" w:rsidRDefault="00156556" w:rsidP="00156556">
            <w:pPr>
              <w:rPr>
                <w:rFonts w:cstheme="minorHAnsi"/>
                <w:color w:val="000000"/>
                <w:szCs w:val="22"/>
              </w:rPr>
            </w:pPr>
            <w:r>
              <w:rPr>
                <w:rFonts w:cstheme="minorHAnsi"/>
                <w:color w:val="000000"/>
                <w:szCs w:val="22"/>
              </w:rPr>
              <w:t>$6.12</w:t>
            </w:r>
          </w:p>
        </w:tc>
      </w:tr>
      <w:tr w:rsidR="00156556" w14:paraId="649B6AA2" w14:textId="77777777" w:rsidTr="006F26EF">
        <w:tc>
          <w:tcPr>
            <w:tcW w:w="2095" w:type="dxa"/>
          </w:tcPr>
          <w:p w14:paraId="71D883B4" w14:textId="308D7149" w:rsidR="00156556" w:rsidRPr="00F626AF" w:rsidRDefault="00156556" w:rsidP="00921746">
            <w:pPr>
              <w:jc w:val="center"/>
              <w:rPr>
                <w:rFonts w:cstheme="minorHAnsi"/>
                <w:szCs w:val="22"/>
              </w:rPr>
            </w:pPr>
            <w:r>
              <w:rPr>
                <w:rFonts w:cstheme="minorHAnsi"/>
                <w:szCs w:val="22"/>
              </w:rPr>
              <w:t>Msr026</w:t>
            </w:r>
          </w:p>
        </w:tc>
        <w:tc>
          <w:tcPr>
            <w:tcW w:w="2880" w:type="dxa"/>
            <w:vAlign w:val="center"/>
          </w:tcPr>
          <w:p w14:paraId="1A417FA9" w14:textId="0968C2C3" w:rsidR="00156556" w:rsidRPr="00F626AF" w:rsidRDefault="00156556" w:rsidP="00156556">
            <w:pPr>
              <w:rPr>
                <w:rFonts w:cstheme="minorHAnsi"/>
                <w:szCs w:val="22"/>
              </w:rPr>
            </w:pPr>
            <w:r w:rsidRPr="006A2B9C">
              <w:rPr>
                <w:rFonts w:cstheme="minorHAnsi"/>
                <w:color w:val="000000"/>
                <w:szCs w:val="22"/>
              </w:rPr>
              <w:t>SDG-LEDfixt125LPW-2x2-</w:t>
            </w:r>
            <w:r>
              <w:rPr>
                <w:rFonts w:cstheme="minorHAnsi"/>
                <w:color w:val="000000"/>
                <w:szCs w:val="22"/>
              </w:rPr>
              <w:t>new</w:t>
            </w:r>
          </w:p>
        </w:tc>
        <w:tc>
          <w:tcPr>
            <w:tcW w:w="2880" w:type="dxa"/>
            <w:vAlign w:val="center"/>
          </w:tcPr>
          <w:p w14:paraId="5DCB4631" w14:textId="076A4749" w:rsidR="00156556" w:rsidRPr="00274A26" w:rsidRDefault="00156556" w:rsidP="00156556">
            <w:pPr>
              <w:rPr>
                <w:rFonts w:cstheme="minorHAnsi"/>
                <w:color w:val="000000"/>
                <w:szCs w:val="22"/>
              </w:rPr>
            </w:pPr>
            <w:r w:rsidRPr="00F572E6">
              <w:rPr>
                <w:rFonts w:cstheme="minorHAnsi"/>
                <w:color w:val="000000"/>
                <w:szCs w:val="22"/>
              </w:rPr>
              <w:t>SDG-LF-Troffer-Base-LEDMsr</w:t>
            </w:r>
          </w:p>
        </w:tc>
        <w:tc>
          <w:tcPr>
            <w:tcW w:w="1350" w:type="dxa"/>
          </w:tcPr>
          <w:p w14:paraId="5A50B0CC" w14:textId="32A22376" w:rsidR="00156556" w:rsidRPr="00274A26" w:rsidRDefault="00156556" w:rsidP="00156556">
            <w:pPr>
              <w:rPr>
                <w:rFonts w:cstheme="minorHAnsi"/>
                <w:color w:val="000000"/>
                <w:szCs w:val="22"/>
              </w:rPr>
            </w:pPr>
            <w:r>
              <w:rPr>
                <w:rFonts w:cstheme="minorHAnsi"/>
                <w:color w:val="000000"/>
                <w:szCs w:val="22"/>
              </w:rPr>
              <w:t>$6.12</w:t>
            </w:r>
          </w:p>
        </w:tc>
      </w:tr>
      <w:tr w:rsidR="00156556" w14:paraId="392BC2A2" w14:textId="77777777" w:rsidTr="006F26EF">
        <w:tc>
          <w:tcPr>
            <w:tcW w:w="2095" w:type="dxa"/>
          </w:tcPr>
          <w:p w14:paraId="3956B19A" w14:textId="65009AF0" w:rsidR="00156556" w:rsidRPr="00F626AF" w:rsidRDefault="00156556" w:rsidP="00921746">
            <w:pPr>
              <w:jc w:val="center"/>
              <w:rPr>
                <w:rFonts w:cstheme="minorHAnsi"/>
                <w:szCs w:val="22"/>
              </w:rPr>
            </w:pPr>
            <w:r>
              <w:rPr>
                <w:rFonts w:cstheme="minorHAnsi"/>
                <w:szCs w:val="22"/>
              </w:rPr>
              <w:t>Msr027</w:t>
            </w:r>
          </w:p>
        </w:tc>
        <w:tc>
          <w:tcPr>
            <w:tcW w:w="2880" w:type="dxa"/>
            <w:vAlign w:val="center"/>
          </w:tcPr>
          <w:p w14:paraId="4DE8383C" w14:textId="5EEC28BF" w:rsidR="00156556" w:rsidRPr="00F626AF" w:rsidRDefault="00156556" w:rsidP="00156556">
            <w:pPr>
              <w:rPr>
                <w:rFonts w:cstheme="minorHAnsi"/>
                <w:szCs w:val="22"/>
              </w:rPr>
            </w:pPr>
            <w:r w:rsidRPr="006A2B9C">
              <w:rPr>
                <w:rFonts w:cstheme="minorHAnsi"/>
                <w:color w:val="000000"/>
                <w:szCs w:val="22"/>
              </w:rPr>
              <w:t>SDG-LEDfixt125LPW-2x4-</w:t>
            </w:r>
            <w:r>
              <w:rPr>
                <w:rFonts w:cstheme="minorHAnsi"/>
                <w:color w:val="000000"/>
                <w:szCs w:val="22"/>
              </w:rPr>
              <w:t>new</w:t>
            </w:r>
          </w:p>
        </w:tc>
        <w:tc>
          <w:tcPr>
            <w:tcW w:w="2880" w:type="dxa"/>
            <w:vAlign w:val="center"/>
          </w:tcPr>
          <w:p w14:paraId="60C24716" w14:textId="5FB3DB45" w:rsidR="00156556" w:rsidRPr="00274A26" w:rsidRDefault="00156556" w:rsidP="00156556">
            <w:pPr>
              <w:rPr>
                <w:rFonts w:cstheme="minorHAnsi"/>
                <w:color w:val="000000"/>
                <w:szCs w:val="22"/>
              </w:rPr>
            </w:pPr>
            <w:r w:rsidRPr="00F572E6">
              <w:rPr>
                <w:rFonts w:cstheme="minorHAnsi"/>
                <w:color w:val="000000"/>
                <w:szCs w:val="22"/>
              </w:rPr>
              <w:t>SDG-LF-Troffer-Base-LEDMsr</w:t>
            </w:r>
          </w:p>
        </w:tc>
        <w:tc>
          <w:tcPr>
            <w:tcW w:w="1350" w:type="dxa"/>
          </w:tcPr>
          <w:p w14:paraId="182E0969" w14:textId="11373D3D" w:rsidR="00156556" w:rsidRPr="00274A26" w:rsidRDefault="00156556" w:rsidP="00156556">
            <w:pPr>
              <w:rPr>
                <w:rFonts w:cstheme="minorHAnsi"/>
                <w:color w:val="000000"/>
                <w:szCs w:val="22"/>
              </w:rPr>
            </w:pPr>
            <w:r>
              <w:rPr>
                <w:rFonts w:cstheme="minorHAnsi"/>
                <w:color w:val="000000"/>
                <w:szCs w:val="22"/>
              </w:rPr>
              <w:t>$6.12</w:t>
            </w:r>
          </w:p>
        </w:tc>
      </w:tr>
      <w:tr w:rsidR="00156556" w14:paraId="5E574B36" w14:textId="77777777" w:rsidTr="006F26EF">
        <w:tc>
          <w:tcPr>
            <w:tcW w:w="2095" w:type="dxa"/>
          </w:tcPr>
          <w:p w14:paraId="693BCFB5" w14:textId="3CD15BF4" w:rsidR="00156556" w:rsidRPr="00F626AF" w:rsidRDefault="00156556" w:rsidP="00921746">
            <w:pPr>
              <w:jc w:val="center"/>
              <w:rPr>
                <w:rFonts w:cstheme="minorHAnsi"/>
                <w:szCs w:val="22"/>
              </w:rPr>
            </w:pPr>
            <w:r>
              <w:rPr>
                <w:rFonts w:cstheme="minorHAnsi"/>
                <w:szCs w:val="22"/>
              </w:rPr>
              <w:t>Msr028</w:t>
            </w:r>
          </w:p>
        </w:tc>
        <w:tc>
          <w:tcPr>
            <w:tcW w:w="2880" w:type="dxa"/>
            <w:vAlign w:val="center"/>
          </w:tcPr>
          <w:p w14:paraId="369C38A8" w14:textId="089845AD" w:rsidR="00156556" w:rsidRPr="00F626AF" w:rsidRDefault="00156556" w:rsidP="00156556">
            <w:pPr>
              <w:rPr>
                <w:rFonts w:cstheme="minorHAnsi"/>
                <w:szCs w:val="22"/>
              </w:rPr>
            </w:pPr>
            <w:r w:rsidRPr="006A2B9C">
              <w:rPr>
                <w:rFonts w:cstheme="minorHAnsi"/>
                <w:color w:val="000000"/>
                <w:szCs w:val="22"/>
              </w:rPr>
              <w:t>SDG-LEDfixt125LPW-1x4-</w:t>
            </w:r>
            <w:r>
              <w:rPr>
                <w:rFonts w:cstheme="minorHAnsi"/>
                <w:color w:val="000000"/>
                <w:szCs w:val="22"/>
              </w:rPr>
              <w:t>kit</w:t>
            </w:r>
          </w:p>
        </w:tc>
        <w:tc>
          <w:tcPr>
            <w:tcW w:w="2880" w:type="dxa"/>
            <w:vAlign w:val="center"/>
          </w:tcPr>
          <w:p w14:paraId="22366012" w14:textId="2DBE4ED8" w:rsidR="00156556" w:rsidRPr="00274A26" w:rsidRDefault="00156556" w:rsidP="00156556">
            <w:pPr>
              <w:rPr>
                <w:rFonts w:cstheme="minorHAnsi"/>
                <w:color w:val="000000"/>
                <w:szCs w:val="22"/>
              </w:rPr>
            </w:pPr>
            <w:r w:rsidRPr="00F572E6">
              <w:rPr>
                <w:rFonts w:cstheme="minorHAnsi"/>
                <w:color w:val="000000"/>
                <w:szCs w:val="22"/>
              </w:rPr>
              <w:t>SDG-LF-Troffer-Base-LEDMsr</w:t>
            </w:r>
          </w:p>
        </w:tc>
        <w:tc>
          <w:tcPr>
            <w:tcW w:w="1350" w:type="dxa"/>
          </w:tcPr>
          <w:p w14:paraId="1B10609E" w14:textId="0F34F8B2" w:rsidR="00156556" w:rsidRPr="00274A26" w:rsidRDefault="00156556" w:rsidP="00156556">
            <w:pPr>
              <w:rPr>
                <w:rFonts w:cstheme="minorHAnsi"/>
                <w:color w:val="000000"/>
                <w:szCs w:val="22"/>
              </w:rPr>
            </w:pPr>
            <w:r>
              <w:rPr>
                <w:rFonts w:cstheme="minorHAnsi"/>
                <w:color w:val="000000"/>
                <w:szCs w:val="22"/>
              </w:rPr>
              <w:t>$6.12</w:t>
            </w:r>
          </w:p>
        </w:tc>
      </w:tr>
      <w:tr w:rsidR="00156556" w14:paraId="47279578" w14:textId="77777777" w:rsidTr="006F26EF">
        <w:tc>
          <w:tcPr>
            <w:tcW w:w="2095" w:type="dxa"/>
          </w:tcPr>
          <w:p w14:paraId="55ED5133" w14:textId="5C348C25" w:rsidR="00156556" w:rsidRPr="00F626AF" w:rsidRDefault="00156556" w:rsidP="00921746">
            <w:pPr>
              <w:jc w:val="center"/>
              <w:rPr>
                <w:rFonts w:cstheme="minorHAnsi"/>
                <w:szCs w:val="22"/>
              </w:rPr>
            </w:pPr>
            <w:r>
              <w:rPr>
                <w:rFonts w:cstheme="minorHAnsi"/>
                <w:szCs w:val="22"/>
              </w:rPr>
              <w:t>Msr029</w:t>
            </w:r>
          </w:p>
        </w:tc>
        <w:tc>
          <w:tcPr>
            <w:tcW w:w="2880" w:type="dxa"/>
            <w:vAlign w:val="center"/>
          </w:tcPr>
          <w:p w14:paraId="0C50F1AA" w14:textId="4DEBCCB3" w:rsidR="00156556" w:rsidRPr="00F626AF" w:rsidRDefault="00156556" w:rsidP="00156556">
            <w:pPr>
              <w:rPr>
                <w:rFonts w:cstheme="minorHAnsi"/>
                <w:szCs w:val="22"/>
              </w:rPr>
            </w:pPr>
            <w:r w:rsidRPr="006A2B9C">
              <w:rPr>
                <w:rFonts w:cstheme="minorHAnsi"/>
                <w:color w:val="000000"/>
                <w:szCs w:val="22"/>
              </w:rPr>
              <w:t>SDG-LEDfixt125LPW-2x2-</w:t>
            </w:r>
            <w:r>
              <w:rPr>
                <w:rFonts w:cstheme="minorHAnsi"/>
                <w:color w:val="000000"/>
                <w:szCs w:val="22"/>
              </w:rPr>
              <w:t>kit</w:t>
            </w:r>
          </w:p>
        </w:tc>
        <w:tc>
          <w:tcPr>
            <w:tcW w:w="2880" w:type="dxa"/>
            <w:vAlign w:val="center"/>
          </w:tcPr>
          <w:p w14:paraId="1853BBF6" w14:textId="6F5B7EFA" w:rsidR="00156556" w:rsidRPr="00274A26" w:rsidRDefault="00156556" w:rsidP="00156556">
            <w:pPr>
              <w:rPr>
                <w:rFonts w:cstheme="minorHAnsi"/>
                <w:color w:val="000000"/>
                <w:szCs w:val="22"/>
              </w:rPr>
            </w:pPr>
            <w:r w:rsidRPr="00F572E6">
              <w:rPr>
                <w:rFonts w:cstheme="minorHAnsi"/>
                <w:color w:val="000000"/>
                <w:szCs w:val="22"/>
              </w:rPr>
              <w:t>SDG-LF-Troffer-Base-LEDMsr</w:t>
            </w:r>
          </w:p>
        </w:tc>
        <w:tc>
          <w:tcPr>
            <w:tcW w:w="1350" w:type="dxa"/>
          </w:tcPr>
          <w:p w14:paraId="5F5E7E7E" w14:textId="7E358C97" w:rsidR="00156556" w:rsidRPr="00274A26" w:rsidRDefault="00156556" w:rsidP="00156556">
            <w:pPr>
              <w:rPr>
                <w:rFonts w:cstheme="minorHAnsi"/>
                <w:color w:val="000000"/>
                <w:szCs w:val="22"/>
              </w:rPr>
            </w:pPr>
            <w:r>
              <w:rPr>
                <w:rFonts w:cstheme="minorHAnsi"/>
                <w:color w:val="000000"/>
                <w:szCs w:val="22"/>
              </w:rPr>
              <w:t>$6.12</w:t>
            </w:r>
          </w:p>
        </w:tc>
      </w:tr>
      <w:tr w:rsidR="00156556" w14:paraId="27AF8190" w14:textId="77777777" w:rsidTr="006F26EF">
        <w:tc>
          <w:tcPr>
            <w:tcW w:w="2095" w:type="dxa"/>
          </w:tcPr>
          <w:p w14:paraId="549DF36F" w14:textId="2863DBF6" w:rsidR="00156556" w:rsidRPr="00F626AF" w:rsidRDefault="00156556" w:rsidP="00921746">
            <w:pPr>
              <w:jc w:val="center"/>
              <w:rPr>
                <w:rFonts w:cstheme="minorHAnsi"/>
                <w:szCs w:val="22"/>
              </w:rPr>
            </w:pPr>
            <w:r>
              <w:rPr>
                <w:rFonts w:cstheme="minorHAnsi"/>
                <w:szCs w:val="22"/>
              </w:rPr>
              <w:t>Msr030</w:t>
            </w:r>
          </w:p>
        </w:tc>
        <w:tc>
          <w:tcPr>
            <w:tcW w:w="2880" w:type="dxa"/>
            <w:vAlign w:val="center"/>
          </w:tcPr>
          <w:p w14:paraId="4A90D72B" w14:textId="065835ED" w:rsidR="00156556" w:rsidRPr="00F626AF" w:rsidRDefault="00156556" w:rsidP="00156556">
            <w:pPr>
              <w:rPr>
                <w:rFonts w:cstheme="minorHAnsi"/>
                <w:szCs w:val="22"/>
              </w:rPr>
            </w:pPr>
            <w:r w:rsidRPr="006A2B9C">
              <w:rPr>
                <w:rFonts w:cstheme="minorHAnsi"/>
                <w:color w:val="000000"/>
                <w:szCs w:val="22"/>
              </w:rPr>
              <w:t>SDG-LEDfixt125LPW-2x4-</w:t>
            </w:r>
            <w:r>
              <w:rPr>
                <w:rFonts w:cstheme="minorHAnsi"/>
                <w:color w:val="000000"/>
                <w:szCs w:val="22"/>
              </w:rPr>
              <w:t>kit</w:t>
            </w:r>
          </w:p>
        </w:tc>
        <w:tc>
          <w:tcPr>
            <w:tcW w:w="2880" w:type="dxa"/>
            <w:vAlign w:val="center"/>
          </w:tcPr>
          <w:p w14:paraId="319B7167" w14:textId="22C0C62C" w:rsidR="00156556" w:rsidRPr="00274A26" w:rsidRDefault="00156556" w:rsidP="00156556">
            <w:pPr>
              <w:rPr>
                <w:rFonts w:cstheme="minorHAnsi"/>
                <w:color w:val="000000"/>
                <w:szCs w:val="22"/>
              </w:rPr>
            </w:pPr>
            <w:r w:rsidRPr="00F572E6">
              <w:rPr>
                <w:rFonts w:cstheme="minorHAnsi"/>
                <w:color w:val="000000"/>
                <w:szCs w:val="22"/>
              </w:rPr>
              <w:t>SDG-LF-Troffer-Base-LEDMsr</w:t>
            </w:r>
          </w:p>
        </w:tc>
        <w:tc>
          <w:tcPr>
            <w:tcW w:w="1350" w:type="dxa"/>
          </w:tcPr>
          <w:p w14:paraId="335A3BA9" w14:textId="675F8B71" w:rsidR="00156556" w:rsidRPr="00274A26" w:rsidRDefault="00156556" w:rsidP="00156556">
            <w:pPr>
              <w:rPr>
                <w:rFonts w:cstheme="minorHAnsi"/>
                <w:color w:val="000000"/>
                <w:szCs w:val="22"/>
              </w:rPr>
            </w:pPr>
            <w:r>
              <w:rPr>
                <w:rFonts w:cstheme="minorHAnsi"/>
                <w:color w:val="000000"/>
                <w:szCs w:val="22"/>
              </w:rPr>
              <w:t>$6.12</w:t>
            </w:r>
          </w:p>
        </w:tc>
      </w:tr>
      <w:tr w:rsidR="00156556" w14:paraId="503E9DDC" w14:textId="77777777" w:rsidTr="006F26EF">
        <w:tc>
          <w:tcPr>
            <w:tcW w:w="2095" w:type="dxa"/>
          </w:tcPr>
          <w:p w14:paraId="130A2983" w14:textId="30B7B8B0" w:rsidR="00156556" w:rsidRPr="00F626AF" w:rsidRDefault="00156556" w:rsidP="00921746">
            <w:pPr>
              <w:jc w:val="center"/>
              <w:rPr>
                <w:rFonts w:cstheme="minorHAnsi"/>
                <w:szCs w:val="22"/>
              </w:rPr>
            </w:pPr>
            <w:r>
              <w:rPr>
                <w:rFonts w:cstheme="minorHAnsi"/>
                <w:szCs w:val="22"/>
              </w:rPr>
              <w:t>Msr031</w:t>
            </w:r>
          </w:p>
        </w:tc>
        <w:tc>
          <w:tcPr>
            <w:tcW w:w="2880" w:type="dxa"/>
            <w:vAlign w:val="center"/>
          </w:tcPr>
          <w:p w14:paraId="07E742E9" w14:textId="65A964FB" w:rsidR="00156556" w:rsidRPr="00F626AF" w:rsidRDefault="00156556" w:rsidP="00156556">
            <w:pPr>
              <w:rPr>
                <w:rFonts w:cstheme="minorHAnsi"/>
                <w:szCs w:val="22"/>
              </w:rPr>
            </w:pPr>
            <w:r w:rsidRPr="001E5488">
              <w:rPr>
                <w:rFonts w:cstheme="minorHAnsi"/>
                <w:color w:val="000000"/>
                <w:szCs w:val="22"/>
              </w:rPr>
              <w:t>SDG-LEDfixt125LPW-2ft</w:t>
            </w:r>
          </w:p>
        </w:tc>
        <w:tc>
          <w:tcPr>
            <w:tcW w:w="2880" w:type="dxa"/>
            <w:vAlign w:val="center"/>
          </w:tcPr>
          <w:p w14:paraId="4DFEA096" w14:textId="57171237" w:rsidR="00156556" w:rsidRPr="00274A26" w:rsidRDefault="00156556" w:rsidP="00156556">
            <w:pPr>
              <w:rPr>
                <w:rFonts w:cstheme="minorHAnsi"/>
                <w:color w:val="000000"/>
                <w:szCs w:val="22"/>
              </w:rPr>
            </w:pPr>
            <w:r w:rsidRPr="003C7DA3">
              <w:rPr>
                <w:rFonts w:cstheme="minorHAnsi"/>
                <w:color w:val="000000"/>
                <w:szCs w:val="22"/>
              </w:rPr>
              <w:t>SDG-LFfixt-Base-LEDMsr</w:t>
            </w:r>
          </w:p>
        </w:tc>
        <w:tc>
          <w:tcPr>
            <w:tcW w:w="1350" w:type="dxa"/>
          </w:tcPr>
          <w:p w14:paraId="3C638052" w14:textId="12D4315B" w:rsidR="00156556" w:rsidRPr="00274A26" w:rsidRDefault="0063609F" w:rsidP="00156556">
            <w:pPr>
              <w:rPr>
                <w:rFonts w:cstheme="minorHAnsi"/>
                <w:color w:val="000000"/>
                <w:szCs w:val="22"/>
              </w:rPr>
            </w:pPr>
            <w:r>
              <w:rPr>
                <w:rFonts w:cstheme="minorHAnsi"/>
                <w:color w:val="000000"/>
                <w:szCs w:val="22"/>
              </w:rPr>
              <w:t>$6.51</w:t>
            </w:r>
          </w:p>
        </w:tc>
      </w:tr>
      <w:tr w:rsidR="00156556" w14:paraId="792F8D42" w14:textId="77777777" w:rsidTr="006F26EF">
        <w:tc>
          <w:tcPr>
            <w:tcW w:w="2095" w:type="dxa"/>
          </w:tcPr>
          <w:p w14:paraId="0D3AD31F" w14:textId="6AAC31C2" w:rsidR="00156556" w:rsidRPr="00F626AF" w:rsidRDefault="00156556" w:rsidP="00921746">
            <w:pPr>
              <w:jc w:val="center"/>
              <w:rPr>
                <w:rFonts w:cstheme="minorHAnsi"/>
                <w:szCs w:val="22"/>
              </w:rPr>
            </w:pPr>
            <w:r>
              <w:rPr>
                <w:rFonts w:cstheme="minorHAnsi"/>
                <w:szCs w:val="22"/>
              </w:rPr>
              <w:t>Msr032</w:t>
            </w:r>
          </w:p>
        </w:tc>
        <w:tc>
          <w:tcPr>
            <w:tcW w:w="2880" w:type="dxa"/>
            <w:vAlign w:val="center"/>
          </w:tcPr>
          <w:p w14:paraId="24C209B4" w14:textId="2E93D01E" w:rsidR="00156556" w:rsidRPr="00F626AF" w:rsidRDefault="00156556" w:rsidP="00156556">
            <w:pPr>
              <w:rPr>
                <w:rFonts w:cstheme="minorHAnsi"/>
                <w:szCs w:val="22"/>
              </w:rPr>
            </w:pPr>
            <w:r w:rsidRPr="00B87DEC">
              <w:rPr>
                <w:rFonts w:cstheme="minorHAnsi"/>
                <w:color w:val="000000"/>
                <w:szCs w:val="22"/>
              </w:rPr>
              <w:t>SDG-LEDfixt125LPW-4ft</w:t>
            </w:r>
          </w:p>
        </w:tc>
        <w:tc>
          <w:tcPr>
            <w:tcW w:w="2880" w:type="dxa"/>
            <w:vAlign w:val="center"/>
          </w:tcPr>
          <w:p w14:paraId="42FB1622" w14:textId="67886F2B" w:rsidR="00156556" w:rsidRPr="00274A26" w:rsidRDefault="00156556" w:rsidP="00156556">
            <w:pPr>
              <w:rPr>
                <w:rFonts w:cstheme="minorHAnsi"/>
                <w:color w:val="000000"/>
                <w:szCs w:val="22"/>
              </w:rPr>
            </w:pPr>
            <w:r w:rsidRPr="003C7DA3">
              <w:rPr>
                <w:rFonts w:cstheme="minorHAnsi"/>
                <w:color w:val="000000"/>
                <w:szCs w:val="22"/>
              </w:rPr>
              <w:t>SDG-LFfixt-Base-LEDMsr</w:t>
            </w:r>
          </w:p>
        </w:tc>
        <w:tc>
          <w:tcPr>
            <w:tcW w:w="1350" w:type="dxa"/>
          </w:tcPr>
          <w:p w14:paraId="358CE4BA" w14:textId="71761C30" w:rsidR="00156556" w:rsidRPr="00274A26" w:rsidRDefault="0063609F" w:rsidP="00156556">
            <w:pPr>
              <w:rPr>
                <w:rFonts w:cstheme="minorHAnsi"/>
                <w:color w:val="000000"/>
                <w:szCs w:val="22"/>
              </w:rPr>
            </w:pPr>
            <w:r>
              <w:rPr>
                <w:rFonts w:cstheme="minorHAnsi"/>
                <w:color w:val="000000"/>
                <w:szCs w:val="22"/>
              </w:rPr>
              <w:t>$6.51</w:t>
            </w:r>
          </w:p>
        </w:tc>
      </w:tr>
      <w:tr w:rsidR="00156556" w14:paraId="2FCC7566" w14:textId="77777777" w:rsidTr="006F26EF">
        <w:tc>
          <w:tcPr>
            <w:tcW w:w="2095" w:type="dxa"/>
          </w:tcPr>
          <w:p w14:paraId="304B0714" w14:textId="21890A85" w:rsidR="00156556" w:rsidRPr="00F626AF" w:rsidRDefault="00156556" w:rsidP="00921746">
            <w:pPr>
              <w:jc w:val="center"/>
              <w:rPr>
                <w:rFonts w:cstheme="minorHAnsi"/>
                <w:szCs w:val="22"/>
              </w:rPr>
            </w:pPr>
            <w:r>
              <w:rPr>
                <w:rFonts w:cstheme="minorHAnsi"/>
                <w:szCs w:val="22"/>
              </w:rPr>
              <w:t>Msr033</w:t>
            </w:r>
          </w:p>
        </w:tc>
        <w:tc>
          <w:tcPr>
            <w:tcW w:w="2880" w:type="dxa"/>
            <w:vAlign w:val="center"/>
          </w:tcPr>
          <w:p w14:paraId="495B4589" w14:textId="77A3EE0E" w:rsidR="00156556" w:rsidRPr="00F626AF" w:rsidRDefault="00156556" w:rsidP="00156556">
            <w:pPr>
              <w:rPr>
                <w:rFonts w:cstheme="minorHAnsi"/>
                <w:szCs w:val="22"/>
              </w:rPr>
            </w:pPr>
            <w:r w:rsidRPr="00B87DEC">
              <w:rPr>
                <w:rFonts w:cstheme="minorHAnsi"/>
                <w:color w:val="000000"/>
                <w:szCs w:val="22"/>
              </w:rPr>
              <w:t>SDG-LEDfixt125LPW-8ft</w:t>
            </w:r>
          </w:p>
        </w:tc>
        <w:tc>
          <w:tcPr>
            <w:tcW w:w="2880" w:type="dxa"/>
            <w:vAlign w:val="center"/>
          </w:tcPr>
          <w:p w14:paraId="4D87663F" w14:textId="25BD8E91" w:rsidR="00156556" w:rsidRPr="00274A26" w:rsidRDefault="00156556" w:rsidP="00156556">
            <w:pPr>
              <w:rPr>
                <w:rFonts w:cstheme="minorHAnsi"/>
                <w:color w:val="000000"/>
                <w:szCs w:val="22"/>
              </w:rPr>
            </w:pPr>
            <w:r w:rsidRPr="003C7DA3">
              <w:rPr>
                <w:rFonts w:cstheme="minorHAnsi"/>
                <w:color w:val="000000"/>
                <w:szCs w:val="22"/>
              </w:rPr>
              <w:t>SDG-LFfixt-Base-LEDMsr</w:t>
            </w:r>
          </w:p>
        </w:tc>
        <w:tc>
          <w:tcPr>
            <w:tcW w:w="1350" w:type="dxa"/>
          </w:tcPr>
          <w:p w14:paraId="5E6A51AE" w14:textId="5B245D1D" w:rsidR="00156556" w:rsidRPr="00274A26" w:rsidRDefault="0063609F" w:rsidP="00156556">
            <w:pPr>
              <w:rPr>
                <w:rFonts w:cstheme="minorHAnsi"/>
                <w:color w:val="000000"/>
                <w:szCs w:val="22"/>
              </w:rPr>
            </w:pPr>
            <w:r>
              <w:rPr>
                <w:rFonts w:cstheme="minorHAnsi"/>
                <w:color w:val="000000"/>
                <w:szCs w:val="22"/>
              </w:rPr>
              <w:t>$6.51</w:t>
            </w:r>
          </w:p>
        </w:tc>
      </w:tr>
      <w:tr w:rsidR="00156556" w14:paraId="3C229570" w14:textId="77777777" w:rsidTr="006F26EF">
        <w:tc>
          <w:tcPr>
            <w:tcW w:w="2095" w:type="dxa"/>
          </w:tcPr>
          <w:p w14:paraId="2E0A3601" w14:textId="488FAA42" w:rsidR="00156556" w:rsidRPr="00F626AF" w:rsidRDefault="00156556" w:rsidP="00921746">
            <w:pPr>
              <w:jc w:val="center"/>
              <w:rPr>
                <w:rFonts w:cstheme="minorHAnsi"/>
                <w:szCs w:val="22"/>
              </w:rPr>
            </w:pPr>
            <w:r>
              <w:rPr>
                <w:rFonts w:cstheme="minorHAnsi"/>
                <w:szCs w:val="22"/>
              </w:rPr>
              <w:t>Msr034</w:t>
            </w:r>
          </w:p>
        </w:tc>
        <w:tc>
          <w:tcPr>
            <w:tcW w:w="2880" w:type="dxa"/>
            <w:vAlign w:val="center"/>
          </w:tcPr>
          <w:p w14:paraId="58C69955" w14:textId="66F08326" w:rsidR="00156556" w:rsidRPr="00F626AF" w:rsidRDefault="00156556" w:rsidP="00156556">
            <w:pPr>
              <w:rPr>
                <w:rFonts w:cstheme="minorHAnsi"/>
                <w:szCs w:val="22"/>
              </w:rPr>
            </w:pPr>
            <w:r w:rsidRPr="001E5488">
              <w:rPr>
                <w:rFonts w:cstheme="minorHAnsi"/>
                <w:color w:val="000000"/>
                <w:szCs w:val="22"/>
              </w:rPr>
              <w:t>SDG-LEDfixt125LPW-2ft</w:t>
            </w:r>
          </w:p>
        </w:tc>
        <w:tc>
          <w:tcPr>
            <w:tcW w:w="2880" w:type="dxa"/>
            <w:vAlign w:val="center"/>
          </w:tcPr>
          <w:p w14:paraId="55F52AF8" w14:textId="0B46A994" w:rsidR="00156556" w:rsidRPr="00274A26" w:rsidRDefault="00156556" w:rsidP="00156556">
            <w:pPr>
              <w:rPr>
                <w:rFonts w:cstheme="minorHAnsi"/>
                <w:color w:val="000000"/>
                <w:szCs w:val="22"/>
              </w:rPr>
            </w:pPr>
            <w:r w:rsidRPr="003C7DA3">
              <w:rPr>
                <w:rFonts w:cstheme="minorHAnsi"/>
                <w:color w:val="000000"/>
                <w:szCs w:val="22"/>
              </w:rPr>
              <w:t>SDG-LFfixt-Base-LEDMsr</w:t>
            </w:r>
          </w:p>
        </w:tc>
        <w:tc>
          <w:tcPr>
            <w:tcW w:w="1350" w:type="dxa"/>
          </w:tcPr>
          <w:p w14:paraId="397E44CF" w14:textId="1D150F28" w:rsidR="00156556" w:rsidRPr="00274A26" w:rsidRDefault="0063609F" w:rsidP="00156556">
            <w:pPr>
              <w:rPr>
                <w:rFonts w:cstheme="minorHAnsi"/>
                <w:color w:val="000000"/>
                <w:szCs w:val="22"/>
              </w:rPr>
            </w:pPr>
            <w:r>
              <w:rPr>
                <w:rFonts w:cstheme="minorHAnsi"/>
                <w:color w:val="000000"/>
                <w:szCs w:val="22"/>
              </w:rPr>
              <w:t>$6.51</w:t>
            </w:r>
          </w:p>
        </w:tc>
      </w:tr>
      <w:tr w:rsidR="00156556" w14:paraId="74EDCA44" w14:textId="77777777" w:rsidTr="006F26EF">
        <w:tc>
          <w:tcPr>
            <w:tcW w:w="2095" w:type="dxa"/>
          </w:tcPr>
          <w:p w14:paraId="15CBB42B" w14:textId="319D48AB" w:rsidR="00156556" w:rsidRPr="00F626AF" w:rsidRDefault="00156556" w:rsidP="00921746">
            <w:pPr>
              <w:jc w:val="center"/>
              <w:rPr>
                <w:rFonts w:cstheme="minorHAnsi"/>
                <w:szCs w:val="22"/>
              </w:rPr>
            </w:pPr>
            <w:r>
              <w:rPr>
                <w:rFonts w:cstheme="minorHAnsi"/>
                <w:szCs w:val="22"/>
              </w:rPr>
              <w:t>Msr035</w:t>
            </w:r>
          </w:p>
        </w:tc>
        <w:tc>
          <w:tcPr>
            <w:tcW w:w="2880" w:type="dxa"/>
            <w:vAlign w:val="center"/>
          </w:tcPr>
          <w:p w14:paraId="42CB9E3A" w14:textId="33E43095" w:rsidR="00156556" w:rsidRPr="00F626AF" w:rsidRDefault="00156556" w:rsidP="00156556">
            <w:pPr>
              <w:rPr>
                <w:rFonts w:cstheme="minorHAnsi"/>
                <w:szCs w:val="22"/>
              </w:rPr>
            </w:pPr>
            <w:r w:rsidRPr="00B87DEC">
              <w:rPr>
                <w:rFonts w:cstheme="minorHAnsi"/>
                <w:color w:val="000000"/>
                <w:szCs w:val="22"/>
              </w:rPr>
              <w:t>SDG-LEDfixt125LPW-4ft</w:t>
            </w:r>
          </w:p>
        </w:tc>
        <w:tc>
          <w:tcPr>
            <w:tcW w:w="2880" w:type="dxa"/>
            <w:vAlign w:val="center"/>
          </w:tcPr>
          <w:p w14:paraId="1881F149" w14:textId="47BF3741" w:rsidR="00156556" w:rsidRPr="00274A26" w:rsidRDefault="00156556" w:rsidP="00156556">
            <w:pPr>
              <w:rPr>
                <w:rFonts w:cstheme="minorHAnsi"/>
                <w:color w:val="000000"/>
                <w:szCs w:val="22"/>
              </w:rPr>
            </w:pPr>
            <w:r w:rsidRPr="003C7DA3">
              <w:rPr>
                <w:rFonts w:cstheme="minorHAnsi"/>
                <w:color w:val="000000"/>
                <w:szCs w:val="22"/>
              </w:rPr>
              <w:t>SDG-LFfixt-Base-LEDMsr</w:t>
            </w:r>
          </w:p>
        </w:tc>
        <w:tc>
          <w:tcPr>
            <w:tcW w:w="1350" w:type="dxa"/>
          </w:tcPr>
          <w:p w14:paraId="4C124BAB" w14:textId="4BF34168" w:rsidR="00156556" w:rsidRPr="00274A26" w:rsidRDefault="0063609F" w:rsidP="00156556">
            <w:pPr>
              <w:rPr>
                <w:rFonts w:cstheme="minorHAnsi"/>
                <w:color w:val="000000"/>
                <w:szCs w:val="22"/>
              </w:rPr>
            </w:pPr>
            <w:r>
              <w:rPr>
                <w:rFonts w:cstheme="minorHAnsi"/>
                <w:color w:val="000000"/>
                <w:szCs w:val="22"/>
              </w:rPr>
              <w:t>$6.51</w:t>
            </w:r>
          </w:p>
        </w:tc>
      </w:tr>
      <w:tr w:rsidR="00156556" w14:paraId="360B8857" w14:textId="77777777" w:rsidTr="006F26EF">
        <w:tc>
          <w:tcPr>
            <w:tcW w:w="2095" w:type="dxa"/>
          </w:tcPr>
          <w:p w14:paraId="6175892A" w14:textId="7717FF6F" w:rsidR="00156556" w:rsidRPr="00F626AF" w:rsidRDefault="00156556" w:rsidP="00921746">
            <w:pPr>
              <w:jc w:val="center"/>
              <w:rPr>
                <w:rFonts w:cstheme="minorHAnsi"/>
                <w:szCs w:val="22"/>
              </w:rPr>
            </w:pPr>
            <w:r>
              <w:rPr>
                <w:rFonts w:cstheme="minorHAnsi"/>
                <w:szCs w:val="22"/>
              </w:rPr>
              <w:t>Msr036</w:t>
            </w:r>
          </w:p>
        </w:tc>
        <w:tc>
          <w:tcPr>
            <w:tcW w:w="2880" w:type="dxa"/>
            <w:vAlign w:val="center"/>
          </w:tcPr>
          <w:p w14:paraId="751BF0D6" w14:textId="54288D8F" w:rsidR="00156556" w:rsidRPr="00F626AF" w:rsidRDefault="00156556" w:rsidP="00156556">
            <w:pPr>
              <w:rPr>
                <w:rFonts w:cstheme="minorHAnsi"/>
                <w:szCs w:val="22"/>
              </w:rPr>
            </w:pPr>
            <w:r w:rsidRPr="00B87DEC">
              <w:rPr>
                <w:rFonts w:cstheme="minorHAnsi"/>
                <w:color w:val="000000"/>
                <w:szCs w:val="22"/>
              </w:rPr>
              <w:t>SDG-LEDfixt125LPW-8ft</w:t>
            </w:r>
          </w:p>
        </w:tc>
        <w:tc>
          <w:tcPr>
            <w:tcW w:w="2880" w:type="dxa"/>
            <w:vAlign w:val="center"/>
          </w:tcPr>
          <w:p w14:paraId="4BF3471D" w14:textId="7DAC8D69" w:rsidR="00156556" w:rsidRPr="00274A26" w:rsidRDefault="00156556" w:rsidP="00156556">
            <w:pPr>
              <w:rPr>
                <w:rFonts w:cstheme="minorHAnsi"/>
                <w:color w:val="000000"/>
                <w:szCs w:val="22"/>
              </w:rPr>
            </w:pPr>
            <w:r w:rsidRPr="003C7DA3">
              <w:rPr>
                <w:rFonts w:cstheme="minorHAnsi"/>
                <w:color w:val="000000"/>
                <w:szCs w:val="22"/>
              </w:rPr>
              <w:t>SDG-LFfixt-Base-LEDMsr</w:t>
            </w:r>
          </w:p>
        </w:tc>
        <w:tc>
          <w:tcPr>
            <w:tcW w:w="1350" w:type="dxa"/>
          </w:tcPr>
          <w:p w14:paraId="4EFC09A9" w14:textId="4E20FE62" w:rsidR="00156556" w:rsidRPr="00274A26" w:rsidRDefault="0063609F" w:rsidP="00156556">
            <w:pPr>
              <w:rPr>
                <w:rFonts w:cstheme="minorHAnsi"/>
                <w:color w:val="000000"/>
                <w:szCs w:val="22"/>
              </w:rPr>
            </w:pPr>
            <w:r>
              <w:rPr>
                <w:rFonts w:cstheme="minorHAnsi"/>
                <w:color w:val="000000"/>
                <w:szCs w:val="22"/>
              </w:rPr>
              <w:t>$6.51</w:t>
            </w:r>
          </w:p>
        </w:tc>
      </w:tr>
      <w:tr w:rsidR="004F3875" w14:paraId="51AEAB7E" w14:textId="77777777" w:rsidTr="006F26EF">
        <w:tc>
          <w:tcPr>
            <w:tcW w:w="2095" w:type="dxa"/>
          </w:tcPr>
          <w:p w14:paraId="5755F9F5" w14:textId="45860688" w:rsidR="004F3875" w:rsidRDefault="004F3875" w:rsidP="00921746">
            <w:pPr>
              <w:jc w:val="center"/>
              <w:rPr>
                <w:rFonts w:cstheme="minorHAnsi"/>
                <w:szCs w:val="22"/>
              </w:rPr>
            </w:pPr>
            <w:r>
              <w:rPr>
                <w:rFonts w:cstheme="minorHAnsi"/>
                <w:szCs w:val="22"/>
              </w:rPr>
              <w:t>Msr037</w:t>
            </w:r>
          </w:p>
        </w:tc>
        <w:tc>
          <w:tcPr>
            <w:tcW w:w="2880" w:type="dxa"/>
            <w:vAlign w:val="center"/>
          </w:tcPr>
          <w:p w14:paraId="186312A9" w14:textId="36F16255" w:rsidR="004F3875" w:rsidRPr="00F626AF" w:rsidRDefault="004F3875" w:rsidP="004F3875">
            <w:pPr>
              <w:rPr>
                <w:rFonts w:cstheme="minorHAnsi"/>
                <w:szCs w:val="22"/>
              </w:rPr>
            </w:pPr>
            <w:r w:rsidRPr="0092550D">
              <w:rPr>
                <w:rFonts w:cstheme="minorHAnsi"/>
                <w:color w:val="000000"/>
                <w:szCs w:val="22"/>
              </w:rPr>
              <w:t>SDG-LEDfixt140LPW-1x4-</w:t>
            </w:r>
            <w:r>
              <w:rPr>
                <w:rFonts w:cstheme="minorHAnsi"/>
                <w:color w:val="000000"/>
                <w:szCs w:val="22"/>
              </w:rPr>
              <w:t>new</w:t>
            </w:r>
          </w:p>
        </w:tc>
        <w:tc>
          <w:tcPr>
            <w:tcW w:w="2880" w:type="dxa"/>
            <w:vAlign w:val="center"/>
          </w:tcPr>
          <w:p w14:paraId="2BCF8B07" w14:textId="3CA1DFA5" w:rsidR="004F3875" w:rsidRPr="00274A26" w:rsidRDefault="004F3875" w:rsidP="004F3875">
            <w:pPr>
              <w:rPr>
                <w:rFonts w:cstheme="minorHAnsi"/>
                <w:color w:val="000000"/>
                <w:szCs w:val="22"/>
              </w:rPr>
            </w:pPr>
            <w:r w:rsidRPr="00B92F28">
              <w:rPr>
                <w:rFonts w:cstheme="minorHAnsi"/>
                <w:color w:val="000000"/>
                <w:szCs w:val="22"/>
              </w:rPr>
              <w:t>SDG-LF-Troffer-Base-LEDMsr</w:t>
            </w:r>
          </w:p>
        </w:tc>
        <w:tc>
          <w:tcPr>
            <w:tcW w:w="1350" w:type="dxa"/>
          </w:tcPr>
          <w:p w14:paraId="541556C5" w14:textId="670E366B" w:rsidR="004F3875" w:rsidRPr="00274A26" w:rsidRDefault="004F3875" w:rsidP="004F3875">
            <w:pPr>
              <w:rPr>
                <w:rFonts w:cstheme="minorHAnsi"/>
                <w:color w:val="000000"/>
                <w:szCs w:val="22"/>
              </w:rPr>
            </w:pPr>
            <w:r>
              <w:rPr>
                <w:rFonts w:cstheme="minorHAnsi"/>
                <w:color w:val="000000"/>
                <w:szCs w:val="22"/>
              </w:rPr>
              <w:t>$6.45</w:t>
            </w:r>
          </w:p>
        </w:tc>
      </w:tr>
      <w:tr w:rsidR="004F3875" w14:paraId="476530B2" w14:textId="77777777" w:rsidTr="006F26EF">
        <w:tc>
          <w:tcPr>
            <w:tcW w:w="2095" w:type="dxa"/>
          </w:tcPr>
          <w:p w14:paraId="34F5D824" w14:textId="690ED67C" w:rsidR="004F3875" w:rsidRDefault="004F3875" w:rsidP="00921746">
            <w:pPr>
              <w:jc w:val="center"/>
              <w:rPr>
                <w:rFonts w:cstheme="minorHAnsi"/>
                <w:szCs w:val="22"/>
              </w:rPr>
            </w:pPr>
            <w:r>
              <w:rPr>
                <w:rFonts w:cstheme="minorHAnsi"/>
                <w:szCs w:val="22"/>
              </w:rPr>
              <w:t>Msr038</w:t>
            </w:r>
          </w:p>
        </w:tc>
        <w:tc>
          <w:tcPr>
            <w:tcW w:w="2880" w:type="dxa"/>
            <w:vAlign w:val="center"/>
          </w:tcPr>
          <w:p w14:paraId="5671AEF9" w14:textId="7FD1D3E1" w:rsidR="004F3875" w:rsidRPr="00F626AF" w:rsidRDefault="004F3875" w:rsidP="004F3875">
            <w:pPr>
              <w:rPr>
                <w:rFonts w:cstheme="minorHAnsi"/>
                <w:szCs w:val="22"/>
              </w:rPr>
            </w:pPr>
            <w:r w:rsidRPr="0092550D">
              <w:rPr>
                <w:rFonts w:cstheme="minorHAnsi"/>
                <w:color w:val="000000"/>
                <w:szCs w:val="22"/>
              </w:rPr>
              <w:t>SDG-LEDfixt140LPW-2x2-</w:t>
            </w:r>
            <w:r>
              <w:rPr>
                <w:rFonts w:cstheme="minorHAnsi"/>
                <w:color w:val="000000"/>
                <w:szCs w:val="22"/>
              </w:rPr>
              <w:t>new</w:t>
            </w:r>
          </w:p>
        </w:tc>
        <w:tc>
          <w:tcPr>
            <w:tcW w:w="2880" w:type="dxa"/>
            <w:vAlign w:val="center"/>
          </w:tcPr>
          <w:p w14:paraId="625274C0" w14:textId="71752012" w:rsidR="004F3875" w:rsidRPr="00274A26" w:rsidRDefault="004F3875" w:rsidP="004F3875">
            <w:pPr>
              <w:rPr>
                <w:rFonts w:cstheme="minorHAnsi"/>
                <w:color w:val="000000"/>
                <w:szCs w:val="22"/>
              </w:rPr>
            </w:pPr>
            <w:r w:rsidRPr="00B92F28">
              <w:rPr>
                <w:rFonts w:cstheme="minorHAnsi"/>
                <w:color w:val="000000"/>
                <w:szCs w:val="22"/>
              </w:rPr>
              <w:t>SDG-LF-Troffer-Base-LEDMsr</w:t>
            </w:r>
          </w:p>
        </w:tc>
        <w:tc>
          <w:tcPr>
            <w:tcW w:w="1350" w:type="dxa"/>
          </w:tcPr>
          <w:p w14:paraId="1055D1FA" w14:textId="274A9026" w:rsidR="004F3875" w:rsidRPr="00274A26" w:rsidRDefault="004F3875" w:rsidP="004F3875">
            <w:pPr>
              <w:rPr>
                <w:rFonts w:cstheme="minorHAnsi"/>
                <w:color w:val="000000"/>
                <w:szCs w:val="22"/>
              </w:rPr>
            </w:pPr>
            <w:r>
              <w:rPr>
                <w:rFonts w:cstheme="minorHAnsi"/>
                <w:color w:val="000000"/>
                <w:szCs w:val="22"/>
              </w:rPr>
              <w:t>$6.45</w:t>
            </w:r>
          </w:p>
        </w:tc>
      </w:tr>
      <w:tr w:rsidR="004F3875" w14:paraId="3423CF85" w14:textId="77777777" w:rsidTr="006F26EF">
        <w:tc>
          <w:tcPr>
            <w:tcW w:w="2095" w:type="dxa"/>
          </w:tcPr>
          <w:p w14:paraId="100A0471" w14:textId="3F37DC99" w:rsidR="004F3875" w:rsidRDefault="004F3875" w:rsidP="00921746">
            <w:pPr>
              <w:jc w:val="center"/>
              <w:rPr>
                <w:rFonts w:cstheme="minorHAnsi"/>
                <w:szCs w:val="22"/>
              </w:rPr>
            </w:pPr>
            <w:r>
              <w:rPr>
                <w:rFonts w:cstheme="minorHAnsi"/>
                <w:szCs w:val="22"/>
              </w:rPr>
              <w:t>Msr039</w:t>
            </w:r>
          </w:p>
        </w:tc>
        <w:tc>
          <w:tcPr>
            <w:tcW w:w="2880" w:type="dxa"/>
            <w:vAlign w:val="center"/>
          </w:tcPr>
          <w:p w14:paraId="6B592C7A" w14:textId="5E9BCD39" w:rsidR="004F3875" w:rsidRPr="00F626AF" w:rsidRDefault="004F3875" w:rsidP="004F3875">
            <w:pPr>
              <w:rPr>
                <w:rFonts w:cstheme="minorHAnsi"/>
                <w:szCs w:val="22"/>
              </w:rPr>
            </w:pPr>
            <w:r w:rsidRPr="0092550D">
              <w:rPr>
                <w:rFonts w:cstheme="minorHAnsi"/>
                <w:color w:val="000000"/>
                <w:szCs w:val="22"/>
              </w:rPr>
              <w:t>SDG-LEDfixt140LPW-2x4-</w:t>
            </w:r>
            <w:r>
              <w:rPr>
                <w:rFonts w:cstheme="minorHAnsi"/>
                <w:color w:val="000000"/>
                <w:szCs w:val="22"/>
              </w:rPr>
              <w:t>new</w:t>
            </w:r>
          </w:p>
        </w:tc>
        <w:tc>
          <w:tcPr>
            <w:tcW w:w="2880" w:type="dxa"/>
            <w:vAlign w:val="center"/>
          </w:tcPr>
          <w:p w14:paraId="570C44D2" w14:textId="5077FDBB" w:rsidR="004F3875" w:rsidRPr="00274A26" w:rsidRDefault="004F3875" w:rsidP="004F3875">
            <w:pPr>
              <w:rPr>
                <w:rFonts w:cstheme="minorHAnsi"/>
                <w:color w:val="000000"/>
                <w:szCs w:val="22"/>
              </w:rPr>
            </w:pPr>
            <w:r w:rsidRPr="00B92F28">
              <w:rPr>
                <w:rFonts w:cstheme="minorHAnsi"/>
                <w:color w:val="000000"/>
                <w:szCs w:val="22"/>
              </w:rPr>
              <w:t>SDG-LF-Troffer-Base-LEDMsr</w:t>
            </w:r>
          </w:p>
        </w:tc>
        <w:tc>
          <w:tcPr>
            <w:tcW w:w="1350" w:type="dxa"/>
          </w:tcPr>
          <w:p w14:paraId="0CB919EA" w14:textId="7288BD25" w:rsidR="004F3875" w:rsidRPr="00274A26" w:rsidRDefault="004F3875" w:rsidP="004F3875">
            <w:pPr>
              <w:rPr>
                <w:rFonts w:cstheme="minorHAnsi"/>
                <w:color w:val="000000"/>
                <w:szCs w:val="22"/>
              </w:rPr>
            </w:pPr>
            <w:r>
              <w:rPr>
                <w:rFonts w:cstheme="minorHAnsi"/>
                <w:color w:val="000000"/>
                <w:szCs w:val="22"/>
              </w:rPr>
              <w:t>$6.45</w:t>
            </w:r>
          </w:p>
        </w:tc>
      </w:tr>
      <w:tr w:rsidR="004F3875" w14:paraId="276A9A3F" w14:textId="77777777" w:rsidTr="006F26EF">
        <w:tc>
          <w:tcPr>
            <w:tcW w:w="2095" w:type="dxa"/>
          </w:tcPr>
          <w:p w14:paraId="5CDCECEB" w14:textId="23E16A6D" w:rsidR="004F3875" w:rsidRDefault="004F3875" w:rsidP="00921746">
            <w:pPr>
              <w:jc w:val="center"/>
              <w:rPr>
                <w:rFonts w:cstheme="minorHAnsi"/>
                <w:szCs w:val="22"/>
              </w:rPr>
            </w:pPr>
            <w:r>
              <w:rPr>
                <w:rFonts w:cstheme="minorHAnsi"/>
                <w:szCs w:val="22"/>
              </w:rPr>
              <w:t>Msr040</w:t>
            </w:r>
          </w:p>
        </w:tc>
        <w:tc>
          <w:tcPr>
            <w:tcW w:w="2880" w:type="dxa"/>
            <w:vAlign w:val="center"/>
          </w:tcPr>
          <w:p w14:paraId="2279D7C7" w14:textId="7C73D05A" w:rsidR="004F3875" w:rsidRPr="00F626AF" w:rsidRDefault="004F3875" w:rsidP="004F3875">
            <w:pPr>
              <w:rPr>
                <w:rFonts w:cstheme="minorHAnsi"/>
                <w:szCs w:val="22"/>
              </w:rPr>
            </w:pPr>
            <w:r w:rsidRPr="0092550D">
              <w:rPr>
                <w:rFonts w:cstheme="minorHAnsi"/>
                <w:color w:val="000000"/>
                <w:szCs w:val="22"/>
              </w:rPr>
              <w:t>SDG-LEDfixt140LPW-1x4-kit</w:t>
            </w:r>
          </w:p>
        </w:tc>
        <w:tc>
          <w:tcPr>
            <w:tcW w:w="2880" w:type="dxa"/>
            <w:vAlign w:val="center"/>
          </w:tcPr>
          <w:p w14:paraId="3757B00E" w14:textId="0738B461" w:rsidR="004F3875" w:rsidRPr="00274A26" w:rsidRDefault="004F3875" w:rsidP="004F3875">
            <w:pPr>
              <w:rPr>
                <w:rFonts w:cstheme="minorHAnsi"/>
                <w:color w:val="000000"/>
                <w:szCs w:val="22"/>
              </w:rPr>
            </w:pPr>
            <w:r w:rsidRPr="00B92F28">
              <w:rPr>
                <w:rFonts w:cstheme="minorHAnsi"/>
                <w:color w:val="000000"/>
                <w:szCs w:val="22"/>
              </w:rPr>
              <w:t>SDG-LF-Troffer-Base-LEDMsr</w:t>
            </w:r>
          </w:p>
        </w:tc>
        <w:tc>
          <w:tcPr>
            <w:tcW w:w="1350" w:type="dxa"/>
          </w:tcPr>
          <w:p w14:paraId="3A09DCDB" w14:textId="02CD2F41" w:rsidR="004F3875" w:rsidRPr="00274A26" w:rsidRDefault="004F3875" w:rsidP="004F3875">
            <w:pPr>
              <w:rPr>
                <w:rFonts w:cstheme="minorHAnsi"/>
                <w:color w:val="000000"/>
                <w:szCs w:val="22"/>
              </w:rPr>
            </w:pPr>
            <w:r>
              <w:rPr>
                <w:rFonts w:cstheme="minorHAnsi"/>
                <w:color w:val="000000"/>
                <w:szCs w:val="22"/>
              </w:rPr>
              <w:t>$6.45</w:t>
            </w:r>
          </w:p>
        </w:tc>
      </w:tr>
      <w:tr w:rsidR="004F3875" w14:paraId="2EBAF4F5" w14:textId="77777777" w:rsidTr="006F26EF">
        <w:tc>
          <w:tcPr>
            <w:tcW w:w="2095" w:type="dxa"/>
          </w:tcPr>
          <w:p w14:paraId="3FAC30D0" w14:textId="05067730" w:rsidR="004F3875" w:rsidRDefault="004F3875" w:rsidP="00921746">
            <w:pPr>
              <w:jc w:val="center"/>
              <w:rPr>
                <w:rFonts w:cstheme="minorHAnsi"/>
                <w:szCs w:val="22"/>
              </w:rPr>
            </w:pPr>
            <w:r>
              <w:rPr>
                <w:rFonts w:cstheme="minorHAnsi"/>
                <w:szCs w:val="22"/>
              </w:rPr>
              <w:t>Msr041</w:t>
            </w:r>
          </w:p>
        </w:tc>
        <w:tc>
          <w:tcPr>
            <w:tcW w:w="2880" w:type="dxa"/>
            <w:vAlign w:val="center"/>
          </w:tcPr>
          <w:p w14:paraId="4BD971CE" w14:textId="020D1718" w:rsidR="004F3875" w:rsidRPr="00F626AF" w:rsidRDefault="004F3875" w:rsidP="004F3875">
            <w:pPr>
              <w:rPr>
                <w:rFonts w:cstheme="minorHAnsi"/>
                <w:szCs w:val="22"/>
              </w:rPr>
            </w:pPr>
            <w:r w:rsidRPr="0092550D">
              <w:rPr>
                <w:rFonts w:cstheme="minorHAnsi"/>
                <w:color w:val="000000"/>
                <w:szCs w:val="22"/>
              </w:rPr>
              <w:t>SDG-LEDfixt140LPW-2x2-kit</w:t>
            </w:r>
          </w:p>
        </w:tc>
        <w:tc>
          <w:tcPr>
            <w:tcW w:w="2880" w:type="dxa"/>
            <w:vAlign w:val="center"/>
          </w:tcPr>
          <w:p w14:paraId="6FEFC84B" w14:textId="2CD7D8AD" w:rsidR="004F3875" w:rsidRPr="00274A26" w:rsidRDefault="004F3875" w:rsidP="004F3875">
            <w:pPr>
              <w:rPr>
                <w:rFonts w:cstheme="minorHAnsi"/>
                <w:color w:val="000000"/>
                <w:szCs w:val="22"/>
              </w:rPr>
            </w:pPr>
            <w:r w:rsidRPr="00B92F28">
              <w:rPr>
                <w:rFonts w:cstheme="minorHAnsi"/>
                <w:color w:val="000000"/>
                <w:szCs w:val="22"/>
              </w:rPr>
              <w:t>SDG-LF-Troffer-Base-LEDMsr</w:t>
            </w:r>
          </w:p>
        </w:tc>
        <w:tc>
          <w:tcPr>
            <w:tcW w:w="1350" w:type="dxa"/>
          </w:tcPr>
          <w:p w14:paraId="5CE3EAFE" w14:textId="149A7901" w:rsidR="004F3875" w:rsidRPr="00274A26" w:rsidRDefault="004F3875" w:rsidP="004F3875">
            <w:pPr>
              <w:rPr>
                <w:rFonts w:cstheme="minorHAnsi"/>
                <w:color w:val="000000"/>
                <w:szCs w:val="22"/>
              </w:rPr>
            </w:pPr>
            <w:r>
              <w:rPr>
                <w:rFonts w:cstheme="minorHAnsi"/>
                <w:color w:val="000000"/>
                <w:szCs w:val="22"/>
              </w:rPr>
              <w:t>$6.45</w:t>
            </w:r>
          </w:p>
        </w:tc>
      </w:tr>
      <w:tr w:rsidR="004F3875" w14:paraId="1DA6AED1" w14:textId="77777777" w:rsidTr="006F26EF">
        <w:tc>
          <w:tcPr>
            <w:tcW w:w="2095" w:type="dxa"/>
          </w:tcPr>
          <w:p w14:paraId="555416F2" w14:textId="672D1A4C" w:rsidR="004F3875" w:rsidRDefault="004F3875" w:rsidP="00921746">
            <w:pPr>
              <w:jc w:val="center"/>
              <w:rPr>
                <w:rFonts w:cstheme="minorHAnsi"/>
                <w:szCs w:val="22"/>
              </w:rPr>
            </w:pPr>
            <w:r>
              <w:rPr>
                <w:rFonts w:cstheme="minorHAnsi"/>
                <w:szCs w:val="22"/>
              </w:rPr>
              <w:t>Msr042</w:t>
            </w:r>
          </w:p>
        </w:tc>
        <w:tc>
          <w:tcPr>
            <w:tcW w:w="2880" w:type="dxa"/>
            <w:vAlign w:val="center"/>
          </w:tcPr>
          <w:p w14:paraId="160127BF" w14:textId="4B3B93B6" w:rsidR="004F3875" w:rsidRPr="00F626AF" w:rsidRDefault="004F3875" w:rsidP="004F3875">
            <w:pPr>
              <w:rPr>
                <w:rFonts w:cstheme="minorHAnsi"/>
                <w:szCs w:val="22"/>
              </w:rPr>
            </w:pPr>
            <w:r w:rsidRPr="0092550D">
              <w:rPr>
                <w:rFonts w:cstheme="minorHAnsi"/>
                <w:color w:val="000000"/>
                <w:szCs w:val="22"/>
              </w:rPr>
              <w:t>SDG-LEDfixt140LPW-2x4-kit</w:t>
            </w:r>
          </w:p>
        </w:tc>
        <w:tc>
          <w:tcPr>
            <w:tcW w:w="2880" w:type="dxa"/>
            <w:vAlign w:val="center"/>
          </w:tcPr>
          <w:p w14:paraId="455E7818" w14:textId="00A10DB5" w:rsidR="004F3875" w:rsidRPr="00274A26" w:rsidRDefault="004F3875" w:rsidP="004F3875">
            <w:pPr>
              <w:rPr>
                <w:rFonts w:cstheme="minorHAnsi"/>
                <w:color w:val="000000"/>
                <w:szCs w:val="22"/>
              </w:rPr>
            </w:pPr>
            <w:r w:rsidRPr="00B92F28">
              <w:rPr>
                <w:rFonts w:cstheme="minorHAnsi"/>
                <w:color w:val="000000"/>
                <w:szCs w:val="22"/>
              </w:rPr>
              <w:t>SDG-LF-Troffer-Base-LEDMsr</w:t>
            </w:r>
          </w:p>
        </w:tc>
        <w:tc>
          <w:tcPr>
            <w:tcW w:w="1350" w:type="dxa"/>
          </w:tcPr>
          <w:p w14:paraId="543202EA" w14:textId="0520CB2C" w:rsidR="004F3875" w:rsidRPr="00274A26" w:rsidRDefault="004F3875" w:rsidP="004F3875">
            <w:pPr>
              <w:rPr>
                <w:rFonts w:cstheme="minorHAnsi"/>
                <w:color w:val="000000"/>
                <w:szCs w:val="22"/>
              </w:rPr>
            </w:pPr>
            <w:r>
              <w:rPr>
                <w:rFonts w:cstheme="minorHAnsi"/>
                <w:color w:val="000000"/>
                <w:szCs w:val="22"/>
              </w:rPr>
              <w:t>$6.45</w:t>
            </w:r>
          </w:p>
        </w:tc>
      </w:tr>
      <w:tr w:rsidR="0063609F" w14:paraId="7350B074" w14:textId="77777777" w:rsidTr="006F26EF">
        <w:tc>
          <w:tcPr>
            <w:tcW w:w="2095" w:type="dxa"/>
          </w:tcPr>
          <w:p w14:paraId="1E8D394E" w14:textId="43A93D04" w:rsidR="0063609F" w:rsidRDefault="0063609F" w:rsidP="00921746">
            <w:pPr>
              <w:jc w:val="center"/>
              <w:rPr>
                <w:rFonts w:cstheme="minorHAnsi"/>
                <w:szCs w:val="22"/>
              </w:rPr>
            </w:pPr>
            <w:r>
              <w:rPr>
                <w:rFonts w:cstheme="minorHAnsi"/>
                <w:szCs w:val="22"/>
              </w:rPr>
              <w:t>Msr043</w:t>
            </w:r>
          </w:p>
        </w:tc>
        <w:tc>
          <w:tcPr>
            <w:tcW w:w="2880" w:type="dxa"/>
            <w:vAlign w:val="center"/>
          </w:tcPr>
          <w:p w14:paraId="2ADC33B6" w14:textId="00F01DF3" w:rsidR="0063609F" w:rsidRPr="00F626AF" w:rsidRDefault="0063609F" w:rsidP="0063609F">
            <w:pPr>
              <w:rPr>
                <w:rFonts w:cstheme="minorHAnsi"/>
                <w:szCs w:val="22"/>
              </w:rPr>
            </w:pPr>
            <w:r w:rsidRPr="00C96C49">
              <w:rPr>
                <w:rFonts w:cstheme="minorHAnsi"/>
                <w:szCs w:val="22"/>
              </w:rPr>
              <w:t>SDG-LEDfixt140LPW-2ft</w:t>
            </w:r>
          </w:p>
        </w:tc>
        <w:tc>
          <w:tcPr>
            <w:tcW w:w="2880" w:type="dxa"/>
            <w:vAlign w:val="center"/>
          </w:tcPr>
          <w:p w14:paraId="5CB8A6CE" w14:textId="1ECB8E54" w:rsidR="0063609F" w:rsidRPr="00274A26" w:rsidRDefault="0063609F" w:rsidP="0063609F">
            <w:pPr>
              <w:rPr>
                <w:rFonts w:cstheme="minorHAnsi"/>
                <w:color w:val="000000"/>
                <w:szCs w:val="22"/>
              </w:rPr>
            </w:pPr>
            <w:r w:rsidRPr="00FC51EC">
              <w:rPr>
                <w:rFonts w:cstheme="minorHAnsi"/>
                <w:color w:val="000000"/>
                <w:szCs w:val="22"/>
              </w:rPr>
              <w:t>SDG-LFfixt-Base-LEDMsr</w:t>
            </w:r>
          </w:p>
        </w:tc>
        <w:tc>
          <w:tcPr>
            <w:tcW w:w="1350" w:type="dxa"/>
          </w:tcPr>
          <w:p w14:paraId="32E416EF" w14:textId="3FB323FC" w:rsidR="0063609F" w:rsidRPr="00274A26" w:rsidRDefault="0063609F" w:rsidP="0063609F">
            <w:pPr>
              <w:rPr>
                <w:rFonts w:cstheme="minorHAnsi"/>
                <w:color w:val="000000"/>
                <w:szCs w:val="22"/>
              </w:rPr>
            </w:pPr>
            <w:r>
              <w:rPr>
                <w:rFonts w:cstheme="minorHAnsi"/>
                <w:color w:val="000000"/>
                <w:szCs w:val="22"/>
              </w:rPr>
              <w:t>$7.89</w:t>
            </w:r>
          </w:p>
        </w:tc>
      </w:tr>
      <w:tr w:rsidR="0063609F" w14:paraId="06DB2B1B" w14:textId="77777777" w:rsidTr="006F26EF">
        <w:tc>
          <w:tcPr>
            <w:tcW w:w="2095" w:type="dxa"/>
          </w:tcPr>
          <w:p w14:paraId="798E45FA" w14:textId="00675869" w:rsidR="0063609F" w:rsidRDefault="0063609F" w:rsidP="00921746">
            <w:pPr>
              <w:jc w:val="center"/>
              <w:rPr>
                <w:rFonts w:cstheme="minorHAnsi"/>
                <w:szCs w:val="22"/>
              </w:rPr>
            </w:pPr>
            <w:r>
              <w:rPr>
                <w:rFonts w:cstheme="minorHAnsi"/>
                <w:szCs w:val="22"/>
              </w:rPr>
              <w:t>Msr044</w:t>
            </w:r>
          </w:p>
        </w:tc>
        <w:tc>
          <w:tcPr>
            <w:tcW w:w="2880" w:type="dxa"/>
            <w:vAlign w:val="center"/>
          </w:tcPr>
          <w:p w14:paraId="621F8121" w14:textId="16B9AE19" w:rsidR="0063609F" w:rsidRPr="00F626AF" w:rsidRDefault="0063609F" w:rsidP="0063609F">
            <w:pPr>
              <w:rPr>
                <w:rFonts w:cstheme="minorHAnsi"/>
                <w:szCs w:val="22"/>
              </w:rPr>
            </w:pPr>
            <w:r w:rsidRPr="00C96C49">
              <w:rPr>
                <w:rFonts w:cstheme="minorHAnsi"/>
                <w:szCs w:val="22"/>
              </w:rPr>
              <w:t>SDG-LEDfixt140LPW-4ft</w:t>
            </w:r>
          </w:p>
        </w:tc>
        <w:tc>
          <w:tcPr>
            <w:tcW w:w="2880" w:type="dxa"/>
            <w:vAlign w:val="center"/>
          </w:tcPr>
          <w:p w14:paraId="6DA9ABD2" w14:textId="7F7BFEDA" w:rsidR="0063609F" w:rsidRPr="00274A26" w:rsidRDefault="0063609F" w:rsidP="0063609F">
            <w:pPr>
              <w:rPr>
                <w:rFonts w:cstheme="minorHAnsi"/>
                <w:color w:val="000000"/>
                <w:szCs w:val="22"/>
              </w:rPr>
            </w:pPr>
            <w:r w:rsidRPr="00FC51EC">
              <w:rPr>
                <w:rFonts w:cstheme="minorHAnsi"/>
                <w:color w:val="000000"/>
                <w:szCs w:val="22"/>
              </w:rPr>
              <w:t>SDG-LFfixt-Base-LEDMsr</w:t>
            </w:r>
          </w:p>
        </w:tc>
        <w:tc>
          <w:tcPr>
            <w:tcW w:w="1350" w:type="dxa"/>
          </w:tcPr>
          <w:p w14:paraId="21319984" w14:textId="6E519B9D" w:rsidR="0063609F" w:rsidRPr="00274A26" w:rsidRDefault="0063609F" w:rsidP="0063609F">
            <w:pPr>
              <w:rPr>
                <w:rFonts w:cstheme="minorHAnsi"/>
                <w:color w:val="000000"/>
                <w:szCs w:val="22"/>
              </w:rPr>
            </w:pPr>
            <w:r>
              <w:rPr>
                <w:rFonts w:cstheme="minorHAnsi"/>
                <w:color w:val="000000"/>
                <w:szCs w:val="22"/>
              </w:rPr>
              <w:t>$7.89</w:t>
            </w:r>
          </w:p>
        </w:tc>
      </w:tr>
      <w:tr w:rsidR="0063609F" w14:paraId="5D33FD88" w14:textId="77777777" w:rsidTr="006F26EF">
        <w:tc>
          <w:tcPr>
            <w:tcW w:w="2095" w:type="dxa"/>
          </w:tcPr>
          <w:p w14:paraId="21116F98" w14:textId="6F1272D5" w:rsidR="0063609F" w:rsidRDefault="0063609F" w:rsidP="00921746">
            <w:pPr>
              <w:jc w:val="center"/>
              <w:rPr>
                <w:rFonts w:cstheme="minorHAnsi"/>
                <w:szCs w:val="22"/>
              </w:rPr>
            </w:pPr>
            <w:r>
              <w:rPr>
                <w:rFonts w:cstheme="minorHAnsi"/>
                <w:szCs w:val="22"/>
              </w:rPr>
              <w:t>Msr045</w:t>
            </w:r>
          </w:p>
        </w:tc>
        <w:tc>
          <w:tcPr>
            <w:tcW w:w="2880" w:type="dxa"/>
            <w:vAlign w:val="center"/>
          </w:tcPr>
          <w:p w14:paraId="34F2EA51" w14:textId="6C58BF1C" w:rsidR="0063609F" w:rsidRPr="00F626AF" w:rsidRDefault="0063609F" w:rsidP="0063609F">
            <w:pPr>
              <w:rPr>
                <w:rFonts w:cstheme="minorHAnsi"/>
                <w:szCs w:val="22"/>
              </w:rPr>
            </w:pPr>
            <w:r w:rsidRPr="000725BB">
              <w:rPr>
                <w:rFonts w:cstheme="minorHAnsi"/>
                <w:szCs w:val="22"/>
              </w:rPr>
              <w:t>SDG-LEDfixt140LPW-8ft</w:t>
            </w:r>
          </w:p>
        </w:tc>
        <w:tc>
          <w:tcPr>
            <w:tcW w:w="2880" w:type="dxa"/>
            <w:vAlign w:val="center"/>
          </w:tcPr>
          <w:p w14:paraId="661405EE" w14:textId="12A4F06A" w:rsidR="0063609F" w:rsidRPr="00274A26" w:rsidRDefault="0063609F" w:rsidP="0063609F">
            <w:pPr>
              <w:rPr>
                <w:rFonts w:cstheme="minorHAnsi"/>
                <w:color w:val="000000"/>
                <w:szCs w:val="22"/>
              </w:rPr>
            </w:pPr>
            <w:r w:rsidRPr="00FC51EC">
              <w:rPr>
                <w:rFonts w:cstheme="minorHAnsi"/>
                <w:color w:val="000000"/>
                <w:szCs w:val="22"/>
              </w:rPr>
              <w:t>SDG-LFfixt-Base-LEDMsr</w:t>
            </w:r>
          </w:p>
        </w:tc>
        <w:tc>
          <w:tcPr>
            <w:tcW w:w="1350" w:type="dxa"/>
          </w:tcPr>
          <w:p w14:paraId="293479DE" w14:textId="1D496B15" w:rsidR="0063609F" w:rsidRPr="00274A26" w:rsidRDefault="0063609F" w:rsidP="0063609F">
            <w:pPr>
              <w:rPr>
                <w:rFonts w:cstheme="minorHAnsi"/>
                <w:color w:val="000000"/>
                <w:szCs w:val="22"/>
              </w:rPr>
            </w:pPr>
            <w:r>
              <w:rPr>
                <w:rFonts w:cstheme="minorHAnsi"/>
                <w:color w:val="000000"/>
                <w:szCs w:val="22"/>
              </w:rPr>
              <w:t>$7.89</w:t>
            </w:r>
          </w:p>
        </w:tc>
      </w:tr>
      <w:tr w:rsidR="0063609F" w14:paraId="03CD384B" w14:textId="77777777" w:rsidTr="006F26EF">
        <w:tc>
          <w:tcPr>
            <w:tcW w:w="2095" w:type="dxa"/>
          </w:tcPr>
          <w:p w14:paraId="2E9239FA" w14:textId="069F52FE" w:rsidR="0063609F" w:rsidRDefault="0063609F" w:rsidP="00921746">
            <w:pPr>
              <w:jc w:val="center"/>
              <w:rPr>
                <w:rFonts w:cstheme="minorHAnsi"/>
                <w:szCs w:val="22"/>
              </w:rPr>
            </w:pPr>
            <w:r>
              <w:rPr>
                <w:rFonts w:cstheme="minorHAnsi"/>
                <w:szCs w:val="22"/>
              </w:rPr>
              <w:t>Msr046</w:t>
            </w:r>
          </w:p>
        </w:tc>
        <w:tc>
          <w:tcPr>
            <w:tcW w:w="2880" w:type="dxa"/>
            <w:vAlign w:val="center"/>
          </w:tcPr>
          <w:p w14:paraId="3AC6F10E" w14:textId="16FA01B2" w:rsidR="0063609F" w:rsidRPr="00F626AF" w:rsidRDefault="0063609F" w:rsidP="0063609F">
            <w:pPr>
              <w:rPr>
                <w:rFonts w:cstheme="minorHAnsi"/>
                <w:szCs w:val="22"/>
              </w:rPr>
            </w:pPr>
            <w:r w:rsidRPr="00C96C49">
              <w:rPr>
                <w:rFonts w:cstheme="minorHAnsi"/>
                <w:szCs w:val="22"/>
              </w:rPr>
              <w:t>SDG-LEDfixt140LPW-2ft</w:t>
            </w:r>
          </w:p>
        </w:tc>
        <w:tc>
          <w:tcPr>
            <w:tcW w:w="2880" w:type="dxa"/>
            <w:vAlign w:val="center"/>
          </w:tcPr>
          <w:p w14:paraId="7D1A79A1" w14:textId="2D10D8AE" w:rsidR="0063609F" w:rsidRPr="00274A26" w:rsidRDefault="0063609F" w:rsidP="0063609F">
            <w:pPr>
              <w:rPr>
                <w:rFonts w:cstheme="minorHAnsi"/>
                <w:color w:val="000000"/>
                <w:szCs w:val="22"/>
              </w:rPr>
            </w:pPr>
            <w:r w:rsidRPr="00FC51EC">
              <w:rPr>
                <w:rFonts w:cstheme="minorHAnsi"/>
                <w:color w:val="000000"/>
                <w:szCs w:val="22"/>
              </w:rPr>
              <w:t>SDG-LFfixt-Base-LEDMsr</w:t>
            </w:r>
          </w:p>
        </w:tc>
        <w:tc>
          <w:tcPr>
            <w:tcW w:w="1350" w:type="dxa"/>
          </w:tcPr>
          <w:p w14:paraId="7BB903A1" w14:textId="52013828" w:rsidR="0063609F" w:rsidRPr="00274A26" w:rsidRDefault="0063609F" w:rsidP="0063609F">
            <w:pPr>
              <w:rPr>
                <w:rFonts w:cstheme="minorHAnsi"/>
                <w:color w:val="000000"/>
                <w:szCs w:val="22"/>
              </w:rPr>
            </w:pPr>
            <w:r>
              <w:rPr>
                <w:rFonts w:cstheme="minorHAnsi"/>
                <w:color w:val="000000"/>
                <w:szCs w:val="22"/>
              </w:rPr>
              <w:t>$7.89</w:t>
            </w:r>
          </w:p>
        </w:tc>
      </w:tr>
      <w:tr w:rsidR="0063609F" w14:paraId="08EC426C" w14:textId="77777777" w:rsidTr="006F26EF">
        <w:tc>
          <w:tcPr>
            <w:tcW w:w="2095" w:type="dxa"/>
          </w:tcPr>
          <w:p w14:paraId="72F55203" w14:textId="7EC512BD" w:rsidR="0063609F" w:rsidRDefault="0063609F" w:rsidP="00921746">
            <w:pPr>
              <w:jc w:val="center"/>
              <w:rPr>
                <w:rFonts w:cstheme="minorHAnsi"/>
                <w:szCs w:val="22"/>
              </w:rPr>
            </w:pPr>
            <w:r>
              <w:rPr>
                <w:rFonts w:cstheme="minorHAnsi"/>
                <w:szCs w:val="22"/>
              </w:rPr>
              <w:t>Msr047</w:t>
            </w:r>
          </w:p>
        </w:tc>
        <w:tc>
          <w:tcPr>
            <w:tcW w:w="2880" w:type="dxa"/>
            <w:vAlign w:val="center"/>
          </w:tcPr>
          <w:p w14:paraId="485822D8" w14:textId="6C4B93D2" w:rsidR="0063609F" w:rsidRPr="00F626AF" w:rsidRDefault="0063609F" w:rsidP="0063609F">
            <w:pPr>
              <w:rPr>
                <w:rFonts w:cstheme="minorHAnsi"/>
                <w:szCs w:val="22"/>
              </w:rPr>
            </w:pPr>
            <w:r w:rsidRPr="00C96C49">
              <w:rPr>
                <w:rFonts w:cstheme="minorHAnsi"/>
                <w:szCs w:val="22"/>
              </w:rPr>
              <w:t>SDG-LEDfixt140LPW-4ft</w:t>
            </w:r>
          </w:p>
        </w:tc>
        <w:tc>
          <w:tcPr>
            <w:tcW w:w="2880" w:type="dxa"/>
            <w:vAlign w:val="center"/>
          </w:tcPr>
          <w:p w14:paraId="783D85B7" w14:textId="439C92FD" w:rsidR="0063609F" w:rsidRPr="00274A26" w:rsidRDefault="0063609F" w:rsidP="0063609F">
            <w:pPr>
              <w:rPr>
                <w:rFonts w:cstheme="minorHAnsi"/>
                <w:color w:val="000000"/>
                <w:szCs w:val="22"/>
              </w:rPr>
            </w:pPr>
            <w:r w:rsidRPr="00FC51EC">
              <w:rPr>
                <w:rFonts w:cstheme="minorHAnsi"/>
                <w:color w:val="000000"/>
                <w:szCs w:val="22"/>
              </w:rPr>
              <w:t>SDG-LFfixt-Base-LEDMsr</w:t>
            </w:r>
          </w:p>
        </w:tc>
        <w:tc>
          <w:tcPr>
            <w:tcW w:w="1350" w:type="dxa"/>
          </w:tcPr>
          <w:p w14:paraId="6B3FC818" w14:textId="6BD8FB7A" w:rsidR="0063609F" w:rsidRPr="00274A26" w:rsidRDefault="0063609F" w:rsidP="0063609F">
            <w:pPr>
              <w:rPr>
                <w:rFonts w:cstheme="minorHAnsi"/>
                <w:color w:val="000000"/>
                <w:szCs w:val="22"/>
              </w:rPr>
            </w:pPr>
            <w:r>
              <w:rPr>
                <w:rFonts w:cstheme="minorHAnsi"/>
                <w:color w:val="000000"/>
                <w:szCs w:val="22"/>
              </w:rPr>
              <w:t>$7.89</w:t>
            </w:r>
          </w:p>
        </w:tc>
      </w:tr>
      <w:tr w:rsidR="0063609F" w14:paraId="5ACA50DB" w14:textId="77777777" w:rsidTr="006F26EF">
        <w:tc>
          <w:tcPr>
            <w:tcW w:w="2095" w:type="dxa"/>
          </w:tcPr>
          <w:p w14:paraId="6ABCECE4" w14:textId="696CE40E" w:rsidR="0063609F" w:rsidRDefault="0063609F" w:rsidP="00921746">
            <w:pPr>
              <w:jc w:val="center"/>
              <w:rPr>
                <w:rFonts w:cstheme="minorHAnsi"/>
                <w:szCs w:val="22"/>
              </w:rPr>
            </w:pPr>
            <w:r>
              <w:rPr>
                <w:rFonts w:cstheme="minorHAnsi"/>
                <w:szCs w:val="22"/>
              </w:rPr>
              <w:t>Msr048</w:t>
            </w:r>
          </w:p>
        </w:tc>
        <w:tc>
          <w:tcPr>
            <w:tcW w:w="2880" w:type="dxa"/>
            <w:vAlign w:val="center"/>
          </w:tcPr>
          <w:p w14:paraId="6CD8E7DA" w14:textId="3AD12312" w:rsidR="0063609F" w:rsidRPr="00F626AF" w:rsidRDefault="0063609F" w:rsidP="0063609F">
            <w:pPr>
              <w:rPr>
                <w:rFonts w:cstheme="minorHAnsi"/>
                <w:szCs w:val="22"/>
              </w:rPr>
            </w:pPr>
            <w:r w:rsidRPr="000725BB">
              <w:rPr>
                <w:rFonts w:cstheme="minorHAnsi"/>
                <w:szCs w:val="22"/>
              </w:rPr>
              <w:t>SDG-LEDfixt140LPW-8ft</w:t>
            </w:r>
          </w:p>
        </w:tc>
        <w:tc>
          <w:tcPr>
            <w:tcW w:w="2880" w:type="dxa"/>
            <w:vAlign w:val="center"/>
          </w:tcPr>
          <w:p w14:paraId="58438E28" w14:textId="6B936835" w:rsidR="0063609F" w:rsidRPr="00274A26" w:rsidRDefault="0063609F" w:rsidP="0063609F">
            <w:pPr>
              <w:rPr>
                <w:rFonts w:cstheme="minorHAnsi"/>
                <w:color w:val="000000"/>
                <w:szCs w:val="22"/>
              </w:rPr>
            </w:pPr>
            <w:r w:rsidRPr="00FC51EC">
              <w:rPr>
                <w:rFonts w:cstheme="minorHAnsi"/>
                <w:color w:val="000000"/>
                <w:szCs w:val="22"/>
              </w:rPr>
              <w:t>SDG-LFfixt-Base-LEDMsr</w:t>
            </w:r>
          </w:p>
        </w:tc>
        <w:tc>
          <w:tcPr>
            <w:tcW w:w="1350" w:type="dxa"/>
          </w:tcPr>
          <w:p w14:paraId="32B16707" w14:textId="058564E4" w:rsidR="0063609F" w:rsidRPr="00274A26" w:rsidRDefault="0063609F" w:rsidP="0063609F">
            <w:pPr>
              <w:rPr>
                <w:rFonts w:cstheme="minorHAnsi"/>
                <w:color w:val="000000"/>
                <w:szCs w:val="22"/>
              </w:rPr>
            </w:pPr>
            <w:r>
              <w:rPr>
                <w:rFonts w:cstheme="minorHAnsi"/>
                <w:color w:val="000000"/>
                <w:szCs w:val="22"/>
              </w:rPr>
              <w:t>$7.89</w:t>
            </w:r>
          </w:p>
        </w:tc>
      </w:tr>
    </w:tbl>
    <w:p w14:paraId="4E598037" w14:textId="276925B2" w:rsidR="00BA726B" w:rsidRDefault="00C90C85" w:rsidP="00A271F7">
      <w:pPr>
        <w:ind w:left="360"/>
        <w:rPr>
          <w:rStyle w:val="Strong"/>
          <w:b w:val="0"/>
          <w:bCs w:val="0"/>
          <w:szCs w:val="22"/>
        </w:rPr>
      </w:pPr>
      <w:r>
        <w:rPr>
          <w:rStyle w:val="Strong"/>
          <w:b w:val="0"/>
          <w:bCs w:val="0"/>
          <w:szCs w:val="22"/>
        </w:rPr>
        <w:tab/>
        <w:t xml:space="preserve">All SDG&amp;E Cost IDs </w:t>
      </w:r>
      <w:r w:rsidR="00AA79C8">
        <w:rPr>
          <w:rStyle w:val="Strong"/>
          <w:b w:val="0"/>
          <w:bCs w:val="0"/>
          <w:szCs w:val="22"/>
        </w:rPr>
        <w:t>NormUnit = KiloLumen</w:t>
      </w:r>
    </w:p>
    <w:p w14:paraId="65E38C8A" w14:textId="07D7E47A" w:rsidR="00AA79C8" w:rsidRDefault="00AA79C8">
      <w:pPr>
        <w:spacing w:after="200" w:line="276" w:lineRule="auto"/>
        <w:rPr>
          <w:rStyle w:val="Strong"/>
          <w:b w:val="0"/>
          <w:bCs w:val="0"/>
          <w:szCs w:val="22"/>
        </w:rPr>
      </w:pPr>
      <w:r>
        <w:rPr>
          <w:rStyle w:val="Strong"/>
          <w:b w:val="0"/>
          <w:bCs w:val="0"/>
          <w:szCs w:val="22"/>
        </w:rPr>
        <w:br w:type="page"/>
      </w:r>
    </w:p>
    <w:p w14:paraId="0064C263" w14:textId="77777777" w:rsidR="00BA726B" w:rsidRPr="00A271F7" w:rsidRDefault="00BA726B" w:rsidP="00A271F7">
      <w:pPr>
        <w:ind w:left="360"/>
        <w:rPr>
          <w:rStyle w:val="Strong"/>
          <w:b w:val="0"/>
          <w:bCs w:val="0"/>
          <w:szCs w:val="22"/>
        </w:rPr>
      </w:pPr>
    </w:p>
    <w:p w14:paraId="60B957C5" w14:textId="44E13500" w:rsidR="00AD3C96" w:rsidRPr="00D727CA" w:rsidRDefault="00AD3C96" w:rsidP="000F7059">
      <w:pPr>
        <w:pStyle w:val="ListParagraph"/>
        <w:numPr>
          <w:ilvl w:val="0"/>
          <w:numId w:val="37"/>
        </w:numPr>
        <w:rPr>
          <w:rFonts w:cstheme="minorHAnsi"/>
          <w:szCs w:val="22"/>
        </w:rPr>
      </w:pPr>
      <w:r w:rsidRPr="00D727CA">
        <w:rPr>
          <w:rFonts w:cstheme="minorHAnsi"/>
          <w:szCs w:val="22"/>
        </w:rPr>
        <w:t xml:space="preserve">Created </w:t>
      </w:r>
      <w:r w:rsidR="00F7291A" w:rsidRPr="00D727CA">
        <w:rPr>
          <w:rFonts w:cstheme="minorHAnsi"/>
          <w:szCs w:val="22"/>
        </w:rPr>
        <w:t xml:space="preserve">the following </w:t>
      </w:r>
      <w:r w:rsidRPr="00D727CA">
        <w:rPr>
          <w:rFonts w:cstheme="minorHAnsi"/>
          <w:szCs w:val="22"/>
        </w:rPr>
        <w:t xml:space="preserve">new Measure </w:t>
      </w:r>
      <w:r w:rsidR="00065127">
        <w:rPr>
          <w:rFonts w:cstheme="minorHAnsi"/>
          <w:szCs w:val="22"/>
        </w:rPr>
        <w:t xml:space="preserve">Description </w:t>
      </w:r>
      <w:r w:rsidRPr="00D727CA">
        <w:rPr>
          <w:rFonts w:cstheme="minorHAnsi"/>
          <w:szCs w:val="22"/>
        </w:rPr>
        <w:t>Cost IDs</w:t>
      </w:r>
      <w:r w:rsidR="00F7291A" w:rsidRPr="00D727CA">
        <w:rPr>
          <w:rFonts w:cstheme="minorHAnsi"/>
          <w:szCs w:val="22"/>
        </w:rPr>
        <w:t xml:space="preserve"> (Norm Unit: KiloLumen</w:t>
      </w:r>
      <w:r w:rsidR="005A1353" w:rsidRPr="00D727CA">
        <w:rPr>
          <w:rFonts w:cstheme="minorHAnsi"/>
          <w:szCs w:val="22"/>
        </w:rPr>
        <w:t>)</w:t>
      </w:r>
    </w:p>
    <w:tbl>
      <w:tblPr>
        <w:tblStyle w:val="TableGrid"/>
        <w:tblW w:w="9180" w:type="dxa"/>
        <w:tblInd w:w="445" w:type="dxa"/>
        <w:tblLook w:val="04A0" w:firstRow="1" w:lastRow="0" w:firstColumn="1" w:lastColumn="0" w:noHBand="0" w:noVBand="1"/>
      </w:tblPr>
      <w:tblGrid>
        <w:gridCol w:w="1619"/>
        <w:gridCol w:w="2968"/>
        <w:gridCol w:w="1080"/>
        <w:gridCol w:w="990"/>
        <w:gridCol w:w="1173"/>
        <w:gridCol w:w="1350"/>
      </w:tblGrid>
      <w:tr w:rsidR="003E0AFB" w:rsidRPr="00D727CA" w14:paraId="733A5B37" w14:textId="611DC759" w:rsidTr="005D3DDC">
        <w:tc>
          <w:tcPr>
            <w:tcW w:w="1619" w:type="dxa"/>
            <w:vAlign w:val="center"/>
          </w:tcPr>
          <w:p w14:paraId="3B3D4285" w14:textId="30FE1711" w:rsidR="003E0AFB" w:rsidRPr="00BA726B" w:rsidRDefault="003E0AFB" w:rsidP="005E49BC">
            <w:pPr>
              <w:pStyle w:val="ListParagraph"/>
              <w:ind w:left="0"/>
              <w:rPr>
                <w:rFonts w:cstheme="minorHAnsi"/>
                <w:b/>
                <w:szCs w:val="22"/>
              </w:rPr>
            </w:pPr>
            <w:bookmarkStart w:id="3" w:name="_Hlk499922968"/>
            <w:r w:rsidRPr="00BA726B">
              <w:rPr>
                <w:rFonts w:cstheme="minorHAnsi"/>
                <w:b/>
                <w:szCs w:val="22"/>
              </w:rPr>
              <w:t>Product Code</w:t>
            </w:r>
          </w:p>
        </w:tc>
        <w:tc>
          <w:tcPr>
            <w:tcW w:w="2968" w:type="dxa"/>
            <w:vAlign w:val="center"/>
          </w:tcPr>
          <w:p w14:paraId="524F017C" w14:textId="62DF64CA" w:rsidR="003E0AFB" w:rsidRPr="00BA726B" w:rsidRDefault="00BB0287" w:rsidP="003E0AFB">
            <w:pPr>
              <w:pStyle w:val="ListParagraph"/>
              <w:ind w:left="0"/>
              <w:jc w:val="center"/>
              <w:rPr>
                <w:rFonts w:cstheme="minorHAnsi"/>
                <w:b/>
                <w:szCs w:val="22"/>
              </w:rPr>
            </w:pPr>
            <w:r w:rsidRPr="00BA726B">
              <w:rPr>
                <w:rFonts w:cstheme="minorHAnsi"/>
                <w:b/>
                <w:szCs w:val="22"/>
              </w:rPr>
              <w:t>PG</w:t>
            </w:r>
            <w:r w:rsidR="00893A85">
              <w:rPr>
                <w:rFonts w:cstheme="minorHAnsi"/>
                <w:b/>
                <w:szCs w:val="22"/>
              </w:rPr>
              <w:t>&amp;</w:t>
            </w:r>
            <w:r w:rsidRPr="00BA726B">
              <w:rPr>
                <w:rFonts w:cstheme="minorHAnsi"/>
                <w:b/>
                <w:szCs w:val="22"/>
              </w:rPr>
              <w:t xml:space="preserve">E/ </w:t>
            </w:r>
            <w:r w:rsidR="003E0AFB" w:rsidRPr="00BA726B">
              <w:rPr>
                <w:rFonts w:cstheme="minorHAnsi"/>
                <w:b/>
                <w:szCs w:val="22"/>
              </w:rPr>
              <w:t>SDG</w:t>
            </w:r>
            <w:r w:rsidR="00893A85">
              <w:rPr>
                <w:rFonts w:cstheme="minorHAnsi"/>
                <w:b/>
                <w:szCs w:val="22"/>
              </w:rPr>
              <w:t>&amp;</w:t>
            </w:r>
            <w:r w:rsidR="003E0AFB" w:rsidRPr="00BA726B">
              <w:rPr>
                <w:rFonts w:cstheme="minorHAnsi"/>
                <w:b/>
                <w:szCs w:val="22"/>
              </w:rPr>
              <w:t xml:space="preserve">E Measure </w:t>
            </w:r>
            <w:r w:rsidR="001032E6" w:rsidRPr="00BA726B">
              <w:rPr>
                <w:rFonts w:cstheme="minorHAnsi"/>
                <w:b/>
                <w:szCs w:val="22"/>
              </w:rPr>
              <w:t>Description</w:t>
            </w:r>
          </w:p>
        </w:tc>
        <w:tc>
          <w:tcPr>
            <w:tcW w:w="1080" w:type="dxa"/>
            <w:vAlign w:val="center"/>
          </w:tcPr>
          <w:p w14:paraId="3BF8D70D" w14:textId="77777777" w:rsidR="003E0AFB" w:rsidRPr="00BA726B" w:rsidRDefault="003E0AFB" w:rsidP="003E0AFB">
            <w:pPr>
              <w:pStyle w:val="ListParagraph"/>
              <w:ind w:left="0"/>
              <w:rPr>
                <w:rFonts w:cstheme="minorHAnsi"/>
                <w:b/>
                <w:szCs w:val="22"/>
              </w:rPr>
            </w:pPr>
            <w:r w:rsidRPr="00BA726B">
              <w:rPr>
                <w:rFonts w:cstheme="minorHAnsi"/>
                <w:b/>
                <w:szCs w:val="22"/>
              </w:rPr>
              <w:t xml:space="preserve"> Measure Cost </w:t>
            </w:r>
          </w:p>
          <w:p w14:paraId="545EE1DE" w14:textId="27850027" w:rsidR="003E0AFB" w:rsidRPr="00BA726B" w:rsidRDefault="003E0AFB" w:rsidP="003E0AFB">
            <w:pPr>
              <w:pStyle w:val="ListParagraph"/>
              <w:ind w:left="0"/>
              <w:rPr>
                <w:rFonts w:cstheme="minorHAnsi"/>
                <w:b/>
                <w:szCs w:val="22"/>
              </w:rPr>
            </w:pPr>
            <w:r w:rsidRPr="00BA726B">
              <w:rPr>
                <w:rFonts w:cstheme="minorHAnsi"/>
                <w:b/>
                <w:szCs w:val="22"/>
              </w:rPr>
              <w:t>($/unit)</w:t>
            </w:r>
          </w:p>
        </w:tc>
        <w:tc>
          <w:tcPr>
            <w:tcW w:w="990" w:type="dxa"/>
            <w:vAlign w:val="center"/>
          </w:tcPr>
          <w:p w14:paraId="570BDAD0" w14:textId="03C414DE" w:rsidR="003E0AFB" w:rsidRPr="00BA726B" w:rsidRDefault="003E0AFB" w:rsidP="003E0AFB">
            <w:pPr>
              <w:pStyle w:val="ListParagraph"/>
              <w:ind w:left="0"/>
              <w:rPr>
                <w:rFonts w:cstheme="minorHAnsi"/>
                <w:b/>
                <w:szCs w:val="22"/>
              </w:rPr>
            </w:pPr>
            <w:r w:rsidRPr="00BA726B">
              <w:rPr>
                <w:rFonts w:cstheme="minorHAnsi"/>
                <w:b/>
                <w:szCs w:val="22"/>
              </w:rPr>
              <w:t>Labor Cost ($/unit)</w:t>
            </w:r>
          </w:p>
        </w:tc>
        <w:tc>
          <w:tcPr>
            <w:tcW w:w="1173" w:type="dxa"/>
            <w:vAlign w:val="center"/>
          </w:tcPr>
          <w:p w14:paraId="7CD63D3E" w14:textId="77777777" w:rsidR="003E0AFB" w:rsidRPr="00BA726B" w:rsidRDefault="003E0AFB" w:rsidP="003E0AFB">
            <w:pPr>
              <w:pStyle w:val="ListParagraph"/>
              <w:ind w:left="0"/>
              <w:rPr>
                <w:rFonts w:cstheme="minorHAnsi"/>
                <w:b/>
                <w:szCs w:val="22"/>
              </w:rPr>
            </w:pPr>
            <w:r w:rsidRPr="00BA726B">
              <w:rPr>
                <w:rFonts w:cstheme="minorHAnsi"/>
                <w:b/>
                <w:szCs w:val="22"/>
              </w:rPr>
              <w:t xml:space="preserve">Nominal Cost </w:t>
            </w:r>
          </w:p>
          <w:p w14:paraId="41F87201" w14:textId="31F0F863" w:rsidR="003E0AFB" w:rsidRPr="00BA726B" w:rsidRDefault="003E0AFB" w:rsidP="003E0AFB">
            <w:pPr>
              <w:pStyle w:val="ListParagraph"/>
              <w:ind w:left="0"/>
              <w:rPr>
                <w:rFonts w:cstheme="minorHAnsi"/>
                <w:b/>
                <w:szCs w:val="22"/>
              </w:rPr>
            </w:pPr>
            <w:r w:rsidRPr="00BA726B">
              <w:rPr>
                <w:rFonts w:cstheme="minorHAnsi"/>
                <w:b/>
                <w:szCs w:val="22"/>
              </w:rPr>
              <w:t>($/unit):</w:t>
            </w:r>
          </w:p>
        </w:tc>
        <w:tc>
          <w:tcPr>
            <w:tcW w:w="1350" w:type="dxa"/>
            <w:vAlign w:val="center"/>
          </w:tcPr>
          <w:p w14:paraId="4E75971E" w14:textId="6190747B" w:rsidR="003E0AFB" w:rsidRPr="00BA726B" w:rsidRDefault="003E0AFB" w:rsidP="003E0AFB">
            <w:pPr>
              <w:pStyle w:val="ListParagraph"/>
              <w:ind w:left="0"/>
              <w:rPr>
                <w:rFonts w:cstheme="minorHAnsi"/>
                <w:b/>
                <w:szCs w:val="22"/>
              </w:rPr>
            </w:pPr>
            <w:r w:rsidRPr="00BA726B">
              <w:rPr>
                <w:rFonts w:cstheme="minorHAnsi"/>
                <w:b/>
                <w:szCs w:val="22"/>
              </w:rPr>
              <w:t>Incremental Cost ($/unit)</w:t>
            </w:r>
          </w:p>
        </w:tc>
      </w:tr>
      <w:tr w:rsidR="003661F4" w:rsidRPr="00D727CA" w14:paraId="37362C93" w14:textId="0A27DF18" w:rsidTr="005D3DDC">
        <w:tc>
          <w:tcPr>
            <w:tcW w:w="1619" w:type="dxa"/>
            <w:vAlign w:val="center"/>
          </w:tcPr>
          <w:p w14:paraId="56C9706E" w14:textId="0BE59E24" w:rsidR="003661F4" w:rsidRPr="00BA726B" w:rsidRDefault="003A4EE3" w:rsidP="003661F4">
            <w:pPr>
              <w:pStyle w:val="Default"/>
              <w:rPr>
                <w:rFonts w:asciiTheme="minorHAnsi" w:hAnsiTheme="minorHAnsi" w:cstheme="minorHAnsi"/>
                <w:sz w:val="22"/>
                <w:szCs w:val="22"/>
              </w:rPr>
            </w:pPr>
            <w:bookmarkStart w:id="4" w:name="_Hlk499924534"/>
            <w:r>
              <w:rPr>
                <w:rFonts w:asciiTheme="minorHAnsi" w:hAnsiTheme="minorHAnsi" w:cstheme="minorHAnsi"/>
                <w:sz w:val="22"/>
                <w:szCs w:val="22"/>
              </w:rPr>
              <w:t>Refer to SDG&amp;E EAD tables</w:t>
            </w:r>
            <w:r w:rsidR="003661F4" w:rsidRPr="00BA726B">
              <w:rPr>
                <w:rFonts w:asciiTheme="minorHAnsi" w:hAnsiTheme="minorHAnsi" w:cstheme="minorHAnsi"/>
                <w:sz w:val="22"/>
                <w:szCs w:val="22"/>
              </w:rPr>
              <w:t xml:space="preserve"> </w:t>
            </w:r>
          </w:p>
        </w:tc>
        <w:tc>
          <w:tcPr>
            <w:tcW w:w="2968" w:type="dxa"/>
            <w:vAlign w:val="center"/>
          </w:tcPr>
          <w:p w14:paraId="08EB0415" w14:textId="7D055EA8" w:rsidR="003661F4" w:rsidRPr="00BA726B" w:rsidRDefault="003661F4" w:rsidP="003661F4">
            <w:pPr>
              <w:rPr>
                <w:rFonts w:cstheme="minorHAnsi"/>
                <w:szCs w:val="22"/>
              </w:rPr>
            </w:pPr>
            <w:r w:rsidRPr="00BA726B">
              <w:rPr>
                <w:rFonts w:cstheme="minorHAnsi"/>
                <w:szCs w:val="22"/>
              </w:rPr>
              <w:t xml:space="preserve">LED troffer new Luminaires and Retrofit kits rated greater than or equal to 125 LPW </w:t>
            </w:r>
            <w:r w:rsidR="00636E25">
              <w:rPr>
                <w:rFonts w:cstheme="minorHAnsi"/>
                <w:szCs w:val="22"/>
              </w:rPr>
              <w:t xml:space="preserve">up </w:t>
            </w:r>
            <w:r w:rsidR="00AC58C6" w:rsidRPr="00BA726B">
              <w:rPr>
                <w:rFonts w:cstheme="minorHAnsi"/>
                <w:szCs w:val="22"/>
              </w:rPr>
              <w:t xml:space="preserve">to 139 </w:t>
            </w:r>
            <w:r w:rsidRPr="00BA726B">
              <w:rPr>
                <w:rFonts w:cstheme="minorHAnsi"/>
                <w:szCs w:val="22"/>
              </w:rPr>
              <w:t>LPW</w:t>
            </w:r>
          </w:p>
        </w:tc>
        <w:tc>
          <w:tcPr>
            <w:tcW w:w="1080" w:type="dxa"/>
            <w:vAlign w:val="center"/>
          </w:tcPr>
          <w:p w14:paraId="3B083E1F" w14:textId="700ADB88" w:rsidR="003661F4" w:rsidRPr="00BA726B" w:rsidRDefault="003661F4" w:rsidP="0077196A">
            <w:pPr>
              <w:pStyle w:val="ListParagraph"/>
              <w:ind w:left="0"/>
              <w:jc w:val="center"/>
              <w:rPr>
                <w:rFonts w:cstheme="minorHAnsi"/>
                <w:bCs/>
                <w:szCs w:val="22"/>
              </w:rPr>
            </w:pPr>
            <w:r w:rsidRPr="00BA726B">
              <w:rPr>
                <w:rFonts w:cstheme="minorHAnsi"/>
                <w:bCs/>
                <w:szCs w:val="22"/>
              </w:rPr>
              <w:t>$28.60</w:t>
            </w:r>
          </w:p>
        </w:tc>
        <w:tc>
          <w:tcPr>
            <w:tcW w:w="990" w:type="dxa"/>
            <w:vAlign w:val="center"/>
          </w:tcPr>
          <w:p w14:paraId="4643F058" w14:textId="7ACAAA0B" w:rsidR="003661F4" w:rsidRPr="00BA726B" w:rsidRDefault="003661F4" w:rsidP="0077196A">
            <w:pPr>
              <w:pStyle w:val="ListParagraph"/>
              <w:ind w:left="0"/>
              <w:jc w:val="center"/>
              <w:rPr>
                <w:rFonts w:cstheme="minorHAnsi"/>
                <w:szCs w:val="22"/>
              </w:rPr>
            </w:pPr>
            <w:r w:rsidRPr="00BA726B">
              <w:rPr>
                <w:rFonts w:cstheme="minorHAnsi"/>
                <w:szCs w:val="22"/>
              </w:rPr>
              <w:t>$2</w:t>
            </w:r>
            <w:r w:rsidR="00A43248" w:rsidRPr="00BA726B">
              <w:rPr>
                <w:rFonts w:cstheme="minorHAnsi"/>
                <w:szCs w:val="22"/>
              </w:rPr>
              <w:t>0</w:t>
            </w:r>
            <w:r w:rsidRPr="00BA726B">
              <w:rPr>
                <w:rFonts w:cstheme="minorHAnsi"/>
                <w:szCs w:val="22"/>
              </w:rPr>
              <w:t>.</w:t>
            </w:r>
            <w:r w:rsidR="00A43248" w:rsidRPr="00BA726B">
              <w:rPr>
                <w:rFonts w:cstheme="minorHAnsi"/>
                <w:szCs w:val="22"/>
              </w:rPr>
              <w:t>97</w:t>
            </w:r>
          </w:p>
        </w:tc>
        <w:tc>
          <w:tcPr>
            <w:tcW w:w="1173" w:type="dxa"/>
            <w:vAlign w:val="center"/>
          </w:tcPr>
          <w:p w14:paraId="37684BF1" w14:textId="470F7E94" w:rsidR="003661F4" w:rsidRPr="00BA726B" w:rsidRDefault="003661F4" w:rsidP="0077196A">
            <w:pPr>
              <w:pStyle w:val="ListParagraph"/>
              <w:ind w:left="0"/>
              <w:jc w:val="center"/>
              <w:rPr>
                <w:rFonts w:cstheme="minorHAnsi"/>
                <w:szCs w:val="22"/>
              </w:rPr>
            </w:pPr>
            <w:r w:rsidRPr="00BA726B">
              <w:rPr>
                <w:rFonts w:cstheme="minorHAnsi"/>
                <w:szCs w:val="22"/>
              </w:rPr>
              <w:t>$49.</w:t>
            </w:r>
            <w:r w:rsidR="00EC0D9F" w:rsidRPr="00BA726B">
              <w:rPr>
                <w:rFonts w:cstheme="minorHAnsi"/>
                <w:szCs w:val="22"/>
              </w:rPr>
              <w:t>57</w:t>
            </w:r>
          </w:p>
        </w:tc>
        <w:tc>
          <w:tcPr>
            <w:tcW w:w="1350" w:type="dxa"/>
            <w:vAlign w:val="center"/>
          </w:tcPr>
          <w:p w14:paraId="36A65E42" w14:textId="788C24FB" w:rsidR="003661F4" w:rsidRPr="00BA726B" w:rsidRDefault="003661F4" w:rsidP="0077196A">
            <w:pPr>
              <w:pStyle w:val="ListParagraph"/>
              <w:ind w:left="0"/>
              <w:jc w:val="center"/>
              <w:rPr>
                <w:rFonts w:cstheme="minorHAnsi"/>
                <w:szCs w:val="22"/>
              </w:rPr>
            </w:pPr>
            <w:r w:rsidRPr="00BA726B">
              <w:rPr>
                <w:rFonts w:cstheme="minorHAnsi"/>
                <w:bCs/>
                <w:szCs w:val="22"/>
              </w:rPr>
              <w:t>$6.</w:t>
            </w:r>
            <w:r w:rsidR="00487F1D" w:rsidRPr="00BA726B">
              <w:rPr>
                <w:rFonts w:cstheme="minorHAnsi"/>
                <w:bCs/>
                <w:szCs w:val="22"/>
              </w:rPr>
              <w:t>12</w:t>
            </w:r>
          </w:p>
        </w:tc>
      </w:tr>
      <w:tr w:rsidR="003661F4" w:rsidRPr="00D727CA" w14:paraId="0B4B7B4C" w14:textId="0A6CD056" w:rsidTr="005D3DDC">
        <w:tc>
          <w:tcPr>
            <w:tcW w:w="1619" w:type="dxa"/>
            <w:vAlign w:val="center"/>
          </w:tcPr>
          <w:p w14:paraId="0DC56954" w14:textId="488E7BBA" w:rsidR="003661F4" w:rsidRPr="00BA726B" w:rsidRDefault="003A4EE3" w:rsidP="003661F4">
            <w:pPr>
              <w:rPr>
                <w:rFonts w:cstheme="minorHAnsi"/>
                <w:szCs w:val="22"/>
              </w:rPr>
            </w:pPr>
            <w:r>
              <w:rPr>
                <w:rFonts w:cstheme="minorHAnsi"/>
                <w:szCs w:val="22"/>
              </w:rPr>
              <w:t>Refer to SDG&amp;E EAD tables</w:t>
            </w:r>
          </w:p>
        </w:tc>
        <w:tc>
          <w:tcPr>
            <w:tcW w:w="2968" w:type="dxa"/>
            <w:vAlign w:val="center"/>
          </w:tcPr>
          <w:p w14:paraId="69666A92" w14:textId="13B26EF4" w:rsidR="003661F4" w:rsidRPr="00BA726B" w:rsidRDefault="003661F4" w:rsidP="003661F4">
            <w:pPr>
              <w:rPr>
                <w:rFonts w:cstheme="minorHAnsi"/>
                <w:szCs w:val="22"/>
              </w:rPr>
            </w:pPr>
            <w:r w:rsidRPr="00BA726B">
              <w:rPr>
                <w:rFonts w:cstheme="minorHAnsi"/>
                <w:szCs w:val="22"/>
              </w:rPr>
              <w:t>LED troffer new Luminaires and Retrofit kits rated greater than or equal to 140 LPW</w:t>
            </w:r>
          </w:p>
        </w:tc>
        <w:tc>
          <w:tcPr>
            <w:tcW w:w="1080" w:type="dxa"/>
            <w:vAlign w:val="center"/>
          </w:tcPr>
          <w:p w14:paraId="19133F94" w14:textId="5B7412D4" w:rsidR="003661F4" w:rsidRPr="00BA726B" w:rsidRDefault="003661F4" w:rsidP="0077196A">
            <w:pPr>
              <w:pStyle w:val="ListParagraph"/>
              <w:ind w:left="0"/>
              <w:jc w:val="center"/>
              <w:rPr>
                <w:rFonts w:cstheme="minorHAnsi"/>
                <w:bCs/>
                <w:szCs w:val="22"/>
              </w:rPr>
            </w:pPr>
            <w:r w:rsidRPr="00BA726B">
              <w:rPr>
                <w:rFonts w:cstheme="minorHAnsi"/>
                <w:bCs/>
                <w:szCs w:val="22"/>
              </w:rPr>
              <w:t>$</w:t>
            </w:r>
            <w:r w:rsidR="000C0F45" w:rsidRPr="00BA726B">
              <w:rPr>
                <w:rFonts w:cstheme="minorHAnsi"/>
                <w:bCs/>
                <w:szCs w:val="22"/>
              </w:rPr>
              <w:t>2</w:t>
            </w:r>
            <w:r w:rsidR="00EC0D9F" w:rsidRPr="00BA726B">
              <w:rPr>
                <w:rFonts w:cstheme="minorHAnsi"/>
                <w:bCs/>
                <w:szCs w:val="22"/>
              </w:rPr>
              <w:t>8.93</w:t>
            </w:r>
          </w:p>
        </w:tc>
        <w:tc>
          <w:tcPr>
            <w:tcW w:w="990" w:type="dxa"/>
            <w:vAlign w:val="center"/>
          </w:tcPr>
          <w:p w14:paraId="127AD0C2" w14:textId="0F416BE2" w:rsidR="003661F4" w:rsidRPr="00BA726B" w:rsidRDefault="003661F4" w:rsidP="0077196A">
            <w:pPr>
              <w:pStyle w:val="ListParagraph"/>
              <w:ind w:left="0"/>
              <w:jc w:val="center"/>
              <w:rPr>
                <w:rFonts w:cstheme="minorHAnsi"/>
                <w:szCs w:val="22"/>
              </w:rPr>
            </w:pPr>
            <w:r w:rsidRPr="00BA726B">
              <w:rPr>
                <w:rFonts w:cstheme="minorHAnsi"/>
                <w:szCs w:val="22"/>
              </w:rPr>
              <w:t>$2</w:t>
            </w:r>
            <w:r w:rsidR="00EC0D9F" w:rsidRPr="00BA726B">
              <w:rPr>
                <w:rFonts w:cstheme="minorHAnsi"/>
                <w:szCs w:val="22"/>
              </w:rPr>
              <w:t>0.97</w:t>
            </w:r>
          </w:p>
        </w:tc>
        <w:tc>
          <w:tcPr>
            <w:tcW w:w="1173" w:type="dxa"/>
            <w:vAlign w:val="center"/>
          </w:tcPr>
          <w:p w14:paraId="0CA75A9A" w14:textId="1C71B52A" w:rsidR="003661F4" w:rsidRPr="00BA726B" w:rsidRDefault="003661F4" w:rsidP="0077196A">
            <w:pPr>
              <w:pStyle w:val="ListParagraph"/>
              <w:ind w:left="0"/>
              <w:jc w:val="center"/>
              <w:rPr>
                <w:rFonts w:cstheme="minorHAnsi"/>
                <w:szCs w:val="22"/>
              </w:rPr>
            </w:pPr>
            <w:r w:rsidRPr="00BA726B">
              <w:rPr>
                <w:rFonts w:cstheme="minorHAnsi"/>
                <w:szCs w:val="22"/>
              </w:rPr>
              <w:t>$</w:t>
            </w:r>
            <w:r w:rsidR="007E1AF6" w:rsidRPr="00BA726B">
              <w:rPr>
                <w:rFonts w:cstheme="minorHAnsi"/>
                <w:szCs w:val="22"/>
              </w:rPr>
              <w:t>4</w:t>
            </w:r>
            <w:r w:rsidRPr="00BA726B">
              <w:rPr>
                <w:rFonts w:cstheme="minorHAnsi"/>
                <w:szCs w:val="22"/>
              </w:rPr>
              <w:t>9.</w:t>
            </w:r>
            <w:r w:rsidR="007E1AF6" w:rsidRPr="00BA726B">
              <w:rPr>
                <w:rFonts w:cstheme="minorHAnsi"/>
                <w:szCs w:val="22"/>
              </w:rPr>
              <w:t>9</w:t>
            </w:r>
            <w:r w:rsidR="000C0F45" w:rsidRPr="00BA726B">
              <w:rPr>
                <w:rFonts w:cstheme="minorHAnsi"/>
                <w:szCs w:val="22"/>
              </w:rPr>
              <w:t>0</w:t>
            </w:r>
          </w:p>
        </w:tc>
        <w:tc>
          <w:tcPr>
            <w:tcW w:w="1350" w:type="dxa"/>
            <w:vAlign w:val="center"/>
          </w:tcPr>
          <w:p w14:paraId="0B812DB1" w14:textId="3451BE1F" w:rsidR="003661F4" w:rsidRPr="00BA726B" w:rsidRDefault="00BA726B" w:rsidP="0077196A">
            <w:pPr>
              <w:pStyle w:val="ListParagraph"/>
              <w:ind w:left="0"/>
              <w:jc w:val="center"/>
              <w:rPr>
                <w:rFonts w:cstheme="minorHAnsi"/>
                <w:szCs w:val="22"/>
              </w:rPr>
            </w:pPr>
            <w:r w:rsidRPr="00BA726B">
              <w:rPr>
                <w:rFonts w:cstheme="minorHAnsi"/>
                <w:color w:val="000000"/>
                <w:szCs w:val="22"/>
              </w:rPr>
              <w:t>$6.45</w:t>
            </w:r>
          </w:p>
        </w:tc>
      </w:tr>
      <w:tr w:rsidR="003661F4" w:rsidRPr="00D727CA" w14:paraId="5DE47888" w14:textId="3253E034" w:rsidTr="005D3DDC">
        <w:tc>
          <w:tcPr>
            <w:tcW w:w="1619" w:type="dxa"/>
            <w:vAlign w:val="center"/>
          </w:tcPr>
          <w:p w14:paraId="7D401C94" w14:textId="710001D7" w:rsidR="003661F4" w:rsidRPr="00BA726B" w:rsidRDefault="003A4EE3" w:rsidP="003661F4">
            <w:pPr>
              <w:rPr>
                <w:rFonts w:cstheme="minorHAnsi"/>
                <w:szCs w:val="22"/>
              </w:rPr>
            </w:pPr>
            <w:r>
              <w:rPr>
                <w:rFonts w:cstheme="minorHAnsi"/>
                <w:szCs w:val="22"/>
              </w:rPr>
              <w:t>Refer to SDG&amp;E EAD tables</w:t>
            </w:r>
          </w:p>
        </w:tc>
        <w:tc>
          <w:tcPr>
            <w:tcW w:w="2968" w:type="dxa"/>
            <w:vAlign w:val="center"/>
          </w:tcPr>
          <w:p w14:paraId="64E1372B" w14:textId="5B810D2B" w:rsidR="003661F4" w:rsidRPr="00BA726B" w:rsidRDefault="003661F4" w:rsidP="003661F4">
            <w:pPr>
              <w:rPr>
                <w:rFonts w:cstheme="minorHAnsi"/>
                <w:szCs w:val="22"/>
              </w:rPr>
            </w:pPr>
            <w:r w:rsidRPr="00BA726B">
              <w:rPr>
                <w:rFonts w:cstheme="minorHAnsi"/>
                <w:szCs w:val="22"/>
              </w:rPr>
              <w:t xml:space="preserve">LED linear ambient new Luminaires and Retrofit kits rated greater than or equal to 125 LPW </w:t>
            </w:r>
            <w:r w:rsidR="00636E25">
              <w:rPr>
                <w:rFonts w:cstheme="minorHAnsi"/>
                <w:szCs w:val="22"/>
              </w:rPr>
              <w:t xml:space="preserve">up </w:t>
            </w:r>
            <w:r w:rsidR="00AC58C6" w:rsidRPr="00BA726B">
              <w:rPr>
                <w:rFonts w:cstheme="minorHAnsi"/>
                <w:szCs w:val="22"/>
              </w:rPr>
              <w:t>to 139 LPW.</w:t>
            </w:r>
          </w:p>
        </w:tc>
        <w:tc>
          <w:tcPr>
            <w:tcW w:w="1080" w:type="dxa"/>
            <w:vAlign w:val="center"/>
          </w:tcPr>
          <w:p w14:paraId="2F0E5CDD" w14:textId="25B8AC24" w:rsidR="003661F4" w:rsidRPr="00BA726B" w:rsidRDefault="003661F4" w:rsidP="0077196A">
            <w:pPr>
              <w:pStyle w:val="ListParagraph"/>
              <w:ind w:left="0"/>
              <w:jc w:val="center"/>
              <w:rPr>
                <w:rFonts w:cstheme="minorHAnsi"/>
                <w:szCs w:val="22"/>
              </w:rPr>
            </w:pPr>
            <w:r w:rsidRPr="00BA726B">
              <w:rPr>
                <w:rFonts w:cstheme="minorHAnsi"/>
                <w:szCs w:val="22"/>
              </w:rPr>
              <w:t>$</w:t>
            </w:r>
            <w:r w:rsidR="000C0F45" w:rsidRPr="00BA726B">
              <w:rPr>
                <w:rFonts w:cstheme="minorHAnsi"/>
                <w:szCs w:val="22"/>
              </w:rPr>
              <w:t>3</w:t>
            </w:r>
            <w:r w:rsidRPr="00BA726B">
              <w:rPr>
                <w:rFonts w:cstheme="minorHAnsi"/>
                <w:szCs w:val="22"/>
              </w:rPr>
              <w:t>1.</w:t>
            </w:r>
            <w:r w:rsidR="000C0F45" w:rsidRPr="00BA726B">
              <w:rPr>
                <w:rFonts w:cstheme="minorHAnsi"/>
                <w:szCs w:val="22"/>
              </w:rPr>
              <w:t>75</w:t>
            </w:r>
          </w:p>
        </w:tc>
        <w:tc>
          <w:tcPr>
            <w:tcW w:w="990" w:type="dxa"/>
            <w:vAlign w:val="center"/>
          </w:tcPr>
          <w:p w14:paraId="550D67DF" w14:textId="7BAB6459" w:rsidR="003661F4" w:rsidRPr="00BA726B" w:rsidRDefault="003661F4" w:rsidP="0077196A">
            <w:pPr>
              <w:pStyle w:val="ListParagraph"/>
              <w:ind w:left="0"/>
              <w:jc w:val="center"/>
              <w:rPr>
                <w:rFonts w:cstheme="minorHAnsi"/>
                <w:szCs w:val="22"/>
              </w:rPr>
            </w:pPr>
            <w:r w:rsidRPr="00BA726B">
              <w:rPr>
                <w:rFonts w:cstheme="minorHAnsi"/>
                <w:szCs w:val="22"/>
              </w:rPr>
              <w:t>$2</w:t>
            </w:r>
            <w:r w:rsidR="00EC0D9F" w:rsidRPr="00BA726B">
              <w:rPr>
                <w:rFonts w:cstheme="minorHAnsi"/>
                <w:szCs w:val="22"/>
              </w:rPr>
              <w:t>0.9</w:t>
            </w:r>
            <w:r w:rsidRPr="00BA726B">
              <w:rPr>
                <w:rFonts w:cstheme="minorHAnsi"/>
                <w:szCs w:val="22"/>
              </w:rPr>
              <w:t>7</w:t>
            </w:r>
          </w:p>
        </w:tc>
        <w:tc>
          <w:tcPr>
            <w:tcW w:w="1173" w:type="dxa"/>
            <w:vAlign w:val="center"/>
          </w:tcPr>
          <w:p w14:paraId="7E56AAD4" w14:textId="6C24316F" w:rsidR="003661F4" w:rsidRPr="00BA726B" w:rsidRDefault="003661F4" w:rsidP="0077196A">
            <w:pPr>
              <w:pStyle w:val="ListParagraph"/>
              <w:ind w:left="0"/>
              <w:jc w:val="center"/>
              <w:rPr>
                <w:rFonts w:cstheme="minorHAnsi"/>
                <w:szCs w:val="22"/>
              </w:rPr>
            </w:pPr>
            <w:r w:rsidRPr="00BA726B">
              <w:rPr>
                <w:rFonts w:cstheme="minorHAnsi"/>
                <w:szCs w:val="22"/>
              </w:rPr>
              <w:t>$</w:t>
            </w:r>
            <w:r w:rsidR="0077196A" w:rsidRPr="00BA726B">
              <w:rPr>
                <w:rFonts w:cstheme="minorHAnsi"/>
                <w:szCs w:val="22"/>
              </w:rPr>
              <w:t>5</w:t>
            </w:r>
            <w:r w:rsidR="007E1AF6" w:rsidRPr="00BA726B">
              <w:rPr>
                <w:rFonts w:cstheme="minorHAnsi"/>
                <w:szCs w:val="22"/>
              </w:rPr>
              <w:t>2</w:t>
            </w:r>
            <w:r w:rsidRPr="00BA726B">
              <w:rPr>
                <w:rFonts w:cstheme="minorHAnsi"/>
                <w:szCs w:val="22"/>
              </w:rPr>
              <w:t>.</w:t>
            </w:r>
            <w:r w:rsidR="007E1AF6" w:rsidRPr="00BA726B">
              <w:rPr>
                <w:rFonts w:cstheme="minorHAnsi"/>
                <w:szCs w:val="22"/>
              </w:rPr>
              <w:t>72</w:t>
            </w:r>
          </w:p>
        </w:tc>
        <w:tc>
          <w:tcPr>
            <w:tcW w:w="1350" w:type="dxa"/>
            <w:vAlign w:val="center"/>
          </w:tcPr>
          <w:p w14:paraId="56CCEFF9" w14:textId="6DCA1CCA" w:rsidR="003661F4" w:rsidRPr="00BA726B" w:rsidRDefault="00BA726B" w:rsidP="0077196A">
            <w:pPr>
              <w:pStyle w:val="ListParagraph"/>
              <w:ind w:left="0"/>
              <w:jc w:val="center"/>
              <w:rPr>
                <w:rFonts w:cstheme="minorHAnsi"/>
                <w:szCs w:val="22"/>
              </w:rPr>
            </w:pPr>
            <w:r w:rsidRPr="00BA726B">
              <w:rPr>
                <w:rFonts w:cstheme="minorHAnsi"/>
                <w:color w:val="000000"/>
                <w:szCs w:val="22"/>
              </w:rPr>
              <w:t>$6.51</w:t>
            </w:r>
          </w:p>
        </w:tc>
      </w:tr>
      <w:tr w:rsidR="00BA726B" w:rsidRPr="00D727CA" w14:paraId="15ADBB43" w14:textId="4C6EA316" w:rsidTr="005D3DDC">
        <w:tc>
          <w:tcPr>
            <w:tcW w:w="1619" w:type="dxa"/>
            <w:vAlign w:val="center"/>
          </w:tcPr>
          <w:p w14:paraId="5EB3F251" w14:textId="29742ACC" w:rsidR="00BA726B" w:rsidRPr="00BA726B" w:rsidRDefault="003A4EE3" w:rsidP="00BA726B">
            <w:pPr>
              <w:rPr>
                <w:rFonts w:cstheme="minorHAnsi"/>
                <w:szCs w:val="22"/>
              </w:rPr>
            </w:pPr>
            <w:r>
              <w:rPr>
                <w:rFonts w:cstheme="minorHAnsi"/>
                <w:szCs w:val="22"/>
              </w:rPr>
              <w:t>Refer to SDG&amp;E EAD tables</w:t>
            </w:r>
          </w:p>
        </w:tc>
        <w:tc>
          <w:tcPr>
            <w:tcW w:w="2968" w:type="dxa"/>
            <w:vAlign w:val="center"/>
          </w:tcPr>
          <w:p w14:paraId="3863FAF9" w14:textId="128549BE" w:rsidR="00BA726B" w:rsidRPr="00BA726B" w:rsidRDefault="00BA726B" w:rsidP="00BA726B">
            <w:pPr>
              <w:rPr>
                <w:rFonts w:cstheme="minorHAnsi"/>
                <w:szCs w:val="22"/>
              </w:rPr>
            </w:pPr>
            <w:r w:rsidRPr="00BA726B">
              <w:rPr>
                <w:rFonts w:cstheme="minorHAnsi"/>
                <w:szCs w:val="22"/>
              </w:rPr>
              <w:t>LED linear ambient new Luminaires and Retrofit kits rated greater than or equal to 140 LPW</w:t>
            </w:r>
          </w:p>
        </w:tc>
        <w:tc>
          <w:tcPr>
            <w:tcW w:w="1080" w:type="dxa"/>
            <w:vAlign w:val="center"/>
          </w:tcPr>
          <w:p w14:paraId="6E9FEB5C" w14:textId="5F6633EF" w:rsidR="00BA726B" w:rsidRPr="00BA726B" w:rsidRDefault="00BA726B" w:rsidP="00BA726B">
            <w:pPr>
              <w:pStyle w:val="ListParagraph"/>
              <w:ind w:left="0"/>
              <w:jc w:val="center"/>
              <w:rPr>
                <w:rFonts w:cstheme="minorHAnsi"/>
                <w:bCs/>
                <w:szCs w:val="22"/>
              </w:rPr>
            </w:pPr>
            <w:r w:rsidRPr="00BA726B">
              <w:rPr>
                <w:rFonts w:cstheme="minorHAnsi"/>
                <w:bCs/>
                <w:szCs w:val="22"/>
              </w:rPr>
              <w:t>$33.13</w:t>
            </w:r>
          </w:p>
        </w:tc>
        <w:tc>
          <w:tcPr>
            <w:tcW w:w="990" w:type="dxa"/>
            <w:vAlign w:val="center"/>
          </w:tcPr>
          <w:p w14:paraId="08151E83" w14:textId="1DCE4B59" w:rsidR="00BA726B" w:rsidRPr="00BA726B" w:rsidRDefault="00BA726B" w:rsidP="00BA726B">
            <w:pPr>
              <w:pStyle w:val="ListParagraph"/>
              <w:ind w:left="0"/>
              <w:jc w:val="center"/>
              <w:rPr>
                <w:rFonts w:cstheme="minorHAnsi"/>
                <w:szCs w:val="22"/>
              </w:rPr>
            </w:pPr>
            <w:r w:rsidRPr="00BA726B">
              <w:rPr>
                <w:rFonts w:cstheme="minorHAnsi"/>
                <w:szCs w:val="22"/>
              </w:rPr>
              <w:t>$20.97</w:t>
            </w:r>
          </w:p>
        </w:tc>
        <w:tc>
          <w:tcPr>
            <w:tcW w:w="1173" w:type="dxa"/>
            <w:vAlign w:val="center"/>
          </w:tcPr>
          <w:p w14:paraId="2D404542" w14:textId="18FA2512" w:rsidR="00BA726B" w:rsidRPr="00BA726B" w:rsidRDefault="00BA726B" w:rsidP="00BA726B">
            <w:pPr>
              <w:pStyle w:val="ListParagraph"/>
              <w:ind w:left="0"/>
              <w:jc w:val="center"/>
              <w:rPr>
                <w:rFonts w:cstheme="minorHAnsi"/>
                <w:szCs w:val="22"/>
              </w:rPr>
            </w:pPr>
            <w:r w:rsidRPr="00BA726B">
              <w:rPr>
                <w:rFonts w:cstheme="minorHAnsi"/>
                <w:szCs w:val="22"/>
              </w:rPr>
              <w:t>$54.10</w:t>
            </w:r>
          </w:p>
        </w:tc>
        <w:tc>
          <w:tcPr>
            <w:tcW w:w="1350" w:type="dxa"/>
            <w:vAlign w:val="center"/>
          </w:tcPr>
          <w:p w14:paraId="4B735F27" w14:textId="1932099B" w:rsidR="00BA726B" w:rsidRPr="00BA726B" w:rsidRDefault="00BA726B" w:rsidP="00BA726B">
            <w:pPr>
              <w:pStyle w:val="ListParagraph"/>
              <w:ind w:left="0"/>
              <w:jc w:val="center"/>
              <w:rPr>
                <w:rFonts w:cstheme="minorHAnsi"/>
                <w:szCs w:val="22"/>
              </w:rPr>
            </w:pPr>
            <w:r w:rsidRPr="00BA726B">
              <w:rPr>
                <w:rFonts w:cstheme="minorHAnsi"/>
                <w:color w:val="000000"/>
                <w:szCs w:val="22"/>
              </w:rPr>
              <w:t>$7.89</w:t>
            </w:r>
          </w:p>
        </w:tc>
      </w:tr>
      <w:bookmarkEnd w:id="3"/>
      <w:bookmarkEnd w:id="4"/>
    </w:tbl>
    <w:p w14:paraId="3F315E54" w14:textId="349CE8FE" w:rsidR="0054132F" w:rsidRDefault="0054132F" w:rsidP="0054132F">
      <w:pPr>
        <w:pStyle w:val="ListParagraph"/>
        <w:rPr>
          <w:rFonts w:cstheme="minorHAnsi"/>
          <w:szCs w:val="22"/>
        </w:rPr>
      </w:pPr>
    </w:p>
    <w:p w14:paraId="21EBBFF5" w14:textId="0F64A150" w:rsidR="00F012E9" w:rsidRDefault="00F012E9">
      <w:pPr>
        <w:spacing w:after="200" w:line="276" w:lineRule="auto"/>
      </w:pPr>
      <w:r>
        <w:br w:type="page"/>
      </w:r>
    </w:p>
    <w:p w14:paraId="51C10949" w14:textId="77777777" w:rsidR="0025216C" w:rsidRDefault="00500D21" w:rsidP="008828CF">
      <w:pPr>
        <w:pStyle w:val="Heading2"/>
      </w:pPr>
      <w:r w:rsidRPr="005734A4">
        <w:lastRenderedPageBreak/>
        <w:t>Document Revision History</w:t>
      </w:r>
      <w:r w:rsidR="0025216C" w:rsidRPr="0025216C">
        <w:t xml:space="preserve"> </w:t>
      </w:r>
    </w:p>
    <w:tbl>
      <w:tblPr>
        <w:tblStyle w:val="TableGrid11"/>
        <w:tblW w:w="5000" w:type="pct"/>
        <w:tblLook w:val="01E0" w:firstRow="1" w:lastRow="1" w:firstColumn="1" w:lastColumn="1" w:noHBand="0" w:noVBand="0"/>
      </w:tblPr>
      <w:tblGrid>
        <w:gridCol w:w="524"/>
        <w:gridCol w:w="1275"/>
        <w:gridCol w:w="1649"/>
        <w:gridCol w:w="5902"/>
      </w:tblGrid>
      <w:tr w:rsidR="0025216C" w:rsidRPr="00500C4E" w14:paraId="23A37FD4" w14:textId="77777777" w:rsidTr="00116EE8">
        <w:trPr>
          <w:trHeight w:val="20"/>
        </w:trPr>
        <w:tc>
          <w:tcPr>
            <w:tcW w:w="280" w:type="pct"/>
            <w:shd w:val="clear" w:color="auto" w:fill="D9D9D9" w:themeFill="background1" w:themeFillShade="D9"/>
          </w:tcPr>
          <w:p w14:paraId="758E187F" w14:textId="77777777" w:rsidR="0025216C" w:rsidRPr="000E2B6B" w:rsidRDefault="0025216C" w:rsidP="004408C6">
            <w:pPr>
              <w:rPr>
                <w:rStyle w:val="Strong"/>
                <w:bCs w:val="0"/>
              </w:rPr>
            </w:pPr>
            <w:r w:rsidRPr="000E2B6B">
              <w:rPr>
                <w:rStyle w:val="Strong"/>
              </w:rPr>
              <w:t>Rev</w:t>
            </w:r>
          </w:p>
        </w:tc>
        <w:tc>
          <w:tcPr>
            <w:tcW w:w="682" w:type="pct"/>
            <w:shd w:val="clear" w:color="auto" w:fill="D9D9D9" w:themeFill="background1" w:themeFillShade="D9"/>
          </w:tcPr>
          <w:p w14:paraId="674EBE50" w14:textId="77777777" w:rsidR="0025216C" w:rsidRPr="000E2B6B" w:rsidRDefault="0025216C" w:rsidP="004408C6">
            <w:pPr>
              <w:rPr>
                <w:rStyle w:val="Strong"/>
                <w:bCs w:val="0"/>
              </w:rPr>
            </w:pPr>
            <w:r w:rsidRPr="000E2B6B">
              <w:rPr>
                <w:rStyle w:val="Strong"/>
              </w:rPr>
              <w:t>Date</w:t>
            </w:r>
          </w:p>
        </w:tc>
        <w:tc>
          <w:tcPr>
            <w:tcW w:w="882" w:type="pct"/>
            <w:shd w:val="clear" w:color="auto" w:fill="D9D9D9" w:themeFill="background1" w:themeFillShade="D9"/>
          </w:tcPr>
          <w:p w14:paraId="52E7FEC5" w14:textId="77777777" w:rsidR="0025216C" w:rsidRPr="000E2B6B" w:rsidRDefault="0025216C" w:rsidP="004408C6">
            <w:pPr>
              <w:rPr>
                <w:rStyle w:val="Strong"/>
                <w:bCs w:val="0"/>
              </w:rPr>
            </w:pPr>
            <w:r w:rsidRPr="000E2B6B">
              <w:rPr>
                <w:rStyle w:val="Strong"/>
              </w:rPr>
              <w:t>Author</w:t>
            </w:r>
          </w:p>
        </w:tc>
        <w:tc>
          <w:tcPr>
            <w:tcW w:w="3156" w:type="pct"/>
            <w:shd w:val="clear" w:color="auto" w:fill="D9D9D9" w:themeFill="background1" w:themeFillShade="D9"/>
          </w:tcPr>
          <w:p w14:paraId="2925A123" w14:textId="77777777" w:rsidR="0025216C" w:rsidRPr="000E2B6B" w:rsidRDefault="0025216C" w:rsidP="004408C6">
            <w:pPr>
              <w:rPr>
                <w:rStyle w:val="Strong"/>
                <w:bCs w:val="0"/>
              </w:rPr>
            </w:pPr>
            <w:r w:rsidRPr="000E2B6B">
              <w:rPr>
                <w:rStyle w:val="Strong"/>
              </w:rPr>
              <w:t>Summary of Changes</w:t>
            </w:r>
          </w:p>
        </w:tc>
      </w:tr>
      <w:tr w:rsidR="0025216C" w:rsidRPr="00500C4E" w14:paraId="2E4DE699" w14:textId="77777777" w:rsidTr="00116EE8">
        <w:trPr>
          <w:trHeight w:val="20"/>
        </w:trPr>
        <w:tc>
          <w:tcPr>
            <w:tcW w:w="280" w:type="pct"/>
            <w:vAlign w:val="center"/>
          </w:tcPr>
          <w:p w14:paraId="526B9FC3" w14:textId="57633099" w:rsidR="0025216C" w:rsidRPr="000E2B6B" w:rsidRDefault="00152BB8" w:rsidP="004408C6">
            <w:pPr>
              <w:jc w:val="center"/>
              <w:rPr>
                <w:rFonts w:cstheme="minorHAnsi"/>
                <w:szCs w:val="20"/>
              </w:rPr>
            </w:pPr>
            <w:r>
              <w:rPr>
                <w:rFonts w:cstheme="minorHAnsi"/>
                <w:szCs w:val="20"/>
              </w:rPr>
              <w:t>0</w:t>
            </w:r>
          </w:p>
        </w:tc>
        <w:tc>
          <w:tcPr>
            <w:tcW w:w="682" w:type="pct"/>
            <w:vAlign w:val="center"/>
          </w:tcPr>
          <w:p w14:paraId="05DCDB14" w14:textId="6E282603" w:rsidR="0025216C" w:rsidRPr="000E2B6B" w:rsidRDefault="0025216C" w:rsidP="004408C6">
            <w:pPr>
              <w:jc w:val="center"/>
              <w:rPr>
                <w:rFonts w:cstheme="minorHAnsi"/>
                <w:szCs w:val="20"/>
              </w:rPr>
            </w:pPr>
            <w:r w:rsidRPr="000E2B6B">
              <w:rPr>
                <w:rFonts w:cstheme="minorHAnsi"/>
                <w:bCs/>
                <w:szCs w:val="20"/>
              </w:rPr>
              <w:t>0</w:t>
            </w:r>
            <w:r w:rsidR="005314D9">
              <w:rPr>
                <w:rFonts w:cstheme="minorHAnsi"/>
                <w:bCs/>
                <w:szCs w:val="20"/>
              </w:rPr>
              <w:t>6/30</w:t>
            </w:r>
            <w:r w:rsidR="00152BB8">
              <w:rPr>
                <w:rFonts w:cstheme="minorHAnsi"/>
                <w:bCs/>
                <w:szCs w:val="20"/>
              </w:rPr>
              <w:t>/2017</w:t>
            </w:r>
          </w:p>
        </w:tc>
        <w:tc>
          <w:tcPr>
            <w:tcW w:w="882" w:type="pct"/>
            <w:vAlign w:val="center"/>
          </w:tcPr>
          <w:p w14:paraId="04CD3C93" w14:textId="06541463" w:rsidR="0025216C" w:rsidRPr="000E2B6B" w:rsidRDefault="00152BB8" w:rsidP="004408C6">
            <w:pPr>
              <w:rPr>
                <w:rFonts w:cstheme="minorHAnsi"/>
                <w:szCs w:val="20"/>
              </w:rPr>
            </w:pPr>
            <w:r>
              <w:rPr>
                <w:rFonts w:cstheme="minorHAnsi"/>
                <w:bCs/>
                <w:szCs w:val="20"/>
              </w:rPr>
              <w:t>Kelvin Valenzuela, SDG&amp;E</w:t>
            </w:r>
          </w:p>
        </w:tc>
        <w:tc>
          <w:tcPr>
            <w:tcW w:w="3156" w:type="pct"/>
          </w:tcPr>
          <w:p w14:paraId="5099909E" w14:textId="44968D39" w:rsidR="0025216C" w:rsidRPr="000E2B6B" w:rsidRDefault="00FB4ADB" w:rsidP="004408C6">
            <w:pPr>
              <w:rPr>
                <w:rFonts w:cstheme="minorHAnsi"/>
              </w:rPr>
            </w:pPr>
            <w:r>
              <w:rPr>
                <w:rFonts w:cstheme="minorHAnsi"/>
                <w:bCs/>
                <w:szCs w:val="20"/>
              </w:rPr>
              <w:t>Adopted from PG&amp;</w:t>
            </w:r>
            <w:r w:rsidR="00152BB8">
              <w:rPr>
                <w:rFonts w:cstheme="minorHAnsi"/>
                <w:bCs/>
                <w:szCs w:val="20"/>
              </w:rPr>
              <w:t>E</w:t>
            </w:r>
            <w:r w:rsidR="0025216C" w:rsidRPr="000E2B6B">
              <w:rPr>
                <w:rFonts w:cstheme="minorHAnsi"/>
                <w:bCs/>
                <w:szCs w:val="20"/>
              </w:rPr>
              <w:t xml:space="preserve">, </w:t>
            </w:r>
            <w:r w:rsidR="00C43A86" w:rsidRPr="00C43A86">
              <w:rPr>
                <w:rFonts w:cstheme="minorHAnsi"/>
                <w:bCs/>
                <w:szCs w:val="20"/>
              </w:rPr>
              <w:t>PGECOLTG179 R3 LED Ambient Com Fixt-Ret Kits</w:t>
            </w:r>
            <w:r w:rsidR="0025216C" w:rsidRPr="000E2B6B">
              <w:rPr>
                <w:rFonts w:cstheme="minorHAnsi"/>
                <w:bCs/>
                <w:szCs w:val="20"/>
              </w:rPr>
              <w:t>.doc</w:t>
            </w:r>
          </w:p>
        </w:tc>
      </w:tr>
      <w:tr w:rsidR="00FC49D4" w:rsidRPr="00500C4E" w14:paraId="09A4CEA9" w14:textId="77777777" w:rsidTr="00116EE8">
        <w:trPr>
          <w:trHeight w:val="20"/>
        </w:trPr>
        <w:tc>
          <w:tcPr>
            <w:tcW w:w="280" w:type="pct"/>
            <w:vAlign w:val="center"/>
          </w:tcPr>
          <w:p w14:paraId="2A10AC9B" w14:textId="188D138F" w:rsidR="00FC49D4" w:rsidRDefault="00FC49D4" w:rsidP="00FC49D4">
            <w:pPr>
              <w:jc w:val="center"/>
              <w:rPr>
                <w:rStyle w:val="Strong"/>
                <w:b w:val="0"/>
              </w:rPr>
            </w:pPr>
            <w:r>
              <w:rPr>
                <w:rStyle w:val="Strong"/>
                <w:b w:val="0"/>
              </w:rPr>
              <w:t>0.1</w:t>
            </w:r>
          </w:p>
        </w:tc>
        <w:tc>
          <w:tcPr>
            <w:tcW w:w="682" w:type="pct"/>
            <w:vAlign w:val="center"/>
          </w:tcPr>
          <w:p w14:paraId="5CBA7AA5" w14:textId="773407D3" w:rsidR="00FC49D4" w:rsidRDefault="00FC49D4" w:rsidP="00FC49D4">
            <w:pPr>
              <w:jc w:val="center"/>
              <w:rPr>
                <w:rStyle w:val="Strong"/>
                <w:b w:val="0"/>
              </w:rPr>
            </w:pPr>
            <w:r>
              <w:rPr>
                <w:rStyle w:val="Strong"/>
                <w:b w:val="0"/>
              </w:rPr>
              <w:t>12/05/2017</w:t>
            </w:r>
          </w:p>
        </w:tc>
        <w:tc>
          <w:tcPr>
            <w:tcW w:w="882" w:type="pct"/>
            <w:vAlign w:val="center"/>
          </w:tcPr>
          <w:p w14:paraId="78FFEF98" w14:textId="50B797D4" w:rsidR="00FC49D4" w:rsidRDefault="00FC49D4" w:rsidP="00FC49D4">
            <w:pPr>
              <w:rPr>
                <w:rStyle w:val="Strong"/>
                <w:b w:val="0"/>
              </w:rPr>
            </w:pPr>
            <w:r>
              <w:rPr>
                <w:rStyle w:val="Strong"/>
                <w:b w:val="0"/>
              </w:rPr>
              <w:t>Ed</w:t>
            </w:r>
            <w:r w:rsidR="00893A85">
              <w:rPr>
                <w:rStyle w:val="Strong"/>
                <w:b w:val="0"/>
              </w:rPr>
              <w:t>uardo</w:t>
            </w:r>
            <w:r>
              <w:rPr>
                <w:rStyle w:val="Strong"/>
                <w:b w:val="0"/>
              </w:rPr>
              <w:t xml:space="preserve"> Reynoso, SDG&amp;E</w:t>
            </w:r>
          </w:p>
        </w:tc>
        <w:tc>
          <w:tcPr>
            <w:tcW w:w="3156" w:type="pct"/>
          </w:tcPr>
          <w:p w14:paraId="5007547B" w14:textId="77777777" w:rsidR="00FC49D4" w:rsidRDefault="00FC49D4" w:rsidP="00FC49D4">
            <w:pPr>
              <w:pStyle w:val="ListParagraph"/>
              <w:numPr>
                <w:ilvl w:val="0"/>
                <w:numId w:val="35"/>
              </w:numPr>
              <w:rPr>
                <w:rStyle w:val="Strong"/>
                <w:b w:val="0"/>
                <w:bCs w:val="0"/>
              </w:rPr>
            </w:pPr>
            <w:r>
              <w:rPr>
                <w:rStyle w:val="Strong"/>
                <w:b w:val="0"/>
                <w:bCs w:val="0"/>
              </w:rPr>
              <w:t xml:space="preserve">Revised workpaper to address CPUC ex-ante review comments dated 7/18/2017. Revised savings calculations to align with lower end of lumen bins. </w:t>
            </w:r>
          </w:p>
          <w:p w14:paraId="4440CBD9" w14:textId="77777777" w:rsidR="00FC49D4" w:rsidRDefault="00FC49D4" w:rsidP="00FC49D4">
            <w:pPr>
              <w:pStyle w:val="ListParagraph"/>
              <w:numPr>
                <w:ilvl w:val="0"/>
                <w:numId w:val="35"/>
              </w:numPr>
              <w:rPr>
                <w:rStyle w:val="Strong"/>
                <w:b w:val="0"/>
                <w:bCs w:val="0"/>
              </w:rPr>
            </w:pPr>
            <w:r>
              <w:rPr>
                <w:rStyle w:val="Strong"/>
                <w:b w:val="0"/>
                <w:bCs w:val="0"/>
              </w:rPr>
              <w:t>Added Mid-Stream/ Upstream program narrative on collecting customer site information for reporting purposes.</w:t>
            </w:r>
          </w:p>
          <w:p w14:paraId="04D92385" w14:textId="4908B38E" w:rsidR="00FC49D4" w:rsidRDefault="00FC49D4" w:rsidP="00FC49D4">
            <w:pPr>
              <w:pStyle w:val="ListParagraph"/>
              <w:numPr>
                <w:ilvl w:val="0"/>
                <w:numId w:val="35"/>
              </w:numPr>
              <w:rPr>
                <w:rStyle w:val="Strong"/>
                <w:b w:val="0"/>
                <w:bCs w:val="0"/>
              </w:rPr>
            </w:pPr>
            <w:r>
              <w:rPr>
                <w:rStyle w:val="Strong"/>
                <w:b w:val="0"/>
                <w:bCs w:val="0"/>
              </w:rPr>
              <w:t xml:space="preserve">SDG&amp;E Ex-ante data includes “Com” building </w:t>
            </w:r>
            <w:r w:rsidR="00921746">
              <w:rPr>
                <w:rStyle w:val="Strong"/>
                <w:b w:val="0"/>
                <w:bCs w:val="0"/>
              </w:rPr>
              <w:t>type,</w:t>
            </w:r>
            <w:r>
              <w:rPr>
                <w:rStyle w:val="Strong"/>
                <w:b w:val="0"/>
                <w:bCs w:val="0"/>
              </w:rPr>
              <w:t xml:space="preserve"> but all reporting shall be based on actual installation site building type and climate zone. </w:t>
            </w:r>
          </w:p>
          <w:p w14:paraId="0D978A64" w14:textId="5D91A770" w:rsidR="00FC49D4" w:rsidRPr="001A0F5D" w:rsidRDefault="00FC49D4" w:rsidP="00E9269A">
            <w:pPr>
              <w:pStyle w:val="ListParagraph"/>
              <w:numPr>
                <w:ilvl w:val="0"/>
                <w:numId w:val="35"/>
              </w:numPr>
              <w:rPr>
                <w:rStyle w:val="Strong"/>
                <w:b w:val="0"/>
                <w:bCs w:val="0"/>
                <w:sz w:val="22"/>
              </w:rPr>
            </w:pPr>
            <w:r w:rsidRPr="00893A85">
              <w:rPr>
                <w:rStyle w:val="Strong"/>
                <w:b w:val="0"/>
                <w:bCs w:val="0"/>
              </w:rPr>
              <w:t>All energy efficiency savings, measure cost, base cost and IMCs are based on using the l</w:t>
            </w:r>
            <w:r w:rsidRPr="001A0F5D">
              <w:rPr>
                <w:rStyle w:val="Strong"/>
                <w:b w:val="0"/>
                <w:bCs w:val="0"/>
              </w:rPr>
              <w:t xml:space="preserve">ower lumen range per bin.  </w:t>
            </w:r>
          </w:p>
        </w:tc>
      </w:tr>
      <w:tr w:rsidR="00FC49D4" w:rsidRPr="00500C4E" w14:paraId="04636C3C" w14:textId="77777777" w:rsidTr="00116EE8">
        <w:trPr>
          <w:trHeight w:val="20"/>
        </w:trPr>
        <w:tc>
          <w:tcPr>
            <w:tcW w:w="280" w:type="pct"/>
            <w:vAlign w:val="center"/>
          </w:tcPr>
          <w:p w14:paraId="7D945651" w14:textId="4D34A956" w:rsidR="00FC49D4" w:rsidRPr="000E2B6B" w:rsidRDefault="00FC49D4" w:rsidP="00FC49D4">
            <w:pPr>
              <w:jc w:val="center"/>
              <w:rPr>
                <w:rStyle w:val="Strong"/>
                <w:b w:val="0"/>
              </w:rPr>
            </w:pPr>
            <w:r>
              <w:rPr>
                <w:rStyle w:val="Strong"/>
                <w:b w:val="0"/>
              </w:rPr>
              <w:t>1</w:t>
            </w:r>
          </w:p>
        </w:tc>
        <w:tc>
          <w:tcPr>
            <w:tcW w:w="682" w:type="pct"/>
            <w:vAlign w:val="center"/>
          </w:tcPr>
          <w:p w14:paraId="3EC0605B" w14:textId="4CDF9945" w:rsidR="00FC49D4" w:rsidRPr="000E2B6B" w:rsidRDefault="00FC49D4" w:rsidP="00FC49D4">
            <w:pPr>
              <w:jc w:val="center"/>
              <w:rPr>
                <w:rStyle w:val="Strong"/>
                <w:b w:val="0"/>
              </w:rPr>
            </w:pPr>
            <w:r>
              <w:rPr>
                <w:rStyle w:val="Strong"/>
                <w:b w:val="0"/>
              </w:rPr>
              <w:t>1/</w:t>
            </w:r>
            <w:r w:rsidR="00875659">
              <w:rPr>
                <w:rStyle w:val="Strong"/>
                <w:b w:val="0"/>
              </w:rPr>
              <w:t>0</w:t>
            </w:r>
            <w:r w:rsidR="007373DF">
              <w:rPr>
                <w:rStyle w:val="Strong"/>
                <w:b w:val="0"/>
              </w:rPr>
              <w:t>2</w:t>
            </w:r>
            <w:r>
              <w:rPr>
                <w:rStyle w:val="Strong"/>
                <w:b w:val="0"/>
              </w:rPr>
              <w:t>/201</w:t>
            </w:r>
            <w:r w:rsidR="00875659">
              <w:rPr>
                <w:rStyle w:val="Strong"/>
                <w:b w:val="0"/>
              </w:rPr>
              <w:t>8</w:t>
            </w:r>
          </w:p>
        </w:tc>
        <w:tc>
          <w:tcPr>
            <w:tcW w:w="882" w:type="pct"/>
            <w:vAlign w:val="center"/>
          </w:tcPr>
          <w:p w14:paraId="753D5181" w14:textId="03D3EF60" w:rsidR="00FC49D4" w:rsidRPr="000E2B6B" w:rsidRDefault="00FC49D4" w:rsidP="00FC49D4">
            <w:pPr>
              <w:rPr>
                <w:rStyle w:val="Strong"/>
                <w:b w:val="0"/>
              </w:rPr>
            </w:pPr>
            <w:r>
              <w:rPr>
                <w:rStyle w:val="Strong"/>
                <w:b w:val="0"/>
              </w:rPr>
              <w:t>Eduardo Reynoso, SDG&amp;E</w:t>
            </w:r>
          </w:p>
        </w:tc>
        <w:tc>
          <w:tcPr>
            <w:tcW w:w="3156" w:type="pct"/>
          </w:tcPr>
          <w:p w14:paraId="465550E0" w14:textId="2E4890DC" w:rsidR="00FC49D4" w:rsidRDefault="00FC49D4" w:rsidP="00FC49D4">
            <w:pPr>
              <w:pStyle w:val="ListParagraph"/>
              <w:numPr>
                <w:ilvl w:val="0"/>
                <w:numId w:val="31"/>
              </w:numPr>
              <w:rPr>
                <w:rStyle w:val="Strong"/>
                <w:b w:val="0"/>
                <w:bCs w:val="0"/>
              </w:rPr>
            </w:pPr>
            <w:r>
              <w:rPr>
                <w:rStyle w:val="Strong"/>
                <w:b w:val="0"/>
                <w:bCs w:val="0"/>
              </w:rPr>
              <w:t xml:space="preserve">SDG&amp;E revised short form workpaper measures and Ex-ante data </w:t>
            </w:r>
            <w:r w:rsidR="000F7059">
              <w:rPr>
                <w:rStyle w:val="Strong"/>
                <w:b w:val="0"/>
                <w:bCs w:val="0"/>
              </w:rPr>
              <w:t>by</w:t>
            </w:r>
            <w:r>
              <w:rPr>
                <w:rStyle w:val="Strong"/>
                <w:b w:val="0"/>
                <w:bCs w:val="0"/>
              </w:rPr>
              <w:t xml:space="preserve"> removing lumen/fixture bins and replacing measures based on PG</w:t>
            </w:r>
            <w:r w:rsidR="00893A85">
              <w:rPr>
                <w:rStyle w:val="Strong"/>
                <w:b w:val="0"/>
                <w:bCs w:val="0"/>
              </w:rPr>
              <w:t>&amp;</w:t>
            </w:r>
            <w:r>
              <w:rPr>
                <w:rStyle w:val="Strong"/>
                <w:b w:val="0"/>
                <w:bCs w:val="0"/>
              </w:rPr>
              <w:t>E Kilo-Lumen savings impacts and cost.</w:t>
            </w:r>
          </w:p>
          <w:p w14:paraId="5E32F22F" w14:textId="30EA1087" w:rsidR="00FC49D4" w:rsidRDefault="00FC49D4" w:rsidP="00FC49D4">
            <w:pPr>
              <w:pStyle w:val="ListParagraph"/>
              <w:numPr>
                <w:ilvl w:val="0"/>
                <w:numId w:val="31"/>
              </w:numPr>
            </w:pPr>
            <w:r>
              <w:rPr>
                <w:rStyle w:val="Strong"/>
                <w:b w:val="0"/>
                <w:bCs w:val="0"/>
              </w:rPr>
              <w:t>Revised short form workpaper to better align with PG</w:t>
            </w:r>
            <w:r w:rsidR="00893A85">
              <w:rPr>
                <w:rStyle w:val="Strong"/>
                <w:b w:val="0"/>
                <w:bCs w:val="0"/>
              </w:rPr>
              <w:t>&amp;</w:t>
            </w:r>
            <w:r>
              <w:rPr>
                <w:rStyle w:val="Strong"/>
                <w:b w:val="0"/>
                <w:bCs w:val="0"/>
              </w:rPr>
              <w:t>E workpaper “</w:t>
            </w:r>
            <w:r w:rsidRPr="00C43A86">
              <w:t>PGECOLTG179 R</w:t>
            </w:r>
            <w:r w:rsidR="000F7059">
              <w:t>5</w:t>
            </w:r>
            <w:r w:rsidRPr="00C43A86">
              <w:t xml:space="preserve"> LED Ambient Com Fixt-Ret Kits</w:t>
            </w:r>
            <w:r>
              <w:t>.doc’</w:t>
            </w:r>
            <w:r w:rsidR="003A15FD">
              <w:t xml:space="preserve"> dated 7/12/2017</w:t>
            </w:r>
            <w:r>
              <w:t>.</w:t>
            </w:r>
          </w:p>
          <w:p w14:paraId="39E9971C" w14:textId="77777777" w:rsidR="00FC49D4" w:rsidRDefault="00FC49D4" w:rsidP="00FC49D4">
            <w:pPr>
              <w:pStyle w:val="ListParagraph"/>
              <w:numPr>
                <w:ilvl w:val="0"/>
                <w:numId w:val="31"/>
              </w:numPr>
            </w:pPr>
            <w:r>
              <w:t>Adopted DEER Base Cost ID “</w:t>
            </w:r>
            <w:r w:rsidRPr="00AD3C96">
              <w:t>LFfixt-Base-LEDMsr</w:t>
            </w:r>
            <w:r>
              <w:t>” per exceptions as discussed in the Introduction, herein.</w:t>
            </w:r>
          </w:p>
          <w:p w14:paraId="4C6CC8E2" w14:textId="623E400B" w:rsidR="00FC49D4" w:rsidRPr="00B71A1B" w:rsidRDefault="00FC49D4" w:rsidP="00FC49D4">
            <w:pPr>
              <w:pStyle w:val="ListParagraph"/>
              <w:numPr>
                <w:ilvl w:val="0"/>
                <w:numId w:val="31"/>
              </w:numPr>
              <w:rPr>
                <w:rStyle w:val="Strong"/>
                <w:b w:val="0"/>
                <w:bCs w:val="0"/>
              </w:rPr>
            </w:pPr>
            <w:r>
              <w:t>Created new Measure Cost IDs as discussed in the Introduction, herein.</w:t>
            </w:r>
          </w:p>
        </w:tc>
      </w:tr>
      <w:tr w:rsidR="00FC49D4" w:rsidRPr="00500C4E" w14:paraId="1E6809AB" w14:textId="77777777" w:rsidTr="00116EE8">
        <w:trPr>
          <w:trHeight w:val="20"/>
        </w:trPr>
        <w:tc>
          <w:tcPr>
            <w:tcW w:w="280" w:type="pct"/>
            <w:vAlign w:val="center"/>
          </w:tcPr>
          <w:p w14:paraId="753BDD03" w14:textId="30A77E78" w:rsidR="00FC49D4" w:rsidRDefault="005B039C" w:rsidP="00FC49D4">
            <w:pPr>
              <w:jc w:val="center"/>
              <w:rPr>
                <w:rFonts w:cstheme="minorHAnsi"/>
                <w:szCs w:val="20"/>
              </w:rPr>
            </w:pPr>
            <w:r>
              <w:rPr>
                <w:rFonts w:cstheme="minorHAnsi"/>
                <w:szCs w:val="20"/>
              </w:rPr>
              <w:t>2</w:t>
            </w:r>
          </w:p>
        </w:tc>
        <w:tc>
          <w:tcPr>
            <w:tcW w:w="682" w:type="pct"/>
            <w:vAlign w:val="center"/>
          </w:tcPr>
          <w:p w14:paraId="149AA42B" w14:textId="1CF3EAC5" w:rsidR="00FC49D4" w:rsidRDefault="005B039C" w:rsidP="00FC49D4">
            <w:pPr>
              <w:jc w:val="center"/>
              <w:rPr>
                <w:rFonts w:cstheme="minorHAnsi"/>
                <w:szCs w:val="20"/>
              </w:rPr>
            </w:pPr>
            <w:r>
              <w:rPr>
                <w:rFonts w:cstheme="minorHAnsi"/>
                <w:szCs w:val="20"/>
              </w:rPr>
              <w:t>6/</w:t>
            </w:r>
            <w:r w:rsidR="00DC2692">
              <w:rPr>
                <w:rFonts w:cstheme="minorHAnsi"/>
                <w:szCs w:val="20"/>
              </w:rPr>
              <w:t>14</w:t>
            </w:r>
            <w:r>
              <w:rPr>
                <w:rFonts w:cstheme="minorHAnsi"/>
                <w:szCs w:val="20"/>
              </w:rPr>
              <w:t>/2019</w:t>
            </w:r>
          </w:p>
        </w:tc>
        <w:tc>
          <w:tcPr>
            <w:tcW w:w="882" w:type="pct"/>
            <w:vAlign w:val="center"/>
          </w:tcPr>
          <w:p w14:paraId="0B98C4A4" w14:textId="612BB38F" w:rsidR="00FC49D4" w:rsidRDefault="005B039C" w:rsidP="00FC49D4">
            <w:pPr>
              <w:rPr>
                <w:rFonts w:cstheme="minorHAnsi"/>
                <w:szCs w:val="20"/>
              </w:rPr>
            </w:pPr>
            <w:r>
              <w:rPr>
                <w:rFonts w:cstheme="minorHAnsi"/>
                <w:szCs w:val="20"/>
              </w:rPr>
              <w:t>Eduardo Reynoso, SDG&amp;E</w:t>
            </w:r>
          </w:p>
        </w:tc>
        <w:tc>
          <w:tcPr>
            <w:tcW w:w="3156" w:type="pct"/>
          </w:tcPr>
          <w:p w14:paraId="18E64409" w14:textId="77777777" w:rsidR="00D652BF" w:rsidRPr="00921746" w:rsidRDefault="00D652BF" w:rsidP="00D652BF">
            <w:pPr>
              <w:pStyle w:val="ListParagraph"/>
              <w:numPr>
                <w:ilvl w:val="0"/>
                <w:numId w:val="38"/>
              </w:numPr>
              <w:rPr>
                <w:rFonts w:cstheme="minorHAnsi"/>
                <w:szCs w:val="20"/>
              </w:rPr>
            </w:pPr>
            <w:r w:rsidRPr="00921746">
              <w:rPr>
                <w:rFonts w:cstheme="minorHAnsi"/>
                <w:szCs w:val="20"/>
              </w:rPr>
              <w:t xml:space="preserve">Updated Measure Application Type per CPUC Resolution E-4952/E-4818. </w:t>
            </w:r>
          </w:p>
          <w:p w14:paraId="7AC1ACBA" w14:textId="205985F3" w:rsidR="00570964" w:rsidRPr="00921746" w:rsidRDefault="00570964" w:rsidP="00570964">
            <w:pPr>
              <w:pStyle w:val="ListParagraph"/>
              <w:numPr>
                <w:ilvl w:val="0"/>
                <w:numId w:val="38"/>
              </w:numPr>
              <w:rPr>
                <w:rFonts w:cstheme="minorHAnsi"/>
                <w:bCs/>
                <w:szCs w:val="20"/>
              </w:rPr>
            </w:pPr>
            <w:r w:rsidRPr="00921746">
              <w:rPr>
                <w:rFonts w:cstheme="minorHAnsi"/>
                <w:bCs/>
                <w:szCs w:val="20"/>
              </w:rPr>
              <w:t>Adopted PG</w:t>
            </w:r>
            <w:r w:rsidR="00893A85" w:rsidRPr="00921746">
              <w:rPr>
                <w:rFonts w:cstheme="minorHAnsi"/>
                <w:bCs/>
                <w:szCs w:val="20"/>
              </w:rPr>
              <w:t>&amp;</w:t>
            </w:r>
            <w:r w:rsidRPr="00921746">
              <w:rPr>
                <w:rFonts w:cstheme="minorHAnsi"/>
                <w:bCs/>
                <w:szCs w:val="20"/>
              </w:rPr>
              <w:t>E’s delta watts</w:t>
            </w:r>
            <w:r w:rsidR="00F1033A" w:rsidRPr="00921746">
              <w:rPr>
                <w:rFonts w:cstheme="minorHAnsi"/>
                <w:bCs/>
                <w:szCs w:val="20"/>
              </w:rPr>
              <w:t xml:space="preserve"> calculations</w:t>
            </w:r>
            <w:r w:rsidRPr="00921746">
              <w:rPr>
                <w:rFonts w:cstheme="minorHAnsi"/>
                <w:bCs/>
                <w:szCs w:val="20"/>
              </w:rPr>
              <w:t xml:space="preserve"> </w:t>
            </w:r>
            <w:r w:rsidR="00F1033A" w:rsidRPr="00921746">
              <w:rPr>
                <w:rFonts w:cstheme="minorHAnsi"/>
                <w:bCs/>
                <w:szCs w:val="20"/>
              </w:rPr>
              <w:t xml:space="preserve">methodology </w:t>
            </w:r>
            <w:r w:rsidRPr="00921746">
              <w:rPr>
                <w:rFonts w:cstheme="minorHAnsi"/>
                <w:bCs/>
                <w:szCs w:val="20"/>
              </w:rPr>
              <w:t>for troffers and interior LED ambient fixtures</w:t>
            </w:r>
            <w:r w:rsidR="005C290A" w:rsidRPr="00921746">
              <w:rPr>
                <w:rFonts w:cstheme="minorHAnsi"/>
                <w:bCs/>
                <w:szCs w:val="20"/>
              </w:rPr>
              <w:t xml:space="preserve">, as stated in </w:t>
            </w:r>
            <w:r w:rsidR="000500E0" w:rsidRPr="00921746">
              <w:rPr>
                <w:rFonts w:cstheme="minorHAnsi"/>
                <w:bCs/>
                <w:szCs w:val="20"/>
              </w:rPr>
              <w:t xml:space="preserve">CPUC Staff disposition dated May </w:t>
            </w:r>
            <w:r w:rsidR="00774B4D" w:rsidRPr="00921746">
              <w:rPr>
                <w:rFonts w:cstheme="minorHAnsi"/>
                <w:bCs/>
                <w:szCs w:val="20"/>
              </w:rPr>
              <w:t>13, 2019</w:t>
            </w:r>
            <w:r w:rsidR="00070676" w:rsidRPr="00921746">
              <w:rPr>
                <w:rFonts w:cstheme="minorHAnsi"/>
                <w:bCs/>
                <w:szCs w:val="20"/>
              </w:rPr>
              <w:t xml:space="preserve"> for PGECOLTG179 Rev6.</w:t>
            </w:r>
            <w:r w:rsidRPr="00921746">
              <w:rPr>
                <w:rFonts w:cstheme="minorHAnsi"/>
                <w:bCs/>
                <w:szCs w:val="20"/>
              </w:rPr>
              <w:t xml:space="preserve"> </w:t>
            </w:r>
            <w:r w:rsidR="00502B7C" w:rsidRPr="00921746">
              <w:rPr>
                <w:rFonts w:cstheme="minorHAnsi"/>
                <w:bCs/>
                <w:szCs w:val="20"/>
              </w:rPr>
              <w:t xml:space="preserve">A total of </w:t>
            </w:r>
            <w:r w:rsidR="00041E07" w:rsidRPr="00921746">
              <w:rPr>
                <w:rFonts w:cstheme="minorHAnsi"/>
                <w:bCs/>
                <w:szCs w:val="20"/>
              </w:rPr>
              <w:t>3</w:t>
            </w:r>
            <w:r w:rsidR="00502B7C" w:rsidRPr="00921746">
              <w:rPr>
                <w:rFonts w:cstheme="minorHAnsi"/>
                <w:bCs/>
                <w:szCs w:val="20"/>
              </w:rPr>
              <w:t>,</w:t>
            </w:r>
            <w:r w:rsidR="00041E07" w:rsidRPr="00921746">
              <w:rPr>
                <w:rFonts w:cstheme="minorHAnsi"/>
                <w:bCs/>
                <w:szCs w:val="20"/>
              </w:rPr>
              <w:t>888</w:t>
            </w:r>
            <w:r w:rsidR="00502B7C" w:rsidRPr="00921746">
              <w:rPr>
                <w:rFonts w:cstheme="minorHAnsi"/>
                <w:bCs/>
                <w:szCs w:val="20"/>
              </w:rPr>
              <w:t xml:space="preserve"> </w:t>
            </w:r>
            <w:r w:rsidR="00F87C25" w:rsidRPr="00921746">
              <w:rPr>
                <w:rFonts w:cstheme="minorHAnsi"/>
                <w:bCs/>
                <w:szCs w:val="20"/>
              </w:rPr>
              <w:t>new Impact records have been generated</w:t>
            </w:r>
            <w:r w:rsidR="0050359E" w:rsidRPr="00921746">
              <w:rPr>
                <w:rFonts w:cstheme="minorHAnsi"/>
                <w:bCs/>
                <w:szCs w:val="20"/>
              </w:rPr>
              <w:t xml:space="preserve"> using DEER/PEAR </w:t>
            </w:r>
            <w:r w:rsidR="00E93208" w:rsidRPr="00921746">
              <w:rPr>
                <w:rFonts w:cstheme="minorHAnsi"/>
                <w:bCs/>
                <w:szCs w:val="20"/>
              </w:rPr>
              <w:t xml:space="preserve">lighting support tables for </w:t>
            </w:r>
            <w:r w:rsidR="00D7251F" w:rsidRPr="00921746">
              <w:rPr>
                <w:rFonts w:cstheme="minorHAnsi"/>
                <w:bCs/>
                <w:szCs w:val="20"/>
              </w:rPr>
              <w:t xml:space="preserve">2016 Commercial </w:t>
            </w:r>
            <w:r w:rsidR="0050359E" w:rsidRPr="00921746">
              <w:rPr>
                <w:rFonts w:cstheme="minorHAnsi"/>
                <w:bCs/>
                <w:szCs w:val="20"/>
              </w:rPr>
              <w:t xml:space="preserve">Lighting </w:t>
            </w:r>
            <w:r w:rsidR="00E93208" w:rsidRPr="00921746">
              <w:rPr>
                <w:rFonts w:cstheme="minorHAnsi"/>
                <w:bCs/>
                <w:szCs w:val="20"/>
              </w:rPr>
              <w:t xml:space="preserve">“Com-Indoor-LF” </w:t>
            </w:r>
            <w:r w:rsidR="00C705B7" w:rsidRPr="00921746">
              <w:rPr>
                <w:rFonts w:cstheme="minorHAnsi"/>
                <w:bCs/>
                <w:szCs w:val="20"/>
              </w:rPr>
              <w:t xml:space="preserve">interactive effects tables. </w:t>
            </w:r>
            <w:r w:rsidR="00F87C25" w:rsidRPr="00921746">
              <w:rPr>
                <w:rFonts w:cstheme="minorHAnsi"/>
                <w:bCs/>
                <w:szCs w:val="20"/>
              </w:rPr>
              <w:t xml:space="preserve"> </w:t>
            </w:r>
          </w:p>
          <w:p w14:paraId="40B4DE79" w14:textId="027FBF1C" w:rsidR="009D7451" w:rsidRPr="00921746" w:rsidRDefault="009D7451" w:rsidP="00570964">
            <w:pPr>
              <w:pStyle w:val="ListParagraph"/>
              <w:numPr>
                <w:ilvl w:val="0"/>
                <w:numId w:val="38"/>
              </w:numPr>
              <w:rPr>
                <w:rFonts w:cstheme="minorHAnsi"/>
                <w:bCs/>
                <w:szCs w:val="20"/>
              </w:rPr>
            </w:pPr>
            <w:r w:rsidRPr="00921746">
              <w:rPr>
                <w:rFonts w:cstheme="minorHAnsi"/>
                <w:bCs/>
                <w:szCs w:val="20"/>
              </w:rPr>
              <w:t>Adopted PG</w:t>
            </w:r>
            <w:r w:rsidR="001A0F5D" w:rsidRPr="00921746">
              <w:rPr>
                <w:rFonts w:cstheme="minorHAnsi"/>
                <w:bCs/>
                <w:szCs w:val="20"/>
              </w:rPr>
              <w:t>&amp;</w:t>
            </w:r>
            <w:r w:rsidRPr="00921746">
              <w:rPr>
                <w:rFonts w:cstheme="minorHAnsi"/>
                <w:bCs/>
                <w:szCs w:val="20"/>
              </w:rPr>
              <w:t xml:space="preserve">E’s energy savings impacts for </w:t>
            </w:r>
            <w:r w:rsidR="003E0CB7" w:rsidRPr="00921746">
              <w:rPr>
                <w:rFonts w:cstheme="minorHAnsi"/>
                <w:bCs/>
                <w:szCs w:val="20"/>
              </w:rPr>
              <w:t>“</w:t>
            </w:r>
            <w:r w:rsidRPr="00921746">
              <w:rPr>
                <w:rFonts w:cstheme="minorHAnsi"/>
                <w:bCs/>
                <w:szCs w:val="20"/>
              </w:rPr>
              <w:t>MFm</w:t>
            </w:r>
            <w:r w:rsidR="003E0CB7" w:rsidRPr="00921746">
              <w:rPr>
                <w:rFonts w:cstheme="minorHAnsi"/>
                <w:bCs/>
                <w:szCs w:val="20"/>
              </w:rPr>
              <w:t>”</w:t>
            </w:r>
            <w:r w:rsidRPr="00921746">
              <w:rPr>
                <w:rFonts w:cstheme="minorHAnsi"/>
                <w:bCs/>
                <w:szCs w:val="20"/>
              </w:rPr>
              <w:t xml:space="preserve"> building type for </w:t>
            </w:r>
            <w:r w:rsidR="00FC2ED2" w:rsidRPr="00921746">
              <w:rPr>
                <w:rFonts w:cstheme="minorHAnsi"/>
                <w:bCs/>
                <w:szCs w:val="20"/>
              </w:rPr>
              <w:t xml:space="preserve">“InCommon” areas. </w:t>
            </w:r>
            <w:r w:rsidR="00C705B7" w:rsidRPr="00921746">
              <w:rPr>
                <w:rFonts w:cstheme="minorHAnsi"/>
                <w:bCs/>
                <w:szCs w:val="20"/>
              </w:rPr>
              <w:t xml:space="preserve">And </w:t>
            </w:r>
            <w:r w:rsidR="00D652BF" w:rsidRPr="00921746">
              <w:rPr>
                <w:rFonts w:cstheme="minorHAnsi"/>
                <w:bCs/>
                <w:szCs w:val="20"/>
              </w:rPr>
              <w:t>to</w:t>
            </w:r>
            <w:r w:rsidR="004A4885" w:rsidRPr="00921746">
              <w:rPr>
                <w:rFonts w:cstheme="minorHAnsi"/>
                <w:bCs/>
                <w:szCs w:val="20"/>
              </w:rPr>
              <w:t xml:space="preserve"> meet </w:t>
            </w:r>
            <w:r w:rsidR="00AC11BF" w:rsidRPr="00921746">
              <w:rPr>
                <w:rFonts w:cstheme="minorHAnsi"/>
                <w:bCs/>
                <w:szCs w:val="20"/>
              </w:rPr>
              <w:t xml:space="preserve">SDG&amp;E’s </w:t>
            </w:r>
            <w:r w:rsidR="004A4885" w:rsidRPr="00921746">
              <w:rPr>
                <w:rFonts w:cstheme="minorHAnsi"/>
                <w:bCs/>
                <w:szCs w:val="20"/>
              </w:rPr>
              <w:t>internal reporting requirements i</w:t>
            </w:r>
            <w:r w:rsidR="00956C46" w:rsidRPr="00921746">
              <w:rPr>
                <w:rFonts w:cstheme="minorHAnsi"/>
                <w:bCs/>
                <w:szCs w:val="20"/>
              </w:rPr>
              <w:t>t</w:t>
            </w:r>
            <w:r w:rsidR="004A4885" w:rsidRPr="00921746">
              <w:rPr>
                <w:rFonts w:cstheme="minorHAnsi"/>
                <w:bCs/>
                <w:szCs w:val="20"/>
              </w:rPr>
              <w:t xml:space="preserve"> was necessary to </w:t>
            </w:r>
            <w:r w:rsidR="001C5A91" w:rsidRPr="00921746">
              <w:rPr>
                <w:rFonts w:cstheme="minorHAnsi"/>
                <w:bCs/>
                <w:szCs w:val="20"/>
              </w:rPr>
              <w:t xml:space="preserve">reference the same impact record across all </w:t>
            </w:r>
            <w:r w:rsidR="003E0CB7" w:rsidRPr="00921746">
              <w:rPr>
                <w:rFonts w:cstheme="minorHAnsi"/>
                <w:bCs/>
                <w:szCs w:val="20"/>
              </w:rPr>
              <w:t>“</w:t>
            </w:r>
            <w:r w:rsidR="001C5A91" w:rsidRPr="00921746">
              <w:rPr>
                <w:rFonts w:cstheme="minorHAnsi"/>
                <w:bCs/>
                <w:szCs w:val="20"/>
              </w:rPr>
              <w:t>MFm</w:t>
            </w:r>
            <w:r w:rsidR="003E0CB7" w:rsidRPr="00921746">
              <w:rPr>
                <w:rFonts w:cstheme="minorHAnsi"/>
                <w:bCs/>
                <w:szCs w:val="20"/>
              </w:rPr>
              <w:t>”</w:t>
            </w:r>
            <w:r w:rsidR="001C5A91" w:rsidRPr="00921746">
              <w:rPr>
                <w:rFonts w:cstheme="minorHAnsi"/>
                <w:bCs/>
                <w:szCs w:val="20"/>
              </w:rPr>
              <w:t xml:space="preserve"> climate zone</w:t>
            </w:r>
            <w:r w:rsidR="00FB1E91" w:rsidRPr="00921746">
              <w:rPr>
                <w:rFonts w:cstheme="minorHAnsi"/>
                <w:bCs/>
                <w:szCs w:val="20"/>
              </w:rPr>
              <w:t>,</w:t>
            </w:r>
            <w:r w:rsidR="001C5A91" w:rsidRPr="00921746">
              <w:rPr>
                <w:rFonts w:cstheme="minorHAnsi"/>
                <w:bCs/>
                <w:szCs w:val="20"/>
              </w:rPr>
              <w:t xml:space="preserve"> for SDG&amp;E service territory. </w:t>
            </w:r>
          </w:p>
          <w:p w14:paraId="3E6358FF" w14:textId="7DA1BAA1" w:rsidR="00570964" w:rsidRPr="00921746" w:rsidRDefault="00482BC4" w:rsidP="00570964">
            <w:pPr>
              <w:pStyle w:val="ListParagraph"/>
              <w:numPr>
                <w:ilvl w:val="0"/>
                <w:numId w:val="38"/>
              </w:numPr>
              <w:rPr>
                <w:rFonts w:cstheme="minorHAnsi"/>
                <w:bCs/>
                <w:szCs w:val="20"/>
              </w:rPr>
            </w:pPr>
            <w:r w:rsidRPr="00921746">
              <w:rPr>
                <w:rFonts w:cstheme="minorHAnsi"/>
                <w:bCs/>
                <w:szCs w:val="20"/>
              </w:rPr>
              <w:t xml:space="preserve">Adopted </w:t>
            </w:r>
            <w:r w:rsidR="00385CAF" w:rsidRPr="00921746">
              <w:rPr>
                <w:rFonts w:cstheme="minorHAnsi"/>
                <w:bCs/>
                <w:szCs w:val="20"/>
              </w:rPr>
              <w:t>PG</w:t>
            </w:r>
            <w:r w:rsidR="001A0F5D" w:rsidRPr="00921746">
              <w:rPr>
                <w:rFonts w:cstheme="minorHAnsi"/>
                <w:bCs/>
                <w:szCs w:val="20"/>
              </w:rPr>
              <w:t>&amp;</w:t>
            </w:r>
            <w:r w:rsidR="00385CAF" w:rsidRPr="00921746">
              <w:rPr>
                <w:rFonts w:cstheme="minorHAnsi"/>
                <w:bCs/>
                <w:szCs w:val="20"/>
              </w:rPr>
              <w:t xml:space="preserve">E measure and standard cost </w:t>
            </w:r>
            <w:r w:rsidRPr="00921746">
              <w:rPr>
                <w:rFonts w:cstheme="minorHAnsi"/>
                <w:bCs/>
                <w:szCs w:val="20"/>
              </w:rPr>
              <w:t>and created new SDG</w:t>
            </w:r>
            <w:r w:rsidR="00D92E59" w:rsidRPr="00921746">
              <w:rPr>
                <w:rFonts w:cstheme="minorHAnsi"/>
                <w:bCs/>
                <w:szCs w:val="20"/>
              </w:rPr>
              <w:t xml:space="preserve">&amp;E Measure and Standard Cost IDs. </w:t>
            </w:r>
          </w:p>
          <w:p w14:paraId="01446B7E" w14:textId="77777777" w:rsidR="00D92E59" w:rsidRPr="00921746" w:rsidRDefault="00FB1E91" w:rsidP="00570964">
            <w:pPr>
              <w:pStyle w:val="ListParagraph"/>
              <w:numPr>
                <w:ilvl w:val="0"/>
                <w:numId w:val="38"/>
              </w:numPr>
              <w:rPr>
                <w:rFonts w:cstheme="minorHAnsi"/>
                <w:bCs/>
                <w:szCs w:val="20"/>
              </w:rPr>
            </w:pPr>
            <w:r w:rsidRPr="00921746">
              <w:rPr>
                <w:rFonts w:cstheme="minorHAnsi"/>
                <w:bCs/>
                <w:szCs w:val="20"/>
              </w:rPr>
              <w:t>Created new Implementations IDs 467427 to 467474</w:t>
            </w:r>
            <w:r w:rsidR="00270C4F" w:rsidRPr="00921746">
              <w:rPr>
                <w:rFonts w:cstheme="minorHAnsi"/>
                <w:bCs/>
                <w:szCs w:val="20"/>
              </w:rPr>
              <w:t xml:space="preserve">, and updated legacy implementations IDs464226 to 464261, with new </w:t>
            </w:r>
            <w:r w:rsidR="00B31CFC" w:rsidRPr="00921746">
              <w:rPr>
                <w:rFonts w:cstheme="minorHAnsi"/>
                <w:bCs/>
                <w:szCs w:val="20"/>
              </w:rPr>
              <w:t xml:space="preserve">start date. </w:t>
            </w:r>
            <w:r w:rsidR="00270C4F" w:rsidRPr="00921746">
              <w:rPr>
                <w:rFonts w:cstheme="minorHAnsi"/>
                <w:bCs/>
                <w:szCs w:val="20"/>
              </w:rPr>
              <w:t xml:space="preserve"> </w:t>
            </w:r>
          </w:p>
          <w:p w14:paraId="7EBC71D6" w14:textId="2E907729" w:rsidR="006C4F5F" w:rsidRPr="00921746" w:rsidRDefault="006C4F5F" w:rsidP="006C4F5F">
            <w:pPr>
              <w:pStyle w:val="ListParagraph"/>
              <w:numPr>
                <w:ilvl w:val="0"/>
                <w:numId w:val="38"/>
              </w:numPr>
              <w:rPr>
                <w:rFonts w:cstheme="minorHAnsi"/>
                <w:bCs/>
                <w:szCs w:val="20"/>
              </w:rPr>
            </w:pPr>
            <w:r w:rsidRPr="00921746">
              <w:rPr>
                <w:rFonts w:cstheme="minorHAnsi"/>
                <w:bCs/>
                <w:szCs w:val="20"/>
              </w:rPr>
              <w:t>SDG&amp;E workpaper (WPSDGENRLG0083 Revision 2) and ex-ante data, for given submission, has an effective start date of 8/1/2019 and expiry date of 12/31/2019.</w:t>
            </w:r>
          </w:p>
        </w:tc>
      </w:tr>
    </w:tbl>
    <w:p w14:paraId="040BA3E2" w14:textId="2AC6E818" w:rsidR="00FC49D4" w:rsidRDefault="00FC49D4" w:rsidP="000F0580">
      <w:pPr>
        <w:pStyle w:val="Heading2"/>
      </w:pPr>
    </w:p>
    <w:p w14:paraId="2BC2B95C" w14:textId="2C9DD56D" w:rsidR="00FC49D4" w:rsidRDefault="00FC49D4" w:rsidP="00FC49D4"/>
    <w:p w14:paraId="3E118DF7" w14:textId="5660D313" w:rsidR="00FC49D4" w:rsidRDefault="00FC49D4" w:rsidP="00FC49D4"/>
    <w:p w14:paraId="5B8E64FB" w14:textId="2CAC4F9B" w:rsidR="00FC49D4" w:rsidRDefault="00FC49D4" w:rsidP="00FC49D4"/>
    <w:p w14:paraId="6976BD7B" w14:textId="285A210D" w:rsidR="00FC49D4" w:rsidRDefault="00FC49D4" w:rsidP="00FC49D4"/>
    <w:p w14:paraId="24B2AFB7" w14:textId="261B5F68" w:rsidR="00FC49D4" w:rsidRDefault="00FC49D4" w:rsidP="00FC49D4"/>
    <w:p w14:paraId="0327F0E7" w14:textId="62B8D06E" w:rsidR="00FC49D4" w:rsidRDefault="00FC49D4" w:rsidP="00FC49D4"/>
    <w:p w14:paraId="44468919" w14:textId="01CC6B56" w:rsidR="000F0580" w:rsidRDefault="000F0580" w:rsidP="000F0580">
      <w:pPr>
        <w:pStyle w:val="Heading2"/>
      </w:pPr>
      <w:r>
        <w:t>Measure Summary</w:t>
      </w:r>
      <w:r w:rsidRPr="0025216C">
        <w:t xml:space="preserve"> </w:t>
      </w:r>
    </w:p>
    <w:p w14:paraId="61064BB6" w14:textId="77777777" w:rsidR="008828CF" w:rsidRPr="00824A72" w:rsidRDefault="008828CF" w:rsidP="008828CF">
      <w:pPr>
        <w:pStyle w:val="Heading2"/>
        <w:rPr>
          <w:sz w:val="22"/>
          <w:szCs w:val="22"/>
        </w:rPr>
      </w:pPr>
    </w:p>
    <w:p w14:paraId="499377D5" w14:textId="77777777" w:rsidR="008733BD" w:rsidRPr="00824A72" w:rsidRDefault="008733BD" w:rsidP="00736DEF">
      <w:pPr>
        <w:pStyle w:val="Caption"/>
        <w:keepNext/>
        <w:jc w:val="center"/>
        <w:rPr>
          <w:szCs w:val="22"/>
        </w:rPr>
      </w:pPr>
      <w:r w:rsidRPr="00824A72">
        <w:rPr>
          <w:szCs w:val="22"/>
        </w:rPr>
        <w:t xml:space="preserve">Table </w:t>
      </w:r>
      <w:r w:rsidR="00875659" w:rsidRPr="00824A72">
        <w:rPr>
          <w:szCs w:val="22"/>
        </w:rPr>
        <w:fldChar w:fldCharType="begin"/>
      </w:r>
      <w:r w:rsidR="00875659" w:rsidRPr="00824A72">
        <w:rPr>
          <w:szCs w:val="22"/>
        </w:rPr>
        <w:instrText xml:space="preserve"> SEQ Table \* ARABIC </w:instrText>
      </w:r>
      <w:r w:rsidR="00875659" w:rsidRPr="00824A72">
        <w:rPr>
          <w:szCs w:val="22"/>
        </w:rPr>
        <w:fldChar w:fldCharType="separate"/>
      </w:r>
      <w:r w:rsidR="00F5794B" w:rsidRPr="00824A72">
        <w:rPr>
          <w:noProof/>
          <w:szCs w:val="22"/>
        </w:rPr>
        <w:t>1</w:t>
      </w:r>
      <w:r w:rsidR="00875659" w:rsidRPr="00824A72">
        <w:rPr>
          <w:noProof/>
          <w:szCs w:val="22"/>
        </w:rPr>
        <w:fldChar w:fldCharType="end"/>
      </w:r>
      <w:r w:rsidRPr="00824A72">
        <w:rPr>
          <w:szCs w:val="22"/>
        </w:rPr>
        <w:t>: Measure Summary Table</w:t>
      </w:r>
    </w:p>
    <w:tbl>
      <w:tblPr>
        <w:tblStyle w:val="TableGrid"/>
        <w:tblW w:w="11155" w:type="dxa"/>
        <w:jc w:val="center"/>
        <w:tblLook w:val="04A0" w:firstRow="1" w:lastRow="0" w:firstColumn="1" w:lastColumn="0" w:noHBand="0" w:noVBand="1"/>
      </w:tblPr>
      <w:tblGrid>
        <w:gridCol w:w="1502"/>
        <w:gridCol w:w="9851"/>
      </w:tblGrid>
      <w:tr w:rsidR="00260731" w:rsidRPr="00824A72" w14:paraId="6F2481B4" w14:textId="77777777" w:rsidTr="00FB2C96">
        <w:trPr>
          <w:cantSplit/>
          <w:tblHeader/>
          <w:jc w:val="center"/>
        </w:trPr>
        <w:tc>
          <w:tcPr>
            <w:tcW w:w="1999" w:type="dxa"/>
            <w:shd w:val="clear" w:color="auto" w:fill="D9D9D9" w:themeFill="background1" w:themeFillShade="D9"/>
          </w:tcPr>
          <w:p w14:paraId="396903BE" w14:textId="77777777" w:rsidR="00736DEF" w:rsidRPr="00824A72" w:rsidRDefault="00736DEF" w:rsidP="00D86243">
            <w:pPr>
              <w:jc w:val="center"/>
              <w:rPr>
                <w:b/>
                <w:szCs w:val="22"/>
              </w:rPr>
            </w:pPr>
            <w:r w:rsidRPr="00824A72">
              <w:rPr>
                <w:b/>
                <w:szCs w:val="22"/>
              </w:rPr>
              <w:t>Section</w:t>
            </w:r>
          </w:p>
        </w:tc>
        <w:tc>
          <w:tcPr>
            <w:tcW w:w="9156" w:type="dxa"/>
            <w:shd w:val="clear" w:color="auto" w:fill="D9D9D9" w:themeFill="background1" w:themeFillShade="D9"/>
          </w:tcPr>
          <w:p w14:paraId="0CC14FF1" w14:textId="77777777" w:rsidR="00736DEF" w:rsidRPr="00824A72" w:rsidRDefault="00736DEF" w:rsidP="00D86243">
            <w:pPr>
              <w:jc w:val="center"/>
              <w:rPr>
                <w:b/>
                <w:szCs w:val="22"/>
              </w:rPr>
            </w:pPr>
            <w:r w:rsidRPr="00824A72">
              <w:rPr>
                <w:b/>
                <w:szCs w:val="22"/>
              </w:rPr>
              <w:t>Value</w:t>
            </w:r>
          </w:p>
        </w:tc>
      </w:tr>
      <w:tr w:rsidR="00260731" w:rsidRPr="00824A72" w14:paraId="48937152" w14:textId="77777777" w:rsidTr="00FB2C96">
        <w:trPr>
          <w:cantSplit/>
          <w:jc w:val="center"/>
        </w:trPr>
        <w:tc>
          <w:tcPr>
            <w:tcW w:w="1999" w:type="dxa"/>
            <w:vAlign w:val="center"/>
          </w:tcPr>
          <w:p w14:paraId="6690B639" w14:textId="77777777" w:rsidR="00282C54" w:rsidRPr="00824A72" w:rsidRDefault="00282C54" w:rsidP="001D77F7">
            <w:pPr>
              <w:rPr>
                <w:b/>
                <w:szCs w:val="22"/>
              </w:rPr>
            </w:pPr>
            <w:r w:rsidRPr="00824A72">
              <w:rPr>
                <w:b/>
                <w:szCs w:val="22"/>
              </w:rPr>
              <w:t>Summary &amp; Purpose</w:t>
            </w:r>
          </w:p>
        </w:tc>
        <w:tc>
          <w:tcPr>
            <w:tcW w:w="9156" w:type="dxa"/>
          </w:tcPr>
          <w:p w14:paraId="58AB8ED5" w14:textId="1C511E20" w:rsidR="005803C1" w:rsidRPr="00824A72" w:rsidRDefault="00152BB8" w:rsidP="00FB4ADB">
            <w:pPr>
              <w:rPr>
                <w:rFonts w:cs="Arial"/>
                <w:szCs w:val="22"/>
              </w:rPr>
            </w:pPr>
            <w:r w:rsidRPr="00824A72">
              <w:rPr>
                <w:rFonts w:cs="Arial"/>
                <w:szCs w:val="22"/>
              </w:rPr>
              <w:t>This work paper doc</w:t>
            </w:r>
            <w:r w:rsidR="006D4266" w:rsidRPr="00824A72">
              <w:rPr>
                <w:rFonts w:cs="Arial"/>
                <w:szCs w:val="22"/>
              </w:rPr>
              <w:t>uments the values adopted from PG&amp;</w:t>
            </w:r>
            <w:r w:rsidRPr="00824A72">
              <w:rPr>
                <w:rFonts w:cs="Arial"/>
                <w:szCs w:val="22"/>
              </w:rPr>
              <w:t>E’s workpaper entitled “</w:t>
            </w:r>
            <w:r w:rsidR="006D4266" w:rsidRPr="00824A72">
              <w:rPr>
                <w:rFonts w:cs="Arial"/>
                <w:szCs w:val="22"/>
              </w:rPr>
              <w:t>LED Ambient Commercial Fixtures and Retrofit Kits</w:t>
            </w:r>
            <w:r w:rsidRPr="00824A72">
              <w:rPr>
                <w:rFonts w:cs="Arial"/>
                <w:szCs w:val="22"/>
              </w:rPr>
              <w:t>” (</w:t>
            </w:r>
            <w:r w:rsidR="00FB4ADB" w:rsidRPr="00824A72">
              <w:rPr>
                <w:rFonts w:cs="Arial"/>
                <w:szCs w:val="22"/>
              </w:rPr>
              <w:t xml:space="preserve">PGECOLTG179 Rev </w:t>
            </w:r>
            <w:r w:rsidR="00EB3E73" w:rsidRPr="00824A72">
              <w:rPr>
                <w:rFonts w:cs="Arial"/>
                <w:szCs w:val="22"/>
              </w:rPr>
              <w:t>6</w:t>
            </w:r>
            <w:r w:rsidRPr="00824A72">
              <w:rPr>
                <w:rFonts w:cs="Arial"/>
                <w:szCs w:val="22"/>
              </w:rPr>
              <w:t xml:space="preserve">). </w:t>
            </w:r>
          </w:p>
        </w:tc>
      </w:tr>
      <w:tr w:rsidR="00260731" w14:paraId="7C6A2F82" w14:textId="77777777" w:rsidTr="00FB2C96">
        <w:trPr>
          <w:cantSplit/>
          <w:jc w:val="center"/>
        </w:trPr>
        <w:tc>
          <w:tcPr>
            <w:tcW w:w="1999" w:type="dxa"/>
            <w:vAlign w:val="center"/>
          </w:tcPr>
          <w:p w14:paraId="5B6F3EDD" w14:textId="624C279F" w:rsidR="00736DEF" w:rsidRPr="00824A72" w:rsidRDefault="00736DEF" w:rsidP="001D77F7">
            <w:pPr>
              <w:rPr>
                <w:rFonts w:cstheme="minorHAnsi"/>
                <w:b/>
                <w:szCs w:val="22"/>
              </w:rPr>
            </w:pPr>
            <w:r w:rsidRPr="00824A72">
              <w:rPr>
                <w:rFonts w:cstheme="minorHAnsi"/>
                <w:b/>
                <w:szCs w:val="22"/>
              </w:rPr>
              <w:lastRenderedPageBreak/>
              <w:t xml:space="preserve">1.1 </w:t>
            </w:r>
            <w:r w:rsidR="00106741" w:rsidRPr="00824A72">
              <w:rPr>
                <w:rFonts w:cstheme="minorHAnsi"/>
                <w:b/>
                <w:szCs w:val="22"/>
              </w:rPr>
              <w:t xml:space="preserve">Eligibility &amp; </w:t>
            </w:r>
            <w:r w:rsidR="004E2525" w:rsidRPr="00824A72">
              <w:rPr>
                <w:rFonts w:cstheme="minorHAnsi"/>
                <w:b/>
                <w:szCs w:val="22"/>
              </w:rPr>
              <w:t>Technical Requirements</w:t>
            </w:r>
          </w:p>
        </w:tc>
        <w:tc>
          <w:tcPr>
            <w:tcW w:w="9156" w:type="dxa"/>
          </w:tcPr>
          <w:p w14:paraId="5DB48F19" w14:textId="77777777" w:rsidR="0037156E" w:rsidRPr="00824A72" w:rsidRDefault="00152BB8" w:rsidP="0037156E">
            <w:pPr>
              <w:rPr>
                <w:rFonts w:cstheme="minorHAnsi"/>
                <w:szCs w:val="22"/>
              </w:rPr>
            </w:pPr>
            <w:r w:rsidRPr="00824A72">
              <w:rPr>
                <w:rFonts w:cstheme="minorHAnsi"/>
                <w:szCs w:val="22"/>
              </w:rPr>
              <w:t xml:space="preserve">This short form workpaper summarizes the </w:t>
            </w:r>
            <w:r w:rsidR="0037156E" w:rsidRPr="00824A72">
              <w:rPr>
                <w:rFonts w:cstheme="minorHAnsi"/>
                <w:szCs w:val="22"/>
              </w:rPr>
              <w:t>replacement of linear fluorescent fixtures with LED Ambient Commercial Fixtures &amp; Integrated Retrofit Kits.  The LED fixture or integrated retrofit kit must replace a linear fluorescent fixture on a 1-for-1 basis.</w:t>
            </w:r>
          </w:p>
          <w:p w14:paraId="4ACF15CF" w14:textId="77777777" w:rsidR="00D07865" w:rsidRPr="00D07865" w:rsidRDefault="00D07865" w:rsidP="00D07865">
            <w:pPr>
              <w:spacing w:before="160"/>
              <w:rPr>
                <w:rFonts w:cstheme="minorHAnsi"/>
                <w:b/>
                <w:i/>
                <w:szCs w:val="22"/>
              </w:rPr>
            </w:pPr>
            <w:r w:rsidRPr="00D07865">
              <w:rPr>
                <w:rFonts w:cstheme="minorHAnsi"/>
                <w:b/>
                <w:i/>
                <w:szCs w:val="22"/>
              </w:rPr>
              <w:t xml:space="preserve">Catalog Description </w:t>
            </w:r>
          </w:p>
          <w:p w14:paraId="05848AFB" w14:textId="77777777" w:rsidR="00D07865" w:rsidRPr="00D07865" w:rsidRDefault="00D07865" w:rsidP="00D07865">
            <w:pPr>
              <w:spacing w:before="120"/>
              <w:rPr>
                <w:rFonts w:cstheme="minorHAnsi"/>
                <w:szCs w:val="22"/>
              </w:rPr>
            </w:pPr>
            <w:r w:rsidRPr="00D07865">
              <w:rPr>
                <w:rFonts w:cstheme="minorHAnsi"/>
                <w:szCs w:val="22"/>
              </w:rPr>
              <w:t>Light Emitting Diode (LED) Ambient and Troffer Fixtures and Retrofit Kits</w:t>
            </w:r>
          </w:p>
          <w:p w14:paraId="48D47E6C" w14:textId="77777777" w:rsidR="00D07865" w:rsidRPr="00D07865" w:rsidRDefault="00D07865" w:rsidP="00D07865">
            <w:pPr>
              <w:rPr>
                <w:rFonts w:cstheme="minorHAnsi"/>
                <w:szCs w:val="22"/>
              </w:rPr>
            </w:pPr>
          </w:p>
          <w:p w14:paraId="1B02DAC4" w14:textId="77777777" w:rsidR="00D07865" w:rsidRPr="00D07865" w:rsidRDefault="00D07865" w:rsidP="00D07865">
            <w:pPr>
              <w:widowControl w:val="0"/>
              <w:autoSpaceDE w:val="0"/>
              <w:autoSpaceDN w:val="0"/>
              <w:adjustRightInd w:val="0"/>
              <w:spacing w:line="360" w:lineRule="auto"/>
              <w:rPr>
                <w:rFonts w:cstheme="minorHAnsi"/>
                <w:b/>
                <w:color w:val="000000"/>
                <w:szCs w:val="22"/>
              </w:rPr>
            </w:pPr>
            <w:r w:rsidRPr="00D07865">
              <w:rPr>
                <w:rFonts w:cstheme="minorHAnsi"/>
                <w:b/>
                <w:color w:val="000000"/>
                <w:szCs w:val="22"/>
              </w:rPr>
              <w:t>Requirements:</w:t>
            </w:r>
          </w:p>
          <w:p w14:paraId="578F4966" w14:textId="77777777" w:rsidR="00D07865" w:rsidRPr="00D07865" w:rsidRDefault="00D07865" w:rsidP="00D07865">
            <w:pPr>
              <w:widowControl w:val="0"/>
              <w:numPr>
                <w:ilvl w:val="0"/>
                <w:numId w:val="30"/>
              </w:numPr>
              <w:autoSpaceDE w:val="0"/>
              <w:autoSpaceDN w:val="0"/>
              <w:adjustRightInd w:val="0"/>
              <w:spacing w:line="276" w:lineRule="auto"/>
              <w:rPr>
                <w:rFonts w:cstheme="minorHAnsi"/>
                <w:color w:val="000000"/>
                <w:szCs w:val="22"/>
              </w:rPr>
            </w:pPr>
            <w:r w:rsidRPr="00D07865">
              <w:rPr>
                <w:rFonts w:cstheme="minorHAnsi"/>
                <w:color w:val="000000"/>
                <w:szCs w:val="22"/>
              </w:rPr>
              <w:t xml:space="preserve">New LED luminaire must have rated lumen output similar to the rated lumen output of the fixture </w:t>
            </w:r>
            <w:r w:rsidRPr="00D07865">
              <w:rPr>
                <w:rFonts w:cstheme="minorHAnsi"/>
                <w:color w:val="000000"/>
                <w:szCs w:val="22"/>
              </w:rPr>
              <w:tab/>
              <w:t>being replaced or retrofitted</w:t>
            </w:r>
          </w:p>
          <w:p w14:paraId="2EFFB0BD" w14:textId="77777777" w:rsidR="00D07865" w:rsidRPr="00D07865" w:rsidRDefault="00D07865" w:rsidP="00D07865">
            <w:pPr>
              <w:numPr>
                <w:ilvl w:val="0"/>
                <w:numId w:val="30"/>
              </w:numPr>
              <w:autoSpaceDE w:val="0"/>
              <w:autoSpaceDN w:val="0"/>
              <w:spacing w:before="120" w:line="276" w:lineRule="auto"/>
              <w:rPr>
                <w:rFonts w:cstheme="minorHAnsi"/>
                <w:color w:val="000000"/>
                <w:szCs w:val="22"/>
              </w:rPr>
            </w:pPr>
            <w:r w:rsidRPr="00D07865">
              <w:rPr>
                <w:rFonts w:cstheme="minorHAnsi"/>
                <w:color w:val="000000"/>
                <w:szCs w:val="22"/>
              </w:rPr>
              <w:t>Must be a DesignLights Consortium</w:t>
            </w:r>
            <w:r w:rsidRPr="00D07865">
              <w:rPr>
                <w:rFonts w:cstheme="minorHAnsi"/>
                <w:color w:val="000000"/>
                <w:szCs w:val="22"/>
                <w:vertAlign w:val="superscript"/>
              </w:rPr>
              <w:t>®</w:t>
            </w:r>
            <w:r w:rsidRPr="00D07865">
              <w:rPr>
                <w:rFonts w:cstheme="minorHAnsi"/>
                <w:color w:val="000000"/>
                <w:szCs w:val="22"/>
              </w:rPr>
              <w:t xml:space="preserve"> (DLC) approved New Luminaire, Integrated Retrofit Kit, or </w:t>
            </w:r>
            <w:r w:rsidRPr="00D07865">
              <w:rPr>
                <w:rFonts w:cstheme="minorHAnsi"/>
                <w:color w:val="000000"/>
                <w:szCs w:val="22"/>
              </w:rPr>
              <w:tab/>
              <w:t xml:space="preserve">Direct Linear Ambient Fixture or Retrofit Kit listed as: </w:t>
            </w:r>
          </w:p>
          <w:p w14:paraId="222BFE9B" w14:textId="4081AFD9" w:rsidR="00D07865" w:rsidRPr="00D07865" w:rsidRDefault="001A0F5D" w:rsidP="00D07865">
            <w:pPr>
              <w:numPr>
                <w:ilvl w:val="1"/>
                <w:numId w:val="30"/>
              </w:numPr>
              <w:autoSpaceDE w:val="0"/>
              <w:autoSpaceDN w:val="0"/>
              <w:spacing w:line="276" w:lineRule="auto"/>
              <w:rPr>
                <w:rFonts w:cstheme="minorHAnsi"/>
                <w:color w:val="000000"/>
                <w:szCs w:val="22"/>
              </w:rPr>
            </w:pPr>
            <w:r>
              <w:rPr>
                <w:rFonts w:cstheme="minorHAnsi"/>
                <w:color w:val="000000"/>
                <w:szCs w:val="22"/>
              </w:rPr>
              <w:t xml:space="preserve"> </w:t>
            </w:r>
            <w:r w:rsidR="00D07865" w:rsidRPr="00D07865">
              <w:rPr>
                <w:rFonts w:cstheme="minorHAnsi"/>
                <w:color w:val="000000"/>
                <w:szCs w:val="22"/>
              </w:rPr>
              <w:t>Luminaires/Integrated Retrofit Kits for Ambient Lighting of Interior Commercial Spaces in one of the following sizes: 2x4, 2x2, 1x4</w:t>
            </w:r>
          </w:p>
          <w:p w14:paraId="0CD33FC7" w14:textId="4A43DDE4" w:rsidR="00D07865" w:rsidRPr="00824A72" w:rsidRDefault="001A0F5D" w:rsidP="00D07865">
            <w:pPr>
              <w:numPr>
                <w:ilvl w:val="1"/>
                <w:numId w:val="30"/>
              </w:numPr>
              <w:autoSpaceDE w:val="0"/>
              <w:autoSpaceDN w:val="0"/>
              <w:spacing w:line="276" w:lineRule="auto"/>
              <w:rPr>
                <w:rFonts w:cstheme="minorHAnsi"/>
                <w:color w:val="000000"/>
                <w:szCs w:val="22"/>
              </w:rPr>
            </w:pPr>
            <w:r>
              <w:rPr>
                <w:rFonts w:cstheme="minorHAnsi"/>
                <w:color w:val="000000"/>
                <w:szCs w:val="22"/>
              </w:rPr>
              <w:t xml:space="preserve"> </w:t>
            </w:r>
            <w:r w:rsidR="00D07865" w:rsidRPr="00D07865">
              <w:rPr>
                <w:rFonts w:cstheme="minorHAnsi"/>
                <w:color w:val="000000"/>
                <w:szCs w:val="22"/>
              </w:rPr>
              <w:t>Linear Ambient Luminaires/Retrofit Kits for Direct Linear Ambient Luminaires in one of the following sizes: 2’ Linear, 4’ Linear, 8’ Linear</w:t>
            </w:r>
          </w:p>
          <w:p w14:paraId="46077E36" w14:textId="28A4474D" w:rsidR="009C3661" w:rsidRPr="00824A72" w:rsidRDefault="001A0F5D" w:rsidP="009C3661">
            <w:pPr>
              <w:numPr>
                <w:ilvl w:val="1"/>
                <w:numId w:val="30"/>
              </w:numPr>
              <w:autoSpaceDE w:val="0"/>
              <w:autoSpaceDN w:val="0"/>
              <w:spacing w:line="276" w:lineRule="auto"/>
              <w:rPr>
                <w:rFonts w:cstheme="minorHAnsi"/>
                <w:color w:val="000000"/>
                <w:szCs w:val="22"/>
              </w:rPr>
            </w:pPr>
            <w:r>
              <w:rPr>
                <w:rFonts w:cstheme="minorHAnsi"/>
                <w:color w:val="000000"/>
                <w:szCs w:val="22"/>
              </w:rPr>
              <w:t xml:space="preserve"> </w:t>
            </w:r>
            <w:r w:rsidR="009C3661" w:rsidRPr="00824A72">
              <w:rPr>
                <w:rFonts w:cstheme="minorHAnsi"/>
                <w:color w:val="000000"/>
                <w:szCs w:val="22"/>
              </w:rPr>
              <w:t>DLC requirements for Indoor Ambient Lighting Products include</w:t>
            </w:r>
          </w:p>
          <w:p w14:paraId="2881BAE8" w14:textId="77777777" w:rsidR="009C3661" w:rsidRPr="00824A72" w:rsidRDefault="009C3661" w:rsidP="009C3661">
            <w:pPr>
              <w:numPr>
                <w:ilvl w:val="2"/>
                <w:numId w:val="30"/>
              </w:numPr>
              <w:autoSpaceDE w:val="0"/>
              <w:autoSpaceDN w:val="0"/>
              <w:spacing w:line="276" w:lineRule="auto"/>
              <w:rPr>
                <w:rFonts w:cstheme="minorHAnsi"/>
                <w:color w:val="000000"/>
                <w:szCs w:val="22"/>
              </w:rPr>
            </w:pPr>
            <w:r w:rsidRPr="00824A72">
              <w:rPr>
                <w:rFonts w:cstheme="minorHAnsi"/>
                <w:color w:val="000000"/>
                <w:szCs w:val="22"/>
              </w:rPr>
              <w:t>5-year warranty</w:t>
            </w:r>
          </w:p>
          <w:p w14:paraId="13EC0F3B" w14:textId="5802F3AA" w:rsidR="009C3661" w:rsidRPr="00824A72" w:rsidRDefault="00921746" w:rsidP="009C3661">
            <w:pPr>
              <w:numPr>
                <w:ilvl w:val="2"/>
                <w:numId w:val="30"/>
              </w:numPr>
              <w:autoSpaceDE w:val="0"/>
              <w:autoSpaceDN w:val="0"/>
              <w:spacing w:line="276" w:lineRule="auto"/>
              <w:rPr>
                <w:rFonts w:cstheme="minorHAnsi"/>
                <w:color w:val="000000"/>
                <w:szCs w:val="22"/>
              </w:rPr>
            </w:pPr>
            <w:r w:rsidRPr="00824A72">
              <w:rPr>
                <w:rFonts w:cstheme="minorHAnsi"/>
                <w:color w:val="000000"/>
                <w:szCs w:val="22"/>
              </w:rPr>
              <w:t>50,000-hour</w:t>
            </w:r>
            <w:r w:rsidR="009C3661" w:rsidRPr="00824A72">
              <w:rPr>
                <w:rFonts w:cstheme="minorHAnsi"/>
                <w:color w:val="000000"/>
                <w:szCs w:val="22"/>
              </w:rPr>
              <w:t xml:space="preserve"> L70 Lumen Maintenance</w:t>
            </w:r>
          </w:p>
          <w:p w14:paraId="6210FFB5" w14:textId="40C886D6" w:rsidR="009C3661" w:rsidRPr="00824A72" w:rsidRDefault="00921746" w:rsidP="009C3661">
            <w:pPr>
              <w:numPr>
                <w:ilvl w:val="2"/>
                <w:numId w:val="30"/>
              </w:numPr>
              <w:autoSpaceDE w:val="0"/>
              <w:autoSpaceDN w:val="0"/>
              <w:spacing w:line="276" w:lineRule="auto"/>
              <w:rPr>
                <w:rFonts w:cstheme="minorHAnsi"/>
                <w:color w:val="000000"/>
                <w:szCs w:val="22"/>
              </w:rPr>
            </w:pPr>
            <w:r w:rsidRPr="00824A72">
              <w:rPr>
                <w:rFonts w:cstheme="minorHAnsi"/>
                <w:color w:val="000000"/>
                <w:szCs w:val="22"/>
              </w:rPr>
              <w:t>36,000-hour</w:t>
            </w:r>
            <w:r w:rsidR="009C3661" w:rsidRPr="00824A72">
              <w:rPr>
                <w:rFonts w:cstheme="minorHAnsi"/>
                <w:color w:val="000000"/>
                <w:szCs w:val="22"/>
              </w:rPr>
              <w:t xml:space="preserve"> L90 Lumen Maintenance</w:t>
            </w:r>
          </w:p>
          <w:p w14:paraId="412EA236" w14:textId="77777777" w:rsidR="009C3661" w:rsidRPr="00824A72" w:rsidRDefault="009C3661" w:rsidP="009C3661">
            <w:pPr>
              <w:numPr>
                <w:ilvl w:val="2"/>
                <w:numId w:val="30"/>
              </w:numPr>
              <w:autoSpaceDE w:val="0"/>
              <w:autoSpaceDN w:val="0"/>
              <w:spacing w:line="276" w:lineRule="auto"/>
              <w:rPr>
                <w:rFonts w:cstheme="minorHAnsi"/>
                <w:color w:val="000000"/>
                <w:szCs w:val="22"/>
              </w:rPr>
            </w:pPr>
            <w:r w:rsidRPr="00824A72">
              <w:rPr>
                <w:rFonts w:cstheme="minorHAnsi"/>
                <w:color w:val="000000"/>
                <w:szCs w:val="22"/>
              </w:rPr>
              <w:t>≥ 80 Color Rendering Index (CRI)</w:t>
            </w:r>
          </w:p>
          <w:p w14:paraId="3511DB31" w14:textId="77777777" w:rsidR="009C3661" w:rsidRPr="00824A72" w:rsidRDefault="009C3661" w:rsidP="009C3661">
            <w:pPr>
              <w:numPr>
                <w:ilvl w:val="2"/>
                <w:numId w:val="30"/>
              </w:numPr>
              <w:autoSpaceDE w:val="0"/>
              <w:autoSpaceDN w:val="0"/>
              <w:spacing w:line="276" w:lineRule="auto"/>
              <w:rPr>
                <w:rFonts w:cstheme="minorHAnsi"/>
                <w:color w:val="000000"/>
                <w:szCs w:val="22"/>
              </w:rPr>
            </w:pPr>
            <w:r w:rsidRPr="00824A72">
              <w:rPr>
                <w:rFonts w:cstheme="minorHAnsi"/>
                <w:color w:val="000000"/>
                <w:szCs w:val="22"/>
              </w:rPr>
              <w:t>≥ 125 lumens per watt (PG&amp;E Requirement)</w:t>
            </w:r>
          </w:p>
          <w:p w14:paraId="0912BE05" w14:textId="77777777" w:rsidR="009C3661" w:rsidRPr="00824A72" w:rsidRDefault="009C3661" w:rsidP="009C3661">
            <w:pPr>
              <w:numPr>
                <w:ilvl w:val="2"/>
                <w:numId w:val="30"/>
              </w:numPr>
              <w:autoSpaceDE w:val="0"/>
              <w:autoSpaceDN w:val="0"/>
              <w:spacing w:line="276" w:lineRule="auto"/>
              <w:rPr>
                <w:rFonts w:cstheme="minorHAnsi"/>
                <w:color w:val="000000"/>
                <w:szCs w:val="22"/>
              </w:rPr>
            </w:pPr>
            <w:r w:rsidRPr="00824A72">
              <w:rPr>
                <w:rFonts w:cstheme="minorHAnsi"/>
                <w:color w:val="000000"/>
                <w:szCs w:val="22"/>
              </w:rPr>
              <w:t>≤ 5000 Kelvin Correlated Color Temperature (CCT)</w:t>
            </w:r>
          </w:p>
          <w:tbl>
            <w:tblPr>
              <w:tblW w:w="67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3"/>
            </w:tblGrid>
            <w:tr w:rsidR="00157F97" w:rsidRPr="00824A72" w14:paraId="5DFCB0B0" w14:textId="77777777" w:rsidTr="00893A85">
              <w:trPr>
                <w:trHeight w:val="305"/>
                <w:jc w:val="center"/>
              </w:trPr>
              <w:tc>
                <w:tcPr>
                  <w:tcW w:w="6733" w:type="dxa"/>
                  <w:shd w:val="clear" w:color="auto" w:fill="auto"/>
                  <w:vAlign w:val="bottom"/>
                </w:tcPr>
                <w:p w14:paraId="4B8C3C93" w14:textId="77777777" w:rsidR="00157F97" w:rsidRPr="00824A72" w:rsidRDefault="00157F97" w:rsidP="00157F97">
                  <w:pPr>
                    <w:jc w:val="center"/>
                    <w:rPr>
                      <w:rFonts w:cstheme="minorHAnsi"/>
                      <w:b/>
                      <w:szCs w:val="22"/>
                    </w:rPr>
                  </w:pPr>
                  <w:r w:rsidRPr="00824A72">
                    <w:rPr>
                      <w:rFonts w:cstheme="minorHAnsi"/>
                      <w:b/>
                      <w:szCs w:val="22"/>
                    </w:rPr>
                    <w:t>DLC Categories Eligible under this Workpaper:</w:t>
                  </w:r>
                </w:p>
              </w:tc>
            </w:tr>
            <w:tr w:rsidR="00157F97" w:rsidRPr="00824A72" w14:paraId="00B3E520" w14:textId="77777777" w:rsidTr="00893A85">
              <w:trPr>
                <w:jc w:val="center"/>
              </w:trPr>
              <w:tc>
                <w:tcPr>
                  <w:tcW w:w="6733" w:type="dxa"/>
                  <w:shd w:val="clear" w:color="auto" w:fill="auto"/>
                  <w:vAlign w:val="center"/>
                </w:tcPr>
                <w:p w14:paraId="42132F3F" w14:textId="77777777" w:rsidR="00157F97" w:rsidRPr="00824A72" w:rsidRDefault="00157F97" w:rsidP="00157F97">
                  <w:pPr>
                    <w:numPr>
                      <w:ilvl w:val="0"/>
                      <w:numId w:val="39"/>
                    </w:numPr>
                    <w:rPr>
                      <w:rFonts w:cstheme="minorHAnsi"/>
                      <w:szCs w:val="22"/>
                    </w:rPr>
                  </w:pPr>
                  <w:r w:rsidRPr="00824A72">
                    <w:rPr>
                      <w:rFonts w:cstheme="minorHAnsi"/>
                      <w:szCs w:val="22"/>
                    </w:rPr>
                    <w:t>Must be in one of nine DLC product categories:</w:t>
                  </w:r>
                </w:p>
                <w:p w14:paraId="75085F85" w14:textId="77777777" w:rsidR="00157F97" w:rsidRPr="00824A72" w:rsidRDefault="00157F97" w:rsidP="00157F97">
                  <w:pPr>
                    <w:numPr>
                      <w:ilvl w:val="1"/>
                      <w:numId w:val="39"/>
                    </w:numPr>
                    <w:rPr>
                      <w:rFonts w:cstheme="minorHAnsi"/>
                      <w:szCs w:val="22"/>
                    </w:rPr>
                  </w:pPr>
                  <w:r w:rsidRPr="00824A72">
                    <w:rPr>
                      <w:rFonts w:cstheme="minorHAnsi"/>
                      <w:szCs w:val="22"/>
                    </w:rPr>
                    <w:t>2x4 Luminaires for Ambient Lighting of Interior Commercial Spaces</w:t>
                  </w:r>
                  <w:r w:rsidRPr="00824A72">
                    <w:rPr>
                      <w:rFonts w:cstheme="minorHAnsi"/>
                      <w:szCs w:val="22"/>
                    </w:rPr>
                    <w:tab/>
                  </w:r>
                  <w:r w:rsidRPr="00824A72">
                    <w:rPr>
                      <w:rFonts w:cstheme="minorHAnsi"/>
                      <w:szCs w:val="22"/>
                    </w:rPr>
                    <w:tab/>
                  </w:r>
                  <w:r w:rsidRPr="00824A72">
                    <w:rPr>
                      <w:rFonts w:cstheme="minorHAnsi"/>
                      <w:szCs w:val="22"/>
                    </w:rPr>
                    <w:tab/>
                  </w:r>
                </w:p>
                <w:p w14:paraId="5D457723" w14:textId="77777777" w:rsidR="00157F97" w:rsidRPr="00824A72" w:rsidRDefault="00157F97" w:rsidP="00157F97">
                  <w:pPr>
                    <w:numPr>
                      <w:ilvl w:val="1"/>
                      <w:numId w:val="39"/>
                    </w:numPr>
                    <w:rPr>
                      <w:rFonts w:cstheme="minorHAnsi"/>
                      <w:szCs w:val="22"/>
                    </w:rPr>
                  </w:pPr>
                  <w:r w:rsidRPr="00824A72">
                    <w:rPr>
                      <w:rFonts w:cstheme="minorHAnsi"/>
                      <w:szCs w:val="22"/>
                    </w:rPr>
                    <w:t>Integrated Retrofit Kits for 2x4 Luminaires for Ambient Lighting of Interior Commercial Spaces</w:t>
                  </w:r>
                  <w:r w:rsidRPr="00824A72">
                    <w:rPr>
                      <w:rFonts w:cstheme="minorHAnsi"/>
                      <w:szCs w:val="22"/>
                    </w:rPr>
                    <w:tab/>
                  </w:r>
                </w:p>
                <w:p w14:paraId="4CF86370" w14:textId="77777777" w:rsidR="00157F97" w:rsidRPr="00824A72" w:rsidRDefault="00157F97" w:rsidP="00157F97">
                  <w:pPr>
                    <w:numPr>
                      <w:ilvl w:val="1"/>
                      <w:numId w:val="39"/>
                    </w:numPr>
                    <w:rPr>
                      <w:rFonts w:cstheme="minorHAnsi"/>
                      <w:szCs w:val="22"/>
                    </w:rPr>
                  </w:pPr>
                  <w:r w:rsidRPr="00824A72">
                    <w:rPr>
                      <w:rFonts w:cstheme="minorHAnsi"/>
                      <w:szCs w:val="22"/>
                    </w:rPr>
                    <w:t>2x2 Luminaires for Ambient Lighting of Interior Commercial Spaces</w:t>
                  </w:r>
                  <w:r w:rsidRPr="00824A72">
                    <w:rPr>
                      <w:rFonts w:cstheme="minorHAnsi"/>
                      <w:szCs w:val="22"/>
                    </w:rPr>
                    <w:tab/>
                  </w:r>
                  <w:r w:rsidRPr="00824A72">
                    <w:rPr>
                      <w:rFonts w:cstheme="minorHAnsi"/>
                      <w:szCs w:val="22"/>
                    </w:rPr>
                    <w:tab/>
                  </w:r>
                  <w:r w:rsidRPr="00824A72">
                    <w:rPr>
                      <w:rFonts w:cstheme="minorHAnsi"/>
                      <w:szCs w:val="22"/>
                    </w:rPr>
                    <w:tab/>
                  </w:r>
                  <w:r w:rsidRPr="00824A72">
                    <w:rPr>
                      <w:rFonts w:cstheme="minorHAnsi"/>
                      <w:szCs w:val="22"/>
                    </w:rPr>
                    <w:tab/>
                  </w:r>
                </w:p>
                <w:p w14:paraId="700BA4D7" w14:textId="77777777" w:rsidR="00157F97" w:rsidRPr="00824A72" w:rsidRDefault="00157F97" w:rsidP="00157F97">
                  <w:pPr>
                    <w:numPr>
                      <w:ilvl w:val="1"/>
                      <w:numId w:val="39"/>
                    </w:numPr>
                    <w:rPr>
                      <w:rFonts w:cstheme="minorHAnsi"/>
                      <w:szCs w:val="22"/>
                    </w:rPr>
                  </w:pPr>
                  <w:r w:rsidRPr="00824A72">
                    <w:rPr>
                      <w:rFonts w:cstheme="minorHAnsi"/>
                      <w:szCs w:val="22"/>
                    </w:rPr>
                    <w:t>Integrated Retrofit Kits for 2x2 Luminaires for Ambient Lighting of Interior Commercial Spaces</w:t>
                  </w:r>
                  <w:r w:rsidRPr="00824A72">
                    <w:rPr>
                      <w:rFonts w:cstheme="minorHAnsi"/>
                      <w:szCs w:val="22"/>
                    </w:rPr>
                    <w:tab/>
                  </w:r>
                  <w:r w:rsidRPr="00824A72">
                    <w:rPr>
                      <w:rFonts w:cstheme="minorHAnsi"/>
                      <w:szCs w:val="22"/>
                    </w:rPr>
                    <w:tab/>
                  </w:r>
                </w:p>
                <w:p w14:paraId="09BFAE31" w14:textId="77777777" w:rsidR="00157F97" w:rsidRPr="00824A72" w:rsidRDefault="00157F97" w:rsidP="00157F97">
                  <w:pPr>
                    <w:numPr>
                      <w:ilvl w:val="1"/>
                      <w:numId w:val="39"/>
                    </w:numPr>
                    <w:rPr>
                      <w:rFonts w:cstheme="minorHAnsi"/>
                      <w:szCs w:val="22"/>
                    </w:rPr>
                  </w:pPr>
                  <w:r w:rsidRPr="00824A72">
                    <w:rPr>
                      <w:rFonts w:cstheme="minorHAnsi"/>
                      <w:szCs w:val="22"/>
                    </w:rPr>
                    <w:t>1x4 Luminaires for Ambient Lighting of Interior Commercial Spaces</w:t>
                  </w:r>
                  <w:r w:rsidRPr="00824A72">
                    <w:rPr>
                      <w:rFonts w:cstheme="minorHAnsi"/>
                      <w:szCs w:val="22"/>
                    </w:rPr>
                    <w:tab/>
                  </w:r>
                  <w:r w:rsidRPr="00824A72">
                    <w:rPr>
                      <w:rFonts w:cstheme="minorHAnsi"/>
                      <w:szCs w:val="22"/>
                    </w:rPr>
                    <w:tab/>
                  </w:r>
                  <w:r w:rsidRPr="00824A72">
                    <w:rPr>
                      <w:rFonts w:cstheme="minorHAnsi"/>
                      <w:szCs w:val="22"/>
                    </w:rPr>
                    <w:tab/>
                  </w:r>
                </w:p>
                <w:p w14:paraId="198A3870" w14:textId="77777777" w:rsidR="00157F97" w:rsidRPr="00824A72" w:rsidRDefault="00157F97" w:rsidP="00157F97">
                  <w:pPr>
                    <w:numPr>
                      <w:ilvl w:val="1"/>
                      <w:numId w:val="39"/>
                    </w:numPr>
                    <w:rPr>
                      <w:rFonts w:cstheme="minorHAnsi"/>
                      <w:szCs w:val="22"/>
                    </w:rPr>
                  </w:pPr>
                  <w:r w:rsidRPr="00824A72">
                    <w:rPr>
                      <w:rFonts w:cstheme="minorHAnsi"/>
                      <w:szCs w:val="22"/>
                    </w:rPr>
                    <w:t>Integrated Retrofit Kits for 1x4 Luminaires for Ambient Lighting of Interior Commercial Spaces</w:t>
                  </w:r>
                </w:p>
                <w:p w14:paraId="66A3E1B9" w14:textId="77777777" w:rsidR="00157F97" w:rsidRPr="00824A72" w:rsidRDefault="00157F97" w:rsidP="00157F97">
                  <w:pPr>
                    <w:numPr>
                      <w:ilvl w:val="1"/>
                      <w:numId w:val="39"/>
                    </w:numPr>
                    <w:rPr>
                      <w:rFonts w:cstheme="minorHAnsi"/>
                      <w:szCs w:val="22"/>
                    </w:rPr>
                  </w:pPr>
                  <w:r w:rsidRPr="00824A72">
                    <w:rPr>
                      <w:rFonts w:cstheme="minorHAnsi"/>
                      <w:szCs w:val="22"/>
                    </w:rPr>
                    <w:t>Direct Linear Ambient Luminaires</w:t>
                  </w:r>
                </w:p>
                <w:p w14:paraId="38176986" w14:textId="77777777" w:rsidR="00157F97" w:rsidRPr="00824A72" w:rsidRDefault="00157F97" w:rsidP="00157F97">
                  <w:pPr>
                    <w:numPr>
                      <w:ilvl w:val="1"/>
                      <w:numId w:val="39"/>
                    </w:numPr>
                    <w:rPr>
                      <w:rFonts w:cstheme="minorHAnsi"/>
                      <w:szCs w:val="22"/>
                    </w:rPr>
                  </w:pPr>
                  <w:r w:rsidRPr="00824A72">
                    <w:rPr>
                      <w:rFonts w:cstheme="minorHAnsi"/>
                      <w:szCs w:val="22"/>
                    </w:rPr>
                    <w:t>Linear Ambient Luminaires with Indirect Component</w:t>
                  </w:r>
                </w:p>
                <w:p w14:paraId="7538020F" w14:textId="77777777" w:rsidR="00157F97" w:rsidRPr="00824A72" w:rsidRDefault="00157F97" w:rsidP="00157F97">
                  <w:pPr>
                    <w:numPr>
                      <w:ilvl w:val="1"/>
                      <w:numId w:val="39"/>
                    </w:numPr>
                    <w:rPr>
                      <w:rFonts w:cstheme="minorHAnsi"/>
                      <w:szCs w:val="22"/>
                    </w:rPr>
                  </w:pPr>
                  <w:r w:rsidRPr="00824A72">
                    <w:rPr>
                      <w:rFonts w:cstheme="minorHAnsi"/>
                      <w:szCs w:val="22"/>
                    </w:rPr>
                    <w:t>Retrofit Kits for Direct Linear Ambient Luminaires</w:t>
                  </w:r>
                </w:p>
              </w:tc>
            </w:tr>
          </w:tbl>
          <w:p w14:paraId="47A2924A" w14:textId="77777777" w:rsidR="00D07865" w:rsidRPr="00D07865" w:rsidRDefault="00D07865" w:rsidP="00157F97">
            <w:pPr>
              <w:autoSpaceDE w:val="0"/>
              <w:autoSpaceDN w:val="0"/>
              <w:spacing w:line="276" w:lineRule="auto"/>
              <w:rPr>
                <w:rFonts w:cstheme="minorHAnsi"/>
                <w:color w:val="000000"/>
                <w:szCs w:val="22"/>
              </w:rPr>
            </w:pPr>
          </w:p>
          <w:p w14:paraId="1F426300" w14:textId="77777777" w:rsidR="00D07865" w:rsidRPr="00D07865" w:rsidRDefault="00D07865" w:rsidP="00D07865">
            <w:pPr>
              <w:widowControl w:val="0"/>
              <w:numPr>
                <w:ilvl w:val="0"/>
                <w:numId w:val="30"/>
              </w:numPr>
              <w:autoSpaceDE w:val="0"/>
              <w:autoSpaceDN w:val="0"/>
              <w:adjustRightInd w:val="0"/>
              <w:spacing w:before="120" w:line="360" w:lineRule="auto"/>
              <w:rPr>
                <w:rFonts w:cstheme="minorHAnsi"/>
                <w:color w:val="000000"/>
                <w:szCs w:val="22"/>
              </w:rPr>
            </w:pPr>
            <w:r w:rsidRPr="00D07865">
              <w:rPr>
                <w:rFonts w:cstheme="minorHAnsi"/>
                <w:color w:val="000000"/>
                <w:szCs w:val="22"/>
              </w:rPr>
              <w:t>Must be listed as DLC Premium</w:t>
            </w:r>
          </w:p>
          <w:p w14:paraId="50DCC932" w14:textId="77777777" w:rsidR="00D07865" w:rsidRPr="00D07865" w:rsidRDefault="00D07865" w:rsidP="00D07865">
            <w:pPr>
              <w:widowControl w:val="0"/>
              <w:numPr>
                <w:ilvl w:val="0"/>
                <w:numId w:val="30"/>
              </w:numPr>
              <w:autoSpaceDE w:val="0"/>
              <w:autoSpaceDN w:val="0"/>
              <w:adjustRightInd w:val="0"/>
              <w:spacing w:line="360" w:lineRule="auto"/>
              <w:rPr>
                <w:rFonts w:cstheme="minorHAnsi"/>
                <w:szCs w:val="22"/>
              </w:rPr>
            </w:pPr>
            <w:r w:rsidRPr="00D07865">
              <w:rPr>
                <w:rFonts w:cstheme="minorHAnsi"/>
                <w:color w:val="000000"/>
                <w:szCs w:val="22"/>
              </w:rPr>
              <w:lastRenderedPageBreak/>
              <w:t>Linear LED replacement lamps (TLED) do not qualify</w:t>
            </w:r>
          </w:p>
          <w:p w14:paraId="411F66F8" w14:textId="441B388F" w:rsidR="00D07865" w:rsidRPr="00D07865" w:rsidRDefault="00D07865" w:rsidP="00D07865">
            <w:pPr>
              <w:widowControl w:val="0"/>
              <w:numPr>
                <w:ilvl w:val="0"/>
                <w:numId w:val="30"/>
              </w:numPr>
              <w:autoSpaceDE w:val="0"/>
              <w:autoSpaceDN w:val="0"/>
              <w:adjustRightInd w:val="0"/>
              <w:spacing w:line="360" w:lineRule="auto"/>
              <w:rPr>
                <w:rFonts w:cstheme="minorHAnsi"/>
                <w:color w:val="000000"/>
                <w:szCs w:val="22"/>
              </w:rPr>
            </w:pPr>
            <w:r w:rsidRPr="00D07865">
              <w:rPr>
                <w:rFonts w:cstheme="minorHAnsi"/>
                <w:szCs w:val="22"/>
              </w:rPr>
              <w:t>Self-ballasted or screw-based lamps do not qualify</w:t>
            </w:r>
            <w:r w:rsidRPr="00D07865">
              <w:rPr>
                <w:rFonts w:cstheme="minorHAnsi"/>
                <w:color w:val="000000"/>
                <w:szCs w:val="22"/>
              </w:rPr>
              <w:t xml:space="preserve"> </w:t>
            </w:r>
          </w:p>
          <w:p w14:paraId="6CBE0FD5" w14:textId="77777777" w:rsidR="00D07865" w:rsidRPr="00D07865" w:rsidRDefault="00D07865" w:rsidP="00D07865">
            <w:pPr>
              <w:widowControl w:val="0"/>
              <w:numPr>
                <w:ilvl w:val="0"/>
                <w:numId w:val="30"/>
              </w:numPr>
              <w:autoSpaceDE w:val="0"/>
              <w:autoSpaceDN w:val="0"/>
              <w:adjustRightInd w:val="0"/>
              <w:spacing w:line="360" w:lineRule="auto"/>
              <w:rPr>
                <w:rFonts w:cstheme="minorHAnsi"/>
                <w:color w:val="000000"/>
                <w:szCs w:val="22"/>
              </w:rPr>
            </w:pPr>
            <w:r w:rsidRPr="00D07865">
              <w:rPr>
                <w:rFonts w:cstheme="minorHAnsi"/>
                <w:color w:val="000000"/>
                <w:szCs w:val="22"/>
              </w:rPr>
              <w:t>5-year warranty minimum</w:t>
            </w:r>
          </w:p>
          <w:p w14:paraId="5272531E" w14:textId="65086F43" w:rsidR="00D07865" w:rsidRPr="00D07865" w:rsidRDefault="00D07865" w:rsidP="00D07865">
            <w:pPr>
              <w:widowControl w:val="0"/>
              <w:numPr>
                <w:ilvl w:val="0"/>
                <w:numId w:val="30"/>
              </w:numPr>
              <w:autoSpaceDE w:val="0"/>
              <w:autoSpaceDN w:val="0"/>
              <w:adjustRightInd w:val="0"/>
              <w:spacing w:line="360" w:lineRule="auto"/>
              <w:rPr>
                <w:rFonts w:cstheme="minorHAnsi"/>
                <w:color w:val="000000"/>
                <w:szCs w:val="22"/>
              </w:rPr>
            </w:pPr>
            <w:r w:rsidRPr="00D07865">
              <w:rPr>
                <w:rFonts w:cstheme="minorHAnsi"/>
                <w:color w:val="000000"/>
                <w:szCs w:val="22"/>
              </w:rPr>
              <w:t>Must meet the minimum efficacy requirements listed in Table 1 effective April 1, 2019</w:t>
            </w:r>
          </w:p>
          <w:p w14:paraId="06EB7FBE" w14:textId="77777777" w:rsidR="00D07865" w:rsidRPr="00D07865" w:rsidRDefault="00D07865" w:rsidP="00D07865">
            <w:pPr>
              <w:widowControl w:val="0"/>
              <w:autoSpaceDE w:val="0"/>
              <w:autoSpaceDN w:val="0"/>
              <w:adjustRightInd w:val="0"/>
              <w:spacing w:line="360" w:lineRule="auto"/>
              <w:rPr>
                <w:rFonts w:cstheme="minorHAnsi"/>
                <w:b/>
                <w:color w:val="000000"/>
                <w:szCs w:val="22"/>
              </w:rPr>
            </w:pPr>
            <w:r w:rsidRPr="00D07865">
              <w:rPr>
                <w:rFonts w:cstheme="minorHAnsi"/>
                <w:b/>
                <w:color w:val="000000"/>
                <w:szCs w:val="22"/>
              </w:rPr>
              <w:t>For Troffer products:</w:t>
            </w:r>
          </w:p>
          <w:p w14:paraId="13904756" w14:textId="2CA80E8B" w:rsidR="00D07865" w:rsidRPr="00D07865" w:rsidRDefault="00D07865" w:rsidP="00D07865">
            <w:pPr>
              <w:widowControl w:val="0"/>
              <w:numPr>
                <w:ilvl w:val="0"/>
                <w:numId w:val="30"/>
              </w:numPr>
              <w:autoSpaceDE w:val="0"/>
              <w:autoSpaceDN w:val="0"/>
              <w:adjustRightInd w:val="0"/>
              <w:spacing w:line="360" w:lineRule="auto"/>
              <w:rPr>
                <w:rFonts w:cstheme="minorHAnsi"/>
                <w:color w:val="000000"/>
                <w:szCs w:val="22"/>
              </w:rPr>
            </w:pPr>
            <w:r w:rsidRPr="00D07865">
              <w:rPr>
                <w:rFonts w:cstheme="minorHAnsi"/>
                <w:color w:val="000000"/>
                <w:szCs w:val="22"/>
              </w:rPr>
              <w:t>DLC-listed initial light output must be ≥ 2</w:t>
            </w:r>
            <w:r w:rsidR="00D52241">
              <w:rPr>
                <w:rFonts w:cstheme="minorHAnsi"/>
                <w:color w:val="000000"/>
                <w:szCs w:val="22"/>
              </w:rPr>
              <w:t>,</w:t>
            </w:r>
            <w:r w:rsidRPr="00D07865">
              <w:rPr>
                <w:rFonts w:cstheme="minorHAnsi"/>
                <w:color w:val="000000"/>
                <w:szCs w:val="22"/>
              </w:rPr>
              <w:t>200 lm and ≤ 6</w:t>
            </w:r>
            <w:r w:rsidR="00D52241">
              <w:rPr>
                <w:rFonts w:cstheme="minorHAnsi"/>
                <w:color w:val="000000"/>
                <w:szCs w:val="22"/>
              </w:rPr>
              <w:t>,</w:t>
            </w:r>
            <w:r w:rsidRPr="00D07865">
              <w:rPr>
                <w:rFonts w:cstheme="minorHAnsi"/>
                <w:color w:val="000000"/>
                <w:szCs w:val="22"/>
              </w:rPr>
              <w:t>500 lm</w:t>
            </w:r>
          </w:p>
          <w:p w14:paraId="210D6145" w14:textId="78B9C1F8" w:rsidR="00D07865" w:rsidRPr="00D07865" w:rsidRDefault="00D07865" w:rsidP="00D07865">
            <w:pPr>
              <w:widowControl w:val="0"/>
              <w:numPr>
                <w:ilvl w:val="0"/>
                <w:numId w:val="30"/>
              </w:numPr>
              <w:autoSpaceDE w:val="0"/>
              <w:autoSpaceDN w:val="0"/>
              <w:adjustRightInd w:val="0"/>
              <w:spacing w:line="276" w:lineRule="auto"/>
              <w:rPr>
                <w:rFonts w:cstheme="minorHAnsi"/>
                <w:color w:val="000000"/>
                <w:szCs w:val="22"/>
              </w:rPr>
            </w:pPr>
            <w:r w:rsidRPr="00D07865">
              <w:rPr>
                <w:rFonts w:cstheme="minorHAnsi"/>
                <w:szCs w:val="22"/>
              </w:rPr>
              <w:t>Only Fixtures and Retrofit kits that include new</w:t>
            </w:r>
            <w:r w:rsidRPr="00D07865">
              <w:rPr>
                <w:rFonts w:cstheme="minorHAnsi"/>
                <w:color w:val="FF0000"/>
                <w:szCs w:val="22"/>
              </w:rPr>
              <w:t xml:space="preserve"> </w:t>
            </w:r>
            <w:r w:rsidRPr="00D07865">
              <w:rPr>
                <w:rFonts w:cstheme="minorHAnsi"/>
                <w:color w:val="000000"/>
                <w:szCs w:val="22"/>
              </w:rPr>
              <w:t xml:space="preserve">lenses between the LED package and the viewer </w:t>
            </w:r>
            <w:r w:rsidRPr="00D07865">
              <w:rPr>
                <w:rFonts w:cstheme="minorHAnsi"/>
                <w:color w:val="000000"/>
                <w:szCs w:val="22"/>
              </w:rPr>
              <w:tab/>
              <w:t>qualify</w:t>
            </w:r>
          </w:p>
          <w:p w14:paraId="1959624B" w14:textId="77777777" w:rsidR="00D07865" w:rsidRPr="00D07865" w:rsidRDefault="00D07865" w:rsidP="00D07865">
            <w:pPr>
              <w:widowControl w:val="0"/>
              <w:autoSpaceDE w:val="0"/>
              <w:autoSpaceDN w:val="0"/>
              <w:adjustRightInd w:val="0"/>
              <w:spacing w:before="120" w:line="360" w:lineRule="auto"/>
              <w:rPr>
                <w:rFonts w:cstheme="minorHAnsi"/>
                <w:b/>
                <w:color w:val="000000"/>
                <w:szCs w:val="22"/>
              </w:rPr>
            </w:pPr>
            <w:r w:rsidRPr="00D07865">
              <w:rPr>
                <w:rFonts w:cstheme="minorHAnsi"/>
                <w:b/>
                <w:color w:val="000000"/>
                <w:szCs w:val="22"/>
              </w:rPr>
              <w:t>For Linear Ambient products only:</w:t>
            </w:r>
          </w:p>
          <w:p w14:paraId="151CA300" w14:textId="77777777" w:rsidR="00D07865" w:rsidRPr="00D07865" w:rsidRDefault="00D07865" w:rsidP="00D07865">
            <w:pPr>
              <w:widowControl w:val="0"/>
              <w:numPr>
                <w:ilvl w:val="0"/>
                <w:numId w:val="30"/>
              </w:numPr>
              <w:autoSpaceDE w:val="0"/>
              <w:autoSpaceDN w:val="0"/>
              <w:adjustRightInd w:val="0"/>
              <w:spacing w:line="360" w:lineRule="auto"/>
              <w:rPr>
                <w:rFonts w:cstheme="minorHAnsi"/>
                <w:color w:val="000000"/>
                <w:szCs w:val="22"/>
              </w:rPr>
            </w:pPr>
            <w:r w:rsidRPr="00D07865">
              <w:rPr>
                <w:rFonts w:cstheme="minorHAnsi"/>
                <w:color w:val="000000"/>
                <w:szCs w:val="22"/>
              </w:rPr>
              <w:t>DLC-listed initial light output must be ≤ 6,500 lm</w:t>
            </w:r>
          </w:p>
          <w:p w14:paraId="11BAAFFA" w14:textId="48AE38D4" w:rsidR="00314317" w:rsidRPr="00824A72" w:rsidRDefault="00314317" w:rsidP="00247DF2">
            <w:pPr>
              <w:rPr>
                <w:rFonts w:cstheme="minorHAnsi"/>
                <w:b/>
                <w:szCs w:val="22"/>
              </w:rPr>
            </w:pPr>
            <w:r w:rsidRPr="00824A72">
              <w:rPr>
                <w:rFonts w:cstheme="minorHAnsi"/>
                <w:b/>
                <w:szCs w:val="22"/>
              </w:rPr>
              <w:t xml:space="preserve">Exclusions: </w:t>
            </w:r>
          </w:p>
          <w:p w14:paraId="6413CD20" w14:textId="45D1F149" w:rsidR="00A755F3" w:rsidRPr="00824A72" w:rsidRDefault="00B9625C" w:rsidP="00DC2692">
            <w:pPr>
              <w:pStyle w:val="ListParagraph"/>
              <w:numPr>
                <w:ilvl w:val="0"/>
                <w:numId w:val="40"/>
              </w:numPr>
              <w:rPr>
                <w:rFonts w:cstheme="minorHAnsi"/>
                <w:szCs w:val="22"/>
              </w:rPr>
            </w:pPr>
            <w:r w:rsidRPr="00824A72">
              <w:rPr>
                <w:rFonts w:cstheme="minorHAnsi"/>
                <w:szCs w:val="22"/>
              </w:rPr>
              <w:t>Fixtures listed under specialty primary uses on the DLC QPL do not qualify for these deemed measures.</w:t>
            </w:r>
          </w:p>
          <w:p w14:paraId="185DEBC3" w14:textId="461A3CBF" w:rsidR="00314317" w:rsidRPr="00824A72" w:rsidRDefault="00314317" w:rsidP="00DC2692">
            <w:pPr>
              <w:pStyle w:val="ListParagraph"/>
              <w:numPr>
                <w:ilvl w:val="0"/>
                <w:numId w:val="40"/>
              </w:numPr>
              <w:rPr>
                <w:rFonts w:cstheme="minorHAnsi"/>
                <w:szCs w:val="22"/>
              </w:rPr>
            </w:pPr>
            <w:r w:rsidRPr="00824A72">
              <w:rPr>
                <w:rFonts w:cstheme="minorHAnsi"/>
                <w:szCs w:val="22"/>
              </w:rPr>
              <w:t>Other fixture configurations, including LED troffer linear retrofit kits, linear ambient luminaires (direct/indirect) or external driver lamp-style retrofits (UL, Type C), do not qualify for this rebate.</w:t>
            </w:r>
          </w:p>
          <w:p w14:paraId="2D52008B" w14:textId="559C6914" w:rsidR="00116EE8" w:rsidRPr="00824A72" w:rsidRDefault="00314317" w:rsidP="00DC2692">
            <w:pPr>
              <w:pStyle w:val="ListParagraph"/>
              <w:numPr>
                <w:ilvl w:val="0"/>
                <w:numId w:val="40"/>
              </w:numPr>
              <w:rPr>
                <w:rFonts w:cstheme="minorHAnsi"/>
                <w:szCs w:val="22"/>
              </w:rPr>
            </w:pPr>
            <w:r w:rsidRPr="00824A72">
              <w:rPr>
                <w:rFonts w:cstheme="minorHAnsi"/>
                <w:szCs w:val="22"/>
              </w:rPr>
              <w:t>Exterior or high/low-bay installations of these products do not qualify for this rebate.</w:t>
            </w:r>
          </w:p>
          <w:p w14:paraId="2AC580FC" w14:textId="4898CC0E" w:rsidR="00736DEF" w:rsidRPr="00824A72" w:rsidRDefault="00314317" w:rsidP="00DC2692">
            <w:pPr>
              <w:pStyle w:val="ListParagraph"/>
              <w:numPr>
                <w:ilvl w:val="0"/>
                <w:numId w:val="40"/>
              </w:numPr>
              <w:rPr>
                <w:rFonts w:cstheme="minorHAnsi"/>
                <w:szCs w:val="22"/>
              </w:rPr>
            </w:pPr>
            <w:r w:rsidRPr="00824A72">
              <w:rPr>
                <w:rFonts w:cstheme="minorHAnsi"/>
                <w:szCs w:val="22"/>
              </w:rPr>
              <w:t xml:space="preserve">Products in the above listed category </w:t>
            </w:r>
            <w:r w:rsidR="00B73ABF" w:rsidRPr="00824A72">
              <w:rPr>
                <w:rFonts w:cstheme="minorHAnsi"/>
                <w:szCs w:val="22"/>
              </w:rPr>
              <w:t xml:space="preserve">below </w:t>
            </w:r>
            <w:r w:rsidRPr="00824A72">
              <w:rPr>
                <w:rFonts w:cstheme="minorHAnsi"/>
                <w:szCs w:val="22"/>
              </w:rPr>
              <w:t xml:space="preserve">2,199 lumens or </w:t>
            </w:r>
            <w:r w:rsidR="00B73ABF" w:rsidRPr="00824A72">
              <w:rPr>
                <w:rFonts w:cstheme="minorHAnsi"/>
                <w:szCs w:val="22"/>
              </w:rPr>
              <w:t>above 6</w:t>
            </w:r>
            <w:r w:rsidR="00D52241">
              <w:rPr>
                <w:rFonts w:cstheme="minorHAnsi"/>
                <w:szCs w:val="22"/>
              </w:rPr>
              <w:t>,</w:t>
            </w:r>
            <w:r w:rsidR="00152900" w:rsidRPr="00824A72">
              <w:rPr>
                <w:rFonts w:cstheme="minorHAnsi"/>
                <w:szCs w:val="22"/>
              </w:rPr>
              <w:t>501 lumens do not qualify for this rebate.</w:t>
            </w:r>
          </w:p>
          <w:p w14:paraId="13F2B063" w14:textId="77777777" w:rsidR="003F5AA8" w:rsidRPr="00824A72" w:rsidRDefault="003F5AA8" w:rsidP="00DC2692">
            <w:pPr>
              <w:pStyle w:val="ListParagraph"/>
              <w:numPr>
                <w:ilvl w:val="0"/>
                <w:numId w:val="40"/>
              </w:numPr>
              <w:rPr>
                <w:rFonts w:cstheme="minorHAnsi"/>
                <w:szCs w:val="22"/>
              </w:rPr>
            </w:pPr>
            <w:r w:rsidRPr="00824A72">
              <w:rPr>
                <w:rFonts w:cstheme="minorHAnsi"/>
                <w:szCs w:val="22"/>
              </w:rPr>
              <w:t>Screw-in based lamps and linear replacement lamps do not qualify.</w:t>
            </w:r>
          </w:p>
          <w:p w14:paraId="55CB8996" w14:textId="4642B93F" w:rsidR="003F5AA8" w:rsidRPr="00824A72" w:rsidRDefault="00073DFD" w:rsidP="00DC2692">
            <w:pPr>
              <w:pStyle w:val="ListParagraph"/>
              <w:numPr>
                <w:ilvl w:val="0"/>
                <w:numId w:val="40"/>
              </w:numPr>
              <w:rPr>
                <w:rFonts w:cstheme="minorHAnsi"/>
                <w:szCs w:val="22"/>
              </w:rPr>
            </w:pPr>
            <w:r w:rsidRPr="00824A72">
              <w:rPr>
                <w:rFonts w:cstheme="minorHAnsi"/>
                <w:szCs w:val="22"/>
              </w:rPr>
              <w:t>Must meet the minimum efficacy range listed for the appropriate measure code</w:t>
            </w:r>
            <w:r w:rsidR="00D52241">
              <w:rPr>
                <w:rFonts w:cstheme="minorHAnsi"/>
                <w:szCs w:val="22"/>
              </w:rPr>
              <w:t>.</w:t>
            </w:r>
          </w:p>
        </w:tc>
      </w:tr>
      <w:tr w:rsidR="00260731" w14:paraId="36CA0919" w14:textId="77777777" w:rsidTr="00FB2C96">
        <w:trPr>
          <w:cantSplit/>
          <w:jc w:val="center"/>
        </w:trPr>
        <w:tc>
          <w:tcPr>
            <w:tcW w:w="1999" w:type="dxa"/>
            <w:vAlign w:val="center"/>
          </w:tcPr>
          <w:p w14:paraId="10AD7D46" w14:textId="39CF07D9" w:rsidR="00736DEF" w:rsidRPr="001D77F7" w:rsidRDefault="00736DEF" w:rsidP="001D77F7">
            <w:pPr>
              <w:rPr>
                <w:b/>
              </w:rPr>
            </w:pPr>
          </w:p>
        </w:tc>
        <w:tc>
          <w:tcPr>
            <w:tcW w:w="9156" w:type="dxa"/>
          </w:tcPr>
          <w:p w14:paraId="3C520FEE" w14:textId="4D164A5A" w:rsidR="00247DF2" w:rsidRPr="00824A72" w:rsidRDefault="00247DF2" w:rsidP="00AA3C1F">
            <w:pPr>
              <w:rPr>
                <w:b/>
                <w:szCs w:val="22"/>
              </w:rPr>
            </w:pPr>
            <w:r w:rsidRPr="00824A72">
              <w:rPr>
                <w:b/>
                <w:szCs w:val="22"/>
              </w:rPr>
              <w:t xml:space="preserve">Product Technical Description: </w:t>
            </w:r>
          </w:p>
          <w:p w14:paraId="74845A2A" w14:textId="5CA836FB" w:rsidR="00AA3C1F" w:rsidRPr="00824A72" w:rsidRDefault="00AA3C1F" w:rsidP="00AA3C1F">
            <w:pPr>
              <w:rPr>
                <w:szCs w:val="22"/>
              </w:rPr>
            </w:pPr>
            <w:r w:rsidRPr="00824A72">
              <w:rPr>
                <w:szCs w:val="22"/>
              </w:rPr>
              <w:t>Light emitting diode (LED) sources have improved over the past decade making them an efficient and reliable lighting technology. Many LED products have successfully replaced other lighting sources in some applications and made their way into the market through continuous improvement and compete with more established sources across many applications.</w:t>
            </w:r>
          </w:p>
          <w:p w14:paraId="14840196" w14:textId="77777777" w:rsidR="00AA3C1F" w:rsidRPr="00824A72" w:rsidRDefault="00AA3C1F" w:rsidP="00AA3C1F">
            <w:pPr>
              <w:rPr>
                <w:szCs w:val="22"/>
              </w:rPr>
            </w:pPr>
          </w:p>
          <w:p w14:paraId="273D8294" w14:textId="71831F66" w:rsidR="00AA3C1F" w:rsidRPr="00824A72" w:rsidRDefault="00AA3C1F" w:rsidP="00AA3C1F">
            <w:pPr>
              <w:rPr>
                <w:szCs w:val="22"/>
              </w:rPr>
            </w:pPr>
            <w:r w:rsidRPr="00824A72">
              <w:rPr>
                <w:szCs w:val="22"/>
              </w:rPr>
              <w:t xml:space="preserve">Recessed rectangular light fixtures, sometimes known as troffers, have traditionally used linear fluorescent light sources: T8 lamps predominate currently, with small T5 market share and a diminishing T12 presence in non-residential building stock. Similar fixture shapes are in use for much less common surface mountings in non-residential buildings, for spaces where recessed ceiling space is </w:t>
            </w:r>
            <w:r w:rsidR="0054736C" w:rsidRPr="00824A72">
              <w:rPr>
                <w:szCs w:val="22"/>
              </w:rPr>
              <w:t>unavailable,</w:t>
            </w:r>
            <w:r w:rsidRPr="00824A72">
              <w:rPr>
                <w:szCs w:val="22"/>
              </w:rPr>
              <w:t xml:space="preserve"> but ease of maintenance dictates a common lamp type. 4</w:t>
            </w:r>
            <w:r w:rsidR="00C1796B">
              <w:rPr>
                <w:szCs w:val="22"/>
              </w:rPr>
              <w:t>-</w:t>
            </w:r>
            <w:r w:rsidRPr="00824A72">
              <w:rPr>
                <w:szCs w:val="22"/>
              </w:rPr>
              <w:t>foot lamps predominate, with 2</w:t>
            </w:r>
            <w:r w:rsidR="008378CE">
              <w:rPr>
                <w:szCs w:val="22"/>
              </w:rPr>
              <w:t>-</w:t>
            </w:r>
            <w:r w:rsidRPr="00824A72">
              <w:rPr>
                <w:szCs w:val="22"/>
              </w:rPr>
              <w:t>foot or U-bent 4</w:t>
            </w:r>
            <w:r w:rsidR="008378CE">
              <w:rPr>
                <w:szCs w:val="22"/>
              </w:rPr>
              <w:t>-</w:t>
            </w:r>
            <w:r w:rsidRPr="00824A72">
              <w:rPr>
                <w:szCs w:val="22"/>
              </w:rPr>
              <w:t>foot lamps also common.</w:t>
            </w:r>
          </w:p>
          <w:p w14:paraId="3505C0B0" w14:textId="43A15000" w:rsidR="00152BB8" w:rsidRPr="00824A72" w:rsidRDefault="00152BB8" w:rsidP="00D86243">
            <w:pPr>
              <w:rPr>
                <w:szCs w:val="22"/>
              </w:rPr>
            </w:pPr>
          </w:p>
          <w:p w14:paraId="555B9E05" w14:textId="1B2405A4" w:rsidR="00736DEF" w:rsidRPr="00824A72" w:rsidRDefault="00070B14" w:rsidP="00247DF2">
            <w:pPr>
              <w:rPr>
                <w:szCs w:val="22"/>
              </w:rPr>
            </w:pPr>
            <w:r w:rsidRPr="00824A72">
              <w:rPr>
                <w:szCs w:val="22"/>
              </w:rPr>
              <w:t xml:space="preserve">LED Ambient Commercial products, which are most commonly used in recessed ceilings but may also be surface-mounted or suspended, are available as </w:t>
            </w:r>
            <w:r w:rsidR="00921746" w:rsidRPr="00824A72">
              <w:rPr>
                <w:szCs w:val="22"/>
              </w:rPr>
              <w:t>completely</w:t>
            </w:r>
            <w:r w:rsidRPr="00824A72">
              <w:rPr>
                <w:szCs w:val="22"/>
              </w:rPr>
              <w:t xml:space="preserve"> new fixtures (a.k.a. luminaires) and as integrated retrofit kits. Both options include new LED chips, an LED driver or power supply, and optical control or lenses.  Retrofit kits allow these components to be fit into existing linear fluorescent metal housing, whereas new LED luminaires are sold complete with a new metal housing.</w:t>
            </w:r>
          </w:p>
        </w:tc>
      </w:tr>
      <w:tr w:rsidR="00260731" w14:paraId="6EE1F381" w14:textId="77777777" w:rsidTr="00FB2C96">
        <w:trPr>
          <w:cantSplit/>
          <w:jc w:val="center"/>
        </w:trPr>
        <w:tc>
          <w:tcPr>
            <w:tcW w:w="1999" w:type="dxa"/>
            <w:vAlign w:val="center"/>
          </w:tcPr>
          <w:p w14:paraId="7FCBD168" w14:textId="758A669A" w:rsidR="00282C54" w:rsidRPr="00824A72" w:rsidRDefault="00282C54" w:rsidP="00D86243">
            <w:pPr>
              <w:jc w:val="right"/>
              <w:rPr>
                <w:rFonts w:cs="Arial"/>
                <w:szCs w:val="22"/>
              </w:rPr>
            </w:pPr>
            <w:r w:rsidRPr="00824A72">
              <w:rPr>
                <w:rFonts w:cs="Arial"/>
                <w:szCs w:val="22"/>
              </w:rPr>
              <w:lastRenderedPageBreak/>
              <w:t>Measure</w:t>
            </w:r>
            <w:r w:rsidR="005D3DDC">
              <w:rPr>
                <w:rFonts w:cs="Arial"/>
                <w:szCs w:val="22"/>
              </w:rPr>
              <w:t>s</w:t>
            </w:r>
          </w:p>
        </w:tc>
        <w:tc>
          <w:tcPr>
            <w:tcW w:w="9156" w:type="dxa"/>
          </w:tcPr>
          <w:p w14:paraId="7BC89D1E" w14:textId="726D184B" w:rsidR="00282C54" w:rsidRPr="00824A72" w:rsidRDefault="00247DF2" w:rsidP="00736DEF">
            <w:pPr>
              <w:rPr>
                <w:rFonts w:cstheme="minorHAnsi"/>
                <w:szCs w:val="22"/>
              </w:rPr>
            </w:pPr>
            <w:r w:rsidRPr="00824A72">
              <w:rPr>
                <w:rFonts w:cstheme="minorHAnsi"/>
                <w:szCs w:val="22"/>
              </w:rPr>
              <w:t xml:space="preserve">The following are the </w:t>
            </w:r>
            <w:r w:rsidR="00531B01">
              <w:rPr>
                <w:rFonts w:cstheme="minorHAnsi"/>
                <w:szCs w:val="22"/>
              </w:rPr>
              <w:t xml:space="preserve">SDG&amp;E </w:t>
            </w:r>
            <w:r w:rsidR="00CC74F4">
              <w:rPr>
                <w:rFonts w:cstheme="minorHAnsi"/>
                <w:szCs w:val="22"/>
              </w:rPr>
              <w:t xml:space="preserve">Measure IDs </w:t>
            </w:r>
            <w:r w:rsidR="00D22C8D" w:rsidRPr="00824A72">
              <w:rPr>
                <w:rFonts w:cstheme="minorHAnsi"/>
                <w:szCs w:val="22"/>
              </w:rPr>
              <w:t xml:space="preserve">for </w:t>
            </w:r>
            <w:r w:rsidR="000941E6" w:rsidRPr="00824A72">
              <w:rPr>
                <w:rFonts w:cstheme="minorHAnsi"/>
                <w:szCs w:val="22"/>
              </w:rPr>
              <w:t>LED Luminaires/Retrofit Kits rated ≥125 LPW, Ambient Interior Commercial Spaces</w:t>
            </w:r>
            <w:r w:rsidR="00D22C8D" w:rsidRPr="00824A72">
              <w:rPr>
                <w:rFonts w:cstheme="minorHAnsi"/>
                <w:szCs w:val="22"/>
              </w:rPr>
              <w:t>.</w:t>
            </w:r>
          </w:p>
          <w:p w14:paraId="7993E256" w14:textId="77777777" w:rsidR="00247DF2" w:rsidRPr="00D727CA" w:rsidRDefault="00247DF2" w:rsidP="00736DEF">
            <w:pPr>
              <w:rPr>
                <w:rFonts w:cstheme="minorHAnsi"/>
                <w:sz w:val="20"/>
                <w:szCs w:val="20"/>
              </w:rPr>
            </w:pPr>
          </w:p>
          <w:tbl>
            <w:tblPr>
              <w:tblW w:w="8830" w:type="dxa"/>
              <w:jc w:val="center"/>
              <w:tblLook w:val="04A0" w:firstRow="1" w:lastRow="0" w:firstColumn="1" w:lastColumn="0" w:noHBand="0" w:noVBand="1"/>
            </w:tblPr>
            <w:tblGrid>
              <w:gridCol w:w="2015"/>
              <w:gridCol w:w="6815"/>
            </w:tblGrid>
            <w:tr w:rsidR="00D22C8D" w:rsidRPr="00D727CA" w14:paraId="08F2C755" w14:textId="77777777" w:rsidTr="00FB2C96">
              <w:trPr>
                <w:trHeight w:val="230"/>
                <w:jc w:val="center"/>
              </w:trPr>
              <w:tc>
                <w:tcPr>
                  <w:tcW w:w="2015" w:type="dxa"/>
                  <w:tcBorders>
                    <w:top w:val="single" w:sz="4" w:space="0" w:color="auto"/>
                    <w:left w:val="single" w:sz="4" w:space="0" w:color="auto"/>
                    <w:bottom w:val="single" w:sz="4" w:space="0" w:color="auto"/>
                    <w:right w:val="single" w:sz="4" w:space="0" w:color="auto"/>
                  </w:tcBorders>
                  <w:shd w:val="clear" w:color="auto" w:fill="FFFFFF"/>
                </w:tcPr>
                <w:p w14:paraId="1FE534B9" w14:textId="6E276E37" w:rsidR="00D22C8D" w:rsidRPr="00824A72" w:rsidRDefault="00D22C8D" w:rsidP="00D22C8D">
                  <w:pPr>
                    <w:jc w:val="center"/>
                    <w:rPr>
                      <w:rFonts w:cstheme="minorHAnsi"/>
                      <w:szCs w:val="22"/>
                    </w:rPr>
                  </w:pPr>
                </w:p>
              </w:tc>
              <w:tc>
                <w:tcPr>
                  <w:tcW w:w="6815" w:type="dxa"/>
                  <w:vMerge w:val="restart"/>
                  <w:tcBorders>
                    <w:top w:val="single" w:sz="4" w:space="0" w:color="auto"/>
                    <w:left w:val="nil"/>
                    <w:right w:val="single" w:sz="4" w:space="0" w:color="auto"/>
                  </w:tcBorders>
                  <w:shd w:val="clear" w:color="auto" w:fill="FFFFFF"/>
                  <w:noWrap/>
                  <w:vAlign w:val="bottom"/>
                </w:tcPr>
                <w:p w14:paraId="39C93B57" w14:textId="4E754055" w:rsidR="00D22C8D" w:rsidRPr="00824A72" w:rsidRDefault="00D22C8D" w:rsidP="00D22C8D">
                  <w:pPr>
                    <w:jc w:val="center"/>
                    <w:rPr>
                      <w:rFonts w:cstheme="minorHAnsi"/>
                      <w:szCs w:val="22"/>
                    </w:rPr>
                  </w:pPr>
                </w:p>
                <w:p w14:paraId="246878C8" w14:textId="77777777" w:rsidR="00D22C8D" w:rsidRPr="00824A72" w:rsidRDefault="00D22C8D" w:rsidP="00D22C8D">
                  <w:pPr>
                    <w:jc w:val="center"/>
                    <w:rPr>
                      <w:rFonts w:cstheme="minorHAnsi"/>
                      <w:szCs w:val="22"/>
                    </w:rPr>
                  </w:pPr>
                  <w:r w:rsidRPr="00824A72">
                    <w:rPr>
                      <w:rFonts w:cstheme="minorHAnsi"/>
                      <w:szCs w:val="22"/>
                    </w:rPr>
                    <w:t>Measure Description</w:t>
                  </w:r>
                </w:p>
                <w:p w14:paraId="37245C39" w14:textId="1BC6EEF0" w:rsidR="00D22C8D" w:rsidRPr="00824A72" w:rsidRDefault="00D22C8D" w:rsidP="00247DF2">
                  <w:pPr>
                    <w:rPr>
                      <w:rFonts w:cstheme="minorHAnsi"/>
                      <w:szCs w:val="22"/>
                    </w:rPr>
                  </w:pPr>
                </w:p>
              </w:tc>
            </w:tr>
            <w:tr w:rsidR="00F91F6E" w:rsidRPr="00D727CA" w14:paraId="34A210C9" w14:textId="77777777" w:rsidTr="00FB2C96">
              <w:trPr>
                <w:trHeight w:val="230"/>
                <w:jc w:val="center"/>
              </w:trPr>
              <w:tc>
                <w:tcPr>
                  <w:tcW w:w="2015" w:type="dxa"/>
                  <w:tcBorders>
                    <w:top w:val="single" w:sz="4" w:space="0" w:color="auto"/>
                    <w:left w:val="single" w:sz="4" w:space="0" w:color="auto"/>
                    <w:bottom w:val="single" w:sz="4" w:space="0" w:color="auto"/>
                    <w:right w:val="single" w:sz="4" w:space="0" w:color="auto"/>
                  </w:tcBorders>
                  <w:shd w:val="clear" w:color="auto" w:fill="FFFFFF"/>
                </w:tcPr>
                <w:p w14:paraId="4083BAB4" w14:textId="77777777" w:rsidR="00F91F6E" w:rsidRPr="00824A72" w:rsidRDefault="00F91F6E" w:rsidP="00247DF2">
                  <w:pPr>
                    <w:jc w:val="center"/>
                    <w:rPr>
                      <w:rFonts w:cstheme="minorHAnsi"/>
                      <w:szCs w:val="22"/>
                    </w:rPr>
                  </w:pPr>
                  <w:r w:rsidRPr="00824A72">
                    <w:rPr>
                      <w:rFonts w:cstheme="minorHAnsi"/>
                      <w:szCs w:val="22"/>
                    </w:rPr>
                    <w:t>SDGE Msr ID</w:t>
                  </w:r>
                </w:p>
                <w:p w14:paraId="7A1BFFCB" w14:textId="54BA46E7" w:rsidR="00F91F6E" w:rsidRPr="00824A72" w:rsidRDefault="00F91F6E" w:rsidP="00247DF2">
                  <w:pPr>
                    <w:jc w:val="center"/>
                    <w:rPr>
                      <w:rFonts w:cstheme="minorHAnsi"/>
                      <w:szCs w:val="22"/>
                    </w:rPr>
                  </w:pPr>
                  <w:r w:rsidRPr="00824A72">
                    <w:rPr>
                      <w:rFonts w:cstheme="minorHAnsi"/>
                      <w:szCs w:val="22"/>
                    </w:rPr>
                    <w:t>WPSDGENRLG0080-Rev02-MsrXXX</w:t>
                  </w:r>
                </w:p>
              </w:tc>
              <w:tc>
                <w:tcPr>
                  <w:tcW w:w="6815" w:type="dxa"/>
                  <w:vMerge/>
                  <w:tcBorders>
                    <w:left w:val="nil"/>
                    <w:bottom w:val="single" w:sz="4" w:space="0" w:color="auto"/>
                    <w:right w:val="single" w:sz="4" w:space="0" w:color="auto"/>
                  </w:tcBorders>
                  <w:shd w:val="clear" w:color="auto" w:fill="FFFFFF"/>
                  <w:noWrap/>
                  <w:vAlign w:val="bottom"/>
                </w:tcPr>
                <w:p w14:paraId="1F30F7E0" w14:textId="2E1A407B" w:rsidR="00F91F6E" w:rsidRPr="00824A72" w:rsidRDefault="00F91F6E" w:rsidP="00247DF2">
                  <w:pPr>
                    <w:rPr>
                      <w:rFonts w:cstheme="minorHAnsi"/>
                      <w:szCs w:val="22"/>
                    </w:rPr>
                  </w:pPr>
                </w:p>
              </w:tc>
            </w:tr>
            <w:tr w:rsidR="00F91F6E" w:rsidRPr="00D727CA" w14:paraId="6F4658AE"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486AC2A4" w14:textId="163BB73D" w:rsidR="00F91F6E" w:rsidRPr="00824A72" w:rsidRDefault="00F91F6E" w:rsidP="00546A5C">
                  <w:pPr>
                    <w:jc w:val="center"/>
                    <w:rPr>
                      <w:rFonts w:cstheme="minorHAnsi"/>
                      <w:szCs w:val="22"/>
                    </w:rPr>
                  </w:pPr>
                  <w:r w:rsidRPr="00824A72">
                    <w:rPr>
                      <w:rFonts w:cstheme="minorHAnsi"/>
                      <w:szCs w:val="22"/>
                    </w:rPr>
                    <w:t>Msr003</w:t>
                  </w:r>
                </w:p>
              </w:tc>
              <w:tc>
                <w:tcPr>
                  <w:tcW w:w="6815" w:type="dxa"/>
                  <w:tcBorders>
                    <w:top w:val="single" w:sz="4" w:space="0" w:color="auto"/>
                    <w:left w:val="single" w:sz="4" w:space="0" w:color="auto"/>
                    <w:bottom w:val="single" w:sz="4" w:space="0" w:color="auto"/>
                    <w:right w:val="single" w:sz="4" w:space="0" w:color="auto"/>
                  </w:tcBorders>
                  <w:noWrap/>
                  <w:vAlign w:val="bottom"/>
                </w:tcPr>
                <w:p w14:paraId="42B9DC54" w14:textId="7820F6BF" w:rsidR="00F91F6E" w:rsidRPr="00824A72" w:rsidRDefault="00F91F6E" w:rsidP="00546A5C">
                  <w:pPr>
                    <w:rPr>
                      <w:rFonts w:cstheme="minorHAnsi"/>
                      <w:szCs w:val="22"/>
                    </w:rPr>
                  </w:pPr>
                  <w:r w:rsidRPr="00824A72">
                    <w:rPr>
                      <w:rFonts w:cstheme="minorHAnsi"/>
                      <w:szCs w:val="22"/>
                    </w:rPr>
                    <w:t>2x4 LED new Luminaire rated greater than or equal to 125 LPW and less than 140 LPW</w:t>
                  </w:r>
                </w:p>
              </w:tc>
            </w:tr>
            <w:tr w:rsidR="00F91F6E" w:rsidRPr="00D727CA" w14:paraId="2EF75D23"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324E62AC" w14:textId="08358949" w:rsidR="00F91F6E" w:rsidRPr="00824A72" w:rsidRDefault="00F91F6E" w:rsidP="00BD6672">
                  <w:pPr>
                    <w:jc w:val="center"/>
                    <w:rPr>
                      <w:rFonts w:cstheme="minorHAnsi"/>
                      <w:szCs w:val="22"/>
                    </w:rPr>
                  </w:pPr>
                  <w:r w:rsidRPr="00824A72">
                    <w:rPr>
                      <w:rFonts w:cstheme="minorHAnsi"/>
                      <w:szCs w:val="22"/>
                    </w:rPr>
                    <w:t>Msr009</w:t>
                  </w:r>
                </w:p>
              </w:tc>
              <w:tc>
                <w:tcPr>
                  <w:tcW w:w="6815" w:type="dxa"/>
                  <w:tcBorders>
                    <w:top w:val="single" w:sz="4" w:space="0" w:color="auto"/>
                    <w:left w:val="single" w:sz="4" w:space="0" w:color="auto"/>
                    <w:bottom w:val="single" w:sz="4" w:space="0" w:color="auto"/>
                    <w:right w:val="single" w:sz="4" w:space="0" w:color="auto"/>
                  </w:tcBorders>
                  <w:noWrap/>
                  <w:vAlign w:val="bottom"/>
                </w:tcPr>
                <w:p w14:paraId="042C34EF" w14:textId="369F1157" w:rsidR="00F91F6E" w:rsidRPr="00824A72" w:rsidRDefault="00F91F6E" w:rsidP="00BD6672">
                  <w:pPr>
                    <w:rPr>
                      <w:rFonts w:cstheme="minorHAnsi"/>
                      <w:szCs w:val="22"/>
                    </w:rPr>
                  </w:pPr>
                  <w:r w:rsidRPr="00824A72">
                    <w:rPr>
                      <w:rFonts w:cstheme="minorHAnsi"/>
                      <w:szCs w:val="22"/>
                    </w:rPr>
                    <w:t>2x4 LED new Luminaire rated greater than or equal to 140 LPW</w:t>
                  </w:r>
                </w:p>
              </w:tc>
            </w:tr>
            <w:tr w:rsidR="00F91F6E" w:rsidRPr="00D727CA" w14:paraId="31612CE7"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0FCA1696" w14:textId="5E54CBA2" w:rsidR="00F91F6E" w:rsidRPr="00824A72" w:rsidRDefault="00F91F6E" w:rsidP="00ED3246">
                  <w:pPr>
                    <w:jc w:val="center"/>
                    <w:rPr>
                      <w:rFonts w:cstheme="minorHAnsi"/>
                      <w:szCs w:val="22"/>
                    </w:rPr>
                  </w:pPr>
                  <w:r w:rsidRPr="00824A72">
                    <w:rPr>
                      <w:rFonts w:cstheme="minorHAnsi"/>
                      <w:szCs w:val="22"/>
                    </w:rPr>
                    <w:t>Msr002</w:t>
                  </w:r>
                </w:p>
              </w:tc>
              <w:tc>
                <w:tcPr>
                  <w:tcW w:w="6815" w:type="dxa"/>
                  <w:tcBorders>
                    <w:top w:val="single" w:sz="4" w:space="0" w:color="auto"/>
                    <w:left w:val="single" w:sz="4" w:space="0" w:color="auto"/>
                    <w:bottom w:val="single" w:sz="4" w:space="0" w:color="auto"/>
                    <w:right w:val="single" w:sz="4" w:space="0" w:color="auto"/>
                  </w:tcBorders>
                  <w:noWrap/>
                  <w:vAlign w:val="bottom"/>
                </w:tcPr>
                <w:p w14:paraId="56D12ABB" w14:textId="622DD343" w:rsidR="00F91F6E" w:rsidRPr="00824A72" w:rsidRDefault="00F91F6E" w:rsidP="00ED3246">
                  <w:pPr>
                    <w:rPr>
                      <w:rFonts w:cstheme="minorHAnsi"/>
                      <w:szCs w:val="22"/>
                    </w:rPr>
                  </w:pPr>
                  <w:r w:rsidRPr="00824A72">
                    <w:rPr>
                      <w:rFonts w:cstheme="minorHAnsi"/>
                      <w:szCs w:val="22"/>
                    </w:rPr>
                    <w:t>2x2 LED new Luminaire rated greater than or equal to 125 LPW and less than 140 LPW</w:t>
                  </w:r>
                </w:p>
              </w:tc>
            </w:tr>
            <w:tr w:rsidR="00F91F6E" w:rsidRPr="00D727CA" w14:paraId="43DDFB49"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21F653B2" w14:textId="7DB9BEE8" w:rsidR="00F91F6E" w:rsidRPr="00824A72" w:rsidRDefault="00F91F6E" w:rsidP="00ED3246">
                  <w:pPr>
                    <w:jc w:val="center"/>
                    <w:rPr>
                      <w:rFonts w:cstheme="minorHAnsi"/>
                      <w:szCs w:val="22"/>
                    </w:rPr>
                  </w:pPr>
                  <w:r w:rsidRPr="00824A72">
                    <w:rPr>
                      <w:rFonts w:cstheme="minorHAnsi"/>
                      <w:szCs w:val="22"/>
                    </w:rPr>
                    <w:t>Msr008</w:t>
                  </w:r>
                </w:p>
              </w:tc>
              <w:tc>
                <w:tcPr>
                  <w:tcW w:w="6815" w:type="dxa"/>
                  <w:tcBorders>
                    <w:top w:val="single" w:sz="4" w:space="0" w:color="auto"/>
                    <w:left w:val="single" w:sz="4" w:space="0" w:color="auto"/>
                    <w:bottom w:val="single" w:sz="4" w:space="0" w:color="auto"/>
                    <w:right w:val="single" w:sz="4" w:space="0" w:color="auto"/>
                  </w:tcBorders>
                  <w:noWrap/>
                </w:tcPr>
                <w:p w14:paraId="01F58AE4" w14:textId="7D959ECA" w:rsidR="00F91F6E" w:rsidRPr="00824A72" w:rsidRDefault="00F91F6E" w:rsidP="00ED3246">
                  <w:pPr>
                    <w:rPr>
                      <w:rFonts w:cstheme="minorHAnsi"/>
                      <w:szCs w:val="22"/>
                    </w:rPr>
                  </w:pPr>
                  <w:r w:rsidRPr="00824A72">
                    <w:rPr>
                      <w:rFonts w:cstheme="minorHAnsi"/>
                      <w:szCs w:val="22"/>
                    </w:rPr>
                    <w:t>2x2 LED new Luminaire rated greater than or equal to 140 LPW</w:t>
                  </w:r>
                </w:p>
              </w:tc>
            </w:tr>
            <w:tr w:rsidR="00F91F6E" w:rsidRPr="00D727CA" w14:paraId="5DCA8F16"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6920C071" w14:textId="3CAE1DFC" w:rsidR="00F91F6E" w:rsidRPr="00824A72" w:rsidRDefault="00F91F6E" w:rsidP="00B7406B">
                  <w:pPr>
                    <w:jc w:val="center"/>
                    <w:rPr>
                      <w:rFonts w:cstheme="minorHAnsi"/>
                      <w:szCs w:val="22"/>
                    </w:rPr>
                  </w:pPr>
                  <w:r w:rsidRPr="00824A72">
                    <w:rPr>
                      <w:rFonts w:cstheme="minorHAnsi"/>
                      <w:szCs w:val="22"/>
                    </w:rPr>
                    <w:t>Msr001</w:t>
                  </w:r>
                </w:p>
              </w:tc>
              <w:tc>
                <w:tcPr>
                  <w:tcW w:w="6815" w:type="dxa"/>
                  <w:tcBorders>
                    <w:top w:val="single" w:sz="4" w:space="0" w:color="auto"/>
                    <w:left w:val="single" w:sz="4" w:space="0" w:color="auto"/>
                    <w:bottom w:val="single" w:sz="4" w:space="0" w:color="auto"/>
                    <w:right w:val="single" w:sz="4" w:space="0" w:color="auto"/>
                  </w:tcBorders>
                  <w:noWrap/>
                  <w:vAlign w:val="bottom"/>
                </w:tcPr>
                <w:p w14:paraId="2883A7D6" w14:textId="0CD9E95C" w:rsidR="00F91F6E" w:rsidRPr="00824A72" w:rsidRDefault="00F91F6E" w:rsidP="00B7406B">
                  <w:pPr>
                    <w:rPr>
                      <w:rFonts w:cstheme="minorHAnsi"/>
                      <w:szCs w:val="22"/>
                    </w:rPr>
                  </w:pPr>
                  <w:r w:rsidRPr="00824A72">
                    <w:rPr>
                      <w:rFonts w:cstheme="minorHAnsi"/>
                      <w:szCs w:val="22"/>
                    </w:rPr>
                    <w:t>1x4 LED new Luminaire rated greater than or equal to 125 LPW and less than 140 LPW</w:t>
                  </w:r>
                </w:p>
              </w:tc>
            </w:tr>
            <w:tr w:rsidR="00F91F6E" w:rsidRPr="00D727CA" w14:paraId="6566F651"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5ED2A64D" w14:textId="2A1F10BD" w:rsidR="00F91F6E" w:rsidRPr="00824A72" w:rsidRDefault="00F91F6E" w:rsidP="00B7406B">
                  <w:pPr>
                    <w:jc w:val="center"/>
                    <w:rPr>
                      <w:rFonts w:cstheme="minorHAnsi"/>
                      <w:szCs w:val="22"/>
                    </w:rPr>
                  </w:pPr>
                  <w:r w:rsidRPr="00824A72">
                    <w:rPr>
                      <w:rFonts w:cstheme="minorHAnsi"/>
                      <w:szCs w:val="22"/>
                    </w:rPr>
                    <w:t>Msr007</w:t>
                  </w:r>
                </w:p>
              </w:tc>
              <w:tc>
                <w:tcPr>
                  <w:tcW w:w="6815" w:type="dxa"/>
                  <w:tcBorders>
                    <w:top w:val="single" w:sz="4" w:space="0" w:color="auto"/>
                    <w:left w:val="single" w:sz="4" w:space="0" w:color="auto"/>
                    <w:bottom w:val="single" w:sz="4" w:space="0" w:color="auto"/>
                    <w:right w:val="single" w:sz="4" w:space="0" w:color="auto"/>
                  </w:tcBorders>
                  <w:noWrap/>
                </w:tcPr>
                <w:p w14:paraId="5242BD5A" w14:textId="56E94DE6" w:rsidR="00F91F6E" w:rsidRPr="00824A72" w:rsidRDefault="00F91F6E" w:rsidP="00B7406B">
                  <w:pPr>
                    <w:rPr>
                      <w:rFonts w:cstheme="minorHAnsi"/>
                      <w:szCs w:val="22"/>
                    </w:rPr>
                  </w:pPr>
                  <w:r w:rsidRPr="00824A72">
                    <w:rPr>
                      <w:rFonts w:cstheme="minorHAnsi"/>
                      <w:szCs w:val="22"/>
                    </w:rPr>
                    <w:t>1x4 LED new Luminaire rated greater than or equal to 140 LPW</w:t>
                  </w:r>
                </w:p>
              </w:tc>
            </w:tr>
            <w:tr w:rsidR="00F91F6E" w:rsidRPr="00D727CA" w14:paraId="38939229"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56BD73E3" w14:textId="13FACB64" w:rsidR="00F91F6E" w:rsidRPr="00824A72" w:rsidRDefault="00F91F6E" w:rsidP="00B7406B">
                  <w:pPr>
                    <w:jc w:val="center"/>
                    <w:rPr>
                      <w:rFonts w:cstheme="minorHAnsi"/>
                      <w:szCs w:val="22"/>
                    </w:rPr>
                  </w:pPr>
                  <w:r w:rsidRPr="00824A72">
                    <w:rPr>
                      <w:rFonts w:cstheme="minorHAnsi"/>
                      <w:szCs w:val="22"/>
                    </w:rPr>
                    <w:t>Msr006</w:t>
                  </w:r>
                </w:p>
              </w:tc>
              <w:tc>
                <w:tcPr>
                  <w:tcW w:w="6815" w:type="dxa"/>
                  <w:tcBorders>
                    <w:top w:val="single" w:sz="4" w:space="0" w:color="auto"/>
                    <w:left w:val="single" w:sz="4" w:space="0" w:color="auto"/>
                    <w:bottom w:val="single" w:sz="4" w:space="0" w:color="auto"/>
                    <w:right w:val="single" w:sz="4" w:space="0" w:color="auto"/>
                  </w:tcBorders>
                  <w:noWrap/>
                </w:tcPr>
                <w:p w14:paraId="3D13B856" w14:textId="578BAF05" w:rsidR="00F91F6E" w:rsidRPr="00824A72" w:rsidRDefault="00F91F6E" w:rsidP="00B7406B">
                  <w:pPr>
                    <w:rPr>
                      <w:rFonts w:cstheme="minorHAnsi"/>
                      <w:szCs w:val="22"/>
                    </w:rPr>
                  </w:pPr>
                  <w:r w:rsidRPr="00824A72">
                    <w:rPr>
                      <w:rFonts w:cstheme="minorHAnsi"/>
                      <w:szCs w:val="22"/>
                    </w:rPr>
                    <w:t>2x4 LED Integrated retrofit kit rated greater than or equal to 125 LPW and less than 140 LPW</w:t>
                  </w:r>
                </w:p>
              </w:tc>
            </w:tr>
            <w:tr w:rsidR="00F91F6E" w:rsidRPr="00D727CA" w14:paraId="546BA873"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0DB5F9A1" w14:textId="1B0E0DC9" w:rsidR="00F91F6E" w:rsidRPr="00824A72" w:rsidRDefault="00F91F6E" w:rsidP="00B7406B">
                  <w:pPr>
                    <w:jc w:val="center"/>
                    <w:rPr>
                      <w:rFonts w:cstheme="minorHAnsi"/>
                      <w:szCs w:val="22"/>
                    </w:rPr>
                  </w:pPr>
                  <w:r w:rsidRPr="00824A72">
                    <w:rPr>
                      <w:rFonts w:cstheme="minorHAnsi"/>
                      <w:szCs w:val="22"/>
                    </w:rPr>
                    <w:t>Msr012</w:t>
                  </w:r>
                </w:p>
              </w:tc>
              <w:tc>
                <w:tcPr>
                  <w:tcW w:w="6815" w:type="dxa"/>
                  <w:tcBorders>
                    <w:top w:val="single" w:sz="4" w:space="0" w:color="auto"/>
                    <w:left w:val="single" w:sz="4" w:space="0" w:color="auto"/>
                    <w:bottom w:val="single" w:sz="4" w:space="0" w:color="auto"/>
                    <w:right w:val="single" w:sz="4" w:space="0" w:color="auto"/>
                  </w:tcBorders>
                  <w:noWrap/>
                </w:tcPr>
                <w:p w14:paraId="1936551B" w14:textId="3F566CFE" w:rsidR="00F91F6E" w:rsidRPr="00824A72" w:rsidRDefault="00F91F6E" w:rsidP="00B7406B">
                  <w:pPr>
                    <w:rPr>
                      <w:rFonts w:cstheme="minorHAnsi"/>
                      <w:szCs w:val="22"/>
                    </w:rPr>
                  </w:pPr>
                  <w:r w:rsidRPr="00824A72">
                    <w:rPr>
                      <w:rFonts w:cstheme="minorHAnsi"/>
                      <w:szCs w:val="22"/>
                    </w:rPr>
                    <w:t>2x4 LED Integrated retrofit kit rated greater than or equal to 140 LPW</w:t>
                  </w:r>
                </w:p>
              </w:tc>
            </w:tr>
            <w:tr w:rsidR="00F91F6E" w:rsidRPr="00D727CA" w14:paraId="31CB3C84"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0B1D6147" w14:textId="24D0427C" w:rsidR="00F91F6E" w:rsidRPr="00824A72" w:rsidRDefault="00F91F6E" w:rsidP="00B7406B">
                  <w:pPr>
                    <w:jc w:val="center"/>
                    <w:rPr>
                      <w:rFonts w:cstheme="minorHAnsi"/>
                      <w:szCs w:val="22"/>
                    </w:rPr>
                  </w:pPr>
                  <w:r w:rsidRPr="00824A72">
                    <w:rPr>
                      <w:rFonts w:cstheme="minorHAnsi"/>
                      <w:szCs w:val="22"/>
                    </w:rPr>
                    <w:t>Msr005</w:t>
                  </w:r>
                </w:p>
              </w:tc>
              <w:tc>
                <w:tcPr>
                  <w:tcW w:w="6815" w:type="dxa"/>
                  <w:tcBorders>
                    <w:top w:val="single" w:sz="4" w:space="0" w:color="auto"/>
                    <w:left w:val="single" w:sz="4" w:space="0" w:color="auto"/>
                    <w:bottom w:val="single" w:sz="4" w:space="0" w:color="auto"/>
                    <w:right w:val="single" w:sz="4" w:space="0" w:color="auto"/>
                  </w:tcBorders>
                  <w:noWrap/>
                  <w:vAlign w:val="bottom"/>
                </w:tcPr>
                <w:p w14:paraId="01298B22" w14:textId="0DE6D5C9" w:rsidR="00F91F6E" w:rsidRPr="00824A72" w:rsidRDefault="00F91F6E" w:rsidP="00B7406B">
                  <w:pPr>
                    <w:rPr>
                      <w:rFonts w:cstheme="minorHAnsi"/>
                      <w:szCs w:val="22"/>
                    </w:rPr>
                  </w:pPr>
                  <w:r w:rsidRPr="00824A72">
                    <w:rPr>
                      <w:rFonts w:cstheme="minorHAnsi"/>
                      <w:szCs w:val="22"/>
                    </w:rPr>
                    <w:t>2x2 LED Integrated retrofit kit rated greater than or equal to 125 LPW and less than 140 LPW</w:t>
                  </w:r>
                </w:p>
              </w:tc>
            </w:tr>
            <w:tr w:rsidR="00F91F6E" w:rsidRPr="00D727CA" w14:paraId="0240DA46"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47A13169" w14:textId="5C6F11DA" w:rsidR="00F91F6E" w:rsidRPr="00824A72" w:rsidRDefault="00F91F6E" w:rsidP="00B7406B">
                  <w:pPr>
                    <w:jc w:val="center"/>
                    <w:rPr>
                      <w:rFonts w:cstheme="minorHAnsi"/>
                      <w:szCs w:val="22"/>
                    </w:rPr>
                  </w:pPr>
                  <w:r w:rsidRPr="00824A72">
                    <w:rPr>
                      <w:rFonts w:cstheme="minorHAnsi"/>
                      <w:szCs w:val="22"/>
                    </w:rPr>
                    <w:t>Msr011</w:t>
                  </w:r>
                </w:p>
              </w:tc>
              <w:tc>
                <w:tcPr>
                  <w:tcW w:w="6815" w:type="dxa"/>
                  <w:tcBorders>
                    <w:top w:val="single" w:sz="4" w:space="0" w:color="auto"/>
                    <w:left w:val="single" w:sz="4" w:space="0" w:color="auto"/>
                    <w:bottom w:val="single" w:sz="4" w:space="0" w:color="auto"/>
                    <w:right w:val="single" w:sz="4" w:space="0" w:color="auto"/>
                  </w:tcBorders>
                  <w:noWrap/>
                  <w:vAlign w:val="bottom"/>
                </w:tcPr>
                <w:p w14:paraId="0DF16F20" w14:textId="09487C1F" w:rsidR="00F91F6E" w:rsidRPr="00824A72" w:rsidRDefault="00F91F6E" w:rsidP="00B7406B">
                  <w:pPr>
                    <w:rPr>
                      <w:rFonts w:cstheme="minorHAnsi"/>
                      <w:szCs w:val="22"/>
                    </w:rPr>
                  </w:pPr>
                  <w:r w:rsidRPr="00824A72">
                    <w:rPr>
                      <w:rFonts w:cstheme="minorHAnsi"/>
                      <w:szCs w:val="22"/>
                    </w:rPr>
                    <w:t>2x2 LED Integrated retrofit kit rated greater than or equal to 140 LPW</w:t>
                  </w:r>
                </w:p>
              </w:tc>
            </w:tr>
            <w:tr w:rsidR="00F91F6E" w:rsidRPr="00D727CA" w14:paraId="6F036B03"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706EE251" w14:textId="7DB77E8E" w:rsidR="00F91F6E" w:rsidRPr="00824A72" w:rsidRDefault="00F91F6E" w:rsidP="00B7406B">
                  <w:pPr>
                    <w:jc w:val="center"/>
                    <w:rPr>
                      <w:rFonts w:cstheme="minorHAnsi"/>
                      <w:szCs w:val="22"/>
                    </w:rPr>
                  </w:pPr>
                  <w:r w:rsidRPr="00824A72">
                    <w:rPr>
                      <w:rFonts w:cstheme="minorHAnsi"/>
                      <w:szCs w:val="22"/>
                    </w:rPr>
                    <w:t>Msr004</w:t>
                  </w:r>
                </w:p>
              </w:tc>
              <w:tc>
                <w:tcPr>
                  <w:tcW w:w="6815" w:type="dxa"/>
                  <w:tcBorders>
                    <w:top w:val="single" w:sz="4" w:space="0" w:color="auto"/>
                    <w:left w:val="single" w:sz="4" w:space="0" w:color="auto"/>
                    <w:bottom w:val="single" w:sz="4" w:space="0" w:color="auto"/>
                    <w:right w:val="single" w:sz="4" w:space="0" w:color="auto"/>
                  </w:tcBorders>
                  <w:noWrap/>
                  <w:vAlign w:val="bottom"/>
                </w:tcPr>
                <w:p w14:paraId="68ED347C" w14:textId="55BF18C7" w:rsidR="00F91F6E" w:rsidRPr="00824A72" w:rsidRDefault="00F91F6E" w:rsidP="00B7406B">
                  <w:pPr>
                    <w:rPr>
                      <w:rFonts w:cstheme="minorHAnsi"/>
                      <w:szCs w:val="22"/>
                    </w:rPr>
                  </w:pPr>
                  <w:r w:rsidRPr="00824A72">
                    <w:rPr>
                      <w:rFonts w:cstheme="minorHAnsi"/>
                      <w:szCs w:val="22"/>
                    </w:rPr>
                    <w:t>1x4 LED Integrated retrofit kit rated greater than or equal to 125 LPW and less than 140 LPW</w:t>
                  </w:r>
                </w:p>
              </w:tc>
            </w:tr>
            <w:tr w:rsidR="00F91F6E" w:rsidRPr="00D727CA" w14:paraId="049613CA"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6E9068E5" w14:textId="38510908" w:rsidR="00F91F6E" w:rsidRPr="00824A72" w:rsidRDefault="00F91F6E" w:rsidP="00B7406B">
                  <w:pPr>
                    <w:jc w:val="center"/>
                    <w:rPr>
                      <w:rFonts w:cstheme="minorHAnsi"/>
                      <w:szCs w:val="22"/>
                    </w:rPr>
                  </w:pPr>
                  <w:r w:rsidRPr="00824A72">
                    <w:rPr>
                      <w:rFonts w:cstheme="minorHAnsi"/>
                      <w:szCs w:val="22"/>
                    </w:rPr>
                    <w:t>Msr010</w:t>
                  </w:r>
                </w:p>
              </w:tc>
              <w:tc>
                <w:tcPr>
                  <w:tcW w:w="6815" w:type="dxa"/>
                  <w:tcBorders>
                    <w:top w:val="single" w:sz="4" w:space="0" w:color="auto"/>
                    <w:left w:val="single" w:sz="4" w:space="0" w:color="auto"/>
                    <w:bottom w:val="single" w:sz="4" w:space="0" w:color="auto"/>
                    <w:right w:val="single" w:sz="4" w:space="0" w:color="auto"/>
                  </w:tcBorders>
                  <w:noWrap/>
                </w:tcPr>
                <w:p w14:paraId="35151367" w14:textId="02203682" w:rsidR="00F91F6E" w:rsidRPr="00824A72" w:rsidRDefault="00F91F6E" w:rsidP="00B7406B">
                  <w:pPr>
                    <w:rPr>
                      <w:rFonts w:cstheme="minorHAnsi"/>
                      <w:szCs w:val="22"/>
                    </w:rPr>
                  </w:pPr>
                  <w:r w:rsidRPr="00824A72">
                    <w:rPr>
                      <w:rFonts w:cstheme="minorHAnsi"/>
                      <w:szCs w:val="22"/>
                    </w:rPr>
                    <w:t>1x4 LED Integrated retrofit kit rated greater than or equal to 140 LPW</w:t>
                  </w:r>
                </w:p>
              </w:tc>
            </w:tr>
            <w:tr w:rsidR="008F3343" w:rsidRPr="00D727CA" w14:paraId="4EDC925D"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6C19FC3D" w14:textId="42D4CAF1" w:rsidR="008F3343" w:rsidRPr="00824A72" w:rsidRDefault="008F3343" w:rsidP="00B7406B">
                  <w:pPr>
                    <w:jc w:val="center"/>
                    <w:rPr>
                      <w:rFonts w:cstheme="minorHAnsi"/>
                      <w:szCs w:val="22"/>
                    </w:rPr>
                  </w:pPr>
                  <w:r w:rsidRPr="00824A72">
                    <w:rPr>
                      <w:rFonts w:cstheme="minorHAnsi"/>
                      <w:szCs w:val="22"/>
                    </w:rPr>
                    <w:t>Msr013</w:t>
                  </w:r>
                </w:p>
              </w:tc>
              <w:tc>
                <w:tcPr>
                  <w:tcW w:w="6815" w:type="dxa"/>
                  <w:tcBorders>
                    <w:top w:val="single" w:sz="4" w:space="0" w:color="auto"/>
                    <w:left w:val="single" w:sz="4" w:space="0" w:color="auto"/>
                    <w:bottom w:val="single" w:sz="4" w:space="0" w:color="auto"/>
                    <w:right w:val="single" w:sz="4" w:space="0" w:color="auto"/>
                  </w:tcBorders>
                  <w:noWrap/>
                </w:tcPr>
                <w:p w14:paraId="3BEEAFD7" w14:textId="4DEE1228" w:rsidR="008F3343" w:rsidRPr="00824A72" w:rsidRDefault="008F3343" w:rsidP="00B7406B">
                  <w:pPr>
                    <w:rPr>
                      <w:rFonts w:cstheme="minorHAnsi"/>
                      <w:szCs w:val="22"/>
                    </w:rPr>
                  </w:pPr>
                  <w:r w:rsidRPr="00824A72">
                    <w:rPr>
                      <w:rFonts w:cstheme="minorHAnsi"/>
                      <w:color w:val="000000"/>
                      <w:szCs w:val="22"/>
                    </w:rPr>
                    <w:t>LED Direct or Indirect Linear Ambient 2' New Luminaire rated greater than or equal to 125 LPW and less than 140 LPW</w:t>
                  </w:r>
                </w:p>
              </w:tc>
            </w:tr>
            <w:tr w:rsidR="008F3343" w:rsidRPr="00D727CA" w14:paraId="244692A1"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1D302400" w14:textId="1120AB46" w:rsidR="008F3343" w:rsidRPr="00824A72" w:rsidRDefault="008F3343" w:rsidP="00B7406B">
                  <w:pPr>
                    <w:jc w:val="center"/>
                    <w:rPr>
                      <w:rFonts w:cstheme="minorHAnsi"/>
                      <w:szCs w:val="22"/>
                    </w:rPr>
                  </w:pPr>
                  <w:r w:rsidRPr="00824A72">
                    <w:rPr>
                      <w:rFonts w:cstheme="minorHAnsi"/>
                      <w:szCs w:val="22"/>
                    </w:rPr>
                    <w:t>Msr014</w:t>
                  </w:r>
                </w:p>
              </w:tc>
              <w:tc>
                <w:tcPr>
                  <w:tcW w:w="6815" w:type="dxa"/>
                  <w:tcBorders>
                    <w:top w:val="single" w:sz="4" w:space="0" w:color="auto"/>
                    <w:left w:val="single" w:sz="4" w:space="0" w:color="auto"/>
                    <w:bottom w:val="single" w:sz="4" w:space="0" w:color="auto"/>
                    <w:right w:val="single" w:sz="4" w:space="0" w:color="auto"/>
                  </w:tcBorders>
                  <w:noWrap/>
                  <w:vAlign w:val="center"/>
                </w:tcPr>
                <w:p w14:paraId="5AE1D21D" w14:textId="1D037506" w:rsidR="008F3343" w:rsidRPr="00824A72" w:rsidRDefault="008F3343" w:rsidP="00B7406B">
                  <w:pPr>
                    <w:rPr>
                      <w:rFonts w:cstheme="minorHAnsi"/>
                      <w:szCs w:val="22"/>
                    </w:rPr>
                  </w:pPr>
                  <w:r w:rsidRPr="00824A72">
                    <w:rPr>
                      <w:rFonts w:cstheme="minorHAnsi"/>
                      <w:color w:val="000000"/>
                      <w:szCs w:val="22"/>
                    </w:rPr>
                    <w:t>LED Direct or Indirect Linear Ambient 2' New Luminaire rated greater than or equal to 140 LPW</w:t>
                  </w:r>
                </w:p>
              </w:tc>
            </w:tr>
            <w:tr w:rsidR="008F3343" w:rsidRPr="00D727CA" w14:paraId="068455BE"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764FEDC6" w14:textId="1B38C7A3" w:rsidR="008F3343" w:rsidRPr="00824A72" w:rsidRDefault="008F3343" w:rsidP="00B7406B">
                  <w:pPr>
                    <w:jc w:val="center"/>
                    <w:rPr>
                      <w:rFonts w:cstheme="minorHAnsi"/>
                      <w:szCs w:val="22"/>
                    </w:rPr>
                  </w:pPr>
                  <w:r w:rsidRPr="00824A72">
                    <w:rPr>
                      <w:rFonts w:cstheme="minorHAnsi"/>
                      <w:szCs w:val="22"/>
                    </w:rPr>
                    <w:t>Msr015</w:t>
                  </w:r>
                </w:p>
              </w:tc>
              <w:tc>
                <w:tcPr>
                  <w:tcW w:w="6815" w:type="dxa"/>
                  <w:tcBorders>
                    <w:top w:val="single" w:sz="4" w:space="0" w:color="auto"/>
                    <w:left w:val="single" w:sz="4" w:space="0" w:color="auto"/>
                    <w:bottom w:val="single" w:sz="4" w:space="0" w:color="auto"/>
                    <w:right w:val="single" w:sz="4" w:space="0" w:color="auto"/>
                  </w:tcBorders>
                  <w:noWrap/>
                  <w:vAlign w:val="center"/>
                </w:tcPr>
                <w:p w14:paraId="7361B5B2" w14:textId="2B8341E5" w:rsidR="008F3343" w:rsidRPr="00824A72" w:rsidRDefault="008F3343" w:rsidP="00B7406B">
                  <w:pPr>
                    <w:rPr>
                      <w:rFonts w:cstheme="minorHAnsi"/>
                      <w:szCs w:val="22"/>
                    </w:rPr>
                  </w:pPr>
                  <w:r w:rsidRPr="00824A72">
                    <w:rPr>
                      <w:rFonts w:cstheme="minorHAnsi"/>
                      <w:color w:val="000000"/>
                      <w:szCs w:val="22"/>
                    </w:rPr>
                    <w:t>LED Direct or Indirect Linear Ambient 4' New Luminaire rated greater than or equal to 125 LPW and less than 140 LPW</w:t>
                  </w:r>
                </w:p>
              </w:tc>
            </w:tr>
            <w:tr w:rsidR="008F3343" w:rsidRPr="00D727CA" w14:paraId="6263BE53"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52FF6541" w14:textId="44B8F9BA" w:rsidR="008F3343" w:rsidRPr="00824A72" w:rsidRDefault="008F3343" w:rsidP="00B7406B">
                  <w:pPr>
                    <w:jc w:val="center"/>
                    <w:rPr>
                      <w:rFonts w:cstheme="minorHAnsi"/>
                      <w:szCs w:val="22"/>
                    </w:rPr>
                  </w:pPr>
                  <w:r w:rsidRPr="00824A72">
                    <w:rPr>
                      <w:rFonts w:cstheme="minorHAnsi"/>
                      <w:szCs w:val="22"/>
                    </w:rPr>
                    <w:t>Msr016</w:t>
                  </w:r>
                </w:p>
              </w:tc>
              <w:tc>
                <w:tcPr>
                  <w:tcW w:w="6815" w:type="dxa"/>
                  <w:tcBorders>
                    <w:top w:val="single" w:sz="4" w:space="0" w:color="auto"/>
                    <w:left w:val="single" w:sz="4" w:space="0" w:color="auto"/>
                    <w:bottom w:val="single" w:sz="4" w:space="0" w:color="auto"/>
                    <w:right w:val="single" w:sz="4" w:space="0" w:color="auto"/>
                  </w:tcBorders>
                  <w:noWrap/>
                  <w:vAlign w:val="center"/>
                </w:tcPr>
                <w:p w14:paraId="2ADC598A" w14:textId="114F0A7D" w:rsidR="008F3343" w:rsidRPr="00824A72" w:rsidRDefault="008F3343" w:rsidP="00B7406B">
                  <w:pPr>
                    <w:rPr>
                      <w:rFonts w:cstheme="minorHAnsi"/>
                      <w:szCs w:val="22"/>
                    </w:rPr>
                  </w:pPr>
                  <w:r w:rsidRPr="00824A72">
                    <w:rPr>
                      <w:rFonts w:cstheme="minorHAnsi"/>
                      <w:color w:val="000000"/>
                      <w:szCs w:val="22"/>
                    </w:rPr>
                    <w:t>LED Direct or Indirect Linear Ambient 4' New Luminaire rated greater than or equal to 140 LPW</w:t>
                  </w:r>
                </w:p>
              </w:tc>
            </w:tr>
            <w:tr w:rsidR="008F3343" w:rsidRPr="00D727CA" w14:paraId="7E6BCF0F"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5CA8B418" w14:textId="6EC90A49" w:rsidR="008F3343" w:rsidRPr="00824A72" w:rsidRDefault="008F3343" w:rsidP="00B7406B">
                  <w:pPr>
                    <w:jc w:val="center"/>
                    <w:rPr>
                      <w:rFonts w:cstheme="minorHAnsi"/>
                      <w:szCs w:val="22"/>
                    </w:rPr>
                  </w:pPr>
                  <w:r w:rsidRPr="00824A72">
                    <w:rPr>
                      <w:rFonts w:cstheme="minorHAnsi"/>
                      <w:szCs w:val="22"/>
                    </w:rPr>
                    <w:t>Msr017</w:t>
                  </w:r>
                </w:p>
              </w:tc>
              <w:tc>
                <w:tcPr>
                  <w:tcW w:w="6815" w:type="dxa"/>
                  <w:tcBorders>
                    <w:top w:val="single" w:sz="4" w:space="0" w:color="auto"/>
                    <w:left w:val="single" w:sz="4" w:space="0" w:color="auto"/>
                    <w:bottom w:val="single" w:sz="4" w:space="0" w:color="auto"/>
                    <w:right w:val="single" w:sz="4" w:space="0" w:color="auto"/>
                  </w:tcBorders>
                  <w:noWrap/>
                </w:tcPr>
                <w:p w14:paraId="4F11F188" w14:textId="053548F8" w:rsidR="008F3343" w:rsidRPr="00824A72" w:rsidRDefault="008F3343" w:rsidP="00B7406B">
                  <w:pPr>
                    <w:rPr>
                      <w:rFonts w:cstheme="minorHAnsi"/>
                      <w:szCs w:val="22"/>
                    </w:rPr>
                  </w:pPr>
                  <w:r w:rsidRPr="00824A72">
                    <w:rPr>
                      <w:rFonts w:cstheme="minorHAnsi"/>
                      <w:color w:val="000000"/>
                      <w:szCs w:val="22"/>
                    </w:rPr>
                    <w:t>LED Direct or Indirect Linear Ambient 8' New Luminaire rated greater than or equal to 125 LPW and less than 140 LPW</w:t>
                  </w:r>
                </w:p>
              </w:tc>
            </w:tr>
            <w:tr w:rsidR="008F3343" w:rsidRPr="00D727CA" w14:paraId="0CB71B9B"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0053ED78" w14:textId="739F45E5" w:rsidR="008F3343" w:rsidRPr="00824A72" w:rsidRDefault="008F3343" w:rsidP="00B7406B">
                  <w:pPr>
                    <w:jc w:val="center"/>
                    <w:rPr>
                      <w:rFonts w:cstheme="minorHAnsi"/>
                      <w:szCs w:val="22"/>
                    </w:rPr>
                  </w:pPr>
                  <w:r w:rsidRPr="00824A72">
                    <w:rPr>
                      <w:rFonts w:cstheme="minorHAnsi"/>
                      <w:szCs w:val="22"/>
                    </w:rPr>
                    <w:t>Msr018</w:t>
                  </w:r>
                </w:p>
              </w:tc>
              <w:tc>
                <w:tcPr>
                  <w:tcW w:w="6815" w:type="dxa"/>
                  <w:tcBorders>
                    <w:top w:val="single" w:sz="4" w:space="0" w:color="auto"/>
                    <w:left w:val="single" w:sz="4" w:space="0" w:color="auto"/>
                    <w:bottom w:val="single" w:sz="4" w:space="0" w:color="auto"/>
                    <w:right w:val="single" w:sz="4" w:space="0" w:color="auto"/>
                  </w:tcBorders>
                  <w:noWrap/>
                  <w:vAlign w:val="center"/>
                </w:tcPr>
                <w:p w14:paraId="2EC9BF28" w14:textId="1807E1B8" w:rsidR="008F3343" w:rsidRPr="00824A72" w:rsidRDefault="008F3343" w:rsidP="00B7406B">
                  <w:pPr>
                    <w:rPr>
                      <w:rFonts w:cstheme="minorHAnsi"/>
                      <w:szCs w:val="22"/>
                    </w:rPr>
                  </w:pPr>
                  <w:r w:rsidRPr="00824A72">
                    <w:rPr>
                      <w:rFonts w:cstheme="minorHAnsi"/>
                      <w:color w:val="000000"/>
                      <w:szCs w:val="22"/>
                    </w:rPr>
                    <w:t>LED Direct or Indirect Linear Ambient 8' New Luminaire rated greater than or equal to 140 LPW</w:t>
                  </w:r>
                </w:p>
              </w:tc>
            </w:tr>
            <w:tr w:rsidR="008F3343" w:rsidRPr="00D727CA" w14:paraId="3D0672BC"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1CF0D2FF" w14:textId="37D10425" w:rsidR="008F3343" w:rsidRPr="00824A72" w:rsidRDefault="008F3343" w:rsidP="00B7406B">
                  <w:pPr>
                    <w:jc w:val="center"/>
                    <w:rPr>
                      <w:rFonts w:cstheme="minorHAnsi"/>
                      <w:szCs w:val="22"/>
                    </w:rPr>
                  </w:pPr>
                  <w:r w:rsidRPr="00824A72">
                    <w:rPr>
                      <w:rFonts w:cstheme="minorHAnsi"/>
                      <w:szCs w:val="22"/>
                    </w:rPr>
                    <w:t>Msr019</w:t>
                  </w:r>
                </w:p>
              </w:tc>
              <w:tc>
                <w:tcPr>
                  <w:tcW w:w="6815" w:type="dxa"/>
                  <w:tcBorders>
                    <w:top w:val="single" w:sz="4" w:space="0" w:color="auto"/>
                    <w:left w:val="single" w:sz="4" w:space="0" w:color="auto"/>
                    <w:bottom w:val="single" w:sz="4" w:space="0" w:color="auto"/>
                    <w:right w:val="single" w:sz="4" w:space="0" w:color="auto"/>
                  </w:tcBorders>
                  <w:noWrap/>
                  <w:vAlign w:val="center"/>
                </w:tcPr>
                <w:p w14:paraId="5DDB317D" w14:textId="5094DE22" w:rsidR="008F3343" w:rsidRPr="00824A72" w:rsidRDefault="008F3343" w:rsidP="00B7406B">
                  <w:pPr>
                    <w:rPr>
                      <w:rFonts w:cstheme="minorHAnsi"/>
                      <w:szCs w:val="22"/>
                    </w:rPr>
                  </w:pPr>
                  <w:r w:rsidRPr="00824A72">
                    <w:rPr>
                      <w:rFonts w:cstheme="minorHAnsi"/>
                      <w:color w:val="000000"/>
                      <w:szCs w:val="22"/>
                    </w:rPr>
                    <w:t>LED Direct Linear Ambient 2' retrofit kit rated greater than or equal to 125 LPW and less than 140 LPW</w:t>
                  </w:r>
                </w:p>
              </w:tc>
            </w:tr>
            <w:tr w:rsidR="008F3343" w:rsidRPr="00D727CA" w14:paraId="354097BD"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4BCD69AC" w14:textId="6ACC2572" w:rsidR="008F3343" w:rsidRPr="00824A72" w:rsidRDefault="008F3343" w:rsidP="00B7406B">
                  <w:pPr>
                    <w:jc w:val="center"/>
                    <w:rPr>
                      <w:rFonts w:cstheme="minorHAnsi"/>
                      <w:szCs w:val="22"/>
                    </w:rPr>
                  </w:pPr>
                  <w:r w:rsidRPr="00824A72">
                    <w:rPr>
                      <w:rFonts w:cstheme="minorHAnsi"/>
                      <w:szCs w:val="22"/>
                    </w:rPr>
                    <w:t>Msr020</w:t>
                  </w:r>
                </w:p>
              </w:tc>
              <w:tc>
                <w:tcPr>
                  <w:tcW w:w="6815" w:type="dxa"/>
                  <w:tcBorders>
                    <w:top w:val="single" w:sz="4" w:space="0" w:color="auto"/>
                    <w:left w:val="single" w:sz="4" w:space="0" w:color="auto"/>
                    <w:bottom w:val="single" w:sz="4" w:space="0" w:color="auto"/>
                    <w:right w:val="single" w:sz="4" w:space="0" w:color="auto"/>
                  </w:tcBorders>
                  <w:noWrap/>
                </w:tcPr>
                <w:p w14:paraId="225BC27A" w14:textId="20828390" w:rsidR="008F3343" w:rsidRPr="00824A72" w:rsidRDefault="008F3343" w:rsidP="00B7406B">
                  <w:pPr>
                    <w:rPr>
                      <w:rFonts w:cstheme="minorHAnsi"/>
                      <w:szCs w:val="22"/>
                    </w:rPr>
                  </w:pPr>
                  <w:r w:rsidRPr="00824A72">
                    <w:rPr>
                      <w:rFonts w:cstheme="minorHAnsi"/>
                      <w:color w:val="000000"/>
                      <w:szCs w:val="22"/>
                    </w:rPr>
                    <w:t>LED Direct Linear Ambient 2' retrofit kit rated greater than or equal to 140 LPW</w:t>
                  </w:r>
                </w:p>
              </w:tc>
            </w:tr>
            <w:tr w:rsidR="008F3343" w:rsidRPr="00D727CA" w14:paraId="0376A867"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3E360684" w14:textId="16ECEDAB" w:rsidR="008F3343" w:rsidRPr="00824A72" w:rsidRDefault="008F3343" w:rsidP="00B7406B">
                  <w:pPr>
                    <w:jc w:val="center"/>
                    <w:rPr>
                      <w:rFonts w:cstheme="minorHAnsi"/>
                      <w:szCs w:val="22"/>
                    </w:rPr>
                  </w:pPr>
                  <w:r w:rsidRPr="00824A72">
                    <w:rPr>
                      <w:rFonts w:cstheme="minorHAnsi"/>
                      <w:szCs w:val="22"/>
                    </w:rPr>
                    <w:t>Msr021</w:t>
                  </w:r>
                </w:p>
              </w:tc>
              <w:tc>
                <w:tcPr>
                  <w:tcW w:w="6815" w:type="dxa"/>
                  <w:tcBorders>
                    <w:top w:val="single" w:sz="4" w:space="0" w:color="auto"/>
                    <w:left w:val="single" w:sz="4" w:space="0" w:color="auto"/>
                    <w:bottom w:val="single" w:sz="4" w:space="0" w:color="auto"/>
                    <w:right w:val="single" w:sz="4" w:space="0" w:color="auto"/>
                  </w:tcBorders>
                  <w:noWrap/>
                  <w:vAlign w:val="center"/>
                </w:tcPr>
                <w:p w14:paraId="39A4D470" w14:textId="67CCEB34" w:rsidR="008F3343" w:rsidRPr="00824A72" w:rsidRDefault="008F3343" w:rsidP="00B7406B">
                  <w:pPr>
                    <w:rPr>
                      <w:rFonts w:cstheme="minorHAnsi"/>
                      <w:szCs w:val="22"/>
                    </w:rPr>
                  </w:pPr>
                  <w:r w:rsidRPr="00824A72">
                    <w:rPr>
                      <w:rFonts w:cstheme="minorHAnsi"/>
                      <w:color w:val="000000"/>
                      <w:szCs w:val="22"/>
                    </w:rPr>
                    <w:t>LED Direct Linear Ambient 4' retrofit kit rated greater than or equal to 125 LPW and less than 140 LPW</w:t>
                  </w:r>
                </w:p>
              </w:tc>
            </w:tr>
            <w:tr w:rsidR="008F3343" w:rsidRPr="00D727CA" w14:paraId="134D5BE2"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4D884F23" w14:textId="78090D2A" w:rsidR="008F3343" w:rsidRPr="00824A72" w:rsidRDefault="008F3343" w:rsidP="00B7406B">
                  <w:pPr>
                    <w:jc w:val="center"/>
                    <w:rPr>
                      <w:rFonts w:cstheme="minorHAnsi"/>
                      <w:szCs w:val="22"/>
                    </w:rPr>
                  </w:pPr>
                  <w:r w:rsidRPr="00824A72">
                    <w:rPr>
                      <w:rFonts w:cstheme="minorHAnsi"/>
                      <w:szCs w:val="22"/>
                    </w:rPr>
                    <w:t>Msr022</w:t>
                  </w:r>
                </w:p>
              </w:tc>
              <w:tc>
                <w:tcPr>
                  <w:tcW w:w="6815" w:type="dxa"/>
                  <w:tcBorders>
                    <w:top w:val="single" w:sz="4" w:space="0" w:color="auto"/>
                    <w:left w:val="single" w:sz="4" w:space="0" w:color="auto"/>
                    <w:bottom w:val="single" w:sz="4" w:space="0" w:color="auto"/>
                    <w:right w:val="single" w:sz="4" w:space="0" w:color="auto"/>
                  </w:tcBorders>
                  <w:noWrap/>
                  <w:vAlign w:val="center"/>
                </w:tcPr>
                <w:p w14:paraId="0150C976" w14:textId="3BC332DF" w:rsidR="008F3343" w:rsidRPr="00824A72" w:rsidRDefault="008F3343" w:rsidP="00B7406B">
                  <w:pPr>
                    <w:rPr>
                      <w:rFonts w:cstheme="minorHAnsi"/>
                      <w:szCs w:val="22"/>
                    </w:rPr>
                  </w:pPr>
                  <w:r w:rsidRPr="00824A72">
                    <w:rPr>
                      <w:rFonts w:cstheme="minorHAnsi"/>
                      <w:color w:val="000000"/>
                      <w:szCs w:val="22"/>
                    </w:rPr>
                    <w:t>LED Direct Linear Ambient 4' retrofit kit rated greater than or equal to 140 LPW</w:t>
                  </w:r>
                </w:p>
              </w:tc>
            </w:tr>
            <w:tr w:rsidR="008F3343" w:rsidRPr="00D727CA" w14:paraId="0731DC4E"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0D796B33" w14:textId="1D221881" w:rsidR="008F3343" w:rsidRPr="00824A72" w:rsidRDefault="008F3343" w:rsidP="00B7406B">
                  <w:pPr>
                    <w:jc w:val="center"/>
                    <w:rPr>
                      <w:rFonts w:cstheme="minorHAnsi"/>
                      <w:szCs w:val="22"/>
                    </w:rPr>
                  </w:pPr>
                  <w:r w:rsidRPr="00824A72">
                    <w:rPr>
                      <w:rFonts w:cstheme="minorHAnsi"/>
                      <w:szCs w:val="22"/>
                    </w:rPr>
                    <w:lastRenderedPageBreak/>
                    <w:t>Msr023</w:t>
                  </w:r>
                </w:p>
              </w:tc>
              <w:tc>
                <w:tcPr>
                  <w:tcW w:w="6815" w:type="dxa"/>
                  <w:tcBorders>
                    <w:top w:val="single" w:sz="4" w:space="0" w:color="auto"/>
                    <w:left w:val="single" w:sz="4" w:space="0" w:color="auto"/>
                    <w:bottom w:val="single" w:sz="4" w:space="0" w:color="auto"/>
                    <w:right w:val="single" w:sz="4" w:space="0" w:color="auto"/>
                  </w:tcBorders>
                  <w:noWrap/>
                </w:tcPr>
                <w:p w14:paraId="06124D73" w14:textId="1A5629EA" w:rsidR="008F3343" w:rsidRPr="00824A72" w:rsidRDefault="008F3343" w:rsidP="00B7406B">
                  <w:pPr>
                    <w:rPr>
                      <w:rFonts w:cstheme="minorHAnsi"/>
                      <w:szCs w:val="22"/>
                    </w:rPr>
                  </w:pPr>
                  <w:r w:rsidRPr="00824A72">
                    <w:rPr>
                      <w:rFonts w:cstheme="minorHAnsi"/>
                      <w:color w:val="000000"/>
                      <w:szCs w:val="22"/>
                    </w:rPr>
                    <w:t>LED Direct Linear Ambient 8' retrofit kit rated greater than or equal to 125 LPW and less than 140 LPW</w:t>
                  </w:r>
                </w:p>
              </w:tc>
            </w:tr>
            <w:tr w:rsidR="008F3343" w:rsidRPr="00D727CA" w14:paraId="33EEE369"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tcPr>
                <w:p w14:paraId="2D1BEB5A" w14:textId="33A16CBF" w:rsidR="008F3343" w:rsidRPr="00824A72" w:rsidRDefault="008F3343" w:rsidP="00B7406B">
                  <w:pPr>
                    <w:jc w:val="center"/>
                    <w:rPr>
                      <w:rFonts w:cstheme="minorHAnsi"/>
                      <w:szCs w:val="22"/>
                    </w:rPr>
                  </w:pPr>
                  <w:r w:rsidRPr="00824A72">
                    <w:rPr>
                      <w:rFonts w:cstheme="minorHAnsi"/>
                      <w:szCs w:val="22"/>
                    </w:rPr>
                    <w:t>Msr024</w:t>
                  </w:r>
                </w:p>
              </w:tc>
              <w:tc>
                <w:tcPr>
                  <w:tcW w:w="6815" w:type="dxa"/>
                  <w:tcBorders>
                    <w:top w:val="single" w:sz="4" w:space="0" w:color="auto"/>
                    <w:left w:val="single" w:sz="4" w:space="0" w:color="auto"/>
                    <w:bottom w:val="single" w:sz="4" w:space="0" w:color="auto"/>
                    <w:right w:val="single" w:sz="4" w:space="0" w:color="auto"/>
                  </w:tcBorders>
                  <w:noWrap/>
                </w:tcPr>
                <w:p w14:paraId="23209488" w14:textId="1EE51BD1" w:rsidR="008F3343" w:rsidRPr="00824A72" w:rsidRDefault="008F3343" w:rsidP="00B7406B">
                  <w:pPr>
                    <w:rPr>
                      <w:rFonts w:cstheme="minorHAnsi"/>
                      <w:szCs w:val="22"/>
                    </w:rPr>
                  </w:pPr>
                  <w:r w:rsidRPr="00824A72">
                    <w:rPr>
                      <w:rFonts w:cstheme="minorHAnsi"/>
                      <w:color w:val="000000"/>
                      <w:szCs w:val="22"/>
                    </w:rPr>
                    <w:t>LED Direct Linear Ambient 8' retrofit kit rated greater than or equal to 140 LPW</w:t>
                  </w:r>
                </w:p>
              </w:tc>
            </w:tr>
            <w:tr w:rsidR="004A0001" w:rsidRPr="00D727CA" w14:paraId="001DF07D" w14:textId="77777777" w:rsidTr="00FB2C96">
              <w:trPr>
                <w:trHeight w:val="230"/>
                <w:jc w:val="center"/>
              </w:trPr>
              <w:tc>
                <w:tcPr>
                  <w:tcW w:w="8830" w:type="dxa"/>
                  <w:gridSpan w:val="2"/>
                  <w:tcBorders>
                    <w:top w:val="nil"/>
                    <w:left w:val="single" w:sz="4" w:space="0" w:color="auto"/>
                    <w:bottom w:val="single" w:sz="4" w:space="0" w:color="auto"/>
                    <w:right w:val="single" w:sz="4" w:space="0" w:color="auto"/>
                  </w:tcBorders>
                  <w:shd w:val="clear" w:color="auto" w:fill="FFFFFF"/>
                </w:tcPr>
                <w:p w14:paraId="2221A5AF" w14:textId="77777777" w:rsidR="004A0001" w:rsidRPr="00824A72" w:rsidRDefault="004A0001" w:rsidP="00B7406B">
                  <w:pPr>
                    <w:rPr>
                      <w:rFonts w:cstheme="minorHAnsi"/>
                      <w:szCs w:val="22"/>
                    </w:rPr>
                  </w:pPr>
                </w:p>
                <w:p w14:paraId="5CF00C8A" w14:textId="554B5CD3" w:rsidR="004A0001" w:rsidRPr="00824A72" w:rsidRDefault="004A0001" w:rsidP="00B7406B">
                  <w:pPr>
                    <w:rPr>
                      <w:rFonts w:cstheme="minorHAnsi"/>
                      <w:szCs w:val="22"/>
                    </w:rPr>
                  </w:pPr>
                  <w:r w:rsidRPr="00824A72">
                    <w:rPr>
                      <w:rFonts w:cstheme="minorHAnsi"/>
                      <w:szCs w:val="22"/>
                    </w:rPr>
                    <w:t xml:space="preserve">Multi-Family </w:t>
                  </w:r>
                  <w:r w:rsidR="00353BE2" w:rsidRPr="00824A72">
                    <w:rPr>
                      <w:rFonts w:cstheme="minorHAnsi"/>
                      <w:szCs w:val="22"/>
                    </w:rPr>
                    <w:t xml:space="preserve">Measure Description and Measure Codes </w:t>
                  </w:r>
                </w:p>
              </w:tc>
            </w:tr>
            <w:tr w:rsidR="008F3343" w:rsidRPr="00D727CA" w14:paraId="14BC56FE"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6A52F86E" w14:textId="728B49D7" w:rsidR="008F3343" w:rsidRPr="00824A72" w:rsidRDefault="008F3343" w:rsidP="00B7406B">
                  <w:pPr>
                    <w:jc w:val="center"/>
                    <w:rPr>
                      <w:rFonts w:cstheme="minorHAnsi"/>
                      <w:szCs w:val="22"/>
                    </w:rPr>
                  </w:pPr>
                  <w:r w:rsidRPr="00824A72">
                    <w:rPr>
                      <w:rFonts w:cstheme="minorHAnsi"/>
                      <w:szCs w:val="22"/>
                    </w:rPr>
                    <w:t>SDG&amp;E</w:t>
                  </w:r>
                </w:p>
              </w:tc>
              <w:tc>
                <w:tcPr>
                  <w:tcW w:w="6815" w:type="dxa"/>
                  <w:tcBorders>
                    <w:top w:val="single" w:sz="4" w:space="0" w:color="auto"/>
                    <w:left w:val="single" w:sz="4" w:space="0" w:color="auto"/>
                    <w:bottom w:val="single" w:sz="4" w:space="0" w:color="auto"/>
                    <w:right w:val="single" w:sz="4" w:space="0" w:color="auto"/>
                  </w:tcBorders>
                  <w:noWrap/>
                  <w:vAlign w:val="center"/>
                </w:tcPr>
                <w:p w14:paraId="6E325598" w14:textId="77777777" w:rsidR="008F3343" w:rsidRPr="00824A72" w:rsidRDefault="008F3343" w:rsidP="00353BE2">
                  <w:pPr>
                    <w:jc w:val="center"/>
                    <w:rPr>
                      <w:rFonts w:cstheme="minorHAnsi"/>
                      <w:szCs w:val="22"/>
                    </w:rPr>
                  </w:pPr>
                  <w:r w:rsidRPr="00824A72">
                    <w:rPr>
                      <w:rFonts w:cstheme="minorHAnsi"/>
                      <w:szCs w:val="22"/>
                    </w:rPr>
                    <w:t>Measure Description</w:t>
                  </w:r>
                </w:p>
                <w:p w14:paraId="0C1174D9" w14:textId="77777777" w:rsidR="008F3343" w:rsidRPr="00824A72" w:rsidRDefault="008F3343" w:rsidP="00B7406B">
                  <w:pPr>
                    <w:rPr>
                      <w:rFonts w:cstheme="minorHAnsi"/>
                      <w:szCs w:val="22"/>
                    </w:rPr>
                  </w:pPr>
                </w:p>
              </w:tc>
            </w:tr>
            <w:tr w:rsidR="008F3343" w:rsidRPr="00D727CA" w14:paraId="2A81976A"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2DAF7BCF" w14:textId="54CFC461" w:rsidR="008F3343" w:rsidRPr="00824A72" w:rsidRDefault="008F3343" w:rsidP="00D469CD">
                  <w:pPr>
                    <w:jc w:val="center"/>
                    <w:rPr>
                      <w:rFonts w:cstheme="minorHAnsi"/>
                      <w:szCs w:val="22"/>
                    </w:rPr>
                  </w:pPr>
                  <w:r w:rsidRPr="00824A72">
                    <w:rPr>
                      <w:rFonts w:cstheme="minorHAnsi"/>
                      <w:szCs w:val="22"/>
                    </w:rPr>
                    <w:t>Msr025</w:t>
                  </w:r>
                </w:p>
              </w:tc>
              <w:tc>
                <w:tcPr>
                  <w:tcW w:w="6815" w:type="dxa"/>
                  <w:tcBorders>
                    <w:top w:val="single" w:sz="4" w:space="0" w:color="auto"/>
                    <w:left w:val="single" w:sz="4" w:space="0" w:color="auto"/>
                    <w:bottom w:val="single" w:sz="4" w:space="0" w:color="auto"/>
                    <w:right w:val="single" w:sz="4" w:space="0" w:color="auto"/>
                  </w:tcBorders>
                  <w:noWrap/>
                  <w:vAlign w:val="bottom"/>
                </w:tcPr>
                <w:p w14:paraId="402D722A" w14:textId="77D622BA" w:rsidR="008F3343" w:rsidRPr="00824A72" w:rsidRDefault="008F3343" w:rsidP="00D469CD">
                  <w:pPr>
                    <w:rPr>
                      <w:rFonts w:cstheme="minorHAnsi"/>
                      <w:szCs w:val="22"/>
                    </w:rPr>
                  </w:pPr>
                  <w:r w:rsidRPr="00824A72">
                    <w:rPr>
                      <w:rFonts w:cstheme="minorHAnsi"/>
                      <w:szCs w:val="22"/>
                    </w:rPr>
                    <w:t>2x4 LED new Luminaire rated greater than or equal to 125 LPW and less than 140 LPW</w:t>
                  </w:r>
                </w:p>
              </w:tc>
            </w:tr>
            <w:tr w:rsidR="008F3343" w:rsidRPr="00D727CA" w14:paraId="697827C7"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1BDCF6CA" w14:textId="7DB8E96E" w:rsidR="008F3343" w:rsidRPr="00824A72" w:rsidRDefault="008F3343" w:rsidP="00D469CD">
                  <w:pPr>
                    <w:jc w:val="center"/>
                    <w:rPr>
                      <w:rFonts w:cstheme="minorHAnsi"/>
                      <w:szCs w:val="22"/>
                    </w:rPr>
                  </w:pPr>
                  <w:r w:rsidRPr="00824A72">
                    <w:rPr>
                      <w:rFonts w:cstheme="minorHAnsi"/>
                      <w:szCs w:val="22"/>
                    </w:rPr>
                    <w:t>Msr026</w:t>
                  </w:r>
                </w:p>
              </w:tc>
              <w:tc>
                <w:tcPr>
                  <w:tcW w:w="6815" w:type="dxa"/>
                  <w:tcBorders>
                    <w:top w:val="single" w:sz="4" w:space="0" w:color="auto"/>
                    <w:left w:val="single" w:sz="4" w:space="0" w:color="auto"/>
                    <w:bottom w:val="single" w:sz="4" w:space="0" w:color="auto"/>
                    <w:right w:val="single" w:sz="4" w:space="0" w:color="auto"/>
                  </w:tcBorders>
                  <w:noWrap/>
                  <w:vAlign w:val="bottom"/>
                </w:tcPr>
                <w:p w14:paraId="06F4694B" w14:textId="6CFF34E6" w:rsidR="008F3343" w:rsidRPr="00824A72" w:rsidRDefault="008F3343" w:rsidP="00D469CD">
                  <w:pPr>
                    <w:rPr>
                      <w:rFonts w:cstheme="minorHAnsi"/>
                      <w:szCs w:val="22"/>
                    </w:rPr>
                  </w:pPr>
                  <w:r w:rsidRPr="00824A72">
                    <w:rPr>
                      <w:rFonts w:cstheme="minorHAnsi"/>
                      <w:szCs w:val="22"/>
                    </w:rPr>
                    <w:t>2x4 LED new Luminaire rated greater than or equal to 140 LPW</w:t>
                  </w:r>
                </w:p>
              </w:tc>
            </w:tr>
            <w:tr w:rsidR="008F3343" w:rsidRPr="00D727CA" w14:paraId="352639BD"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6F77DFC6" w14:textId="75A4F3CE" w:rsidR="008F3343" w:rsidRPr="00824A72" w:rsidRDefault="008F3343" w:rsidP="00D469CD">
                  <w:pPr>
                    <w:jc w:val="center"/>
                    <w:rPr>
                      <w:rFonts w:cstheme="minorHAnsi"/>
                      <w:szCs w:val="22"/>
                    </w:rPr>
                  </w:pPr>
                  <w:r w:rsidRPr="00824A72">
                    <w:rPr>
                      <w:rFonts w:cstheme="minorHAnsi"/>
                      <w:szCs w:val="22"/>
                    </w:rPr>
                    <w:t>Msr027</w:t>
                  </w:r>
                </w:p>
              </w:tc>
              <w:tc>
                <w:tcPr>
                  <w:tcW w:w="6815" w:type="dxa"/>
                  <w:tcBorders>
                    <w:top w:val="single" w:sz="4" w:space="0" w:color="auto"/>
                    <w:left w:val="single" w:sz="4" w:space="0" w:color="auto"/>
                    <w:bottom w:val="single" w:sz="4" w:space="0" w:color="auto"/>
                    <w:right w:val="single" w:sz="4" w:space="0" w:color="auto"/>
                  </w:tcBorders>
                  <w:noWrap/>
                  <w:vAlign w:val="bottom"/>
                </w:tcPr>
                <w:p w14:paraId="64D0B114" w14:textId="159D5B29" w:rsidR="008F3343" w:rsidRPr="00824A72" w:rsidRDefault="008F3343" w:rsidP="00D469CD">
                  <w:pPr>
                    <w:rPr>
                      <w:rFonts w:cstheme="minorHAnsi"/>
                      <w:szCs w:val="22"/>
                    </w:rPr>
                  </w:pPr>
                  <w:r w:rsidRPr="00824A72">
                    <w:rPr>
                      <w:rFonts w:cstheme="minorHAnsi"/>
                      <w:szCs w:val="22"/>
                    </w:rPr>
                    <w:t>2x2 LED new Luminaire rated greater than or equal to 125 LPW and less than 140 LPW</w:t>
                  </w:r>
                </w:p>
              </w:tc>
            </w:tr>
            <w:tr w:rsidR="008F3343" w:rsidRPr="00D727CA" w14:paraId="637A86AD"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19DFD8D7" w14:textId="1536E5D4" w:rsidR="008F3343" w:rsidRPr="00824A72" w:rsidRDefault="008F3343" w:rsidP="00D469CD">
                  <w:pPr>
                    <w:jc w:val="center"/>
                    <w:rPr>
                      <w:rFonts w:cstheme="minorHAnsi"/>
                      <w:szCs w:val="22"/>
                    </w:rPr>
                  </w:pPr>
                  <w:r w:rsidRPr="00824A72">
                    <w:rPr>
                      <w:rFonts w:cstheme="minorHAnsi"/>
                      <w:szCs w:val="22"/>
                    </w:rPr>
                    <w:t>Msr028</w:t>
                  </w:r>
                </w:p>
              </w:tc>
              <w:tc>
                <w:tcPr>
                  <w:tcW w:w="6815" w:type="dxa"/>
                  <w:tcBorders>
                    <w:top w:val="single" w:sz="4" w:space="0" w:color="auto"/>
                    <w:left w:val="single" w:sz="4" w:space="0" w:color="auto"/>
                    <w:bottom w:val="single" w:sz="4" w:space="0" w:color="auto"/>
                    <w:right w:val="single" w:sz="4" w:space="0" w:color="auto"/>
                  </w:tcBorders>
                  <w:noWrap/>
                </w:tcPr>
                <w:p w14:paraId="3B8E7710" w14:textId="50BEF442" w:rsidR="008F3343" w:rsidRPr="00824A72" w:rsidRDefault="008F3343" w:rsidP="00D469CD">
                  <w:pPr>
                    <w:rPr>
                      <w:rFonts w:cstheme="minorHAnsi"/>
                      <w:szCs w:val="22"/>
                    </w:rPr>
                  </w:pPr>
                  <w:r w:rsidRPr="00824A72">
                    <w:rPr>
                      <w:rFonts w:cstheme="minorHAnsi"/>
                      <w:szCs w:val="22"/>
                    </w:rPr>
                    <w:t>2x2 LED new Luminaire rated greater than or equal to 140 LPW</w:t>
                  </w:r>
                </w:p>
              </w:tc>
            </w:tr>
            <w:tr w:rsidR="008F3343" w:rsidRPr="00D727CA" w14:paraId="553F6088"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46491883" w14:textId="147F0808" w:rsidR="008F3343" w:rsidRPr="00824A72" w:rsidRDefault="008F3343" w:rsidP="00D469CD">
                  <w:pPr>
                    <w:jc w:val="center"/>
                    <w:rPr>
                      <w:rFonts w:cstheme="minorHAnsi"/>
                      <w:szCs w:val="22"/>
                    </w:rPr>
                  </w:pPr>
                  <w:r w:rsidRPr="00824A72">
                    <w:rPr>
                      <w:rFonts w:cstheme="minorHAnsi"/>
                      <w:szCs w:val="22"/>
                    </w:rPr>
                    <w:t>Msr029</w:t>
                  </w:r>
                </w:p>
              </w:tc>
              <w:tc>
                <w:tcPr>
                  <w:tcW w:w="6815" w:type="dxa"/>
                  <w:tcBorders>
                    <w:top w:val="single" w:sz="4" w:space="0" w:color="auto"/>
                    <w:left w:val="single" w:sz="4" w:space="0" w:color="auto"/>
                    <w:bottom w:val="single" w:sz="4" w:space="0" w:color="auto"/>
                    <w:right w:val="single" w:sz="4" w:space="0" w:color="auto"/>
                  </w:tcBorders>
                  <w:noWrap/>
                  <w:vAlign w:val="bottom"/>
                </w:tcPr>
                <w:p w14:paraId="7D3E2C88" w14:textId="48AD62F0" w:rsidR="008F3343" w:rsidRPr="00824A72" w:rsidRDefault="008F3343" w:rsidP="00D469CD">
                  <w:pPr>
                    <w:rPr>
                      <w:rFonts w:cstheme="minorHAnsi"/>
                      <w:szCs w:val="22"/>
                    </w:rPr>
                  </w:pPr>
                  <w:r w:rsidRPr="00824A72">
                    <w:rPr>
                      <w:rFonts w:cstheme="minorHAnsi"/>
                      <w:szCs w:val="22"/>
                    </w:rPr>
                    <w:t>1x4 LED new Luminaire rated greater than or equal to 125 LPW and less than 140 LPW</w:t>
                  </w:r>
                </w:p>
              </w:tc>
            </w:tr>
            <w:tr w:rsidR="008F3343" w:rsidRPr="00D727CA" w14:paraId="6258AE98"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3CD519D6" w14:textId="4A0316E1" w:rsidR="008F3343" w:rsidRPr="00824A72" w:rsidRDefault="008F3343" w:rsidP="00D469CD">
                  <w:pPr>
                    <w:jc w:val="center"/>
                    <w:rPr>
                      <w:rFonts w:cstheme="minorHAnsi"/>
                      <w:szCs w:val="22"/>
                    </w:rPr>
                  </w:pPr>
                  <w:r w:rsidRPr="00824A72">
                    <w:rPr>
                      <w:rFonts w:cstheme="minorHAnsi"/>
                      <w:szCs w:val="22"/>
                    </w:rPr>
                    <w:t>Msr030</w:t>
                  </w:r>
                </w:p>
              </w:tc>
              <w:tc>
                <w:tcPr>
                  <w:tcW w:w="6815" w:type="dxa"/>
                  <w:tcBorders>
                    <w:top w:val="single" w:sz="4" w:space="0" w:color="auto"/>
                    <w:left w:val="single" w:sz="4" w:space="0" w:color="auto"/>
                    <w:bottom w:val="single" w:sz="4" w:space="0" w:color="auto"/>
                    <w:right w:val="single" w:sz="4" w:space="0" w:color="auto"/>
                  </w:tcBorders>
                  <w:noWrap/>
                </w:tcPr>
                <w:p w14:paraId="564CFB7C" w14:textId="3EB97EA8" w:rsidR="008F3343" w:rsidRPr="00824A72" w:rsidRDefault="008F3343" w:rsidP="00D469CD">
                  <w:pPr>
                    <w:rPr>
                      <w:rFonts w:cstheme="minorHAnsi"/>
                      <w:szCs w:val="22"/>
                    </w:rPr>
                  </w:pPr>
                  <w:r w:rsidRPr="00824A72">
                    <w:rPr>
                      <w:rFonts w:cstheme="minorHAnsi"/>
                      <w:szCs w:val="22"/>
                    </w:rPr>
                    <w:t>1x4 LED new Luminaire rated greater than or equal to 140 LPW</w:t>
                  </w:r>
                </w:p>
              </w:tc>
            </w:tr>
            <w:tr w:rsidR="008F3343" w:rsidRPr="00D727CA" w14:paraId="7315CFE1"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01B71C4C" w14:textId="5DC8ACC5" w:rsidR="008F3343" w:rsidRPr="00824A72" w:rsidRDefault="008F3343" w:rsidP="00D469CD">
                  <w:pPr>
                    <w:jc w:val="center"/>
                    <w:rPr>
                      <w:rFonts w:cstheme="minorHAnsi"/>
                      <w:szCs w:val="22"/>
                    </w:rPr>
                  </w:pPr>
                  <w:r w:rsidRPr="00824A72">
                    <w:rPr>
                      <w:rFonts w:cstheme="minorHAnsi"/>
                      <w:szCs w:val="22"/>
                    </w:rPr>
                    <w:t>Msr031</w:t>
                  </w:r>
                </w:p>
              </w:tc>
              <w:tc>
                <w:tcPr>
                  <w:tcW w:w="6815" w:type="dxa"/>
                  <w:tcBorders>
                    <w:top w:val="single" w:sz="4" w:space="0" w:color="auto"/>
                    <w:left w:val="single" w:sz="4" w:space="0" w:color="auto"/>
                    <w:bottom w:val="single" w:sz="4" w:space="0" w:color="auto"/>
                    <w:right w:val="single" w:sz="4" w:space="0" w:color="auto"/>
                  </w:tcBorders>
                  <w:noWrap/>
                </w:tcPr>
                <w:p w14:paraId="68C545DB" w14:textId="6D3CDB54" w:rsidR="008F3343" w:rsidRPr="00824A72" w:rsidRDefault="008F3343" w:rsidP="00D469CD">
                  <w:pPr>
                    <w:rPr>
                      <w:rFonts w:cstheme="minorHAnsi"/>
                      <w:szCs w:val="22"/>
                    </w:rPr>
                  </w:pPr>
                  <w:r w:rsidRPr="00824A72">
                    <w:rPr>
                      <w:rFonts w:cstheme="minorHAnsi"/>
                      <w:szCs w:val="22"/>
                    </w:rPr>
                    <w:t>2x4 LED Integrated retrofit kit rated greater than or equal to 125 LPW and less than 140 LPW</w:t>
                  </w:r>
                </w:p>
              </w:tc>
            </w:tr>
            <w:tr w:rsidR="00693EEF" w:rsidRPr="00D727CA" w14:paraId="41C57C0D"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4F0CCAE7" w14:textId="3FF2495B" w:rsidR="00693EEF" w:rsidRPr="00824A72" w:rsidRDefault="00693EEF" w:rsidP="00D469CD">
                  <w:pPr>
                    <w:jc w:val="center"/>
                    <w:rPr>
                      <w:rFonts w:cstheme="minorHAnsi"/>
                      <w:szCs w:val="22"/>
                    </w:rPr>
                  </w:pPr>
                  <w:r w:rsidRPr="00824A72">
                    <w:rPr>
                      <w:rFonts w:cstheme="minorHAnsi"/>
                      <w:szCs w:val="22"/>
                    </w:rPr>
                    <w:t>Msr032</w:t>
                  </w:r>
                </w:p>
              </w:tc>
              <w:tc>
                <w:tcPr>
                  <w:tcW w:w="6815" w:type="dxa"/>
                  <w:tcBorders>
                    <w:top w:val="single" w:sz="4" w:space="0" w:color="auto"/>
                    <w:left w:val="single" w:sz="4" w:space="0" w:color="auto"/>
                    <w:bottom w:val="single" w:sz="4" w:space="0" w:color="auto"/>
                    <w:right w:val="single" w:sz="4" w:space="0" w:color="auto"/>
                  </w:tcBorders>
                  <w:noWrap/>
                </w:tcPr>
                <w:p w14:paraId="38D0EA9E" w14:textId="52B71FB9" w:rsidR="00693EEF" w:rsidRPr="00824A72" w:rsidRDefault="00693EEF" w:rsidP="00D469CD">
                  <w:pPr>
                    <w:rPr>
                      <w:rFonts w:cstheme="minorHAnsi"/>
                      <w:szCs w:val="22"/>
                    </w:rPr>
                  </w:pPr>
                  <w:r w:rsidRPr="00824A72">
                    <w:rPr>
                      <w:rFonts w:cstheme="minorHAnsi"/>
                      <w:szCs w:val="22"/>
                    </w:rPr>
                    <w:t>2x4 LED Integrated retrofit kit rated greater than or equal to 140 LPW</w:t>
                  </w:r>
                </w:p>
              </w:tc>
            </w:tr>
            <w:tr w:rsidR="00693EEF" w:rsidRPr="00D727CA" w14:paraId="3C5CD38E"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15598A04" w14:textId="68FC1666" w:rsidR="00693EEF" w:rsidRPr="00824A72" w:rsidRDefault="00693EEF" w:rsidP="00D469CD">
                  <w:pPr>
                    <w:jc w:val="center"/>
                    <w:rPr>
                      <w:rFonts w:cstheme="minorHAnsi"/>
                      <w:szCs w:val="22"/>
                    </w:rPr>
                  </w:pPr>
                  <w:r w:rsidRPr="00824A72">
                    <w:rPr>
                      <w:rFonts w:cstheme="minorHAnsi"/>
                      <w:szCs w:val="22"/>
                    </w:rPr>
                    <w:t>Msr033</w:t>
                  </w:r>
                </w:p>
              </w:tc>
              <w:tc>
                <w:tcPr>
                  <w:tcW w:w="6815" w:type="dxa"/>
                  <w:tcBorders>
                    <w:top w:val="single" w:sz="4" w:space="0" w:color="auto"/>
                    <w:left w:val="single" w:sz="4" w:space="0" w:color="auto"/>
                    <w:bottom w:val="single" w:sz="4" w:space="0" w:color="auto"/>
                    <w:right w:val="single" w:sz="4" w:space="0" w:color="auto"/>
                  </w:tcBorders>
                  <w:noWrap/>
                  <w:vAlign w:val="bottom"/>
                </w:tcPr>
                <w:p w14:paraId="27106E1B" w14:textId="5648DFF0" w:rsidR="00693EEF" w:rsidRPr="00824A72" w:rsidRDefault="00693EEF" w:rsidP="00D469CD">
                  <w:pPr>
                    <w:rPr>
                      <w:rFonts w:cstheme="minorHAnsi"/>
                      <w:szCs w:val="22"/>
                    </w:rPr>
                  </w:pPr>
                  <w:r w:rsidRPr="00824A72">
                    <w:rPr>
                      <w:rFonts w:cstheme="minorHAnsi"/>
                      <w:szCs w:val="22"/>
                    </w:rPr>
                    <w:t>2x2 LED Integrated retrofit kit rated greater than or equal to 125 LPW and less than 140 LPW</w:t>
                  </w:r>
                </w:p>
              </w:tc>
            </w:tr>
            <w:tr w:rsidR="00BE4048" w:rsidRPr="00D727CA" w14:paraId="50688F5E"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620BE404" w14:textId="2AD5ABFC" w:rsidR="00BE4048" w:rsidRPr="00824A72" w:rsidRDefault="00BE4048" w:rsidP="00D469CD">
                  <w:pPr>
                    <w:jc w:val="center"/>
                    <w:rPr>
                      <w:rFonts w:cstheme="minorHAnsi"/>
                      <w:szCs w:val="22"/>
                    </w:rPr>
                  </w:pPr>
                  <w:r w:rsidRPr="00824A72">
                    <w:rPr>
                      <w:rFonts w:cstheme="minorHAnsi"/>
                      <w:szCs w:val="22"/>
                    </w:rPr>
                    <w:t>Msr034</w:t>
                  </w:r>
                </w:p>
              </w:tc>
              <w:tc>
                <w:tcPr>
                  <w:tcW w:w="6815" w:type="dxa"/>
                  <w:tcBorders>
                    <w:top w:val="single" w:sz="4" w:space="0" w:color="auto"/>
                    <w:left w:val="single" w:sz="4" w:space="0" w:color="auto"/>
                    <w:bottom w:val="single" w:sz="4" w:space="0" w:color="auto"/>
                    <w:right w:val="single" w:sz="4" w:space="0" w:color="auto"/>
                  </w:tcBorders>
                  <w:noWrap/>
                  <w:vAlign w:val="bottom"/>
                </w:tcPr>
                <w:p w14:paraId="7D375FF1" w14:textId="44C3CAF6" w:rsidR="00BE4048" w:rsidRPr="00824A72" w:rsidRDefault="00BE4048" w:rsidP="00D469CD">
                  <w:pPr>
                    <w:rPr>
                      <w:rFonts w:cstheme="minorHAnsi"/>
                      <w:szCs w:val="22"/>
                    </w:rPr>
                  </w:pPr>
                  <w:r w:rsidRPr="00824A72">
                    <w:rPr>
                      <w:rFonts w:cstheme="minorHAnsi"/>
                      <w:szCs w:val="22"/>
                    </w:rPr>
                    <w:t>2x2 LED Integrated retrofit kit rated greater than or equal to 140 LPW</w:t>
                  </w:r>
                </w:p>
              </w:tc>
            </w:tr>
            <w:tr w:rsidR="00BE4048" w:rsidRPr="00D727CA" w14:paraId="709655EF"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7BDB2AA4" w14:textId="6F00A827" w:rsidR="00BE4048" w:rsidRPr="00824A72" w:rsidRDefault="00BE4048" w:rsidP="00D469CD">
                  <w:pPr>
                    <w:jc w:val="center"/>
                    <w:rPr>
                      <w:rFonts w:cstheme="minorHAnsi"/>
                      <w:szCs w:val="22"/>
                    </w:rPr>
                  </w:pPr>
                  <w:r w:rsidRPr="00824A72">
                    <w:rPr>
                      <w:rFonts w:cstheme="minorHAnsi"/>
                      <w:szCs w:val="22"/>
                    </w:rPr>
                    <w:t>Msr035</w:t>
                  </w:r>
                </w:p>
              </w:tc>
              <w:tc>
                <w:tcPr>
                  <w:tcW w:w="6815" w:type="dxa"/>
                  <w:tcBorders>
                    <w:top w:val="single" w:sz="4" w:space="0" w:color="auto"/>
                    <w:left w:val="single" w:sz="4" w:space="0" w:color="auto"/>
                    <w:bottom w:val="single" w:sz="4" w:space="0" w:color="auto"/>
                    <w:right w:val="single" w:sz="4" w:space="0" w:color="auto"/>
                  </w:tcBorders>
                  <w:noWrap/>
                  <w:vAlign w:val="bottom"/>
                </w:tcPr>
                <w:p w14:paraId="21FFE238" w14:textId="264E11DD" w:rsidR="00BE4048" w:rsidRPr="00824A72" w:rsidRDefault="00BE4048" w:rsidP="00D469CD">
                  <w:pPr>
                    <w:rPr>
                      <w:rFonts w:cstheme="minorHAnsi"/>
                      <w:szCs w:val="22"/>
                    </w:rPr>
                  </w:pPr>
                  <w:r w:rsidRPr="00824A72">
                    <w:rPr>
                      <w:rFonts w:cstheme="minorHAnsi"/>
                      <w:szCs w:val="22"/>
                    </w:rPr>
                    <w:t>1x4 LED Integrated retrofit kit rated greater than or equal to 125 LPW and less than 140 LPW</w:t>
                  </w:r>
                </w:p>
              </w:tc>
            </w:tr>
            <w:tr w:rsidR="00BE4048" w:rsidRPr="00D727CA" w14:paraId="4713F900"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04CB140F" w14:textId="4CF56025" w:rsidR="00BE4048" w:rsidRPr="00824A72" w:rsidRDefault="00BE4048" w:rsidP="00D469CD">
                  <w:pPr>
                    <w:jc w:val="center"/>
                    <w:rPr>
                      <w:rFonts w:cstheme="minorHAnsi"/>
                      <w:szCs w:val="22"/>
                    </w:rPr>
                  </w:pPr>
                  <w:r w:rsidRPr="00824A72">
                    <w:rPr>
                      <w:rFonts w:cstheme="minorHAnsi"/>
                      <w:szCs w:val="22"/>
                    </w:rPr>
                    <w:t>Msr036</w:t>
                  </w:r>
                </w:p>
              </w:tc>
              <w:tc>
                <w:tcPr>
                  <w:tcW w:w="6815" w:type="dxa"/>
                  <w:tcBorders>
                    <w:top w:val="single" w:sz="4" w:space="0" w:color="auto"/>
                    <w:left w:val="single" w:sz="4" w:space="0" w:color="auto"/>
                    <w:bottom w:val="single" w:sz="4" w:space="0" w:color="auto"/>
                    <w:right w:val="single" w:sz="4" w:space="0" w:color="auto"/>
                  </w:tcBorders>
                  <w:noWrap/>
                </w:tcPr>
                <w:p w14:paraId="7DCD466F" w14:textId="1C10249A" w:rsidR="00BE4048" w:rsidRPr="00824A72" w:rsidRDefault="00BE4048" w:rsidP="00D469CD">
                  <w:pPr>
                    <w:rPr>
                      <w:rFonts w:cstheme="minorHAnsi"/>
                      <w:szCs w:val="22"/>
                    </w:rPr>
                  </w:pPr>
                  <w:r w:rsidRPr="00824A72">
                    <w:rPr>
                      <w:rFonts w:cstheme="minorHAnsi"/>
                      <w:szCs w:val="22"/>
                    </w:rPr>
                    <w:t>1x4 LED Integrated retrofit kit rated greater than or equal to 140 LPW</w:t>
                  </w:r>
                </w:p>
              </w:tc>
            </w:tr>
            <w:tr w:rsidR="00BE4048" w:rsidRPr="00D727CA" w14:paraId="2C09D7C8"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23072CBC" w14:textId="5537451D" w:rsidR="00BE4048" w:rsidRPr="00824A72" w:rsidRDefault="00BE4048" w:rsidP="00D469CD">
                  <w:pPr>
                    <w:jc w:val="center"/>
                    <w:rPr>
                      <w:rFonts w:cstheme="minorHAnsi"/>
                      <w:szCs w:val="22"/>
                    </w:rPr>
                  </w:pPr>
                  <w:r w:rsidRPr="00824A72">
                    <w:rPr>
                      <w:rFonts w:cstheme="minorHAnsi"/>
                      <w:szCs w:val="22"/>
                    </w:rPr>
                    <w:t>Msr037</w:t>
                  </w:r>
                </w:p>
              </w:tc>
              <w:tc>
                <w:tcPr>
                  <w:tcW w:w="6815" w:type="dxa"/>
                  <w:tcBorders>
                    <w:top w:val="single" w:sz="4" w:space="0" w:color="auto"/>
                    <w:left w:val="single" w:sz="4" w:space="0" w:color="auto"/>
                    <w:bottom w:val="single" w:sz="4" w:space="0" w:color="auto"/>
                    <w:right w:val="single" w:sz="4" w:space="0" w:color="auto"/>
                  </w:tcBorders>
                  <w:noWrap/>
                </w:tcPr>
                <w:p w14:paraId="654BE7D6" w14:textId="3258EF34" w:rsidR="00BE4048" w:rsidRPr="00824A72" w:rsidRDefault="00BE4048" w:rsidP="00D469CD">
                  <w:pPr>
                    <w:rPr>
                      <w:rFonts w:cstheme="minorHAnsi"/>
                      <w:szCs w:val="22"/>
                    </w:rPr>
                  </w:pPr>
                  <w:r w:rsidRPr="00824A72">
                    <w:rPr>
                      <w:rFonts w:cstheme="minorHAnsi"/>
                      <w:color w:val="000000"/>
                      <w:szCs w:val="22"/>
                    </w:rPr>
                    <w:t>LED Direct or Indirect Linear Ambient 2' New Luminaire rated greater than or equal to 125 LPW and less than 140 LPW</w:t>
                  </w:r>
                </w:p>
              </w:tc>
            </w:tr>
            <w:tr w:rsidR="00BE4048" w:rsidRPr="00D727CA" w14:paraId="08DFE740"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138BA71E" w14:textId="341DBB69" w:rsidR="00BE4048" w:rsidRPr="00824A72" w:rsidRDefault="00BE4048" w:rsidP="00D469CD">
                  <w:pPr>
                    <w:jc w:val="center"/>
                    <w:rPr>
                      <w:rFonts w:cstheme="minorHAnsi"/>
                      <w:szCs w:val="22"/>
                    </w:rPr>
                  </w:pPr>
                  <w:r w:rsidRPr="00824A72">
                    <w:rPr>
                      <w:rFonts w:cstheme="minorHAnsi"/>
                      <w:szCs w:val="22"/>
                    </w:rPr>
                    <w:t>Msr038</w:t>
                  </w:r>
                </w:p>
              </w:tc>
              <w:tc>
                <w:tcPr>
                  <w:tcW w:w="6815" w:type="dxa"/>
                  <w:tcBorders>
                    <w:top w:val="single" w:sz="4" w:space="0" w:color="auto"/>
                    <w:left w:val="single" w:sz="4" w:space="0" w:color="auto"/>
                    <w:bottom w:val="single" w:sz="4" w:space="0" w:color="auto"/>
                    <w:right w:val="single" w:sz="4" w:space="0" w:color="auto"/>
                  </w:tcBorders>
                  <w:noWrap/>
                  <w:vAlign w:val="center"/>
                </w:tcPr>
                <w:p w14:paraId="6F96D7C1" w14:textId="18DD6DC4" w:rsidR="00BE4048" w:rsidRPr="00824A72" w:rsidRDefault="00BE4048" w:rsidP="00D469CD">
                  <w:pPr>
                    <w:rPr>
                      <w:rFonts w:cstheme="minorHAnsi"/>
                      <w:szCs w:val="22"/>
                    </w:rPr>
                  </w:pPr>
                  <w:r w:rsidRPr="00824A72">
                    <w:rPr>
                      <w:rFonts w:cstheme="minorHAnsi"/>
                      <w:color w:val="000000"/>
                      <w:szCs w:val="22"/>
                    </w:rPr>
                    <w:t>LED Direct or Indirect Linear Ambient 2' New Luminaire rated greater than or equal to 140 LPW</w:t>
                  </w:r>
                </w:p>
              </w:tc>
            </w:tr>
            <w:tr w:rsidR="00BE4048" w:rsidRPr="00D727CA" w14:paraId="1B301D1A"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5FD9EF23" w14:textId="44F83CF9" w:rsidR="00BE4048" w:rsidRPr="00824A72" w:rsidRDefault="00BE4048" w:rsidP="00D469CD">
                  <w:pPr>
                    <w:jc w:val="center"/>
                    <w:rPr>
                      <w:rFonts w:cstheme="minorHAnsi"/>
                      <w:szCs w:val="22"/>
                    </w:rPr>
                  </w:pPr>
                  <w:r w:rsidRPr="00824A72">
                    <w:rPr>
                      <w:rFonts w:cstheme="minorHAnsi"/>
                      <w:szCs w:val="22"/>
                    </w:rPr>
                    <w:t>Msr039</w:t>
                  </w:r>
                </w:p>
              </w:tc>
              <w:tc>
                <w:tcPr>
                  <w:tcW w:w="6815" w:type="dxa"/>
                  <w:tcBorders>
                    <w:top w:val="single" w:sz="4" w:space="0" w:color="auto"/>
                    <w:left w:val="single" w:sz="4" w:space="0" w:color="auto"/>
                    <w:bottom w:val="single" w:sz="4" w:space="0" w:color="auto"/>
                    <w:right w:val="single" w:sz="4" w:space="0" w:color="auto"/>
                  </w:tcBorders>
                  <w:noWrap/>
                  <w:vAlign w:val="center"/>
                </w:tcPr>
                <w:p w14:paraId="46B7FB4A" w14:textId="01C8C3CF" w:rsidR="00BE4048" w:rsidRPr="00824A72" w:rsidRDefault="00BE4048" w:rsidP="00D469CD">
                  <w:pPr>
                    <w:rPr>
                      <w:rFonts w:cstheme="minorHAnsi"/>
                      <w:szCs w:val="22"/>
                    </w:rPr>
                  </w:pPr>
                  <w:r w:rsidRPr="00824A72">
                    <w:rPr>
                      <w:rFonts w:cstheme="minorHAnsi"/>
                      <w:color w:val="000000"/>
                      <w:szCs w:val="22"/>
                    </w:rPr>
                    <w:t>LED Direct or Indirect Linear Ambient 4' New Luminaire rated greater than or equal to 125 LPW and less than 140 LPW</w:t>
                  </w:r>
                </w:p>
              </w:tc>
            </w:tr>
            <w:tr w:rsidR="00BE4048" w:rsidRPr="00D727CA" w14:paraId="730431D1"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6A6F8FF4" w14:textId="38580703" w:rsidR="00BE4048" w:rsidRPr="00824A72" w:rsidRDefault="00BE4048" w:rsidP="00D469CD">
                  <w:pPr>
                    <w:jc w:val="center"/>
                    <w:rPr>
                      <w:rFonts w:cstheme="minorHAnsi"/>
                      <w:szCs w:val="22"/>
                    </w:rPr>
                  </w:pPr>
                  <w:r w:rsidRPr="00824A72">
                    <w:rPr>
                      <w:rFonts w:cstheme="minorHAnsi"/>
                      <w:szCs w:val="22"/>
                    </w:rPr>
                    <w:t>Msr040</w:t>
                  </w:r>
                </w:p>
              </w:tc>
              <w:tc>
                <w:tcPr>
                  <w:tcW w:w="6815" w:type="dxa"/>
                  <w:tcBorders>
                    <w:top w:val="single" w:sz="4" w:space="0" w:color="auto"/>
                    <w:left w:val="single" w:sz="4" w:space="0" w:color="auto"/>
                    <w:bottom w:val="single" w:sz="4" w:space="0" w:color="auto"/>
                    <w:right w:val="single" w:sz="4" w:space="0" w:color="auto"/>
                  </w:tcBorders>
                  <w:noWrap/>
                  <w:vAlign w:val="center"/>
                </w:tcPr>
                <w:p w14:paraId="54F26B1E" w14:textId="0E0C9A3E" w:rsidR="00BE4048" w:rsidRPr="00824A72" w:rsidRDefault="00BE4048" w:rsidP="00D469CD">
                  <w:pPr>
                    <w:rPr>
                      <w:rFonts w:cstheme="minorHAnsi"/>
                      <w:szCs w:val="22"/>
                    </w:rPr>
                  </w:pPr>
                  <w:r w:rsidRPr="00824A72">
                    <w:rPr>
                      <w:rFonts w:cstheme="minorHAnsi"/>
                      <w:color w:val="000000"/>
                      <w:szCs w:val="22"/>
                    </w:rPr>
                    <w:t>LED Direct or Indirect Linear Ambient 4' New Luminaire rated greater than or equal to 140 LPW</w:t>
                  </w:r>
                </w:p>
              </w:tc>
            </w:tr>
            <w:tr w:rsidR="00BE4048" w:rsidRPr="00D727CA" w14:paraId="29F6E5BD"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00932BFC" w14:textId="5FF77B6A" w:rsidR="00BE4048" w:rsidRPr="00921746" w:rsidRDefault="00BE4048" w:rsidP="00D469CD">
                  <w:pPr>
                    <w:jc w:val="center"/>
                    <w:rPr>
                      <w:rFonts w:cstheme="minorHAnsi"/>
                      <w:szCs w:val="22"/>
                    </w:rPr>
                  </w:pPr>
                  <w:r w:rsidRPr="00921746">
                    <w:rPr>
                      <w:rFonts w:cstheme="minorHAnsi"/>
                      <w:szCs w:val="22"/>
                    </w:rPr>
                    <w:t>Msr041</w:t>
                  </w:r>
                </w:p>
              </w:tc>
              <w:tc>
                <w:tcPr>
                  <w:tcW w:w="6815" w:type="dxa"/>
                  <w:tcBorders>
                    <w:top w:val="single" w:sz="4" w:space="0" w:color="auto"/>
                    <w:left w:val="single" w:sz="4" w:space="0" w:color="auto"/>
                    <w:bottom w:val="single" w:sz="4" w:space="0" w:color="auto"/>
                    <w:right w:val="single" w:sz="4" w:space="0" w:color="auto"/>
                  </w:tcBorders>
                  <w:noWrap/>
                </w:tcPr>
                <w:p w14:paraId="290B1A26" w14:textId="1485FF4A" w:rsidR="00BE4048" w:rsidRPr="00921746" w:rsidRDefault="00BE4048" w:rsidP="00D469CD">
                  <w:pPr>
                    <w:rPr>
                      <w:rFonts w:cstheme="minorHAnsi"/>
                      <w:szCs w:val="22"/>
                    </w:rPr>
                  </w:pPr>
                  <w:r w:rsidRPr="00921746">
                    <w:rPr>
                      <w:rFonts w:cstheme="minorHAnsi"/>
                      <w:color w:val="000000"/>
                      <w:szCs w:val="22"/>
                    </w:rPr>
                    <w:t>LED Direct or Indirect Linear Ambient 8' New Luminaire rated greater than or equal to 125 LPW and less than 140 LPW</w:t>
                  </w:r>
                </w:p>
              </w:tc>
            </w:tr>
            <w:tr w:rsidR="00BE4048" w:rsidRPr="00D727CA" w14:paraId="5C7442E0"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26C36490" w14:textId="27F4761A" w:rsidR="00BE4048" w:rsidRPr="00921746" w:rsidRDefault="00BE4048" w:rsidP="00D469CD">
                  <w:pPr>
                    <w:jc w:val="center"/>
                    <w:rPr>
                      <w:rFonts w:cstheme="minorHAnsi"/>
                      <w:szCs w:val="22"/>
                    </w:rPr>
                  </w:pPr>
                  <w:r w:rsidRPr="00921746">
                    <w:rPr>
                      <w:rFonts w:cstheme="minorHAnsi"/>
                      <w:szCs w:val="22"/>
                    </w:rPr>
                    <w:t>Msr042</w:t>
                  </w:r>
                </w:p>
              </w:tc>
              <w:tc>
                <w:tcPr>
                  <w:tcW w:w="6815" w:type="dxa"/>
                  <w:tcBorders>
                    <w:top w:val="single" w:sz="4" w:space="0" w:color="auto"/>
                    <w:left w:val="single" w:sz="4" w:space="0" w:color="auto"/>
                    <w:bottom w:val="single" w:sz="4" w:space="0" w:color="auto"/>
                    <w:right w:val="single" w:sz="4" w:space="0" w:color="auto"/>
                  </w:tcBorders>
                  <w:noWrap/>
                  <w:vAlign w:val="center"/>
                </w:tcPr>
                <w:p w14:paraId="30F5B02C" w14:textId="739F7E4A" w:rsidR="00BE4048" w:rsidRPr="00921746" w:rsidRDefault="00BE4048" w:rsidP="00D469CD">
                  <w:pPr>
                    <w:rPr>
                      <w:rFonts w:cstheme="minorHAnsi"/>
                      <w:szCs w:val="22"/>
                    </w:rPr>
                  </w:pPr>
                  <w:r w:rsidRPr="00921746">
                    <w:rPr>
                      <w:rFonts w:cstheme="minorHAnsi"/>
                      <w:color w:val="000000"/>
                      <w:szCs w:val="22"/>
                    </w:rPr>
                    <w:t>LED Direct or Indirect Linear Ambient 8' New Luminaire rated greater than or equal to 140 LPW</w:t>
                  </w:r>
                </w:p>
              </w:tc>
            </w:tr>
            <w:tr w:rsidR="00693EEF" w:rsidRPr="00D727CA" w14:paraId="29189D91"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0D424DB4" w14:textId="570B3968" w:rsidR="00693EEF" w:rsidRPr="00921746" w:rsidRDefault="00693EEF" w:rsidP="00D469CD">
                  <w:pPr>
                    <w:jc w:val="center"/>
                    <w:rPr>
                      <w:rFonts w:cstheme="minorHAnsi"/>
                      <w:szCs w:val="22"/>
                    </w:rPr>
                  </w:pPr>
                  <w:r w:rsidRPr="00921746">
                    <w:rPr>
                      <w:rFonts w:cstheme="minorHAnsi"/>
                      <w:szCs w:val="22"/>
                    </w:rPr>
                    <w:t>Msr043</w:t>
                  </w:r>
                </w:p>
              </w:tc>
              <w:tc>
                <w:tcPr>
                  <w:tcW w:w="6815" w:type="dxa"/>
                  <w:tcBorders>
                    <w:top w:val="single" w:sz="4" w:space="0" w:color="auto"/>
                    <w:left w:val="single" w:sz="4" w:space="0" w:color="auto"/>
                    <w:bottom w:val="single" w:sz="4" w:space="0" w:color="auto"/>
                    <w:right w:val="single" w:sz="4" w:space="0" w:color="auto"/>
                  </w:tcBorders>
                  <w:noWrap/>
                  <w:vAlign w:val="center"/>
                </w:tcPr>
                <w:p w14:paraId="43AB98FB" w14:textId="48BCD6DE" w:rsidR="00693EEF" w:rsidRPr="00921746" w:rsidRDefault="00693EEF" w:rsidP="00D469CD">
                  <w:pPr>
                    <w:rPr>
                      <w:rFonts w:cstheme="minorHAnsi"/>
                      <w:szCs w:val="22"/>
                    </w:rPr>
                  </w:pPr>
                  <w:r w:rsidRPr="00921746">
                    <w:rPr>
                      <w:rFonts w:cstheme="minorHAnsi"/>
                      <w:color w:val="000000"/>
                      <w:szCs w:val="22"/>
                    </w:rPr>
                    <w:t>LED Direct Linear Ambient 2' retrofit kit rated greater than or equal to 125 LPW and less than 140 LPW</w:t>
                  </w:r>
                </w:p>
              </w:tc>
            </w:tr>
            <w:tr w:rsidR="00693EEF" w:rsidRPr="00D727CA" w14:paraId="074297A0"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28D10610" w14:textId="7CF09E9A" w:rsidR="00693EEF" w:rsidRPr="00921746" w:rsidRDefault="00693EEF" w:rsidP="00D469CD">
                  <w:pPr>
                    <w:jc w:val="center"/>
                    <w:rPr>
                      <w:rFonts w:cstheme="minorHAnsi"/>
                      <w:szCs w:val="22"/>
                    </w:rPr>
                  </w:pPr>
                  <w:r w:rsidRPr="00921746">
                    <w:rPr>
                      <w:rFonts w:cstheme="minorHAnsi"/>
                      <w:szCs w:val="22"/>
                    </w:rPr>
                    <w:t>Msr044</w:t>
                  </w:r>
                </w:p>
              </w:tc>
              <w:tc>
                <w:tcPr>
                  <w:tcW w:w="6815" w:type="dxa"/>
                  <w:tcBorders>
                    <w:top w:val="single" w:sz="4" w:space="0" w:color="auto"/>
                    <w:left w:val="single" w:sz="4" w:space="0" w:color="auto"/>
                    <w:bottom w:val="single" w:sz="4" w:space="0" w:color="auto"/>
                    <w:right w:val="single" w:sz="4" w:space="0" w:color="auto"/>
                  </w:tcBorders>
                  <w:noWrap/>
                </w:tcPr>
                <w:p w14:paraId="75E25778" w14:textId="0F8BD167" w:rsidR="00693EEF" w:rsidRPr="00921746" w:rsidRDefault="00693EEF" w:rsidP="00D469CD">
                  <w:pPr>
                    <w:rPr>
                      <w:rFonts w:cstheme="minorHAnsi"/>
                      <w:szCs w:val="22"/>
                    </w:rPr>
                  </w:pPr>
                  <w:r w:rsidRPr="00921746">
                    <w:rPr>
                      <w:rFonts w:cstheme="minorHAnsi"/>
                      <w:color w:val="000000"/>
                      <w:szCs w:val="22"/>
                    </w:rPr>
                    <w:t>LED Direct Linear Ambient 2' retrofit kit rated greater than or equal to 140 LPW</w:t>
                  </w:r>
                </w:p>
              </w:tc>
            </w:tr>
            <w:tr w:rsidR="00693EEF" w:rsidRPr="00D727CA" w14:paraId="075F60CA"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6DB1DB95" w14:textId="0BCBBF22" w:rsidR="00693EEF" w:rsidRPr="00921746" w:rsidRDefault="00693EEF" w:rsidP="00D469CD">
                  <w:pPr>
                    <w:jc w:val="center"/>
                    <w:rPr>
                      <w:rFonts w:cstheme="minorHAnsi"/>
                      <w:szCs w:val="22"/>
                    </w:rPr>
                  </w:pPr>
                  <w:r w:rsidRPr="00921746">
                    <w:rPr>
                      <w:rFonts w:cstheme="minorHAnsi"/>
                      <w:szCs w:val="22"/>
                    </w:rPr>
                    <w:t>Msr045</w:t>
                  </w:r>
                </w:p>
              </w:tc>
              <w:tc>
                <w:tcPr>
                  <w:tcW w:w="6815" w:type="dxa"/>
                  <w:tcBorders>
                    <w:top w:val="single" w:sz="4" w:space="0" w:color="auto"/>
                    <w:left w:val="single" w:sz="4" w:space="0" w:color="auto"/>
                    <w:bottom w:val="single" w:sz="4" w:space="0" w:color="auto"/>
                    <w:right w:val="single" w:sz="4" w:space="0" w:color="auto"/>
                  </w:tcBorders>
                  <w:noWrap/>
                  <w:vAlign w:val="center"/>
                </w:tcPr>
                <w:p w14:paraId="5B41D398" w14:textId="01ED0C3A" w:rsidR="00693EEF" w:rsidRPr="00921746" w:rsidRDefault="00693EEF" w:rsidP="00D469CD">
                  <w:pPr>
                    <w:rPr>
                      <w:rFonts w:cstheme="minorHAnsi"/>
                      <w:szCs w:val="22"/>
                    </w:rPr>
                  </w:pPr>
                  <w:r w:rsidRPr="00921746">
                    <w:rPr>
                      <w:rFonts w:cstheme="minorHAnsi"/>
                      <w:color w:val="000000"/>
                      <w:szCs w:val="22"/>
                    </w:rPr>
                    <w:t>LED Direct Linear Ambient 4' retrofit kit rated greater than or equal to 125 LPW and less than 140 LPW</w:t>
                  </w:r>
                </w:p>
              </w:tc>
            </w:tr>
            <w:tr w:rsidR="00693EEF" w:rsidRPr="00D727CA" w14:paraId="77D4AB94"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2CCCB392" w14:textId="6A9687FC" w:rsidR="00693EEF" w:rsidRPr="00921746" w:rsidRDefault="00693EEF" w:rsidP="00D469CD">
                  <w:pPr>
                    <w:jc w:val="center"/>
                    <w:rPr>
                      <w:rFonts w:cstheme="minorHAnsi"/>
                      <w:szCs w:val="22"/>
                    </w:rPr>
                  </w:pPr>
                  <w:r w:rsidRPr="00921746">
                    <w:rPr>
                      <w:rFonts w:cstheme="minorHAnsi"/>
                      <w:szCs w:val="22"/>
                    </w:rPr>
                    <w:lastRenderedPageBreak/>
                    <w:t>Msr046</w:t>
                  </w:r>
                </w:p>
              </w:tc>
              <w:tc>
                <w:tcPr>
                  <w:tcW w:w="6815" w:type="dxa"/>
                  <w:tcBorders>
                    <w:top w:val="single" w:sz="4" w:space="0" w:color="auto"/>
                    <w:left w:val="single" w:sz="4" w:space="0" w:color="auto"/>
                    <w:bottom w:val="single" w:sz="4" w:space="0" w:color="auto"/>
                    <w:right w:val="single" w:sz="4" w:space="0" w:color="auto"/>
                  </w:tcBorders>
                  <w:noWrap/>
                  <w:vAlign w:val="center"/>
                </w:tcPr>
                <w:p w14:paraId="4411BEE2" w14:textId="7DFABC32" w:rsidR="00693EEF" w:rsidRPr="00921746" w:rsidRDefault="00693EEF" w:rsidP="00D469CD">
                  <w:pPr>
                    <w:rPr>
                      <w:rFonts w:cstheme="minorHAnsi"/>
                      <w:szCs w:val="22"/>
                    </w:rPr>
                  </w:pPr>
                  <w:r w:rsidRPr="00921746">
                    <w:rPr>
                      <w:rFonts w:cstheme="minorHAnsi"/>
                      <w:color w:val="000000"/>
                      <w:szCs w:val="22"/>
                    </w:rPr>
                    <w:t>LED Direct Linear Ambient 4' retrofit kit rated greater than or equal to 140 LPW</w:t>
                  </w:r>
                </w:p>
              </w:tc>
            </w:tr>
            <w:tr w:rsidR="00693EEF" w:rsidRPr="00D727CA" w14:paraId="7267A3F0"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5E8444F5" w14:textId="794BE358" w:rsidR="00693EEF" w:rsidRPr="00921746" w:rsidRDefault="00693EEF" w:rsidP="00D469CD">
                  <w:pPr>
                    <w:jc w:val="center"/>
                    <w:rPr>
                      <w:rFonts w:cstheme="minorHAnsi"/>
                      <w:szCs w:val="22"/>
                    </w:rPr>
                  </w:pPr>
                  <w:r w:rsidRPr="00921746">
                    <w:rPr>
                      <w:rFonts w:cstheme="minorHAnsi"/>
                      <w:szCs w:val="22"/>
                    </w:rPr>
                    <w:t>Msr047</w:t>
                  </w:r>
                </w:p>
              </w:tc>
              <w:tc>
                <w:tcPr>
                  <w:tcW w:w="6815" w:type="dxa"/>
                  <w:tcBorders>
                    <w:top w:val="single" w:sz="4" w:space="0" w:color="auto"/>
                    <w:left w:val="single" w:sz="4" w:space="0" w:color="auto"/>
                    <w:bottom w:val="single" w:sz="4" w:space="0" w:color="auto"/>
                    <w:right w:val="single" w:sz="4" w:space="0" w:color="auto"/>
                  </w:tcBorders>
                  <w:noWrap/>
                </w:tcPr>
                <w:p w14:paraId="13565781" w14:textId="1712D40A" w:rsidR="00693EEF" w:rsidRPr="00921746" w:rsidRDefault="00693EEF" w:rsidP="00D469CD">
                  <w:pPr>
                    <w:rPr>
                      <w:rFonts w:cstheme="minorHAnsi"/>
                      <w:szCs w:val="22"/>
                    </w:rPr>
                  </w:pPr>
                  <w:r w:rsidRPr="00921746">
                    <w:rPr>
                      <w:rFonts w:cstheme="minorHAnsi"/>
                      <w:color w:val="000000"/>
                      <w:szCs w:val="22"/>
                    </w:rPr>
                    <w:t>LED Direct Linear Ambient 8' retrofit kit rated greater than or equal to 125 LPW and less than 140 LPW</w:t>
                  </w:r>
                </w:p>
              </w:tc>
            </w:tr>
            <w:tr w:rsidR="00693EEF" w:rsidRPr="00D727CA" w14:paraId="099C3876" w14:textId="77777777" w:rsidTr="00FB2C96">
              <w:trPr>
                <w:trHeight w:val="230"/>
                <w:jc w:val="center"/>
              </w:trPr>
              <w:tc>
                <w:tcPr>
                  <w:tcW w:w="2015" w:type="dxa"/>
                  <w:tcBorders>
                    <w:top w:val="nil"/>
                    <w:left w:val="single" w:sz="4" w:space="0" w:color="auto"/>
                    <w:bottom w:val="single" w:sz="4" w:space="0" w:color="auto"/>
                    <w:right w:val="single" w:sz="4" w:space="0" w:color="auto"/>
                  </w:tcBorders>
                  <w:shd w:val="clear" w:color="auto" w:fill="FFFFFF"/>
                  <w:vAlign w:val="center"/>
                </w:tcPr>
                <w:p w14:paraId="2FE75675" w14:textId="543C499A" w:rsidR="00693EEF" w:rsidRPr="00921746" w:rsidRDefault="00693EEF" w:rsidP="00D469CD">
                  <w:pPr>
                    <w:jc w:val="center"/>
                    <w:rPr>
                      <w:rFonts w:cstheme="minorHAnsi"/>
                      <w:szCs w:val="22"/>
                    </w:rPr>
                  </w:pPr>
                  <w:r w:rsidRPr="00921746">
                    <w:rPr>
                      <w:rFonts w:cstheme="minorHAnsi"/>
                      <w:szCs w:val="22"/>
                    </w:rPr>
                    <w:t>Msr048</w:t>
                  </w:r>
                </w:p>
              </w:tc>
              <w:tc>
                <w:tcPr>
                  <w:tcW w:w="6815" w:type="dxa"/>
                  <w:tcBorders>
                    <w:top w:val="single" w:sz="4" w:space="0" w:color="auto"/>
                    <w:left w:val="single" w:sz="4" w:space="0" w:color="auto"/>
                    <w:bottom w:val="single" w:sz="4" w:space="0" w:color="auto"/>
                    <w:right w:val="single" w:sz="4" w:space="0" w:color="auto"/>
                  </w:tcBorders>
                  <w:noWrap/>
                </w:tcPr>
                <w:p w14:paraId="58ECA5A9" w14:textId="485D3037" w:rsidR="00693EEF" w:rsidRPr="00921746" w:rsidRDefault="00693EEF" w:rsidP="00D469CD">
                  <w:pPr>
                    <w:rPr>
                      <w:rFonts w:cstheme="minorHAnsi"/>
                      <w:szCs w:val="22"/>
                    </w:rPr>
                  </w:pPr>
                  <w:r w:rsidRPr="00921746">
                    <w:rPr>
                      <w:rFonts w:cstheme="minorHAnsi"/>
                      <w:color w:val="000000"/>
                      <w:szCs w:val="22"/>
                    </w:rPr>
                    <w:t>LED Direct Linear Ambient 8' retrofit kit rated greater than or equal to 140 LPW</w:t>
                  </w:r>
                </w:p>
              </w:tc>
            </w:tr>
            <w:tr w:rsidR="00D469CD" w:rsidRPr="00D727CA" w14:paraId="47D4452F" w14:textId="77777777" w:rsidTr="00FB2C96">
              <w:trPr>
                <w:trHeight w:val="230"/>
                <w:jc w:val="center"/>
              </w:trPr>
              <w:tc>
                <w:tcPr>
                  <w:tcW w:w="8830" w:type="dxa"/>
                  <w:gridSpan w:val="2"/>
                  <w:tcBorders>
                    <w:top w:val="nil"/>
                    <w:left w:val="single" w:sz="4" w:space="0" w:color="auto"/>
                    <w:bottom w:val="single" w:sz="4" w:space="0" w:color="auto"/>
                    <w:right w:val="single" w:sz="4" w:space="0" w:color="auto"/>
                  </w:tcBorders>
                  <w:shd w:val="clear" w:color="auto" w:fill="FFFFFF"/>
                </w:tcPr>
                <w:p w14:paraId="688EC2CE" w14:textId="421C4A7F" w:rsidR="00D469CD" w:rsidRPr="00D727CA" w:rsidRDefault="00D469CD" w:rsidP="00D469CD">
                  <w:pPr>
                    <w:pBdr>
                      <w:top w:val="single" w:sz="4" w:space="1" w:color="auto"/>
                      <w:left w:val="single" w:sz="4" w:space="4" w:color="auto"/>
                      <w:bottom w:val="single" w:sz="4" w:space="1" w:color="auto"/>
                      <w:right w:val="single" w:sz="4" w:space="4" w:color="auto"/>
                    </w:pBdr>
                    <w:rPr>
                      <w:rFonts w:cstheme="minorHAnsi"/>
                      <w:sz w:val="20"/>
                      <w:szCs w:val="20"/>
                    </w:rPr>
                  </w:pPr>
                </w:p>
              </w:tc>
            </w:tr>
          </w:tbl>
          <w:p w14:paraId="492D6E01" w14:textId="1B61D9CC" w:rsidR="00247DF2" w:rsidRPr="00D727CA" w:rsidRDefault="00247DF2" w:rsidP="00736DEF">
            <w:pPr>
              <w:rPr>
                <w:rFonts w:cstheme="minorHAnsi"/>
                <w:sz w:val="20"/>
                <w:szCs w:val="20"/>
              </w:rPr>
            </w:pPr>
          </w:p>
        </w:tc>
      </w:tr>
      <w:tr w:rsidR="00260731" w14:paraId="2130DF3B" w14:textId="77777777" w:rsidTr="00FB2C96">
        <w:trPr>
          <w:cantSplit/>
          <w:jc w:val="center"/>
        </w:trPr>
        <w:tc>
          <w:tcPr>
            <w:tcW w:w="1999" w:type="dxa"/>
            <w:vAlign w:val="center"/>
          </w:tcPr>
          <w:p w14:paraId="2473140E" w14:textId="02A58C80" w:rsidR="00282C54" w:rsidRDefault="00E9269A" w:rsidP="00D86243">
            <w:pPr>
              <w:jc w:val="right"/>
              <w:rPr>
                <w:rFonts w:cs="Arial"/>
                <w:sz w:val="20"/>
                <w:szCs w:val="20"/>
              </w:rPr>
            </w:pPr>
            <w:r>
              <w:rPr>
                <w:rFonts w:cs="Arial"/>
                <w:sz w:val="20"/>
                <w:szCs w:val="20"/>
              </w:rPr>
              <w:lastRenderedPageBreak/>
              <w:t xml:space="preserve">Standard or </w:t>
            </w:r>
            <w:r w:rsidR="00AB3EEE" w:rsidRPr="00822B6F">
              <w:rPr>
                <w:rFonts w:cs="Arial"/>
                <w:sz w:val="20"/>
                <w:szCs w:val="20"/>
              </w:rPr>
              <w:t xml:space="preserve">Code </w:t>
            </w:r>
          </w:p>
          <w:p w14:paraId="163F31B8" w14:textId="45A9F6EF" w:rsidR="00E9269A" w:rsidRPr="00822B6F" w:rsidRDefault="00E9269A" w:rsidP="00D86243">
            <w:pPr>
              <w:jc w:val="right"/>
              <w:rPr>
                <w:rFonts w:cs="Arial"/>
                <w:sz w:val="20"/>
                <w:szCs w:val="20"/>
              </w:rPr>
            </w:pPr>
          </w:p>
        </w:tc>
        <w:tc>
          <w:tcPr>
            <w:tcW w:w="9156" w:type="dxa"/>
          </w:tcPr>
          <w:tbl>
            <w:tblPr>
              <w:tblW w:w="9004" w:type="dxa"/>
              <w:tblLook w:val="04A0" w:firstRow="1" w:lastRow="0" w:firstColumn="1" w:lastColumn="0" w:noHBand="0" w:noVBand="1"/>
            </w:tblPr>
            <w:tblGrid>
              <w:gridCol w:w="1520"/>
              <w:gridCol w:w="7484"/>
            </w:tblGrid>
            <w:tr w:rsidR="00E85DDE" w:rsidRPr="00E85DDE" w14:paraId="55DAF828" w14:textId="77777777" w:rsidTr="00E85DDE">
              <w:trPr>
                <w:trHeight w:val="523"/>
              </w:trPr>
              <w:tc>
                <w:tcPr>
                  <w:tcW w:w="1520" w:type="dxa"/>
                  <w:tcBorders>
                    <w:top w:val="single" w:sz="4" w:space="0" w:color="auto"/>
                    <w:left w:val="single" w:sz="4" w:space="0" w:color="auto"/>
                    <w:bottom w:val="single" w:sz="4" w:space="0" w:color="auto"/>
                    <w:right w:val="single" w:sz="4" w:space="0" w:color="auto"/>
                  </w:tcBorders>
                  <w:shd w:val="clear" w:color="C0C0C0" w:fill="C0C0C0"/>
                  <w:vAlign w:val="center"/>
                  <w:hideMark/>
                </w:tcPr>
                <w:p w14:paraId="3A13FF27" w14:textId="77777777" w:rsidR="00E85DDE" w:rsidRPr="00E85DDE" w:rsidRDefault="00E85DDE" w:rsidP="00E85DDE">
                  <w:pPr>
                    <w:jc w:val="center"/>
                    <w:rPr>
                      <w:rFonts w:ascii="Calibri" w:hAnsi="Calibri" w:cs="Calibri"/>
                      <w:b/>
                      <w:bCs/>
                      <w:color w:val="000000"/>
                      <w:szCs w:val="22"/>
                    </w:rPr>
                  </w:pPr>
                  <w:r w:rsidRPr="00E85DDE">
                    <w:rPr>
                      <w:rFonts w:ascii="Calibri" w:hAnsi="Calibri" w:cs="Calibri"/>
                      <w:b/>
                      <w:bCs/>
                      <w:color w:val="000000"/>
                      <w:szCs w:val="22"/>
                    </w:rPr>
                    <w:t>SDG&amp;E MeasureID</w:t>
                  </w:r>
                </w:p>
              </w:tc>
              <w:tc>
                <w:tcPr>
                  <w:tcW w:w="7484" w:type="dxa"/>
                  <w:tcBorders>
                    <w:top w:val="single" w:sz="4" w:space="0" w:color="auto"/>
                    <w:left w:val="nil"/>
                    <w:bottom w:val="single" w:sz="4" w:space="0" w:color="auto"/>
                    <w:right w:val="single" w:sz="4" w:space="0" w:color="auto"/>
                  </w:tcBorders>
                  <w:shd w:val="clear" w:color="C0C0C0" w:fill="C0C0C0"/>
                  <w:noWrap/>
                  <w:vAlign w:val="center"/>
                  <w:hideMark/>
                </w:tcPr>
                <w:p w14:paraId="2C305934" w14:textId="77777777" w:rsidR="00E85DDE" w:rsidRPr="00E85DDE" w:rsidRDefault="00E85DDE" w:rsidP="00E85DDE">
                  <w:pPr>
                    <w:jc w:val="center"/>
                    <w:rPr>
                      <w:rFonts w:ascii="Calibri" w:hAnsi="Calibri" w:cs="Calibri"/>
                      <w:b/>
                      <w:bCs/>
                      <w:color w:val="000000"/>
                      <w:szCs w:val="22"/>
                    </w:rPr>
                  </w:pPr>
                  <w:r w:rsidRPr="00E85DDE">
                    <w:rPr>
                      <w:rFonts w:ascii="Calibri" w:hAnsi="Calibri" w:cs="Calibri"/>
                      <w:b/>
                      <w:bCs/>
                      <w:color w:val="000000"/>
                      <w:szCs w:val="22"/>
                    </w:rPr>
                    <w:t>Standard Description</w:t>
                  </w:r>
                </w:p>
              </w:tc>
            </w:tr>
            <w:tr w:rsidR="00E85DDE" w:rsidRPr="00E85DDE" w14:paraId="6A6C9FFE"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C6EEF52"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Msr001</w:t>
                  </w:r>
                </w:p>
              </w:tc>
              <w:tc>
                <w:tcPr>
                  <w:tcW w:w="7484" w:type="dxa"/>
                  <w:tcBorders>
                    <w:top w:val="nil"/>
                    <w:left w:val="nil"/>
                    <w:bottom w:val="single" w:sz="4" w:space="0" w:color="auto"/>
                    <w:right w:val="single" w:sz="4" w:space="0" w:color="auto"/>
                  </w:tcBorders>
                  <w:shd w:val="clear" w:color="auto" w:fill="auto"/>
                  <w:vAlign w:val="center"/>
                  <w:hideMark/>
                </w:tcPr>
                <w:p w14:paraId="56DFFFFE" w14:textId="3359A1BC" w:rsidR="00E85DDE" w:rsidRPr="00E85DDE" w:rsidRDefault="00E85DDE" w:rsidP="00E85DDE">
                  <w:pPr>
                    <w:rPr>
                      <w:rFonts w:ascii="Calibri" w:hAnsi="Calibri" w:cs="Calibri"/>
                      <w:color w:val="000000"/>
                      <w:szCs w:val="22"/>
                    </w:rPr>
                  </w:pPr>
                  <w:r w:rsidRPr="00E85DDE">
                    <w:rPr>
                      <w:rFonts w:ascii="Calibri" w:hAnsi="Calibri" w:cs="Calibri"/>
                      <w:color w:val="000000"/>
                      <w:szCs w:val="22"/>
                    </w:rPr>
                    <w:t xml:space="preserve">Lighting - Interior LF </w:t>
                  </w:r>
                  <w:r w:rsidR="00921746" w:rsidRPr="00E85DDE">
                    <w:rPr>
                      <w:rFonts w:ascii="Calibri" w:hAnsi="Calibri" w:cs="Calibri"/>
                      <w:color w:val="000000"/>
                      <w:szCs w:val="22"/>
                    </w:rPr>
                    <w:t>Fixture</w:t>
                  </w:r>
                  <w:r w:rsidRPr="00E85DDE">
                    <w:rPr>
                      <w:rFonts w:ascii="Calibri" w:hAnsi="Calibri" w:cs="Calibri"/>
                      <w:color w:val="000000"/>
                      <w:szCs w:val="22"/>
                    </w:rPr>
                    <w:t xml:space="preserve"> 1x4 (10.6 watt/kilo-lumen/fixture); 67% LED Fixt, 33% TLED</w:t>
                  </w:r>
                </w:p>
              </w:tc>
            </w:tr>
            <w:tr w:rsidR="00E85DDE" w:rsidRPr="00E85DDE" w14:paraId="22909844"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442C29D"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Msr002</w:t>
                  </w:r>
                </w:p>
              </w:tc>
              <w:tc>
                <w:tcPr>
                  <w:tcW w:w="7484" w:type="dxa"/>
                  <w:tcBorders>
                    <w:top w:val="nil"/>
                    <w:left w:val="nil"/>
                    <w:bottom w:val="single" w:sz="4" w:space="0" w:color="auto"/>
                    <w:right w:val="single" w:sz="4" w:space="0" w:color="auto"/>
                  </w:tcBorders>
                  <w:shd w:val="clear" w:color="auto" w:fill="auto"/>
                  <w:vAlign w:val="center"/>
                  <w:hideMark/>
                </w:tcPr>
                <w:p w14:paraId="7030FE16" w14:textId="539DF89B" w:rsidR="00E85DDE" w:rsidRPr="00E85DDE" w:rsidRDefault="00E85DDE" w:rsidP="00E85DDE">
                  <w:pPr>
                    <w:rPr>
                      <w:rFonts w:ascii="Calibri" w:hAnsi="Calibri" w:cs="Calibri"/>
                      <w:color w:val="000000"/>
                      <w:szCs w:val="22"/>
                    </w:rPr>
                  </w:pPr>
                  <w:r w:rsidRPr="00E85DDE">
                    <w:rPr>
                      <w:rFonts w:ascii="Calibri" w:hAnsi="Calibri" w:cs="Calibri"/>
                      <w:color w:val="000000"/>
                      <w:szCs w:val="22"/>
                    </w:rPr>
                    <w:t xml:space="preserve">Lighting - Interior LF </w:t>
                  </w:r>
                  <w:r w:rsidR="00921746" w:rsidRPr="00E85DDE">
                    <w:rPr>
                      <w:rFonts w:ascii="Calibri" w:hAnsi="Calibri" w:cs="Calibri"/>
                      <w:color w:val="000000"/>
                      <w:szCs w:val="22"/>
                    </w:rPr>
                    <w:t>Fixture</w:t>
                  </w:r>
                  <w:r w:rsidRPr="00E85DDE">
                    <w:rPr>
                      <w:rFonts w:ascii="Calibri" w:hAnsi="Calibri" w:cs="Calibri"/>
                      <w:color w:val="000000"/>
                      <w:szCs w:val="22"/>
                    </w:rPr>
                    <w:t xml:space="preserve"> 2x2 (10.6 watt/kilo-lumen/fixture); 67% LED Fixt, 33% TLED</w:t>
                  </w:r>
                </w:p>
              </w:tc>
            </w:tr>
            <w:tr w:rsidR="00E85DDE" w:rsidRPr="00E85DDE" w14:paraId="57928700"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02E2F5D"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Msr003</w:t>
                  </w:r>
                </w:p>
              </w:tc>
              <w:tc>
                <w:tcPr>
                  <w:tcW w:w="7484" w:type="dxa"/>
                  <w:tcBorders>
                    <w:top w:val="nil"/>
                    <w:left w:val="nil"/>
                    <w:bottom w:val="single" w:sz="4" w:space="0" w:color="auto"/>
                    <w:right w:val="single" w:sz="4" w:space="0" w:color="auto"/>
                  </w:tcBorders>
                  <w:shd w:val="clear" w:color="auto" w:fill="auto"/>
                  <w:vAlign w:val="center"/>
                  <w:hideMark/>
                </w:tcPr>
                <w:p w14:paraId="26DBC147" w14:textId="33973EFC" w:rsidR="00E85DDE" w:rsidRPr="00E85DDE" w:rsidRDefault="00E85DDE" w:rsidP="00E85DDE">
                  <w:pPr>
                    <w:rPr>
                      <w:rFonts w:ascii="Calibri" w:hAnsi="Calibri" w:cs="Calibri"/>
                      <w:color w:val="000000"/>
                      <w:szCs w:val="22"/>
                    </w:rPr>
                  </w:pPr>
                  <w:r w:rsidRPr="00E85DDE">
                    <w:rPr>
                      <w:rFonts w:ascii="Calibri" w:hAnsi="Calibri" w:cs="Calibri"/>
                      <w:color w:val="000000"/>
                      <w:szCs w:val="22"/>
                    </w:rPr>
                    <w:t xml:space="preserve">Lighting - Interior LF </w:t>
                  </w:r>
                  <w:r w:rsidR="00921746" w:rsidRPr="00E85DDE">
                    <w:rPr>
                      <w:rFonts w:ascii="Calibri" w:hAnsi="Calibri" w:cs="Calibri"/>
                      <w:color w:val="000000"/>
                      <w:szCs w:val="22"/>
                    </w:rPr>
                    <w:t>Fixture</w:t>
                  </w:r>
                  <w:r w:rsidRPr="00E85DDE">
                    <w:rPr>
                      <w:rFonts w:ascii="Calibri" w:hAnsi="Calibri" w:cs="Calibri"/>
                      <w:color w:val="000000"/>
                      <w:szCs w:val="22"/>
                    </w:rPr>
                    <w:t xml:space="preserve"> 2x4 (10.6 watt/kilo-lumen/fixture); 67% LED Fixt, 33% TLED</w:t>
                  </w:r>
                </w:p>
              </w:tc>
            </w:tr>
            <w:tr w:rsidR="00E85DDE" w:rsidRPr="00E85DDE" w14:paraId="4044BBA4"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B51EC69"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Msr004</w:t>
                  </w:r>
                </w:p>
              </w:tc>
              <w:tc>
                <w:tcPr>
                  <w:tcW w:w="7484" w:type="dxa"/>
                  <w:tcBorders>
                    <w:top w:val="nil"/>
                    <w:left w:val="nil"/>
                    <w:bottom w:val="single" w:sz="4" w:space="0" w:color="auto"/>
                    <w:right w:val="single" w:sz="4" w:space="0" w:color="auto"/>
                  </w:tcBorders>
                  <w:shd w:val="clear" w:color="auto" w:fill="auto"/>
                  <w:vAlign w:val="center"/>
                  <w:hideMark/>
                </w:tcPr>
                <w:p w14:paraId="00E730B8" w14:textId="7DA67267" w:rsidR="00E85DDE" w:rsidRPr="00E85DDE" w:rsidRDefault="00E85DDE" w:rsidP="00E85DDE">
                  <w:pPr>
                    <w:rPr>
                      <w:rFonts w:ascii="Calibri" w:hAnsi="Calibri" w:cs="Calibri"/>
                      <w:color w:val="000000"/>
                      <w:szCs w:val="22"/>
                    </w:rPr>
                  </w:pPr>
                  <w:r w:rsidRPr="00E85DDE">
                    <w:rPr>
                      <w:rFonts w:ascii="Calibri" w:hAnsi="Calibri" w:cs="Calibri"/>
                      <w:color w:val="000000"/>
                      <w:szCs w:val="22"/>
                    </w:rPr>
                    <w:t xml:space="preserve">Lighting - Interior LF </w:t>
                  </w:r>
                  <w:r w:rsidR="00921746" w:rsidRPr="00E85DDE">
                    <w:rPr>
                      <w:rFonts w:ascii="Calibri" w:hAnsi="Calibri" w:cs="Calibri"/>
                      <w:color w:val="000000"/>
                      <w:szCs w:val="22"/>
                    </w:rPr>
                    <w:t>Fixture</w:t>
                  </w:r>
                  <w:r w:rsidRPr="00E85DDE">
                    <w:rPr>
                      <w:rFonts w:ascii="Calibri" w:hAnsi="Calibri" w:cs="Calibri"/>
                      <w:color w:val="000000"/>
                      <w:szCs w:val="22"/>
                    </w:rPr>
                    <w:t xml:space="preserve"> 1x4 (10.6 watt/kilo-lumen/fixture); 67% LED Fixt, 33% TLED</w:t>
                  </w:r>
                </w:p>
              </w:tc>
            </w:tr>
            <w:tr w:rsidR="00E85DDE" w:rsidRPr="00E85DDE" w14:paraId="4F6CE5D0"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7DF5048"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Msr005</w:t>
                  </w:r>
                </w:p>
              </w:tc>
              <w:tc>
                <w:tcPr>
                  <w:tcW w:w="7484" w:type="dxa"/>
                  <w:tcBorders>
                    <w:top w:val="nil"/>
                    <w:left w:val="nil"/>
                    <w:bottom w:val="single" w:sz="4" w:space="0" w:color="auto"/>
                    <w:right w:val="single" w:sz="4" w:space="0" w:color="auto"/>
                  </w:tcBorders>
                  <w:shd w:val="clear" w:color="auto" w:fill="auto"/>
                  <w:vAlign w:val="center"/>
                  <w:hideMark/>
                </w:tcPr>
                <w:p w14:paraId="3D17A6F5" w14:textId="2B33E596" w:rsidR="00E85DDE" w:rsidRPr="00E85DDE" w:rsidRDefault="00E85DDE" w:rsidP="00E85DDE">
                  <w:pPr>
                    <w:rPr>
                      <w:rFonts w:ascii="Calibri" w:hAnsi="Calibri" w:cs="Calibri"/>
                      <w:color w:val="000000"/>
                      <w:szCs w:val="22"/>
                    </w:rPr>
                  </w:pPr>
                  <w:r w:rsidRPr="00E85DDE">
                    <w:rPr>
                      <w:rFonts w:ascii="Calibri" w:hAnsi="Calibri" w:cs="Calibri"/>
                      <w:color w:val="000000"/>
                      <w:szCs w:val="22"/>
                    </w:rPr>
                    <w:t xml:space="preserve">Lighting - Interior LF </w:t>
                  </w:r>
                  <w:r w:rsidR="00921746" w:rsidRPr="00E85DDE">
                    <w:rPr>
                      <w:rFonts w:ascii="Calibri" w:hAnsi="Calibri" w:cs="Calibri"/>
                      <w:color w:val="000000"/>
                      <w:szCs w:val="22"/>
                    </w:rPr>
                    <w:t>Fixture</w:t>
                  </w:r>
                  <w:r w:rsidRPr="00E85DDE">
                    <w:rPr>
                      <w:rFonts w:ascii="Calibri" w:hAnsi="Calibri" w:cs="Calibri"/>
                      <w:color w:val="000000"/>
                      <w:szCs w:val="22"/>
                    </w:rPr>
                    <w:t xml:space="preserve"> 2x2 (10.6 watt/kilo-lumen/fixture); 67% LED Fixt, 33% TLED</w:t>
                  </w:r>
                </w:p>
              </w:tc>
            </w:tr>
            <w:tr w:rsidR="00E85DDE" w:rsidRPr="00E85DDE" w14:paraId="702778AC"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FB92A1E"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Msr006</w:t>
                  </w:r>
                </w:p>
              </w:tc>
              <w:tc>
                <w:tcPr>
                  <w:tcW w:w="7484" w:type="dxa"/>
                  <w:tcBorders>
                    <w:top w:val="nil"/>
                    <w:left w:val="nil"/>
                    <w:bottom w:val="single" w:sz="4" w:space="0" w:color="auto"/>
                    <w:right w:val="single" w:sz="4" w:space="0" w:color="auto"/>
                  </w:tcBorders>
                  <w:shd w:val="clear" w:color="auto" w:fill="auto"/>
                  <w:vAlign w:val="center"/>
                  <w:hideMark/>
                </w:tcPr>
                <w:p w14:paraId="1D91744D" w14:textId="46E40819" w:rsidR="00E85DDE" w:rsidRPr="00E85DDE" w:rsidRDefault="00E85DDE" w:rsidP="00E85DDE">
                  <w:pPr>
                    <w:rPr>
                      <w:rFonts w:ascii="Calibri" w:hAnsi="Calibri" w:cs="Calibri"/>
                      <w:color w:val="000000"/>
                      <w:szCs w:val="22"/>
                    </w:rPr>
                  </w:pPr>
                  <w:r w:rsidRPr="00E85DDE">
                    <w:rPr>
                      <w:rFonts w:ascii="Calibri" w:hAnsi="Calibri" w:cs="Calibri"/>
                      <w:color w:val="000000"/>
                      <w:szCs w:val="22"/>
                    </w:rPr>
                    <w:t xml:space="preserve">Lighting - Interior LF </w:t>
                  </w:r>
                  <w:r w:rsidR="00921746" w:rsidRPr="00E85DDE">
                    <w:rPr>
                      <w:rFonts w:ascii="Calibri" w:hAnsi="Calibri" w:cs="Calibri"/>
                      <w:color w:val="000000"/>
                      <w:szCs w:val="22"/>
                    </w:rPr>
                    <w:t>Fixture</w:t>
                  </w:r>
                  <w:r w:rsidRPr="00E85DDE">
                    <w:rPr>
                      <w:rFonts w:ascii="Calibri" w:hAnsi="Calibri" w:cs="Calibri"/>
                      <w:color w:val="000000"/>
                      <w:szCs w:val="22"/>
                    </w:rPr>
                    <w:t xml:space="preserve"> 2x4 (10.6 watt/kilo-lumen/fixture); 67% LED Fixt, 33% TLED</w:t>
                  </w:r>
                </w:p>
              </w:tc>
            </w:tr>
            <w:tr w:rsidR="00E85DDE" w:rsidRPr="00E85DDE" w14:paraId="7F4619B3"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54D625C"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Msr007</w:t>
                  </w:r>
                </w:p>
              </w:tc>
              <w:tc>
                <w:tcPr>
                  <w:tcW w:w="7484" w:type="dxa"/>
                  <w:tcBorders>
                    <w:top w:val="nil"/>
                    <w:left w:val="nil"/>
                    <w:bottom w:val="single" w:sz="4" w:space="0" w:color="auto"/>
                    <w:right w:val="single" w:sz="4" w:space="0" w:color="auto"/>
                  </w:tcBorders>
                  <w:shd w:val="clear" w:color="auto" w:fill="auto"/>
                  <w:vAlign w:val="center"/>
                  <w:hideMark/>
                </w:tcPr>
                <w:p w14:paraId="74C33145" w14:textId="009B62CF" w:rsidR="00E85DDE" w:rsidRPr="00E85DDE" w:rsidRDefault="00E85DDE" w:rsidP="00E85DDE">
                  <w:pPr>
                    <w:rPr>
                      <w:rFonts w:ascii="Calibri" w:hAnsi="Calibri" w:cs="Calibri"/>
                      <w:color w:val="000000"/>
                      <w:szCs w:val="22"/>
                    </w:rPr>
                  </w:pPr>
                  <w:r w:rsidRPr="00E85DDE">
                    <w:rPr>
                      <w:rFonts w:ascii="Calibri" w:hAnsi="Calibri" w:cs="Calibri"/>
                      <w:color w:val="000000"/>
                      <w:szCs w:val="22"/>
                    </w:rPr>
                    <w:t xml:space="preserve">Lighting - Interior LF </w:t>
                  </w:r>
                  <w:r w:rsidR="00921746" w:rsidRPr="00E85DDE">
                    <w:rPr>
                      <w:rFonts w:ascii="Calibri" w:hAnsi="Calibri" w:cs="Calibri"/>
                      <w:color w:val="000000"/>
                      <w:szCs w:val="22"/>
                    </w:rPr>
                    <w:t>Fixture</w:t>
                  </w:r>
                  <w:r w:rsidRPr="00E85DDE">
                    <w:rPr>
                      <w:rFonts w:ascii="Calibri" w:hAnsi="Calibri" w:cs="Calibri"/>
                      <w:color w:val="000000"/>
                      <w:szCs w:val="22"/>
                    </w:rPr>
                    <w:t xml:space="preserve"> 1x4 (10.6 watt/kilo-lumen/fixture); 67% LED Fixt, 33% TLED</w:t>
                  </w:r>
                </w:p>
              </w:tc>
            </w:tr>
            <w:tr w:rsidR="00E85DDE" w:rsidRPr="00E85DDE" w14:paraId="4B486002"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F54EF20"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Msr008</w:t>
                  </w:r>
                </w:p>
              </w:tc>
              <w:tc>
                <w:tcPr>
                  <w:tcW w:w="7484" w:type="dxa"/>
                  <w:tcBorders>
                    <w:top w:val="nil"/>
                    <w:left w:val="nil"/>
                    <w:bottom w:val="single" w:sz="4" w:space="0" w:color="auto"/>
                    <w:right w:val="single" w:sz="4" w:space="0" w:color="auto"/>
                  </w:tcBorders>
                  <w:shd w:val="clear" w:color="auto" w:fill="auto"/>
                  <w:vAlign w:val="center"/>
                  <w:hideMark/>
                </w:tcPr>
                <w:p w14:paraId="38666548" w14:textId="48839152" w:rsidR="00E85DDE" w:rsidRPr="00E85DDE" w:rsidRDefault="00E85DDE" w:rsidP="00E85DDE">
                  <w:pPr>
                    <w:rPr>
                      <w:rFonts w:ascii="Calibri" w:hAnsi="Calibri" w:cs="Calibri"/>
                      <w:color w:val="000000"/>
                      <w:szCs w:val="22"/>
                    </w:rPr>
                  </w:pPr>
                  <w:r w:rsidRPr="00E85DDE">
                    <w:rPr>
                      <w:rFonts w:ascii="Calibri" w:hAnsi="Calibri" w:cs="Calibri"/>
                      <w:color w:val="000000"/>
                      <w:szCs w:val="22"/>
                    </w:rPr>
                    <w:t xml:space="preserve">Lighting - Interior LF </w:t>
                  </w:r>
                  <w:r w:rsidR="00921746" w:rsidRPr="00E85DDE">
                    <w:rPr>
                      <w:rFonts w:ascii="Calibri" w:hAnsi="Calibri" w:cs="Calibri"/>
                      <w:color w:val="000000"/>
                      <w:szCs w:val="22"/>
                    </w:rPr>
                    <w:t>Fixture</w:t>
                  </w:r>
                  <w:r w:rsidRPr="00E85DDE">
                    <w:rPr>
                      <w:rFonts w:ascii="Calibri" w:hAnsi="Calibri" w:cs="Calibri"/>
                      <w:color w:val="000000"/>
                      <w:szCs w:val="22"/>
                    </w:rPr>
                    <w:t xml:space="preserve"> 2x2 (10.6 watt/kilo-lumen/fixture); 67% LED Fixt, 33% TLED</w:t>
                  </w:r>
                </w:p>
              </w:tc>
            </w:tr>
            <w:tr w:rsidR="00E85DDE" w:rsidRPr="00E85DDE" w14:paraId="37FD2A63"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298194C"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Msr009</w:t>
                  </w:r>
                </w:p>
              </w:tc>
              <w:tc>
                <w:tcPr>
                  <w:tcW w:w="7484" w:type="dxa"/>
                  <w:tcBorders>
                    <w:top w:val="nil"/>
                    <w:left w:val="nil"/>
                    <w:bottom w:val="single" w:sz="4" w:space="0" w:color="auto"/>
                    <w:right w:val="single" w:sz="4" w:space="0" w:color="auto"/>
                  </w:tcBorders>
                  <w:shd w:val="clear" w:color="auto" w:fill="auto"/>
                  <w:vAlign w:val="center"/>
                  <w:hideMark/>
                </w:tcPr>
                <w:p w14:paraId="100F5A05" w14:textId="522417DE" w:rsidR="00E85DDE" w:rsidRPr="00E85DDE" w:rsidRDefault="00E85DDE" w:rsidP="00E85DDE">
                  <w:pPr>
                    <w:rPr>
                      <w:rFonts w:ascii="Calibri" w:hAnsi="Calibri" w:cs="Calibri"/>
                      <w:color w:val="000000"/>
                      <w:szCs w:val="22"/>
                    </w:rPr>
                  </w:pPr>
                  <w:r w:rsidRPr="00E85DDE">
                    <w:rPr>
                      <w:rFonts w:ascii="Calibri" w:hAnsi="Calibri" w:cs="Calibri"/>
                      <w:color w:val="000000"/>
                      <w:szCs w:val="22"/>
                    </w:rPr>
                    <w:t xml:space="preserve">Lighting - Interior LF </w:t>
                  </w:r>
                  <w:r w:rsidR="00921746" w:rsidRPr="00E85DDE">
                    <w:rPr>
                      <w:rFonts w:ascii="Calibri" w:hAnsi="Calibri" w:cs="Calibri"/>
                      <w:color w:val="000000"/>
                      <w:szCs w:val="22"/>
                    </w:rPr>
                    <w:t>Fixture</w:t>
                  </w:r>
                  <w:r w:rsidRPr="00E85DDE">
                    <w:rPr>
                      <w:rFonts w:ascii="Calibri" w:hAnsi="Calibri" w:cs="Calibri"/>
                      <w:color w:val="000000"/>
                      <w:szCs w:val="22"/>
                    </w:rPr>
                    <w:t xml:space="preserve"> 2x4 (10.6 watt/kilo-lumen/fixture); 67% LED Fixt, 33% TLED</w:t>
                  </w:r>
                </w:p>
              </w:tc>
            </w:tr>
            <w:tr w:rsidR="00E85DDE" w:rsidRPr="00E85DDE" w14:paraId="5457DBDA"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64FF721"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Msr010</w:t>
                  </w:r>
                </w:p>
              </w:tc>
              <w:tc>
                <w:tcPr>
                  <w:tcW w:w="7484" w:type="dxa"/>
                  <w:tcBorders>
                    <w:top w:val="nil"/>
                    <w:left w:val="nil"/>
                    <w:bottom w:val="single" w:sz="4" w:space="0" w:color="auto"/>
                    <w:right w:val="single" w:sz="4" w:space="0" w:color="auto"/>
                  </w:tcBorders>
                  <w:shd w:val="clear" w:color="auto" w:fill="auto"/>
                  <w:vAlign w:val="center"/>
                  <w:hideMark/>
                </w:tcPr>
                <w:p w14:paraId="44C85453" w14:textId="0B989AB8" w:rsidR="00E85DDE" w:rsidRPr="00E85DDE" w:rsidRDefault="00E85DDE" w:rsidP="00E85DDE">
                  <w:pPr>
                    <w:rPr>
                      <w:rFonts w:ascii="Calibri" w:hAnsi="Calibri" w:cs="Calibri"/>
                      <w:color w:val="000000"/>
                      <w:szCs w:val="22"/>
                    </w:rPr>
                  </w:pPr>
                  <w:r w:rsidRPr="00E85DDE">
                    <w:rPr>
                      <w:rFonts w:ascii="Calibri" w:hAnsi="Calibri" w:cs="Calibri"/>
                      <w:color w:val="000000"/>
                      <w:szCs w:val="22"/>
                    </w:rPr>
                    <w:t xml:space="preserve">Lighting - Interior LF </w:t>
                  </w:r>
                  <w:r w:rsidR="00921746" w:rsidRPr="00E85DDE">
                    <w:rPr>
                      <w:rFonts w:ascii="Calibri" w:hAnsi="Calibri" w:cs="Calibri"/>
                      <w:color w:val="000000"/>
                      <w:szCs w:val="22"/>
                    </w:rPr>
                    <w:t>Fixture</w:t>
                  </w:r>
                  <w:r w:rsidRPr="00E85DDE">
                    <w:rPr>
                      <w:rFonts w:ascii="Calibri" w:hAnsi="Calibri" w:cs="Calibri"/>
                      <w:color w:val="000000"/>
                      <w:szCs w:val="22"/>
                    </w:rPr>
                    <w:t xml:space="preserve"> 1x4 (10.6 watt/kilo-lumen/fixture); 67% LED Fixt, 33% TLED</w:t>
                  </w:r>
                </w:p>
              </w:tc>
            </w:tr>
            <w:tr w:rsidR="00E85DDE" w:rsidRPr="00E85DDE" w14:paraId="2752A713"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99A2305"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Msr011</w:t>
                  </w:r>
                </w:p>
              </w:tc>
              <w:tc>
                <w:tcPr>
                  <w:tcW w:w="7484" w:type="dxa"/>
                  <w:tcBorders>
                    <w:top w:val="nil"/>
                    <w:left w:val="nil"/>
                    <w:bottom w:val="single" w:sz="4" w:space="0" w:color="auto"/>
                    <w:right w:val="single" w:sz="4" w:space="0" w:color="auto"/>
                  </w:tcBorders>
                  <w:shd w:val="clear" w:color="auto" w:fill="auto"/>
                  <w:vAlign w:val="center"/>
                  <w:hideMark/>
                </w:tcPr>
                <w:p w14:paraId="393E5514" w14:textId="581B8AB7" w:rsidR="00E85DDE" w:rsidRPr="00E85DDE" w:rsidRDefault="00E85DDE" w:rsidP="00E85DDE">
                  <w:pPr>
                    <w:rPr>
                      <w:rFonts w:ascii="Calibri" w:hAnsi="Calibri" w:cs="Calibri"/>
                      <w:color w:val="000000"/>
                      <w:szCs w:val="22"/>
                    </w:rPr>
                  </w:pPr>
                  <w:r w:rsidRPr="00E85DDE">
                    <w:rPr>
                      <w:rFonts w:ascii="Calibri" w:hAnsi="Calibri" w:cs="Calibri"/>
                      <w:color w:val="000000"/>
                      <w:szCs w:val="22"/>
                    </w:rPr>
                    <w:t xml:space="preserve">Lighting - Interior LF </w:t>
                  </w:r>
                  <w:r w:rsidR="00921746" w:rsidRPr="00E85DDE">
                    <w:rPr>
                      <w:rFonts w:ascii="Calibri" w:hAnsi="Calibri" w:cs="Calibri"/>
                      <w:color w:val="000000"/>
                      <w:szCs w:val="22"/>
                    </w:rPr>
                    <w:t>Fixture</w:t>
                  </w:r>
                  <w:r w:rsidRPr="00E85DDE">
                    <w:rPr>
                      <w:rFonts w:ascii="Calibri" w:hAnsi="Calibri" w:cs="Calibri"/>
                      <w:color w:val="000000"/>
                      <w:szCs w:val="22"/>
                    </w:rPr>
                    <w:t xml:space="preserve"> 2x2 (10.6 watt/kilo-lumen/fixture); 67% LED Fixt, 33% TLED</w:t>
                  </w:r>
                </w:p>
              </w:tc>
            </w:tr>
            <w:tr w:rsidR="00E85DDE" w:rsidRPr="00E85DDE" w14:paraId="1EB962A1"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8E05055"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Msr012</w:t>
                  </w:r>
                </w:p>
              </w:tc>
              <w:tc>
                <w:tcPr>
                  <w:tcW w:w="7484" w:type="dxa"/>
                  <w:tcBorders>
                    <w:top w:val="nil"/>
                    <w:left w:val="nil"/>
                    <w:bottom w:val="single" w:sz="4" w:space="0" w:color="auto"/>
                    <w:right w:val="single" w:sz="4" w:space="0" w:color="auto"/>
                  </w:tcBorders>
                  <w:shd w:val="clear" w:color="auto" w:fill="auto"/>
                  <w:vAlign w:val="center"/>
                  <w:hideMark/>
                </w:tcPr>
                <w:p w14:paraId="40768AD8" w14:textId="5FD512FF" w:rsidR="00E85DDE" w:rsidRPr="00E85DDE" w:rsidRDefault="00E85DDE" w:rsidP="00E85DDE">
                  <w:pPr>
                    <w:rPr>
                      <w:rFonts w:ascii="Calibri" w:hAnsi="Calibri" w:cs="Calibri"/>
                      <w:color w:val="000000"/>
                      <w:szCs w:val="22"/>
                    </w:rPr>
                  </w:pPr>
                  <w:r w:rsidRPr="00E85DDE">
                    <w:rPr>
                      <w:rFonts w:ascii="Calibri" w:hAnsi="Calibri" w:cs="Calibri"/>
                      <w:color w:val="000000"/>
                      <w:szCs w:val="22"/>
                    </w:rPr>
                    <w:t xml:space="preserve">Lighting - Interior LF </w:t>
                  </w:r>
                  <w:r w:rsidR="00921746" w:rsidRPr="00E85DDE">
                    <w:rPr>
                      <w:rFonts w:ascii="Calibri" w:hAnsi="Calibri" w:cs="Calibri"/>
                      <w:color w:val="000000"/>
                      <w:szCs w:val="22"/>
                    </w:rPr>
                    <w:t>Fixture</w:t>
                  </w:r>
                  <w:r w:rsidRPr="00E85DDE">
                    <w:rPr>
                      <w:rFonts w:ascii="Calibri" w:hAnsi="Calibri" w:cs="Calibri"/>
                      <w:color w:val="000000"/>
                      <w:szCs w:val="22"/>
                    </w:rPr>
                    <w:t xml:space="preserve"> 2x4 (10.6 watt/kilo-lumen/fixture); 67% LED Fixt, 33% TLED</w:t>
                  </w:r>
                </w:p>
              </w:tc>
            </w:tr>
            <w:tr w:rsidR="00E85DDE" w:rsidRPr="00E85DDE" w14:paraId="4F8D7DA6"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9096C04"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Msr013</w:t>
                  </w:r>
                </w:p>
              </w:tc>
              <w:tc>
                <w:tcPr>
                  <w:tcW w:w="7484" w:type="dxa"/>
                  <w:tcBorders>
                    <w:top w:val="nil"/>
                    <w:left w:val="nil"/>
                    <w:bottom w:val="single" w:sz="4" w:space="0" w:color="auto"/>
                    <w:right w:val="single" w:sz="4" w:space="0" w:color="auto"/>
                  </w:tcBorders>
                  <w:shd w:val="clear" w:color="auto" w:fill="auto"/>
                  <w:vAlign w:val="center"/>
                  <w:hideMark/>
                </w:tcPr>
                <w:p w14:paraId="0981B1C5" w14:textId="77777777" w:rsidR="00E85DDE" w:rsidRPr="00E85DDE" w:rsidRDefault="00E85DDE" w:rsidP="00E85DDE">
                  <w:pPr>
                    <w:rPr>
                      <w:rFonts w:ascii="Calibri" w:hAnsi="Calibri" w:cs="Calibri"/>
                      <w:color w:val="000000"/>
                      <w:szCs w:val="22"/>
                    </w:rPr>
                  </w:pPr>
                  <w:r w:rsidRPr="00E85DDE">
                    <w:rPr>
                      <w:rFonts w:ascii="Calibri" w:hAnsi="Calibri" w:cs="Calibri"/>
                      <w:color w:val="000000"/>
                      <w:szCs w:val="22"/>
                    </w:rPr>
                    <w:t>Lighting -Interior Ambient LF 2'; 67% LED Fixt, 33% TLED</w:t>
                  </w:r>
                </w:p>
              </w:tc>
            </w:tr>
            <w:tr w:rsidR="00E85DDE" w:rsidRPr="00E85DDE" w14:paraId="02575B1D"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21A3428"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Msr014</w:t>
                  </w:r>
                </w:p>
              </w:tc>
              <w:tc>
                <w:tcPr>
                  <w:tcW w:w="7484" w:type="dxa"/>
                  <w:tcBorders>
                    <w:top w:val="nil"/>
                    <w:left w:val="nil"/>
                    <w:bottom w:val="single" w:sz="4" w:space="0" w:color="auto"/>
                    <w:right w:val="single" w:sz="4" w:space="0" w:color="auto"/>
                  </w:tcBorders>
                  <w:shd w:val="clear" w:color="auto" w:fill="auto"/>
                  <w:vAlign w:val="center"/>
                  <w:hideMark/>
                </w:tcPr>
                <w:p w14:paraId="424F96C2" w14:textId="77777777" w:rsidR="00E85DDE" w:rsidRPr="00E85DDE" w:rsidRDefault="00E85DDE" w:rsidP="00E85DDE">
                  <w:pPr>
                    <w:rPr>
                      <w:rFonts w:ascii="Calibri" w:hAnsi="Calibri" w:cs="Calibri"/>
                      <w:color w:val="000000"/>
                      <w:szCs w:val="22"/>
                    </w:rPr>
                  </w:pPr>
                  <w:r w:rsidRPr="00E85DDE">
                    <w:rPr>
                      <w:rFonts w:ascii="Calibri" w:hAnsi="Calibri" w:cs="Calibri"/>
                      <w:color w:val="000000"/>
                      <w:szCs w:val="22"/>
                    </w:rPr>
                    <w:t>Lighting -Interior Ambient LF 2'; 67% LED Fixt, 33% TLED</w:t>
                  </w:r>
                </w:p>
              </w:tc>
            </w:tr>
            <w:tr w:rsidR="00E85DDE" w:rsidRPr="00E85DDE" w14:paraId="3AA21175"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C4F085A"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Msr015</w:t>
                  </w:r>
                </w:p>
              </w:tc>
              <w:tc>
                <w:tcPr>
                  <w:tcW w:w="7484" w:type="dxa"/>
                  <w:tcBorders>
                    <w:top w:val="nil"/>
                    <w:left w:val="nil"/>
                    <w:bottom w:val="single" w:sz="4" w:space="0" w:color="auto"/>
                    <w:right w:val="single" w:sz="4" w:space="0" w:color="auto"/>
                  </w:tcBorders>
                  <w:shd w:val="clear" w:color="auto" w:fill="auto"/>
                  <w:vAlign w:val="center"/>
                  <w:hideMark/>
                </w:tcPr>
                <w:p w14:paraId="2F0053F8" w14:textId="77777777" w:rsidR="00E85DDE" w:rsidRPr="00E85DDE" w:rsidRDefault="00E85DDE" w:rsidP="00E85DDE">
                  <w:pPr>
                    <w:rPr>
                      <w:rFonts w:ascii="Calibri" w:hAnsi="Calibri" w:cs="Calibri"/>
                      <w:color w:val="000000"/>
                      <w:szCs w:val="22"/>
                    </w:rPr>
                  </w:pPr>
                  <w:r w:rsidRPr="00E85DDE">
                    <w:rPr>
                      <w:rFonts w:ascii="Calibri" w:hAnsi="Calibri" w:cs="Calibri"/>
                      <w:color w:val="000000"/>
                      <w:szCs w:val="22"/>
                    </w:rPr>
                    <w:t>Lighting -Interior Ambient LF 4'; 67% LED Fixt, 33% TLED</w:t>
                  </w:r>
                </w:p>
              </w:tc>
            </w:tr>
            <w:tr w:rsidR="00E85DDE" w:rsidRPr="00E85DDE" w14:paraId="62854567"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6849077"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Msr016</w:t>
                  </w:r>
                </w:p>
              </w:tc>
              <w:tc>
                <w:tcPr>
                  <w:tcW w:w="7484" w:type="dxa"/>
                  <w:tcBorders>
                    <w:top w:val="nil"/>
                    <w:left w:val="nil"/>
                    <w:bottom w:val="single" w:sz="4" w:space="0" w:color="auto"/>
                    <w:right w:val="single" w:sz="4" w:space="0" w:color="auto"/>
                  </w:tcBorders>
                  <w:shd w:val="clear" w:color="auto" w:fill="auto"/>
                  <w:vAlign w:val="center"/>
                  <w:hideMark/>
                </w:tcPr>
                <w:p w14:paraId="56A712B3" w14:textId="77777777" w:rsidR="00E85DDE" w:rsidRPr="00E85DDE" w:rsidRDefault="00E85DDE" w:rsidP="00E85DDE">
                  <w:pPr>
                    <w:rPr>
                      <w:rFonts w:ascii="Calibri" w:hAnsi="Calibri" w:cs="Calibri"/>
                      <w:color w:val="000000"/>
                      <w:szCs w:val="22"/>
                    </w:rPr>
                  </w:pPr>
                  <w:r w:rsidRPr="00E85DDE">
                    <w:rPr>
                      <w:rFonts w:ascii="Calibri" w:hAnsi="Calibri" w:cs="Calibri"/>
                      <w:color w:val="000000"/>
                      <w:szCs w:val="22"/>
                    </w:rPr>
                    <w:t>Lighting -Interior Ambient LF 4'; 67% LED Fixt, 33% TLED</w:t>
                  </w:r>
                </w:p>
              </w:tc>
            </w:tr>
            <w:tr w:rsidR="00E85DDE" w:rsidRPr="00E85DDE" w14:paraId="76738545"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DC45B3C"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Msr017</w:t>
                  </w:r>
                </w:p>
              </w:tc>
              <w:tc>
                <w:tcPr>
                  <w:tcW w:w="7484" w:type="dxa"/>
                  <w:tcBorders>
                    <w:top w:val="nil"/>
                    <w:left w:val="nil"/>
                    <w:bottom w:val="single" w:sz="4" w:space="0" w:color="auto"/>
                    <w:right w:val="single" w:sz="4" w:space="0" w:color="auto"/>
                  </w:tcBorders>
                  <w:shd w:val="clear" w:color="auto" w:fill="auto"/>
                  <w:vAlign w:val="center"/>
                  <w:hideMark/>
                </w:tcPr>
                <w:p w14:paraId="60ECC5F7" w14:textId="77777777" w:rsidR="00E85DDE" w:rsidRPr="00E85DDE" w:rsidRDefault="00E85DDE" w:rsidP="00E85DDE">
                  <w:pPr>
                    <w:rPr>
                      <w:rFonts w:ascii="Calibri" w:hAnsi="Calibri" w:cs="Calibri"/>
                      <w:color w:val="000000"/>
                      <w:szCs w:val="22"/>
                    </w:rPr>
                  </w:pPr>
                  <w:r w:rsidRPr="00E85DDE">
                    <w:rPr>
                      <w:rFonts w:ascii="Calibri" w:hAnsi="Calibri" w:cs="Calibri"/>
                      <w:color w:val="000000"/>
                      <w:szCs w:val="22"/>
                    </w:rPr>
                    <w:t>Lighting -Interior Ambient LF 8'; 67% LED Fixt, 33% TLED</w:t>
                  </w:r>
                </w:p>
              </w:tc>
            </w:tr>
            <w:tr w:rsidR="00E85DDE" w:rsidRPr="00E85DDE" w14:paraId="367C41C3"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8CCA186"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Msr018</w:t>
                  </w:r>
                </w:p>
              </w:tc>
              <w:tc>
                <w:tcPr>
                  <w:tcW w:w="7484" w:type="dxa"/>
                  <w:tcBorders>
                    <w:top w:val="nil"/>
                    <w:left w:val="nil"/>
                    <w:bottom w:val="single" w:sz="4" w:space="0" w:color="auto"/>
                    <w:right w:val="single" w:sz="4" w:space="0" w:color="auto"/>
                  </w:tcBorders>
                  <w:shd w:val="clear" w:color="auto" w:fill="auto"/>
                  <w:vAlign w:val="center"/>
                  <w:hideMark/>
                </w:tcPr>
                <w:p w14:paraId="6D5D7C73" w14:textId="77777777" w:rsidR="00E85DDE" w:rsidRPr="00E85DDE" w:rsidRDefault="00E85DDE" w:rsidP="00E85DDE">
                  <w:pPr>
                    <w:rPr>
                      <w:rFonts w:ascii="Calibri" w:hAnsi="Calibri" w:cs="Calibri"/>
                      <w:color w:val="000000"/>
                      <w:szCs w:val="22"/>
                    </w:rPr>
                  </w:pPr>
                  <w:r w:rsidRPr="00E85DDE">
                    <w:rPr>
                      <w:rFonts w:ascii="Calibri" w:hAnsi="Calibri" w:cs="Calibri"/>
                      <w:color w:val="000000"/>
                      <w:szCs w:val="22"/>
                    </w:rPr>
                    <w:t>Lighting -Interior Ambient LF 8'; 67% LED Fixt, 33% TLED</w:t>
                  </w:r>
                </w:p>
              </w:tc>
            </w:tr>
            <w:tr w:rsidR="00E85DDE" w:rsidRPr="00E85DDE" w14:paraId="04F9BAAD"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57F3A497"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Msr019</w:t>
                  </w:r>
                </w:p>
              </w:tc>
              <w:tc>
                <w:tcPr>
                  <w:tcW w:w="7484" w:type="dxa"/>
                  <w:tcBorders>
                    <w:top w:val="nil"/>
                    <w:left w:val="nil"/>
                    <w:bottom w:val="single" w:sz="4" w:space="0" w:color="auto"/>
                    <w:right w:val="single" w:sz="4" w:space="0" w:color="auto"/>
                  </w:tcBorders>
                  <w:shd w:val="clear" w:color="auto" w:fill="auto"/>
                  <w:vAlign w:val="center"/>
                  <w:hideMark/>
                </w:tcPr>
                <w:p w14:paraId="38FE0B06" w14:textId="77777777" w:rsidR="00E85DDE" w:rsidRPr="00E85DDE" w:rsidRDefault="00E85DDE" w:rsidP="00E85DDE">
                  <w:pPr>
                    <w:rPr>
                      <w:rFonts w:ascii="Calibri" w:hAnsi="Calibri" w:cs="Calibri"/>
                      <w:color w:val="000000"/>
                      <w:szCs w:val="22"/>
                    </w:rPr>
                  </w:pPr>
                  <w:r w:rsidRPr="00E85DDE">
                    <w:rPr>
                      <w:rFonts w:ascii="Calibri" w:hAnsi="Calibri" w:cs="Calibri"/>
                      <w:color w:val="000000"/>
                      <w:szCs w:val="22"/>
                    </w:rPr>
                    <w:t>Lighting -Interior Ambient LF 2'; 67% LED Fixt, 33% TLED</w:t>
                  </w:r>
                </w:p>
              </w:tc>
            </w:tr>
            <w:tr w:rsidR="00E85DDE" w:rsidRPr="00E85DDE" w14:paraId="7A1EB302"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B7B3BFC"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Msr020</w:t>
                  </w:r>
                </w:p>
              </w:tc>
              <w:tc>
                <w:tcPr>
                  <w:tcW w:w="7484" w:type="dxa"/>
                  <w:tcBorders>
                    <w:top w:val="nil"/>
                    <w:left w:val="nil"/>
                    <w:bottom w:val="single" w:sz="4" w:space="0" w:color="auto"/>
                    <w:right w:val="single" w:sz="4" w:space="0" w:color="auto"/>
                  </w:tcBorders>
                  <w:shd w:val="clear" w:color="auto" w:fill="auto"/>
                  <w:vAlign w:val="center"/>
                  <w:hideMark/>
                </w:tcPr>
                <w:p w14:paraId="41B93B24" w14:textId="77777777" w:rsidR="00E85DDE" w:rsidRPr="00E85DDE" w:rsidRDefault="00E85DDE" w:rsidP="00E85DDE">
                  <w:pPr>
                    <w:rPr>
                      <w:rFonts w:ascii="Calibri" w:hAnsi="Calibri" w:cs="Calibri"/>
                      <w:color w:val="000000"/>
                      <w:szCs w:val="22"/>
                    </w:rPr>
                  </w:pPr>
                  <w:r w:rsidRPr="00E85DDE">
                    <w:rPr>
                      <w:rFonts w:ascii="Calibri" w:hAnsi="Calibri" w:cs="Calibri"/>
                      <w:color w:val="000000"/>
                      <w:szCs w:val="22"/>
                    </w:rPr>
                    <w:t>Lighting -Interior Ambient LF 2'; 67% LED Fixt, 33% TLED</w:t>
                  </w:r>
                </w:p>
              </w:tc>
            </w:tr>
            <w:tr w:rsidR="00E85DDE" w:rsidRPr="00E85DDE" w14:paraId="6DA246B8"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6C65941"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Msr021</w:t>
                  </w:r>
                </w:p>
              </w:tc>
              <w:tc>
                <w:tcPr>
                  <w:tcW w:w="7484" w:type="dxa"/>
                  <w:tcBorders>
                    <w:top w:val="nil"/>
                    <w:left w:val="nil"/>
                    <w:bottom w:val="single" w:sz="4" w:space="0" w:color="auto"/>
                    <w:right w:val="single" w:sz="4" w:space="0" w:color="auto"/>
                  </w:tcBorders>
                  <w:shd w:val="clear" w:color="auto" w:fill="auto"/>
                  <w:vAlign w:val="center"/>
                  <w:hideMark/>
                </w:tcPr>
                <w:p w14:paraId="025ABA1B" w14:textId="77777777" w:rsidR="00E85DDE" w:rsidRPr="00E85DDE" w:rsidRDefault="00E85DDE" w:rsidP="00E85DDE">
                  <w:pPr>
                    <w:rPr>
                      <w:rFonts w:ascii="Calibri" w:hAnsi="Calibri" w:cs="Calibri"/>
                      <w:color w:val="000000"/>
                      <w:szCs w:val="22"/>
                    </w:rPr>
                  </w:pPr>
                  <w:r w:rsidRPr="00E85DDE">
                    <w:rPr>
                      <w:rFonts w:ascii="Calibri" w:hAnsi="Calibri" w:cs="Calibri"/>
                      <w:color w:val="000000"/>
                      <w:szCs w:val="22"/>
                    </w:rPr>
                    <w:t>Lighting -Interior Ambient LF 4'; 67% LED Fixt, 33% TLED</w:t>
                  </w:r>
                </w:p>
              </w:tc>
            </w:tr>
            <w:tr w:rsidR="00E85DDE" w:rsidRPr="00E85DDE" w14:paraId="676F25BB"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57FE16F"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Msr022</w:t>
                  </w:r>
                </w:p>
              </w:tc>
              <w:tc>
                <w:tcPr>
                  <w:tcW w:w="7484" w:type="dxa"/>
                  <w:tcBorders>
                    <w:top w:val="nil"/>
                    <w:left w:val="nil"/>
                    <w:bottom w:val="single" w:sz="4" w:space="0" w:color="auto"/>
                    <w:right w:val="single" w:sz="4" w:space="0" w:color="auto"/>
                  </w:tcBorders>
                  <w:shd w:val="clear" w:color="auto" w:fill="auto"/>
                  <w:vAlign w:val="center"/>
                  <w:hideMark/>
                </w:tcPr>
                <w:p w14:paraId="15F8089D" w14:textId="77777777" w:rsidR="00E85DDE" w:rsidRPr="00E85DDE" w:rsidRDefault="00E85DDE" w:rsidP="00E85DDE">
                  <w:pPr>
                    <w:rPr>
                      <w:rFonts w:ascii="Calibri" w:hAnsi="Calibri" w:cs="Calibri"/>
                      <w:color w:val="000000"/>
                      <w:szCs w:val="22"/>
                    </w:rPr>
                  </w:pPr>
                  <w:r w:rsidRPr="00E85DDE">
                    <w:rPr>
                      <w:rFonts w:ascii="Calibri" w:hAnsi="Calibri" w:cs="Calibri"/>
                      <w:color w:val="000000"/>
                      <w:szCs w:val="22"/>
                    </w:rPr>
                    <w:t>Lighting -Interior Ambient LF 4'; 67% LED Fixt, 33% TLED</w:t>
                  </w:r>
                </w:p>
              </w:tc>
            </w:tr>
            <w:tr w:rsidR="00E85DDE" w:rsidRPr="00E85DDE" w14:paraId="5219B8E0"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E0767B4"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lastRenderedPageBreak/>
                    <w:t>Msr023</w:t>
                  </w:r>
                </w:p>
              </w:tc>
              <w:tc>
                <w:tcPr>
                  <w:tcW w:w="7484" w:type="dxa"/>
                  <w:tcBorders>
                    <w:top w:val="nil"/>
                    <w:left w:val="nil"/>
                    <w:bottom w:val="single" w:sz="4" w:space="0" w:color="auto"/>
                    <w:right w:val="single" w:sz="4" w:space="0" w:color="auto"/>
                  </w:tcBorders>
                  <w:shd w:val="clear" w:color="auto" w:fill="auto"/>
                  <w:vAlign w:val="center"/>
                  <w:hideMark/>
                </w:tcPr>
                <w:p w14:paraId="6D222606" w14:textId="77777777" w:rsidR="00E85DDE" w:rsidRPr="00E85DDE" w:rsidRDefault="00E85DDE" w:rsidP="00E85DDE">
                  <w:pPr>
                    <w:rPr>
                      <w:rFonts w:ascii="Calibri" w:hAnsi="Calibri" w:cs="Calibri"/>
                      <w:color w:val="000000"/>
                      <w:szCs w:val="22"/>
                    </w:rPr>
                  </w:pPr>
                  <w:r w:rsidRPr="00E85DDE">
                    <w:rPr>
                      <w:rFonts w:ascii="Calibri" w:hAnsi="Calibri" w:cs="Calibri"/>
                      <w:color w:val="000000"/>
                      <w:szCs w:val="22"/>
                    </w:rPr>
                    <w:t>Lighting -Interior Ambient LF 8'; 67% LED Fixt, 33% TLED</w:t>
                  </w:r>
                </w:p>
              </w:tc>
            </w:tr>
            <w:tr w:rsidR="00E85DDE" w:rsidRPr="00E85DDE" w14:paraId="7E898791"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FD65D97"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Msr024</w:t>
                  </w:r>
                </w:p>
              </w:tc>
              <w:tc>
                <w:tcPr>
                  <w:tcW w:w="7484" w:type="dxa"/>
                  <w:tcBorders>
                    <w:top w:val="nil"/>
                    <w:left w:val="nil"/>
                    <w:bottom w:val="single" w:sz="4" w:space="0" w:color="auto"/>
                    <w:right w:val="single" w:sz="4" w:space="0" w:color="auto"/>
                  </w:tcBorders>
                  <w:shd w:val="clear" w:color="auto" w:fill="auto"/>
                  <w:vAlign w:val="center"/>
                  <w:hideMark/>
                </w:tcPr>
                <w:p w14:paraId="1DD13922" w14:textId="77777777" w:rsidR="00E85DDE" w:rsidRPr="00E85DDE" w:rsidRDefault="00E85DDE" w:rsidP="00E85DDE">
                  <w:pPr>
                    <w:rPr>
                      <w:rFonts w:ascii="Calibri" w:hAnsi="Calibri" w:cs="Calibri"/>
                      <w:color w:val="000000"/>
                      <w:szCs w:val="22"/>
                    </w:rPr>
                  </w:pPr>
                  <w:r w:rsidRPr="00E85DDE">
                    <w:rPr>
                      <w:rFonts w:ascii="Calibri" w:hAnsi="Calibri" w:cs="Calibri"/>
                      <w:color w:val="000000"/>
                      <w:szCs w:val="22"/>
                    </w:rPr>
                    <w:t>Lighting -Interior Ambient LF 8'; 67% LED Fixt, 33% TLED</w:t>
                  </w:r>
                </w:p>
              </w:tc>
            </w:tr>
            <w:tr w:rsidR="00E85DDE" w:rsidRPr="00E85DDE" w14:paraId="03129212"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D22CB0B"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Msr025</w:t>
                  </w:r>
                </w:p>
              </w:tc>
              <w:tc>
                <w:tcPr>
                  <w:tcW w:w="7484" w:type="dxa"/>
                  <w:tcBorders>
                    <w:top w:val="nil"/>
                    <w:left w:val="nil"/>
                    <w:bottom w:val="single" w:sz="4" w:space="0" w:color="auto"/>
                    <w:right w:val="single" w:sz="4" w:space="0" w:color="auto"/>
                  </w:tcBorders>
                  <w:shd w:val="clear" w:color="auto" w:fill="auto"/>
                  <w:vAlign w:val="center"/>
                  <w:hideMark/>
                </w:tcPr>
                <w:p w14:paraId="3AD4717D" w14:textId="1A8B664C" w:rsidR="00E85DDE" w:rsidRPr="00E85DDE" w:rsidRDefault="00E85DDE" w:rsidP="00E85DDE">
                  <w:pPr>
                    <w:rPr>
                      <w:rFonts w:ascii="Calibri" w:hAnsi="Calibri" w:cs="Calibri"/>
                      <w:color w:val="000000"/>
                      <w:szCs w:val="22"/>
                    </w:rPr>
                  </w:pPr>
                  <w:r w:rsidRPr="00E85DDE">
                    <w:rPr>
                      <w:rFonts w:ascii="Calibri" w:hAnsi="Calibri" w:cs="Calibri"/>
                      <w:color w:val="000000"/>
                      <w:szCs w:val="22"/>
                    </w:rPr>
                    <w:t xml:space="preserve">Lighting - Interior LF </w:t>
                  </w:r>
                  <w:r w:rsidR="00921746" w:rsidRPr="00E85DDE">
                    <w:rPr>
                      <w:rFonts w:ascii="Calibri" w:hAnsi="Calibri" w:cs="Calibri"/>
                      <w:color w:val="000000"/>
                      <w:szCs w:val="22"/>
                    </w:rPr>
                    <w:t>Fixture</w:t>
                  </w:r>
                  <w:r w:rsidRPr="00E85DDE">
                    <w:rPr>
                      <w:rFonts w:ascii="Calibri" w:hAnsi="Calibri" w:cs="Calibri"/>
                      <w:color w:val="000000"/>
                      <w:szCs w:val="22"/>
                    </w:rPr>
                    <w:t xml:space="preserve"> 1x4 (10.6 watt/kilo-lumen/fixture); 67% LED Fixt, 33% TLED</w:t>
                  </w:r>
                </w:p>
              </w:tc>
            </w:tr>
            <w:tr w:rsidR="00E85DDE" w:rsidRPr="00E85DDE" w14:paraId="66A8D20E"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A7A5EDA"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Msr026</w:t>
                  </w:r>
                </w:p>
              </w:tc>
              <w:tc>
                <w:tcPr>
                  <w:tcW w:w="7484" w:type="dxa"/>
                  <w:tcBorders>
                    <w:top w:val="nil"/>
                    <w:left w:val="nil"/>
                    <w:bottom w:val="single" w:sz="4" w:space="0" w:color="auto"/>
                    <w:right w:val="single" w:sz="4" w:space="0" w:color="auto"/>
                  </w:tcBorders>
                  <w:shd w:val="clear" w:color="auto" w:fill="auto"/>
                  <w:vAlign w:val="center"/>
                  <w:hideMark/>
                </w:tcPr>
                <w:p w14:paraId="4395D8BE" w14:textId="1032784F" w:rsidR="00E85DDE" w:rsidRPr="00E85DDE" w:rsidRDefault="00E85DDE" w:rsidP="00E85DDE">
                  <w:pPr>
                    <w:rPr>
                      <w:rFonts w:ascii="Calibri" w:hAnsi="Calibri" w:cs="Calibri"/>
                      <w:color w:val="000000"/>
                      <w:szCs w:val="22"/>
                    </w:rPr>
                  </w:pPr>
                  <w:r w:rsidRPr="00E85DDE">
                    <w:rPr>
                      <w:rFonts w:ascii="Calibri" w:hAnsi="Calibri" w:cs="Calibri"/>
                      <w:color w:val="000000"/>
                      <w:szCs w:val="22"/>
                    </w:rPr>
                    <w:t xml:space="preserve">Lighting - Interior LF </w:t>
                  </w:r>
                  <w:r w:rsidR="00921746" w:rsidRPr="00E85DDE">
                    <w:rPr>
                      <w:rFonts w:ascii="Calibri" w:hAnsi="Calibri" w:cs="Calibri"/>
                      <w:color w:val="000000"/>
                      <w:szCs w:val="22"/>
                    </w:rPr>
                    <w:t>Fixture</w:t>
                  </w:r>
                  <w:r w:rsidRPr="00E85DDE">
                    <w:rPr>
                      <w:rFonts w:ascii="Calibri" w:hAnsi="Calibri" w:cs="Calibri"/>
                      <w:color w:val="000000"/>
                      <w:szCs w:val="22"/>
                    </w:rPr>
                    <w:t xml:space="preserve"> 2x2 (10.6 watt/kilo-lumen/fixture); 67% LED Fixt, 33% TLED</w:t>
                  </w:r>
                </w:p>
              </w:tc>
            </w:tr>
            <w:tr w:rsidR="00E85DDE" w:rsidRPr="00E85DDE" w14:paraId="02BAED76"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58F458A"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Msr027</w:t>
                  </w:r>
                </w:p>
              </w:tc>
              <w:tc>
                <w:tcPr>
                  <w:tcW w:w="7484" w:type="dxa"/>
                  <w:tcBorders>
                    <w:top w:val="nil"/>
                    <w:left w:val="nil"/>
                    <w:bottom w:val="single" w:sz="4" w:space="0" w:color="auto"/>
                    <w:right w:val="single" w:sz="4" w:space="0" w:color="auto"/>
                  </w:tcBorders>
                  <w:shd w:val="clear" w:color="auto" w:fill="auto"/>
                  <w:vAlign w:val="center"/>
                  <w:hideMark/>
                </w:tcPr>
                <w:p w14:paraId="146BB2E6" w14:textId="3375F977" w:rsidR="00E85DDE" w:rsidRPr="00E85DDE" w:rsidRDefault="00E85DDE" w:rsidP="00E85DDE">
                  <w:pPr>
                    <w:rPr>
                      <w:rFonts w:ascii="Calibri" w:hAnsi="Calibri" w:cs="Calibri"/>
                      <w:color w:val="000000"/>
                      <w:szCs w:val="22"/>
                    </w:rPr>
                  </w:pPr>
                  <w:r w:rsidRPr="00E85DDE">
                    <w:rPr>
                      <w:rFonts w:ascii="Calibri" w:hAnsi="Calibri" w:cs="Calibri"/>
                      <w:color w:val="000000"/>
                      <w:szCs w:val="22"/>
                    </w:rPr>
                    <w:t xml:space="preserve">Lighting - Interior LF </w:t>
                  </w:r>
                  <w:r w:rsidR="00921746" w:rsidRPr="00E85DDE">
                    <w:rPr>
                      <w:rFonts w:ascii="Calibri" w:hAnsi="Calibri" w:cs="Calibri"/>
                      <w:color w:val="000000"/>
                      <w:szCs w:val="22"/>
                    </w:rPr>
                    <w:t>Fixture</w:t>
                  </w:r>
                  <w:r w:rsidRPr="00E85DDE">
                    <w:rPr>
                      <w:rFonts w:ascii="Calibri" w:hAnsi="Calibri" w:cs="Calibri"/>
                      <w:color w:val="000000"/>
                      <w:szCs w:val="22"/>
                    </w:rPr>
                    <w:t xml:space="preserve"> 2x4 (10.6 watt/kilo-lumen/fixture); 67% LED Fixt, 33% TLED</w:t>
                  </w:r>
                </w:p>
              </w:tc>
            </w:tr>
            <w:tr w:rsidR="00E85DDE" w:rsidRPr="00E85DDE" w14:paraId="0307DDDE"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58347B6B"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Msr028</w:t>
                  </w:r>
                </w:p>
              </w:tc>
              <w:tc>
                <w:tcPr>
                  <w:tcW w:w="7484" w:type="dxa"/>
                  <w:tcBorders>
                    <w:top w:val="nil"/>
                    <w:left w:val="nil"/>
                    <w:bottom w:val="single" w:sz="4" w:space="0" w:color="auto"/>
                    <w:right w:val="single" w:sz="4" w:space="0" w:color="auto"/>
                  </w:tcBorders>
                  <w:shd w:val="clear" w:color="auto" w:fill="auto"/>
                  <w:vAlign w:val="center"/>
                  <w:hideMark/>
                </w:tcPr>
                <w:p w14:paraId="706F9083" w14:textId="0E1B02A5" w:rsidR="00E85DDE" w:rsidRPr="00E85DDE" w:rsidRDefault="00E85DDE" w:rsidP="00E85DDE">
                  <w:pPr>
                    <w:rPr>
                      <w:rFonts w:ascii="Calibri" w:hAnsi="Calibri" w:cs="Calibri"/>
                      <w:color w:val="000000"/>
                      <w:szCs w:val="22"/>
                    </w:rPr>
                  </w:pPr>
                  <w:r w:rsidRPr="00E85DDE">
                    <w:rPr>
                      <w:rFonts w:ascii="Calibri" w:hAnsi="Calibri" w:cs="Calibri"/>
                      <w:color w:val="000000"/>
                      <w:szCs w:val="22"/>
                    </w:rPr>
                    <w:t xml:space="preserve">Lighting - Interior LF </w:t>
                  </w:r>
                  <w:r w:rsidR="00921746" w:rsidRPr="00E85DDE">
                    <w:rPr>
                      <w:rFonts w:ascii="Calibri" w:hAnsi="Calibri" w:cs="Calibri"/>
                      <w:color w:val="000000"/>
                      <w:szCs w:val="22"/>
                    </w:rPr>
                    <w:t>Fixture</w:t>
                  </w:r>
                  <w:r w:rsidRPr="00E85DDE">
                    <w:rPr>
                      <w:rFonts w:ascii="Calibri" w:hAnsi="Calibri" w:cs="Calibri"/>
                      <w:color w:val="000000"/>
                      <w:szCs w:val="22"/>
                    </w:rPr>
                    <w:t xml:space="preserve"> 1x4 (10.6 watt/kilo-lumen/fixture); 67% LED Fixt, 33% TLED</w:t>
                  </w:r>
                </w:p>
              </w:tc>
            </w:tr>
            <w:tr w:rsidR="00E85DDE" w:rsidRPr="00E85DDE" w14:paraId="6987B785"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5FD72CE4"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Msr029</w:t>
                  </w:r>
                </w:p>
              </w:tc>
              <w:tc>
                <w:tcPr>
                  <w:tcW w:w="7484" w:type="dxa"/>
                  <w:tcBorders>
                    <w:top w:val="nil"/>
                    <w:left w:val="nil"/>
                    <w:bottom w:val="single" w:sz="4" w:space="0" w:color="auto"/>
                    <w:right w:val="single" w:sz="4" w:space="0" w:color="auto"/>
                  </w:tcBorders>
                  <w:shd w:val="clear" w:color="auto" w:fill="auto"/>
                  <w:vAlign w:val="center"/>
                  <w:hideMark/>
                </w:tcPr>
                <w:p w14:paraId="5CE21D37" w14:textId="5E47320C" w:rsidR="00E85DDE" w:rsidRPr="00E85DDE" w:rsidRDefault="00E85DDE" w:rsidP="00E85DDE">
                  <w:pPr>
                    <w:rPr>
                      <w:rFonts w:ascii="Calibri" w:hAnsi="Calibri" w:cs="Calibri"/>
                      <w:color w:val="000000"/>
                      <w:szCs w:val="22"/>
                    </w:rPr>
                  </w:pPr>
                  <w:r w:rsidRPr="00E85DDE">
                    <w:rPr>
                      <w:rFonts w:ascii="Calibri" w:hAnsi="Calibri" w:cs="Calibri"/>
                      <w:color w:val="000000"/>
                      <w:szCs w:val="22"/>
                    </w:rPr>
                    <w:t xml:space="preserve">Lighting - Interior LF </w:t>
                  </w:r>
                  <w:r w:rsidR="00921746" w:rsidRPr="00E85DDE">
                    <w:rPr>
                      <w:rFonts w:ascii="Calibri" w:hAnsi="Calibri" w:cs="Calibri"/>
                      <w:color w:val="000000"/>
                      <w:szCs w:val="22"/>
                    </w:rPr>
                    <w:t>Fixture</w:t>
                  </w:r>
                  <w:r w:rsidRPr="00E85DDE">
                    <w:rPr>
                      <w:rFonts w:ascii="Calibri" w:hAnsi="Calibri" w:cs="Calibri"/>
                      <w:color w:val="000000"/>
                      <w:szCs w:val="22"/>
                    </w:rPr>
                    <w:t xml:space="preserve"> 2x2 (10.6 watt/kilo-lumen/fixture); 67% LED Fixt, 33% TLED</w:t>
                  </w:r>
                </w:p>
              </w:tc>
            </w:tr>
            <w:tr w:rsidR="00E85DDE" w:rsidRPr="00E85DDE" w14:paraId="27E05D24"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69862C7"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Msr030</w:t>
                  </w:r>
                </w:p>
              </w:tc>
              <w:tc>
                <w:tcPr>
                  <w:tcW w:w="7484" w:type="dxa"/>
                  <w:tcBorders>
                    <w:top w:val="nil"/>
                    <w:left w:val="nil"/>
                    <w:bottom w:val="single" w:sz="4" w:space="0" w:color="auto"/>
                    <w:right w:val="single" w:sz="4" w:space="0" w:color="auto"/>
                  </w:tcBorders>
                  <w:shd w:val="clear" w:color="auto" w:fill="auto"/>
                  <w:vAlign w:val="center"/>
                  <w:hideMark/>
                </w:tcPr>
                <w:p w14:paraId="6F1230A0" w14:textId="6EDE46BA" w:rsidR="00E85DDE" w:rsidRPr="00E85DDE" w:rsidRDefault="00E85DDE" w:rsidP="00E85DDE">
                  <w:pPr>
                    <w:rPr>
                      <w:rFonts w:ascii="Calibri" w:hAnsi="Calibri" w:cs="Calibri"/>
                      <w:color w:val="000000"/>
                      <w:szCs w:val="22"/>
                    </w:rPr>
                  </w:pPr>
                  <w:r w:rsidRPr="00E85DDE">
                    <w:rPr>
                      <w:rFonts w:ascii="Calibri" w:hAnsi="Calibri" w:cs="Calibri"/>
                      <w:color w:val="000000"/>
                      <w:szCs w:val="22"/>
                    </w:rPr>
                    <w:t xml:space="preserve">Lighting - Interior LF </w:t>
                  </w:r>
                  <w:r w:rsidR="00921746" w:rsidRPr="00E85DDE">
                    <w:rPr>
                      <w:rFonts w:ascii="Calibri" w:hAnsi="Calibri" w:cs="Calibri"/>
                      <w:color w:val="000000"/>
                      <w:szCs w:val="22"/>
                    </w:rPr>
                    <w:t>Fixture</w:t>
                  </w:r>
                  <w:r w:rsidRPr="00E85DDE">
                    <w:rPr>
                      <w:rFonts w:ascii="Calibri" w:hAnsi="Calibri" w:cs="Calibri"/>
                      <w:color w:val="000000"/>
                      <w:szCs w:val="22"/>
                    </w:rPr>
                    <w:t xml:space="preserve"> 2x4 (10.6 watt/kilo-lumen/fixture); 67% LED Fixt, 33% TLED</w:t>
                  </w:r>
                </w:p>
              </w:tc>
            </w:tr>
            <w:tr w:rsidR="00E85DDE" w:rsidRPr="00E85DDE" w14:paraId="2DAC3572"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5620106"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Msr031</w:t>
                  </w:r>
                </w:p>
              </w:tc>
              <w:tc>
                <w:tcPr>
                  <w:tcW w:w="7484" w:type="dxa"/>
                  <w:tcBorders>
                    <w:top w:val="nil"/>
                    <w:left w:val="nil"/>
                    <w:bottom w:val="single" w:sz="4" w:space="0" w:color="auto"/>
                    <w:right w:val="single" w:sz="4" w:space="0" w:color="auto"/>
                  </w:tcBorders>
                  <w:shd w:val="clear" w:color="auto" w:fill="auto"/>
                  <w:vAlign w:val="center"/>
                  <w:hideMark/>
                </w:tcPr>
                <w:p w14:paraId="7BCE1FF0" w14:textId="77777777" w:rsidR="00E85DDE" w:rsidRPr="00E85DDE" w:rsidRDefault="00E85DDE" w:rsidP="00E85DDE">
                  <w:pPr>
                    <w:rPr>
                      <w:rFonts w:ascii="Calibri" w:hAnsi="Calibri" w:cs="Calibri"/>
                      <w:color w:val="000000"/>
                      <w:szCs w:val="22"/>
                    </w:rPr>
                  </w:pPr>
                  <w:r w:rsidRPr="00E85DDE">
                    <w:rPr>
                      <w:rFonts w:ascii="Calibri" w:hAnsi="Calibri" w:cs="Calibri"/>
                      <w:color w:val="000000"/>
                      <w:szCs w:val="22"/>
                    </w:rPr>
                    <w:t>Lighting -Interior Ambient LF 2'; 67% LED Fixt, 33% TLED</w:t>
                  </w:r>
                </w:p>
              </w:tc>
            </w:tr>
            <w:tr w:rsidR="00E85DDE" w:rsidRPr="00E85DDE" w14:paraId="2D2E3C10"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28B289C"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Msr032</w:t>
                  </w:r>
                </w:p>
              </w:tc>
              <w:tc>
                <w:tcPr>
                  <w:tcW w:w="7484" w:type="dxa"/>
                  <w:tcBorders>
                    <w:top w:val="nil"/>
                    <w:left w:val="nil"/>
                    <w:bottom w:val="single" w:sz="4" w:space="0" w:color="auto"/>
                    <w:right w:val="single" w:sz="4" w:space="0" w:color="auto"/>
                  </w:tcBorders>
                  <w:shd w:val="clear" w:color="auto" w:fill="auto"/>
                  <w:vAlign w:val="center"/>
                  <w:hideMark/>
                </w:tcPr>
                <w:p w14:paraId="6FA1CC79" w14:textId="77777777" w:rsidR="00E85DDE" w:rsidRPr="00E85DDE" w:rsidRDefault="00E85DDE" w:rsidP="00E85DDE">
                  <w:pPr>
                    <w:rPr>
                      <w:rFonts w:ascii="Calibri" w:hAnsi="Calibri" w:cs="Calibri"/>
                      <w:color w:val="000000"/>
                      <w:szCs w:val="22"/>
                    </w:rPr>
                  </w:pPr>
                  <w:r w:rsidRPr="00E85DDE">
                    <w:rPr>
                      <w:rFonts w:ascii="Calibri" w:hAnsi="Calibri" w:cs="Calibri"/>
                      <w:color w:val="000000"/>
                      <w:szCs w:val="22"/>
                    </w:rPr>
                    <w:t>Lighting -Interior Ambient LF 4'; 67% LED Fixt, 33% TLED</w:t>
                  </w:r>
                </w:p>
              </w:tc>
            </w:tr>
            <w:tr w:rsidR="00E85DDE" w:rsidRPr="00E85DDE" w14:paraId="125D1E9E"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1C30043"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Msr033</w:t>
                  </w:r>
                </w:p>
              </w:tc>
              <w:tc>
                <w:tcPr>
                  <w:tcW w:w="7484" w:type="dxa"/>
                  <w:tcBorders>
                    <w:top w:val="nil"/>
                    <w:left w:val="nil"/>
                    <w:bottom w:val="single" w:sz="4" w:space="0" w:color="auto"/>
                    <w:right w:val="single" w:sz="4" w:space="0" w:color="auto"/>
                  </w:tcBorders>
                  <w:shd w:val="clear" w:color="auto" w:fill="auto"/>
                  <w:vAlign w:val="center"/>
                  <w:hideMark/>
                </w:tcPr>
                <w:p w14:paraId="10EDEB00" w14:textId="77777777" w:rsidR="00E85DDE" w:rsidRPr="00E85DDE" w:rsidRDefault="00E85DDE" w:rsidP="00E85DDE">
                  <w:pPr>
                    <w:rPr>
                      <w:rFonts w:ascii="Calibri" w:hAnsi="Calibri" w:cs="Calibri"/>
                      <w:color w:val="000000"/>
                      <w:szCs w:val="22"/>
                    </w:rPr>
                  </w:pPr>
                  <w:r w:rsidRPr="00E85DDE">
                    <w:rPr>
                      <w:rFonts w:ascii="Calibri" w:hAnsi="Calibri" w:cs="Calibri"/>
                      <w:color w:val="000000"/>
                      <w:szCs w:val="22"/>
                    </w:rPr>
                    <w:t>Lighting -Interior Ambient LF 8'; 67% LED Fixt, 33% TLED</w:t>
                  </w:r>
                </w:p>
              </w:tc>
            </w:tr>
            <w:tr w:rsidR="00E85DDE" w:rsidRPr="00E85DDE" w14:paraId="7146A8D4"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96C4F0B"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Msr034</w:t>
                  </w:r>
                </w:p>
              </w:tc>
              <w:tc>
                <w:tcPr>
                  <w:tcW w:w="7484" w:type="dxa"/>
                  <w:tcBorders>
                    <w:top w:val="nil"/>
                    <w:left w:val="nil"/>
                    <w:bottom w:val="single" w:sz="4" w:space="0" w:color="auto"/>
                    <w:right w:val="single" w:sz="4" w:space="0" w:color="auto"/>
                  </w:tcBorders>
                  <w:shd w:val="clear" w:color="auto" w:fill="auto"/>
                  <w:vAlign w:val="center"/>
                  <w:hideMark/>
                </w:tcPr>
                <w:p w14:paraId="6B2122F3" w14:textId="77777777" w:rsidR="00E85DDE" w:rsidRPr="00E85DDE" w:rsidRDefault="00E85DDE" w:rsidP="00E85DDE">
                  <w:pPr>
                    <w:rPr>
                      <w:rFonts w:ascii="Calibri" w:hAnsi="Calibri" w:cs="Calibri"/>
                      <w:color w:val="000000"/>
                      <w:szCs w:val="22"/>
                    </w:rPr>
                  </w:pPr>
                  <w:r w:rsidRPr="00E85DDE">
                    <w:rPr>
                      <w:rFonts w:ascii="Calibri" w:hAnsi="Calibri" w:cs="Calibri"/>
                      <w:color w:val="000000"/>
                      <w:szCs w:val="22"/>
                    </w:rPr>
                    <w:t>Lighting -Interior Ambient LF 2'; 67% LED Fixt, 33% TLED</w:t>
                  </w:r>
                </w:p>
              </w:tc>
            </w:tr>
            <w:tr w:rsidR="00E85DDE" w:rsidRPr="00E85DDE" w14:paraId="270042D6"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EC7C43A"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Msr035</w:t>
                  </w:r>
                </w:p>
              </w:tc>
              <w:tc>
                <w:tcPr>
                  <w:tcW w:w="7484" w:type="dxa"/>
                  <w:tcBorders>
                    <w:top w:val="nil"/>
                    <w:left w:val="nil"/>
                    <w:bottom w:val="single" w:sz="4" w:space="0" w:color="auto"/>
                    <w:right w:val="single" w:sz="4" w:space="0" w:color="auto"/>
                  </w:tcBorders>
                  <w:shd w:val="clear" w:color="auto" w:fill="auto"/>
                  <w:vAlign w:val="center"/>
                  <w:hideMark/>
                </w:tcPr>
                <w:p w14:paraId="10BFBE9D" w14:textId="77777777" w:rsidR="00E85DDE" w:rsidRPr="00E85DDE" w:rsidRDefault="00E85DDE" w:rsidP="00E85DDE">
                  <w:pPr>
                    <w:rPr>
                      <w:rFonts w:ascii="Calibri" w:hAnsi="Calibri" w:cs="Calibri"/>
                      <w:color w:val="000000"/>
                      <w:szCs w:val="22"/>
                    </w:rPr>
                  </w:pPr>
                  <w:r w:rsidRPr="00E85DDE">
                    <w:rPr>
                      <w:rFonts w:ascii="Calibri" w:hAnsi="Calibri" w:cs="Calibri"/>
                      <w:color w:val="000000"/>
                      <w:szCs w:val="22"/>
                    </w:rPr>
                    <w:t>Lighting -Interior Ambient LF 4'; 67% LED Fixt, 33% TLED</w:t>
                  </w:r>
                </w:p>
              </w:tc>
            </w:tr>
            <w:tr w:rsidR="00E85DDE" w:rsidRPr="00E85DDE" w14:paraId="01CB8C73"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5010CF40"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Msr036</w:t>
                  </w:r>
                </w:p>
              </w:tc>
              <w:tc>
                <w:tcPr>
                  <w:tcW w:w="7484" w:type="dxa"/>
                  <w:tcBorders>
                    <w:top w:val="nil"/>
                    <w:left w:val="nil"/>
                    <w:bottom w:val="single" w:sz="4" w:space="0" w:color="auto"/>
                    <w:right w:val="single" w:sz="4" w:space="0" w:color="auto"/>
                  </w:tcBorders>
                  <w:shd w:val="clear" w:color="auto" w:fill="auto"/>
                  <w:vAlign w:val="center"/>
                  <w:hideMark/>
                </w:tcPr>
                <w:p w14:paraId="2FEBBD57" w14:textId="77777777" w:rsidR="00E85DDE" w:rsidRPr="00E85DDE" w:rsidRDefault="00E85DDE" w:rsidP="00E85DDE">
                  <w:pPr>
                    <w:rPr>
                      <w:rFonts w:ascii="Calibri" w:hAnsi="Calibri" w:cs="Calibri"/>
                      <w:color w:val="000000"/>
                      <w:szCs w:val="22"/>
                    </w:rPr>
                  </w:pPr>
                  <w:r w:rsidRPr="00E85DDE">
                    <w:rPr>
                      <w:rFonts w:ascii="Calibri" w:hAnsi="Calibri" w:cs="Calibri"/>
                      <w:color w:val="000000"/>
                      <w:szCs w:val="22"/>
                    </w:rPr>
                    <w:t>Lighting -Interior Ambient LF 8'; 67% LED Fixt, 33% TLED</w:t>
                  </w:r>
                </w:p>
              </w:tc>
            </w:tr>
            <w:tr w:rsidR="00E85DDE" w:rsidRPr="00E85DDE" w14:paraId="7ED620D4"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8D7C315"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Msr037</w:t>
                  </w:r>
                </w:p>
              </w:tc>
              <w:tc>
                <w:tcPr>
                  <w:tcW w:w="7484" w:type="dxa"/>
                  <w:tcBorders>
                    <w:top w:val="nil"/>
                    <w:left w:val="nil"/>
                    <w:bottom w:val="single" w:sz="4" w:space="0" w:color="auto"/>
                    <w:right w:val="single" w:sz="4" w:space="0" w:color="auto"/>
                  </w:tcBorders>
                  <w:shd w:val="clear" w:color="auto" w:fill="auto"/>
                  <w:vAlign w:val="center"/>
                  <w:hideMark/>
                </w:tcPr>
                <w:p w14:paraId="0863FC63" w14:textId="43630FDF" w:rsidR="00E85DDE" w:rsidRPr="00E85DDE" w:rsidRDefault="00E85DDE" w:rsidP="00E85DDE">
                  <w:pPr>
                    <w:rPr>
                      <w:rFonts w:ascii="Calibri" w:hAnsi="Calibri" w:cs="Calibri"/>
                      <w:color w:val="000000"/>
                      <w:szCs w:val="22"/>
                    </w:rPr>
                  </w:pPr>
                  <w:r w:rsidRPr="00E85DDE">
                    <w:rPr>
                      <w:rFonts w:ascii="Calibri" w:hAnsi="Calibri" w:cs="Calibri"/>
                      <w:color w:val="000000"/>
                      <w:szCs w:val="22"/>
                    </w:rPr>
                    <w:t xml:space="preserve">Lighting - Interior LF </w:t>
                  </w:r>
                  <w:r w:rsidR="00921746" w:rsidRPr="00E85DDE">
                    <w:rPr>
                      <w:rFonts w:ascii="Calibri" w:hAnsi="Calibri" w:cs="Calibri"/>
                      <w:color w:val="000000"/>
                      <w:szCs w:val="22"/>
                    </w:rPr>
                    <w:t>Fixture</w:t>
                  </w:r>
                  <w:r w:rsidRPr="00E85DDE">
                    <w:rPr>
                      <w:rFonts w:ascii="Calibri" w:hAnsi="Calibri" w:cs="Calibri"/>
                      <w:color w:val="000000"/>
                      <w:szCs w:val="22"/>
                    </w:rPr>
                    <w:t xml:space="preserve"> 1x4 (10.6 watt/kilo-lumen/fixture); 67% LED Fixt, 33% TLED</w:t>
                  </w:r>
                </w:p>
              </w:tc>
            </w:tr>
            <w:tr w:rsidR="00E85DDE" w:rsidRPr="00E85DDE" w14:paraId="7E944D71"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7B64E10"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Msr038</w:t>
                  </w:r>
                </w:p>
              </w:tc>
              <w:tc>
                <w:tcPr>
                  <w:tcW w:w="7484" w:type="dxa"/>
                  <w:tcBorders>
                    <w:top w:val="nil"/>
                    <w:left w:val="nil"/>
                    <w:bottom w:val="single" w:sz="4" w:space="0" w:color="auto"/>
                    <w:right w:val="single" w:sz="4" w:space="0" w:color="auto"/>
                  </w:tcBorders>
                  <w:shd w:val="clear" w:color="auto" w:fill="auto"/>
                  <w:vAlign w:val="center"/>
                  <w:hideMark/>
                </w:tcPr>
                <w:p w14:paraId="27DDAF21" w14:textId="7CE180A7" w:rsidR="00E85DDE" w:rsidRPr="00E85DDE" w:rsidRDefault="00E85DDE" w:rsidP="00E85DDE">
                  <w:pPr>
                    <w:rPr>
                      <w:rFonts w:ascii="Calibri" w:hAnsi="Calibri" w:cs="Calibri"/>
                      <w:color w:val="000000"/>
                      <w:szCs w:val="22"/>
                    </w:rPr>
                  </w:pPr>
                  <w:r w:rsidRPr="00E85DDE">
                    <w:rPr>
                      <w:rFonts w:ascii="Calibri" w:hAnsi="Calibri" w:cs="Calibri"/>
                      <w:color w:val="000000"/>
                      <w:szCs w:val="22"/>
                    </w:rPr>
                    <w:t xml:space="preserve">Lighting - Interior LF </w:t>
                  </w:r>
                  <w:r w:rsidR="00921746" w:rsidRPr="00E85DDE">
                    <w:rPr>
                      <w:rFonts w:ascii="Calibri" w:hAnsi="Calibri" w:cs="Calibri"/>
                      <w:color w:val="000000"/>
                      <w:szCs w:val="22"/>
                    </w:rPr>
                    <w:t>Fixture</w:t>
                  </w:r>
                  <w:r w:rsidRPr="00E85DDE">
                    <w:rPr>
                      <w:rFonts w:ascii="Calibri" w:hAnsi="Calibri" w:cs="Calibri"/>
                      <w:color w:val="000000"/>
                      <w:szCs w:val="22"/>
                    </w:rPr>
                    <w:t xml:space="preserve"> 2x2 (10.6 watt/kilo-lumen/fixture); 67% LED Fixt, 33% TLED</w:t>
                  </w:r>
                </w:p>
              </w:tc>
            </w:tr>
            <w:tr w:rsidR="00E85DDE" w:rsidRPr="00E85DDE" w14:paraId="54C1C670"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A6BDAB2"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Msr039</w:t>
                  </w:r>
                </w:p>
              </w:tc>
              <w:tc>
                <w:tcPr>
                  <w:tcW w:w="7484" w:type="dxa"/>
                  <w:tcBorders>
                    <w:top w:val="nil"/>
                    <w:left w:val="nil"/>
                    <w:bottom w:val="single" w:sz="4" w:space="0" w:color="auto"/>
                    <w:right w:val="single" w:sz="4" w:space="0" w:color="auto"/>
                  </w:tcBorders>
                  <w:shd w:val="clear" w:color="auto" w:fill="auto"/>
                  <w:vAlign w:val="center"/>
                  <w:hideMark/>
                </w:tcPr>
                <w:p w14:paraId="36B18ED8" w14:textId="6D81CE1B" w:rsidR="00E85DDE" w:rsidRPr="00E85DDE" w:rsidRDefault="00E85DDE" w:rsidP="00E85DDE">
                  <w:pPr>
                    <w:rPr>
                      <w:rFonts w:ascii="Calibri" w:hAnsi="Calibri" w:cs="Calibri"/>
                      <w:color w:val="000000"/>
                      <w:szCs w:val="22"/>
                    </w:rPr>
                  </w:pPr>
                  <w:r w:rsidRPr="00E85DDE">
                    <w:rPr>
                      <w:rFonts w:ascii="Calibri" w:hAnsi="Calibri" w:cs="Calibri"/>
                      <w:color w:val="000000"/>
                      <w:szCs w:val="22"/>
                    </w:rPr>
                    <w:t xml:space="preserve">Lighting - Interior LF </w:t>
                  </w:r>
                  <w:r w:rsidR="00921746" w:rsidRPr="00E85DDE">
                    <w:rPr>
                      <w:rFonts w:ascii="Calibri" w:hAnsi="Calibri" w:cs="Calibri"/>
                      <w:color w:val="000000"/>
                      <w:szCs w:val="22"/>
                    </w:rPr>
                    <w:t>Fixture</w:t>
                  </w:r>
                  <w:r w:rsidRPr="00E85DDE">
                    <w:rPr>
                      <w:rFonts w:ascii="Calibri" w:hAnsi="Calibri" w:cs="Calibri"/>
                      <w:color w:val="000000"/>
                      <w:szCs w:val="22"/>
                    </w:rPr>
                    <w:t xml:space="preserve"> 2x4 (10.6 watt/kilo-lumen/fixture); 67% LED Fixt, 33% TLED</w:t>
                  </w:r>
                </w:p>
              </w:tc>
            </w:tr>
            <w:tr w:rsidR="00E85DDE" w:rsidRPr="00E85DDE" w14:paraId="4BF415DA"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8E6ABF4"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Msr040</w:t>
                  </w:r>
                </w:p>
              </w:tc>
              <w:tc>
                <w:tcPr>
                  <w:tcW w:w="7484" w:type="dxa"/>
                  <w:tcBorders>
                    <w:top w:val="nil"/>
                    <w:left w:val="nil"/>
                    <w:bottom w:val="single" w:sz="4" w:space="0" w:color="auto"/>
                    <w:right w:val="single" w:sz="4" w:space="0" w:color="auto"/>
                  </w:tcBorders>
                  <w:shd w:val="clear" w:color="auto" w:fill="auto"/>
                  <w:vAlign w:val="center"/>
                  <w:hideMark/>
                </w:tcPr>
                <w:p w14:paraId="345F6D62" w14:textId="783C8023" w:rsidR="00E85DDE" w:rsidRPr="00E85DDE" w:rsidRDefault="00E85DDE" w:rsidP="00E85DDE">
                  <w:pPr>
                    <w:rPr>
                      <w:rFonts w:ascii="Calibri" w:hAnsi="Calibri" w:cs="Calibri"/>
                      <w:color w:val="000000"/>
                      <w:szCs w:val="22"/>
                    </w:rPr>
                  </w:pPr>
                  <w:r w:rsidRPr="00E85DDE">
                    <w:rPr>
                      <w:rFonts w:ascii="Calibri" w:hAnsi="Calibri" w:cs="Calibri"/>
                      <w:color w:val="000000"/>
                      <w:szCs w:val="22"/>
                    </w:rPr>
                    <w:t xml:space="preserve">Lighting - Interior LF </w:t>
                  </w:r>
                  <w:r w:rsidR="00921746" w:rsidRPr="00E85DDE">
                    <w:rPr>
                      <w:rFonts w:ascii="Calibri" w:hAnsi="Calibri" w:cs="Calibri"/>
                      <w:color w:val="000000"/>
                      <w:szCs w:val="22"/>
                    </w:rPr>
                    <w:t>Fixture</w:t>
                  </w:r>
                  <w:r w:rsidRPr="00E85DDE">
                    <w:rPr>
                      <w:rFonts w:ascii="Calibri" w:hAnsi="Calibri" w:cs="Calibri"/>
                      <w:color w:val="000000"/>
                      <w:szCs w:val="22"/>
                    </w:rPr>
                    <w:t xml:space="preserve"> 1x4 (10.6 watt/kilo-lumen/fixture); 67% LED Fixt, 33% TLED</w:t>
                  </w:r>
                </w:p>
              </w:tc>
            </w:tr>
            <w:tr w:rsidR="00E85DDE" w:rsidRPr="00E85DDE" w14:paraId="11E88DD2"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DF73072"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Msr041</w:t>
                  </w:r>
                </w:p>
              </w:tc>
              <w:tc>
                <w:tcPr>
                  <w:tcW w:w="7484" w:type="dxa"/>
                  <w:tcBorders>
                    <w:top w:val="nil"/>
                    <w:left w:val="nil"/>
                    <w:bottom w:val="single" w:sz="4" w:space="0" w:color="auto"/>
                    <w:right w:val="single" w:sz="4" w:space="0" w:color="auto"/>
                  </w:tcBorders>
                  <w:shd w:val="clear" w:color="auto" w:fill="auto"/>
                  <w:vAlign w:val="center"/>
                  <w:hideMark/>
                </w:tcPr>
                <w:p w14:paraId="3F0A86F7" w14:textId="29B879E0" w:rsidR="00E85DDE" w:rsidRPr="00E85DDE" w:rsidRDefault="00E85DDE" w:rsidP="00E85DDE">
                  <w:pPr>
                    <w:rPr>
                      <w:rFonts w:ascii="Calibri" w:hAnsi="Calibri" w:cs="Calibri"/>
                      <w:color w:val="000000"/>
                      <w:szCs w:val="22"/>
                    </w:rPr>
                  </w:pPr>
                  <w:r w:rsidRPr="00E85DDE">
                    <w:rPr>
                      <w:rFonts w:ascii="Calibri" w:hAnsi="Calibri" w:cs="Calibri"/>
                      <w:color w:val="000000"/>
                      <w:szCs w:val="22"/>
                    </w:rPr>
                    <w:t xml:space="preserve">Lighting - Interior LF </w:t>
                  </w:r>
                  <w:r w:rsidR="00921746" w:rsidRPr="00E85DDE">
                    <w:rPr>
                      <w:rFonts w:ascii="Calibri" w:hAnsi="Calibri" w:cs="Calibri"/>
                      <w:color w:val="000000"/>
                      <w:szCs w:val="22"/>
                    </w:rPr>
                    <w:t>Fixture</w:t>
                  </w:r>
                  <w:r w:rsidRPr="00E85DDE">
                    <w:rPr>
                      <w:rFonts w:ascii="Calibri" w:hAnsi="Calibri" w:cs="Calibri"/>
                      <w:color w:val="000000"/>
                      <w:szCs w:val="22"/>
                    </w:rPr>
                    <w:t xml:space="preserve"> 2x2 (10.6 watt/kilo-lumen/fixture); 67% LED Fixt, 33% TLED</w:t>
                  </w:r>
                </w:p>
              </w:tc>
            </w:tr>
            <w:tr w:rsidR="00E85DDE" w:rsidRPr="00E85DDE" w14:paraId="21096B89"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1956DD5"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Msr042</w:t>
                  </w:r>
                </w:p>
              </w:tc>
              <w:tc>
                <w:tcPr>
                  <w:tcW w:w="7484" w:type="dxa"/>
                  <w:tcBorders>
                    <w:top w:val="nil"/>
                    <w:left w:val="nil"/>
                    <w:bottom w:val="single" w:sz="4" w:space="0" w:color="auto"/>
                    <w:right w:val="single" w:sz="4" w:space="0" w:color="auto"/>
                  </w:tcBorders>
                  <w:shd w:val="clear" w:color="auto" w:fill="auto"/>
                  <w:vAlign w:val="center"/>
                  <w:hideMark/>
                </w:tcPr>
                <w:p w14:paraId="7CA35539" w14:textId="186FAC25" w:rsidR="00E85DDE" w:rsidRPr="00E85DDE" w:rsidRDefault="00E85DDE" w:rsidP="00E85DDE">
                  <w:pPr>
                    <w:rPr>
                      <w:rFonts w:ascii="Calibri" w:hAnsi="Calibri" w:cs="Calibri"/>
                      <w:color w:val="000000"/>
                      <w:szCs w:val="22"/>
                    </w:rPr>
                  </w:pPr>
                  <w:r w:rsidRPr="00E85DDE">
                    <w:rPr>
                      <w:rFonts w:ascii="Calibri" w:hAnsi="Calibri" w:cs="Calibri"/>
                      <w:color w:val="000000"/>
                      <w:szCs w:val="22"/>
                    </w:rPr>
                    <w:t xml:space="preserve">Lighting - Interior LF </w:t>
                  </w:r>
                  <w:r w:rsidR="00921746" w:rsidRPr="00E85DDE">
                    <w:rPr>
                      <w:rFonts w:ascii="Calibri" w:hAnsi="Calibri" w:cs="Calibri"/>
                      <w:color w:val="000000"/>
                      <w:szCs w:val="22"/>
                    </w:rPr>
                    <w:t>Fixture</w:t>
                  </w:r>
                  <w:r w:rsidRPr="00E85DDE">
                    <w:rPr>
                      <w:rFonts w:ascii="Calibri" w:hAnsi="Calibri" w:cs="Calibri"/>
                      <w:color w:val="000000"/>
                      <w:szCs w:val="22"/>
                    </w:rPr>
                    <w:t xml:space="preserve"> 2x4 (10.6 watt/kilo-lumen/fixture); 67% LED Fixt, 33% TLED</w:t>
                  </w:r>
                </w:p>
              </w:tc>
            </w:tr>
            <w:tr w:rsidR="00E85DDE" w:rsidRPr="00E85DDE" w14:paraId="00C4A1EC"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16F3C1E"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Msr043</w:t>
                  </w:r>
                </w:p>
              </w:tc>
              <w:tc>
                <w:tcPr>
                  <w:tcW w:w="7484" w:type="dxa"/>
                  <w:tcBorders>
                    <w:top w:val="nil"/>
                    <w:left w:val="nil"/>
                    <w:bottom w:val="single" w:sz="4" w:space="0" w:color="auto"/>
                    <w:right w:val="single" w:sz="4" w:space="0" w:color="auto"/>
                  </w:tcBorders>
                  <w:shd w:val="clear" w:color="auto" w:fill="auto"/>
                  <w:vAlign w:val="center"/>
                  <w:hideMark/>
                </w:tcPr>
                <w:p w14:paraId="2361FA1B" w14:textId="77777777" w:rsidR="00E85DDE" w:rsidRPr="00E85DDE" w:rsidRDefault="00E85DDE" w:rsidP="00E85DDE">
                  <w:pPr>
                    <w:rPr>
                      <w:rFonts w:ascii="Calibri" w:hAnsi="Calibri" w:cs="Calibri"/>
                      <w:color w:val="000000"/>
                      <w:szCs w:val="22"/>
                    </w:rPr>
                  </w:pPr>
                  <w:r w:rsidRPr="00E85DDE">
                    <w:rPr>
                      <w:rFonts w:ascii="Calibri" w:hAnsi="Calibri" w:cs="Calibri"/>
                      <w:color w:val="000000"/>
                      <w:szCs w:val="22"/>
                    </w:rPr>
                    <w:t>Lighting -Interior Ambient LF 2'; 67% LED Fixt, 33% TLED</w:t>
                  </w:r>
                </w:p>
              </w:tc>
            </w:tr>
            <w:tr w:rsidR="00E85DDE" w:rsidRPr="00E85DDE" w14:paraId="121630C3"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2849DFC"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Msr044</w:t>
                  </w:r>
                </w:p>
              </w:tc>
              <w:tc>
                <w:tcPr>
                  <w:tcW w:w="7484" w:type="dxa"/>
                  <w:tcBorders>
                    <w:top w:val="nil"/>
                    <w:left w:val="nil"/>
                    <w:bottom w:val="single" w:sz="4" w:space="0" w:color="auto"/>
                    <w:right w:val="single" w:sz="4" w:space="0" w:color="auto"/>
                  </w:tcBorders>
                  <w:shd w:val="clear" w:color="auto" w:fill="auto"/>
                  <w:vAlign w:val="center"/>
                  <w:hideMark/>
                </w:tcPr>
                <w:p w14:paraId="04AD9412" w14:textId="77777777" w:rsidR="00E85DDE" w:rsidRPr="00E85DDE" w:rsidRDefault="00E85DDE" w:rsidP="00E85DDE">
                  <w:pPr>
                    <w:rPr>
                      <w:rFonts w:ascii="Calibri" w:hAnsi="Calibri" w:cs="Calibri"/>
                      <w:color w:val="000000"/>
                      <w:szCs w:val="22"/>
                    </w:rPr>
                  </w:pPr>
                  <w:r w:rsidRPr="00E85DDE">
                    <w:rPr>
                      <w:rFonts w:ascii="Calibri" w:hAnsi="Calibri" w:cs="Calibri"/>
                      <w:color w:val="000000"/>
                      <w:szCs w:val="22"/>
                    </w:rPr>
                    <w:t>Lighting -Interior Ambient LF 4'; 67% LED Fixt, 33% TLED</w:t>
                  </w:r>
                </w:p>
              </w:tc>
            </w:tr>
            <w:tr w:rsidR="00E85DDE" w:rsidRPr="00E85DDE" w14:paraId="7B8F6000"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859617C"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Msr045</w:t>
                  </w:r>
                </w:p>
              </w:tc>
              <w:tc>
                <w:tcPr>
                  <w:tcW w:w="7484" w:type="dxa"/>
                  <w:tcBorders>
                    <w:top w:val="nil"/>
                    <w:left w:val="nil"/>
                    <w:bottom w:val="single" w:sz="4" w:space="0" w:color="auto"/>
                    <w:right w:val="single" w:sz="4" w:space="0" w:color="auto"/>
                  </w:tcBorders>
                  <w:shd w:val="clear" w:color="auto" w:fill="auto"/>
                  <w:vAlign w:val="center"/>
                  <w:hideMark/>
                </w:tcPr>
                <w:p w14:paraId="17FDB82D" w14:textId="77777777" w:rsidR="00E85DDE" w:rsidRPr="00E85DDE" w:rsidRDefault="00E85DDE" w:rsidP="00E85DDE">
                  <w:pPr>
                    <w:rPr>
                      <w:rFonts w:ascii="Calibri" w:hAnsi="Calibri" w:cs="Calibri"/>
                      <w:color w:val="000000"/>
                      <w:szCs w:val="22"/>
                    </w:rPr>
                  </w:pPr>
                  <w:r w:rsidRPr="00E85DDE">
                    <w:rPr>
                      <w:rFonts w:ascii="Calibri" w:hAnsi="Calibri" w:cs="Calibri"/>
                      <w:color w:val="000000"/>
                      <w:szCs w:val="22"/>
                    </w:rPr>
                    <w:t>Lighting -Interior Ambient LF 8'; 67% LED Fixt, 33% TLED</w:t>
                  </w:r>
                </w:p>
              </w:tc>
            </w:tr>
            <w:tr w:rsidR="00E85DDE" w:rsidRPr="00E85DDE" w14:paraId="3ED2007B"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662CF0B"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lastRenderedPageBreak/>
                    <w:t>Msr046</w:t>
                  </w:r>
                </w:p>
              </w:tc>
              <w:tc>
                <w:tcPr>
                  <w:tcW w:w="7484" w:type="dxa"/>
                  <w:tcBorders>
                    <w:top w:val="nil"/>
                    <w:left w:val="nil"/>
                    <w:bottom w:val="single" w:sz="4" w:space="0" w:color="auto"/>
                    <w:right w:val="single" w:sz="4" w:space="0" w:color="auto"/>
                  </w:tcBorders>
                  <w:shd w:val="clear" w:color="auto" w:fill="auto"/>
                  <w:vAlign w:val="center"/>
                  <w:hideMark/>
                </w:tcPr>
                <w:p w14:paraId="57ADBA54" w14:textId="77777777" w:rsidR="00E85DDE" w:rsidRPr="00E85DDE" w:rsidRDefault="00E85DDE" w:rsidP="00E85DDE">
                  <w:pPr>
                    <w:rPr>
                      <w:rFonts w:ascii="Calibri" w:hAnsi="Calibri" w:cs="Calibri"/>
                      <w:color w:val="000000"/>
                      <w:szCs w:val="22"/>
                    </w:rPr>
                  </w:pPr>
                  <w:r w:rsidRPr="00E85DDE">
                    <w:rPr>
                      <w:rFonts w:ascii="Calibri" w:hAnsi="Calibri" w:cs="Calibri"/>
                      <w:color w:val="000000"/>
                      <w:szCs w:val="22"/>
                    </w:rPr>
                    <w:t>Lighting -Interior Ambient LF 2'; 67% LED Fixt, 33% TLED</w:t>
                  </w:r>
                </w:p>
              </w:tc>
            </w:tr>
            <w:tr w:rsidR="00E85DDE" w:rsidRPr="00E85DDE" w14:paraId="04AB8A50"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96951F7"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Msr047</w:t>
                  </w:r>
                </w:p>
              </w:tc>
              <w:tc>
                <w:tcPr>
                  <w:tcW w:w="7484" w:type="dxa"/>
                  <w:tcBorders>
                    <w:top w:val="nil"/>
                    <w:left w:val="nil"/>
                    <w:bottom w:val="single" w:sz="4" w:space="0" w:color="auto"/>
                    <w:right w:val="single" w:sz="4" w:space="0" w:color="auto"/>
                  </w:tcBorders>
                  <w:shd w:val="clear" w:color="auto" w:fill="auto"/>
                  <w:vAlign w:val="center"/>
                  <w:hideMark/>
                </w:tcPr>
                <w:p w14:paraId="787A3E0E" w14:textId="77777777" w:rsidR="00E85DDE" w:rsidRPr="00E85DDE" w:rsidRDefault="00E85DDE" w:rsidP="00E85DDE">
                  <w:pPr>
                    <w:rPr>
                      <w:rFonts w:ascii="Calibri" w:hAnsi="Calibri" w:cs="Calibri"/>
                      <w:color w:val="000000"/>
                      <w:szCs w:val="22"/>
                    </w:rPr>
                  </w:pPr>
                  <w:r w:rsidRPr="00E85DDE">
                    <w:rPr>
                      <w:rFonts w:ascii="Calibri" w:hAnsi="Calibri" w:cs="Calibri"/>
                      <w:color w:val="000000"/>
                      <w:szCs w:val="22"/>
                    </w:rPr>
                    <w:t>Lighting -Interior Ambient LF 4'; 67% LED Fixt, 33% TLED</w:t>
                  </w:r>
                </w:p>
              </w:tc>
            </w:tr>
            <w:tr w:rsidR="00E85DDE" w:rsidRPr="00E85DDE" w14:paraId="16C5D92A" w14:textId="77777777" w:rsidTr="005D3DDC">
              <w:trPr>
                <w:trHeight w:val="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3E5CFD7" w14:textId="77777777" w:rsidR="00E85DDE" w:rsidRPr="00E85DDE" w:rsidRDefault="00E85DDE" w:rsidP="005D3DDC">
                  <w:pPr>
                    <w:jc w:val="center"/>
                    <w:rPr>
                      <w:rFonts w:ascii="Calibri" w:hAnsi="Calibri" w:cs="Calibri"/>
                      <w:color w:val="000000"/>
                      <w:szCs w:val="22"/>
                    </w:rPr>
                  </w:pPr>
                  <w:r w:rsidRPr="00E85DDE">
                    <w:rPr>
                      <w:rFonts w:ascii="Calibri" w:hAnsi="Calibri" w:cs="Calibri"/>
                      <w:color w:val="000000"/>
                      <w:szCs w:val="22"/>
                    </w:rPr>
                    <w:t>Msr048</w:t>
                  </w:r>
                </w:p>
              </w:tc>
              <w:tc>
                <w:tcPr>
                  <w:tcW w:w="7484" w:type="dxa"/>
                  <w:tcBorders>
                    <w:top w:val="nil"/>
                    <w:left w:val="nil"/>
                    <w:bottom w:val="single" w:sz="4" w:space="0" w:color="auto"/>
                    <w:right w:val="single" w:sz="4" w:space="0" w:color="auto"/>
                  </w:tcBorders>
                  <w:shd w:val="clear" w:color="auto" w:fill="auto"/>
                  <w:vAlign w:val="center"/>
                  <w:hideMark/>
                </w:tcPr>
                <w:p w14:paraId="62634E75" w14:textId="77777777" w:rsidR="00E85DDE" w:rsidRPr="00E85DDE" w:rsidRDefault="00E85DDE" w:rsidP="00E85DDE">
                  <w:pPr>
                    <w:rPr>
                      <w:rFonts w:ascii="Calibri" w:hAnsi="Calibri" w:cs="Calibri"/>
                      <w:color w:val="000000"/>
                      <w:szCs w:val="22"/>
                    </w:rPr>
                  </w:pPr>
                  <w:r w:rsidRPr="00E85DDE">
                    <w:rPr>
                      <w:rFonts w:ascii="Calibri" w:hAnsi="Calibri" w:cs="Calibri"/>
                      <w:color w:val="000000"/>
                      <w:szCs w:val="22"/>
                    </w:rPr>
                    <w:t>Lighting -Interior Ambient LF 8'; 67% LED Fixt, 33% TLED</w:t>
                  </w:r>
                </w:p>
              </w:tc>
            </w:tr>
          </w:tbl>
          <w:p w14:paraId="11631532" w14:textId="2327C3C1" w:rsidR="00387FC2" w:rsidRPr="00D727CA" w:rsidRDefault="00387FC2" w:rsidP="004B2248">
            <w:pPr>
              <w:spacing w:line="264" w:lineRule="auto"/>
              <w:rPr>
                <w:rFonts w:cstheme="minorHAnsi"/>
                <w:sz w:val="20"/>
                <w:szCs w:val="20"/>
              </w:rPr>
            </w:pPr>
          </w:p>
        </w:tc>
      </w:tr>
      <w:tr w:rsidR="00106741" w14:paraId="53DDE5EE" w14:textId="77777777" w:rsidTr="00FB2C96">
        <w:trPr>
          <w:cantSplit/>
          <w:jc w:val="center"/>
        </w:trPr>
        <w:tc>
          <w:tcPr>
            <w:tcW w:w="1999" w:type="dxa"/>
            <w:vAlign w:val="center"/>
          </w:tcPr>
          <w:p w14:paraId="13285BD5" w14:textId="72C496D4" w:rsidR="00106741" w:rsidRPr="00822B6F" w:rsidRDefault="00106741" w:rsidP="00D86243">
            <w:pPr>
              <w:jc w:val="right"/>
              <w:rPr>
                <w:rFonts w:cs="Arial"/>
                <w:sz w:val="20"/>
                <w:szCs w:val="20"/>
              </w:rPr>
            </w:pPr>
            <w:r>
              <w:rPr>
                <w:rFonts w:cs="Arial"/>
                <w:sz w:val="20"/>
                <w:szCs w:val="20"/>
              </w:rPr>
              <w:lastRenderedPageBreak/>
              <w:t xml:space="preserve">Mid-Stream Lighting </w:t>
            </w:r>
          </w:p>
        </w:tc>
        <w:tc>
          <w:tcPr>
            <w:tcW w:w="9156" w:type="dxa"/>
          </w:tcPr>
          <w:p w14:paraId="71672E61" w14:textId="4E93325F" w:rsidR="00106741" w:rsidRPr="00824A72" w:rsidRDefault="00106741" w:rsidP="00736DEF">
            <w:pPr>
              <w:rPr>
                <w:rFonts w:cstheme="minorHAnsi"/>
                <w:szCs w:val="22"/>
              </w:rPr>
            </w:pPr>
          </w:p>
          <w:p w14:paraId="5545D7BE" w14:textId="77777777" w:rsidR="00106741" w:rsidRPr="00824A72" w:rsidRDefault="00106741" w:rsidP="00106741">
            <w:pPr>
              <w:rPr>
                <w:rFonts w:cstheme="minorHAnsi"/>
                <w:b/>
                <w:szCs w:val="22"/>
              </w:rPr>
            </w:pPr>
            <w:r w:rsidRPr="00824A72">
              <w:rPr>
                <w:rFonts w:cstheme="minorHAnsi"/>
                <w:b/>
                <w:szCs w:val="22"/>
              </w:rPr>
              <w:t>Mid-Stream Lighting (Delivery Method: PreRebUp)</w:t>
            </w:r>
          </w:p>
          <w:p w14:paraId="73727F65" w14:textId="6BD56F55" w:rsidR="00106741" w:rsidRPr="00824A72" w:rsidRDefault="00106741" w:rsidP="00106741">
            <w:pPr>
              <w:rPr>
                <w:rFonts w:cstheme="minorHAnsi"/>
                <w:szCs w:val="22"/>
              </w:rPr>
            </w:pPr>
            <w:r w:rsidRPr="00824A72">
              <w:rPr>
                <w:rFonts w:cstheme="minorHAnsi"/>
                <w:szCs w:val="22"/>
              </w:rPr>
              <w:t xml:space="preserve">SDG&amp;E’s Midstream implementation strategy is a hybrid of upstream and downstream rebate strategy.  It is basically the same as a downstream approach except rather than providing the customer or its contractor with a rebate; the incentive is paid to the distributer/supply house.  SDG&amp;E will work with various trade allies to promote the measures.  SDG&amp;E will verify LED luminaire fixture specification and site-specific information by working with its trade allies including participating lighting distributors who will provide incentives on qualified LED new luminaires and integrated retrofit kits products.  SDG&amp;E will coordinate with its trade allies to stock and promote and a variety of products that meet SDG&amp;E’s workpaper requirements.  LED Integrated Retrofit kits and New Luminaires will be pre-approved for use in the Midstream program to ensure that only LED luminaire with specification sheets that list the DLC QPL tested and/or reported lumens, and LPW are eligible for incentives.  Distributors will provide the necessary documentation to SDG&amp;E processing to verify the product is eligible for incentives. Customers willing to participate in the Mid-Stream Lighting Program will need to provide installation site information that includes utility meter. All claims and reporting process includes the installation site information so all savings to be based on standard DEER building types and climate zone. The “Com” building type will not be used for reporting purposes.   </w:t>
            </w:r>
          </w:p>
          <w:p w14:paraId="0E57A83D" w14:textId="732232E5" w:rsidR="00106741" w:rsidRPr="00D727CA" w:rsidRDefault="00106741" w:rsidP="00736DEF">
            <w:pPr>
              <w:rPr>
                <w:rFonts w:cstheme="minorHAnsi"/>
                <w:sz w:val="20"/>
                <w:szCs w:val="20"/>
              </w:rPr>
            </w:pPr>
          </w:p>
        </w:tc>
      </w:tr>
      <w:tr w:rsidR="00260731" w14:paraId="6F685EA6" w14:textId="77777777" w:rsidTr="00FB2C96">
        <w:trPr>
          <w:cantSplit/>
          <w:jc w:val="center"/>
        </w:trPr>
        <w:tc>
          <w:tcPr>
            <w:tcW w:w="1999" w:type="dxa"/>
          </w:tcPr>
          <w:p w14:paraId="02DC6350" w14:textId="77777777" w:rsidR="00F56BE9" w:rsidRPr="001D77F7" w:rsidRDefault="00F56BE9" w:rsidP="00736DEF">
            <w:pPr>
              <w:rPr>
                <w:b/>
              </w:rPr>
            </w:pPr>
            <w:r w:rsidRPr="001D77F7">
              <w:rPr>
                <w:b/>
              </w:rPr>
              <w:t>1.3 Installation Type and Delivery Mechanisms</w:t>
            </w:r>
          </w:p>
        </w:tc>
        <w:tc>
          <w:tcPr>
            <w:tcW w:w="9156" w:type="dxa"/>
          </w:tcPr>
          <w:p w14:paraId="5BDAAE95" w14:textId="77777777" w:rsidR="00F56BE9" w:rsidRPr="00D727CA" w:rsidRDefault="00F56BE9" w:rsidP="00736DEF">
            <w:pPr>
              <w:rPr>
                <w:rFonts w:cstheme="minorHAnsi"/>
                <w:sz w:val="20"/>
                <w:szCs w:val="20"/>
              </w:rPr>
            </w:pPr>
          </w:p>
        </w:tc>
      </w:tr>
      <w:tr w:rsidR="00260731" w14:paraId="6B056D38" w14:textId="77777777" w:rsidTr="00FB2C96">
        <w:trPr>
          <w:cantSplit/>
          <w:jc w:val="center"/>
        </w:trPr>
        <w:tc>
          <w:tcPr>
            <w:tcW w:w="1999" w:type="dxa"/>
            <w:vAlign w:val="center"/>
          </w:tcPr>
          <w:p w14:paraId="1203F2F4" w14:textId="77777777" w:rsidR="00F56BE9" w:rsidRPr="00824A72" w:rsidRDefault="00F56BE9" w:rsidP="00D86243">
            <w:pPr>
              <w:jc w:val="right"/>
              <w:rPr>
                <w:rFonts w:cstheme="minorHAnsi"/>
                <w:szCs w:val="22"/>
              </w:rPr>
            </w:pPr>
            <w:r w:rsidRPr="00824A72">
              <w:rPr>
                <w:rFonts w:cstheme="minorHAnsi"/>
                <w:szCs w:val="22"/>
              </w:rPr>
              <w:t>Installation Type</w:t>
            </w:r>
          </w:p>
        </w:tc>
        <w:tc>
          <w:tcPr>
            <w:tcW w:w="9156" w:type="dxa"/>
          </w:tcPr>
          <w:p w14:paraId="2F99556F" w14:textId="698E3566" w:rsidR="00D86243" w:rsidRPr="00824A72" w:rsidRDefault="003456C4" w:rsidP="00017E7E">
            <w:pPr>
              <w:pStyle w:val="ListParagraph"/>
              <w:numPr>
                <w:ilvl w:val="0"/>
                <w:numId w:val="18"/>
              </w:numPr>
              <w:rPr>
                <w:rFonts w:cstheme="minorHAnsi"/>
                <w:szCs w:val="22"/>
              </w:rPr>
            </w:pPr>
            <w:r w:rsidRPr="00824A72">
              <w:rPr>
                <w:rFonts w:cstheme="minorHAnsi"/>
                <w:szCs w:val="22"/>
              </w:rPr>
              <w:t xml:space="preserve">Normal </w:t>
            </w:r>
            <w:r w:rsidR="00F56BE9" w:rsidRPr="00824A72">
              <w:rPr>
                <w:rFonts w:cstheme="minorHAnsi"/>
                <w:szCs w:val="22"/>
              </w:rPr>
              <w:t xml:space="preserve">Replace </w:t>
            </w:r>
            <w:r w:rsidRPr="00824A72">
              <w:rPr>
                <w:rFonts w:cstheme="minorHAnsi"/>
                <w:szCs w:val="22"/>
              </w:rPr>
              <w:t>(NR</w:t>
            </w:r>
            <w:r w:rsidR="00F56BE9" w:rsidRPr="00824A72">
              <w:rPr>
                <w:rFonts w:cstheme="minorHAnsi"/>
                <w:szCs w:val="22"/>
              </w:rPr>
              <w:t>)</w:t>
            </w:r>
          </w:p>
          <w:p w14:paraId="180B9186" w14:textId="2730409D" w:rsidR="004E2525" w:rsidRPr="00824A72" w:rsidRDefault="004E2525" w:rsidP="00017E7E">
            <w:pPr>
              <w:pStyle w:val="ListParagraph"/>
              <w:numPr>
                <w:ilvl w:val="0"/>
                <w:numId w:val="18"/>
              </w:numPr>
              <w:rPr>
                <w:rFonts w:cstheme="minorHAnsi"/>
                <w:szCs w:val="22"/>
              </w:rPr>
            </w:pPr>
            <w:r w:rsidRPr="00824A72">
              <w:rPr>
                <w:rFonts w:cstheme="minorHAnsi"/>
                <w:szCs w:val="22"/>
              </w:rPr>
              <w:t>New Construction (New/NC)</w:t>
            </w:r>
          </w:p>
          <w:p w14:paraId="3C8C3CCE" w14:textId="52554A47" w:rsidR="004E2525" w:rsidRPr="00824A72" w:rsidRDefault="004E2525" w:rsidP="004E2525">
            <w:pPr>
              <w:rPr>
                <w:rFonts w:cstheme="minorHAnsi"/>
                <w:szCs w:val="22"/>
              </w:rPr>
            </w:pPr>
            <w:r w:rsidRPr="00824A72">
              <w:rPr>
                <w:rFonts w:cstheme="minorHAnsi"/>
                <w:szCs w:val="22"/>
              </w:rPr>
              <w:t xml:space="preserve">All the measures within this workpaper are calculated for both </w:t>
            </w:r>
            <w:r w:rsidR="00A13823" w:rsidRPr="00824A72">
              <w:rPr>
                <w:rFonts w:cstheme="minorHAnsi"/>
                <w:szCs w:val="22"/>
              </w:rPr>
              <w:t>NR and NC</w:t>
            </w:r>
            <w:r w:rsidRPr="00824A72">
              <w:rPr>
                <w:rFonts w:cstheme="minorHAnsi"/>
                <w:szCs w:val="22"/>
              </w:rPr>
              <w:t>.</w:t>
            </w:r>
          </w:p>
        </w:tc>
      </w:tr>
      <w:tr w:rsidR="00260731" w14:paraId="2FF65255" w14:textId="77777777" w:rsidTr="00FB2C96">
        <w:trPr>
          <w:cantSplit/>
          <w:jc w:val="center"/>
        </w:trPr>
        <w:tc>
          <w:tcPr>
            <w:tcW w:w="1999" w:type="dxa"/>
            <w:vAlign w:val="center"/>
          </w:tcPr>
          <w:p w14:paraId="4A3BFB00" w14:textId="77777777" w:rsidR="00F56BE9" w:rsidRPr="00824A72" w:rsidRDefault="00F56BE9" w:rsidP="00D86243">
            <w:pPr>
              <w:jc w:val="right"/>
              <w:rPr>
                <w:rFonts w:cstheme="minorHAnsi"/>
                <w:szCs w:val="22"/>
              </w:rPr>
            </w:pPr>
            <w:r w:rsidRPr="00824A72">
              <w:rPr>
                <w:rFonts w:cstheme="minorHAnsi"/>
                <w:szCs w:val="22"/>
              </w:rPr>
              <w:lastRenderedPageBreak/>
              <w:t>Delivery Mechanisms</w:t>
            </w:r>
          </w:p>
        </w:tc>
        <w:tc>
          <w:tcPr>
            <w:tcW w:w="9156" w:type="dxa"/>
          </w:tcPr>
          <w:p w14:paraId="7A18FA00" w14:textId="4833EB5D" w:rsidR="00D86243" w:rsidRPr="00824A72" w:rsidRDefault="00D86243" w:rsidP="00476F40">
            <w:pPr>
              <w:pStyle w:val="ListParagraph"/>
              <w:numPr>
                <w:ilvl w:val="0"/>
                <w:numId w:val="19"/>
              </w:numPr>
              <w:rPr>
                <w:rFonts w:cstheme="minorHAnsi"/>
                <w:szCs w:val="22"/>
              </w:rPr>
            </w:pPr>
            <w:r w:rsidRPr="00824A72">
              <w:rPr>
                <w:rFonts w:cstheme="minorHAnsi"/>
                <w:szCs w:val="22"/>
              </w:rPr>
              <w:t xml:space="preserve">Financial Support </w:t>
            </w:r>
            <w:r w:rsidR="00AE36F4" w:rsidRPr="00824A72">
              <w:rPr>
                <w:rFonts w:cstheme="minorHAnsi"/>
                <w:szCs w:val="22"/>
              </w:rPr>
              <w:t>–</w:t>
            </w:r>
            <w:r w:rsidRPr="00824A72">
              <w:rPr>
                <w:rFonts w:cstheme="minorHAnsi"/>
                <w:szCs w:val="22"/>
              </w:rPr>
              <w:t xml:space="preserve"> </w:t>
            </w:r>
            <w:r w:rsidR="00AE36F4" w:rsidRPr="00824A72">
              <w:rPr>
                <w:rFonts w:cstheme="minorHAnsi"/>
                <w:szCs w:val="22"/>
              </w:rPr>
              <w:t xml:space="preserve">UpDeemed </w:t>
            </w:r>
            <w:r w:rsidRPr="00824A72">
              <w:rPr>
                <w:rFonts w:cstheme="minorHAnsi"/>
                <w:szCs w:val="22"/>
              </w:rPr>
              <w:t xml:space="preserve"> – Deemed</w:t>
            </w:r>
          </w:p>
          <w:p w14:paraId="40EC2FC5" w14:textId="75B06272" w:rsidR="00F56BE9" w:rsidRPr="00824A72" w:rsidRDefault="00F56BE9" w:rsidP="00476F40">
            <w:pPr>
              <w:pStyle w:val="ListParagraph"/>
              <w:numPr>
                <w:ilvl w:val="0"/>
                <w:numId w:val="19"/>
              </w:numPr>
              <w:rPr>
                <w:rFonts w:cstheme="minorHAnsi"/>
                <w:szCs w:val="22"/>
              </w:rPr>
            </w:pPr>
            <w:r w:rsidRPr="00824A72">
              <w:rPr>
                <w:rFonts w:cstheme="minorHAnsi"/>
                <w:szCs w:val="22"/>
              </w:rPr>
              <w:t xml:space="preserve">Financial Support – </w:t>
            </w:r>
            <w:r w:rsidR="00AE36F4" w:rsidRPr="00824A72">
              <w:rPr>
                <w:rFonts w:cstheme="minorHAnsi"/>
                <w:szCs w:val="22"/>
              </w:rPr>
              <w:t>DnDeemDI</w:t>
            </w:r>
            <w:r w:rsidRPr="00824A72">
              <w:rPr>
                <w:rFonts w:cstheme="minorHAnsi"/>
                <w:szCs w:val="22"/>
              </w:rPr>
              <w:t>l</w:t>
            </w:r>
            <w:r w:rsidR="009C389C" w:rsidRPr="00824A72">
              <w:rPr>
                <w:rFonts w:cstheme="minorHAnsi"/>
                <w:szCs w:val="22"/>
              </w:rPr>
              <w:t xml:space="preserve">  – Deemed</w:t>
            </w:r>
          </w:p>
          <w:p w14:paraId="04C7E790" w14:textId="0AD93823" w:rsidR="009C389C" w:rsidRPr="00824A72" w:rsidRDefault="009C389C" w:rsidP="00476F40">
            <w:pPr>
              <w:pStyle w:val="ListParagraph"/>
              <w:numPr>
                <w:ilvl w:val="0"/>
                <w:numId w:val="19"/>
              </w:numPr>
              <w:rPr>
                <w:rFonts w:cstheme="minorHAnsi"/>
                <w:szCs w:val="22"/>
              </w:rPr>
            </w:pPr>
            <w:r w:rsidRPr="00824A72">
              <w:rPr>
                <w:rFonts w:cstheme="minorHAnsi"/>
                <w:szCs w:val="22"/>
              </w:rPr>
              <w:t xml:space="preserve">Financial Support – </w:t>
            </w:r>
            <w:r w:rsidR="00AE36F4" w:rsidRPr="00824A72">
              <w:rPr>
                <w:rFonts w:cstheme="minorHAnsi"/>
                <w:szCs w:val="22"/>
              </w:rPr>
              <w:t>DnDeemed</w:t>
            </w:r>
            <w:r w:rsidRPr="00824A72">
              <w:rPr>
                <w:rFonts w:cstheme="minorHAnsi"/>
                <w:szCs w:val="22"/>
              </w:rPr>
              <w:t xml:space="preserve"> </w:t>
            </w:r>
            <w:r w:rsidR="00226788" w:rsidRPr="00824A72">
              <w:rPr>
                <w:rFonts w:cstheme="minorHAnsi"/>
                <w:szCs w:val="22"/>
              </w:rPr>
              <w:t xml:space="preserve"> </w:t>
            </w:r>
            <w:r w:rsidRPr="00824A72">
              <w:rPr>
                <w:rFonts w:cstheme="minorHAnsi"/>
                <w:szCs w:val="22"/>
              </w:rPr>
              <w:t>– Deemed</w:t>
            </w:r>
          </w:p>
          <w:p w14:paraId="0C309B9A" w14:textId="4A71C4B0" w:rsidR="004E2525" w:rsidRPr="00824A72" w:rsidRDefault="004E2525" w:rsidP="004E2525">
            <w:pPr>
              <w:rPr>
                <w:rFonts w:cstheme="minorHAnsi"/>
                <w:szCs w:val="22"/>
              </w:rPr>
            </w:pPr>
          </w:p>
          <w:p w14:paraId="09935E1F" w14:textId="6ADBFBE2" w:rsidR="00106741" w:rsidRPr="00824A72" w:rsidRDefault="00106741" w:rsidP="004E2525">
            <w:pPr>
              <w:rPr>
                <w:rFonts w:cstheme="minorHAnsi"/>
                <w:szCs w:val="22"/>
              </w:rPr>
            </w:pPr>
            <w:r w:rsidRPr="00824A72">
              <w:rPr>
                <w:rFonts w:cstheme="minorHAnsi"/>
                <w:szCs w:val="22"/>
              </w:rPr>
              <w:t>Incentive Methods Descriptions</w:t>
            </w:r>
          </w:p>
          <w:tbl>
            <w:tblPr>
              <w:tblStyle w:val="TableGrid"/>
              <w:tblW w:w="0" w:type="auto"/>
              <w:tblLook w:val="04A0" w:firstRow="1" w:lastRow="0" w:firstColumn="1" w:lastColumn="0" w:noHBand="0" w:noVBand="1"/>
            </w:tblPr>
            <w:tblGrid>
              <w:gridCol w:w="2225"/>
              <w:gridCol w:w="5670"/>
            </w:tblGrid>
            <w:tr w:rsidR="00106741" w:rsidRPr="00824A72" w14:paraId="48D3FB8D" w14:textId="77777777" w:rsidTr="00106741">
              <w:tc>
                <w:tcPr>
                  <w:tcW w:w="2225" w:type="dxa"/>
                </w:tcPr>
                <w:p w14:paraId="5C387B72" w14:textId="66F7A412" w:rsidR="00106741" w:rsidRPr="00824A72" w:rsidRDefault="00106741" w:rsidP="004E4744">
                  <w:pPr>
                    <w:jc w:val="center"/>
                    <w:rPr>
                      <w:rFonts w:cstheme="minorHAnsi"/>
                      <w:szCs w:val="22"/>
                    </w:rPr>
                  </w:pPr>
                  <w:r w:rsidRPr="00824A72">
                    <w:rPr>
                      <w:rFonts w:cstheme="minorHAnsi"/>
                      <w:szCs w:val="22"/>
                    </w:rPr>
                    <w:t>Incentive Methods</w:t>
                  </w:r>
                </w:p>
              </w:tc>
              <w:tc>
                <w:tcPr>
                  <w:tcW w:w="5670" w:type="dxa"/>
                </w:tcPr>
                <w:p w14:paraId="7DE4AD29" w14:textId="4B7B2A45" w:rsidR="00106741" w:rsidRPr="00824A72" w:rsidRDefault="00106741" w:rsidP="004E4744">
                  <w:pPr>
                    <w:jc w:val="center"/>
                    <w:rPr>
                      <w:rFonts w:cstheme="minorHAnsi"/>
                      <w:szCs w:val="22"/>
                    </w:rPr>
                  </w:pPr>
                  <w:r w:rsidRPr="00824A72">
                    <w:rPr>
                      <w:rFonts w:cstheme="minorHAnsi"/>
                      <w:szCs w:val="22"/>
                    </w:rPr>
                    <w:t>Description</w:t>
                  </w:r>
                </w:p>
              </w:tc>
            </w:tr>
            <w:tr w:rsidR="00106741" w:rsidRPr="00824A72" w14:paraId="79937D15" w14:textId="77777777" w:rsidTr="00106741">
              <w:tc>
                <w:tcPr>
                  <w:tcW w:w="2225" w:type="dxa"/>
                </w:tcPr>
                <w:p w14:paraId="07661B3B" w14:textId="3B1A428E" w:rsidR="00106741" w:rsidRPr="00824A72" w:rsidRDefault="00106741" w:rsidP="004E2525">
                  <w:pPr>
                    <w:rPr>
                      <w:rFonts w:cstheme="minorHAnsi"/>
                      <w:szCs w:val="22"/>
                    </w:rPr>
                  </w:pPr>
                  <w:r w:rsidRPr="00824A72">
                    <w:rPr>
                      <w:rFonts w:cstheme="minorHAnsi"/>
                      <w:szCs w:val="22"/>
                    </w:rPr>
                    <w:t>Direct Install</w:t>
                  </w:r>
                </w:p>
              </w:tc>
              <w:tc>
                <w:tcPr>
                  <w:tcW w:w="5670" w:type="dxa"/>
                </w:tcPr>
                <w:p w14:paraId="732F5317" w14:textId="4ADB5E3F" w:rsidR="00106741" w:rsidRPr="00824A72" w:rsidRDefault="00106741" w:rsidP="004E2525">
                  <w:pPr>
                    <w:rPr>
                      <w:rFonts w:cstheme="minorHAnsi"/>
                      <w:szCs w:val="22"/>
                    </w:rPr>
                  </w:pPr>
                  <w:r w:rsidRPr="00824A72">
                    <w:rPr>
                      <w:rFonts w:cstheme="minorHAnsi"/>
                      <w:szCs w:val="22"/>
                    </w:rPr>
                    <w:t>The program implements energy efficiency measures for qualifying customers, at low or no cost to the customer.</w:t>
                  </w:r>
                </w:p>
              </w:tc>
            </w:tr>
            <w:tr w:rsidR="00106741" w:rsidRPr="00824A72" w14:paraId="53E6301A" w14:textId="77777777" w:rsidTr="00106741">
              <w:tc>
                <w:tcPr>
                  <w:tcW w:w="2225" w:type="dxa"/>
                </w:tcPr>
                <w:p w14:paraId="2A3285D7" w14:textId="5D13A9D9" w:rsidR="00106741" w:rsidRPr="00824A72" w:rsidRDefault="00106741" w:rsidP="004E2525">
                  <w:pPr>
                    <w:rPr>
                      <w:rFonts w:cstheme="minorHAnsi"/>
                      <w:szCs w:val="22"/>
                    </w:rPr>
                  </w:pPr>
                  <w:r w:rsidRPr="00824A72">
                    <w:rPr>
                      <w:rFonts w:cstheme="minorHAnsi"/>
                      <w:szCs w:val="22"/>
                    </w:rPr>
                    <w:t>Down-Stream Incentive</w:t>
                  </w:r>
                </w:p>
              </w:tc>
              <w:tc>
                <w:tcPr>
                  <w:tcW w:w="5670" w:type="dxa"/>
                </w:tcPr>
                <w:p w14:paraId="6F4562A4" w14:textId="5D34AF3F" w:rsidR="00106741" w:rsidRPr="00824A72" w:rsidRDefault="00106741" w:rsidP="004E2525">
                  <w:pPr>
                    <w:rPr>
                      <w:rFonts w:cstheme="minorHAnsi"/>
                      <w:szCs w:val="22"/>
                    </w:rPr>
                  </w:pPr>
                  <w:r w:rsidRPr="00824A72">
                    <w:rPr>
                      <w:rFonts w:cstheme="minorHAnsi"/>
                      <w:szCs w:val="22"/>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06741" w:rsidRPr="00824A72" w14:paraId="2C12EA93" w14:textId="77777777" w:rsidTr="00106741">
              <w:tc>
                <w:tcPr>
                  <w:tcW w:w="2225" w:type="dxa"/>
                </w:tcPr>
                <w:p w14:paraId="40D03F78" w14:textId="73953E77" w:rsidR="00106741" w:rsidRPr="00824A72" w:rsidRDefault="00106741" w:rsidP="004E2525">
                  <w:pPr>
                    <w:rPr>
                      <w:rFonts w:cstheme="minorHAnsi"/>
                      <w:szCs w:val="22"/>
                    </w:rPr>
                  </w:pPr>
                  <w:r w:rsidRPr="00824A72">
                    <w:rPr>
                      <w:rFonts w:cstheme="minorHAnsi"/>
                      <w:szCs w:val="22"/>
                    </w:rPr>
                    <w:t>Mid-Stream Incentive</w:t>
                  </w:r>
                </w:p>
              </w:tc>
              <w:tc>
                <w:tcPr>
                  <w:tcW w:w="5670" w:type="dxa"/>
                </w:tcPr>
                <w:p w14:paraId="101FB943" w14:textId="176BCD9B" w:rsidR="00106741" w:rsidRPr="00824A72" w:rsidRDefault="00106741" w:rsidP="004E4744">
                  <w:pPr>
                    <w:pStyle w:val="Default"/>
                    <w:rPr>
                      <w:rFonts w:asciiTheme="minorHAnsi" w:hAnsiTheme="minorHAnsi" w:cstheme="minorHAnsi"/>
                      <w:sz w:val="22"/>
                      <w:szCs w:val="22"/>
                    </w:rPr>
                  </w:pPr>
                  <w:r w:rsidRPr="00824A72">
                    <w:rPr>
                      <w:rFonts w:asciiTheme="minorHAnsi" w:hAnsiTheme="minorHAnsi" w:cstheme="minorHAnsi"/>
                      <w:sz w:val="22"/>
                      <w:szCs w:val="22"/>
                    </w:rPr>
                    <w:t xml:space="preserve">The program gives a financial incentive to a midstream market actor, such as a distributor, retailer or contractor, to encourage the promotion of efficient measures. The incentive may or may not be passed on to the end-use customer. </w:t>
                  </w:r>
                </w:p>
              </w:tc>
            </w:tr>
            <w:tr w:rsidR="00106741" w:rsidRPr="00824A72" w14:paraId="03B7CB75" w14:textId="77777777" w:rsidTr="00106741">
              <w:tc>
                <w:tcPr>
                  <w:tcW w:w="2225" w:type="dxa"/>
                </w:tcPr>
                <w:p w14:paraId="6CBDDBD2" w14:textId="1826D07E" w:rsidR="00106741" w:rsidRPr="00824A72" w:rsidRDefault="00106741" w:rsidP="004E2525">
                  <w:pPr>
                    <w:rPr>
                      <w:rFonts w:cstheme="minorHAnsi"/>
                      <w:szCs w:val="22"/>
                    </w:rPr>
                  </w:pPr>
                  <w:r w:rsidRPr="00824A72">
                    <w:rPr>
                      <w:rFonts w:cstheme="minorHAnsi"/>
                      <w:szCs w:val="22"/>
                    </w:rPr>
                    <w:t>Up-Stream</w:t>
                  </w:r>
                </w:p>
              </w:tc>
              <w:tc>
                <w:tcPr>
                  <w:tcW w:w="5670" w:type="dxa"/>
                </w:tcPr>
                <w:p w14:paraId="4AA70000" w14:textId="482EA810" w:rsidR="00106741" w:rsidRPr="00824A72" w:rsidRDefault="004E4744" w:rsidP="004E4744">
                  <w:pPr>
                    <w:pStyle w:val="Default"/>
                    <w:rPr>
                      <w:rFonts w:asciiTheme="minorHAnsi" w:hAnsiTheme="minorHAnsi" w:cstheme="minorHAnsi"/>
                      <w:sz w:val="22"/>
                      <w:szCs w:val="22"/>
                    </w:rPr>
                  </w:pPr>
                  <w:r w:rsidRPr="00824A72">
                    <w:rPr>
                      <w:rFonts w:asciiTheme="minorHAnsi" w:hAnsiTheme="minorHAnsi" w:cstheme="minorHAnsi"/>
                      <w:sz w:val="22"/>
                      <w:szCs w:val="22"/>
                    </w:rPr>
                    <w:t xml:space="preserve">The program gives a financial incentive to an upstream market actor, such as a manufacturer or distributor, to encourage the manufacture, provision, or distribution of an efficient measure. The incentive may or may not be passed on to the end-use customer. </w:t>
                  </w:r>
                </w:p>
              </w:tc>
            </w:tr>
          </w:tbl>
          <w:p w14:paraId="14A6E254" w14:textId="77777777" w:rsidR="00930106" w:rsidRPr="00824A72" w:rsidRDefault="00930106" w:rsidP="004E2525">
            <w:pPr>
              <w:rPr>
                <w:rFonts w:cstheme="minorHAnsi"/>
                <w:szCs w:val="22"/>
              </w:rPr>
            </w:pPr>
          </w:p>
          <w:p w14:paraId="2B3BCB63" w14:textId="1BC2A0FE" w:rsidR="00930106" w:rsidRPr="00824A72" w:rsidRDefault="00930106" w:rsidP="004E2525">
            <w:pPr>
              <w:rPr>
                <w:rFonts w:cstheme="minorHAnsi"/>
                <w:szCs w:val="22"/>
              </w:rPr>
            </w:pPr>
          </w:p>
        </w:tc>
      </w:tr>
      <w:tr w:rsidR="00260731" w14:paraId="63114892" w14:textId="77777777" w:rsidTr="00FB2C96">
        <w:trPr>
          <w:cantSplit/>
          <w:jc w:val="center"/>
        </w:trPr>
        <w:tc>
          <w:tcPr>
            <w:tcW w:w="1999" w:type="dxa"/>
          </w:tcPr>
          <w:p w14:paraId="17C157A8" w14:textId="77777777" w:rsidR="00F56BE9" w:rsidRPr="00824A72" w:rsidRDefault="00F56BE9" w:rsidP="004408C6">
            <w:pPr>
              <w:rPr>
                <w:rFonts w:cstheme="minorHAnsi"/>
                <w:b/>
                <w:szCs w:val="22"/>
              </w:rPr>
            </w:pPr>
            <w:r w:rsidRPr="00824A72">
              <w:rPr>
                <w:rFonts w:cstheme="minorHAnsi"/>
                <w:b/>
                <w:szCs w:val="22"/>
              </w:rPr>
              <w:t>1.4.1 DEER Data</w:t>
            </w:r>
          </w:p>
        </w:tc>
        <w:tc>
          <w:tcPr>
            <w:tcW w:w="9156" w:type="dxa"/>
          </w:tcPr>
          <w:p w14:paraId="6F4C7429" w14:textId="77777777" w:rsidR="00F56BE9" w:rsidRPr="00824A72" w:rsidRDefault="00F56BE9" w:rsidP="004408C6">
            <w:pPr>
              <w:rPr>
                <w:rFonts w:cstheme="minorHAnsi"/>
                <w:szCs w:val="22"/>
              </w:rPr>
            </w:pPr>
          </w:p>
        </w:tc>
      </w:tr>
      <w:tr w:rsidR="00260731" w14:paraId="6C533A9A" w14:textId="77777777" w:rsidTr="00FB2C96">
        <w:trPr>
          <w:cantSplit/>
          <w:jc w:val="center"/>
        </w:trPr>
        <w:tc>
          <w:tcPr>
            <w:tcW w:w="1999" w:type="dxa"/>
            <w:vAlign w:val="center"/>
          </w:tcPr>
          <w:p w14:paraId="4F142786" w14:textId="77777777" w:rsidR="00F56BE9" w:rsidRPr="00824A72" w:rsidRDefault="00F56BE9" w:rsidP="00D86243">
            <w:pPr>
              <w:jc w:val="right"/>
              <w:rPr>
                <w:rFonts w:cstheme="minorHAnsi"/>
                <w:szCs w:val="22"/>
              </w:rPr>
            </w:pPr>
            <w:r w:rsidRPr="00824A72">
              <w:rPr>
                <w:rFonts w:cstheme="minorHAnsi"/>
                <w:szCs w:val="22"/>
              </w:rPr>
              <w:t>Net-to-Gross Ratio</w:t>
            </w:r>
          </w:p>
        </w:tc>
        <w:tc>
          <w:tcPr>
            <w:tcW w:w="9156" w:type="dxa"/>
          </w:tcPr>
          <w:p w14:paraId="7D7D9059" w14:textId="07BBD515" w:rsidR="00021AEA" w:rsidRPr="00824A72" w:rsidRDefault="00021AEA" w:rsidP="00021AEA">
            <w:pPr>
              <w:tabs>
                <w:tab w:val="right" w:pos="6732"/>
              </w:tabs>
              <w:rPr>
                <w:rFonts w:cstheme="minorHAnsi"/>
                <w:szCs w:val="22"/>
              </w:rPr>
            </w:pPr>
          </w:p>
          <w:p w14:paraId="4BEA3635" w14:textId="7A9857C8" w:rsidR="004E4744" w:rsidRPr="00824A72" w:rsidRDefault="004E4744" w:rsidP="00021AEA">
            <w:pPr>
              <w:tabs>
                <w:tab w:val="right" w:pos="6732"/>
              </w:tabs>
              <w:rPr>
                <w:rFonts w:cstheme="minorHAnsi"/>
                <w:szCs w:val="22"/>
              </w:rPr>
            </w:pPr>
            <w:r w:rsidRPr="00824A72">
              <w:rPr>
                <w:rFonts w:cstheme="minorHAnsi"/>
                <w:szCs w:val="22"/>
              </w:rPr>
              <w:t>On 1/1/2019</w:t>
            </w:r>
          </w:p>
          <w:tbl>
            <w:tblPr>
              <w:tblStyle w:val="TableGrid"/>
              <w:tblW w:w="0" w:type="auto"/>
              <w:tblLook w:val="04A0" w:firstRow="1" w:lastRow="0" w:firstColumn="1" w:lastColumn="0" w:noHBand="0" w:noVBand="1"/>
            </w:tblPr>
            <w:tblGrid>
              <w:gridCol w:w="2135"/>
              <w:gridCol w:w="2700"/>
              <w:gridCol w:w="1260"/>
            </w:tblGrid>
            <w:tr w:rsidR="004E4744" w:rsidRPr="00824A72" w14:paraId="56B1CDA3" w14:textId="77777777" w:rsidTr="004E4744">
              <w:tc>
                <w:tcPr>
                  <w:tcW w:w="2135" w:type="dxa"/>
                </w:tcPr>
                <w:p w14:paraId="3448F560" w14:textId="77777777" w:rsidR="004E4744" w:rsidRPr="00824A72" w:rsidRDefault="004E4744" w:rsidP="004E4744">
                  <w:pPr>
                    <w:tabs>
                      <w:tab w:val="right" w:pos="6732"/>
                    </w:tabs>
                    <w:rPr>
                      <w:rFonts w:cstheme="minorHAnsi"/>
                      <w:szCs w:val="22"/>
                    </w:rPr>
                  </w:pPr>
                  <w:r w:rsidRPr="00824A72">
                    <w:rPr>
                      <w:rFonts w:cstheme="minorHAnsi"/>
                      <w:szCs w:val="22"/>
                    </w:rPr>
                    <w:t>Sector</w:t>
                  </w:r>
                </w:p>
              </w:tc>
              <w:tc>
                <w:tcPr>
                  <w:tcW w:w="2700" w:type="dxa"/>
                </w:tcPr>
                <w:p w14:paraId="6DFA2CA1" w14:textId="77777777" w:rsidR="004E4744" w:rsidRPr="00824A72" w:rsidRDefault="004E4744" w:rsidP="004E4744">
                  <w:pPr>
                    <w:tabs>
                      <w:tab w:val="right" w:pos="6732"/>
                    </w:tabs>
                    <w:rPr>
                      <w:rFonts w:cstheme="minorHAnsi"/>
                      <w:szCs w:val="22"/>
                    </w:rPr>
                  </w:pPr>
                  <w:r w:rsidRPr="00824A72">
                    <w:rPr>
                      <w:rFonts w:cstheme="minorHAnsi"/>
                      <w:szCs w:val="22"/>
                    </w:rPr>
                    <w:t>NTG ID</w:t>
                  </w:r>
                </w:p>
              </w:tc>
              <w:tc>
                <w:tcPr>
                  <w:tcW w:w="1260" w:type="dxa"/>
                </w:tcPr>
                <w:p w14:paraId="318F04A4" w14:textId="77777777" w:rsidR="004E4744" w:rsidRPr="00824A72" w:rsidRDefault="004E4744" w:rsidP="004E4744">
                  <w:pPr>
                    <w:tabs>
                      <w:tab w:val="right" w:pos="6732"/>
                    </w:tabs>
                    <w:rPr>
                      <w:rFonts w:cstheme="minorHAnsi"/>
                      <w:szCs w:val="22"/>
                    </w:rPr>
                  </w:pPr>
                  <w:r w:rsidRPr="00824A72">
                    <w:rPr>
                      <w:rFonts w:cstheme="minorHAnsi"/>
                      <w:szCs w:val="22"/>
                    </w:rPr>
                    <w:t>NTG value</w:t>
                  </w:r>
                </w:p>
              </w:tc>
            </w:tr>
            <w:tr w:rsidR="004E4744" w:rsidRPr="00824A72" w14:paraId="0E442A83" w14:textId="77777777" w:rsidTr="004E4744">
              <w:tc>
                <w:tcPr>
                  <w:tcW w:w="2135" w:type="dxa"/>
                </w:tcPr>
                <w:p w14:paraId="7E2AB9AE" w14:textId="731039B9" w:rsidR="004E4744" w:rsidRPr="00824A72" w:rsidRDefault="001A1BC8" w:rsidP="004E4744">
                  <w:pPr>
                    <w:tabs>
                      <w:tab w:val="right" w:pos="6732"/>
                    </w:tabs>
                    <w:rPr>
                      <w:rFonts w:cstheme="minorHAnsi"/>
                      <w:szCs w:val="22"/>
                    </w:rPr>
                  </w:pPr>
                  <w:r w:rsidRPr="00824A72">
                    <w:rPr>
                      <w:rFonts w:cstheme="minorHAnsi"/>
                      <w:szCs w:val="22"/>
                    </w:rPr>
                    <w:t>Non-Res</w:t>
                  </w:r>
                </w:p>
              </w:tc>
              <w:tc>
                <w:tcPr>
                  <w:tcW w:w="2700" w:type="dxa"/>
                </w:tcPr>
                <w:p w14:paraId="482255C0" w14:textId="44277420" w:rsidR="004E4744" w:rsidRPr="00824A72" w:rsidRDefault="00930106" w:rsidP="004E4744">
                  <w:pPr>
                    <w:tabs>
                      <w:tab w:val="right" w:pos="6732"/>
                    </w:tabs>
                    <w:rPr>
                      <w:rFonts w:cstheme="minorHAnsi"/>
                      <w:szCs w:val="22"/>
                    </w:rPr>
                  </w:pPr>
                  <w:r w:rsidRPr="00824A72">
                    <w:rPr>
                      <w:rFonts w:cstheme="minorHAnsi"/>
                      <w:szCs w:val="22"/>
                    </w:rPr>
                    <w:t>Com-InHB-Ltg-LEDFixt</w:t>
                  </w:r>
                </w:p>
              </w:tc>
              <w:tc>
                <w:tcPr>
                  <w:tcW w:w="1260" w:type="dxa"/>
                </w:tcPr>
                <w:p w14:paraId="6840853C" w14:textId="1F9C0316" w:rsidR="004E4744" w:rsidRPr="00824A72" w:rsidRDefault="004E4744" w:rsidP="004E4744">
                  <w:pPr>
                    <w:tabs>
                      <w:tab w:val="right" w:pos="6732"/>
                    </w:tabs>
                    <w:rPr>
                      <w:rFonts w:cstheme="minorHAnsi"/>
                      <w:szCs w:val="22"/>
                    </w:rPr>
                  </w:pPr>
                  <w:r w:rsidRPr="00824A72">
                    <w:rPr>
                      <w:rFonts w:cstheme="minorHAnsi"/>
                      <w:szCs w:val="22"/>
                    </w:rPr>
                    <w:t>0.</w:t>
                  </w:r>
                  <w:r w:rsidR="00930106" w:rsidRPr="00824A72">
                    <w:rPr>
                      <w:rFonts w:cstheme="minorHAnsi"/>
                      <w:szCs w:val="22"/>
                    </w:rPr>
                    <w:t>91</w:t>
                  </w:r>
                </w:p>
              </w:tc>
            </w:tr>
            <w:tr w:rsidR="001A1BC8" w:rsidRPr="00824A72" w14:paraId="40C3E76A" w14:textId="77777777" w:rsidTr="004E4744">
              <w:tc>
                <w:tcPr>
                  <w:tcW w:w="2135" w:type="dxa"/>
                </w:tcPr>
                <w:p w14:paraId="61F00280" w14:textId="1BC729E8" w:rsidR="001A1BC8" w:rsidRPr="00824A72" w:rsidRDefault="001A1BC8" w:rsidP="004E4744">
                  <w:pPr>
                    <w:tabs>
                      <w:tab w:val="right" w:pos="6732"/>
                    </w:tabs>
                    <w:rPr>
                      <w:rFonts w:cstheme="minorHAnsi"/>
                      <w:szCs w:val="22"/>
                    </w:rPr>
                  </w:pPr>
                  <w:r w:rsidRPr="00824A72">
                    <w:rPr>
                      <w:rFonts w:cstheme="minorHAnsi"/>
                      <w:szCs w:val="22"/>
                    </w:rPr>
                    <w:t>Res</w:t>
                  </w:r>
                </w:p>
              </w:tc>
              <w:tc>
                <w:tcPr>
                  <w:tcW w:w="2700" w:type="dxa"/>
                </w:tcPr>
                <w:p w14:paraId="4F9CDA2A" w14:textId="746C110A" w:rsidR="001A1BC8" w:rsidRPr="00824A72" w:rsidRDefault="00930106" w:rsidP="004E4744">
                  <w:pPr>
                    <w:tabs>
                      <w:tab w:val="right" w:pos="6732"/>
                    </w:tabs>
                    <w:rPr>
                      <w:rFonts w:cstheme="minorHAnsi"/>
                      <w:szCs w:val="22"/>
                    </w:rPr>
                  </w:pPr>
                  <w:r w:rsidRPr="00824A72">
                    <w:rPr>
                      <w:rFonts w:cstheme="minorHAnsi"/>
                      <w:szCs w:val="22"/>
                    </w:rPr>
                    <w:t>Com-InHB-Ltg-LEDFixt</w:t>
                  </w:r>
                </w:p>
              </w:tc>
              <w:tc>
                <w:tcPr>
                  <w:tcW w:w="1260" w:type="dxa"/>
                </w:tcPr>
                <w:p w14:paraId="4F6A6C27" w14:textId="2CAEEE66" w:rsidR="001A1BC8" w:rsidRPr="00824A72" w:rsidRDefault="001A1BC8" w:rsidP="004E4744">
                  <w:pPr>
                    <w:tabs>
                      <w:tab w:val="right" w:pos="6732"/>
                    </w:tabs>
                    <w:rPr>
                      <w:rFonts w:cstheme="minorHAnsi"/>
                      <w:szCs w:val="22"/>
                    </w:rPr>
                  </w:pPr>
                  <w:r w:rsidRPr="00824A72">
                    <w:rPr>
                      <w:rFonts w:cstheme="minorHAnsi"/>
                      <w:szCs w:val="22"/>
                    </w:rPr>
                    <w:t>0.</w:t>
                  </w:r>
                  <w:r w:rsidR="00930106" w:rsidRPr="00824A72">
                    <w:rPr>
                      <w:rFonts w:cstheme="minorHAnsi"/>
                      <w:szCs w:val="22"/>
                    </w:rPr>
                    <w:t>91</w:t>
                  </w:r>
                </w:p>
              </w:tc>
            </w:tr>
          </w:tbl>
          <w:p w14:paraId="416C815A" w14:textId="60E6E1D0" w:rsidR="004E4744" w:rsidRPr="00824A72" w:rsidRDefault="004E4744" w:rsidP="00021AEA">
            <w:pPr>
              <w:tabs>
                <w:tab w:val="right" w:pos="6732"/>
              </w:tabs>
              <w:rPr>
                <w:rFonts w:cstheme="minorHAnsi"/>
                <w:szCs w:val="22"/>
              </w:rPr>
            </w:pPr>
          </w:p>
          <w:p w14:paraId="1471C63A" w14:textId="3A6DB05D" w:rsidR="001A1BC8" w:rsidRPr="00824A72" w:rsidRDefault="001A1BC8" w:rsidP="00021AEA">
            <w:pPr>
              <w:tabs>
                <w:tab w:val="right" w:pos="6732"/>
              </w:tabs>
              <w:rPr>
                <w:rFonts w:cstheme="minorHAnsi"/>
                <w:szCs w:val="22"/>
              </w:rPr>
            </w:pPr>
            <w:r w:rsidRPr="00824A72">
              <w:rPr>
                <w:rFonts w:cstheme="minorHAnsi"/>
                <w:szCs w:val="22"/>
              </w:rPr>
              <w:t>Note: Applies to all delivery types</w:t>
            </w:r>
            <w:r w:rsidR="00934D9B" w:rsidRPr="00824A72">
              <w:rPr>
                <w:rFonts w:cstheme="minorHAnsi"/>
                <w:szCs w:val="22"/>
              </w:rPr>
              <w:t>: DnDeemed</w:t>
            </w:r>
            <w:r w:rsidRPr="00824A72">
              <w:rPr>
                <w:rFonts w:cstheme="minorHAnsi"/>
                <w:szCs w:val="22"/>
              </w:rPr>
              <w:t>/</w:t>
            </w:r>
            <w:r w:rsidR="00934D9B" w:rsidRPr="00824A72">
              <w:rPr>
                <w:rFonts w:cstheme="minorHAnsi"/>
                <w:szCs w:val="22"/>
              </w:rPr>
              <w:t>UpDeemed</w:t>
            </w:r>
            <w:r w:rsidRPr="00824A72">
              <w:rPr>
                <w:rFonts w:cstheme="minorHAnsi"/>
                <w:szCs w:val="22"/>
              </w:rPr>
              <w:t>/</w:t>
            </w:r>
            <w:r w:rsidR="00F95CAB" w:rsidRPr="00824A72">
              <w:rPr>
                <w:rFonts w:cstheme="minorHAnsi"/>
                <w:szCs w:val="22"/>
              </w:rPr>
              <w:t>DnDeemDI</w:t>
            </w:r>
            <w:r w:rsidRPr="00824A72">
              <w:rPr>
                <w:rFonts w:cstheme="minorHAnsi"/>
                <w:szCs w:val="22"/>
              </w:rPr>
              <w:t>l</w:t>
            </w:r>
          </w:p>
          <w:p w14:paraId="533D28CE" w14:textId="1E60AA9A" w:rsidR="00D86243" w:rsidRPr="00824A72" w:rsidRDefault="00D86243" w:rsidP="00017E7E">
            <w:pPr>
              <w:tabs>
                <w:tab w:val="right" w:pos="6732"/>
              </w:tabs>
              <w:rPr>
                <w:rFonts w:cstheme="minorHAnsi"/>
                <w:szCs w:val="22"/>
              </w:rPr>
            </w:pPr>
          </w:p>
        </w:tc>
      </w:tr>
      <w:tr w:rsidR="00FB1792" w14:paraId="4D786770" w14:textId="77777777" w:rsidTr="00FB2C96">
        <w:trPr>
          <w:cantSplit/>
          <w:jc w:val="center"/>
        </w:trPr>
        <w:tc>
          <w:tcPr>
            <w:tcW w:w="1999" w:type="dxa"/>
            <w:vAlign w:val="center"/>
          </w:tcPr>
          <w:p w14:paraId="2D389DE0" w14:textId="127CB7C2" w:rsidR="00FB1792" w:rsidRPr="00824A72" w:rsidRDefault="00FB1792" w:rsidP="00D86243">
            <w:pPr>
              <w:jc w:val="right"/>
              <w:rPr>
                <w:rFonts w:cstheme="minorHAnsi"/>
                <w:szCs w:val="22"/>
              </w:rPr>
            </w:pPr>
            <w:r w:rsidRPr="00824A72">
              <w:rPr>
                <w:rFonts w:cstheme="minorHAnsi"/>
                <w:szCs w:val="22"/>
              </w:rPr>
              <w:t>GSIA ID:</w:t>
            </w:r>
          </w:p>
        </w:tc>
        <w:tc>
          <w:tcPr>
            <w:tcW w:w="9156" w:type="dxa"/>
          </w:tcPr>
          <w:p w14:paraId="421EB749" w14:textId="5BEDE3F3" w:rsidR="00FB1792" w:rsidRPr="00824A72" w:rsidRDefault="00FB1792" w:rsidP="00017E7E">
            <w:pPr>
              <w:tabs>
                <w:tab w:val="right" w:pos="6732"/>
              </w:tabs>
              <w:rPr>
                <w:rFonts w:cstheme="minorHAnsi"/>
                <w:szCs w:val="22"/>
              </w:rPr>
            </w:pPr>
          </w:p>
          <w:tbl>
            <w:tblPr>
              <w:tblStyle w:val="TableGrid"/>
              <w:tblW w:w="0" w:type="auto"/>
              <w:tblLook w:val="04A0" w:firstRow="1" w:lastRow="0" w:firstColumn="1" w:lastColumn="0" w:noHBand="0" w:noVBand="1"/>
            </w:tblPr>
            <w:tblGrid>
              <w:gridCol w:w="1595"/>
              <w:gridCol w:w="2340"/>
              <w:gridCol w:w="900"/>
              <w:gridCol w:w="1080"/>
              <w:gridCol w:w="1262"/>
              <w:gridCol w:w="1170"/>
            </w:tblGrid>
            <w:tr w:rsidR="001A1BC8" w:rsidRPr="00824A72" w14:paraId="44B1763D" w14:textId="50A50628" w:rsidTr="001A1BC8">
              <w:tc>
                <w:tcPr>
                  <w:tcW w:w="1595" w:type="dxa"/>
                </w:tcPr>
                <w:p w14:paraId="4F4B7F03" w14:textId="1FEDF267" w:rsidR="001A1BC8" w:rsidRPr="00824A72" w:rsidRDefault="001A1BC8" w:rsidP="00017E7E">
                  <w:pPr>
                    <w:tabs>
                      <w:tab w:val="right" w:pos="6732"/>
                    </w:tabs>
                    <w:rPr>
                      <w:rFonts w:cstheme="minorHAnsi"/>
                      <w:szCs w:val="22"/>
                    </w:rPr>
                  </w:pPr>
                  <w:r w:rsidRPr="00824A72">
                    <w:rPr>
                      <w:rFonts w:cstheme="minorHAnsi"/>
                      <w:szCs w:val="22"/>
                    </w:rPr>
                    <w:t>GSIA ID</w:t>
                  </w:r>
                </w:p>
              </w:tc>
              <w:tc>
                <w:tcPr>
                  <w:tcW w:w="2340" w:type="dxa"/>
                </w:tcPr>
                <w:p w14:paraId="1E54733A" w14:textId="1DE5FE9B" w:rsidR="001A1BC8" w:rsidRPr="00824A72" w:rsidRDefault="001A1BC8" w:rsidP="00017E7E">
                  <w:pPr>
                    <w:tabs>
                      <w:tab w:val="right" w:pos="6732"/>
                    </w:tabs>
                    <w:rPr>
                      <w:rFonts w:cstheme="minorHAnsi"/>
                      <w:szCs w:val="22"/>
                    </w:rPr>
                  </w:pPr>
                  <w:r w:rsidRPr="00824A72">
                    <w:rPr>
                      <w:rFonts w:cstheme="minorHAnsi"/>
                      <w:szCs w:val="22"/>
                    </w:rPr>
                    <w:t>Description</w:t>
                  </w:r>
                </w:p>
              </w:tc>
              <w:tc>
                <w:tcPr>
                  <w:tcW w:w="900" w:type="dxa"/>
                </w:tcPr>
                <w:p w14:paraId="28D54972" w14:textId="55763EAD" w:rsidR="001A1BC8" w:rsidRPr="00824A72" w:rsidRDefault="001A1BC8" w:rsidP="00017E7E">
                  <w:pPr>
                    <w:tabs>
                      <w:tab w:val="right" w:pos="6732"/>
                    </w:tabs>
                    <w:rPr>
                      <w:rFonts w:cstheme="minorHAnsi"/>
                      <w:szCs w:val="22"/>
                    </w:rPr>
                  </w:pPr>
                  <w:r w:rsidRPr="00824A72">
                    <w:rPr>
                      <w:rFonts w:cstheme="minorHAnsi"/>
                      <w:szCs w:val="22"/>
                    </w:rPr>
                    <w:t>Sector</w:t>
                  </w:r>
                </w:p>
              </w:tc>
              <w:tc>
                <w:tcPr>
                  <w:tcW w:w="1080" w:type="dxa"/>
                </w:tcPr>
                <w:p w14:paraId="196F57EF" w14:textId="237C78AE" w:rsidR="001A1BC8" w:rsidRPr="00824A72" w:rsidRDefault="001A1BC8" w:rsidP="00017E7E">
                  <w:pPr>
                    <w:tabs>
                      <w:tab w:val="right" w:pos="6732"/>
                    </w:tabs>
                    <w:rPr>
                      <w:rFonts w:cstheme="minorHAnsi"/>
                      <w:szCs w:val="22"/>
                    </w:rPr>
                  </w:pPr>
                  <w:r w:rsidRPr="00824A72">
                    <w:rPr>
                      <w:rFonts w:cstheme="minorHAnsi"/>
                      <w:szCs w:val="22"/>
                    </w:rPr>
                    <w:t>BldgType</w:t>
                  </w:r>
                </w:p>
              </w:tc>
              <w:tc>
                <w:tcPr>
                  <w:tcW w:w="1260" w:type="dxa"/>
                </w:tcPr>
                <w:p w14:paraId="5F8D242B" w14:textId="6F8E6B45" w:rsidR="001A1BC8" w:rsidRPr="00824A72" w:rsidRDefault="001A1BC8" w:rsidP="00017E7E">
                  <w:pPr>
                    <w:tabs>
                      <w:tab w:val="right" w:pos="6732"/>
                    </w:tabs>
                    <w:rPr>
                      <w:rFonts w:cstheme="minorHAnsi"/>
                      <w:szCs w:val="22"/>
                    </w:rPr>
                  </w:pPr>
                  <w:r w:rsidRPr="00824A72">
                    <w:rPr>
                      <w:rFonts w:cstheme="minorHAnsi"/>
                      <w:szCs w:val="22"/>
                    </w:rPr>
                    <w:t>ProgDelivID</w:t>
                  </w:r>
                </w:p>
              </w:tc>
              <w:tc>
                <w:tcPr>
                  <w:tcW w:w="1170" w:type="dxa"/>
                </w:tcPr>
                <w:p w14:paraId="65EA0C36" w14:textId="6E72865C" w:rsidR="001A1BC8" w:rsidRPr="00824A72" w:rsidRDefault="001A1BC8" w:rsidP="00017E7E">
                  <w:pPr>
                    <w:tabs>
                      <w:tab w:val="right" w:pos="6732"/>
                    </w:tabs>
                    <w:rPr>
                      <w:rFonts w:cstheme="minorHAnsi"/>
                      <w:szCs w:val="22"/>
                    </w:rPr>
                  </w:pPr>
                  <w:r w:rsidRPr="00824A72">
                    <w:rPr>
                      <w:rFonts w:cstheme="minorHAnsi"/>
                      <w:szCs w:val="22"/>
                    </w:rPr>
                    <w:t>GSIA Value</w:t>
                  </w:r>
                </w:p>
              </w:tc>
            </w:tr>
            <w:tr w:rsidR="001A1BC8" w:rsidRPr="00824A72" w14:paraId="47A769B9" w14:textId="5E470345" w:rsidTr="001A1BC8">
              <w:tc>
                <w:tcPr>
                  <w:tcW w:w="1595" w:type="dxa"/>
                </w:tcPr>
                <w:p w14:paraId="6711DC39" w14:textId="6C3BC50D" w:rsidR="001A1BC8" w:rsidRPr="00824A72" w:rsidRDefault="001A1BC8" w:rsidP="00017E7E">
                  <w:pPr>
                    <w:tabs>
                      <w:tab w:val="right" w:pos="6732"/>
                    </w:tabs>
                    <w:rPr>
                      <w:rFonts w:cstheme="minorHAnsi"/>
                      <w:szCs w:val="22"/>
                    </w:rPr>
                  </w:pPr>
                  <w:r w:rsidRPr="00824A72">
                    <w:rPr>
                      <w:rFonts w:cstheme="minorHAnsi"/>
                      <w:szCs w:val="22"/>
                    </w:rPr>
                    <w:t>Def-GSIA</w:t>
                  </w:r>
                </w:p>
              </w:tc>
              <w:tc>
                <w:tcPr>
                  <w:tcW w:w="2340" w:type="dxa"/>
                </w:tcPr>
                <w:p w14:paraId="333A5D49" w14:textId="7184A955" w:rsidR="001A1BC8" w:rsidRPr="00824A72" w:rsidRDefault="001A1BC8" w:rsidP="00017E7E">
                  <w:pPr>
                    <w:tabs>
                      <w:tab w:val="right" w:pos="6732"/>
                    </w:tabs>
                    <w:rPr>
                      <w:rFonts w:cstheme="minorHAnsi"/>
                      <w:szCs w:val="22"/>
                    </w:rPr>
                  </w:pPr>
                  <w:r w:rsidRPr="00824A72">
                    <w:rPr>
                      <w:rFonts w:cstheme="minorHAnsi"/>
                      <w:szCs w:val="22"/>
                    </w:rPr>
                    <w:t>Default GSIA value</w:t>
                  </w:r>
                </w:p>
              </w:tc>
              <w:tc>
                <w:tcPr>
                  <w:tcW w:w="900" w:type="dxa"/>
                </w:tcPr>
                <w:p w14:paraId="6119868B" w14:textId="30CAFA32" w:rsidR="001A1BC8" w:rsidRPr="00824A72" w:rsidRDefault="001A1BC8" w:rsidP="00017E7E">
                  <w:pPr>
                    <w:tabs>
                      <w:tab w:val="right" w:pos="6732"/>
                    </w:tabs>
                    <w:rPr>
                      <w:rFonts w:cstheme="minorHAnsi"/>
                      <w:szCs w:val="22"/>
                    </w:rPr>
                  </w:pPr>
                  <w:r w:rsidRPr="00824A72">
                    <w:rPr>
                      <w:rFonts w:cstheme="minorHAnsi"/>
                      <w:szCs w:val="22"/>
                    </w:rPr>
                    <w:t>Any</w:t>
                  </w:r>
                </w:p>
              </w:tc>
              <w:tc>
                <w:tcPr>
                  <w:tcW w:w="1080" w:type="dxa"/>
                </w:tcPr>
                <w:p w14:paraId="2B4B7836" w14:textId="7292C16F" w:rsidR="001A1BC8" w:rsidRPr="00824A72" w:rsidRDefault="001A1BC8" w:rsidP="00017E7E">
                  <w:pPr>
                    <w:tabs>
                      <w:tab w:val="right" w:pos="6732"/>
                    </w:tabs>
                    <w:rPr>
                      <w:rFonts w:cstheme="minorHAnsi"/>
                      <w:szCs w:val="22"/>
                    </w:rPr>
                  </w:pPr>
                  <w:r w:rsidRPr="00824A72">
                    <w:rPr>
                      <w:rFonts w:cstheme="minorHAnsi"/>
                      <w:szCs w:val="22"/>
                    </w:rPr>
                    <w:t>Any</w:t>
                  </w:r>
                </w:p>
              </w:tc>
              <w:tc>
                <w:tcPr>
                  <w:tcW w:w="1260" w:type="dxa"/>
                </w:tcPr>
                <w:p w14:paraId="094F70CF" w14:textId="33C82E1F" w:rsidR="001A1BC8" w:rsidRPr="00824A72" w:rsidRDefault="001A1BC8" w:rsidP="00017E7E">
                  <w:pPr>
                    <w:tabs>
                      <w:tab w:val="right" w:pos="6732"/>
                    </w:tabs>
                    <w:rPr>
                      <w:rFonts w:cstheme="minorHAnsi"/>
                      <w:szCs w:val="22"/>
                    </w:rPr>
                  </w:pPr>
                  <w:r w:rsidRPr="00824A72">
                    <w:rPr>
                      <w:rFonts w:cstheme="minorHAnsi"/>
                      <w:szCs w:val="22"/>
                    </w:rPr>
                    <w:t>Any</w:t>
                  </w:r>
                </w:p>
              </w:tc>
              <w:tc>
                <w:tcPr>
                  <w:tcW w:w="1170" w:type="dxa"/>
                </w:tcPr>
                <w:p w14:paraId="65555A09" w14:textId="5CBB79C5" w:rsidR="001A1BC8" w:rsidRPr="00824A72" w:rsidRDefault="001A1BC8" w:rsidP="00017E7E">
                  <w:pPr>
                    <w:tabs>
                      <w:tab w:val="right" w:pos="6732"/>
                    </w:tabs>
                    <w:rPr>
                      <w:rFonts w:cstheme="minorHAnsi"/>
                      <w:szCs w:val="22"/>
                    </w:rPr>
                  </w:pPr>
                  <w:r w:rsidRPr="00824A72">
                    <w:rPr>
                      <w:rFonts w:cstheme="minorHAnsi"/>
                      <w:szCs w:val="22"/>
                    </w:rPr>
                    <w:t>1</w:t>
                  </w:r>
                </w:p>
              </w:tc>
            </w:tr>
          </w:tbl>
          <w:p w14:paraId="700D68BF" w14:textId="5392CF12" w:rsidR="001A1BC8" w:rsidRPr="00824A72" w:rsidRDefault="001A1BC8" w:rsidP="00017E7E">
            <w:pPr>
              <w:tabs>
                <w:tab w:val="right" w:pos="6732"/>
              </w:tabs>
              <w:rPr>
                <w:rFonts w:cstheme="minorHAnsi"/>
                <w:szCs w:val="22"/>
              </w:rPr>
            </w:pPr>
          </w:p>
        </w:tc>
      </w:tr>
      <w:tr w:rsidR="00260731" w14:paraId="5DC9266D" w14:textId="77777777" w:rsidTr="00FB2C96">
        <w:trPr>
          <w:cantSplit/>
          <w:jc w:val="center"/>
        </w:trPr>
        <w:tc>
          <w:tcPr>
            <w:tcW w:w="1999" w:type="dxa"/>
            <w:vAlign w:val="center"/>
          </w:tcPr>
          <w:p w14:paraId="4FFC28FF" w14:textId="77777777" w:rsidR="00F56BE9" w:rsidRPr="00824A72" w:rsidRDefault="00F56BE9" w:rsidP="00D86243">
            <w:pPr>
              <w:jc w:val="right"/>
              <w:rPr>
                <w:rFonts w:cstheme="minorHAnsi"/>
                <w:szCs w:val="22"/>
              </w:rPr>
            </w:pPr>
            <w:r w:rsidRPr="00824A72">
              <w:rPr>
                <w:rFonts w:cstheme="minorHAnsi"/>
                <w:szCs w:val="22"/>
              </w:rPr>
              <w:t>Effective and Remaining Useful Life</w:t>
            </w:r>
          </w:p>
        </w:tc>
        <w:tc>
          <w:tcPr>
            <w:tcW w:w="9156" w:type="dxa"/>
          </w:tcPr>
          <w:p w14:paraId="17BD8CA4" w14:textId="6D06B8D9" w:rsidR="00F56BE9" w:rsidRPr="00824A72" w:rsidRDefault="00957601" w:rsidP="00017E7E">
            <w:pPr>
              <w:tabs>
                <w:tab w:val="right" w:pos="6732"/>
              </w:tabs>
              <w:rPr>
                <w:rFonts w:cstheme="minorHAnsi"/>
                <w:szCs w:val="22"/>
              </w:rPr>
            </w:pPr>
            <w:r w:rsidRPr="00824A72">
              <w:rPr>
                <w:rFonts w:cstheme="minorHAnsi"/>
                <w:szCs w:val="22"/>
              </w:rPr>
              <w:t>ILtg-Com-LED-50000hr+16yr; EUL = 16</w:t>
            </w:r>
            <w:r w:rsidR="00F67334" w:rsidRPr="00824A72">
              <w:rPr>
                <w:rFonts w:cstheme="minorHAnsi"/>
                <w:szCs w:val="22"/>
              </w:rPr>
              <w:t xml:space="preserve"> years</w:t>
            </w:r>
            <w:r w:rsidR="00392FA8" w:rsidRPr="00824A72">
              <w:rPr>
                <w:rFonts w:cstheme="minorHAnsi"/>
                <w:szCs w:val="22"/>
              </w:rPr>
              <w:tab/>
            </w:r>
          </w:p>
        </w:tc>
      </w:tr>
      <w:tr w:rsidR="00260731" w14:paraId="6F71F3FF" w14:textId="77777777" w:rsidTr="00FB2C96">
        <w:trPr>
          <w:cantSplit/>
          <w:jc w:val="center"/>
        </w:trPr>
        <w:tc>
          <w:tcPr>
            <w:tcW w:w="1999" w:type="dxa"/>
            <w:vAlign w:val="center"/>
          </w:tcPr>
          <w:p w14:paraId="08D3FBF1" w14:textId="77777777" w:rsidR="00F56BE9" w:rsidRPr="00824A72" w:rsidRDefault="00F56BE9" w:rsidP="001D77F7">
            <w:pPr>
              <w:rPr>
                <w:rFonts w:cstheme="minorHAnsi"/>
                <w:b/>
                <w:szCs w:val="22"/>
              </w:rPr>
            </w:pPr>
            <w:r w:rsidRPr="00824A72">
              <w:rPr>
                <w:rFonts w:cstheme="minorHAnsi"/>
                <w:b/>
                <w:szCs w:val="22"/>
              </w:rPr>
              <w:lastRenderedPageBreak/>
              <w:t>Section 2. Calculation Methodology</w:t>
            </w:r>
          </w:p>
        </w:tc>
        <w:tc>
          <w:tcPr>
            <w:tcW w:w="9156" w:type="dxa"/>
            <w:vAlign w:val="center"/>
          </w:tcPr>
          <w:p w14:paraId="0DE54915" w14:textId="665EF5F9" w:rsidR="00421052" w:rsidRPr="00824A72" w:rsidRDefault="00595324" w:rsidP="00FB1792">
            <w:pPr>
              <w:rPr>
                <w:rFonts w:cstheme="minorHAnsi"/>
                <w:szCs w:val="22"/>
              </w:rPr>
            </w:pPr>
            <w:r>
              <w:rPr>
                <w:rFonts w:cstheme="minorHAnsi"/>
                <w:szCs w:val="22"/>
              </w:rPr>
              <w:t xml:space="preserve">SDG&amp;E adopts </w:t>
            </w:r>
            <w:r w:rsidR="00957601" w:rsidRPr="00824A72">
              <w:rPr>
                <w:rFonts w:cstheme="minorHAnsi"/>
                <w:szCs w:val="22"/>
              </w:rPr>
              <w:t xml:space="preserve">PG&amp;E’s calculation methodology </w:t>
            </w:r>
            <w:r w:rsidR="00B86E1C">
              <w:rPr>
                <w:rFonts w:cstheme="minorHAnsi"/>
                <w:szCs w:val="22"/>
              </w:rPr>
              <w:t xml:space="preserve">that </w:t>
            </w:r>
            <w:r w:rsidR="00957601" w:rsidRPr="00824A72">
              <w:rPr>
                <w:rFonts w:cstheme="minorHAnsi"/>
                <w:szCs w:val="22"/>
              </w:rPr>
              <w:t>is based on the delta watts/kilolumen unit</w:t>
            </w:r>
            <w:r w:rsidR="00A02ED0" w:rsidRPr="00824A72">
              <w:rPr>
                <w:rFonts w:cstheme="minorHAnsi"/>
                <w:szCs w:val="22"/>
              </w:rPr>
              <w:t>, as cited below.</w:t>
            </w:r>
          </w:p>
          <w:p w14:paraId="383A1533" w14:textId="77777777" w:rsidR="004E4744" w:rsidRPr="00824A72" w:rsidRDefault="004E4744" w:rsidP="00FB1792">
            <w:pPr>
              <w:rPr>
                <w:rFonts w:cstheme="minorHAnsi"/>
                <w:szCs w:val="22"/>
              </w:rPr>
            </w:pPr>
          </w:p>
          <w:p w14:paraId="477505F2" w14:textId="6427EF1F" w:rsidR="00EC28EE" w:rsidRPr="00824A72" w:rsidRDefault="00A02ED0" w:rsidP="00FB1792">
            <w:pPr>
              <w:rPr>
                <w:rFonts w:cstheme="minorHAnsi"/>
                <w:szCs w:val="22"/>
              </w:rPr>
            </w:pPr>
            <w:r w:rsidRPr="00824A72">
              <w:rPr>
                <w:rFonts w:cstheme="minorHAnsi"/>
                <w:noProof/>
                <w:szCs w:val="22"/>
              </w:rPr>
              <w:drawing>
                <wp:inline distT="0" distB="0" distL="0" distR="0" wp14:anchorId="6B0D638F" wp14:editId="4DADBDE4">
                  <wp:extent cx="5029200" cy="177526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49282" cy="1782353"/>
                          </a:xfrm>
                          <a:prstGeom prst="rect">
                            <a:avLst/>
                          </a:prstGeom>
                        </pic:spPr>
                      </pic:pic>
                    </a:graphicData>
                  </a:graphic>
                </wp:inline>
              </w:drawing>
            </w:r>
          </w:p>
        </w:tc>
      </w:tr>
      <w:tr w:rsidR="00260731" w14:paraId="41DE9B91" w14:textId="77777777" w:rsidTr="00FB2C96">
        <w:trPr>
          <w:cantSplit/>
          <w:jc w:val="center"/>
        </w:trPr>
        <w:tc>
          <w:tcPr>
            <w:tcW w:w="1999" w:type="dxa"/>
            <w:vAlign w:val="center"/>
          </w:tcPr>
          <w:p w14:paraId="01AA6ABD" w14:textId="14A08553" w:rsidR="00741B15" w:rsidRPr="00824A72" w:rsidRDefault="00741B15" w:rsidP="00822B6F">
            <w:pPr>
              <w:jc w:val="right"/>
              <w:rPr>
                <w:rFonts w:cstheme="minorHAnsi"/>
                <w:szCs w:val="22"/>
              </w:rPr>
            </w:pPr>
            <w:r w:rsidRPr="00824A72">
              <w:rPr>
                <w:rFonts w:cstheme="minorHAnsi"/>
                <w:szCs w:val="22"/>
              </w:rPr>
              <w:t xml:space="preserve">Energy Savings/Peak Demand Reduction </w:t>
            </w:r>
            <w:r w:rsidR="00291371" w:rsidRPr="00824A72">
              <w:rPr>
                <w:rFonts w:cstheme="minorHAnsi"/>
                <w:szCs w:val="22"/>
              </w:rPr>
              <w:t>Measures</w:t>
            </w:r>
          </w:p>
        </w:tc>
        <w:tc>
          <w:tcPr>
            <w:tcW w:w="9156" w:type="dxa"/>
          </w:tcPr>
          <w:p w14:paraId="411C732F" w14:textId="62209102" w:rsidR="00596267" w:rsidRPr="00824A72" w:rsidRDefault="00957601" w:rsidP="00017E7E">
            <w:pPr>
              <w:tabs>
                <w:tab w:val="right" w:pos="6732"/>
              </w:tabs>
              <w:rPr>
                <w:rFonts w:cstheme="minorHAnsi"/>
                <w:szCs w:val="22"/>
              </w:rPr>
            </w:pPr>
            <w:r w:rsidRPr="00824A72">
              <w:rPr>
                <w:rFonts w:cstheme="minorHAnsi"/>
                <w:szCs w:val="22"/>
              </w:rPr>
              <w:t>Various per building type</w:t>
            </w:r>
            <w:r w:rsidR="00A02ED0" w:rsidRPr="00824A72">
              <w:rPr>
                <w:rFonts w:cstheme="minorHAnsi"/>
                <w:szCs w:val="22"/>
              </w:rPr>
              <w:t xml:space="preserve"> and climate zone</w:t>
            </w:r>
            <w:r w:rsidR="00FE28A6" w:rsidRPr="00824A72">
              <w:rPr>
                <w:rFonts w:cstheme="minorHAnsi"/>
                <w:szCs w:val="22"/>
              </w:rPr>
              <w:t>, r</w:t>
            </w:r>
            <w:r w:rsidR="00FB5F77" w:rsidRPr="00824A72">
              <w:rPr>
                <w:rFonts w:cstheme="minorHAnsi"/>
                <w:szCs w:val="22"/>
              </w:rPr>
              <w:t>efer to file “</w:t>
            </w:r>
            <w:r w:rsidR="00BA5A96" w:rsidRPr="00824A72">
              <w:rPr>
                <w:rFonts w:cstheme="minorHAnsi"/>
                <w:szCs w:val="22"/>
              </w:rPr>
              <w:t>WPSDGENRLG0083_Rev2_LED Troffer and Ambient New or Kits_Cal_201905.xls</w:t>
            </w:r>
            <w:r w:rsidR="005D48B4">
              <w:rPr>
                <w:rFonts w:cstheme="minorHAnsi"/>
                <w:szCs w:val="22"/>
              </w:rPr>
              <w:t>”</w:t>
            </w:r>
            <w:r w:rsidR="00C436AF" w:rsidRPr="00824A72">
              <w:rPr>
                <w:rFonts w:cstheme="minorHAnsi"/>
                <w:szCs w:val="22"/>
              </w:rPr>
              <w:t xml:space="preserve">, and to page 2 Introduction </w:t>
            </w:r>
            <w:r w:rsidR="00596267" w:rsidRPr="00824A72">
              <w:rPr>
                <w:rFonts w:cstheme="minorHAnsi"/>
                <w:szCs w:val="22"/>
              </w:rPr>
              <w:t xml:space="preserve">regarding energy savings calculations methodology. </w:t>
            </w:r>
          </w:p>
          <w:p w14:paraId="01CD73C2" w14:textId="21EDF6A9" w:rsidR="00596267" w:rsidRPr="00824A72" w:rsidRDefault="00596267" w:rsidP="00017E7E">
            <w:pPr>
              <w:tabs>
                <w:tab w:val="right" w:pos="6732"/>
              </w:tabs>
              <w:rPr>
                <w:rFonts w:cstheme="minorHAnsi"/>
                <w:szCs w:val="22"/>
              </w:rPr>
            </w:pPr>
          </w:p>
        </w:tc>
      </w:tr>
      <w:tr w:rsidR="00260731" w14:paraId="556DBFBE" w14:textId="77777777" w:rsidTr="00FB2C96">
        <w:trPr>
          <w:cantSplit/>
          <w:jc w:val="center"/>
        </w:trPr>
        <w:tc>
          <w:tcPr>
            <w:tcW w:w="1999" w:type="dxa"/>
            <w:vAlign w:val="center"/>
          </w:tcPr>
          <w:p w14:paraId="1402DC18" w14:textId="77777777" w:rsidR="00741B15" w:rsidRPr="00824A72" w:rsidRDefault="00741B15" w:rsidP="001D77F7">
            <w:pPr>
              <w:rPr>
                <w:rFonts w:cstheme="minorHAnsi"/>
                <w:b/>
                <w:szCs w:val="22"/>
              </w:rPr>
            </w:pPr>
            <w:r w:rsidRPr="00824A72">
              <w:rPr>
                <w:rFonts w:cstheme="minorHAnsi"/>
                <w:b/>
                <w:szCs w:val="22"/>
              </w:rPr>
              <w:t>Section 3. Load Shapes</w:t>
            </w:r>
          </w:p>
        </w:tc>
        <w:tc>
          <w:tcPr>
            <w:tcW w:w="9156" w:type="dxa"/>
          </w:tcPr>
          <w:p w14:paraId="70288341" w14:textId="66080265" w:rsidR="00BC20A5" w:rsidRPr="00824A72" w:rsidRDefault="00BC20A5" w:rsidP="004408C6">
            <w:pPr>
              <w:rPr>
                <w:rFonts w:cstheme="minorHAnsi"/>
                <w:szCs w:val="22"/>
              </w:rPr>
            </w:pPr>
            <w:r w:rsidRPr="00824A72">
              <w:rPr>
                <w:rFonts w:cstheme="minorHAnsi"/>
                <w:szCs w:val="22"/>
              </w:rPr>
              <w:t xml:space="preserve">ElecImpProfile: </w:t>
            </w:r>
            <w:r w:rsidR="00F76403" w:rsidRPr="00824A72">
              <w:rPr>
                <w:rFonts w:cstheme="minorHAnsi"/>
                <w:szCs w:val="22"/>
              </w:rPr>
              <w:t>SDGE:DEER:Com:Indoor Non-CFL Ltg</w:t>
            </w:r>
          </w:p>
          <w:p w14:paraId="4CC24F6C" w14:textId="57E99659" w:rsidR="00741B15" w:rsidRPr="00824A72" w:rsidRDefault="00BC20A5" w:rsidP="004408C6">
            <w:pPr>
              <w:rPr>
                <w:rFonts w:cstheme="minorHAnsi"/>
                <w:szCs w:val="22"/>
              </w:rPr>
            </w:pPr>
            <w:r w:rsidRPr="00824A72">
              <w:rPr>
                <w:rFonts w:cstheme="minorHAnsi"/>
                <w:szCs w:val="22"/>
              </w:rPr>
              <w:t xml:space="preserve">GasImpProfile: </w:t>
            </w:r>
            <w:r w:rsidR="00F76403" w:rsidRPr="00824A72">
              <w:rPr>
                <w:rFonts w:cstheme="minorHAnsi"/>
                <w:szCs w:val="22"/>
              </w:rPr>
              <w:t>Winter Only</w:t>
            </w:r>
          </w:p>
        </w:tc>
      </w:tr>
      <w:tr w:rsidR="00260731" w14:paraId="45851A0E" w14:textId="77777777" w:rsidTr="00FB2C96">
        <w:trPr>
          <w:cantSplit/>
          <w:jc w:val="center"/>
        </w:trPr>
        <w:tc>
          <w:tcPr>
            <w:tcW w:w="1999" w:type="dxa"/>
            <w:vAlign w:val="center"/>
          </w:tcPr>
          <w:p w14:paraId="6E61D03C" w14:textId="77777777" w:rsidR="00741B15" w:rsidRPr="00824A72" w:rsidRDefault="00741B15" w:rsidP="001D77F7">
            <w:pPr>
              <w:rPr>
                <w:rFonts w:cstheme="minorHAnsi"/>
                <w:b/>
                <w:szCs w:val="22"/>
              </w:rPr>
            </w:pPr>
            <w:r w:rsidRPr="00824A72">
              <w:rPr>
                <w:rFonts w:cstheme="minorHAnsi"/>
                <w:b/>
                <w:szCs w:val="22"/>
              </w:rPr>
              <w:t>Section 4. Costs</w:t>
            </w:r>
          </w:p>
        </w:tc>
        <w:tc>
          <w:tcPr>
            <w:tcW w:w="9156" w:type="dxa"/>
          </w:tcPr>
          <w:p w14:paraId="1AC03D08" w14:textId="77777777" w:rsidR="00FC1723" w:rsidRPr="00824A72" w:rsidRDefault="00FC1723" w:rsidP="004408C6">
            <w:pPr>
              <w:rPr>
                <w:rFonts w:cstheme="minorHAnsi"/>
                <w:szCs w:val="22"/>
              </w:rPr>
            </w:pPr>
          </w:p>
          <w:p w14:paraId="35F83B23" w14:textId="7706060E" w:rsidR="00FC1723" w:rsidRPr="00DC2692" w:rsidRDefault="00DC2692" w:rsidP="00DC2692">
            <w:pPr>
              <w:tabs>
                <w:tab w:val="left" w:pos="7935"/>
              </w:tabs>
              <w:rPr>
                <w:rFonts w:cstheme="minorHAnsi"/>
                <w:szCs w:val="22"/>
              </w:rPr>
            </w:pPr>
            <w:r>
              <w:rPr>
                <w:rFonts w:cstheme="minorHAnsi"/>
                <w:szCs w:val="22"/>
              </w:rPr>
              <w:tab/>
            </w:r>
          </w:p>
        </w:tc>
      </w:tr>
      <w:tr w:rsidR="00260731" w14:paraId="1BCA3E14" w14:textId="77777777" w:rsidTr="00FB2C96">
        <w:trPr>
          <w:cantSplit/>
          <w:jc w:val="center"/>
        </w:trPr>
        <w:tc>
          <w:tcPr>
            <w:tcW w:w="1999" w:type="dxa"/>
            <w:vAlign w:val="center"/>
          </w:tcPr>
          <w:p w14:paraId="2D6FC86D" w14:textId="77777777" w:rsidR="002B13F3" w:rsidRDefault="002B13F3" w:rsidP="00F56BE9">
            <w:pPr>
              <w:jc w:val="right"/>
              <w:rPr>
                <w:rFonts w:cstheme="minorHAnsi"/>
                <w:szCs w:val="22"/>
              </w:rPr>
            </w:pPr>
          </w:p>
          <w:p w14:paraId="349F3B0D" w14:textId="77777777" w:rsidR="002B13F3" w:rsidRDefault="002B13F3" w:rsidP="00F56BE9">
            <w:pPr>
              <w:jc w:val="right"/>
              <w:rPr>
                <w:rFonts w:cstheme="minorHAnsi"/>
                <w:szCs w:val="22"/>
              </w:rPr>
            </w:pPr>
          </w:p>
          <w:p w14:paraId="04BB27DF" w14:textId="77777777" w:rsidR="002B13F3" w:rsidRDefault="002B13F3" w:rsidP="00F56BE9">
            <w:pPr>
              <w:jc w:val="right"/>
              <w:rPr>
                <w:rFonts w:cstheme="minorHAnsi"/>
                <w:szCs w:val="22"/>
              </w:rPr>
            </w:pPr>
          </w:p>
          <w:p w14:paraId="1E457809" w14:textId="5BA9309F" w:rsidR="00741B15" w:rsidRPr="00824A72" w:rsidRDefault="00741B15" w:rsidP="00F56BE9">
            <w:pPr>
              <w:jc w:val="right"/>
              <w:rPr>
                <w:rFonts w:cstheme="minorHAnsi"/>
                <w:szCs w:val="22"/>
              </w:rPr>
            </w:pPr>
            <w:r w:rsidRPr="00824A72">
              <w:rPr>
                <w:rFonts w:cstheme="minorHAnsi"/>
                <w:szCs w:val="22"/>
              </w:rPr>
              <w:t>Base CostID</w:t>
            </w:r>
          </w:p>
        </w:tc>
        <w:tc>
          <w:tcPr>
            <w:tcW w:w="9156" w:type="dxa"/>
          </w:tcPr>
          <w:p w14:paraId="2459DC35" w14:textId="77777777" w:rsidR="00D6566A" w:rsidRPr="00824A72" w:rsidRDefault="00D6566A" w:rsidP="00392FA8">
            <w:pPr>
              <w:rPr>
                <w:rFonts w:cstheme="minorHAnsi"/>
                <w:szCs w:val="22"/>
              </w:rPr>
            </w:pPr>
          </w:p>
          <w:p w14:paraId="21D9891B" w14:textId="5E314CBD" w:rsidR="00D727CA" w:rsidRPr="00824A72" w:rsidRDefault="00303A77" w:rsidP="00392FA8">
            <w:pPr>
              <w:rPr>
                <w:rFonts w:cstheme="minorHAnsi"/>
                <w:szCs w:val="22"/>
              </w:rPr>
            </w:pPr>
            <w:r w:rsidRPr="00824A72">
              <w:rPr>
                <w:rFonts w:cstheme="minorHAnsi"/>
                <w:szCs w:val="22"/>
              </w:rPr>
              <w:t>Norm Units: KiloLumen</w:t>
            </w:r>
          </w:p>
          <w:tbl>
            <w:tblPr>
              <w:tblStyle w:val="TableGrid"/>
              <w:tblW w:w="0" w:type="auto"/>
              <w:tblLook w:val="04A0" w:firstRow="1" w:lastRow="0" w:firstColumn="1" w:lastColumn="0" w:noHBand="0" w:noVBand="1"/>
            </w:tblPr>
            <w:tblGrid>
              <w:gridCol w:w="2110"/>
              <w:gridCol w:w="3210"/>
              <w:gridCol w:w="1020"/>
              <w:gridCol w:w="900"/>
              <w:gridCol w:w="1080"/>
            </w:tblGrid>
            <w:tr w:rsidR="001A5127" w:rsidRPr="00824A72" w14:paraId="2E6C9CAE" w14:textId="2443DDDB" w:rsidTr="005D3DDC">
              <w:tc>
                <w:tcPr>
                  <w:tcW w:w="2110" w:type="dxa"/>
                  <w:vAlign w:val="center"/>
                </w:tcPr>
                <w:p w14:paraId="6DFD8E75" w14:textId="6ADA3933" w:rsidR="001A5127" w:rsidRPr="00824A72" w:rsidRDefault="001A5127" w:rsidP="001A5127">
                  <w:pPr>
                    <w:rPr>
                      <w:rFonts w:cstheme="minorHAnsi"/>
                      <w:szCs w:val="22"/>
                    </w:rPr>
                  </w:pPr>
                  <w:r w:rsidRPr="00824A72">
                    <w:rPr>
                      <w:rFonts w:cstheme="minorHAnsi"/>
                      <w:szCs w:val="22"/>
                    </w:rPr>
                    <w:t>SDG&amp;E Standard Measure (Base) Cost ID</w:t>
                  </w:r>
                </w:p>
              </w:tc>
              <w:tc>
                <w:tcPr>
                  <w:tcW w:w="3210" w:type="dxa"/>
                  <w:vAlign w:val="center"/>
                </w:tcPr>
                <w:p w14:paraId="334F084E" w14:textId="67C9A695" w:rsidR="001A5127" w:rsidRPr="00824A72" w:rsidRDefault="001A5127" w:rsidP="001A5127">
                  <w:pPr>
                    <w:rPr>
                      <w:rFonts w:cstheme="minorHAnsi"/>
                      <w:szCs w:val="22"/>
                    </w:rPr>
                  </w:pPr>
                  <w:r w:rsidRPr="00824A72">
                    <w:rPr>
                      <w:rFonts w:cstheme="minorHAnsi"/>
                      <w:szCs w:val="22"/>
                    </w:rPr>
                    <w:t xml:space="preserve">Measure Standard Cost </w:t>
                  </w:r>
                  <w:r w:rsidR="00921746" w:rsidRPr="00824A72">
                    <w:rPr>
                      <w:rFonts w:cstheme="minorHAnsi"/>
                      <w:szCs w:val="22"/>
                    </w:rPr>
                    <w:t>Description</w:t>
                  </w:r>
                </w:p>
              </w:tc>
              <w:tc>
                <w:tcPr>
                  <w:tcW w:w="1020" w:type="dxa"/>
                  <w:vAlign w:val="center"/>
                </w:tcPr>
                <w:p w14:paraId="2F5DAA3B" w14:textId="494A4B9F" w:rsidR="001A5127" w:rsidRPr="00824A72" w:rsidRDefault="001A5127" w:rsidP="001A5127">
                  <w:pPr>
                    <w:rPr>
                      <w:rFonts w:cstheme="minorHAnsi"/>
                      <w:szCs w:val="22"/>
                    </w:rPr>
                  </w:pPr>
                  <w:r w:rsidRPr="00824A72">
                    <w:rPr>
                      <w:rFonts w:cstheme="minorHAnsi"/>
                      <w:szCs w:val="22"/>
                    </w:rPr>
                    <w:t xml:space="preserve">Material Cost </w:t>
                  </w:r>
                </w:p>
              </w:tc>
              <w:tc>
                <w:tcPr>
                  <w:tcW w:w="900" w:type="dxa"/>
                  <w:vAlign w:val="center"/>
                </w:tcPr>
                <w:p w14:paraId="79FE5E17" w14:textId="7D793E73" w:rsidR="001A5127" w:rsidRPr="00824A72" w:rsidRDefault="001A5127" w:rsidP="001A5127">
                  <w:pPr>
                    <w:rPr>
                      <w:rFonts w:cstheme="minorHAnsi"/>
                      <w:szCs w:val="22"/>
                    </w:rPr>
                  </w:pPr>
                  <w:r w:rsidRPr="00824A72">
                    <w:rPr>
                      <w:rFonts w:cstheme="minorHAnsi"/>
                      <w:szCs w:val="22"/>
                    </w:rPr>
                    <w:t>Labor Cost</w:t>
                  </w:r>
                </w:p>
              </w:tc>
              <w:tc>
                <w:tcPr>
                  <w:tcW w:w="1080" w:type="dxa"/>
                  <w:vAlign w:val="center"/>
                </w:tcPr>
                <w:p w14:paraId="5AA2E45D" w14:textId="5ED25CD5" w:rsidR="001A5127" w:rsidRPr="00824A72" w:rsidRDefault="001A5127" w:rsidP="001A5127">
                  <w:pPr>
                    <w:rPr>
                      <w:rFonts w:cstheme="minorHAnsi"/>
                      <w:szCs w:val="22"/>
                    </w:rPr>
                  </w:pPr>
                  <w:r w:rsidRPr="00824A72">
                    <w:rPr>
                      <w:rFonts w:cstheme="minorHAnsi"/>
                      <w:szCs w:val="22"/>
                    </w:rPr>
                    <w:t>Nominal Cost</w:t>
                  </w:r>
                </w:p>
              </w:tc>
            </w:tr>
            <w:tr w:rsidR="001A5127" w:rsidRPr="00824A72" w14:paraId="6CE54A24" w14:textId="6092A633" w:rsidTr="005D3DDC">
              <w:tc>
                <w:tcPr>
                  <w:tcW w:w="2110" w:type="dxa"/>
                  <w:vAlign w:val="center"/>
                </w:tcPr>
                <w:p w14:paraId="17C390A9" w14:textId="5D8EBCB9" w:rsidR="001A5127" w:rsidRPr="00824A72" w:rsidRDefault="00FA3FDD" w:rsidP="001A5127">
                  <w:pPr>
                    <w:rPr>
                      <w:rFonts w:cstheme="minorHAnsi"/>
                      <w:szCs w:val="22"/>
                    </w:rPr>
                  </w:pPr>
                  <w:r w:rsidRPr="00824A72">
                    <w:rPr>
                      <w:rFonts w:cstheme="minorHAnsi"/>
                      <w:color w:val="000000"/>
                      <w:szCs w:val="22"/>
                    </w:rPr>
                    <w:t>SDG-LF-Troffer-Base-LEDMsr</w:t>
                  </w:r>
                </w:p>
              </w:tc>
              <w:tc>
                <w:tcPr>
                  <w:tcW w:w="3210" w:type="dxa"/>
                  <w:vAlign w:val="center"/>
                </w:tcPr>
                <w:p w14:paraId="449167E1" w14:textId="0AE10F88" w:rsidR="001A5127" w:rsidRPr="00824A72" w:rsidRDefault="005F6659" w:rsidP="00E14596">
                  <w:pPr>
                    <w:rPr>
                      <w:rFonts w:cstheme="minorHAnsi"/>
                      <w:szCs w:val="22"/>
                    </w:rPr>
                  </w:pPr>
                  <w:r w:rsidRPr="00824A72">
                    <w:rPr>
                      <w:rFonts w:eastAsiaTheme="minorHAnsi" w:cstheme="minorHAnsi"/>
                      <w:color w:val="000000"/>
                      <w:szCs w:val="22"/>
                    </w:rPr>
                    <w:t xml:space="preserve">All LED Troffer Luminaires/Retrofit Kits Measures </w:t>
                  </w:r>
                  <w:r w:rsidR="00E14596">
                    <w:rPr>
                      <w:rFonts w:eastAsiaTheme="minorHAnsi" w:cstheme="minorHAnsi"/>
                      <w:color w:val="000000"/>
                      <w:szCs w:val="22"/>
                    </w:rPr>
                    <w:t xml:space="preserve"> </w:t>
                  </w:r>
                  <w:r w:rsidRPr="00824A72">
                    <w:rPr>
                      <w:rFonts w:eastAsiaTheme="minorHAnsi" w:cstheme="minorHAnsi"/>
                      <w:color w:val="000000"/>
                      <w:szCs w:val="22"/>
                    </w:rPr>
                    <w:t>(blend including TLEDs)</w:t>
                  </w:r>
                </w:p>
              </w:tc>
              <w:tc>
                <w:tcPr>
                  <w:tcW w:w="1020" w:type="dxa"/>
                  <w:vAlign w:val="center"/>
                </w:tcPr>
                <w:p w14:paraId="1B399A0D" w14:textId="3C89D3B8" w:rsidR="001A5127" w:rsidRPr="00824A72" w:rsidRDefault="00EA33F1" w:rsidP="001A5127">
                  <w:pPr>
                    <w:rPr>
                      <w:rFonts w:cstheme="minorHAnsi"/>
                      <w:szCs w:val="22"/>
                    </w:rPr>
                  </w:pPr>
                  <w:r>
                    <w:rPr>
                      <w:rFonts w:cstheme="minorHAnsi"/>
                      <w:szCs w:val="22"/>
                    </w:rPr>
                    <w:t>$22.48</w:t>
                  </w:r>
                </w:p>
              </w:tc>
              <w:tc>
                <w:tcPr>
                  <w:tcW w:w="900" w:type="dxa"/>
                  <w:vAlign w:val="center"/>
                </w:tcPr>
                <w:p w14:paraId="194AFD54" w14:textId="3401145D" w:rsidR="001A5127" w:rsidRPr="00824A72" w:rsidRDefault="00EA33F1" w:rsidP="001A5127">
                  <w:pPr>
                    <w:rPr>
                      <w:rFonts w:cstheme="minorHAnsi"/>
                      <w:szCs w:val="22"/>
                    </w:rPr>
                  </w:pPr>
                  <w:r>
                    <w:rPr>
                      <w:rFonts w:cstheme="minorHAnsi"/>
                      <w:szCs w:val="22"/>
                    </w:rPr>
                    <w:t>$20.97</w:t>
                  </w:r>
                </w:p>
              </w:tc>
              <w:tc>
                <w:tcPr>
                  <w:tcW w:w="1080" w:type="dxa"/>
                  <w:vAlign w:val="center"/>
                </w:tcPr>
                <w:p w14:paraId="74FED727" w14:textId="6D99F4E1" w:rsidR="001A5127" w:rsidRPr="00824A72" w:rsidRDefault="001A5127" w:rsidP="001A5127">
                  <w:pPr>
                    <w:rPr>
                      <w:rFonts w:cstheme="minorHAnsi"/>
                      <w:szCs w:val="22"/>
                    </w:rPr>
                  </w:pPr>
                  <w:r w:rsidRPr="00824A72">
                    <w:rPr>
                      <w:rFonts w:cstheme="minorHAnsi"/>
                      <w:szCs w:val="22"/>
                    </w:rPr>
                    <w:t>$</w:t>
                  </w:r>
                  <w:r w:rsidR="00280517">
                    <w:rPr>
                      <w:rFonts w:cstheme="minorHAnsi"/>
                      <w:szCs w:val="22"/>
                    </w:rPr>
                    <w:t>43.45</w:t>
                  </w:r>
                </w:p>
              </w:tc>
            </w:tr>
            <w:tr w:rsidR="001A5127" w:rsidRPr="00824A72" w14:paraId="555DA687" w14:textId="77777777" w:rsidTr="005D3DDC">
              <w:tc>
                <w:tcPr>
                  <w:tcW w:w="2110" w:type="dxa"/>
                  <w:vAlign w:val="center"/>
                </w:tcPr>
                <w:p w14:paraId="47E6AA82" w14:textId="49D43FDC" w:rsidR="001A5127" w:rsidRPr="00824A72" w:rsidRDefault="004A2654" w:rsidP="001A5127">
                  <w:pPr>
                    <w:rPr>
                      <w:rFonts w:cstheme="minorHAnsi"/>
                      <w:szCs w:val="22"/>
                    </w:rPr>
                  </w:pPr>
                  <w:r w:rsidRPr="00824A72">
                    <w:rPr>
                      <w:rFonts w:cstheme="minorHAnsi"/>
                      <w:color w:val="000000"/>
                      <w:szCs w:val="22"/>
                    </w:rPr>
                    <w:t>SDG-LFfixt-Base-LEDMsr</w:t>
                  </w:r>
                </w:p>
              </w:tc>
              <w:tc>
                <w:tcPr>
                  <w:tcW w:w="3210" w:type="dxa"/>
                  <w:vAlign w:val="center"/>
                </w:tcPr>
                <w:p w14:paraId="772828BF" w14:textId="339FF977" w:rsidR="001A5127" w:rsidRPr="00824A72" w:rsidRDefault="002F119D" w:rsidP="00E14596">
                  <w:pPr>
                    <w:rPr>
                      <w:rFonts w:cstheme="minorHAnsi"/>
                      <w:szCs w:val="22"/>
                    </w:rPr>
                  </w:pPr>
                  <w:r w:rsidRPr="00824A72">
                    <w:rPr>
                      <w:rFonts w:eastAsiaTheme="minorHAnsi" w:cstheme="minorHAnsi"/>
                      <w:color w:val="000000"/>
                      <w:szCs w:val="22"/>
                    </w:rPr>
                    <w:t xml:space="preserve">All LED Linear Ambient Luminaires/Retrofit Kits Measures </w:t>
                  </w:r>
                  <w:r w:rsidR="00E14596">
                    <w:rPr>
                      <w:rFonts w:eastAsiaTheme="minorHAnsi" w:cstheme="minorHAnsi"/>
                      <w:color w:val="000000"/>
                      <w:szCs w:val="22"/>
                    </w:rPr>
                    <w:t xml:space="preserve"> </w:t>
                  </w:r>
                  <w:r w:rsidRPr="00824A72">
                    <w:rPr>
                      <w:rFonts w:eastAsiaTheme="minorHAnsi" w:cstheme="minorHAnsi"/>
                      <w:color w:val="000000"/>
                      <w:szCs w:val="22"/>
                    </w:rPr>
                    <w:t>(blend including TLEDs)</w:t>
                  </w:r>
                </w:p>
              </w:tc>
              <w:tc>
                <w:tcPr>
                  <w:tcW w:w="1020" w:type="dxa"/>
                  <w:vAlign w:val="center"/>
                </w:tcPr>
                <w:p w14:paraId="1407574B" w14:textId="1DE9AC8E" w:rsidR="001A5127" w:rsidRPr="00824A72" w:rsidRDefault="00EA33F1" w:rsidP="001A5127">
                  <w:pPr>
                    <w:rPr>
                      <w:rFonts w:cstheme="minorHAnsi"/>
                      <w:szCs w:val="22"/>
                    </w:rPr>
                  </w:pPr>
                  <w:r>
                    <w:rPr>
                      <w:rFonts w:cstheme="minorHAnsi"/>
                      <w:szCs w:val="22"/>
                    </w:rPr>
                    <w:t>$25.24</w:t>
                  </w:r>
                </w:p>
              </w:tc>
              <w:tc>
                <w:tcPr>
                  <w:tcW w:w="900" w:type="dxa"/>
                  <w:vAlign w:val="center"/>
                </w:tcPr>
                <w:p w14:paraId="5AB01A53" w14:textId="0CF60FFA" w:rsidR="001A5127" w:rsidRPr="00824A72" w:rsidRDefault="00EA33F1" w:rsidP="001A5127">
                  <w:pPr>
                    <w:rPr>
                      <w:rFonts w:cstheme="minorHAnsi"/>
                      <w:szCs w:val="22"/>
                    </w:rPr>
                  </w:pPr>
                  <w:r>
                    <w:rPr>
                      <w:rFonts w:cstheme="minorHAnsi"/>
                      <w:szCs w:val="22"/>
                    </w:rPr>
                    <w:t>$20.97</w:t>
                  </w:r>
                </w:p>
              </w:tc>
              <w:tc>
                <w:tcPr>
                  <w:tcW w:w="1080" w:type="dxa"/>
                  <w:vAlign w:val="center"/>
                </w:tcPr>
                <w:p w14:paraId="30EED492" w14:textId="7E03AE9E" w:rsidR="001A5127" w:rsidRPr="00824A72" w:rsidRDefault="00C26BBA" w:rsidP="001A5127">
                  <w:pPr>
                    <w:rPr>
                      <w:rFonts w:cstheme="minorHAnsi"/>
                      <w:szCs w:val="22"/>
                    </w:rPr>
                  </w:pPr>
                  <w:r w:rsidRPr="00824A72">
                    <w:rPr>
                      <w:rFonts w:cstheme="minorHAnsi"/>
                      <w:szCs w:val="22"/>
                    </w:rPr>
                    <w:t>$</w:t>
                  </w:r>
                  <w:r w:rsidR="0059252F">
                    <w:rPr>
                      <w:rFonts w:cstheme="minorHAnsi"/>
                      <w:szCs w:val="22"/>
                    </w:rPr>
                    <w:t>46.21</w:t>
                  </w:r>
                </w:p>
              </w:tc>
            </w:tr>
            <w:tr w:rsidR="002B13F3" w:rsidRPr="00824A72" w14:paraId="0385AD14" w14:textId="77777777" w:rsidTr="00893A85">
              <w:tc>
                <w:tcPr>
                  <w:tcW w:w="8320" w:type="dxa"/>
                  <w:gridSpan w:val="5"/>
                </w:tcPr>
                <w:p w14:paraId="0E663ED8" w14:textId="77777777" w:rsidR="002B13F3" w:rsidRPr="00824A72" w:rsidRDefault="002B13F3" w:rsidP="001A5127">
                  <w:pPr>
                    <w:rPr>
                      <w:rFonts w:cstheme="minorHAnsi"/>
                      <w:szCs w:val="22"/>
                    </w:rPr>
                  </w:pPr>
                </w:p>
              </w:tc>
            </w:tr>
          </w:tbl>
          <w:p w14:paraId="0531E0FB" w14:textId="7DDC44A5" w:rsidR="002B13F3" w:rsidRPr="00DC2692" w:rsidRDefault="002B13F3" w:rsidP="00DC2692">
            <w:pPr>
              <w:rPr>
                <w:rFonts w:cstheme="minorHAnsi"/>
                <w:szCs w:val="22"/>
              </w:rPr>
            </w:pPr>
          </w:p>
        </w:tc>
      </w:tr>
      <w:tr w:rsidR="008A6EEC" w14:paraId="500A8DE2" w14:textId="77777777" w:rsidTr="00FB2C96">
        <w:trPr>
          <w:cantSplit/>
          <w:jc w:val="center"/>
        </w:trPr>
        <w:tc>
          <w:tcPr>
            <w:tcW w:w="1999" w:type="dxa"/>
            <w:vAlign w:val="center"/>
          </w:tcPr>
          <w:p w14:paraId="6F5BB785" w14:textId="77777777" w:rsidR="00303A77" w:rsidRPr="00824A72" w:rsidRDefault="00303A77" w:rsidP="00F56BE9">
            <w:pPr>
              <w:jc w:val="right"/>
              <w:rPr>
                <w:rFonts w:cstheme="minorHAnsi"/>
                <w:szCs w:val="22"/>
              </w:rPr>
            </w:pPr>
          </w:p>
          <w:p w14:paraId="28E62FC7" w14:textId="77777777" w:rsidR="00303A77" w:rsidRPr="00824A72" w:rsidRDefault="00303A77" w:rsidP="00F56BE9">
            <w:pPr>
              <w:jc w:val="right"/>
              <w:rPr>
                <w:rFonts w:cstheme="minorHAnsi"/>
                <w:szCs w:val="22"/>
              </w:rPr>
            </w:pPr>
          </w:p>
          <w:p w14:paraId="1A5194EA" w14:textId="77777777" w:rsidR="00303A77" w:rsidRPr="00824A72" w:rsidRDefault="00303A77" w:rsidP="00F56BE9">
            <w:pPr>
              <w:jc w:val="right"/>
              <w:rPr>
                <w:rFonts w:cstheme="minorHAnsi"/>
                <w:szCs w:val="22"/>
              </w:rPr>
            </w:pPr>
          </w:p>
          <w:p w14:paraId="10A9F2FB" w14:textId="77777777" w:rsidR="00303A77" w:rsidRPr="00824A72" w:rsidRDefault="00303A77" w:rsidP="00F56BE9">
            <w:pPr>
              <w:jc w:val="right"/>
              <w:rPr>
                <w:rFonts w:cstheme="minorHAnsi"/>
                <w:szCs w:val="22"/>
              </w:rPr>
            </w:pPr>
          </w:p>
          <w:p w14:paraId="0CEE544C" w14:textId="4D45FA8E" w:rsidR="008A6EEC" w:rsidRPr="00824A72" w:rsidRDefault="00D727CA" w:rsidP="00F56BE9">
            <w:pPr>
              <w:jc w:val="right"/>
              <w:rPr>
                <w:rFonts w:cstheme="minorHAnsi"/>
                <w:szCs w:val="22"/>
              </w:rPr>
            </w:pPr>
            <w:r w:rsidRPr="00824A72">
              <w:rPr>
                <w:rFonts w:cstheme="minorHAnsi"/>
                <w:szCs w:val="22"/>
              </w:rPr>
              <w:t>Measure Cost</w:t>
            </w:r>
          </w:p>
        </w:tc>
        <w:tc>
          <w:tcPr>
            <w:tcW w:w="9156" w:type="dxa"/>
          </w:tcPr>
          <w:p w14:paraId="2D213782" w14:textId="59D00DB6" w:rsidR="00303A77" w:rsidRPr="00824A72" w:rsidRDefault="00376806" w:rsidP="00D727CA">
            <w:pPr>
              <w:rPr>
                <w:rFonts w:cstheme="minorHAnsi"/>
                <w:szCs w:val="22"/>
              </w:rPr>
            </w:pPr>
            <w:r>
              <w:rPr>
                <w:rFonts w:cstheme="minorHAnsi"/>
                <w:szCs w:val="22"/>
              </w:rPr>
              <w:t>The SDG&amp;E measure</w:t>
            </w:r>
            <w:r w:rsidR="007D4E68">
              <w:rPr>
                <w:rFonts w:cstheme="minorHAnsi"/>
                <w:szCs w:val="22"/>
              </w:rPr>
              <w:t xml:space="preserve"> cost have been a</w:t>
            </w:r>
            <w:r w:rsidR="005D06EB" w:rsidRPr="00824A72">
              <w:rPr>
                <w:rFonts w:cstheme="minorHAnsi"/>
                <w:szCs w:val="22"/>
              </w:rPr>
              <w:t>dopted from PG</w:t>
            </w:r>
            <w:r w:rsidR="00DB5E13">
              <w:rPr>
                <w:rFonts w:cstheme="minorHAnsi"/>
                <w:szCs w:val="22"/>
              </w:rPr>
              <w:t>&amp;</w:t>
            </w:r>
            <w:r w:rsidR="005D06EB" w:rsidRPr="00824A72">
              <w:rPr>
                <w:rFonts w:cstheme="minorHAnsi"/>
                <w:szCs w:val="22"/>
              </w:rPr>
              <w:t xml:space="preserve">E workpaper </w:t>
            </w:r>
            <w:r w:rsidR="00DE755E" w:rsidRPr="00824A72">
              <w:rPr>
                <w:rFonts w:cstheme="minorHAnsi"/>
                <w:szCs w:val="22"/>
              </w:rPr>
              <w:t xml:space="preserve">PGECOLTG179 Rev </w:t>
            </w:r>
            <w:r w:rsidR="00C63DA0" w:rsidRPr="00824A72">
              <w:rPr>
                <w:rFonts w:cstheme="minorHAnsi"/>
                <w:szCs w:val="22"/>
              </w:rPr>
              <w:t xml:space="preserve">6 </w:t>
            </w:r>
            <w:r w:rsidR="00DE755E" w:rsidRPr="00824A72">
              <w:rPr>
                <w:rFonts w:cstheme="minorHAnsi"/>
                <w:szCs w:val="22"/>
              </w:rPr>
              <w:t>and r</w:t>
            </w:r>
            <w:r w:rsidR="006C6B73" w:rsidRPr="00824A72">
              <w:rPr>
                <w:rFonts w:cstheme="minorHAnsi"/>
                <w:szCs w:val="22"/>
              </w:rPr>
              <w:t xml:space="preserve">efer to the SDG&amp;E Ex-ante database for more </w:t>
            </w:r>
            <w:r w:rsidR="00DE755E" w:rsidRPr="00824A72">
              <w:rPr>
                <w:rFonts w:cstheme="minorHAnsi"/>
                <w:szCs w:val="22"/>
              </w:rPr>
              <w:t xml:space="preserve">detailed </w:t>
            </w:r>
            <w:r w:rsidR="006C6B73" w:rsidRPr="00824A72">
              <w:rPr>
                <w:rFonts w:cstheme="minorHAnsi"/>
                <w:szCs w:val="22"/>
              </w:rPr>
              <w:t xml:space="preserve">information. </w:t>
            </w:r>
          </w:p>
          <w:p w14:paraId="2772440A" w14:textId="543F7606" w:rsidR="00DE755E" w:rsidRPr="00824A72" w:rsidRDefault="00DE755E" w:rsidP="00D727CA">
            <w:pPr>
              <w:rPr>
                <w:rFonts w:cstheme="minorHAnsi"/>
                <w:szCs w:val="22"/>
              </w:rPr>
            </w:pPr>
          </w:p>
          <w:p w14:paraId="219F9C5F" w14:textId="5F3910D0" w:rsidR="00C63DA0" w:rsidRPr="00824A72" w:rsidRDefault="00E14596" w:rsidP="00D727CA">
            <w:pPr>
              <w:rPr>
                <w:rFonts w:cstheme="minorHAnsi"/>
                <w:szCs w:val="22"/>
              </w:rPr>
            </w:pPr>
            <w:r>
              <w:rPr>
                <w:noProof/>
              </w:rPr>
              <w:drawing>
                <wp:inline distT="0" distB="0" distL="0" distR="0" wp14:anchorId="2B46E630" wp14:editId="198D5CC7">
                  <wp:extent cx="5835665" cy="20599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836652" cy="2060288"/>
                          </a:xfrm>
                          <a:prstGeom prst="rect">
                            <a:avLst/>
                          </a:prstGeom>
                        </pic:spPr>
                      </pic:pic>
                    </a:graphicData>
                  </a:graphic>
                </wp:inline>
              </w:drawing>
            </w:r>
          </w:p>
          <w:p w14:paraId="1ED60AE5" w14:textId="77777777" w:rsidR="00DE755E" w:rsidRPr="00824A72" w:rsidRDefault="00DE755E" w:rsidP="00D727CA">
            <w:pPr>
              <w:rPr>
                <w:rFonts w:cstheme="minorHAnsi"/>
                <w:szCs w:val="22"/>
              </w:rPr>
            </w:pPr>
          </w:p>
          <w:p w14:paraId="2E24ACEB" w14:textId="257B8FDC" w:rsidR="00D727CA" w:rsidRPr="00824A72" w:rsidRDefault="00D727CA" w:rsidP="00392FA8">
            <w:pPr>
              <w:rPr>
                <w:rFonts w:cstheme="minorHAnsi"/>
                <w:szCs w:val="22"/>
              </w:rPr>
            </w:pPr>
          </w:p>
        </w:tc>
      </w:tr>
      <w:tr w:rsidR="00D727CA" w14:paraId="0C0BEBED" w14:textId="77777777" w:rsidTr="00FB2C96">
        <w:trPr>
          <w:cantSplit/>
          <w:jc w:val="center"/>
        </w:trPr>
        <w:tc>
          <w:tcPr>
            <w:tcW w:w="1999" w:type="dxa"/>
            <w:vAlign w:val="center"/>
          </w:tcPr>
          <w:p w14:paraId="3D9805E0" w14:textId="77777777" w:rsidR="00303A77" w:rsidRPr="00824A72" w:rsidRDefault="00303A77" w:rsidP="00F56BE9">
            <w:pPr>
              <w:jc w:val="right"/>
              <w:rPr>
                <w:rFonts w:cstheme="minorHAnsi"/>
                <w:szCs w:val="22"/>
              </w:rPr>
            </w:pPr>
          </w:p>
          <w:p w14:paraId="64B1E5AE" w14:textId="77777777" w:rsidR="009C389C" w:rsidRPr="00824A72" w:rsidRDefault="00D727CA" w:rsidP="00F56BE9">
            <w:pPr>
              <w:jc w:val="right"/>
              <w:rPr>
                <w:rFonts w:cstheme="minorHAnsi"/>
                <w:szCs w:val="22"/>
              </w:rPr>
            </w:pPr>
            <w:r w:rsidRPr="00824A72">
              <w:rPr>
                <w:rFonts w:cstheme="minorHAnsi"/>
                <w:szCs w:val="22"/>
              </w:rPr>
              <w:t xml:space="preserve">Incremental Measure </w:t>
            </w:r>
          </w:p>
          <w:p w14:paraId="22499593" w14:textId="3B695551" w:rsidR="00D727CA" w:rsidRPr="00824A72" w:rsidRDefault="00D727CA" w:rsidP="009C389C">
            <w:pPr>
              <w:jc w:val="right"/>
              <w:rPr>
                <w:rFonts w:cstheme="minorHAnsi"/>
                <w:szCs w:val="22"/>
              </w:rPr>
            </w:pPr>
            <w:r w:rsidRPr="00824A72">
              <w:rPr>
                <w:rFonts w:cstheme="minorHAnsi"/>
                <w:szCs w:val="22"/>
              </w:rPr>
              <w:t>Cost (IMC)</w:t>
            </w:r>
          </w:p>
        </w:tc>
        <w:tc>
          <w:tcPr>
            <w:tcW w:w="9156" w:type="dxa"/>
          </w:tcPr>
          <w:p w14:paraId="5155ADE6" w14:textId="77777777" w:rsidR="009C389C" w:rsidRDefault="009C389C" w:rsidP="00392FA8">
            <w:pPr>
              <w:rPr>
                <w:rFonts w:cstheme="minorHAnsi"/>
                <w:szCs w:val="22"/>
              </w:rPr>
            </w:pPr>
            <w:r w:rsidRPr="00824A72">
              <w:rPr>
                <w:rFonts w:cstheme="minorHAnsi"/>
                <w:szCs w:val="22"/>
              </w:rPr>
              <w:t xml:space="preserve">Refer to </w:t>
            </w:r>
            <w:r w:rsidR="005A34D2" w:rsidRPr="00824A72">
              <w:rPr>
                <w:rFonts w:cstheme="minorHAnsi"/>
                <w:szCs w:val="22"/>
              </w:rPr>
              <w:t xml:space="preserve">Introduction, </w:t>
            </w:r>
            <w:r w:rsidR="00E20B0B" w:rsidRPr="00824A72">
              <w:rPr>
                <w:rFonts w:cstheme="minorHAnsi"/>
                <w:szCs w:val="22"/>
              </w:rPr>
              <w:t xml:space="preserve">page 2 included herein </w:t>
            </w:r>
            <w:r w:rsidR="005A34D2" w:rsidRPr="00824A72">
              <w:rPr>
                <w:rFonts w:cstheme="minorHAnsi"/>
                <w:szCs w:val="22"/>
              </w:rPr>
              <w:t>by reference</w:t>
            </w:r>
            <w:r w:rsidR="00C63DA0" w:rsidRPr="00824A72">
              <w:rPr>
                <w:rFonts w:cstheme="minorHAnsi"/>
                <w:szCs w:val="22"/>
              </w:rPr>
              <w:t xml:space="preserve">. </w:t>
            </w:r>
          </w:p>
          <w:p w14:paraId="32EB43DF" w14:textId="77777777" w:rsidR="0059252F" w:rsidRDefault="0059252F" w:rsidP="00392FA8">
            <w:pPr>
              <w:rPr>
                <w:rFonts w:cstheme="minorHAnsi"/>
                <w:szCs w:val="22"/>
              </w:rPr>
            </w:pPr>
          </w:p>
          <w:p w14:paraId="06978D8B" w14:textId="77777777" w:rsidR="0059252F" w:rsidRPr="00A271F7" w:rsidRDefault="0059252F" w:rsidP="0059252F">
            <w:pPr>
              <w:ind w:left="360"/>
              <w:rPr>
                <w:rStyle w:val="Strong"/>
                <w:b w:val="0"/>
                <w:bCs w:val="0"/>
                <w:szCs w:val="22"/>
              </w:rPr>
            </w:pPr>
          </w:p>
          <w:p w14:paraId="7F1DC491" w14:textId="77777777" w:rsidR="0059252F" w:rsidRPr="0059252F" w:rsidRDefault="0059252F" w:rsidP="0059252F">
            <w:pPr>
              <w:rPr>
                <w:rFonts w:cstheme="minorHAnsi"/>
                <w:szCs w:val="22"/>
              </w:rPr>
            </w:pPr>
            <w:r w:rsidRPr="0059252F">
              <w:rPr>
                <w:rFonts w:cstheme="minorHAnsi"/>
                <w:szCs w:val="22"/>
              </w:rPr>
              <w:t>Created the following new Measure Description Cost IDs (Norm Unit: KiloLumen)</w:t>
            </w:r>
          </w:p>
          <w:tbl>
            <w:tblPr>
              <w:tblStyle w:val="TableGrid"/>
              <w:tblW w:w="9525" w:type="dxa"/>
              <w:tblInd w:w="100" w:type="dxa"/>
              <w:tblLook w:val="04A0" w:firstRow="1" w:lastRow="0" w:firstColumn="1" w:lastColumn="0" w:noHBand="0" w:noVBand="1"/>
            </w:tblPr>
            <w:tblGrid>
              <w:gridCol w:w="1350"/>
              <w:gridCol w:w="3330"/>
              <w:gridCol w:w="1170"/>
              <w:gridCol w:w="1152"/>
              <w:gridCol w:w="1173"/>
              <w:gridCol w:w="1350"/>
            </w:tblGrid>
            <w:tr w:rsidR="0059252F" w:rsidRPr="00D727CA" w14:paraId="30021700" w14:textId="77777777" w:rsidTr="005D3DDC">
              <w:tc>
                <w:tcPr>
                  <w:tcW w:w="1350" w:type="dxa"/>
                  <w:vAlign w:val="center"/>
                </w:tcPr>
                <w:p w14:paraId="340ADBEC" w14:textId="2C8F7950" w:rsidR="0059252F" w:rsidRPr="00BA726B" w:rsidRDefault="0059252F" w:rsidP="0059252F">
                  <w:pPr>
                    <w:pStyle w:val="ListParagraph"/>
                    <w:ind w:left="0"/>
                    <w:rPr>
                      <w:rFonts w:cstheme="minorHAnsi"/>
                      <w:b/>
                      <w:szCs w:val="22"/>
                    </w:rPr>
                  </w:pPr>
                  <w:r w:rsidRPr="00BA726B">
                    <w:rPr>
                      <w:rFonts w:cstheme="minorHAnsi"/>
                      <w:b/>
                      <w:szCs w:val="22"/>
                    </w:rPr>
                    <w:t>Product Code</w:t>
                  </w:r>
                </w:p>
              </w:tc>
              <w:tc>
                <w:tcPr>
                  <w:tcW w:w="3330" w:type="dxa"/>
                  <w:vAlign w:val="center"/>
                </w:tcPr>
                <w:p w14:paraId="1FA3C048" w14:textId="75989321" w:rsidR="0059252F" w:rsidRPr="00BA726B" w:rsidRDefault="0059252F" w:rsidP="0059252F">
                  <w:pPr>
                    <w:pStyle w:val="ListParagraph"/>
                    <w:ind w:left="0"/>
                    <w:jc w:val="center"/>
                    <w:rPr>
                      <w:rFonts w:cstheme="minorHAnsi"/>
                      <w:b/>
                      <w:szCs w:val="22"/>
                    </w:rPr>
                  </w:pPr>
                  <w:r w:rsidRPr="00BA726B">
                    <w:rPr>
                      <w:rFonts w:cstheme="minorHAnsi"/>
                      <w:b/>
                      <w:szCs w:val="22"/>
                    </w:rPr>
                    <w:t>PG</w:t>
                  </w:r>
                  <w:r w:rsidR="005D3DDC">
                    <w:rPr>
                      <w:rFonts w:cstheme="minorHAnsi"/>
                      <w:b/>
                      <w:szCs w:val="22"/>
                    </w:rPr>
                    <w:t>&amp;</w:t>
                  </w:r>
                  <w:r w:rsidRPr="00BA726B">
                    <w:rPr>
                      <w:rFonts w:cstheme="minorHAnsi"/>
                      <w:b/>
                      <w:szCs w:val="22"/>
                    </w:rPr>
                    <w:t>E/ SDG</w:t>
                  </w:r>
                  <w:r w:rsidR="005D3DDC">
                    <w:rPr>
                      <w:rFonts w:cstheme="minorHAnsi"/>
                      <w:b/>
                      <w:szCs w:val="22"/>
                    </w:rPr>
                    <w:t>&amp;</w:t>
                  </w:r>
                  <w:r w:rsidRPr="00BA726B">
                    <w:rPr>
                      <w:rFonts w:cstheme="minorHAnsi"/>
                      <w:b/>
                      <w:szCs w:val="22"/>
                    </w:rPr>
                    <w:t>E Measure Description</w:t>
                  </w:r>
                </w:p>
              </w:tc>
              <w:tc>
                <w:tcPr>
                  <w:tcW w:w="1170" w:type="dxa"/>
                  <w:vAlign w:val="center"/>
                </w:tcPr>
                <w:p w14:paraId="681451EF" w14:textId="77777777" w:rsidR="0059252F" w:rsidRPr="00BA726B" w:rsidRDefault="0059252F" w:rsidP="0059252F">
                  <w:pPr>
                    <w:pStyle w:val="ListParagraph"/>
                    <w:ind w:left="0"/>
                    <w:rPr>
                      <w:rFonts w:cstheme="minorHAnsi"/>
                      <w:b/>
                      <w:szCs w:val="22"/>
                    </w:rPr>
                  </w:pPr>
                  <w:r w:rsidRPr="00BA726B">
                    <w:rPr>
                      <w:rFonts w:cstheme="minorHAnsi"/>
                      <w:b/>
                      <w:szCs w:val="22"/>
                    </w:rPr>
                    <w:t xml:space="preserve"> Measure Cost </w:t>
                  </w:r>
                </w:p>
                <w:p w14:paraId="6E983E79" w14:textId="77777777" w:rsidR="0059252F" w:rsidRPr="00BA726B" w:rsidRDefault="0059252F" w:rsidP="0059252F">
                  <w:pPr>
                    <w:pStyle w:val="ListParagraph"/>
                    <w:ind w:left="0"/>
                    <w:rPr>
                      <w:rFonts w:cstheme="minorHAnsi"/>
                      <w:b/>
                      <w:szCs w:val="22"/>
                    </w:rPr>
                  </w:pPr>
                  <w:r w:rsidRPr="00BA726B">
                    <w:rPr>
                      <w:rFonts w:cstheme="minorHAnsi"/>
                      <w:b/>
                      <w:szCs w:val="22"/>
                    </w:rPr>
                    <w:t>($/unit)</w:t>
                  </w:r>
                </w:p>
              </w:tc>
              <w:tc>
                <w:tcPr>
                  <w:tcW w:w="1152" w:type="dxa"/>
                  <w:vAlign w:val="center"/>
                </w:tcPr>
                <w:p w14:paraId="61A1A370" w14:textId="77777777" w:rsidR="0059252F" w:rsidRPr="00BA726B" w:rsidRDefault="0059252F" w:rsidP="0059252F">
                  <w:pPr>
                    <w:pStyle w:val="ListParagraph"/>
                    <w:ind w:left="0"/>
                    <w:rPr>
                      <w:rFonts w:cstheme="minorHAnsi"/>
                      <w:b/>
                      <w:szCs w:val="22"/>
                    </w:rPr>
                  </w:pPr>
                  <w:r w:rsidRPr="00BA726B">
                    <w:rPr>
                      <w:rFonts w:cstheme="minorHAnsi"/>
                      <w:b/>
                      <w:szCs w:val="22"/>
                    </w:rPr>
                    <w:t>Labor Cost ($/unit)</w:t>
                  </w:r>
                </w:p>
              </w:tc>
              <w:tc>
                <w:tcPr>
                  <w:tcW w:w="1173" w:type="dxa"/>
                  <w:vAlign w:val="center"/>
                </w:tcPr>
                <w:p w14:paraId="1107E6B8" w14:textId="77777777" w:rsidR="0059252F" w:rsidRPr="00BA726B" w:rsidRDefault="0059252F" w:rsidP="0059252F">
                  <w:pPr>
                    <w:pStyle w:val="ListParagraph"/>
                    <w:ind w:left="0"/>
                    <w:rPr>
                      <w:rFonts w:cstheme="minorHAnsi"/>
                      <w:b/>
                      <w:szCs w:val="22"/>
                    </w:rPr>
                  </w:pPr>
                  <w:r w:rsidRPr="00BA726B">
                    <w:rPr>
                      <w:rFonts w:cstheme="minorHAnsi"/>
                      <w:b/>
                      <w:szCs w:val="22"/>
                    </w:rPr>
                    <w:t xml:space="preserve">Nominal Cost </w:t>
                  </w:r>
                </w:p>
                <w:p w14:paraId="772ACAF3" w14:textId="77777777" w:rsidR="0059252F" w:rsidRPr="00BA726B" w:rsidRDefault="0059252F" w:rsidP="0059252F">
                  <w:pPr>
                    <w:pStyle w:val="ListParagraph"/>
                    <w:ind w:left="0"/>
                    <w:rPr>
                      <w:rFonts w:cstheme="minorHAnsi"/>
                      <w:b/>
                      <w:szCs w:val="22"/>
                    </w:rPr>
                  </w:pPr>
                  <w:r w:rsidRPr="00BA726B">
                    <w:rPr>
                      <w:rFonts w:cstheme="minorHAnsi"/>
                      <w:b/>
                      <w:szCs w:val="22"/>
                    </w:rPr>
                    <w:t>($/unit):</w:t>
                  </w:r>
                </w:p>
              </w:tc>
              <w:tc>
                <w:tcPr>
                  <w:tcW w:w="1350" w:type="dxa"/>
                  <w:vAlign w:val="center"/>
                </w:tcPr>
                <w:p w14:paraId="3FB8CFA1" w14:textId="77777777" w:rsidR="0059252F" w:rsidRPr="00BA726B" w:rsidRDefault="0059252F" w:rsidP="0059252F">
                  <w:pPr>
                    <w:pStyle w:val="ListParagraph"/>
                    <w:ind w:left="0"/>
                    <w:rPr>
                      <w:rFonts w:cstheme="minorHAnsi"/>
                      <w:b/>
                      <w:szCs w:val="22"/>
                    </w:rPr>
                  </w:pPr>
                  <w:r w:rsidRPr="00BA726B">
                    <w:rPr>
                      <w:rFonts w:cstheme="minorHAnsi"/>
                      <w:b/>
                      <w:szCs w:val="22"/>
                    </w:rPr>
                    <w:t>Incremental Cost ($/unit)</w:t>
                  </w:r>
                </w:p>
              </w:tc>
            </w:tr>
            <w:tr w:rsidR="0059252F" w:rsidRPr="00D727CA" w14:paraId="2221F01B" w14:textId="77777777" w:rsidTr="005D3DDC">
              <w:tc>
                <w:tcPr>
                  <w:tcW w:w="1350" w:type="dxa"/>
                  <w:vAlign w:val="center"/>
                </w:tcPr>
                <w:p w14:paraId="5B3927BA" w14:textId="0D5FB98D" w:rsidR="0059252F" w:rsidRPr="00BA726B" w:rsidRDefault="007B086A" w:rsidP="0059252F">
                  <w:pPr>
                    <w:pStyle w:val="Default"/>
                    <w:rPr>
                      <w:rFonts w:asciiTheme="minorHAnsi" w:hAnsiTheme="minorHAnsi" w:cstheme="minorHAnsi"/>
                      <w:sz w:val="22"/>
                      <w:szCs w:val="22"/>
                    </w:rPr>
                  </w:pPr>
                  <w:r>
                    <w:rPr>
                      <w:rFonts w:asciiTheme="minorHAnsi" w:hAnsiTheme="minorHAnsi" w:cstheme="minorHAnsi"/>
                      <w:sz w:val="22"/>
                      <w:szCs w:val="22"/>
                    </w:rPr>
                    <w:t>Refer to SDG&amp;E EAD tables</w:t>
                  </w:r>
                  <w:r w:rsidR="0059252F" w:rsidRPr="00BA726B">
                    <w:rPr>
                      <w:rFonts w:asciiTheme="minorHAnsi" w:hAnsiTheme="minorHAnsi" w:cstheme="minorHAnsi"/>
                      <w:sz w:val="22"/>
                      <w:szCs w:val="22"/>
                    </w:rPr>
                    <w:t xml:space="preserve"> </w:t>
                  </w:r>
                </w:p>
              </w:tc>
              <w:tc>
                <w:tcPr>
                  <w:tcW w:w="3330" w:type="dxa"/>
                  <w:vAlign w:val="center"/>
                </w:tcPr>
                <w:p w14:paraId="3AB5E469" w14:textId="77777777" w:rsidR="0059252F" w:rsidRPr="00BA726B" w:rsidRDefault="0059252F" w:rsidP="0059252F">
                  <w:pPr>
                    <w:rPr>
                      <w:rFonts w:cstheme="minorHAnsi"/>
                      <w:szCs w:val="22"/>
                    </w:rPr>
                  </w:pPr>
                  <w:r w:rsidRPr="00BA726B">
                    <w:rPr>
                      <w:rFonts w:cstheme="minorHAnsi"/>
                      <w:szCs w:val="22"/>
                    </w:rPr>
                    <w:t xml:space="preserve">LED troffer new Luminaires and Retrofit kits rated greater than or equal to 125 LPW </w:t>
                  </w:r>
                  <w:r>
                    <w:rPr>
                      <w:rFonts w:cstheme="minorHAnsi"/>
                      <w:szCs w:val="22"/>
                    </w:rPr>
                    <w:t xml:space="preserve">up </w:t>
                  </w:r>
                  <w:r w:rsidRPr="00BA726B">
                    <w:rPr>
                      <w:rFonts w:cstheme="minorHAnsi"/>
                      <w:szCs w:val="22"/>
                    </w:rPr>
                    <w:t>to 139 LPW</w:t>
                  </w:r>
                </w:p>
              </w:tc>
              <w:tc>
                <w:tcPr>
                  <w:tcW w:w="1170" w:type="dxa"/>
                  <w:vAlign w:val="center"/>
                </w:tcPr>
                <w:p w14:paraId="6F0861D0" w14:textId="77777777" w:rsidR="0059252F" w:rsidRPr="00BA726B" w:rsidRDefault="0059252F" w:rsidP="0059252F">
                  <w:pPr>
                    <w:pStyle w:val="ListParagraph"/>
                    <w:ind w:left="0"/>
                    <w:jc w:val="center"/>
                    <w:rPr>
                      <w:rFonts w:cstheme="minorHAnsi"/>
                      <w:bCs/>
                      <w:szCs w:val="22"/>
                    </w:rPr>
                  </w:pPr>
                  <w:r w:rsidRPr="00BA726B">
                    <w:rPr>
                      <w:rFonts w:cstheme="minorHAnsi"/>
                      <w:bCs/>
                      <w:szCs w:val="22"/>
                    </w:rPr>
                    <w:t>$28.60</w:t>
                  </w:r>
                </w:p>
              </w:tc>
              <w:tc>
                <w:tcPr>
                  <w:tcW w:w="1152" w:type="dxa"/>
                  <w:vAlign w:val="center"/>
                </w:tcPr>
                <w:p w14:paraId="2F9D6851" w14:textId="77777777" w:rsidR="0059252F" w:rsidRPr="00BA726B" w:rsidRDefault="0059252F" w:rsidP="0059252F">
                  <w:pPr>
                    <w:pStyle w:val="ListParagraph"/>
                    <w:ind w:left="0"/>
                    <w:jc w:val="center"/>
                    <w:rPr>
                      <w:rFonts w:cstheme="minorHAnsi"/>
                      <w:szCs w:val="22"/>
                    </w:rPr>
                  </w:pPr>
                  <w:r w:rsidRPr="00BA726B">
                    <w:rPr>
                      <w:rFonts w:cstheme="minorHAnsi"/>
                      <w:szCs w:val="22"/>
                    </w:rPr>
                    <w:t>$20.97</w:t>
                  </w:r>
                </w:p>
              </w:tc>
              <w:tc>
                <w:tcPr>
                  <w:tcW w:w="1173" w:type="dxa"/>
                  <w:vAlign w:val="center"/>
                </w:tcPr>
                <w:p w14:paraId="44B7B9BA" w14:textId="77777777" w:rsidR="0059252F" w:rsidRPr="00BA726B" w:rsidRDefault="0059252F" w:rsidP="0059252F">
                  <w:pPr>
                    <w:pStyle w:val="ListParagraph"/>
                    <w:ind w:left="0"/>
                    <w:jc w:val="center"/>
                    <w:rPr>
                      <w:rFonts w:cstheme="minorHAnsi"/>
                      <w:szCs w:val="22"/>
                    </w:rPr>
                  </w:pPr>
                  <w:r w:rsidRPr="00BA726B">
                    <w:rPr>
                      <w:rFonts w:cstheme="minorHAnsi"/>
                      <w:szCs w:val="22"/>
                    </w:rPr>
                    <w:t>$49.57</w:t>
                  </w:r>
                </w:p>
              </w:tc>
              <w:tc>
                <w:tcPr>
                  <w:tcW w:w="1350" w:type="dxa"/>
                  <w:vAlign w:val="center"/>
                </w:tcPr>
                <w:p w14:paraId="575CE74A" w14:textId="77777777" w:rsidR="0059252F" w:rsidRPr="00BA726B" w:rsidRDefault="0059252F" w:rsidP="0059252F">
                  <w:pPr>
                    <w:pStyle w:val="ListParagraph"/>
                    <w:ind w:left="0"/>
                    <w:jc w:val="center"/>
                    <w:rPr>
                      <w:rFonts w:cstheme="minorHAnsi"/>
                      <w:szCs w:val="22"/>
                    </w:rPr>
                  </w:pPr>
                  <w:r w:rsidRPr="00BA726B">
                    <w:rPr>
                      <w:rFonts w:cstheme="minorHAnsi"/>
                      <w:bCs/>
                      <w:szCs w:val="22"/>
                    </w:rPr>
                    <w:t>$6.12</w:t>
                  </w:r>
                </w:p>
              </w:tc>
            </w:tr>
            <w:tr w:rsidR="0059252F" w:rsidRPr="00D727CA" w14:paraId="57AD05AA" w14:textId="77777777" w:rsidTr="005D3DDC">
              <w:tc>
                <w:tcPr>
                  <w:tcW w:w="1350" w:type="dxa"/>
                  <w:vAlign w:val="center"/>
                </w:tcPr>
                <w:p w14:paraId="0B04F6B5" w14:textId="2C5E1577" w:rsidR="0059252F" w:rsidRPr="00BA726B" w:rsidRDefault="007B086A" w:rsidP="0059252F">
                  <w:pPr>
                    <w:rPr>
                      <w:rFonts w:cstheme="minorHAnsi"/>
                      <w:szCs w:val="22"/>
                    </w:rPr>
                  </w:pPr>
                  <w:r>
                    <w:rPr>
                      <w:rFonts w:cstheme="minorHAnsi"/>
                      <w:szCs w:val="22"/>
                    </w:rPr>
                    <w:t>Refer to SDG&amp;E EAD tables</w:t>
                  </w:r>
                </w:p>
              </w:tc>
              <w:tc>
                <w:tcPr>
                  <w:tcW w:w="3330" w:type="dxa"/>
                  <w:vAlign w:val="center"/>
                </w:tcPr>
                <w:p w14:paraId="58792863" w14:textId="77777777" w:rsidR="0059252F" w:rsidRPr="00BA726B" w:rsidRDefault="0059252F" w:rsidP="0059252F">
                  <w:pPr>
                    <w:rPr>
                      <w:rFonts w:cstheme="minorHAnsi"/>
                      <w:szCs w:val="22"/>
                    </w:rPr>
                  </w:pPr>
                  <w:r w:rsidRPr="00BA726B">
                    <w:rPr>
                      <w:rFonts w:cstheme="minorHAnsi"/>
                      <w:szCs w:val="22"/>
                    </w:rPr>
                    <w:t>LED troffer new Luminaires and Retrofit kits rated greater than or equal to 140 LPW</w:t>
                  </w:r>
                </w:p>
              </w:tc>
              <w:tc>
                <w:tcPr>
                  <w:tcW w:w="1170" w:type="dxa"/>
                  <w:vAlign w:val="center"/>
                </w:tcPr>
                <w:p w14:paraId="3B0F455E" w14:textId="77777777" w:rsidR="0059252F" w:rsidRPr="00BA726B" w:rsidRDefault="0059252F" w:rsidP="0059252F">
                  <w:pPr>
                    <w:pStyle w:val="ListParagraph"/>
                    <w:ind w:left="0"/>
                    <w:jc w:val="center"/>
                    <w:rPr>
                      <w:rFonts w:cstheme="minorHAnsi"/>
                      <w:bCs/>
                      <w:szCs w:val="22"/>
                    </w:rPr>
                  </w:pPr>
                  <w:r w:rsidRPr="00BA726B">
                    <w:rPr>
                      <w:rFonts w:cstheme="minorHAnsi"/>
                      <w:bCs/>
                      <w:szCs w:val="22"/>
                    </w:rPr>
                    <w:t>$28.93</w:t>
                  </w:r>
                </w:p>
              </w:tc>
              <w:tc>
                <w:tcPr>
                  <w:tcW w:w="1152" w:type="dxa"/>
                  <w:vAlign w:val="center"/>
                </w:tcPr>
                <w:p w14:paraId="53E4F419" w14:textId="77777777" w:rsidR="0059252F" w:rsidRPr="00BA726B" w:rsidRDefault="0059252F" w:rsidP="0059252F">
                  <w:pPr>
                    <w:pStyle w:val="ListParagraph"/>
                    <w:ind w:left="0"/>
                    <w:jc w:val="center"/>
                    <w:rPr>
                      <w:rFonts w:cstheme="minorHAnsi"/>
                      <w:szCs w:val="22"/>
                    </w:rPr>
                  </w:pPr>
                  <w:r w:rsidRPr="00BA726B">
                    <w:rPr>
                      <w:rFonts w:cstheme="minorHAnsi"/>
                      <w:szCs w:val="22"/>
                    </w:rPr>
                    <w:t>$20.97</w:t>
                  </w:r>
                </w:p>
              </w:tc>
              <w:tc>
                <w:tcPr>
                  <w:tcW w:w="1173" w:type="dxa"/>
                  <w:vAlign w:val="center"/>
                </w:tcPr>
                <w:p w14:paraId="117551D4" w14:textId="77777777" w:rsidR="0059252F" w:rsidRPr="00BA726B" w:rsidRDefault="0059252F" w:rsidP="0059252F">
                  <w:pPr>
                    <w:pStyle w:val="ListParagraph"/>
                    <w:ind w:left="0"/>
                    <w:jc w:val="center"/>
                    <w:rPr>
                      <w:rFonts w:cstheme="minorHAnsi"/>
                      <w:szCs w:val="22"/>
                    </w:rPr>
                  </w:pPr>
                  <w:r w:rsidRPr="00BA726B">
                    <w:rPr>
                      <w:rFonts w:cstheme="minorHAnsi"/>
                      <w:szCs w:val="22"/>
                    </w:rPr>
                    <w:t>$49.90</w:t>
                  </w:r>
                </w:p>
              </w:tc>
              <w:tc>
                <w:tcPr>
                  <w:tcW w:w="1350" w:type="dxa"/>
                  <w:vAlign w:val="center"/>
                </w:tcPr>
                <w:p w14:paraId="5CD0F753" w14:textId="77777777" w:rsidR="0059252F" w:rsidRPr="00BA726B" w:rsidRDefault="0059252F" w:rsidP="0059252F">
                  <w:pPr>
                    <w:pStyle w:val="ListParagraph"/>
                    <w:ind w:left="0"/>
                    <w:jc w:val="center"/>
                    <w:rPr>
                      <w:rFonts w:cstheme="minorHAnsi"/>
                      <w:szCs w:val="22"/>
                    </w:rPr>
                  </w:pPr>
                  <w:r w:rsidRPr="00BA726B">
                    <w:rPr>
                      <w:rFonts w:cstheme="minorHAnsi"/>
                      <w:color w:val="000000"/>
                      <w:szCs w:val="22"/>
                    </w:rPr>
                    <w:t>$6.45</w:t>
                  </w:r>
                </w:p>
              </w:tc>
            </w:tr>
            <w:tr w:rsidR="0059252F" w:rsidRPr="00D727CA" w14:paraId="43855CC1" w14:textId="77777777" w:rsidTr="005D3DDC">
              <w:tc>
                <w:tcPr>
                  <w:tcW w:w="1350" w:type="dxa"/>
                  <w:vAlign w:val="center"/>
                </w:tcPr>
                <w:p w14:paraId="23BF34C9" w14:textId="306A3565" w:rsidR="0059252F" w:rsidRPr="00BA726B" w:rsidRDefault="007B086A" w:rsidP="0059252F">
                  <w:pPr>
                    <w:rPr>
                      <w:rFonts w:cstheme="minorHAnsi"/>
                      <w:szCs w:val="22"/>
                    </w:rPr>
                  </w:pPr>
                  <w:r>
                    <w:rPr>
                      <w:rFonts w:cstheme="minorHAnsi"/>
                      <w:szCs w:val="22"/>
                    </w:rPr>
                    <w:t>Refer to SDG&amp;E EAD tables</w:t>
                  </w:r>
                </w:p>
              </w:tc>
              <w:tc>
                <w:tcPr>
                  <w:tcW w:w="3330" w:type="dxa"/>
                  <w:vAlign w:val="center"/>
                </w:tcPr>
                <w:p w14:paraId="7958B751" w14:textId="77777777" w:rsidR="0059252F" w:rsidRPr="00BA726B" w:rsidRDefault="0059252F" w:rsidP="0059252F">
                  <w:pPr>
                    <w:rPr>
                      <w:rFonts w:cstheme="minorHAnsi"/>
                      <w:szCs w:val="22"/>
                    </w:rPr>
                  </w:pPr>
                  <w:r w:rsidRPr="00BA726B">
                    <w:rPr>
                      <w:rFonts w:cstheme="minorHAnsi"/>
                      <w:szCs w:val="22"/>
                    </w:rPr>
                    <w:t xml:space="preserve">LED linear ambient new Luminaires and Retrofit kits rated greater than or equal to 125 LPW </w:t>
                  </w:r>
                  <w:r>
                    <w:rPr>
                      <w:rFonts w:cstheme="minorHAnsi"/>
                      <w:szCs w:val="22"/>
                    </w:rPr>
                    <w:t xml:space="preserve">up </w:t>
                  </w:r>
                  <w:r w:rsidRPr="00BA726B">
                    <w:rPr>
                      <w:rFonts w:cstheme="minorHAnsi"/>
                      <w:szCs w:val="22"/>
                    </w:rPr>
                    <w:t>to 139 LPW.</w:t>
                  </w:r>
                </w:p>
              </w:tc>
              <w:tc>
                <w:tcPr>
                  <w:tcW w:w="1170" w:type="dxa"/>
                  <w:vAlign w:val="center"/>
                </w:tcPr>
                <w:p w14:paraId="5B7D9662" w14:textId="77777777" w:rsidR="0059252F" w:rsidRPr="00BA726B" w:rsidRDefault="0059252F" w:rsidP="0059252F">
                  <w:pPr>
                    <w:pStyle w:val="ListParagraph"/>
                    <w:ind w:left="0"/>
                    <w:jc w:val="center"/>
                    <w:rPr>
                      <w:rFonts w:cstheme="minorHAnsi"/>
                      <w:szCs w:val="22"/>
                    </w:rPr>
                  </w:pPr>
                  <w:r w:rsidRPr="00BA726B">
                    <w:rPr>
                      <w:rFonts w:cstheme="minorHAnsi"/>
                      <w:szCs w:val="22"/>
                    </w:rPr>
                    <w:t>$31.75</w:t>
                  </w:r>
                </w:p>
              </w:tc>
              <w:tc>
                <w:tcPr>
                  <w:tcW w:w="1152" w:type="dxa"/>
                  <w:vAlign w:val="center"/>
                </w:tcPr>
                <w:p w14:paraId="7BFF2675" w14:textId="77777777" w:rsidR="0059252F" w:rsidRPr="00BA726B" w:rsidRDefault="0059252F" w:rsidP="0059252F">
                  <w:pPr>
                    <w:pStyle w:val="ListParagraph"/>
                    <w:ind w:left="0"/>
                    <w:jc w:val="center"/>
                    <w:rPr>
                      <w:rFonts w:cstheme="minorHAnsi"/>
                      <w:szCs w:val="22"/>
                    </w:rPr>
                  </w:pPr>
                  <w:r w:rsidRPr="00BA726B">
                    <w:rPr>
                      <w:rFonts w:cstheme="minorHAnsi"/>
                      <w:szCs w:val="22"/>
                    </w:rPr>
                    <w:t>$20.97</w:t>
                  </w:r>
                </w:p>
              </w:tc>
              <w:tc>
                <w:tcPr>
                  <w:tcW w:w="1173" w:type="dxa"/>
                  <w:vAlign w:val="center"/>
                </w:tcPr>
                <w:p w14:paraId="06735630" w14:textId="77777777" w:rsidR="0059252F" w:rsidRPr="00BA726B" w:rsidRDefault="0059252F" w:rsidP="0059252F">
                  <w:pPr>
                    <w:pStyle w:val="ListParagraph"/>
                    <w:ind w:left="0"/>
                    <w:jc w:val="center"/>
                    <w:rPr>
                      <w:rFonts w:cstheme="minorHAnsi"/>
                      <w:szCs w:val="22"/>
                    </w:rPr>
                  </w:pPr>
                  <w:r w:rsidRPr="00BA726B">
                    <w:rPr>
                      <w:rFonts w:cstheme="minorHAnsi"/>
                      <w:szCs w:val="22"/>
                    </w:rPr>
                    <w:t>$52.72</w:t>
                  </w:r>
                </w:p>
              </w:tc>
              <w:tc>
                <w:tcPr>
                  <w:tcW w:w="1350" w:type="dxa"/>
                  <w:vAlign w:val="center"/>
                </w:tcPr>
                <w:p w14:paraId="11BE1056" w14:textId="77777777" w:rsidR="0059252F" w:rsidRPr="00BA726B" w:rsidRDefault="0059252F" w:rsidP="0059252F">
                  <w:pPr>
                    <w:pStyle w:val="ListParagraph"/>
                    <w:ind w:left="0"/>
                    <w:jc w:val="center"/>
                    <w:rPr>
                      <w:rFonts w:cstheme="minorHAnsi"/>
                      <w:szCs w:val="22"/>
                    </w:rPr>
                  </w:pPr>
                  <w:r w:rsidRPr="00BA726B">
                    <w:rPr>
                      <w:rFonts w:cstheme="minorHAnsi"/>
                      <w:color w:val="000000"/>
                      <w:szCs w:val="22"/>
                    </w:rPr>
                    <w:t>$6.51</w:t>
                  </w:r>
                </w:p>
              </w:tc>
            </w:tr>
            <w:tr w:rsidR="0059252F" w:rsidRPr="00D727CA" w14:paraId="3FFF3F61" w14:textId="77777777" w:rsidTr="005D3DDC">
              <w:tc>
                <w:tcPr>
                  <w:tcW w:w="1350" w:type="dxa"/>
                  <w:vAlign w:val="center"/>
                </w:tcPr>
                <w:p w14:paraId="6E4423B7" w14:textId="13ED73EF" w:rsidR="0059252F" w:rsidRPr="00BA726B" w:rsidRDefault="007B086A" w:rsidP="0059252F">
                  <w:pPr>
                    <w:rPr>
                      <w:rFonts w:cstheme="minorHAnsi"/>
                      <w:szCs w:val="22"/>
                    </w:rPr>
                  </w:pPr>
                  <w:r>
                    <w:rPr>
                      <w:rFonts w:cstheme="minorHAnsi"/>
                      <w:szCs w:val="22"/>
                    </w:rPr>
                    <w:t>Refer to SDG&amp;E EAD tables</w:t>
                  </w:r>
                </w:p>
              </w:tc>
              <w:tc>
                <w:tcPr>
                  <w:tcW w:w="3330" w:type="dxa"/>
                  <w:vAlign w:val="center"/>
                </w:tcPr>
                <w:p w14:paraId="471B07E2" w14:textId="77777777" w:rsidR="0059252F" w:rsidRPr="00BA726B" w:rsidRDefault="0059252F" w:rsidP="0059252F">
                  <w:pPr>
                    <w:rPr>
                      <w:rFonts w:cstheme="minorHAnsi"/>
                      <w:szCs w:val="22"/>
                    </w:rPr>
                  </w:pPr>
                  <w:r w:rsidRPr="00BA726B">
                    <w:rPr>
                      <w:rFonts w:cstheme="minorHAnsi"/>
                      <w:szCs w:val="22"/>
                    </w:rPr>
                    <w:t>LED linear ambient new Luminaires and Retrofit kits rated greater than or equal to 140 LPW</w:t>
                  </w:r>
                </w:p>
              </w:tc>
              <w:tc>
                <w:tcPr>
                  <w:tcW w:w="1170" w:type="dxa"/>
                  <w:vAlign w:val="center"/>
                </w:tcPr>
                <w:p w14:paraId="730A5239" w14:textId="77777777" w:rsidR="0059252F" w:rsidRPr="00BA726B" w:rsidRDefault="0059252F" w:rsidP="0059252F">
                  <w:pPr>
                    <w:pStyle w:val="ListParagraph"/>
                    <w:ind w:left="0"/>
                    <w:jc w:val="center"/>
                    <w:rPr>
                      <w:rFonts w:cstheme="minorHAnsi"/>
                      <w:bCs/>
                      <w:szCs w:val="22"/>
                    </w:rPr>
                  </w:pPr>
                  <w:r w:rsidRPr="00BA726B">
                    <w:rPr>
                      <w:rFonts w:cstheme="minorHAnsi"/>
                      <w:bCs/>
                      <w:szCs w:val="22"/>
                    </w:rPr>
                    <w:t>$33.13</w:t>
                  </w:r>
                </w:p>
              </w:tc>
              <w:tc>
                <w:tcPr>
                  <w:tcW w:w="1152" w:type="dxa"/>
                  <w:vAlign w:val="center"/>
                </w:tcPr>
                <w:p w14:paraId="6E014ED6" w14:textId="77777777" w:rsidR="0059252F" w:rsidRPr="00BA726B" w:rsidRDefault="0059252F" w:rsidP="0059252F">
                  <w:pPr>
                    <w:pStyle w:val="ListParagraph"/>
                    <w:ind w:left="0"/>
                    <w:jc w:val="center"/>
                    <w:rPr>
                      <w:rFonts w:cstheme="minorHAnsi"/>
                      <w:szCs w:val="22"/>
                    </w:rPr>
                  </w:pPr>
                  <w:r w:rsidRPr="00BA726B">
                    <w:rPr>
                      <w:rFonts w:cstheme="minorHAnsi"/>
                      <w:szCs w:val="22"/>
                    </w:rPr>
                    <w:t>$20.97</w:t>
                  </w:r>
                </w:p>
              </w:tc>
              <w:tc>
                <w:tcPr>
                  <w:tcW w:w="1173" w:type="dxa"/>
                  <w:vAlign w:val="center"/>
                </w:tcPr>
                <w:p w14:paraId="433A6AF1" w14:textId="77777777" w:rsidR="0059252F" w:rsidRPr="00BA726B" w:rsidRDefault="0059252F" w:rsidP="0059252F">
                  <w:pPr>
                    <w:pStyle w:val="ListParagraph"/>
                    <w:ind w:left="0"/>
                    <w:jc w:val="center"/>
                    <w:rPr>
                      <w:rFonts w:cstheme="minorHAnsi"/>
                      <w:szCs w:val="22"/>
                    </w:rPr>
                  </w:pPr>
                  <w:r w:rsidRPr="00BA726B">
                    <w:rPr>
                      <w:rFonts w:cstheme="minorHAnsi"/>
                      <w:szCs w:val="22"/>
                    </w:rPr>
                    <w:t>$54.10</w:t>
                  </w:r>
                </w:p>
              </w:tc>
              <w:tc>
                <w:tcPr>
                  <w:tcW w:w="1350" w:type="dxa"/>
                  <w:vAlign w:val="center"/>
                </w:tcPr>
                <w:p w14:paraId="33257B7D" w14:textId="77777777" w:rsidR="0059252F" w:rsidRPr="00BA726B" w:rsidRDefault="0059252F" w:rsidP="0059252F">
                  <w:pPr>
                    <w:pStyle w:val="ListParagraph"/>
                    <w:ind w:left="0"/>
                    <w:jc w:val="center"/>
                    <w:rPr>
                      <w:rFonts w:cstheme="minorHAnsi"/>
                      <w:szCs w:val="22"/>
                    </w:rPr>
                  </w:pPr>
                  <w:r w:rsidRPr="00BA726B">
                    <w:rPr>
                      <w:rFonts w:cstheme="minorHAnsi"/>
                      <w:color w:val="000000"/>
                      <w:szCs w:val="22"/>
                    </w:rPr>
                    <w:t>$7.89</w:t>
                  </w:r>
                </w:p>
              </w:tc>
            </w:tr>
          </w:tbl>
          <w:p w14:paraId="7BFBF5A6" w14:textId="5EFD351B" w:rsidR="0059252F" w:rsidRPr="00824A72" w:rsidRDefault="0059252F" w:rsidP="00392FA8">
            <w:pPr>
              <w:rPr>
                <w:rFonts w:cstheme="minorHAnsi"/>
                <w:szCs w:val="22"/>
              </w:rPr>
            </w:pPr>
          </w:p>
        </w:tc>
      </w:tr>
    </w:tbl>
    <w:p w14:paraId="0C2CF7C5" w14:textId="79E34986" w:rsidR="00291371" w:rsidRDefault="00291371" w:rsidP="00291371">
      <w:pPr>
        <w:pStyle w:val="ListParagraph"/>
      </w:pPr>
    </w:p>
    <w:p w14:paraId="2D1F0194" w14:textId="76BEB534" w:rsidR="00EA3BD1" w:rsidRDefault="00EA3BD1" w:rsidP="00E20B0B">
      <w:bookmarkStart w:id="5" w:name="_GoBack"/>
      <w:bookmarkEnd w:id="5"/>
    </w:p>
    <w:sectPr w:rsidR="00EA3BD1" w:rsidSect="00FB2C9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B439F3" w14:textId="77777777" w:rsidR="00D31273" w:rsidRDefault="00D31273" w:rsidP="00FE520B">
      <w:r>
        <w:separator/>
      </w:r>
    </w:p>
  </w:endnote>
  <w:endnote w:type="continuationSeparator" w:id="0">
    <w:p w14:paraId="5660A239" w14:textId="77777777" w:rsidR="00D31273" w:rsidRDefault="00D31273"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0F298" w14:textId="631BB565" w:rsidR="00893A85" w:rsidRPr="00E47372" w:rsidRDefault="00893A85" w:rsidP="00B71A1B">
    <w:pPr>
      <w:pStyle w:val="Footer"/>
      <w:pBdr>
        <w:top w:val="single" w:sz="4" w:space="1" w:color="auto"/>
      </w:pBdr>
      <w:rPr>
        <w:b/>
      </w:rPr>
    </w:pPr>
    <w:r>
      <w:rPr>
        <w:b/>
      </w:rPr>
      <w:t xml:space="preserve">Workpaper WPSDGENRLG0083, Revision 2                            </w:t>
    </w:r>
    <w:r>
      <w:rPr>
        <w:b/>
      </w:rPr>
      <w:tab/>
      <w:t xml:space="preserve">June </w:t>
    </w:r>
    <w:r w:rsidR="00DC2692">
      <w:rPr>
        <w:b/>
      </w:rPr>
      <w:t>14</w:t>
    </w:r>
    <w:r w:rsidRPr="00DC5C9B">
      <w:rPr>
        <w:b/>
      </w:rPr>
      <w:t>, 201</w:t>
    </w:r>
    <w:r>
      <w:rPr>
        <w:b/>
      </w:rPr>
      <w:t>9</w:t>
    </w:r>
  </w:p>
  <w:p w14:paraId="22E77362" w14:textId="77777777" w:rsidR="00893A85" w:rsidRDefault="00893A85" w:rsidP="00B71A1B">
    <w:pPr>
      <w:pStyle w:val="Footer"/>
      <w:rPr>
        <w:b/>
      </w:rPr>
    </w:pPr>
    <w:r>
      <w:rPr>
        <w:b/>
      </w:rPr>
      <w:t>San Diego Gas &amp; Electric</w:t>
    </w:r>
  </w:p>
  <w:p w14:paraId="3E8F46BC" w14:textId="73D30133" w:rsidR="00893A85" w:rsidRDefault="00893A85">
    <w:pPr>
      <w:pStyle w:val="Footer"/>
      <w:jc w:val="center"/>
    </w:pPr>
    <w:r>
      <w:t xml:space="preserve"> Page </w:t>
    </w:r>
    <w:sdt>
      <w:sdtPr>
        <w:id w:val="-16794404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4</w:t>
        </w:r>
        <w:r>
          <w:rPr>
            <w:noProof/>
          </w:rPr>
          <w:fldChar w:fldCharType="end"/>
        </w:r>
      </w:sdtContent>
    </w:sdt>
  </w:p>
  <w:p w14:paraId="065DD977" w14:textId="77777777" w:rsidR="00893A85" w:rsidRPr="009500DC" w:rsidRDefault="00893A85" w:rsidP="00BF7104">
    <w:pPr>
      <w:pStyle w:val="Footer"/>
      <w:jc w:val="right"/>
      <w:rPr>
        <w:rFonts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1F2E71" w14:textId="77777777" w:rsidR="00D31273" w:rsidRDefault="00D31273" w:rsidP="00FE520B">
      <w:r>
        <w:separator/>
      </w:r>
    </w:p>
  </w:footnote>
  <w:footnote w:type="continuationSeparator" w:id="0">
    <w:p w14:paraId="7CC4ED16" w14:textId="77777777" w:rsidR="00D31273" w:rsidRDefault="00D31273"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54E74"/>
    <w:multiLevelType w:val="hybridMultilevel"/>
    <w:tmpl w:val="1A2EAF7A"/>
    <w:lvl w:ilvl="0" w:tplc="F60260E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FC26E1"/>
    <w:multiLevelType w:val="hybridMultilevel"/>
    <w:tmpl w:val="D51AF582"/>
    <w:lvl w:ilvl="0" w:tplc="3B189058">
      <w:start w:val="1"/>
      <w:numFmt w:val="decimal"/>
      <w:lvlText w:val="%1)"/>
      <w:lvlJc w:val="left"/>
      <w:pPr>
        <w:ind w:left="36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840EFA"/>
    <w:multiLevelType w:val="hybridMultilevel"/>
    <w:tmpl w:val="E47C1F6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9C2E90"/>
    <w:multiLevelType w:val="hybridMultilevel"/>
    <w:tmpl w:val="720EE616"/>
    <w:lvl w:ilvl="0" w:tplc="0FC2E0EC">
      <w:start w:val="1"/>
      <w:numFmt w:val="lowerLetter"/>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5C19D9"/>
    <w:multiLevelType w:val="multilevel"/>
    <w:tmpl w:val="DCAC44A6"/>
    <w:lvl w:ilvl="0">
      <w:start w:val="4"/>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5"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E5B3BFC"/>
    <w:multiLevelType w:val="multilevel"/>
    <w:tmpl w:val="ED6E32FA"/>
    <w:lvl w:ilvl="0">
      <w:start w:val="1"/>
      <w:numFmt w:val="bullet"/>
      <w:lvlText w:val="●"/>
      <w:lvlJc w:val="left"/>
      <w:pPr>
        <w:ind w:left="720" w:firstLine="1080"/>
      </w:pPr>
      <w:rPr>
        <w:rFonts w:ascii="Arial" w:eastAsia="Arial" w:hAnsi="Arial" w:cs="Arial"/>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7" w15:restartNumberingAfterBreak="0">
    <w:nsid w:val="1EA564E9"/>
    <w:multiLevelType w:val="hybridMultilevel"/>
    <w:tmpl w:val="FB34AA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B970A8"/>
    <w:multiLevelType w:val="hybridMultilevel"/>
    <w:tmpl w:val="8F18FA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2B6170"/>
    <w:multiLevelType w:val="multilevel"/>
    <w:tmpl w:val="C04E009C"/>
    <w:lvl w:ilvl="0">
      <w:start w:val="1"/>
      <w:numFmt w:val="decimal"/>
      <w:lvlText w:val="%1."/>
      <w:lvlJc w:val="left"/>
      <w:pPr>
        <w:ind w:left="720" w:firstLine="360"/>
      </w:p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 w15:restartNumberingAfterBreak="0">
    <w:nsid w:val="260D0843"/>
    <w:multiLevelType w:val="hybridMultilevel"/>
    <w:tmpl w:val="35AED6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26A52"/>
    <w:multiLevelType w:val="hybridMultilevel"/>
    <w:tmpl w:val="B750F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pStyle w:val="WPPR2"/>
      <w:lvlText w:val="%4."/>
      <w:lvlJc w:val="left"/>
      <w:pPr>
        <w:ind w:left="2880" w:hanging="360"/>
      </w:pPr>
    </w:lvl>
    <w:lvl w:ilvl="4" w:tplc="04090019" w:tentative="1">
      <w:start w:val="1"/>
      <w:numFmt w:val="lowerLetter"/>
      <w:pStyle w:val="WPPR3"/>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B824EC7"/>
    <w:multiLevelType w:val="hybridMultilevel"/>
    <w:tmpl w:val="15C0AB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741F89"/>
    <w:multiLevelType w:val="hybridMultilevel"/>
    <w:tmpl w:val="CFA48726"/>
    <w:lvl w:ilvl="0" w:tplc="B80C40D6">
      <w:start w:val="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B41279"/>
    <w:multiLevelType w:val="hybridMultilevel"/>
    <w:tmpl w:val="A0B0E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8A40D7"/>
    <w:multiLevelType w:val="hybridMultilevel"/>
    <w:tmpl w:val="59846E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7229B3"/>
    <w:multiLevelType w:val="hybridMultilevel"/>
    <w:tmpl w:val="15C0AB4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AC2D8E"/>
    <w:multiLevelType w:val="multilevel"/>
    <w:tmpl w:val="CF2A147C"/>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24" w15:restartNumberingAfterBreak="0">
    <w:nsid w:val="5C57425F"/>
    <w:multiLevelType w:val="hybridMultilevel"/>
    <w:tmpl w:val="B29A2BBC"/>
    <w:lvl w:ilvl="0" w:tplc="C3369918">
      <w:numFmt w:val="bullet"/>
      <w:lvlText w:val="•"/>
      <w:lvlJc w:val="left"/>
      <w:pPr>
        <w:ind w:left="720" w:hanging="360"/>
      </w:pPr>
      <w:rPr>
        <w:rFonts w:ascii="Calibri" w:eastAsia="Times New Roman" w:hAnsi="Calibri" w:cs="Calibri" w:hint="default"/>
      </w:rPr>
    </w:lvl>
    <w:lvl w:ilvl="1" w:tplc="7A3604C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21731C"/>
    <w:multiLevelType w:val="hybridMultilevel"/>
    <w:tmpl w:val="8F5EA138"/>
    <w:lvl w:ilvl="0" w:tplc="6D1C5CCC">
      <w:start w:val="3"/>
      <w:numFmt w:val="decimal"/>
      <w:pStyle w:val="TBL"/>
      <w:lvlText w:val="Table %1 - "/>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87566F"/>
    <w:multiLevelType w:val="hybridMultilevel"/>
    <w:tmpl w:val="44FCD186"/>
    <w:lvl w:ilvl="0" w:tplc="1C9270A8">
      <w:start w:val="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28C699E"/>
    <w:multiLevelType w:val="hybridMultilevel"/>
    <w:tmpl w:val="1CF062C2"/>
    <w:lvl w:ilvl="0" w:tplc="04090015">
      <w:start w:val="1"/>
      <w:numFmt w:val="upp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8" w15:restartNumberingAfterBreak="0">
    <w:nsid w:val="64B3614A"/>
    <w:multiLevelType w:val="hybridMultilevel"/>
    <w:tmpl w:val="387AE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4B4C0C"/>
    <w:multiLevelType w:val="hybridMultilevel"/>
    <w:tmpl w:val="39D05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7F597A"/>
    <w:multiLevelType w:val="hybridMultilevel"/>
    <w:tmpl w:val="F1F015EA"/>
    <w:lvl w:ilvl="0" w:tplc="D6F068EA">
      <w:start w:val="1"/>
      <w:numFmt w:val="decimal"/>
      <w:lvlText w:val="Table %1 -"/>
      <w:lvlJc w:val="left"/>
      <w:pPr>
        <w:tabs>
          <w:tab w:val="num" w:pos="1080"/>
        </w:tabs>
        <w:ind w:left="1080" w:hanging="360"/>
      </w:pPr>
      <w:rPr>
        <w:rFonts w:ascii="Arial" w:hAnsi="Arial" w:hint="default"/>
        <w:b/>
        <w:i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730016AE"/>
    <w:multiLevelType w:val="multilevel"/>
    <w:tmpl w:val="A308F48C"/>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32"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D167A69"/>
    <w:multiLevelType w:val="multilevel"/>
    <w:tmpl w:val="9F36830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4" w15:restartNumberingAfterBreak="0">
    <w:nsid w:val="7ECC2176"/>
    <w:multiLevelType w:val="hybridMultilevel"/>
    <w:tmpl w:val="C4D0FE6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3"/>
  </w:num>
  <w:num w:numId="2">
    <w:abstractNumId w:val="14"/>
  </w:num>
  <w:num w:numId="3">
    <w:abstractNumId w:val="5"/>
  </w:num>
  <w:num w:numId="4">
    <w:abstractNumId w:val="18"/>
  </w:num>
  <w:num w:numId="5">
    <w:abstractNumId w:val="22"/>
  </w:num>
  <w:num w:numId="6">
    <w:abstractNumId w:val="4"/>
  </w:num>
  <w:num w:numId="7">
    <w:abstractNumId w:val="25"/>
  </w:num>
  <w:num w:numId="8">
    <w:abstractNumId w:val="30"/>
  </w:num>
  <w:num w:numId="9">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0">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1">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2">
    <w:abstractNumId w:val="12"/>
  </w:num>
  <w:num w:numId="13">
    <w:abstractNumId w:val="24"/>
  </w:num>
  <w:num w:numId="14">
    <w:abstractNumId w:val="27"/>
  </w:num>
  <w:num w:numId="15">
    <w:abstractNumId w:val="4"/>
  </w:num>
  <w:num w:numId="16">
    <w:abstractNumId w:val="4"/>
  </w:num>
  <w:num w:numId="17">
    <w:abstractNumId w:val="20"/>
  </w:num>
  <w:num w:numId="18">
    <w:abstractNumId w:val="15"/>
  </w:num>
  <w:num w:numId="19">
    <w:abstractNumId w:val="32"/>
  </w:num>
  <w:num w:numId="20">
    <w:abstractNumId w:val="11"/>
  </w:num>
  <w:num w:numId="21">
    <w:abstractNumId w:val="6"/>
  </w:num>
  <w:num w:numId="22">
    <w:abstractNumId w:val="33"/>
  </w:num>
  <w:num w:numId="23">
    <w:abstractNumId w:val="3"/>
  </w:num>
  <w:num w:numId="24">
    <w:abstractNumId w:val="10"/>
  </w:num>
  <w:num w:numId="25">
    <w:abstractNumId w:val="23"/>
  </w:num>
  <w:num w:numId="26">
    <w:abstractNumId w:val="31"/>
  </w:num>
  <w:num w:numId="27">
    <w:abstractNumId w:val="19"/>
  </w:num>
  <w:num w:numId="28">
    <w:abstractNumId w:val="16"/>
  </w:num>
  <w:num w:numId="29">
    <w:abstractNumId w:val="28"/>
  </w:num>
  <w:num w:numId="30">
    <w:abstractNumId w:val="9"/>
  </w:num>
  <w:num w:numId="31">
    <w:abstractNumId w:val="2"/>
  </w:num>
  <w:num w:numId="32">
    <w:abstractNumId w:val="17"/>
  </w:num>
  <w:num w:numId="33">
    <w:abstractNumId w:val="26"/>
  </w:num>
  <w:num w:numId="34">
    <w:abstractNumId w:val="29"/>
  </w:num>
  <w:num w:numId="35">
    <w:abstractNumId w:val="1"/>
  </w:num>
  <w:num w:numId="36">
    <w:abstractNumId w:val="21"/>
  </w:num>
  <w:num w:numId="37">
    <w:abstractNumId w:val="0"/>
  </w:num>
  <w:num w:numId="38">
    <w:abstractNumId w:val="34"/>
  </w:num>
  <w:num w:numId="39">
    <w:abstractNumId w:val="8"/>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7C6"/>
    <w:rsid w:val="00001556"/>
    <w:rsid w:val="00005870"/>
    <w:rsid w:val="000143F0"/>
    <w:rsid w:val="00017E7E"/>
    <w:rsid w:val="00021AEA"/>
    <w:rsid w:val="00031296"/>
    <w:rsid w:val="00033CB1"/>
    <w:rsid w:val="00041E07"/>
    <w:rsid w:val="000500E0"/>
    <w:rsid w:val="0005267D"/>
    <w:rsid w:val="00052743"/>
    <w:rsid w:val="00052CE4"/>
    <w:rsid w:val="000629D5"/>
    <w:rsid w:val="00065127"/>
    <w:rsid w:val="00070676"/>
    <w:rsid w:val="00070B14"/>
    <w:rsid w:val="0007180E"/>
    <w:rsid w:val="000725BB"/>
    <w:rsid w:val="00073DFD"/>
    <w:rsid w:val="00081056"/>
    <w:rsid w:val="00084A30"/>
    <w:rsid w:val="000917F2"/>
    <w:rsid w:val="00091FE0"/>
    <w:rsid w:val="000941E6"/>
    <w:rsid w:val="000A1A52"/>
    <w:rsid w:val="000C0F45"/>
    <w:rsid w:val="000C758F"/>
    <w:rsid w:val="000E00D5"/>
    <w:rsid w:val="000E2E9B"/>
    <w:rsid w:val="000F0580"/>
    <w:rsid w:val="000F683D"/>
    <w:rsid w:val="000F7059"/>
    <w:rsid w:val="000F72EF"/>
    <w:rsid w:val="001032E6"/>
    <w:rsid w:val="001053B6"/>
    <w:rsid w:val="00106741"/>
    <w:rsid w:val="00107D86"/>
    <w:rsid w:val="001158E9"/>
    <w:rsid w:val="00116EE8"/>
    <w:rsid w:val="0011724E"/>
    <w:rsid w:val="001218DC"/>
    <w:rsid w:val="00123E04"/>
    <w:rsid w:val="001264BA"/>
    <w:rsid w:val="00126F22"/>
    <w:rsid w:val="001272B0"/>
    <w:rsid w:val="001419AB"/>
    <w:rsid w:val="00146CB8"/>
    <w:rsid w:val="00152900"/>
    <w:rsid w:val="00152BB8"/>
    <w:rsid w:val="00156556"/>
    <w:rsid w:val="00157F97"/>
    <w:rsid w:val="00174154"/>
    <w:rsid w:val="00176010"/>
    <w:rsid w:val="00183002"/>
    <w:rsid w:val="001879C7"/>
    <w:rsid w:val="00191296"/>
    <w:rsid w:val="00193C24"/>
    <w:rsid w:val="00193E56"/>
    <w:rsid w:val="0019449B"/>
    <w:rsid w:val="00195A43"/>
    <w:rsid w:val="001A0F5D"/>
    <w:rsid w:val="001A1BC8"/>
    <w:rsid w:val="001A5127"/>
    <w:rsid w:val="001B4814"/>
    <w:rsid w:val="001C5A91"/>
    <w:rsid w:val="001D4963"/>
    <w:rsid w:val="001D77F7"/>
    <w:rsid w:val="001E3E0E"/>
    <w:rsid w:val="001E500A"/>
    <w:rsid w:val="001E5488"/>
    <w:rsid w:val="001E5E5C"/>
    <w:rsid w:val="001F020D"/>
    <w:rsid w:val="001F3D9A"/>
    <w:rsid w:val="002057A3"/>
    <w:rsid w:val="002100A3"/>
    <w:rsid w:val="00223B15"/>
    <w:rsid w:val="00224AF8"/>
    <w:rsid w:val="0022589C"/>
    <w:rsid w:val="00226262"/>
    <w:rsid w:val="00226788"/>
    <w:rsid w:val="002372ED"/>
    <w:rsid w:val="0024324F"/>
    <w:rsid w:val="00245B90"/>
    <w:rsid w:val="00247DF2"/>
    <w:rsid w:val="00250390"/>
    <w:rsid w:val="0025216C"/>
    <w:rsid w:val="00255991"/>
    <w:rsid w:val="00260731"/>
    <w:rsid w:val="00262398"/>
    <w:rsid w:val="002647E9"/>
    <w:rsid w:val="00270C4F"/>
    <w:rsid w:val="00274A26"/>
    <w:rsid w:val="00280517"/>
    <w:rsid w:val="00282C54"/>
    <w:rsid w:val="00291371"/>
    <w:rsid w:val="00296B7E"/>
    <w:rsid w:val="0029724C"/>
    <w:rsid w:val="002A69FF"/>
    <w:rsid w:val="002B13F3"/>
    <w:rsid w:val="002B4B72"/>
    <w:rsid w:val="002C7FB3"/>
    <w:rsid w:val="002E00A6"/>
    <w:rsid w:val="002E0F5B"/>
    <w:rsid w:val="002E273C"/>
    <w:rsid w:val="002E42C1"/>
    <w:rsid w:val="002E6D1D"/>
    <w:rsid w:val="002F119D"/>
    <w:rsid w:val="00303A77"/>
    <w:rsid w:val="00306324"/>
    <w:rsid w:val="00307A88"/>
    <w:rsid w:val="00312E2D"/>
    <w:rsid w:val="00314317"/>
    <w:rsid w:val="00316C07"/>
    <w:rsid w:val="0032344B"/>
    <w:rsid w:val="003456C4"/>
    <w:rsid w:val="003466A3"/>
    <w:rsid w:val="003537DF"/>
    <w:rsid w:val="00353BE2"/>
    <w:rsid w:val="00353ECF"/>
    <w:rsid w:val="00353FEC"/>
    <w:rsid w:val="0035421C"/>
    <w:rsid w:val="00354A44"/>
    <w:rsid w:val="00362D4E"/>
    <w:rsid w:val="003661F4"/>
    <w:rsid w:val="00371184"/>
    <w:rsid w:val="0037156E"/>
    <w:rsid w:val="00372BBC"/>
    <w:rsid w:val="00373CFD"/>
    <w:rsid w:val="00376806"/>
    <w:rsid w:val="00385CAF"/>
    <w:rsid w:val="00387FC2"/>
    <w:rsid w:val="00392FA8"/>
    <w:rsid w:val="00394045"/>
    <w:rsid w:val="003964B4"/>
    <w:rsid w:val="003A15FD"/>
    <w:rsid w:val="003A4EE3"/>
    <w:rsid w:val="003A5925"/>
    <w:rsid w:val="003A7011"/>
    <w:rsid w:val="003A7B4E"/>
    <w:rsid w:val="003C03F9"/>
    <w:rsid w:val="003C4D88"/>
    <w:rsid w:val="003C7DA3"/>
    <w:rsid w:val="003D585A"/>
    <w:rsid w:val="003E0AFB"/>
    <w:rsid w:val="003E0CB7"/>
    <w:rsid w:val="003E122A"/>
    <w:rsid w:val="003E6FA5"/>
    <w:rsid w:val="003F0417"/>
    <w:rsid w:val="003F3230"/>
    <w:rsid w:val="003F5AA8"/>
    <w:rsid w:val="003F656F"/>
    <w:rsid w:val="004008FB"/>
    <w:rsid w:val="0040214F"/>
    <w:rsid w:val="00421052"/>
    <w:rsid w:val="00424C7F"/>
    <w:rsid w:val="004408C6"/>
    <w:rsid w:val="0044518E"/>
    <w:rsid w:val="004537B4"/>
    <w:rsid w:val="00466386"/>
    <w:rsid w:val="00476F40"/>
    <w:rsid w:val="00481DAD"/>
    <w:rsid w:val="00482BC4"/>
    <w:rsid w:val="004852EF"/>
    <w:rsid w:val="0048680D"/>
    <w:rsid w:val="00487D18"/>
    <w:rsid w:val="00487F1D"/>
    <w:rsid w:val="004A0001"/>
    <w:rsid w:val="004A2654"/>
    <w:rsid w:val="004A4885"/>
    <w:rsid w:val="004B1B5F"/>
    <w:rsid w:val="004B2248"/>
    <w:rsid w:val="004C44B9"/>
    <w:rsid w:val="004C7076"/>
    <w:rsid w:val="004E2525"/>
    <w:rsid w:val="004E4744"/>
    <w:rsid w:val="004F3875"/>
    <w:rsid w:val="00500D21"/>
    <w:rsid w:val="00502B7C"/>
    <w:rsid w:val="0050359E"/>
    <w:rsid w:val="00505172"/>
    <w:rsid w:val="00527923"/>
    <w:rsid w:val="005314D9"/>
    <w:rsid w:val="00531B01"/>
    <w:rsid w:val="00536000"/>
    <w:rsid w:val="0053719E"/>
    <w:rsid w:val="0054132F"/>
    <w:rsid w:val="00546A5C"/>
    <w:rsid w:val="0054736C"/>
    <w:rsid w:val="00562011"/>
    <w:rsid w:val="00570964"/>
    <w:rsid w:val="005803C1"/>
    <w:rsid w:val="005815D4"/>
    <w:rsid w:val="00581D34"/>
    <w:rsid w:val="005842B8"/>
    <w:rsid w:val="0059117D"/>
    <w:rsid w:val="0059252F"/>
    <w:rsid w:val="005935D0"/>
    <w:rsid w:val="00595324"/>
    <w:rsid w:val="00596267"/>
    <w:rsid w:val="005A1353"/>
    <w:rsid w:val="005A34D2"/>
    <w:rsid w:val="005B039C"/>
    <w:rsid w:val="005B439A"/>
    <w:rsid w:val="005B43E4"/>
    <w:rsid w:val="005C290A"/>
    <w:rsid w:val="005C2962"/>
    <w:rsid w:val="005C2AFD"/>
    <w:rsid w:val="005D06EB"/>
    <w:rsid w:val="005D3DDC"/>
    <w:rsid w:val="005D48B4"/>
    <w:rsid w:val="005E185B"/>
    <w:rsid w:val="005E49BC"/>
    <w:rsid w:val="005F6659"/>
    <w:rsid w:val="005F770E"/>
    <w:rsid w:val="006049AE"/>
    <w:rsid w:val="00613C67"/>
    <w:rsid w:val="00621E4D"/>
    <w:rsid w:val="0062702B"/>
    <w:rsid w:val="006358B3"/>
    <w:rsid w:val="0063609F"/>
    <w:rsid w:val="00636490"/>
    <w:rsid w:val="00636E25"/>
    <w:rsid w:val="00641077"/>
    <w:rsid w:val="00651A29"/>
    <w:rsid w:val="00653FFF"/>
    <w:rsid w:val="00654030"/>
    <w:rsid w:val="00657822"/>
    <w:rsid w:val="006639E5"/>
    <w:rsid w:val="006639F5"/>
    <w:rsid w:val="0068366B"/>
    <w:rsid w:val="00684ABA"/>
    <w:rsid w:val="00686679"/>
    <w:rsid w:val="006928BD"/>
    <w:rsid w:val="00693EEF"/>
    <w:rsid w:val="006A2B9C"/>
    <w:rsid w:val="006A2C0E"/>
    <w:rsid w:val="006A4E46"/>
    <w:rsid w:val="006A659A"/>
    <w:rsid w:val="006B2014"/>
    <w:rsid w:val="006B3BB0"/>
    <w:rsid w:val="006C4F5F"/>
    <w:rsid w:val="006C62B3"/>
    <w:rsid w:val="006C6B73"/>
    <w:rsid w:val="006D4266"/>
    <w:rsid w:val="006E05ED"/>
    <w:rsid w:val="006E26B1"/>
    <w:rsid w:val="006F1B85"/>
    <w:rsid w:val="006F26EF"/>
    <w:rsid w:val="007042A8"/>
    <w:rsid w:val="007060E1"/>
    <w:rsid w:val="007123A8"/>
    <w:rsid w:val="007308B2"/>
    <w:rsid w:val="007339D3"/>
    <w:rsid w:val="00736DEF"/>
    <w:rsid w:val="007373DF"/>
    <w:rsid w:val="0074139F"/>
    <w:rsid w:val="00741B15"/>
    <w:rsid w:val="0074209B"/>
    <w:rsid w:val="007632B7"/>
    <w:rsid w:val="00763E52"/>
    <w:rsid w:val="0077196A"/>
    <w:rsid w:val="00774B4D"/>
    <w:rsid w:val="00796475"/>
    <w:rsid w:val="007A2886"/>
    <w:rsid w:val="007A3BC7"/>
    <w:rsid w:val="007B086A"/>
    <w:rsid w:val="007C417B"/>
    <w:rsid w:val="007D4E68"/>
    <w:rsid w:val="007E1AF6"/>
    <w:rsid w:val="007E3FF3"/>
    <w:rsid w:val="007F33FF"/>
    <w:rsid w:val="007F6B28"/>
    <w:rsid w:val="00802C21"/>
    <w:rsid w:val="00821E12"/>
    <w:rsid w:val="00822B6F"/>
    <w:rsid w:val="00824A72"/>
    <w:rsid w:val="008301C9"/>
    <w:rsid w:val="00832467"/>
    <w:rsid w:val="008378CE"/>
    <w:rsid w:val="00841DD9"/>
    <w:rsid w:val="0084491B"/>
    <w:rsid w:val="00853B3A"/>
    <w:rsid w:val="00855E16"/>
    <w:rsid w:val="00856556"/>
    <w:rsid w:val="00861B74"/>
    <w:rsid w:val="00867A20"/>
    <w:rsid w:val="00867C9A"/>
    <w:rsid w:val="008733BD"/>
    <w:rsid w:val="00875659"/>
    <w:rsid w:val="008803B4"/>
    <w:rsid w:val="00880F95"/>
    <w:rsid w:val="008828CF"/>
    <w:rsid w:val="0088439D"/>
    <w:rsid w:val="00893A85"/>
    <w:rsid w:val="008A0FAF"/>
    <w:rsid w:val="008A6EEC"/>
    <w:rsid w:val="008B6B70"/>
    <w:rsid w:val="008C1834"/>
    <w:rsid w:val="008C18A1"/>
    <w:rsid w:val="008C2D30"/>
    <w:rsid w:val="008C3D1E"/>
    <w:rsid w:val="008E017D"/>
    <w:rsid w:val="008E1042"/>
    <w:rsid w:val="008E1D12"/>
    <w:rsid w:val="008E7A0D"/>
    <w:rsid w:val="008F3343"/>
    <w:rsid w:val="008F46BC"/>
    <w:rsid w:val="008F47B4"/>
    <w:rsid w:val="009011AB"/>
    <w:rsid w:val="00904D62"/>
    <w:rsid w:val="00910C4E"/>
    <w:rsid w:val="00915FF5"/>
    <w:rsid w:val="00921746"/>
    <w:rsid w:val="0092550D"/>
    <w:rsid w:val="00930106"/>
    <w:rsid w:val="00934D9B"/>
    <w:rsid w:val="00936226"/>
    <w:rsid w:val="00937F3B"/>
    <w:rsid w:val="00941D63"/>
    <w:rsid w:val="009544BA"/>
    <w:rsid w:val="00956C46"/>
    <w:rsid w:val="00957601"/>
    <w:rsid w:val="009604A3"/>
    <w:rsid w:val="009609E4"/>
    <w:rsid w:val="009621AC"/>
    <w:rsid w:val="00975441"/>
    <w:rsid w:val="009768D0"/>
    <w:rsid w:val="00982E6A"/>
    <w:rsid w:val="00985C7B"/>
    <w:rsid w:val="009925A2"/>
    <w:rsid w:val="009947A9"/>
    <w:rsid w:val="009952CF"/>
    <w:rsid w:val="009A0721"/>
    <w:rsid w:val="009A0F3E"/>
    <w:rsid w:val="009A4C05"/>
    <w:rsid w:val="009A4CFA"/>
    <w:rsid w:val="009A5067"/>
    <w:rsid w:val="009A7D5A"/>
    <w:rsid w:val="009B7C74"/>
    <w:rsid w:val="009C3661"/>
    <w:rsid w:val="009C389C"/>
    <w:rsid w:val="009D106C"/>
    <w:rsid w:val="009D7451"/>
    <w:rsid w:val="009E5CD9"/>
    <w:rsid w:val="009E720D"/>
    <w:rsid w:val="009F60DE"/>
    <w:rsid w:val="009F7AA7"/>
    <w:rsid w:val="00A02ED0"/>
    <w:rsid w:val="00A06133"/>
    <w:rsid w:val="00A06CFB"/>
    <w:rsid w:val="00A13823"/>
    <w:rsid w:val="00A21444"/>
    <w:rsid w:val="00A271F7"/>
    <w:rsid w:val="00A40890"/>
    <w:rsid w:val="00A43248"/>
    <w:rsid w:val="00A43405"/>
    <w:rsid w:val="00A5282E"/>
    <w:rsid w:val="00A57313"/>
    <w:rsid w:val="00A64AB4"/>
    <w:rsid w:val="00A65BFE"/>
    <w:rsid w:val="00A738FF"/>
    <w:rsid w:val="00A755F3"/>
    <w:rsid w:val="00A756B9"/>
    <w:rsid w:val="00A75EDC"/>
    <w:rsid w:val="00A8653C"/>
    <w:rsid w:val="00A90EF2"/>
    <w:rsid w:val="00AA2347"/>
    <w:rsid w:val="00AA3C1F"/>
    <w:rsid w:val="00AA4205"/>
    <w:rsid w:val="00AA7622"/>
    <w:rsid w:val="00AA79C8"/>
    <w:rsid w:val="00AB1E30"/>
    <w:rsid w:val="00AB3EEE"/>
    <w:rsid w:val="00AC11BF"/>
    <w:rsid w:val="00AC1FBF"/>
    <w:rsid w:val="00AC58C6"/>
    <w:rsid w:val="00AD0955"/>
    <w:rsid w:val="00AD3C96"/>
    <w:rsid w:val="00AD41FF"/>
    <w:rsid w:val="00AD6067"/>
    <w:rsid w:val="00AE36F4"/>
    <w:rsid w:val="00AF2466"/>
    <w:rsid w:val="00AF71B7"/>
    <w:rsid w:val="00AF7570"/>
    <w:rsid w:val="00B04CA2"/>
    <w:rsid w:val="00B31CFC"/>
    <w:rsid w:val="00B506F7"/>
    <w:rsid w:val="00B52183"/>
    <w:rsid w:val="00B5736B"/>
    <w:rsid w:val="00B63B11"/>
    <w:rsid w:val="00B71A1B"/>
    <w:rsid w:val="00B72D42"/>
    <w:rsid w:val="00B73ABF"/>
    <w:rsid w:val="00B7406B"/>
    <w:rsid w:val="00B86725"/>
    <w:rsid w:val="00B86E1C"/>
    <w:rsid w:val="00B878CB"/>
    <w:rsid w:val="00B87DEC"/>
    <w:rsid w:val="00B91381"/>
    <w:rsid w:val="00B92F28"/>
    <w:rsid w:val="00B943D4"/>
    <w:rsid w:val="00B9625C"/>
    <w:rsid w:val="00B96C37"/>
    <w:rsid w:val="00BA188B"/>
    <w:rsid w:val="00BA5A96"/>
    <w:rsid w:val="00BA630B"/>
    <w:rsid w:val="00BA726B"/>
    <w:rsid w:val="00BB0287"/>
    <w:rsid w:val="00BB5334"/>
    <w:rsid w:val="00BC20A5"/>
    <w:rsid w:val="00BD6672"/>
    <w:rsid w:val="00BE09B1"/>
    <w:rsid w:val="00BE4048"/>
    <w:rsid w:val="00BF7104"/>
    <w:rsid w:val="00C02AD5"/>
    <w:rsid w:val="00C13FDE"/>
    <w:rsid w:val="00C14511"/>
    <w:rsid w:val="00C171F2"/>
    <w:rsid w:val="00C1796B"/>
    <w:rsid w:val="00C2520E"/>
    <w:rsid w:val="00C25E0D"/>
    <w:rsid w:val="00C26BBA"/>
    <w:rsid w:val="00C27546"/>
    <w:rsid w:val="00C276EF"/>
    <w:rsid w:val="00C361B3"/>
    <w:rsid w:val="00C4000C"/>
    <w:rsid w:val="00C4010F"/>
    <w:rsid w:val="00C436AF"/>
    <w:rsid w:val="00C43A86"/>
    <w:rsid w:val="00C469C4"/>
    <w:rsid w:val="00C63DA0"/>
    <w:rsid w:val="00C662F1"/>
    <w:rsid w:val="00C705B7"/>
    <w:rsid w:val="00C73EBF"/>
    <w:rsid w:val="00C84A06"/>
    <w:rsid w:val="00C85B1A"/>
    <w:rsid w:val="00C865CC"/>
    <w:rsid w:val="00C90C85"/>
    <w:rsid w:val="00C96C49"/>
    <w:rsid w:val="00CA3063"/>
    <w:rsid w:val="00CA5B83"/>
    <w:rsid w:val="00CB12D9"/>
    <w:rsid w:val="00CB1843"/>
    <w:rsid w:val="00CC0E37"/>
    <w:rsid w:val="00CC12EC"/>
    <w:rsid w:val="00CC74F4"/>
    <w:rsid w:val="00CD1A25"/>
    <w:rsid w:val="00CD1BA6"/>
    <w:rsid w:val="00CE1C7C"/>
    <w:rsid w:val="00CE3C22"/>
    <w:rsid w:val="00CF2BC6"/>
    <w:rsid w:val="00CF77AD"/>
    <w:rsid w:val="00D0681F"/>
    <w:rsid w:val="00D07865"/>
    <w:rsid w:val="00D125DC"/>
    <w:rsid w:val="00D22C8D"/>
    <w:rsid w:val="00D31273"/>
    <w:rsid w:val="00D32070"/>
    <w:rsid w:val="00D371AC"/>
    <w:rsid w:val="00D426E4"/>
    <w:rsid w:val="00D452B3"/>
    <w:rsid w:val="00D469CD"/>
    <w:rsid w:val="00D50EDB"/>
    <w:rsid w:val="00D52241"/>
    <w:rsid w:val="00D55874"/>
    <w:rsid w:val="00D60240"/>
    <w:rsid w:val="00D60CD7"/>
    <w:rsid w:val="00D640BA"/>
    <w:rsid w:val="00D652BF"/>
    <w:rsid w:val="00D6566A"/>
    <w:rsid w:val="00D67814"/>
    <w:rsid w:val="00D7251F"/>
    <w:rsid w:val="00D727CA"/>
    <w:rsid w:val="00D74EF8"/>
    <w:rsid w:val="00D77F05"/>
    <w:rsid w:val="00D83ED3"/>
    <w:rsid w:val="00D86243"/>
    <w:rsid w:val="00D90D41"/>
    <w:rsid w:val="00D92E59"/>
    <w:rsid w:val="00DA3395"/>
    <w:rsid w:val="00DA7858"/>
    <w:rsid w:val="00DB1104"/>
    <w:rsid w:val="00DB5E13"/>
    <w:rsid w:val="00DB6775"/>
    <w:rsid w:val="00DC2692"/>
    <w:rsid w:val="00DC3D9C"/>
    <w:rsid w:val="00DC53A4"/>
    <w:rsid w:val="00DD4B93"/>
    <w:rsid w:val="00DE304D"/>
    <w:rsid w:val="00DE58EC"/>
    <w:rsid w:val="00DE755E"/>
    <w:rsid w:val="00DE7E05"/>
    <w:rsid w:val="00DF6FA0"/>
    <w:rsid w:val="00DF75CB"/>
    <w:rsid w:val="00E00DCC"/>
    <w:rsid w:val="00E041B5"/>
    <w:rsid w:val="00E102F3"/>
    <w:rsid w:val="00E14596"/>
    <w:rsid w:val="00E20B0B"/>
    <w:rsid w:val="00E23B77"/>
    <w:rsid w:val="00E25322"/>
    <w:rsid w:val="00E42E3A"/>
    <w:rsid w:val="00E44611"/>
    <w:rsid w:val="00E56CE7"/>
    <w:rsid w:val="00E66DEA"/>
    <w:rsid w:val="00E70363"/>
    <w:rsid w:val="00E75E2C"/>
    <w:rsid w:val="00E77D27"/>
    <w:rsid w:val="00E85DDE"/>
    <w:rsid w:val="00E9269A"/>
    <w:rsid w:val="00E93208"/>
    <w:rsid w:val="00EA33F1"/>
    <w:rsid w:val="00EA39A7"/>
    <w:rsid w:val="00EA3BD1"/>
    <w:rsid w:val="00EA3D5F"/>
    <w:rsid w:val="00EB3E73"/>
    <w:rsid w:val="00EB7020"/>
    <w:rsid w:val="00EB706D"/>
    <w:rsid w:val="00EC0D9F"/>
    <w:rsid w:val="00EC28EE"/>
    <w:rsid w:val="00EC6511"/>
    <w:rsid w:val="00ED3246"/>
    <w:rsid w:val="00EE1752"/>
    <w:rsid w:val="00EE19D6"/>
    <w:rsid w:val="00EE36F3"/>
    <w:rsid w:val="00EE3E48"/>
    <w:rsid w:val="00EE4316"/>
    <w:rsid w:val="00EF5D4E"/>
    <w:rsid w:val="00F012E9"/>
    <w:rsid w:val="00F024D5"/>
    <w:rsid w:val="00F1033A"/>
    <w:rsid w:val="00F108BD"/>
    <w:rsid w:val="00F117C6"/>
    <w:rsid w:val="00F11AF0"/>
    <w:rsid w:val="00F14A15"/>
    <w:rsid w:val="00F1770F"/>
    <w:rsid w:val="00F23AE9"/>
    <w:rsid w:val="00F2792F"/>
    <w:rsid w:val="00F35D1B"/>
    <w:rsid w:val="00F44B9C"/>
    <w:rsid w:val="00F539E8"/>
    <w:rsid w:val="00F559CD"/>
    <w:rsid w:val="00F56BE9"/>
    <w:rsid w:val="00F572E6"/>
    <w:rsid w:val="00F5794B"/>
    <w:rsid w:val="00F626AF"/>
    <w:rsid w:val="00F67334"/>
    <w:rsid w:val="00F709CA"/>
    <w:rsid w:val="00F7291A"/>
    <w:rsid w:val="00F76403"/>
    <w:rsid w:val="00F77C08"/>
    <w:rsid w:val="00F8481C"/>
    <w:rsid w:val="00F859E4"/>
    <w:rsid w:val="00F87C25"/>
    <w:rsid w:val="00F91F6E"/>
    <w:rsid w:val="00F95AC4"/>
    <w:rsid w:val="00F95CAB"/>
    <w:rsid w:val="00FA1357"/>
    <w:rsid w:val="00FA3FDD"/>
    <w:rsid w:val="00FA5C27"/>
    <w:rsid w:val="00FB1792"/>
    <w:rsid w:val="00FB1E91"/>
    <w:rsid w:val="00FB2C96"/>
    <w:rsid w:val="00FB4ADB"/>
    <w:rsid w:val="00FB5F77"/>
    <w:rsid w:val="00FB70A7"/>
    <w:rsid w:val="00FC1701"/>
    <w:rsid w:val="00FC1723"/>
    <w:rsid w:val="00FC2ED2"/>
    <w:rsid w:val="00FC49D4"/>
    <w:rsid w:val="00FC51EC"/>
    <w:rsid w:val="00FD1321"/>
    <w:rsid w:val="00FD5876"/>
    <w:rsid w:val="00FE0ABF"/>
    <w:rsid w:val="00FE0C6B"/>
    <w:rsid w:val="00FE28A6"/>
    <w:rsid w:val="00FE520B"/>
    <w:rsid w:val="00FE5664"/>
    <w:rsid w:val="00FF2385"/>
    <w:rsid w:val="00FF7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DA302AA"/>
  <w15:docId w15:val="{0C704C0F-65E9-4CD7-87C6-545140ACB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389C"/>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table" w:styleId="TableContemporary">
    <w:name w:val="Table Contemporary"/>
    <w:basedOn w:val="TableNormal"/>
    <w:rsid w:val="00500D21"/>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ART">
    <w:name w:val="ART"/>
    <w:basedOn w:val="Normal"/>
    <w:next w:val="PR1"/>
    <w:rsid w:val="00A64AB4"/>
    <w:pPr>
      <w:numPr>
        <w:ilvl w:val="1"/>
        <w:numId w:val="6"/>
      </w:numPr>
      <w:suppressAutoHyphens/>
      <w:spacing w:before="240"/>
      <w:outlineLvl w:val="1"/>
    </w:pPr>
    <w:rPr>
      <w:rFonts w:ascii="Arial" w:eastAsia="Batang" w:hAnsi="Arial"/>
      <w:b/>
      <w:caps/>
      <w:sz w:val="20"/>
      <w:szCs w:val="20"/>
    </w:rPr>
  </w:style>
  <w:style w:type="paragraph" w:customStyle="1" w:styleId="PR1">
    <w:name w:val="PR1"/>
    <w:basedOn w:val="ART"/>
    <w:rsid w:val="00A64AB4"/>
    <w:pPr>
      <w:numPr>
        <w:ilvl w:val="2"/>
      </w:numPr>
      <w:outlineLvl w:val="2"/>
    </w:pPr>
    <w:rPr>
      <w:b w:val="0"/>
      <w:caps w:val="0"/>
    </w:rPr>
  </w:style>
  <w:style w:type="paragraph" w:customStyle="1" w:styleId="PR2">
    <w:name w:val="PR2"/>
    <w:basedOn w:val="PR1"/>
    <w:rsid w:val="00A64AB4"/>
    <w:pPr>
      <w:numPr>
        <w:ilvl w:val="3"/>
      </w:numPr>
      <w:spacing w:before="0"/>
      <w:outlineLvl w:val="3"/>
    </w:pPr>
  </w:style>
  <w:style w:type="paragraph" w:customStyle="1" w:styleId="PR3">
    <w:name w:val="PR3"/>
    <w:basedOn w:val="PR1"/>
    <w:rsid w:val="00A64AB4"/>
    <w:pPr>
      <w:numPr>
        <w:ilvl w:val="4"/>
      </w:numPr>
      <w:spacing w:before="0"/>
      <w:outlineLvl w:val="4"/>
    </w:pPr>
  </w:style>
  <w:style w:type="paragraph" w:customStyle="1" w:styleId="PR4">
    <w:name w:val="PR4"/>
    <w:basedOn w:val="PR1"/>
    <w:rsid w:val="00A64AB4"/>
    <w:pPr>
      <w:numPr>
        <w:ilvl w:val="5"/>
      </w:numPr>
      <w:tabs>
        <w:tab w:val="left" w:pos="2448"/>
      </w:tabs>
      <w:spacing w:before="0"/>
      <w:outlineLvl w:val="5"/>
    </w:pPr>
  </w:style>
  <w:style w:type="paragraph" w:customStyle="1" w:styleId="PR5">
    <w:name w:val="PR5"/>
    <w:basedOn w:val="PR1"/>
    <w:rsid w:val="00A64AB4"/>
    <w:pPr>
      <w:numPr>
        <w:ilvl w:val="6"/>
      </w:numPr>
      <w:spacing w:before="0"/>
      <w:outlineLvl w:val="6"/>
    </w:pPr>
  </w:style>
  <w:style w:type="paragraph" w:customStyle="1" w:styleId="PR6">
    <w:name w:val="PR6"/>
    <w:basedOn w:val="PR1"/>
    <w:rsid w:val="00A64AB4"/>
    <w:pPr>
      <w:numPr>
        <w:ilvl w:val="7"/>
      </w:numPr>
      <w:tabs>
        <w:tab w:val="left" w:pos="3744"/>
      </w:tabs>
      <w:spacing w:before="0"/>
      <w:outlineLvl w:val="7"/>
    </w:pPr>
  </w:style>
  <w:style w:type="paragraph" w:customStyle="1" w:styleId="PR7">
    <w:name w:val="PR7"/>
    <w:basedOn w:val="PR6"/>
    <w:rsid w:val="00A64AB4"/>
    <w:pPr>
      <w:numPr>
        <w:ilvl w:val="8"/>
      </w:numPr>
      <w:tabs>
        <w:tab w:val="left" w:pos="4464"/>
      </w:tabs>
    </w:pPr>
  </w:style>
  <w:style w:type="paragraph" w:customStyle="1" w:styleId="TBL">
    <w:name w:val="TBL"/>
    <w:rsid w:val="00A64AB4"/>
    <w:pPr>
      <w:numPr>
        <w:numId w:val="7"/>
      </w:numPr>
      <w:spacing w:before="120" w:after="120" w:line="240" w:lineRule="auto"/>
      <w:jc w:val="center"/>
    </w:pPr>
    <w:rPr>
      <w:rFonts w:ascii="Arial" w:eastAsia="Batang" w:hAnsi="Arial" w:cs="Times New Roman"/>
      <w:b/>
      <w:sz w:val="20"/>
      <w:szCs w:val="20"/>
    </w:rPr>
  </w:style>
  <w:style w:type="character" w:styleId="Hyperlink">
    <w:name w:val="Hyperlink"/>
    <w:basedOn w:val="DefaultParagraphFont"/>
    <w:uiPriority w:val="99"/>
    <w:rsid w:val="00A64AB4"/>
    <w:rPr>
      <w:rFonts w:cs="Times New Roman"/>
      <w:color w:val="0000FF"/>
      <w:u w:val="single"/>
    </w:rPr>
  </w:style>
  <w:style w:type="paragraph" w:customStyle="1" w:styleId="Normal1">
    <w:name w:val="Normal1"/>
    <w:basedOn w:val="Normal"/>
    <w:rsid w:val="00A64AB4"/>
    <w:pPr>
      <w:overflowPunct w:val="0"/>
      <w:autoSpaceDE w:val="0"/>
      <w:autoSpaceDN w:val="0"/>
      <w:adjustRightInd w:val="0"/>
      <w:spacing w:after="120" w:line="360" w:lineRule="atLeast"/>
      <w:textAlignment w:val="baseline"/>
    </w:pPr>
    <w:rPr>
      <w:rFonts w:ascii="Times New Roman" w:eastAsia="Batang" w:hAnsi="Times New Roman"/>
      <w:szCs w:val="20"/>
    </w:rPr>
  </w:style>
  <w:style w:type="paragraph" w:customStyle="1" w:styleId="WPSCT">
    <w:name w:val="WPSCT"/>
    <w:basedOn w:val="Normal"/>
    <w:next w:val="ART"/>
    <w:qFormat/>
    <w:rsid w:val="00A64AB4"/>
    <w:pPr>
      <w:numPr>
        <w:numId w:val="6"/>
      </w:numPr>
      <w:suppressAutoHyphens/>
      <w:spacing w:before="240"/>
      <w:outlineLvl w:val="0"/>
    </w:pPr>
    <w:rPr>
      <w:rFonts w:ascii="Arial" w:eastAsia="Batang" w:hAnsi="Arial"/>
      <w:b/>
      <w:caps/>
      <w:sz w:val="20"/>
      <w:szCs w:val="20"/>
    </w:rPr>
  </w:style>
  <w:style w:type="paragraph" w:customStyle="1" w:styleId="WPART">
    <w:name w:val="WPART"/>
    <w:basedOn w:val="ART"/>
    <w:qFormat/>
    <w:rsid w:val="00A64AB4"/>
    <w:pPr>
      <w:keepNext/>
    </w:pPr>
  </w:style>
  <w:style w:type="paragraph" w:customStyle="1" w:styleId="WPPR1">
    <w:name w:val="WPPR1"/>
    <w:basedOn w:val="PR1"/>
    <w:qFormat/>
    <w:rsid w:val="00A64AB4"/>
  </w:style>
  <w:style w:type="paragraph" w:customStyle="1" w:styleId="Vertical">
    <w:name w:val="Vertical"/>
    <w:basedOn w:val="Normal1"/>
    <w:qFormat/>
    <w:rsid w:val="00A64AB4"/>
    <w:pPr>
      <w:spacing w:line="240" w:lineRule="auto"/>
      <w:jc w:val="center"/>
    </w:pPr>
    <w:rPr>
      <w:rFonts w:ascii="Arial" w:eastAsia="Times New Roman" w:hAnsi="Arial"/>
      <w:sz w:val="20"/>
    </w:rPr>
  </w:style>
  <w:style w:type="paragraph" w:customStyle="1" w:styleId="WPPR2">
    <w:name w:val="WPPR2"/>
    <w:basedOn w:val="PR2"/>
    <w:qFormat/>
    <w:rsid w:val="005815D4"/>
    <w:pPr>
      <w:numPr>
        <w:numId w:val="1"/>
      </w:numPr>
    </w:pPr>
  </w:style>
  <w:style w:type="paragraph" w:customStyle="1" w:styleId="WPPR3">
    <w:name w:val="WPPR3"/>
    <w:basedOn w:val="PR3"/>
    <w:qFormat/>
    <w:rsid w:val="005815D4"/>
    <w:pPr>
      <w:numPr>
        <w:numId w:val="1"/>
      </w:numPr>
    </w:pPr>
  </w:style>
  <w:style w:type="character" w:styleId="EndnoteReference">
    <w:name w:val="endnote reference"/>
    <w:basedOn w:val="DefaultParagraphFont"/>
    <w:rsid w:val="00A64AB4"/>
    <w:rPr>
      <w:vertAlign w:val="superscript"/>
    </w:rPr>
  </w:style>
  <w:style w:type="paragraph" w:styleId="FootnoteText">
    <w:name w:val="footnote text"/>
    <w:basedOn w:val="Normal"/>
    <w:link w:val="FootnoteTextChar"/>
    <w:uiPriority w:val="99"/>
    <w:semiHidden/>
    <w:unhideWhenUsed/>
    <w:rsid w:val="00A64AB4"/>
    <w:rPr>
      <w:sz w:val="20"/>
      <w:szCs w:val="20"/>
    </w:rPr>
  </w:style>
  <w:style w:type="character" w:customStyle="1" w:styleId="FootnoteTextChar">
    <w:name w:val="Footnote Text Char"/>
    <w:basedOn w:val="DefaultParagraphFont"/>
    <w:link w:val="FootnoteText"/>
    <w:uiPriority w:val="99"/>
    <w:semiHidden/>
    <w:rsid w:val="00A64AB4"/>
    <w:rPr>
      <w:rFonts w:eastAsia="Times New Roman" w:cs="Times New Roman"/>
      <w:sz w:val="20"/>
      <w:szCs w:val="20"/>
    </w:rPr>
  </w:style>
  <w:style w:type="character" w:styleId="FootnoteReference">
    <w:name w:val="footnote reference"/>
    <w:basedOn w:val="DefaultParagraphFont"/>
    <w:uiPriority w:val="99"/>
    <w:semiHidden/>
    <w:unhideWhenUsed/>
    <w:rsid w:val="00A64AB4"/>
    <w:rPr>
      <w:vertAlign w:val="superscript"/>
    </w:rPr>
  </w:style>
  <w:style w:type="character" w:styleId="CommentReference">
    <w:name w:val="annotation reference"/>
    <w:basedOn w:val="DefaultParagraphFont"/>
    <w:uiPriority w:val="99"/>
    <w:semiHidden/>
    <w:unhideWhenUsed/>
    <w:rsid w:val="00A40890"/>
    <w:rPr>
      <w:sz w:val="16"/>
      <w:szCs w:val="16"/>
    </w:rPr>
  </w:style>
  <w:style w:type="paragraph" w:styleId="CommentText">
    <w:name w:val="annotation text"/>
    <w:basedOn w:val="Normal"/>
    <w:link w:val="CommentTextChar"/>
    <w:uiPriority w:val="99"/>
    <w:semiHidden/>
    <w:unhideWhenUsed/>
    <w:rsid w:val="00A40890"/>
    <w:rPr>
      <w:sz w:val="20"/>
      <w:szCs w:val="20"/>
    </w:rPr>
  </w:style>
  <w:style w:type="character" w:customStyle="1" w:styleId="CommentTextChar">
    <w:name w:val="Comment Text Char"/>
    <w:basedOn w:val="DefaultParagraphFont"/>
    <w:link w:val="CommentText"/>
    <w:uiPriority w:val="99"/>
    <w:semiHidden/>
    <w:rsid w:val="00A40890"/>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40890"/>
    <w:rPr>
      <w:b/>
      <w:bCs/>
    </w:rPr>
  </w:style>
  <w:style w:type="character" w:customStyle="1" w:styleId="CommentSubjectChar">
    <w:name w:val="Comment Subject Char"/>
    <w:basedOn w:val="CommentTextChar"/>
    <w:link w:val="CommentSubject"/>
    <w:uiPriority w:val="99"/>
    <w:semiHidden/>
    <w:rsid w:val="00A40890"/>
    <w:rPr>
      <w:rFonts w:eastAsia="Times New Roman" w:cs="Times New Roman"/>
      <w:b/>
      <w:bCs/>
      <w:sz w:val="20"/>
      <w:szCs w:val="20"/>
    </w:rPr>
  </w:style>
  <w:style w:type="character" w:styleId="Strong">
    <w:name w:val="Strong"/>
    <w:qFormat/>
    <w:rsid w:val="0025216C"/>
    <w:rPr>
      <w:b/>
      <w:bCs/>
    </w:rPr>
  </w:style>
  <w:style w:type="table" w:customStyle="1" w:styleId="TableGrid11">
    <w:name w:val="Table Grid11"/>
    <w:basedOn w:val="TableNormal"/>
    <w:next w:val="TableGrid"/>
    <w:rsid w:val="0025216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5C7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862444">
      <w:bodyDiv w:val="1"/>
      <w:marLeft w:val="0"/>
      <w:marRight w:val="0"/>
      <w:marTop w:val="0"/>
      <w:marBottom w:val="0"/>
      <w:divBdr>
        <w:top w:val="none" w:sz="0" w:space="0" w:color="auto"/>
        <w:left w:val="none" w:sz="0" w:space="0" w:color="auto"/>
        <w:bottom w:val="none" w:sz="0" w:space="0" w:color="auto"/>
        <w:right w:val="none" w:sz="0" w:space="0" w:color="auto"/>
      </w:divBdr>
    </w:div>
    <w:div w:id="725491560">
      <w:bodyDiv w:val="1"/>
      <w:marLeft w:val="0"/>
      <w:marRight w:val="0"/>
      <w:marTop w:val="0"/>
      <w:marBottom w:val="0"/>
      <w:divBdr>
        <w:top w:val="none" w:sz="0" w:space="0" w:color="auto"/>
        <w:left w:val="none" w:sz="0" w:space="0" w:color="auto"/>
        <w:bottom w:val="none" w:sz="0" w:space="0" w:color="auto"/>
        <w:right w:val="none" w:sz="0" w:space="0" w:color="auto"/>
      </w:divBdr>
    </w:div>
    <w:div w:id="918753606">
      <w:bodyDiv w:val="1"/>
      <w:marLeft w:val="0"/>
      <w:marRight w:val="0"/>
      <w:marTop w:val="0"/>
      <w:marBottom w:val="0"/>
      <w:divBdr>
        <w:top w:val="none" w:sz="0" w:space="0" w:color="auto"/>
        <w:left w:val="none" w:sz="0" w:space="0" w:color="auto"/>
        <w:bottom w:val="none" w:sz="0" w:space="0" w:color="auto"/>
        <w:right w:val="none" w:sz="0" w:space="0" w:color="auto"/>
      </w:divBdr>
    </w:div>
    <w:div w:id="1090154504">
      <w:bodyDiv w:val="1"/>
      <w:marLeft w:val="0"/>
      <w:marRight w:val="0"/>
      <w:marTop w:val="0"/>
      <w:marBottom w:val="0"/>
      <w:divBdr>
        <w:top w:val="none" w:sz="0" w:space="0" w:color="auto"/>
        <w:left w:val="none" w:sz="0" w:space="0" w:color="auto"/>
        <w:bottom w:val="none" w:sz="0" w:space="0" w:color="auto"/>
        <w:right w:val="none" w:sz="0" w:space="0" w:color="auto"/>
      </w:divBdr>
    </w:div>
    <w:div w:id="1691713343">
      <w:bodyDiv w:val="1"/>
      <w:marLeft w:val="0"/>
      <w:marRight w:val="0"/>
      <w:marTop w:val="0"/>
      <w:marBottom w:val="0"/>
      <w:divBdr>
        <w:top w:val="none" w:sz="0" w:space="0" w:color="auto"/>
        <w:left w:val="none" w:sz="0" w:space="0" w:color="auto"/>
        <w:bottom w:val="none" w:sz="0" w:space="0" w:color="auto"/>
        <w:right w:val="none" w:sz="0" w:space="0" w:color="auto"/>
      </w:divBdr>
    </w:div>
    <w:div w:id="1716735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D1C3A54D61944DBB3D63B92C982C696"/>
        <w:category>
          <w:name w:val="General"/>
          <w:gallery w:val="placeholder"/>
        </w:category>
        <w:types>
          <w:type w:val="bbPlcHdr"/>
        </w:types>
        <w:behaviors>
          <w:behavior w:val="content"/>
        </w:behaviors>
        <w:guid w:val="{F650BA68-2FED-4C03-A228-33EEEE5F70A1}"/>
      </w:docPartPr>
      <w:docPartBody>
        <w:p w:rsidR="005C5C4F" w:rsidRDefault="001F1348" w:rsidP="001F1348">
          <w:pPr>
            <w:pStyle w:val="2D1C3A54D61944DBB3D63B92C982C696"/>
          </w:pPr>
          <w:r w:rsidRPr="0033327F">
            <w:rPr>
              <w:rStyle w:val="PlaceholderText"/>
            </w:rPr>
            <w:t>[Title]</w:t>
          </w:r>
        </w:p>
      </w:docPartBody>
    </w:docPart>
    <w:docPart>
      <w:docPartPr>
        <w:name w:val="5420FAF41CED451EAB8369D8BC2C0B60"/>
        <w:category>
          <w:name w:val="General"/>
          <w:gallery w:val="placeholder"/>
        </w:category>
        <w:types>
          <w:type w:val="bbPlcHdr"/>
        </w:types>
        <w:behaviors>
          <w:behavior w:val="content"/>
        </w:behaviors>
        <w:guid w:val="{07636B28-D62B-4A70-8ACE-F496EEC0C22D}"/>
      </w:docPartPr>
      <w:docPartBody>
        <w:p w:rsidR="005C5C4F" w:rsidRDefault="001F1348" w:rsidP="001F1348">
          <w:pPr>
            <w:pStyle w:val="5420FAF41CED451EAB8369D8BC2C0B60"/>
          </w:pPr>
          <w:r w:rsidRPr="0033327F">
            <w:rPr>
              <w:rStyle w:val="PlaceholderText"/>
            </w:rPr>
            <w:t>[Status]</w:t>
          </w:r>
        </w:p>
      </w:docPartBody>
    </w:docPart>
    <w:docPart>
      <w:docPartPr>
        <w:name w:val="954041495DA644508C725EBE45A9A075"/>
        <w:category>
          <w:name w:val="General"/>
          <w:gallery w:val="placeholder"/>
        </w:category>
        <w:types>
          <w:type w:val="bbPlcHdr"/>
        </w:types>
        <w:behaviors>
          <w:behavior w:val="content"/>
        </w:behaviors>
        <w:guid w:val="{E0F9CD43-C7D6-4BD6-B31F-DEA4DFBB8C2B}"/>
      </w:docPartPr>
      <w:docPartBody>
        <w:p w:rsidR="005C5C4F" w:rsidRDefault="001F1348" w:rsidP="001F1348">
          <w:pPr>
            <w:pStyle w:val="954041495DA644508C725EBE45A9A075"/>
          </w:pPr>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1348"/>
    <w:rsid w:val="00131B1E"/>
    <w:rsid w:val="001F1348"/>
    <w:rsid w:val="00272735"/>
    <w:rsid w:val="002C53B6"/>
    <w:rsid w:val="00306DAD"/>
    <w:rsid w:val="00344BC0"/>
    <w:rsid w:val="0037586B"/>
    <w:rsid w:val="00400FBA"/>
    <w:rsid w:val="004071DC"/>
    <w:rsid w:val="004A6E2F"/>
    <w:rsid w:val="00523398"/>
    <w:rsid w:val="005A3205"/>
    <w:rsid w:val="005C5C4F"/>
    <w:rsid w:val="006D0092"/>
    <w:rsid w:val="007538AA"/>
    <w:rsid w:val="00780E3A"/>
    <w:rsid w:val="008262D6"/>
    <w:rsid w:val="00882257"/>
    <w:rsid w:val="008D3C4F"/>
    <w:rsid w:val="009F7E92"/>
    <w:rsid w:val="00AC1BF4"/>
    <w:rsid w:val="00B31F48"/>
    <w:rsid w:val="00BC30DF"/>
    <w:rsid w:val="00C873B3"/>
    <w:rsid w:val="00D36953"/>
    <w:rsid w:val="00DD71FD"/>
    <w:rsid w:val="00F34CD6"/>
    <w:rsid w:val="00F83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06DAD"/>
    <w:rPr>
      <w:color w:val="808080"/>
    </w:rPr>
  </w:style>
  <w:style w:type="paragraph" w:customStyle="1" w:styleId="2D1C3A54D61944DBB3D63B92C982C696">
    <w:name w:val="2D1C3A54D61944DBB3D63B92C982C696"/>
    <w:rsid w:val="001F1348"/>
  </w:style>
  <w:style w:type="paragraph" w:customStyle="1" w:styleId="5420FAF41CED451EAB8369D8BC2C0B60">
    <w:name w:val="5420FAF41CED451EAB8369D8BC2C0B60"/>
    <w:rsid w:val="001F1348"/>
  </w:style>
  <w:style w:type="paragraph" w:customStyle="1" w:styleId="954041495DA644508C725EBE45A9A075">
    <w:name w:val="954041495DA644508C725EBE45A9A075"/>
    <w:rsid w:val="001F1348"/>
  </w:style>
  <w:style w:type="paragraph" w:customStyle="1" w:styleId="8C46EF96C9FB444D8B5F08F2D49CB598">
    <w:name w:val="8C46EF96C9FB444D8B5F08F2D49CB598"/>
    <w:rsid w:val="00306DA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CEC51-FA91-418D-8AC5-148ADE178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4053</Words>
  <Characters>23106</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WPSDGENRLG0083</vt:lpstr>
    </vt:vector>
  </TitlesOfParts>
  <Company>San Diego Gas &amp; Electric</Company>
  <LinksUpToDate>false</LinksUpToDate>
  <CharactersWithSpaces>27105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WPSDGENRLG0083</dc:title>
  <dc:creator>Mark 2009</dc:creator>
  <cp:lastModifiedBy>Reynoso, Ed</cp:lastModifiedBy>
  <cp:revision>4</cp:revision>
  <dcterms:created xsi:type="dcterms:W3CDTF">2019-06-12T21:12:00Z</dcterms:created>
  <dcterms:modified xsi:type="dcterms:W3CDTF">2019-06-13T16:14:00Z</dcterms:modified>
  <cp:contentStatus>Revision 2</cp:contentStatus>
</cp:coreProperties>
</file>