
<file path=[Content_Types].xml><?xml version="1.0" encoding="utf-8"?>
<Types xmlns="http://schemas.openxmlformats.org/package/2006/content-types">
  <Default Extension="xml" ContentType="application/xml"/>
  <Default Extension="bin" ContentType="application/vnd.openxmlformats-officedocument.oleObject"/>
  <Default Extension="xlsx" ContentType="application/vnd.openxmlformats-officedocument.spreadsheetml.shee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8F29A" w14:textId="60FFD12C" w:rsidR="00DA690B" w:rsidRPr="00EB34FC" w:rsidRDefault="00DA690B" w:rsidP="00DA690B">
      <w:pPr>
        <w:jc w:val="right"/>
        <w:rPr>
          <w:rFonts w:asciiTheme="minorHAnsi" w:hAnsiTheme="minorHAnsi" w:cstheme="minorHAnsi"/>
          <w:b/>
          <w:sz w:val="48"/>
          <w:szCs w:val="48"/>
        </w:rPr>
      </w:pPr>
      <w:bookmarkStart w:id="0" w:name="_Toc153189646"/>
      <w:bookmarkStart w:id="1" w:name="_Toc214003082"/>
      <w:r w:rsidRPr="00EB34FC">
        <w:rPr>
          <w:rFonts w:asciiTheme="minorHAnsi" w:hAnsiTheme="minorHAnsi" w:cstheme="minorHAnsi"/>
          <w:b/>
          <w:sz w:val="48"/>
          <w:szCs w:val="48"/>
        </w:rPr>
        <w:t xml:space="preserve">Work Paper </w:t>
      </w:r>
      <w:bookmarkEnd w:id="0"/>
      <w:r w:rsidR="003C7864">
        <w:rPr>
          <w:rFonts w:asciiTheme="minorHAnsi" w:hAnsiTheme="minorHAnsi" w:cstheme="minorHAnsi"/>
          <w:b/>
          <w:sz w:val="48"/>
          <w:szCs w:val="48"/>
        </w:rPr>
        <w:t>WPSDGENRL</w:t>
      </w:r>
      <w:r w:rsidR="00397681">
        <w:rPr>
          <w:rFonts w:asciiTheme="minorHAnsi" w:hAnsiTheme="minorHAnsi" w:cstheme="minorHAnsi"/>
          <w:b/>
          <w:sz w:val="48"/>
          <w:szCs w:val="48"/>
        </w:rPr>
        <w:t>G</w:t>
      </w:r>
      <w:r w:rsidR="003C7864">
        <w:rPr>
          <w:rFonts w:asciiTheme="minorHAnsi" w:hAnsiTheme="minorHAnsi" w:cstheme="minorHAnsi"/>
          <w:b/>
          <w:sz w:val="48"/>
          <w:szCs w:val="48"/>
        </w:rPr>
        <w:t>0081</w:t>
      </w:r>
    </w:p>
    <w:p w14:paraId="41AFD3AA" w14:textId="67A52904" w:rsidR="00DA690B" w:rsidRPr="00EB34FC" w:rsidRDefault="00717BDE" w:rsidP="00DA690B">
      <w:pPr>
        <w:jc w:val="right"/>
        <w:rPr>
          <w:rFonts w:asciiTheme="minorHAnsi" w:hAnsiTheme="minorHAnsi" w:cstheme="minorHAnsi"/>
          <w:b/>
          <w:sz w:val="48"/>
          <w:szCs w:val="48"/>
        </w:rPr>
      </w:pPr>
      <w:r>
        <w:rPr>
          <w:rFonts w:asciiTheme="minorHAnsi" w:hAnsiTheme="minorHAnsi" w:cstheme="minorHAnsi"/>
          <w:b/>
          <w:sz w:val="48"/>
          <w:szCs w:val="48"/>
        </w:rPr>
        <w:t xml:space="preserve">Revision </w:t>
      </w:r>
      <w:r w:rsidR="003C7864">
        <w:rPr>
          <w:rFonts w:asciiTheme="minorHAnsi" w:hAnsiTheme="minorHAnsi" w:cstheme="minorHAnsi"/>
          <w:b/>
          <w:sz w:val="48"/>
          <w:szCs w:val="48"/>
        </w:rPr>
        <w:t>3</w:t>
      </w:r>
    </w:p>
    <w:p w14:paraId="1157F2CF" w14:textId="77777777" w:rsidR="00DA690B" w:rsidRPr="00EB34FC" w:rsidRDefault="00DA690B" w:rsidP="00DA690B">
      <w:pPr>
        <w:rPr>
          <w:rFonts w:asciiTheme="minorHAnsi" w:hAnsiTheme="minorHAnsi" w:cstheme="minorHAnsi"/>
        </w:rPr>
      </w:pPr>
    </w:p>
    <w:p w14:paraId="760A9EB3" w14:textId="77777777" w:rsidR="00DA690B" w:rsidRPr="00EB34FC" w:rsidRDefault="00DA690B" w:rsidP="00DA690B">
      <w:pPr>
        <w:rPr>
          <w:rFonts w:asciiTheme="minorHAnsi" w:hAnsiTheme="minorHAnsi" w:cstheme="minorHAnsi"/>
        </w:rPr>
      </w:pPr>
    </w:p>
    <w:p w14:paraId="10773F61" w14:textId="77777777" w:rsidR="00DA690B" w:rsidRPr="00EB34FC" w:rsidRDefault="00DA690B" w:rsidP="00DA690B">
      <w:pPr>
        <w:rPr>
          <w:rFonts w:asciiTheme="minorHAnsi" w:hAnsiTheme="minorHAnsi" w:cstheme="minorHAnsi"/>
        </w:rPr>
      </w:pPr>
    </w:p>
    <w:p w14:paraId="49C71393" w14:textId="77777777" w:rsidR="00DA690B" w:rsidRPr="00EB34FC" w:rsidRDefault="00DA690B" w:rsidP="00DA690B">
      <w:pPr>
        <w:rPr>
          <w:rFonts w:asciiTheme="minorHAnsi" w:hAnsiTheme="minorHAnsi" w:cstheme="minorHAnsi"/>
        </w:rPr>
      </w:pPr>
    </w:p>
    <w:p w14:paraId="4547ECA5" w14:textId="77777777" w:rsidR="00D65FB4" w:rsidRPr="00EB34FC" w:rsidRDefault="00D65FB4" w:rsidP="00D65FB4">
      <w:pPr>
        <w:pBdr>
          <w:bottom w:val="single" w:sz="4" w:space="1" w:color="auto"/>
        </w:pBdr>
        <w:rPr>
          <w:rFonts w:asciiTheme="minorHAnsi" w:hAnsiTheme="minorHAnsi" w:cstheme="minorHAnsi"/>
          <w:b/>
          <w:sz w:val="36"/>
          <w:szCs w:val="36"/>
        </w:rPr>
      </w:pPr>
      <w:r>
        <w:rPr>
          <w:rFonts w:asciiTheme="minorHAnsi" w:hAnsiTheme="minorHAnsi" w:cstheme="minorHAnsi"/>
          <w:b/>
          <w:sz w:val="36"/>
          <w:szCs w:val="36"/>
        </w:rPr>
        <w:t>San Diego Gas &amp; Electric</w:t>
      </w:r>
    </w:p>
    <w:p w14:paraId="734E486F" w14:textId="77777777" w:rsidR="00D65FB4" w:rsidRPr="005A0798" w:rsidRDefault="00D65FB4" w:rsidP="00D65FB4">
      <w:pPr>
        <w:rPr>
          <w:rFonts w:asciiTheme="minorHAnsi" w:hAnsiTheme="minorHAnsi" w:cstheme="minorHAnsi"/>
          <w:b/>
          <w:sz w:val="32"/>
        </w:rPr>
      </w:pPr>
      <w:r w:rsidRPr="005A0798">
        <w:rPr>
          <w:rFonts w:asciiTheme="minorHAnsi" w:hAnsiTheme="minorHAnsi" w:cstheme="minorHAnsi"/>
          <w:b/>
          <w:sz w:val="32"/>
        </w:rPr>
        <w:t>Energy Efficiency Engineering</w:t>
      </w:r>
    </w:p>
    <w:p w14:paraId="79621166" w14:textId="77777777" w:rsidR="00DA690B" w:rsidRPr="00EB34FC" w:rsidRDefault="00DA690B" w:rsidP="00DA690B">
      <w:pPr>
        <w:rPr>
          <w:rFonts w:asciiTheme="minorHAnsi" w:hAnsiTheme="minorHAnsi" w:cstheme="minorHAnsi"/>
        </w:rPr>
      </w:pPr>
    </w:p>
    <w:p w14:paraId="42426A32" w14:textId="77777777" w:rsidR="00DA690B" w:rsidRPr="00EB34FC" w:rsidRDefault="009D0753" w:rsidP="009D0753">
      <w:pPr>
        <w:tabs>
          <w:tab w:val="left" w:pos="8190"/>
        </w:tabs>
        <w:rPr>
          <w:rFonts w:asciiTheme="minorHAnsi" w:hAnsiTheme="minorHAnsi" w:cstheme="minorHAnsi"/>
        </w:rPr>
      </w:pPr>
      <w:r>
        <w:rPr>
          <w:rFonts w:asciiTheme="minorHAnsi" w:hAnsiTheme="minorHAnsi" w:cstheme="minorHAnsi"/>
        </w:rPr>
        <w:tab/>
      </w:r>
    </w:p>
    <w:p w14:paraId="08F0C8A0" w14:textId="77777777" w:rsidR="00DA690B" w:rsidRPr="00EB34FC" w:rsidRDefault="00DA690B" w:rsidP="00DA690B">
      <w:pPr>
        <w:rPr>
          <w:rFonts w:asciiTheme="minorHAnsi" w:hAnsiTheme="minorHAnsi" w:cstheme="minorHAnsi"/>
        </w:rPr>
      </w:pPr>
    </w:p>
    <w:p w14:paraId="184D480B" w14:textId="77777777" w:rsidR="00DA690B" w:rsidRPr="00EB34FC" w:rsidRDefault="00DA690B" w:rsidP="00DA690B">
      <w:pPr>
        <w:rPr>
          <w:rFonts w:asciiTheme="minorHAnsi" w:hAnsiTheme="minorHAnsi" w:cstheme="minorHAnsi"/>
        </w:rPr>
      </w:pPr>
    </w:p>
    <w:p w14:paraId="67D17E06" w14:textId="77777777" w:rsidR="00DA690B" w:rsidRPr="00EB34FC" w:rsidRDefault="00DA690B" w:rsidP="00DA690B">
      <w:pPr>
        <w:rPr>
          <w:rFonts w:asciiTheme="minorHAnsi" w:hAnsiTheme="minorHAnsi" w:cstheme="minorHAnsi"/>
        </w:rPr>
      </w:pPr>
    </w:p>
    <w:p w14:paraId="6ADC9693" w14:textId="77777777" w:rsidR="00DA690B" w:rsidRPr="00EB34FC" w:rsidRDefault="00DA690B" w:rsidP="00DA690B">
      <w:pPr>
        <w:rPr>
          <w:rFonts w:asciiTheme="minorHAnsi" w:hAnsiTheme="minorHAnsi" w:cstheme="minorHAnsi"/>
        </w:rPr>
      </w:pPr>
    </w:p>
    <w:p w14:paraId="2B8982E9" w14:textId="77777777" w:rsidR="00DA690B" w:rsidRDefault="00DA690B" w:rsidP="00DA690B">
      <w:pPr>
        <w:rPr>
          <w:rFonts w:asciiTheme="minorHAnsi" w:hAnsiTheme="minorHAnsi" w:cstheme="minorHAnsi"/>
        </w:rPr>
      </w:pPr>
    </w:p>
    <w:p w14:paraId="1A5A997C" w14:textId="77777777" w:rsidR="006F0880" w:rsidRPr="00EB34FC" w:rsidRDefault="006F0880" w:rsidP="00DA690B">
      <w:pPr>
        <w:rPr>
          <w:rFonts w:asciiTheme="minorHAnsi" w:hAnsiTheme="minorHAnsi" w:cstheme="minorHAnsi"/>
        </w:rPr>
      </w:pPr>
    </w:p>
    <w:p w14:paraId="77533E7B" w14:textId="22CF5EB8" w:rsidR="00EB34FC" w:rsidRPr="003C5A0D" w:rsidRDefault="003A5D9F" w:rsidP="00EB34FC">
      <w:pPr>
        <w:rPr>
          <w:rFonts w:ascii="Arial" w:hAnsi="Arial" w:cs="Arial"/>
          <w:sz w:val="22"/>
          <w:szCs w:val="22"/>
        </w:rPr>
      </w:pPr>
      <w:r w:rsidRPr="003C5A0D">
        <w:rPr>
          <w:rFonts w:ascii="Arial" w:hAnsi="Arial" w:cs="Arial"/>
          <w:b/>
          <w:sz w:val="72"/>
          <w:szCs w:val="72"/>
        </w:rPr>
        <w:t xml:space="preserve">LED </w:t>
      </w:r>
      <w:r w:rsidR="00712581">
        <w:rPr>
          <w:rFonts w:ascii="Arial" w:hAnsi="Arial" w:cs="Arial"/>
          <w:b/>
          <w:sz w:val="72"/>
          <w:szCs w:val="72"/>
        </w:rPr>
        <w:t>Display Case Retrofit</w:t>
      </w:r>
    </w:p>
    <w:p w14:paraId="4F90EFA4" w14:textId="77777777" w:rsidR="00EB34FC" w:rsidRPr="003C5A0D" w:rsidRDefault="00EB34FC" w:rsidP="00DA690B">
      <w:pPr>
        <w:rPr>
          <w:rFonts w:ascii="Arial" w:hAnsi="Arial" w:cs="Arial"/>
          <w:sz w:val="22"/>
          <w:szCs w:val="22"/>
        </w:rPr>
        <w:sectPr w:rsidR="00EB34FC" w:rsidRPr="003C5A0D">
          <w:footerReference w:type="default" r:id="rId9"/>
          <w:pgSz w:w="12240" w:h="15840"/>
          <w:pgMar w:top="1440" w:right="1440" w:bottom="1440" w:left="1440" w:header="720" w:footer="720" w:gutter="0"/>
          <w:cols w:space="720"/>
          <w:docGrid w:linePitch="360"/>
        </w:sectPr>
      </w:pPr>
    </w:p>
    <w:p w14:paraId="06464345" w14:textId="77777777" w:rsidR="00EB34FC" w:rsidRPr="005734A4" w:rsidRDefault="00EB34FC" w:rsidP="00EB34FC">
      <w:pPr>
        <w:pStyle w:val="Heading3"/>
        <w:ind w:left="-630"/>
        <w:rPr>
          <w:rFonts w:asciiTheme="minorHAnsi" w:hAnsiTheme="minorHAnsi" w:cstheme="minorHAnsi"/>
        </w:rPr>
      </w:pPr>
      <w:r w:rsidRPr="005734A4">
        <w:rPr>
          <w:rFonts w:asciiTheme="minorHAnsi" w:hAnsiTheme="minorHAnsi" w:cstheme="minorHAnsi"/>
        </w:rPr>
        <w:lastRenderedPageBreak/>
        <w:t>Core Measure Summary Table</w:t>
      </w:r>
    </w:p>
    <w:tbl>
      <w:tblPr>
        <w:tblW w:w="22500" w:type="dxa"/>
        <w:tblInd w:w="-522" w:type="dxa"/>
        <w:tblLayout w:type="fixed"/>
        <w:tblLook w:val="04A0" w:firstRow="1" w:lastRow="0" w:firstColumn="1" w:lastColumn="0" w:noHBand="0" w:noVBand="1"/>
      </w:tblPr>
      <w:tblGrid>
        <w:gridCol w:w="2250"/>
        <w:gridCol w:w="3780"/>
        <w:gridCol w:w="1080"/>
        <w:gridCol w:w="720"/>
        <w:gridCol w:w="1710"/>
        <w:gridCol w:w="1800"/>
        <w:gridCol w:w="450"/>
        <w:gridCol w:w="1080"/>
        <w:gridCol w:w="900"/>
        <w:gridCol w:w="810"/>
        <w:gridCol w:w="990"/>
        <w:gridCol w:w="990"/>
        <w:gridCol w:w="810"/>
        <w:gridCol w:w="720"/>
        <w:gridCol w:w="990"/>
        <w:gridCol w:w="990"/>
        <w:gridCol w:w="810"/>
        <w:gridCol w:w="720"/>
        <w:gridCol w:w="900"/>
      </w:tblGrid>
      <w:tr w:rsidR="006404E6" w:rsidRPr="002F3943" w14:paraId="5DB4A86F" w14:textId="77777777" w:rsidTr="00447CE5">
        <w:trPr>
          <w:trHeight w:val="540"/>
        </w:trPr>
        <w:tc>
          <w:tcPr>
            <w:tcW w:w="12870" w:type="dxa"/>
            <w:gridSpan w:val="8"/>
            <w:tcBorders>
              <w:top w:val="single" w:sz="8" w:space="0" w:color="auto"/>
              <w:left w:val="single" w:sz="8" w:space="0" w:color="auto"/>
              <w:bottom w:val="single" w:sz="8" w:space="0" w:color="auto"/>
              <w:right w:val="single" w:sz="8" w:space="0" w:color="000000"/>
            </w:tcBorders>
            <w:shd w:val="clear" w:color="000000" w:fill="BFBFBF" w:themeFill="background1" w:themeFillShade="BF"/>
            <w:noWrap/>
            <w:vAlign w:val="center"/>
            <w:hideMark/>
          </w:tcPr>
          <w:p w14:paraId="508F55A1"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General Measure Information</w:t>
            </w:r>
          </w:p>
        </w:tc>
        <w:tc>
          <w:tcPr>
            <w:tcW w:w="1710" w:type="dxa"/>
            <w:gridSpan w:val="2"/>
            <w:tcBorders>
              <w:top w:val="single" w:sz="8" w:space="0" w:color="auto"/>
              <w:left w:val="nil"/>
              <w:bottom w:val="nil"/>
              <w:right w:val="single" w:sz="4" w:space="0" w:color="auto"/>
            </w:tcBorders>
            <w:shd w:val="clear" w:color="000000" w:fill="BFBFBF" w:themeFill="background1" w:themeFillShade="BF"/>
            <w:noWrap/>
            <w:vAlign w:val="center"/>
            <w:hideMark/>
          </w:tcPr>
          <w:p w14:paraId="25D4D7BC"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PT</w:t>
            </w:r>
          </w:p>
        </w:tc>
        <w:tc>
          <w:tcPr>
            <w:tcW w:w="3510" w:type="dxa"/>
            <w:gridSpan w:val="4"/>
            <w:tcBorders>
              <w:top w:val="single" w:sz="8" w:space="0" w:color="auto"/>
              <w:left w:val="single" w:sz="4" w:space="0" w:color="auto"/>
              <w:bottom w:val="nil"/>
              <w:right w:val="single" w:sz="8" w:space="0" w:color="000000"/>
            </w:tcBorders>
            <w:shd w:val="clear" w:color="000000" w:fill="BFBFBF" w:themeFill="background1" w:themeFillShade="BF"/>
            <w:noWrap/>
            <w:vAlign w:val="center"/>
            <w:hideMark/>
          </w:tcPr>
          <w:p w14:paraId="7164FD64"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1st Baseline Period</w:t>
            </w:r>
          </w:p>
        </w:tc>
        <w:tc>
          <w:tcPr>
            <w:tcW w:w="3510" w:type="dxa"/>
            <w:gridSpan w:val="4"/>
            <w:tcBorders>
              <w:top w:val="single" w:sz="8" w:space="0" w:color="auto"/>
              <w:left w:val="nil"/>
              <w:bottom w:val="nil"/>
              <w:right w:val="single" w:sz="8" w:space="0" w:color="000000"/>
            </w:tcBorders>
            <w:shd w:val="clear" w:color="000000" w:fill="BFBFBF" w:themeFill="background1" w:themeFillShade="BF"/>
            <w:noWrap/>
            <w:vAlign w:val="center"/>
            <w:hideMark/>
          </w:tcPr>
          <w:p w14:paraId="4A59EB13"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2nd Baseline Period</w:t>
            </w:r>
          </w:p>
        </w:tc>
        <w:tc>
          <w:tcPr>
            <w:tcW w:w="900" w:type="dxa"/>
            <w:tcBorders>
              <w:top w:val="single" w:sz="8" w:space="0" w:color="auto"/>
              <w:left w:val="nil"/>
              <w:bottom w:val="nil"/>
              <w:right w:val="single" w:sz="8" w:space="0" w:color="auto"/>
            </w:tcBorders>
            <w:shd w:val="clear" w:color="000000" w:fill="BFBFBF" w:themeFill="background1" w:themeFillShade="BF"/>
            <w:noWrap/>
            <w:vAlign w:val="center"/>
            <w:hideMark/>
          </w:tcPr>
          <w:p w14:paraId="769C1A94"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TOU</w:t>
            </w:r>
          </w:p>
        </w:tc>
      </w:tr>
      <w:tr w:rsidR="006404E6" w:rsidRPr="002F3943" w14:paraId="3EC8A3E7" w14:textId="77777777" w:rsidTr="006404E6">
        <w:trPr>
          <w:trHeight w:val="1290"/>
        </w:trPr>
        <w:tc>
          <w:tcPr>
            <w:tcW w:w="2250" w:type="dxa"/>
            <w:tcBorders>
              <w:top w:val="nil"/>
              <w:left w:val="single" w:sz="8" w:space="0" w:color="auto"/>
              <w:bottom w:val="single" w:sz="8" w:space="0" w:color="auto"/>
              <w:right w:val="single" w:sz="4" w:space="0" w:color="auto"/>
            </w:tcBorders>
            <w:shd w:val="clear" w:color="000000" w:fill="C0C0C0"/>
            <w:vAlign w:val="center"/>
            <w:hideMark/>
          </w:tcPr>
          <w:p w14:paraId="76AE9026"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Measure Name</w:t>
            </w:r>
          </w:p>
        </w:tc>
        <w:tc>
          <w:tcPr>
            <w:tcW w:w="3780" w:type="dxa"/>
            <w:tcBorders>
              <w:top w:val="nil"/>
              <w:left w:val="nil"/>
              <w:bottom w:val="single" w:sz="8" w:space="0" w:color="auto"/>
              <w:right w:val="single" w:sz="4" w:space="0" w:color="auto"/>
            </w:tcBorders>
            <w:shd w:val="clear" w:color="000000" w:fill="C0C0C0"/>
            <w:vAlign w:val="center"/>
            <w:hideMark/>
          </w:tcPr>
          <w:p w14:paraId="21DCFC3D"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Measure RunID</w:t>
            </w:r>
          </w:p>
        </w:tc>
        <w:tc>
          <w:tcPr>
            <w:tcW w:w="1080" w:type="dxa"/>
            <w:tcBorders>
              <w:top w:val="nil"/>
              <w:left w:val="nil"/>
              <w:bottom w:val="single" w:sz="8" w:space="0" w:color="auto"/>
              <w:right w:val="single" w:sz="4" w:space="0" w:color="auto"/>
            </w:tcBorders>
            <w:shd w:val="clear" w:color="000000" w:fill="C0C0C0"/>
            <w:vAlign w:val="center"/>
            <w:hideMark/>
          </w:tcPr>
          <w:p w14:paraId="35C58282"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Solution Code</w:t>
            </w:r>
          </w:p>
        </w:tc>
        <w:tc>
          <w:tcPr>
            <w:tcW w:w="720" w:type="dxa"/>
            <w:tcBorders>
              <w:top w:val="nil"/>
              <w:left w:val="nil"/>
              <w:bottom w:val="single" w:sz="8" w:space="0" w:color="auto"/>
              <w:right w:val="single" w:sz="4" w:space="0" w:color="auto"/>
            </w:tcBorders>
            <w:shd w:val="clear" w:color="000000" w:fill="C0C0C0"/>
            <w:vAlign w:val="center"/>
            <w:hideMark/>
          </w:tcPr>
          <w:p w14:paraId="752C809A"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CZ</w:t>
            </w:r>
          </w:p>
        </w:tc>
        <w:tc>
          <w:tcPr>
            <w:tcW w:w="1710" w:type="dxa"/>
            <w:tcBorders>
              <w:top w:val="nil"/>
              <w:left w:val="nil"/>
              <w:bottom w:val="single" w:sz="8" w:space="0" w:color="auto"/>
              <w:right w:val="single" w:sz="4" w:space="0" w:color="auto"/>
            </w:tcBorders>
            <w:shd w:val="clear" w:color="000000" w:fill="C0C0C0"/>
            <w:vAlign w:val="center"/>
            <w:hideMark/>
          </w:tcPr>
          <w:p w14:paraId="474E89CF"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Building Type</w:t>
            </w:r>
          </w:p>
        </w:tc>
        <w:tc>
          <w:tcPr>
            <w:tcW w:w="1800" w:type="dxa"/>
            <w:tcBorders>
              <w:top w:val="nil"/>
              <w:left w:val="nil"/>
              <w:bottom w:val="single" w:sz="8" w:space="0" w:color="auto"/>
              <w:right w:val="single" w:sz="4" w:space="0" w:color="auto"/>
            </w:tcBorders>
            <w:shd w:val="clear" w:color="000000" w:fill="C0C0C0"/>
            <w:vAlign w:val="center"/>
            <w:hideMark/>
          </w:tcPr>
          <w:p w14:paraId="2B099966"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Load Shape</w:t>
            </w:r>
          </w:p>
        </w:tc>
        <w:tc>
          <w:tcPr>
            <w:tcW w:w="450" w:type="dxa"/>
            <w:tcBorders>
              <w:top w:val="nil"/>
              <w:left w:val="nil"/>
              <w:bottom w:val="single" w:sz="8" w:space="0" w:color="auto"/>
              <w:right w:val="single" w:sz="4" w:space="0" w:color="auto"/>
            </w:tcBorders>
            <w:shd w:val="clear" w:color="000000" w:fill="C0C0C0"/>
            <w:vAlign w:val="center"/>
            <w:hideMark/>
          </w:tcPr>
          <w:p w14:paraId="2A4EB7AC"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EUL</w:t>
            </w:r>
          </w:p>
        </w:tc>
        <w:tc>
          <w:tcPr>
            <w:tcW w:w="1080" w:type="dxa"/>
            <w:tcBorders>
              <w:top w:val="nil"/>
              <w:left w:val="nil"/>
              <w:bottom w:val="single" w:sz="8" w:space="0" w:color="auto"/>
              <w:right w:val="nil"/>
            </w:tcBorders>
            <w:shd w:val="clear" w:color="000000" w:fill="C0C0C0"/>
            <w:vAlign w:val="center"/>
            <w:hideMark/>
          </w:tcPr>
          <w:p w14:paraId="28E8FE41"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Unit Definition</w:t>
            </w:r>
          </w:p>
        </w:tc>
        <w:tc>
          <w:tcPr>
            <w:tcW w:w="900" w:type="dxa"/>
            <w:tcBorders>
              <w:top w:val="single" w:sz="8" w:space="0" w:color="auto"/>
              <w:left w:val="single" w:sz="8" w:space="0" w:color="auto"/>
              <w:bottom w:val="single" w:sz="8" w:space="0" w:color="auto"/>
              <w:right w:val="single" w:sz="4" w:space="0" w:color="auto"/>
            </w:tcBorders>
            <w:shd w:val="clear" w:color="000000" w:fill="C0C0C0"/>
            <w:vAlign w:val="center"/>
            <w:hideMark/>
          </w:tcPr>
          <w:p w14:paraId="0D6EC302"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Program Type (NEW, ROB, RET)</w:t>
            </w:r>
          </w:p>
        </w:tc>
        <w:tc>
          <w:tcPr>
            <w:tcW w:w="810"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6D3BCA76" w14:textId="77777777" w:rsidR="006404E6" w:rsidRPr="002F3943" w:rsidRDefault="006404E6" w:rsidP="006404E6">
            <w:pPr>
              <w:jc w:val="center"/>
              <w:rPr>
                <w:rFonts w:ascii="Calibri" w:hAnsi="Calibri" w:cs="Calibri"/>
                <w:sz w:val="14"/>
                <w:szCs w:val="14"/>
              </w:rPr>
            </w:pPr>
            <w:r>
              <w:rPr>
                <w:rFonts w:ascii="Calibri" w:hAnsi="Calibri" w:cs="Calibri"/>
                <w:sz w:val="14"/>
                <w:szCs w:val="14"/>
              </w:rPr>
              <w:t>Applicable Code</w:t>
            </w:r>
          </w:p>
        </w:tc>
        <w:tc>
          <w:tcPr>
            <w:tcW w:w="990" w:type="dxa"/>
            <w:tcBorders>
              <w:top w:val="single" w:sz="8" w:space="0" w:color="auto"/>
              <w:left w:val="single" w:sz="4" w:space="0" w:color="auto"/>
              <w:bottom w:val="single" w:sz="8" w:space="0" w:color="auto"/>
              <w:right w:val="single" w:sz="4" w:space="0" w:color="auto"/>
            </w:tcBorders>
            <w:shd w:val="clear" w:color="000000" w:fill="D8E4BC"/>
            <w:vAlign w:val="center"/>
            <w:hideMark/>
          </w:tcPr>
          <w:p w14:paraId="29D30D8D"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Unit Annual Electricity Savings (kWh/unit)</w:t>
            </w:r>
          </w:p>
        </w:tc>
        <w:tc>
          <w:tcPr>
            <w:tcW w:w="990" w:type="dxa"/>
            <w:tcBorders>
              <w:top w:val="single" w:sz="8" w:space="0" w:color="auto"/>
              <w:left w:val="nil"/>
              <w:bottom w:val="single" w:sz="8" w:space="0" w:color="auto"/>
              <w:right w:val="single" w:sz="4" w:space="0" w:color="auto"/>
            </w:tcBorders>
            <w:shd w:val="clear" w:color="000000" w:fill="D8E4BC"/>
            <w:vAlign w:val="center"/>
            <w:hideMark/>
          </w:tcPr>
          <w:p w14:paraId="20BB974B"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User Entered kW Savings per unit (kW/unit)</w:t>
            </w:r>
          </w:p>
        </w:tc>
        <w:tc>
          <w:tcPr>
            <w:tcW w:w="810" w:type="dxa"/>
            <w:tcBorders>
              <w:top w:val="single" w:sz="8" w:space="0" w:color="auto"/>
              <w:left w:val="nil"/>
              <w:bottom w:val="single" w:sz="8" w:space="0" w:color="auto"/>
              <w:right w:val="single" w:sz="4" w:space="0" w:color="auto"/>
            </w:tcBorders>
            <w:shd w:val="clear" w:color="000000" w:fill="D8E4BC"/>
            <w:vAlign w:val="center"/>
            <w:hideMark/>
          </w:tcPr>
          <w:p w14:paraId="57A7CD25"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Gas      Savings   (Therms)</w:t>
            </w:r>
          </w:p>
        </w:tc>
        <w:tc>
          <w:tcPr>
            <w:tcW w:w="720" w:type="dxa"/>
            <w:tcBorders>
              <w:top w:val="single" w:sz="8" w:space="0" w:color="auto"/>
              <w:left w:val="nil"/>
              <w:bottom w:val="single" w:sz="8" w:space="0" w:color="auto"/>
              <w:right w:val="single" w:sz="8" w:space="0" w:color="auto"/>
            </w:tcBorders>
            <w:shd w:val="clear" w:color="000000" w:fill="D8E4BC"/>
            <w:vAlign w:val="center"/>
            <w:hideMark/>
          </w:tcPr>
          <w:p w14:paraId="5B75E76C"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1st Baseline Useful Life</w:t>
            </w:r>
          </w:p>
        </w:tc>
        <w:tc>
          <w:tcPr>
            <w:tcW w:w="990" w:type="dxa"/>
            <w:tcBorders>
              <w:top w:val="single" w:sz="8" w:space="0" w:color="auto"/>
              <w:left w:val="nil"/>
              <w:bottom w:val="single" w:sz="8" w:space="0" w:color="auto"/>
              <w:right w:val="single" w:sz="4" w:space="0" w:color="auto"/>
            </w:tcBorders>
            <w:shd w:val="clear" w:color="000000" w:fill="B7DEE8"/>
            <w:vAlign w:val="center"/>
            <w:hideMark/>
          </w:tcPr>
          <w:p w14:paraId="553BF20D" w14:textId="77777777"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kWh Saving per unit (kWh/unit)</w:t>
            </w:r>
          </w:p>
        </w:tc>
        <w:tc>
          <w:tcPr>
            <w:tcW w:w="990" w:type="dxa"/>
            <w:tcBorders>
              <w:top w:val="single" w:sz="8" w:space="0" w:color="auto"/>
              <w:left w:val="nil"/>
              <w:bottom w:val="single" w:sz="8" w:space="0" w:color="auto"/>
              <w:right w:val="single" w:sz="4" w:space="0" w:color="auto"/>
            </w:tcBorders>
            <w:shd w:val="clear" w:color="000000" w:fill="B7DEE8"/>
            <w:vAlign w:val="center"/>
            <w:hideMark/>
          </w:tcPr>
          <w:p w14:paraId="77C1B210" w14:textId="77777777"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kW Savings per unit (kW/unit)</w:t>
            </w:r>
          </w:p>
        </w:tc>
        <w:tc>
          <w:tcPr>
            <w:tcW w:w="810" w:type="dxa"/>
            <w:tcBorders>
              <w:top w:val="single" w:sz="8" w:space="0" w:color="auto"/>
              <w:left w:val="nil"/>
              <w:bottom w:val="single" w:sz="8" w:space="0" w:color="auto"/>
              <w:right w:val="single" w:sz="4" w:space="0" w:color="auto"/>
            </w:tcBorders>
            <w:shd w:val="clear" w:color="000000" w:fill="B7DEE8"/>
            <w:vAlign w:val="center"/>
            <w:hideMark/>
          </w:tcPr>
          <w:p w14:paraId="5CD90BBE" w14:textId="77777777"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Gas Savings   (Therms)</w:t>
            </w:r>
          </w:p>
        </w:tc>
        <w:tc>
          <w:tcPr>
            <w:tcW w:w="720" w:type="dxa"/>
            <w:tcBorders>
              <w:top w:val="single" w:sz="8" w:space="0" w:color="auto"/>
              <w:left w:val="nil"/>
              <w:bottom w:val="single" w:sz="8" w:space="0" w:color="auto"/>
              <w:right w:val="single" w:sz="8" w:space="0" w:color="auto"/>
            </w:tcBorders>
            <w:shd w:val="clear" w:color="000000" w:fill="B7DEE8"/>
            <w:vAlign w:val="center"/>
            <w:hideMark/>
          </w:tcPr>
          <w:p w14:paraId="0DA462A6" w14:textId="77777777" w:rsidR="006404E6" w:rsidRPr="002F3943" w:rsidRDefault="006404E6" w:rsidP="007048AC">
            <w:pPr>
              <w:jc w:val="center"/>
              <w:rPr>
                <w:rFonts w:asciiTheme="minorHAnsi" w:hAnsiTheme="minorHAnsi" w:cstheme="minorHAnsi"/>
                <w:sz w:val="14"/>
                <w:szCs w:val="14"/>
              </w:rPr>
            </w:pPr>
            <w:r w:rsidRPr="002F3943">
              <w:rPr>
                <w:rFonts w:asciiTheme="minorHAnsi" w:hAnsiTheme="minorHAnsi" w:cstheme="minorHAnsi"/>
                <w:sz w:val="14"/>
                <w:szCs w:val="14"/>
              </w:rPr>
              <w:t>2nd Baseline Useful Life</w:t>
            </w:r>
          </w:p>
        </w:tc>
        <w:tc>
          <w:tcPr>
            <w:tcW w:w="900" w:type="dxa"/>
            <w:tcBorders>
              <w:top w:val="single" w:sz="8" w:space="0" w:color="auto"/>
              <w:left w:val="nil"/>
              <w:bottom w:val="single" w:sz="8" w:space="0" w:color="auto"/>
              <w:right w:val="single" w:sz="8" w:space="0" w:color="auto"/>
            </w:tcBorders>
            <w:shd w:val="clear" w:color="000000" w:fill="C0C0C0"/>
            <w:vAlign w:val="center"/>
            <w:hideMark/>
          </w:tcPr>
          <w:p w14:paraId="76693FFC"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 TOU</w:t>
            </w:r>
          </w:p>
        </w:tc>
      </w:tr>
      <w:tr w:rsidR="002370CA" w:rsidRPr="002F3943" w14:paraId="419DE1E8" w14:textId="77777777" w:rsidTr="00A120A6">
        <w:trPr>
          <w:trHeight w:val="255"/>
        </w:trPr>
        <w:tc>
          <w:tcPr>
            <w:tcW w:w="6030" w:type="dxa"/>
            <w:gridSpan w:val="2"/>
            <w:tcBorders>
              <w:top w:val="nil"/>
              <w:left w:val="single" w:sz="8" w:space="0" w:color="auto"/>
              <w:bottom w:val="single" w:sz="4" w:space="0" w:color="auto"/>
              <w:right w:val="single" w:sz="4" w:space="0" w:color="auto"/>
            </w:tcBorders>
            <w:shd w:val="clear" w:color="auto" w:fill="auto"/>
            <w:noWrap/>
            <w:vAlign w:val="bottom"/>
          </w:tcPr>
          <w:p w14:paraId="0F4A61A7" w14:textId="395A1C83" w:rsidR="002370CA" w:rsidRPr="002F3943" w:rsidRDefault="002370CA" w:rsidP="002F3943">
            <w:pPr>
              <w:rPr>
                <w:rFonts w:ascii="Calibri" w:hAnsi="Calibri" w:cs="Calibri"/>
                <w:sz w:val="20"/>
                <w:szCs w:val="20"/>
              </w:rPr>
            </w:pPr>
            <w:r>
              <w:rPr>
                <w:rFonts w:asciiTheme="minorHAnsi" w:hAnsiTheme="minorHAnsi" w:cstheme="minorHAnsi"/>
                <w:b/>
                <w:sz w:val="22"/>
                <w:szCs w:val="22"/>
              </w:rPr>
              <w:t>R</w:t>
            </w:r>
            <w:r w:rsidRPr="00BD3931">
              <w:rPr>
                <w:rFonts w:asciiTheme="minorHAnsi" w:hAnsiTheme="minorHAnsi" w:cstheme="minorHAnsi"/>
                <w:b/>
                <w:sz w:val="22"/>
                <w:szCs w:val="22"/>
              </w:rPr>
              <w:t xml:space="preserve">efer to </w:t>
            </w:r>
            <w:r w:rsidRPr="008E0F49">
              <w:rPr>
                <w:rFonts w:asciiTheme="minorHAnsi" w:hAnsiTheme="minorHAnsi" w:cstheme="minorHAnsi"/>
                <w:b/>
                <w:sz w:val="22"/>
                <w:szCs w:val="22"/>
              </w:rPr>
              <w:t>workpaper WPSDGENRLG0999</w:t>
            </w:r>
          </w:p>
        </w:tc>
        <w:tc>
          <w:tcPr>
            <w:tcW w:w="1080" w:type="dxa"/>
            <w:tcBorders>
              <w:top w:val="nil"/>
              <w:left w:val="nil"/>
              <w:bottom w:val="single" w:sz="4" w:space="0" w:color="auto"/>
              <w:right w:val="single" w:sz="4" w:space="0" w:color="auto"/>
            </w:tcBorders>
            <w:shd w:val="clear" w:color="auto" w:fill="auto"/>
            <w:noWrap/>
            <w:vAlign w:val="bottom"/>
          </w:tcPr>
          <w:p w14:paraId="3390FF89" w14:textId="77777777" w:rsidR="002370CA" w:rsidRPr="002F3943" w:rsidRDefault="002370CA" w:rsidP="002F3943">
            <w:pPr>
              <w:jc w:val="right"/>
              <w:rPr>
                <w:rFonts w:ascii="Calibri" w:hAnsi="Calibri" w:cs="Calibri"/>
                <w:sz w:val="20"/>
                <w:szCs w:val="20"/>
              </w:rPr>
            </w:pPr>
          </w:p>
        </w:tc>
        <w:tc>
          <w:tcPr>
            <w:tcW w:w="720" w:type="dxa"/>
            <w:tcBorders>
              <w:top w:val="nil"/>
              <w:left w:val="nil"/>
              <w:bottom w:val="single" w:sz="4" w:space="0" w:color="auto"/>
              <w:right w:val="single" w:sz="4" w:space="0" w:color="auto"/>
            </w:tcBorders>
            <w:shd w:val="clear" w:color="auto" w:fill="auto"/>
            <w:noWrap/>
            <w:vAlign w:val="bottom"/>
          </w:tcPr>
          <w:p w14:paraId="5CA809A1" w14:textId="77777777" w:rsidR="002370CA" w:rsidRPr="002F3943" w:rsidRDefault="002370CA" w:rsidP="002F3943">
            <w:pPr>
              <w:jc w:val="center"/>
              <w:rPr>
                <w:rFonts w:ascii="Calibri" w:hAnsi="Calibri" w:cs="Calibri"/>
                <w:sz w:val="20"/>
                <w:szCs w:val="20"/>
              </w:rPr>
            </w:pPr>
          </w:p>
        </w:tc>
        <w:tc>
          <w:tcPr>
            <w:tcW w:w="1710" w:type="dxa"/>
            <w:tcBorders>
              <w:top w:val="nil"/>
              <w:left w:val="nil"/>
              <w:bottom w:val="single" w:sz="4" w:space="0" w:color="auto"/>
              <w:right w:val="single" w:sz="4" w:space="0" w:color="auto"/>
            </w:tcBorders>
            <w:shd w:val="clear" w:color="auto" w:fill="auto"/>
            <w:vAlign w:val="bottom"/>
          </w:tcPr>
          <w:p w14:paraId="35863DAE" w14:textId="77777777" w:rsidR="002370CA" w:rsidRPr="002F3943" w:rsidRDefault="002370CA" w:rsidP="002F3943">
            <w:pPr>
              <w:rPr>
                <w:rFonts w:ascii="Calibri" w:hAnsi="Calibri" w:cs="Calibri"/>
                <w:sz w:val="20"/>
                <w:szCs w:val="20"/>
              </w:rPr>
            </w:pPr>
          </w:p>
        </w:tc>
        <w:tc>
          <w:tcPr>
            <w:tcW w:w="1800" w:type="dxa"/>
            <w:tcBorders>
              <w:top w:val="nil"/>
              <w:left w:val="nil"/>
              <w:bottom w:val="single" w:sz="4" w:space="0" w:color="auto"/>
              <w:right w:val="single" w:sz="4" w:space="0" w:color="auto"/>
            </w:tcBorders>
            <w:shd w:val="clear" w:color="auto" w:fill="auto"/>
            <w:vAlign w:val="bottom"/>
          </w:tcPr>
          <w:p w14:paraId="79F90E08" w14:textId="77777777" w:rsidR="002370CA" w:rsidRPr="002F3943" w:rsidRDefault="002370CA" w:rsidP="002F3943">
            <w:pPr>
              <w:jc w:val="center"/>
              <w:rPr>
                <w:rFonts w:ascii="Calibri" w:hAnsi="Calibri" w:cs="Calibri"/>
                <w:sz w:val="20"/>
                <w:szCs w:val="20"/>
              </w:rPr>
            </w:pPr>
          </w:p>
        </w:tc>
        <w:tc>
          <w:tcPr>
            <w:tcW w:w="450" w:type="dxa"/>
            <w:tcBorders>
              <w:top w:val="nil"/>
              <w:left w:val="nil"/>
              <w:bottom w:val="single" w:sz="4" w:space="0" w:color="auto"/>
              <w:right w:val="single" w:sz="4" w:space="0" w:color="auto"/>
            </w:tcBorders>
            <w:shd w:val="clear" w:color="auto" w:fill="auto"/>
            <w:vAlign w:val="bottom"/>
          </w:tcPr>
          <w:p w14:paraId="629C303B" w14:textId="77777777" w:rsidR="002370CA" w:rsidRPr="002F3943" w:rsidRDefault="002370CA" w:rsidP="002F3943">
            <w:pPr>
              <w:jc w:val="center"/>
              <w:rPr>
                <w:rFonts w:ascii="Calibri" w:hAnsi="Calibri" w:cs="Calibri"/>
                <w:sz w:val="20"/>
                <w:szCs w:val="20"/>
              </w:rPr>
            </w:pPr>
          </w:p>
        </w:tc>
        <w:tc>
          <w:tcPr>
            <w:tcW w:w="1080" w:type="dxa"/>
            <w:tcBorders>
              <w:top w:val="nil"/>
              <w:left w:val="nil"/>
              <w:bottom w:val="single" w:sz="4" w:space="0" w:color="auto"/>
              <w:right w:val="nil"/>
            </w:tcBorders>
            <w:shd w:val="clear" w:color="auto" w:fill="auto"/>
            <w:noWrap/>
            <w:vAlign w:val="bottom"/>
          </w:tcPr>
          <w:p w14:paraId="1CF333DB" w14:textId="77777777" w:rsidR="002370CA" w:rsidRPr="002F3943" w:rsidRDefault="002370CA" w:rsidP="002F3943">
            <w:pPr>
              <w:jc w:val="center"/>
              <w:rPr>
                <w:rFonts w:ascii="Calibri" w:hAnsi="Calibri" w:cs="Calibri"/>
                <w:sz w:val="20"/>
                <w:szCs w:val="20"/>
              </w:rPr>
            </w:pPr>
          </w:p>
        </w:tc>
        <w:tc>
          <w:tcPr>
            <w:tcW w:w="900" w:type="dxa"/>
            <w:tcBorders>
              <w:top w:val="nil"/>
              <w:left w:val="single" w:sz="8" w:space="0" w:color="auto"/>
              <w:bottom w:val="single" w:sz="4" w:space="0" w:color="auto"/>
              <w:right w:val="single" w:sz="4" w:space="0" w:color="auto"/>
            </w:tcBorders>
            <w:shd w:val="clear" w:color="auto" w:fill="auto"/>
            <w:noWrap/>
            <w:vAlign w:val="bottom"/>
          </w:tcPr>
          <w:p w14:paraId="39192C08" w14:textId="77777777" w:rsidR="002370CA" w:rsidRPr="002F3943" w:rsidRDefault="002370CA" w:rsidP="002F3943">
            <w:pPr>
              <w:jc w:val="cente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tcPr>
          <w:p w14:paraId="15BAEFB9" w14:textId="77777777" w:rsidR="002370CA" w:rsidRPr="002F3943" w:rsidRDefault="002370CA" w:rsidP="002F3943">
            <w:pPr>
              <w:jc w:val="center"/>
              <w:rPr>
                <w:rFonts w:ascii="Calibri" w:hAnsi="Calibri" w:cs="Calibri"/>
                <w:sz w:val="20"/>
                <w:szCs w:val="20"/>
              </w:rPr>
            </w:pPr>
          </w:p>
        </w:tc>
        <w:tc>
          <w:tcPr>
            <w:tcW w:w="990" w:type="dxa"/>
            <w:tcBorders>
              <w:top w:val="nil"/>
              <w:left w:val="single" w:sz="4" w:space="0" w:color="auto"/>
              <w:bottom w:val="single" w:sz="4" w:space="0" w:color="auto"/>
              <w:right w:val="single" w:sz="4" w:space="0" w:color="auto"/>
            </w:tcBorders>
            <w:shd w:val="clear" w:color="auto" w:fill="auto"/>
            <w:noWrap/>
            <w:vAlign w:val="bottom"/>
          </w:tcPr>
          <w:p w14:paraId="3F8B4441" w14:textId="77777777" w:rsidR="002370CA" w:rsidRPr="002F3943" w:rsidRDefault="002370CA" w:rsidP="002F3943">
            <w:pPr>
              <w:jc w:val="center"/>
              <w:rPr>
                <w:rFonts w:ascii="Calibri" w:hAnsi="Calibri" w:cs="Calibri"/>
                <w:sz w:val="20"/>
                <w:szCs w:val="20"/>
              </w:rPr>
            </w:pPr>
          </w:p>
        </w:tc>
        <w:tc>
          <w:tcPr>
            <w:tcW w:w="990" w:type="dxa"/>
            <w:tcBorders>
              <w:top w:val="nil"/>
              <w:left w:val="nil"/>
              <w:bottom w:val="single" w:sz="4" w:space="0" w:color="auto"/>
              <w:right w:val="single" w:sz="4" w:space="0" w:color="auto"/>
            </w:tcBorders>
            <w:shd w:val="clear" w:color="auto" w:fill="auto"/>
            <w:noWrap/>
            <w:vAlign w:val="bottom"/>
          </w:tcPr>
          <w:p w14:paraId="5CC6465B" w14:textId="77777777" w:rsidR="002370CA" w:rsidRPr="002F3943" w:rsidRDefault="002370CA" w:rsidP="002F3943">
            <w:pPr>
              <w:jc w:val="center"/>
              <w:rPr>
                <w:rFonts w:ascii="Calibri" w:hAnsi="Calibri" w:cs="Calibri"/>
                <w:sz w:val="20"/>
                <w:szCs w:val="20"/>
              </w:rPr>
            </w:pPr>
          </w:p>
        </w:tc>
        <w:tc>
          <w:tcPr>
            <w:tcW w:w="810" w:type="dxa"/>
            <w:tcBorders>
              <w:top w:val="nil"/>
              <w:left w:val="nil"/>
              <w:bottom w:val="single" w:sz="4" w:space="0" w:color="auto"/>
              <w:right w:val="single" w:sz="4" w:space="0" w:color="auto"/>
            </w:tcBorders>
            <w:shd w:val="clear" w:color="auto" w:fill="auto"/>
            <w:noWrap/>
            <w:vAlign w:val="bottom"/>
          </w:tcPr>
          <w:p w14:paraId="3D85FB9B" w14:textId="77777777" w:rsidR="002370CA" w:rsidRPr="002F3943" w:rsidRDefault="002370CA" w:rsidP="002F3943">
            <w:pPr>
              <w:jc w:val="center"/>
              <w:rPr>
                <w:rFonts w:ascii="Calibri" w:hAnsi="Calibri" w:cs="Calibri"/>
                <w:sz w:val="20"/>
                <w:szCs w:val="20"/>
              </w:rPr>
            </w:pPr>
          </w:p>
        </w:tc>
        <w:tc>
          <w:tcPr>
            <w:tcW w:w="720" w:type="dxa"/>
            <w:tcBorders>
              <w:top w:val="nil"/>
              <w:left w:val="nil"/>
              <w:bottom w:val="single" w:sz="4" w:space="0" w:color="auto"/>
              <w:right w:val="single" w:sz="8" w:space="0" w:color="auto"/>
            </w:tcBorders>
            <w:shd w:val="clear" w:color="auto" w:fill="auto"/>
            <w:noWrap/>
            <w:vAlign w:val="bottom"/>
          </w:tcPr>
          <w:p w14:paraId="58124E63" w14:textId="77777777" w:rsidR="002370CA" w:rsidRPr="002F3943" w:rsidRDefault="002370CA" w:rsidP="002F3943">
            <w:pPr>
              <w:jc w:val="center"/>
              <w:rPr>
                <w:rFonts w:ascii="Calibri" w:hAnsi="Calibri" w:cs="Calibri"/>
                <w:sz w:val="20"/>
                <w:szCs w:val="20"/>
              </w:rPr>
            </w:pPr>
          </w:p>
        </w:tc>
        <w:tc>
          <w:tcPr>
            <w:tcW w:w="990" w:type="dxa"/>
            <w:tcBorders>
              <w:top w:val="nil"/>
              <w:left w:val="nil"/>
              <w:bottom w:val="single" w:sz="4" w:space="0" w:color="auto"/>
              <w:right w:val="single" w:sz="4" w:space="0" w:color="auto"/>
            </w:tcBorders>
            <w:shd w:val="clear" w:color="auto" w:fill="auto"/>
            <w:vAlign w:val="bottom"/>
          </w:tcPr>
          <w:p w14:paraId="51560714" w14:textId="77777777" w:rsidR="002370CA" w:rsidRPr="002F3943" w:rsidRDefault="002370CA" w:rsidP="002F3943">
            <w:pPr>
              <w:jc w:val="center"/>
              <w:rPr>
                <w:rFonts w:ascii="Calibri" w:hAnsi="Calibri" w:cs="Calibri"/>
                <w:sz w:val="20"/>
                <w:szCs w:val="20"/>
              </w:rPr>
            </w:pPr>
          </w:p>
        </w:tc>
        <w:tc>
          <w:tcPr>
            <w:tcW w:w="990" w:type="dxa"/>
            <w:tcBorders>
              <w:top w:val="nil"/>
              <w:left w:val="single" w:sz="8" w:space="0" w:color="auto"/>
              <w:bottom w:val="single" w:sz="4" w:space="0" w:color="auto"/>
              <w:right w:val="single" w:sz="4" w:space="0" w:color="auto"/>
            </w:tcBorders>
            <w:shd w:val="clear" w:color="auto" w:fill="auto"/>
            <w:vAlign w:val="bottom"/>
          </w:tcPr>
          <w:p w14:paraId="6C5A5F4F" w14:textId="77777777" w:rsidR="002370CA" w:rsidRPr="002F3943" w:rsidRDefault="002370CA" w:rsidP="002F3943">
            <w:pPr>
              <w:jc w:val="center"/>
              <w:rPr>
                <w:rFonts w:ascii="Calibri" w:hAnsi="Calibri" w:cs="Calibri"/>
                <w:sz w:val="20"/>
                <w:szCs w:val="20"/>
              </w:rPr>
            </w:pPr>
          </w:p>
        </w:tc>
        <w:tc>
          <w:tcPr>
            <w:tcW w:w="810" w:type="dxa"/>
            <w:tcBorders>
              <w:top w:val="nil"/>
              <w:left w:val="single" w:sz="8" w:space="0" w:color="auto"/>
              <w:bottom w:val="single" w:sz="4" w:space="0" w:color="auto"/>
              <w:right w:val="single" w:sz="4" w:space="0" w:color="auto"/>
            </w:tcBorders>
            <w:shd w:val="clear" w:color="auto" w:fill="auto"/>
            <w:vAlign w:val="bottom"/>
          </w:tcPr>
          <w:p w14:paraId="620739C1" w14:textId="77777777" w:rsidR="002370CA" w:rsidRPr="002F3943" w:rsidRDefault="002370CA" w:rsidP="002F3943">
            <w:pPr>
              <w:jc w:val="center"/>
              <w:rPr>
                <w:rFonts w:ascii="Calibri" w:hAnsi="Calibri" w:cs="Calibri"/>
                <w:sz w:val="20"/>
                <w:szCs w:val="20"/>
              </w:rPr>
            </w:pPr>
          </w:p>
        </w:tc>
        <w:tc>
          <w:tcPr>
            <w:tcW w:w="720" w:type="dxa"/>
            <w:tcBorders>
              <w:top w:val="nil"/>
              <w:left w:val="single" w:sz="8" w:space="0" w:color="auto"/>
              <w:bottom w:val="single" w:sz="4" w:space="0" w:color="auto"/>
              <w:right w:val="single" w:sz="4" w:space="0" w:color="auto"/>
            </w:tcBorders>
            <w:shd w:val="clear" w:color="auto" w:fill="auto"/>
            <w:vAlign w:val="bottom"/>
          </w:tcPr>
          <w:p w14:paraId="4A3F9C38" w14:textId="77777777" w:rsidR="002370CA" w:rsidRPr="002F3943" w:rsidRDefault="002370CA" w:rsidP="002F3943">
            <w:pPr>
              <w:jc w:val="center"/>
              <w:rPr>
                <w:rFonts w:ascii="Calibri" w:hAnsi="Calibri" w:cs="Calibri"/>
                <w:sz w:val="20"/>
                <w:szCs w:val="20"/>
              </w:rPr>
            </w:pPr>
          </w:p>
        </w:tc>
        <w:tc>
          <w:tcPr>
            <w:tcW w:w="900" w:type="dxa"/>
            <w:tcBorders>
              <w:top w:val="nil"/>
              <w:left w:val="single" w:sz="8" w:space="0" w:color="auto"/>
              <w:bottom w:val="single" w:sz="4" w:space="0" w:color="auto"/>
              <w:right w:val="single" w:sz="8" w:space="0" w:color="auto"/>
            </w:tcBorders>
            <w:shd w:val="clear" w:color="auto" w:fill="auto"/>
            <w:vAlign w:val="bottom"/>
          </w:tcPr>
          <w:p w14:paraId="0558FAE5" w14:textId="77777777" w:rsidR="002370CA" w:rsidRPr="002F3943" w:rsidRDefault="002370CA" w:rsidP="002F3943">
            <w:pPr>
              <w:jc w:val="center"/>
              <w:rPr>
                <w:rFonts w:ascii="Calibri" w:hAnsi="Calibri" w:cs="Calibri"/>
                <w:sz w:val="20"/>
                <w:szCs w:val="20"/>
              </w:rPr>
            </w:pPr>
          </w:p>
        </w:tc>
      </w:tr>
      <w:tr w:rsidR="006404E6" w:rsidRPr="002F3943" w14:paraId="3FFE987A" w14:textId="77777777" w:rsidTr="006404E6">
        <w:trPr>
          <w:trHeight w:val="255"/>
        </w:trPr>
        <w:tc>
          <w:tcPr>
            <w:tcW w:w="2250" w:type="dxa"/>
            <w:tcBorders>
              <w:top w:val="nil"/>
              <w:left w:val="single" w:sz="8" w:space="0" w:color="auto"/>
              <w:bottom w:val="single" w:sz="4" w:space="0" w:color="auto"/>
              <w:right w:val="single" w:sz="4" w:space="0" w:color="auto"/>
            </w:tcBorders>
            <w:shd w:val="clear" w:color="auto" w:fill="auto"/>
            <w:noWrap/>
            <w:vAlign w:val="bottom"/>
          </w:tcPr>
          <w:p w14:paraId="60F05C64" w14:textId="77777777" w:rsidR="006404E6" w:rsidRPr="002F3943" w:rsidRDefault="006404E6" w:rsidP="002F3943">
            <w:pPr>
              <w:rPr>
                <w:rFonts w:ascii="Calibri" w:hAnsi="Calibri" w:cs="Calibri"/>
                <w:sz w:val="20"/>
                <w:szCs w:val="20"/>
              </w:rPr>
            </w:pPr>
          </w:p>
        </w:tc>
        <w:tc>
          <w:tcPr>
            <w:tcW w:w="3780" w:type="dxa"/>
            <w:tcBorders>
              <w:top w:val="nil"/>
              <w:left w:val="nil"/>
              <w:bottom w:val="single" w:sz="4" w:space="0" w:color="auto"/>
              <w:right w:val="single" w:sz="4" w:space="0" w:color="auto"/>
            </w:tcBorders>
            <w:shd w:val="clear" w:color="auto" w:fill="auto"/>
            <w:noWrap/>
            <w:vAlign w:val="bottom"/>
          </w:tcPr>
          <w:p w14:paraId="001563BD" w14:textId="77777777" w:rsidR="006404E6" w:rsidRPr="002F3943" w:rsidRDefault="006404E6" w:rsidP="002F3943">
            <w:pPr>
              <w:rPr>
                <w:rFonts w:ascii="Calibri" w:hAnsi="Calibri" w:cs="Calibri"/>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4FA0035B" w14:textId="77777777" w:rsidR="006404E6" w:rsidRPr="002F3943" w:rsidRDefault="006404E6" w:rsidP="002F3943">
            <w:pPr>
              <w:jc w:val="right"/>
              <w:rPr>
                <w:rFonts w:ascii="Calibri" w:hAnsi="Calibri" w:cs="Calibri"/>
                <w:sz w:val="20"/>
                <w:szCs w:val="20"/>
              </w:rPr>
            </w:pPr>
          </w:p>
        </w:tc>
        <w:tc>
          <w:tcPr>
            <w:tcW w:w="720" w:type="dxa"/>
            <w:tcBorders>
              <w:top w:val="nil"/>
              <w:left w:val="nil"/>
              <w:bottom w:val="single" w:sz="4" w:space="0" w:color="auto"/>
              <w:right w:val="single" w:sz="4" w:space="0" w:color="auto"/>
            </w:tcBorders>
            <w:shd w:val="clear" w:color="auto" w:fill="auto"/>
            <w:noWrap/>
            <w:vAlign w:val="bottom"/>
          </w:tcPr>
          <w:p w14:paraId="48AD8EA7" w14:textId="77777777" w:rsidR="006404E6" w:rsidRPr="002F3943" w:rsidRDefault="006404E6" w:rsidP="002F3943">
            <w:pPr>
              <w:jc w:val="center"/>
              <w:rPr>
                <w:rFonts w:ascii="Calibri" w:hAnsi="Calibri" w:cs="Calibri"/>
                <w:sz w:val="20"/>
                <w:szCs w:val="20"/>
              </w:rPr>
            </w:pPr>
          </w:p>
        </w:tc>
        <w:tc>
          <w:tcPr>
            <w:tcW w:w="1710" w:type="dxa"/>
            <w:tcBorders>
              <w:top w:val="nil"/>
              <w:left w:val="nil"/>
              <w:bottom w:val="single" w:sz="4" w:space="0" w:color="auto"/>
              <w:right w:val="single" w:sz="4" w:space="0" w:color="auto"/>
            </w:tcBorders>
            <w:shd w:val="clear" w:color="auto" w:fill="auto"/>
            <w:vAlign w:val="bottom"/>
          </w:tcPr>
          <w:p w14:paraId="454686EB" w14:textId="77777777" w:rsidR="006404E6" w:rsidRPr="002F3943" w:rsidRDefault="006404E6" w:rsidP="002F3943">
            <w:pPr>
              <w:rPr>
                <w:rFonts w:ascii="Calibri" w:hAnsi="Calibri" w:cs="Calibri"/>
                <w:sz w:val="20"/>
                <w:szCs w:val="20"/>
              </w:rPr>
            </w:pPr>
          </w:p>
        </w:tc>
        <w:tc>
          <w:tcPr>
            <w:tcW w:w="1800" w:type="dxa"/>
            <w:tcBorders>
              <w:top w:val="nil"/>
              <w:left w:val="nil"/>
              <w:bottom w:val="single" w:sz="4" w:space="0" w:color="auto"/>
              <w:right w:val="single" w:sz="4" w:space="0" w:color="auto"/>
            </w:tcBorders>
            <w:shd w:val="clear" w:color="auto" w:fill="auto"/>
            <w:vAlign w:val="bottom"/>
          </w:tcPr>
          <w:p w14:paraId="3DB2AE94" w14:textId="77777777" w:rsidR="006404E6" w:rsidRPr="002F3943" w:rsidRDefault="006404E6" w:rsidP="002F3943">
            <w:pPr>
              <w:jc w:val="center"/>
              <w:rPr>
                <w:rFonts w:ascii="Calibri" w:hAnsi="Calibri" w:cs="Calibri"/>
                <w:sz w:val="20"/>
                <w:szCs w:val="20"/>
              </w:rPr>
            </w:pPr>
          </w:p>
        </w:tc>
        <w:tc>
          <w:tcPr>
            <w:tcW w:w="450" w:type="dxa"/>
            <w:tcBorders>
              <w:top w:val="nil"/>
              <w:left w:val="nil"/>
              <w:bottom w:val="single" w:sz="4" w:space="0" w:color="auto"/>
              <w:right w:val="single" w:sz="4" w:space="0" w:color="auto"/>
            </w:tcBorders>
            <w:shd w:val="clear" w:color="auto" w:fill="auto"/>
            <w:vAlign w:val="bottom"/>
          </w:tcPr>
          <w:p w14:paraId="0AE02901" w14:textId="77777777" w:rsidR="006404E6" w:rsidRPr="002F3943" w:rsidRDefault="006404E6" w:rsidP="002F3943">
            <w:pPr>
              <w:jc w:val="center"/>
              <w:rPr>
                <w:rFonts w:ascii="Calibri" w:hAnsi="Calibri" w:cs="Calibri"/>
                <w:sz w:val="20"/>
                <w:szCs w:val="20"/>
              </w:rPr>
            </w:pPr>
          </w:p>
        </w:tc>
        <w:tc>
          <w:tcPr>
            <w:tcW w:w="1080" w:type="dxa"/>
            <w:tcBorders>
              <w:top w:val="nil"/>
              <w:left w:val="nil"/>
              <w:bottom w:val="single" w:sz="4" w:space="0" w:color="auto"/>
              <w:right w:val="nil"/>
            </w:tcBorders>
            <w:shd w:val="clear" w:color="auto" w:fill="auto"/>
            <w:noWrap/>
            <w:vAlign w:val="bottom"/>
          </w:tcPr>
          <w:p w14:paraId="5491B88B" w14:textId="77777777" w:rsidR="006404E6" w:rsidRPr="002F3943" w:rsidRDefault="006404E6" w:rsidP="002F3943">
            <w:pPr>
              <w:jc w:val="center"/>
              <w:rPr>
                <w:rFonts w:ascii="Calibri" w:hAnsi="Calibri" w:cs="Calibri"/>
                <w:sz w:val="20"/>
                <w:szCs w:val="20"/>
              </w:rPr>
            </w:pPr>
          </w:p>
        </w:tc>
        <w:tc>
          <w:tcPr>
            <w:tcW w:w="900" w:type="dxa"/>
            <w:tcBorders>
              <w:top w:val="nil"/>
              <w:left w:val="single" w:sz="8" w:space="0" w:color="auto"/>
              <w:bottom w:val="single" w:sz="4" w:space="0" w:color="auto"/>
              <w:right w:val="single" w:sz="4" w:space="0" w:color="auto"/>
            </w:tcBorders>
            <w:shd w:val="clear" w:color="auto" w:fill="auto"/>
            <w:noWrap/>
            <w:vAlign w:val="bottom"/>
          </w:tcPr>
          <w:p w14:paraId="75619AA3" w14:textId="77777777" w:rsidR="006404E6" w:rsidRPr="002F3943" w:rsidRDefault="006404E6" w:rsidP="002F3943">
            <w:pPr>
              <w:jc w:val="center"/>
              <w:rPr>
                <w:rFonts w:ascii="Calibri" w:hAnsi="Calibri" w:cs="Calibri"/>
                <w:sz w:val="20"/>
                <w:szCs w:val="20"/>
              </w:rPr>
            </w:pPr>
          </w:p>
        </w:tc>
        <w:tc>
          <w:tcPr>
            <w:tcW w:w="810" w:type="dxa"/>
            <w:tcBorders>
              <w:top w:val="single" w:sz="4" w:space="0" w:color="auto"/>
              <w:left w:val="single" w:sz="4" w:space="0" w:color="auto"/>
              <w:bottom w:val="single" w:sz="4" w:space="0" w:color="auto"/>
              <w:right w:val="single" w:sz="4" w:space="0" w:color="auto"/>
            </w:tcBorders>
          </w:tcPr>
          <w:p w14:paraId="3C765FDE" w14:textId="77777777" w:rsidR="006404E6" w:rsidRPr="002F3943" w:rsidRDefault="006404E6" w:rsidP="002F3943">
            <w:pPr>
              <w:jc w:val="center"/>
              <w:rPr>
                <w:rFonts w:ascii="Calibri" w:hAnsi="Calibri" w:cs="Calibri"/>
                <w:sz w:val="20"/>
                <w:szCs w:val="20"/>
              </w:rPr>
            </w:pPr>
          </w:p>
        </w:tc>
        <w:tc>
          <w:tcPr>
            <w:tcW w:w="990" w:type="dxa"/>
            <w:tcBorders>
              <w:top w:val="nil"/>
              <w:left w:val="single" w:sz="4" w:space="0" w:color="auto"/>
              <w:bottom w:val="single" w:sz="4" w:space="0" w:color="auto"/>
              <w:right w:val="single" w:sz="4" w:space="0" w:color="auto"/>
            </w:tcBorders>
            <w:shd w:val="clear" w:color="auto" w:fill="auto"/>
            <w:noWrap/>
            <w:vAlign w:val="bottom"/>
          </w:tcPr>
          <w:p w14:paraId="24489CD8" w14:textId="77777777" w:rsidR="006404E6" w:rsidRPr="002F3943" w:rsidRDefault="006404E6" w:rsidP="002F3943">
            <w:pPr>
              <w:jc w:val="center"/>
              <w:rPr>
                <w:rFonts w:ascii="Calibri" w:hAnsi="Calibri" w:cs="Calibri"/>
                <w:sz w:val="20"/>
                <w:szCs w:val="20"/>
              </w:rPr>
            </w:pPr>
          </w:p>
        </w:tc>
        <w:tc>
          <w:tcPr>
            <w:tcW w:w="990" w:type="dxa"/>
            <w:tcBorders>
              <w:top w:val="nil"/>
              <w:left w:val="nil"/>
              <w:bottom w:val="single" w:sz="4" w:space="0" w:color="auto"/>
              <w:right w:val="single" w:sz="4" w:space="0" w:color="auto"/>
            </w:tcBorders>
            <w:shd w:val="clear" w:color="auto" w:fill="auto"/>
            <w:noWrap/>
            <w:vAlign w:val="bottom"/>
          </w:tcPr>
          <w:p w14:paraId="10B5D21A" w14:textId="77777777" w:rsidR="006404E6" w:rsidRPr="002F3943" w:rsidRDefault="006404E6" w:rsidP="002F3943">
            <w:pPr>
              <w:jc w:val="center"/>
              <w:rPr>
                <w:rFonts w:ascii="Calibri" w:hAnsi="Calibri" w:cs="Calibri"/>
                <w:sz w:val="20"/>
                <w:szCs w:val="20"/>
              </w:rPr>
            </w:pPr>
          </w:p>
        </w:tc>
        <w:tc>
          <w:tcPr>
            <w:tcW w:w="810" w:type="dxa"/>
            <w:tcBorders>
              <w:top w:val="nil"/>
              <w:left w:val="nil"/>
              <w:bottom w:val="single" w:sz="4" w:space="0" w:color="auto"/>
              <w:right w:val="single" w:sz="4" w:space="0" w:color="auto"/>
            </w:tcBorders>
            <w:shd w:val="clear" w:color="auto" w:fill="auto"/>
            <w:noWrap/>
            <w:vAlign w:val="bottom"/>
          </w:tcPr>
          <w:p w14:paraId="2A49FBCD" w14:textId="77777777" w:rsidR="006404E6" w:rsidRPr="002F3943" w:rsidRDefault="006404E6" w:rsidP="002F3943">
            <w:pPr>
              <w:jc w:val="center"/>
              <w:rPr>
                <w:rFonts w:ascii="Calibri" w:hAnsi="Calibri" w:cs="Calibri"/>
                <w:sz w:val="20"/>
                <w:szCs w:val="20"/>
              </w:rPr>
            </w:pPr>
          </w:p>
        </w:tc>
        <w:tc>
          <w:tcPr>
            <w:tcW w:w="720" w:type="dxa"/>
            <w:tcBorders>
              <w:top w:val="nil"/>
              <w:left w:val="nil"/>
              <w:bottom w:val="single" w:sz="4" w:space="0" w:color="auto"/>
              <w:right w:val="single" w:sz="8" w:space="0" w:color="auto"/>
            </w:tcBorders>
            <w:shd w:val="clear" w:color="auto" w:fill="auto"/>
            <w:noWrap/>
            <w:vAlign w:val="bottom"/>
          </w:tcPr>
          <w:p w14:paraId="734D9E78" w14:textId="77777777" w:rsidR="006404E6" w:rsidRPr="002F3943" w:rsidRDefault="006404E6" w:rsidP="002F3943">
            <w:pPr>
              <w:jc w:val="center"/>
              <w:rPr>
                <w:rFonts w:ascii="Calibri" w:hAnsi="Calibri" w:cs="Calibri"/>
                <w:sz w:val="20"/>
                <w:szCs w:val="20"/>
              </w:rPr>
            </w:pPr>
          </w:p>
        </w:tc>
        <w:tc>
          <w:tcPr>
            <w:tcW w:w="990" w:type="dxa"/>
            <w:tcBorders>
              <w:top w:val="nil"/>
              <w:left w:val="nil"/>
              <w:bottom w:val="single" w:sz="4" w:space="0" w:color="auto"/>
              <w:right w:val="single" w:sz="4" w:space="0" w:color="auto"/>
            </w:tcBorders>
            <w:shd w:val="clear" w:color="auto" w:fill="auto"/>
            <w:vAlign w:val="bottom"/>
          </w:tcPr>
          <w:p w14:paraId="03C547E0" w14:textId="77777777" w:rsidR="006404E6" w:rsidRPr="002F3943" w:rsidRDefault="006404E6" w:rsidP="002F3943">
            <w:pPr>
              <w:jc w:val="center"/>
              <w:rPr>
                <w:rFonts w:ascii="Calibri" w:hAnsi="Calibri" w:cs="Calibri"/>
                <w:sz w:val="20"/>
                <w:szCs w:val="20"/>
              </w:rPr>
            </w:pPr>
          </w:p>
        </w:tc>
        <w:tc>
          <w:tcPr>
            <w:tcW w:w="990" w:type="dxa"/>
            <w:tcBorders>
              <w:top w:val="nil"/>
              <w:left w:val="single" w:sz="8" w:space="0" w:color="auto"/>
              <w:bottom w:val="single" w:sz="4" w:space="0" w:color="auto"/>
              <w:right w:val="single" w:sz="4" w:space="0" w:color="auto"/>
            </w:tcBorders>
            <w:shd w:val="clear" w:color="auto" w:fill="auto"/>
            <w:vAlign w:val="bottom"/>
          </w:tcPr>
          <w:p w14:paraId="42630D9A" w14:textId="77777777" w:rsidR="006404E6" w:rsidRPr="002F3943" w:rsidRDefault="006404E6" w:rsidP="002F3943">
            <w:pPr>
              <w:jc w:val="center"/>
              <w:rPr>
                <w:rFonts w:ascii="Calibri" w:hAnsi="Calibri" w:cs="Calibri"/>
                <w:sz w:val="20"/>
                <w:szCs w:val="20"/>
              </w:rPr>
            </w:pPr>
          </w:p>
        </w:tc>
        <w:tc>
          <w:tcPr>
            <w:tcW w:w="810" w:type="dxa"/>
            <w:tcBorders>
              <w:top w:val="nil"/>
              <w:left w:val="single" w:sz="8" w:space="0" w:color="auto"/>
              <w:bottom w:val="single" w:sz="4" w:space="0" w:color="auto"/>
              <w:right w:val="single" w:sz="4" w:space="0" w:color="auto"/>
            </w:tcBorders>
            <w:shd w:val="clear" w:color="auto" w:fill="auto"/>
            <w:vAlign w:val="bottom"/>
          </w:tcPr>
          <w:p w14:paraId="6D0DB3BF" w14:textId="77777777" w:rsidR="006404E6" w:rsidRPr="002F3943" w:rsidRDefault="006404E6" w:rsidP="002F3943">
            <w:pPr>
              <w:jc w:val="center"/>
              <w:rPr>
                <w:rFonts w:ascii="Calibri" w:hAnsi="Calibri" w:cs="Calibri"/>
                <w:sz w:val="20"/>
                <w:szCs w:val="20"/>
              </w:rPr>
            </w:pPr>
          </w:p>
        </w:tc>
        <w:tc>
          <w:tcPr>
            <w:tcW w:w="720" w:type="dxa"/>
            <w:tcBorders>
              <w:top w:val="nil"/>
              <w:left w:val="single" w:sz="8" w:space="0" w:color="auto"/>
              <w:bottom w:val="single" w:sz="4" w:space="0" w:color="auto"/>
              <w:right w:val="single" w:sz="4" w:space="0" w:color="auto"/>
            </w:tcBorders>
            <w:shd w:val="clear" w:color="auto" w:fill="auto"/>
            <w:vAlign w:val="bottom"/>
          </w:tcPr>
          <w:p w14:paraId="41B58851" w14:textId="77777777" w:rsidR="006404E6" w:rsidRPr="002F3943" w:rsidRDefault="006404E6" w:rsidP="002F3943">
            <w:pPr>
              <w:jc w:val="center"/>
              <w:rPr>
                <w:rFonts w:ascii="Calibri" w:hAnsi="Calibri" w:cs="Calibri"/>
                <w:sz w:val="20"/>
                <w:szCs w:val="20"/>
              </w:rPr>
            </w:pPr>
          </w:p>
        </w:tc>
        <w:tc>
          <w:tcPr>
            <w:tcW w:w="900" w:type="dxa"/>
            <w:tcBorders>
              <w:top w:val="nil"/>
              <w:left w:val="single" w:sz="8" w:space="0" w:color="auto"/>
              <w:bottom w:val="single" w:sz="4" w:space="0" w:color="auto"/>
              <w:right w:val="single" w:sz="8" w:space="0" w:color="auto"/>
            </w:tcBorders>
            <w:shd w:val="clear" w:color="auto" w:fill="auto"/>
            <w:vAlign w:val="bottom"/>
          </w:tcPr>
          <w:p w14:paraId="6C3B74D9" w14:textId="77777777" w:rsidR="006404E6" w:rsidRPr="002F3943" w:rsidRDefault="006404E6" w:rsidP="002F3943">
            <w:pPr>
              <w:jc w:val="center"/>
              <w:rPr>
                <w:rFonts w:ascii="Calibri" w:hAnsi="Calibri" w:cs="Calibri"/>
                <w:sz w:val="20"/>
                <w:szCs w:val="20"/>
              </w:rPr>
            </w:pPr>
          </w:p>
        </w:tc>
      </w:tr>
    </w:tbl>
    <w:p w14:paraId="530C2D6C" w14:textId="1CF497C9" w:rsidR="00EB34FC" w:rsidRPr="00BD3931" w:rsidRDefault="00EB34FC" w:rsidP="00EB34FC">
      <w:pPr>
        <w:pStyle w:val="Reminder"/>
        <w:ind w:left="-630"/>
        <w:rPr>
          <w:rFonts w:asciiTheme="minorHAnsi" w:hAnsiTheme="minorHAnsi" w:cstheme="minorHAnsi"/>
          <w:color w:val="auto"/>
          <w:sz w:val="22"/>
          <w:szCs w:val="22"/>
        </w:rPr>
      </w:pPr>
      <w:r w:rsidRPr="00BD3931">
        <w:rPr>
          <w:rFonts w:asciiTheme="minorHAnsi" w:hAnsiTheme="minorHAnsi" w:cstheme="minorHAnsi"/>
          <w:color w:val="auto"/>
          <w:sz w:val="22"/>
          <w:szCs w:val="22"/>
        </w:rPr>
        <w:t>Note:</w:t>
      </w:r>
      <w:r w:rsidRPr="00BD3931">
        <w:rPr>
          <w:rFonts w:asciiTheme="minorHAnsi" w:hAnsiTheme="minorHAnsi" w:cstheme="minorHAnsi"/>
          <w:b/>
          <w:color w:val="auto"/>
          <w:sz w:val="22"/>
          <w:szCs w:val="22"/>
        </w:rPr>
        <w:t xml:space="preserve"> For the complete list of Measures, refer to </w:t>
      </w:r>
      <w:r w:rsidR="008E0F49" w:rsidRPr="008E0F49">
        <w:rPr>
          <w:rFonts w:asciiTheme="minorHAnsi" w:hAnsiTheme="minorHAnsi" w:cstheme="minorHAnsi"/>
          <w:b/>
          <w:color w:val="auto"/>
          <w:sz w:val="22"/>
          <w:szCs w:val="22"/>
        </w:rPr>
        <w:t>workpaper WPSDGENRLG0999</w:t>
      </w:r>
    </w:p>
    <w:p w14:paraId="15375CD5" w14:textId="77777777" w:rsidR="00EB34FC" w:rsidRPr="005734A4" w:rsidRDefault="00EB34FC" w:rsidP="00EB34FC">
      <w:pPr>
        <w:pStyle w:val="Heading3"/>
        <w:ind w:left="-630"/>
        <w:rPr>
          <w:rFonts w:asciiTheme="minorHAnsi" w:hAnsiTheme="minorHAnsi" w:cstheme="minorHAnsi"/>
        </w:rPr>
      </w:pPr>
      <w:r w:rsidRPr="005734A4">
        <w:rPr>
          <w:rFonts w:asciiTheme="minorHAnsi" w:hAnsiTheme="minorHAnsi" w:cstheme="minorHAnsi"/>
        </w:rPr>
        <w:br w:type="page"/>
      </w:r>
      <w:r w:rsidRPr="005734A4">
        <w:rPr>
          <w:rFonts w:asciiTheme="minorHAnsi" w:hAnsiTheme="minorHAnsi" w:cstheme="minorHAnsi"/>
        </w:rPr>
        <w:lastRenderedPageBreak/>
        <w:t>Costing and NTG Summary Table</w:t>
      </w:r>
    </w:p>
    <w:tbl>
      <w:tblPr>
        <w:tblW w:w="21556" w:type="dxa"/>
        <w:tblInd w:w="-522" w:type="dxa"/>
        <w:tblLook w:val="04A0" w:firstRow="1" w:lastRow="0" w:firstColumn="1" w:lastColumn="0" w:noHBand="0" w:noVBand="1"/>
      </w:tblPr>
      <w:tblGrid>
        <w:gridCol w:w="4320"/>
        <w:gridCol w:w="1260"/>
        <w:gridCol w:w="900"/>
        <w:gridCol w:w="900"/>
        <w:gridCol w:w="900"/>
        <w:gridCol w:w="900"/>
        <w:gridCol w:w="900"/>
        <w:gridCol w:w="900"/>
        <w:gridCol w:w="900"/>
        <w:gridCol w:w="946"/>
        <w:gridCol w:w="1260"/>
        <w:gridCol w:w="1530"/>
        <w:gridCol w:w="1080"/>
        <w:gridCol w:w="4860"/>
      </w:tblGrid>
      <w:tr w:rsidR="006404E6" w:rsidRPr="002F3943" w14:paraId="1E5B96AD" w14:textId="77777777" w:rsidTr="00447CE5">
        <w:trPr>
          <w:trHeight w:val="690"/>
        </w:trPr>
        <w:tc>
          <w:tcPr>
            <w:tcW w:w="7380" w:type="dxa"/>
            <w:gridSpan w:val="4"/>
            <w:tcBorders>
              <w:top w:val="single" w:sz="8" w:space="0" w:color="auto"/>
              <w:left w:val="single" w:sz="8" w:space="0" w:color="auto"/>
              <w:bottom w:val="single" w:sz="8" w:space="0" w:color="auto"/>
              <w:right w:val="single" w:sz="8" w:space="0" w:color="000000"/>
            </w:tcBorders>
            <w:shd w:val="clear" w:color="000000" w:fill="BFBFBF" w:themeFill="background1" w:themeFillShade="BF"/>
            <w:noWrap/>
            <w:vAlign w:val="center"/>
            <w:hideMark/>
          </w:tcPr>
          <w:p w14:paraId="07F10DA1"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General Measure Information</w:t>
            </w:r>
          </w:p>
        </w:tc>
        <w:tc>
          <w:tcPr>
            <w:tcW w:w="1800" w:type="dxa"/>
            <w:gridSpan w:val="2"/>
            <w:tcBorders>
              <w:top w:val="single" w:sz="8" w:space="0" w:color="auto"/>
              <w:left w:val="nil"/>
              <w:bottom w:val="single" w:sz="8" w:space="0" w:color="auto"/>
              <w:right w:val="single" w:sz="4" w:space="0" w:color="auto"/>
            </w:tcBorders>
            <w:shd w:val="clear" w:color="000000" w:fill="BFBFBF" w:themeFill="background1" w:themeFillShade="BF"/>
            <w:noWrap/>
            <w:vAlign w:val="center"/>
            <w:hideMark/>
          </w:tcPr>
          <w:p w14:paraId="45A4A072"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PT</w:t>
            </w:r>
          </w:p>
        </w:tc>
        <w:tc>
          <w:tcPr>
            <w:tcW w:w="2700" w:type="dxa"/>
            <w:gridSpan w:val="3"/>
            <w:tcBorders>
              <w:top w:val="single" w:sz="8" w:space="0" w:color="auto"/>
              <w:left w:val="single" w:sz="4" w:space="0" w:color="auto"/>
              <w:bottom w:val="single" w:sz="8" w:space="0" w:color="auto"/>
              <w:right w:val="single" w:sz="4" w:space="0" w:color="auto"/>
            </w:tcBorders>
            <w:shd w:val="clear" w:color="000000" w:fill="BFBFBF" w:themeFill="background1" w:themeFillShade="BF"/>
            <w:noWrap/>
            <w:vAlign w:val="center"/>
            <w:hideMark/>
          </w:tcPr>
          <w:p w14:paraId="57AC0FC7"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NTG</w:t>
            </w:r>
          </w:p>
        </w:tc>
        <w:tc>
          <w:tcPr>
            <w:tcW w:w="94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7EE62160" w14:textId="77777777" w:rsidR="006404E6" w:rsidRPr="002F3943" w:rsidRDefault="006404E6" w:rsidP="0088603B">
            <w:pPr>
              <w:jc w:val="center"/>
              <w:rPr>
                <w:rFonts w:ascii="Calibri" w:hAnsi="Calibri" w:cs="Calibri"/>
                <w:sz w:val="28"/>
                <w:szCs w:val="28"/>
              </w:rPr>
            </w:pPr>
            <w:r>
              <w:rPr>
                <w:rFonts w:ascii="Calibri" w:hAnsi="Calibri" w:cs="Calibri"/>
                <w:sz w:val="28"/>
                <w:szCs w:val="28"/>
              </w:rPr>
              <w:t>IR</w:t>
            </w:r>
          </w:p>
        </w:tc>
        <w:tc>
          <w:tcPr>
            <w:tcW w:w="1260" w:type="dxa"/>
            <w:tcBorders>
              <w:top w:val="single" w:sz="8" w:space="0" w:color="auto"/>
              <w:left w:val="single" w:sz="4" w:space="0" w:color="auto"/>
              <w:bottom w:val="single" w:sz="8" w:space="0" w:color="auto"/>
              <w:right w:val="single" w:sz="8" w:space="0" w:color="auto"/>
            </w:tcBorders>
            <w:shd w:val="clear" w:color="000000" w:fill="BFBFBF" w:themeFill="background1" w:themeFillShade="BF"/>
            <w:noWrap/>
            <w:vAlign w:val="center"/>
            <w:hideMark/>
          </w:tcPr>
          <w:p w14:paraId="5D9B6924"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1st Baseline Period</w:t>
            </w:r>
          </w:p>
        </w:tc>
        <w:tc>
          <w:tcPr>
            <w:tcW w:w="153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14:paraId="2E1D814A"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 xml:space="preserve"> 2nd Baseline Period </w:t>
            </w:r>
          </w:p>
        </w:tc>
        <w:tc>
          <w:tcPr>
            <w:tcW w:w="108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14:paraId="3CF5CD59"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 xml:space="preserve"> IMC </w:t>
            </w:r>
          </w:p>
        </w:tc>
        <w:tc>
          <w:tcPr>
            <w:tcW w:w="4860" w:type="dxa"/>
            <w:tcBorders>
              <w:top w:val="single" w:sz="8" w:space="0" w:color="auto"/>
              <w:left w:val="nil"/>
              <w:bottom w:val="single" w:sz="8" w:space="0" w:color="auto"/>
              <w:right w:val="single" w:sz="8" w:space="0" w:color="auto"/>
            </w:tcBorders>
            <w:shd w:val="clear" w:color="000000" w:fill="BFBFBF" w:themeFill="background1" w:themeFillShade="BF"/>
            <w:noWrap/>
            <w:vAlign w:val="center"/>
            <w:hideMark/>
          </w:tcPr>
          <w:p w14:paraId="3CD3A487" w14:textId="77777777" w:rsidR="006404E6" w:rsidRPr="002F3943" w:rsidRDefault="006404E6" w:rsidP="002F3943">
            <w:pPr>
              <w:jc w:val="center"/>
              <w:rPr>
                <w:rFonts w:ascii="Calibri" w:hAnsi="Calibri" w:cs="Calibri"/>
                <w:sz w:val="28"/>
                <w:szCs w:val="28"/>
              </w:rPr>
            </w:pPr>
            <w:r w:rsidRPr="002F3943">
              <w:rPr>
                <w:rFonts w:ascii="Calibri" w:hAnsi="Calibri" w:cs="Calibri"/>
                <w:sz w:val="28"/>
                <w:szCs w:val="28"/>
              </w:rPr>
              <w:t>DIM</w:t>
            </w:r>
          </w:p>
        </w:tc>
      </w:tr>
      <w:tr w:rsidR="006404E6" w:rsidRPr="007048AC" w14:paraId="2E937417" w14:textId="77777777" w:rsidTr="006404E6">
        <w:trPr>
          <w:trHeight w:val="690"/>
        </w:trPr>
        <w:tc>
          <w:tcPr>
            <w:tcW w:w="4320" w:type="dxa"/>
            <w:tcBorders>
              <w:top w:val="nil"/>
              <w:left w:val="single" w:sz="8" w:space="0" w:color="auto"/>
              <w:bottom w:val="single" w:sz="4" w:space="0" w:color="auto"/>
              <w:right w:val="single" w:sz="4" w:space="0" w:color="auto"/>
            </w:tcBorders>
            <w:shd w:val="clear" w:color="000000" w:fill="C0C0C0"/>
            <w:vAlign w:val="center"/>
            <w:hideMark/>
          </w:tcPr>
          <w:p w14:paraId="3AB03733"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Measure Name</w:t>
            </w:r>
          </w:p>
        </w:tc>
        <w:tc>
          <w:tcPr>
            <w:tcW w:w="1260" w:type="dxa"/>
            <w:tcBorders>
              <w:top w:val="nil"/>
              <w:left w:val="nil"/>
              <w:bottom w:val="single" w:sz="4" w:space="0" w:color="auto"/>
              <w:right w:val="single" w:sz="4" w:space="0" w:color="auto"/>
            </w:tcBorders>
            <w:shd w:val="clear" w:color="000000" w:fill="C0C0C0"/>
            <w:vAlign w:val="center"/>
            <w:hideMark/>
          </w:tcPr>
          <w:p w14:paraId="15427CE4"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Solution Code</w:t>
            </w:r>
          </w:p>
        </w:tc>
        <w:tc>
          <w:tcPr>
            <w:tcW w:w="900" w:type="dxa"/>
            <w:tcBorders>
              <w:top w:val="nil"/>
              <w:left w:val="nil"/>
              <w:bottom w:val="single" w:sz="4" w:space="0" w:color="auto"/>
              <w:right w:val="single" w:sz="4" w:space="0" w:color="auto"/>
            </w:tcBorders>
            <w:shd w:val="clear" w:color="000000" w:fill="C0C0C0"/>
            <w:vAlign w:val="center"/>
            <w:hideMark/>
          </w:tcPr>
          <w:p w14:paraId="32BDF6BE"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CZ</w:t>
            </w:r>
          </w:p>
        </w:tc>
        <w:tc>
          <w:tcPr>
            <w:tcW w:w="900" w:type="dxa"/>
            <w:tcBorders>
              <w:top w:val="nil"/>
              <w:left w:val="nil"/>
              <w:bottom w:val="single" w:sz="4" w:space="0" w:color="auto"/>
              <w:right w:val="single" w:sz="8" w:space="0" w:color="auto"/>
            </w:tcBorders>
            <w:shd w:val="clear" w:color="000000" w:fill="C0C0C0"/>
            <w:vAlign w:val="center"/>
            <w:hideMark/>
          </w:tcPr>
          <w:p w14:paraId="3CAFAE8A"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Unit Definition</w:t>
            </w:r>
          </w:p>
        </w:tc>
        <w:tc>
          <w:tcPr>
            <w:tcW w:w="900" w:type="dxa"/>
            <w:tcBorders>
              <w:top w:val="nil"/>
              <w:left w:val="nil"/>
              <w:bottom w:val="single" w:sz="4" w:space="0" w:color="auto"/>
              <w:right w:val="single" w:sz="4" w:space="0" w:color="auto"/>
            </w:tcBorders>
            <w:shd w:val="clear" w:color="000000" w:fill="C0C0C0"/>
            <w:vAlign w:val="center"/>
            <w:hideMark/>
          </w:tcPr>
          <w:p w14:paraId="3AC7C3F7"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Program Type (NEW, ROB, RET)</w:t>
            </w:r>
          </w:p>
        </w:tc>
        <w:tc>
          <w:tcPr>
            <w:tcW w:w="900" w:type="dxa"/>
            <w:tcBorders>
              <w:top w:val="single" w:sz="4" w:space="0" w:color="auto"/>
              <w:left w:val="single" w:sz="4" w:space="0" w:color="auto"/>
              <w:bottom w:val="single" w:sz="4" w:space="0" w:color="auto"/>
              <w:right w:val="single" w:sz="4" w:space="0" w:color="auto"/>
            </w:tcBorders>
            <w:shd w:val="clear" w:color="000000" w:fill="C0C0C0"/>
          </w:tcPr>
          <w:p w14:paraId="1CB5C0C9" w14:textId="77777777" w:rsidR="006404E6" w:rsidRDefault="006404E6" w:rsidP="002F3943">
            <w:pPr>
              <w:jc w:val="center"/>
              <w:rPr>
                <w:rFonts w:ascii="Calibri" w:hAnsi="Calibri" w:cs="Calibri"/>
                <w:sz w:val="14"/>
                <w:szCs w:val="14"/>
              </w:rPr>
            </w:pPr>
          </w:p>
          <w:p w14:paraId="03B1A1A3" w14:textId="77777777" w:rsidR="006404E6" w:rsidRPr="006404E6" w:rsidRDefault="006404E6" w:rsidP="006404E6">
            <w:pPr>
              <w:jc w:val="center"/>
              <w:rPr>
                <w:rFonts w:ascii="Calibri" w:hAnsi="Calibri" w:cs="Calibri"/>
                <w:sz w:val="14"/>
                <w:szCs w:val="14"/>
              </w:rPr>
            </w:pPr>
            <w:r>
              <w:rPr>
                <w:rFonts w:ascii="Calibri" w:hAnsi="Calibri" w:cs="Calibri"/>
                <w:sz w:val="14"/>
                <w:szCs w:val="14"/>
              </w:rPr>
              <w:t>Applicable Code</w:t>
            </w:r>
          </w:p>
        </w:tc>
        <w:tc>
          <w:tcPr>
            <w:tcW w:w="900" w:type="dxa"/>
            <w:tcBorders>
              <w:top w:val="nil"/>
              <w:left w:val="single" w:sz="4" w:space="0" w:color="auto"/>
              <w:bottom w:val="single" w:sz="4" w:space="0" w:color="auto"/>
              <w:right w:val="single" w:sz="4" w:space="0" w:color="auto"/>
            </w:tcBorders>
            <w:shd w:val="clear" w:color="000000" w:fill="C0C0C0"/>
            <w:vAlign w:val="center"/>
            <w:hideMark/>
          </w:tcPr>
          <w:p w14:paraId="509289AF"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Non-Res.</w:t>
            </w:r>
          </w:p>
        </w:tc>
        <w:tc>
          <w:tcPr>
            <w:tcW w:w="900" w:type="dxa"/>
            <w:tcBorders>
              <w:top w:val="nil"/>
              <w:left w:val="nil"/>
              <w:bottom w:val="single" w:sz="4" w:space="0" w:color="auto"/>
              <w:right w:val="single" w:sz="4" w:space="0" w:color="auto"/>
            </w:tcBorders>
            <w:shd w:val="clear" w:color="000000" w:fill="C0C0C0"/>
            <w:vAlign w:val="center"/>
            <w:hideMark/>
          </w:tcPr>
          <w:p w14:paraId="20B8E381"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Res.</w:t>
            </w:r>
          </w:p>
        </w:tc>
        <w:tc>
          <w:tcPr>
            <w:tcW w:w="900" w:type="dxa"/>
            <w:tcBorders>
              <w:top w:val="nil"/>
              <w:left w:val="nil"/>
              <w:bottom w:val="single" w:sz="4" w:space="0" w:color="auto"/>
              <w:right w:val="single" w:sz="4" w:space="0" w:color="auto"/>
            </w:tcBorders>
            <w:shd w:val="clear" w:color="000000" w:fill="C0C0C0"/>
            <w:vAlign w:val="center"/>
            <w:hideMark/>
          </w:tcPr>
          <w:p w14:paraId="6FFC9909"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Multi Family</w:t>
            </w:r>
          </w:p>
        </w:tc>
        <w:tc>
          <w:tcPr>
            <w:tcW w:w="94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887F1EB" w14:textId="77777777" w:rsidR="006404E6" w:rsidRPr="002F3943" w:rsidRDefault="002811BC" w:rsidP="0088603B">
            <w:pPr>
              <w:jc w:val="center"/>
              <w:rPr>
                <w:rFonts w:ascii="Calibri" w:hAnsi="Calibri" w:cs="Calibri"/>
                <w:sz w:val="14"/>
                <w:szCs w:val="14"/>
              </w:rPr>
            </w:pPr>
            <w:r>
              <w:rPr>
                <w:rFonts w:ascii="Calibri" w:hAnsi="Calibri" w:cs="Calibri"/>
                <w:sz w:val="14"/>
                <w:szCs w:val="14"/>
              </w:rPr>
              <w:t>Installation Rate</w:t>
            </w:r>
          </w:p>
        </w:tc>
        <w:tc>
          <w:tcPr>
            <w:tcW w:w="1260" w:type="dxa"/>
            <w:tcBorders>
              <w:top w:val="nil"/>
              <w:left w:val="single" w:sz="4" w:space="0" w:color="auto"/>
              <w:bottom w:val="single" w:sz="4" w:space="0" w:color="auto"/>
              <w:right w:val="single" w:sz="8" w:space="0" w:color="auto"/>
            </w:tcBorders>
            <w:shd w:val="clear" w:color="000000" w:fill="C4D79B"/>
            <w:vAlign w:val="center"/>
            <w:hideMark/>
          </w:tcPr>
          <w:p w14:paraId="2258A3C2"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Measure Cost per unit</w:t>
            </w:r>
          </w:p>
        </w:tc>
        <w:tc>
          <w:tcPr>
            <w:tcW w:w="1530" w:type="dxa"/>
            <w:tcBorders>
              <w:top w:val="nil"/>
              <w:left w:val="nil"/>
              <w:bottom w:val="single" w:sz="8" w:space="0" w:color="auto"/>
              <w:right w:val="single" w:sz="4" w:space="0" w:color="auto"/>
            </w:tcBorders>
            <w:shd w:val="clear" w:color="000000" w:fill="B7DEE8"/>
            <w:vAlign w:val="center"/>
            <w:hideMark/>
          </w:tcPr>
          <w:p w14:paraId="3D8F05B8"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Measure Cost per unit</w:t>
            </w:r>
          </w:p>
        </w:tc>
        <w:tc>
          <w:tcPr>
            <w:tcW w:w="1080" w:type="dxa"/>
            <w:tcBorders>
              <w:top w:val="nil"/>
              <w:left w:val="single" w:sz="8" w:space="0" w:color="auto"/>
              <w:bottom w:val="single" w:sz="4" w:space="0" w:color="auto"/>
              <w:right w:val="single" w:sz="8" w:space="0" w:color="auto"/>
            </w:tcBorders>
            <w:shd w:val="clear" w:color="000000" w:fill="C0C0C0"/>
            <w:vAlign w:val="center"/>
            <w:hideMark/>
          </w:tcPr>
          <w:p w14:paraId="32DB3F2F"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Incremental Measure Cost per unit</w:t>
            </w:r>
          </w:p>
        </w:tc>
        <w:tc>
          <w:tcPr>
            <w:tcW w:w="4860" w:type="dxa"/>
            <w:tcBorders>
              <w:top w:val="nil"/>
              <w:left w:val="nil"/>
              <w:bottom w:val="single" w:sz="4" w:space="0" w:color="auto"/>
              <w:right w:val="single" w:sz="8" w:space="0" w:color="auto"/>
            </w:tcBorders>
            <w:shd w:val="clear" w:color="000000" w:fill="C0C0C0"/>
            <w:vAlign w:val="center"/>
            <w:hideMark/>
          </w:tcPr>
          <w:p w14:paraId="2013B1A9" w14:textId="77777777" w:rsidR="006404E6" w:rsidRPr="002F3943" w:rsidRDefault="006404E6" w:rsidP="002F3943">
            <w:pPr>
              <w:jc w:val="center"/>
              <w:rPr>
                <w:rFonts w:ascii="Calibri" w:hAnsi="Calibri" w:cs="Calibri"/>
                <w:sz w:val="14"/>
                <w:szCs w:val="14"/>
              </w:rPr>
            </w:pPr>
            <w:r w:rsidRPr="002F3943">
              <w:rPr>
                <w:rFonts w:ascii="Calibri" w:hAnsi="Calibri" w:cs="Calibri"/>
                <w:sz w:val="14"/>
                <w:szCs w:val="14"/>
              </w:rPr>
              <w:t>Delivery &amp; Incentive Method</w:t>
            </w:r>
          </w:p>
        </w:tc>
      </w:tr>
      <w:tr w:rsidR="006404E6" w:rsidRPr="002F3943" w14:paraId="1074CEB5" w14:textId="77777777" w:rsidTr="006404E6">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14:paraId="69D96C12" w14:textId="54A376F5" w:rsidR="006404E6" w:rsidRPr="002F3943" w:rsidRDefault="002370CA" w:rsidP="002F3943">
            <w:pPr>
              <w:rPr>
                <w:rFonts w:ascii="Calibri" w:hAnsi="Calibri" w:cs="Calibri"/>
                <w:sz w:val="20"/>
                <w:szCs w:val="20"/>
              </w:rPr>
            </w:pPr>
            <w:r>
              <w:rPr>
                <w:rFonts w:asciiTheme="minorHAnsi" w:hAnsiTheme="minorHAnsi" w:cstheme="minorHAnsi"/>
                <w:b/>
                <w:sz w:val="22"/>
                <w:szCs w:val="22"/>
              </w:rPr>
              <w:t>R</w:t>
            </w:r>
            <w:r w:rsidRPr="00BD3931">
              <w:rPr>
                <w:rFonts w:asciiTheme="minorHAnsi" w:hAnsiTheme="minorHAnsi" w:cstheme="minorHAnsi"/>
                <w:b/>
                <w:sz w:val="22"/>
                <w:szCs w:val="22"/>
              </w:rPr>
              <w:t xml:space="preserve">efer to </w:t>
            </w:r>
            <w:r w:rsidRPr="008E0F49">
              <w:rPr>
                <w:rFonts w:asciiTheme="minorHAnsi" w:hAnsiTheme="minorHAnsi" w:cstheme="minorHAnsi"/>
                <w:b/>
                <w:sz w:val="22"/>
                <w:szCs w:val="22"/>
              </w:rPr>
              <w:t>workpaper WPSDGENRLG0999</w:t>
            </w:r>
          </w:p>
        </w:tc>
        <w:tc>
          <w:tcPr>
            <w:tcW w:w="1260" w:type="dxa"/>
            <w:tcBorders>
              <w:top w:val="nil"/>
              <w:left w:val="nil"/>
              <w:bottom w:val="single" w:sz="4" w:space="0" w:color="auto"/>
              <w:right w:val="single" w:sz="4" w:space="0" w:color="auto"/>
            </w:tcBorders>
            <w:shd w:val="clear" w:color="auto" w:fill="auto"/>
            <w:noWrap/>
            <w:vAlign w:val="center"/>
          </w:tcPr>
          <w:p w14:paraId="5513E6F3"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center"/>
          </w:tcPr>
          <w:p w14:paraId="778FCE24"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center"/>
          </w:tcPr>
          <w:p w14:paraId="62E4416C"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center"/>
          </w:tcPr>
          <w:p w14:paraId="69AEC04C" w14:textId="77777777" w:rsidR="006404E6" w:rsidRPr="002F3943" w:rsidRDefault="006404E6" w:rsidP="002F3943">
            <w:pPr>
              <w:jc w:val="cente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tcPr>
          <w:p w14:paraId="70140B4F" w14:textId="77777777" w:rsidR="006404E6" w:rsidRPr="002F3943" w:rsidRDefault="006404E6" w:rsidP="002F3943">
            <w:pPr>
              <w:jc w:val="cente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center"/>
          </w:tcPr>
          <w:p w14:paraId="4C02BE86"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center"/>
          </w:tcPr>
          <w:p w14:paraId="2053F904"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center"/>
          </w:tcPr>
          <w:p w14:paraId="5084DC3A" w14:textId="77777777" w:rsidR="006404E6" w:rsidRPr="002F3943" w:rsidRDefault="006404E6" w:rsidP="002F3943">
            <w:pPr>
              <w:jc w:val="cente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tcPr>
          <w:p w14:paraId="14018BBE" w14:textId="77777777" w:rsidR="006404E6" w:rsidRPr="002F3943" w:rsidRDefault="006404E6" w:rsidP="002F3943">
            <w:pPr>
              <w:jc w:val="center"/>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center"/>
          </w:tcPr>
          <w:p w14:paraId="1A5AB65E" w14:textId="77777777" w:rsidR="006404E6" w:rsidRPr="002F3943" w:rsidRDefault="006404E6" w:rsidP="002F3943">
            <w:pPr>
              <w:jc w:val="center"/>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center"/>
          </w:tcPr>
          <w:p w14:paraId="2512EC6C" w14:textId="77777777" w:rsidR="006404E6" w:rsidRPr="002F3943" w:rsidRDefault="006404E6" w:rsidP="002F3943">
            <w:pPr>
              <w:jc w:val="center"/>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center"/>
          </w:tcPr>
          <w:p w14:paraId="6204AE85" w14:textId="77777777" w:rsidR="006404E6" w:rsidRPr="002F3943" w:rsidRDefault="006404E6" w:rsidP="002F3943">
            <w:pPr>
              <w:jc w:val="center"/>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center"/>
          </w:tcPr>
          <w:p w14:paraId="68A80280" w14:textId="77777777" w:rsidR="006404E6" w:rsidRPr="002F3943" w:rsidRDefault="006404E6" w:rsidP="002F3943">
            <w:pPr>
              <w:jc w:val="center"/>
              <w:rPr>
                <w:rFonts w:ascii="Calibri" w:hAnsi="Calibri" w:cs="Calibri"/>
                <w:sz w:val="20"/>
                <w:szCs w:val="20"/>
              </w:rPr>
            </w:pPr>
          </w:p>
        </w:tc>
      </w:tr>
      <w:tr w:rsidR="006404E6" w:rsidRPr="002F3943" w14:paraId="7C86D1E0" w14:textId="77777777" w:rsidTr="006404E6">
        <w:trPr>
          <w:trHeight w:val="255"/>
        </w:trPr>
        <w:tc>
          <w:tcPr>
            <w:tcW w:w="4320" w:type="dxa"/>
            <w:tcBorders>
              <w:top w:val="nil"/>
              <w:left w:val="single" w:sz="8" w:space="0" w:color="auto"/>
              <w:bottom w:val="single" w:sz="4" w:space="0" w:color="auto"/>
              <w:right w:val="single" w:sz="4" w:space="0" w:color="auto"/>
            </w:tcBorders>
            <w:shd w:val="clear" w:color="auto" w:fill="auto"/>
            <w:noWrap/>
            <w:vAlign w:val="center"/>
          </w:tcPr>
          <w:p w14:paraId="6C2A9FF0" w14:textId="77777777" w:rsidR="006404E6" w:rsidRPr="002F3943" w:rsidRDefault="006404E6" w:rsidP="002F3943">
            <w:pPr>
              <w:rPr>
                <w:rFonts w:ascii="Calibri" w:hAnsi="Calibri" w:cs="Calibri"/>
                <w:sz w:val="20"/>
                <w:szCs w:val="20"/>
              </w:rPr>
            </w:pPr>
          </w:p>
        </w:tc>
        <w:tc>
          <w:tcPr>
            <w:tcW w:w="1260" w:type="dxa"/>
            <w:tcBorders>
              <w:top w:val="nil"/>
              <w:left w:val="nil"/>
              <w:bottom w:val="single" w:sz="4" w:space="0" w:color="auto"/>
              <w:right w:val="single" w:sz="4" w:space="0" w:color="auto"/>
            </w:tcBorders>
            <w:shd w:val="clear" w:color="auto" w:fill="auto"/>
            <w:noWrap/>
            <w:vAlign w:val="center"/>
          </w:tcPr>
          <w:p w14:paraId="3A469E24"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center"/>
          </w:tcPr>
          <w:p w14:paraId="422DB0E8"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8" w:space="0" w:color="auto"/>
            </w:tcBorders>
            <w:shd w:val="clear" w:color="auto" w:fill="auto"/>
            <w:noWrap/>
            <w:vAlign w:val="center"/>
          </w:tcPr>
          <w:p w14:paraId="6DE88859"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noWrap/>
            <w:vAlign w:val="center"/>
          </w:tcPr>
          <w:p w14:paraId="0CC3B6E5" w14:textId="77777777" w:rsidR="006404E6" w:rsidRPr="002F3943" w:rsidRDefault="006404E6" w:rsidP="002F3943">
            <w:pPr>
              <w:jc w:val="center"/>
              <w:rPr>
                <w:rFonts w:ascii="Calibri" w:hAnsi="Calibri" w:cs="Calibri"/>
                <w:sz w:val="20"/>
                <w:szCs w:val="20"/>
              </w:rPr>
            </w:pPr>
          </w:p>
        </w:tc>
        <w:tc>
          <w:tcPr>
            <w:tcW w:w="900" w:type="dxa"/>
            <w:tcBorders>
              <w:top w:val="single" w:sz="4" w:space="0" w:color="auto"/>
              <w:left w:val="single" w:sz="4" w:space="0" w:color="auto"/>
              <w:bottom w:val="single" w:sz="4" w:space="0" w:color="auto"/>
              <w:right w:val="single" w:sz="4" w:space="0" w:color="auto"/>
            </w:tcBorders>
          </w:tcPr>
          <w:p w14:paraId="4B4C2CB5" w14:textId="77777777" w:rsidR="006404E6" w:rsidRPr="002F3943" w:rsidRDefault="006404E6" w:rsidP="002F3943">
            <w:pPr>
              <w:jc w:val="center"/>
              <w:rPr>
                <w:rFonts w:ascii="Calibri" w:hAnsi="Calibri" w:cs="Calibri"/>
                <w:sz w:val="20"/>
                <w:szCs w:val="20"/>
              </w:rPr>
            </w:pPr>
          </w:p>
        </w:tc>
        <w:tc>
          <w:tcPr>
            <w:tcW w:w="900" w:type="dxa"/>
            <w:tcBorders>
              <w:top w:val="nil"/>
              <w:left w:val="single" w:sz="4" w:space="0" w:color="auto"/>
              <w:bottom w:val="single" w:sz="4" w:space="0" w:color="auto"/>
              <w:right w:val="single" w:sz="4" w:space="0" w:color="auto"/>
            </w:tcBorders>
            <w:shd w:val="clear" w:color="auto" w:fill="auto"/>
            <w:vAlign w:val="center"/>
          </w:tcPr>
          <w:p w14:paraId="445BFA77"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center"/>
          </w:tcPr>
          <w:p w14:paraId="17A4717D" w14:textId="77777777" w:rsidR="006404E6" w:rsidRPr="002F3943" w:rsidRDefault="006404E6" w:rsidP="002F3943">
            <w:pPr>
              <w:jc w:val="center"/>
              <w:rPr>
                <w:rFonts w:ascii="Calibri" w:hAnsi="Calibri" w:cs="Calibri"/>
                <w:sz w:val="20"/>
                <w:szCs w:val="20"/>
              </w:rPr>
            </w:pPr>
          </w:p>
        </w:tc>
        <w:tc>
          <w:tcPr>
            <w:tcW w:w="900" w:type="dxa"/>
            <w:tcBorders>
              <w:top w:val="nil"/>
              <w:left w:val="nil"/>
              <w:bottom w:val="single" w:sz="4" w:space="0" w:color="auto"/>
              <w:right w:val="single" w:sz="4" w:space="0" w:color="auto"/>
            </w:tcBorders>
            <w:shd w:val="clear" w:color="auto" w:fill="auto"/>
            <w:vAlign w:val="center"/>
          </w:tcPr>
          <w:p w14:paraId="1AA27C1D" w14:textId="77777777" w:rsidR="006404E6" w:rsidRPr="002F3943" w:rsidRDefault="006404E6" w:rsidP="002F3943">
            <w:pPr>
              <w:jc w:val="center"/>
              <w:rPr>
                <w:rFonts w:ascii="Calibri" w:hAnsi="Calibri" w:cs="Calibri"/>
                <w:sz w:val="20"/>
                <w:szCs w:val="20"/>
              </w:rPr>
            </w:pPr>
          </w:p>
        </w:tc>
        <w:tc>
          <w:tcPr>
            <w:tcW w:w="946" w:type="dxa"/>
            <w:tcBorders>
              <w:top w:val="single" w:sz="4" w:space="0" w:color="auto"/>
              <w:left w:val="single" w:sz="4" w:space="0" w:color="auto"/>
              <w:bottom w:val="single" w:sz="4" w:space="0" w:color="auto"/>
              <w:right w:val="single" w:sz="4" w:space="0" w:color="auto"/>
            </w:tcBorders>
          </w:tcPr>
          <w:p w14:paraId="668024BF" w14:textId="77777777" w:rsidR="006404E6" w:rsidRPr="002F3943" w:rsidRDefault="006404E6" w:rsidP="002F3943">
            <w:pPr>
              <w:jc w:val="center"/>
              <w:rPr>
                <w:rFonts w:ascii="Calibri" w:hAnsi="Calibri" w:cs="Calibri"/>
                <w:sz w:val="20"/>
                <w:szCs w:val="20"/>
              </w:rPr>
            </w:pPr>
          </w:p>
        </w:tc>
        <w:tc>
          <w:tcPr>
            <w:tcW w:w="1260" w:type="dxa"/>
            <w:tcBorders>
              <w:top w:val="nil"/>
              <w:left w:val="single" w:sz="4" w:space="0" w:color="auto"/>
              <w:bottom w:val="single" w:sz="4" w:space="0" w:color="auto"/>
              <w:right w:val="single" w:sz="8" w:space="0" w:color="auto"/>
            </w:tcBorders>
            <w:shd w:val="clear" w:color="auto" w:fill="auto"/>
            <w:noWrap/>
            <w:vAlign w:val="center"/>
          </w:tcPr>
          <w:p w14:paraId="5D0EA6C6" w14:textId="77777777" w:rsidR="006404E6" w:rsidRPr="002F3943" w:rsidRDefault="006404E6" w:rsidP="002F3943">
            <w:pPr>
              <w:jc w:val="center"/>
              <w:rPr>
                <w:rFonts w:ascii="Calibri" w:hAnsi="Calibri" w:cs="Calibri"/>
                <w:sz w:val="20"/>
                <w:szCs w:val="20"/>
              </w:rPr>
            </w:pPr>
          </w:p>
        </w:tc>
        <w:tc>
          <w:tcPr>
            <w:tcW w:w="1530" w:type="dxa"/>
            <w:tcBorders>
              <w:top w:val="nil"/>
              <w:left w:val="nil"/>
              <w:bottom w:val="single" w:sz="4" w:space="0" w:color="auto"/>
              <w:right w:val="single" w:sz="8" w:space="0" w:color="auto"/>
            </w:tcBorders>
            <w:shd w:val="clear" w:color="auto" w:fill="auto"/>
            <w:noWrap/>
            <w:vAlign w:val="center"/>
          </w:tcPr>
          <w:p w14:paraId="1620EFA5" w14:textId="77777777" w:rsidR="006404E6" w:rsidRPr="002F3943" w:rsidRDefault="006404E6" w:rsidP="002F3943">
            <w:pPr>
              <w:jc w:val="center"/>
              <w:rPr>
                <w:rFonts w:ascii="Calibri" w:hAnsi="Calibri" w:cs="Calibri"/>
                <w:sz w:val="20"/>
                <w:szCs w:val="20"/>
              </w:rPr>
            </w:pPr>
          </w:p>
        </w:tc>
        <w:tc>
          <w:tcPr>
            <w:tcW w:w="1080" w:type="dxa"/>
            <w:tcBorders>
              <w:top w:val="nil"/>
              <w:left w:val="nil"/>
              <w:bottom w:val="single" w:sz="4" w:space="0" w:color="auto"/>
              <w:right w:val="single" w:sz="8" w:space="0" w:color="auto"/>
            </w:tcBorders>
            <w:shd w:val="clear" w:color="auto" w:fill="auto"/>
            <w:noWrap/>
            <w:vAlign w:val="center"/>
          </w:tcPr>
          <w:p w14:paraId="08964E22" w14:textId="77777777" w:rsidR="006404E6" w:rsidRPr="002F3943" w:rsidRDefault="006404E6" w:rsidP="002F3943">
            <w:pPr>
              <w:jc w:val="center"/>
              <w:rPr>
                <w:rFonts w:ascii="Calibri" w:hAnsi="Calibri" w:cs="Calibri"/>
                <w:sz w:val="20"/>
                <w:szCs w:val="20"/>
              </w:rPr>
            </w:pPr>
          </w:p>
        </w:tc>
        <w:tc>
          <w:tcPr>
            <w:tcW w:w="4860" w:type="dxa"/>
            <w:tcBorders>
              <w:top w:val="nil"/>
              <w:left w:val="nil"/>
              <w:bottom w:val="single" w:sz="4" w:space="0" w:color="auto"/>
              <w:right w:val="single" w:sz="8" w:space="0" w:color="auto"/>
            </w:tcBorders>
            <w:shd w:val="clear" w:color="auto" w:fill="auto"/>
            <w:vAlign w:val="center"/>
          </w:tcPr>
          <w:p w14:paraId="094022E1" w14:textId="77777777" w:rsidR="006404E6" w:rsidRPr="002F3943" w:rsidRDefault="006404E6" w:rsidP="002F3943">
            <w:pPr>
              <w:jc w:val="center"/>
              <w:rPr>
                <w:rFonts w:ascii="Calibri" w:hAnsi="Calibri" w:cs="Calibri"/>
                <w:sz w:val="20"/>
                <w:szCs w:val="20"/>
              </w:rPr>
            </w:pPr>
          </w:p>
        </w:tc>
      </w:tr>
    </w:tbl>
    <w:p w14:paraId="7B15E94A" w14:textId="6B25344D" w:rsidR="00EB34FC" w:rsidRPr="00BD3931" w:rsidRDefault="00EB34FC" w:rsidP="00EB34FC">
      <w:pPr>
        <w:pStyle w:val="Reminder"/>
        <w:ind w:left="-630"/>
        <w:rPr>
          <w:rFonts w:asciiTheme="minorHAnsi" w:hAnsiTheme="minorHAnsi" w:cstheme="minorHAnsi"/>
          <w:color w:val="auto"/>
          <w:sz w:val="22"/>
          <w:szCs w:val="22"/>
        </w:rPr>
      </w:pPr>
      <w:r w:rsidRPr="00BD3931">
        <w:rPr>
          <w:rFonts w:asciiTheme="minorHAnsi" w:hAnsiTheme="minorHAnsi" w:cstheme="minorHAnsi"/>
          <w:color w:val="auto"/>
          <w:sz w:val="22"/>
          <w:szCs w:val="22"/>
        </w:rPr>
        <w:t>Note:</w:t>
      </w:r>
      <w:r w:rsidRPr="00BD3931">
        <w:rPr>
          <w:rFonts w:asciiTheme="minorHAnsi" w:hAnsiTheme="minorHAnsi" w:cstheme="minorHAnsi"/>
          <w:b/>
          <w:color w:val="auto"/>
          <w:sz w:val="22"/>
          <w:szCs w:val="22"/>
        </w:rPr>
        <w:t xml:space="preserve"> F</w:t>
      </w:r>
      <w:r w:rsidR="002370CA">
        <w:rPr>
          <w:rFonts w:asciiTheme="minorHAnsi" w:hAnsiTheme="minorHAnsi" w:cstheme="minorHAnsi"/>
          <w:b/>
          <w:color w:val="auto"/>
          <w:sz w:val="22"/>
          <w:szCs w:val="22"/>
        </w:rPr>
        <w:t>or the complete list of Costs and NTGs</w:t>
      </w:r>
      <w:r w:rsidRPr="00BD3931">
        <w:rPr>
          <w:rFonts w:asciiTheme="minorHAnsi" w:hAnsiTheme="minorHAnsi" w:cstheme="minorHAnsi"/>
          <w:b/>
          <w:color w:val="auto"/>
          <w:sz w:val="22"/>
          <w:szCs w:val="22"/>
        </w:rPr>
        <w:t xml:space="preserve">, refer to </w:t>
      </w:r>
      <w:r w:rsidR="008E0F49" w:rsidRPr="008E0F49">
        <w:rPr>
          <w:rFonts w:asciiTheme="minorHAnsi" w:hAnsiTheme="minorHAnsi" w:cstheme="minorHAnsi"/>
          <w:b/>
          <w:color w:val="auto"/>
          <w:sz w:val="22"/>
          <w:szCs w:val="22"/>
        </w:rPr>
        <w:t>workpaper WPSDGENRLG0999</w:t>
      </w:r>
    </w:p>
    <w:p w14:paraId="12A3AB14" w14:textId="77777777" w:rsidR="00EB34FC" w:rsidRPr="00BD3931" w:rsidRDefault="00EB34FC" w:rsidP="00EB34FC">
      <w:pPr>
        <w:pStyle w:val="Reminder"/>
        <w:rPr>
          <w:rFonts w:asciiTheme="minorHAnsi" w:hAnsiTheme="minorHAnsi" w:cstheme="minorHAnsi"/>
          <w:sz w:val="22"/>
          <w:szCs w:val="22"/>
        </w:rPr>
      </w:pPr>
    </w:p>
    <w:p w14:paraId="1757E99D" w14:textId="7E7F9380" w:rsidR="00EB34FC" w:rsidRPr="00BD3931" w:rsidRDefault="00EB34FC" w:rsidP="00FA449E">
      <w:pPr>
        <w:pStyle w:val="Reminders"/>
        <w:ind w:left="-270"/>
        <w:rPr>
          <w:rFonts w:asciiTheme="minorHAnsi" w:hAnsiTheme="minorHAnsi" w:cstheme="minorHAnsi"/>
          <w:sz w:val="22"/>
          <w:szCs w:val="22"/>
        </w:rPr>
      </w:pPr>
    </w:p>
    <w:p w14:paraId="22A9E369" w14:textId="77777777" w:rsidR="00EB34FC" w:rsidRPr="005734A4" w:rsidRDefault="00EB34FC" w:rsidP="00EB34FC">
      <w:pPr>
        <w:ind w:left="-630"/>
        <w:rPr>
          <w:rFonts w:asciiTheme="minorHAnsi" w:hAnsiTheme="minorHAnsi" w:cstheme="minorHAnsi"/>
        </w:rPr>
      </w:pPr>
    </w:p>
    <w:p w14:paraId="6A85EF89" w14:textId="77777777" w:rsidR="00EB34FC" w:rsidRPr="005734A4" w:rsidRDefault="00EB34FC" w:rsidP="00EB34FC">
      <w:pPr>
        <w:ind w:left="-630"/>
        <w:rPr>
          <w:rFonts w:asciiTheme="minorHAnsi" w:hAnsiTheme="minorHAnsi" w:cstheme="minorHAnsi"/>
        </w:rPr>
        <w:sectPr w:rsidR="00EB34FC" w:rsidRPr="005734A4" w:rsidSect="009500DC">
          <w:footerReference w:type="default" r:id="rId10"/>
          <w:pgSz w:w="24480" w:h="15840" w:orient="landscape" w:code="3"/>
          <w:pgMar w:top="1440" w:right="1440" w:bottom="1440" w:left="1440" w:header="720" w:footer="720" w:gutter="0"/>
          <w:pgNumType w:fmt="lowerRoman" w:start="1"/>
          <w:cols w:space="720"/>
          <w:docGrid w:linePitch="360"/>
        </w:sectPr>
      </w:pPr>
    </w:p>
    <w:p w14:paraId="10C7D53B" w14:textId="7B37F2D4" w:rsidR="005E445F" w:rsidRPr="00A1434F" w:rsidRDefault="00EB34FC" w:rsidP="00A1434F">
      <w:pPr>
        <w:pStyle w:val="Heading1"/>
        <w:rPr>
          <w:rFonts w:asciiTheme="minorHAnsi" w:hAnsiTheme="minorHAnsi" w:cstheme="minorHAnsi"/>
        </w:rPr>
      </w:pPr>
      <w:r w:rsidRPr="005734A4">
        <w:rPr>
          <w:rFonts w:asciiTheme="minorHAnsi" w:hAnsiTheme="minorHAnsi" w:cstheme="minorHAnsi"/>
        </w:rPr>
        <w:lastRenderedPageBreak/>
        <w:t>Document Revision History</w:t>
      </w:r>
    </w:p>
    <w:tbl>
      <w:tblPr>
        <w:tblW w:w="4689" w:type="pct"/>
        <w:jc w:val="center"/>
        <w:tblInd w:w="108" w:type="dxa"/>
        <w:tblBorders>
          <w:insideH w:val="single" w:sz="18" w:space="0" w:color="FFFFFF"/>
          <w:insideV w:val="single" w:sz="18" w:space="0" w:color="FFFFFF"/>
        </w:tblBorders>
        <w:tblLayout w:type="fixed"/>
        <w:tblLook w:val="01E0" w:firstRow="1" w:lastRow="1" w:firstColumn="1" w:lastColumn="1" w:noHBand="0" w:noVBand="0"/>
      </w:tblPr>
      <w:tblGrid>
        <w:gridCol w:w="1430"/>
        <w:gridCol w:w="1440"/>
        <w:gridCol w:w="2161"/>
        <w:gridCol w:w="3949"/>
      </w:tblGrid>
      <w:tr w:rsidR="005E445F" w:rsidRPr="00BA5298" w14:paraId="43EC5423" w14:textId="77777777" w:rsidTr="005E445F">
        <w:trPr>
          <w:trHeight w:val="298"/>
          <w:jc w:val="center"/>
        </w:trPr>
        <w:tc>
          <w:tcPr>
            <w:tcW w:w="796" w:type="pct"/>
            <w:shd w:val="pct20" w:color="000000" w:fill="FFFFFF"/>
            <w:vAlign w:val="center"/>
          </w:tcPr>
          <w:p w14:paraId="477A7ABA" w14:textId="77777777" w:rsidR="005E445F" w:rsidRPr="001A3982" w:rsidRDefault="005E445F" w:rsidP="005E445F">
            <w:pPr>
              <w:rPr>
                <w:b/>
                <w:bCs/>
              </w:rPr>
            </w:pPr>
            <w:r>
              <w:rPr>
                <w:b/>
                <w:bCs/>
              </w:rPr>
              <w:t>Revision #</w:t>
            </w:r>
          </w:p>
        </w:tc>
        <w:tc>
          <w:tcPr>
            <w:tcW w:w="802" w:type="pct"/>
            <w:shd w:val="pct20" w:color="000000" w:fill="FFFFFF"/>
            <w:vAlign w:val="center"/>
          </w:tcPr>
          <w:p w14:paraId="40C30843" w14:textId="77777777" w:rsidR="005E445F" w:rsidRPr="001A3982" w:rsidRDefault="005E445F" w:rsidP="005E445F">
            <w:pPr>
              <w:rPr>
                <w:b/>
                <w:bCs/>
                <w:sz w:val="20"/>
                <w:szCs w:val="20"/>
              </w:rPr>
            </w:pPr>
            <w:r w:rsidRPr="001A3982">
              <w:rPr>
                <w:b/>
                <w:bCs/>
                <w:sz w:val="20"/>
                <w:szCs w:val="20"/>
              </w:rPr>
              <w:t>MM/DD/Y</w:t>
            </w:r>
            <w:r>
              <w:rPr>
                <w:b/>
                <w:bCs/>
                <w:sz w:val="20"/>
                <w:szCs w:val="20"/>
              </w:rPr>
              <w:t>Y</w:t>
            </w:r>
          </w:p>
        </w:tc>
        <w:tc>
          <w:tcPr>
            <w:tcW w:w="1203" w:type="pct"/>
            <w:shd w:val="pct20" w:color="000000" w:fill="FFFFFF"/>
            <w:vAlign w:val="center"/>
          </w:tcPr>
          <w:p w14:paraId="1520D240" w14:textId="77777777" w:rsidR="005E445F" w:rsidRPr="001A3982" w:rsidRDefault="005E445F" w:rsidP="005E445F">
            <w:pPr>
              <w:rPr>
                <w:b/>
                <w:bCs/>
                <w:sz w:val="20"/>
                <w:szCs w:val="20"/>
              </w:rPr>
            </w:pPr>
            <w:r w:rsidRPr="001A3982">
              <w:rPr>
                <w:b/>
                <w:bCs/>
                <w:sz w:val="20"/>
                <w:szCs w:val="20"/>
              </w:rPr>
              <w:t>Author/Affiliation</w:t>
            </w:r>
          </w:p>
        </w:tc>
        <w:tc>
          <w:tcPr>
            <w:tcW w:w="2199" w:type="pct"/>
            <w:shd w:val="pct20" w:color="000000" w:fill="FFFFFF"/>
            <w:vAlign w:val="center"/>
          </w:tcPr>
          <w:p w14:paraId="272EA7E9" w14:textId="77777777" w:rsidR="005E445F" w:rsidRPr="001A3982" w:rsidRDefault="005E445F" w:rsidP="005E445F">
            <w:pPr>
              <w:rPr>
                <w:b/>
                <w:bCs/>
                <w:sz w:val="20"/>
                <w:szCs w:val="20"/>
              </w:rPr>
            </w:pPr>
            <w:r w:rsidRPr="001A3982">
              <w:rPr>
                <w:b/>
                <w:bCs/>
                <w:sz w:val="20"/>
                <w:szCs w:val="20"/>
              </w:rPr>
              <w:t>Summary of Changes</w:t>
            </w:r>
          </w:p>
        </w:tc>
      </w:tr>
      <w:tr w:rsidR="005E445F" w:rsidRPr="00BA5298" w14:paraId="76D2073F" w14:textId="77777777" w:rsidTr="005E445F">
        <w:trPr>
          <w:trHeight w:val="325"/>
          <w:jc w:val="center"/>
        </w:trPr>
        <w:tc>
          <w:tcPr>
            <w:tcW w:w="796" w:type="pct"/>
            <w:shd w:val="pct5" w:color="000000" w:fill="FFFFFF"/>
            <w:vAlign w:val="center"/>
          </w:tcPr>
          <w:p w14:paraId="2754B2FB" w14:textId="0158E1E7" w:rsidR="005E445F" w:rsidRDefault="002C157E" w:rsidP="005E445F">
            <w:pPr>
              <w:jc w:val="center"/>
              <w:rPr>
                <w:sz w:val="20"/>
                <w:szCs w:val="20"/>
              </w:rPr>
            </w:pPr>
            <w:r>
              <w:rPr>
                <w:sz w:val="20"/>
                <w:szCs w:val="20"/>
              </w:rPr>
              <w:t>0</w:t>
            </w:r>
          </w:p>
        </w:tc>
        <w:tc>
          <w:tcPr>
            <w:tcW w:w="802" w:type="pct"/>
            <w:shd w:val="pct5" w:color="000000" w:fill="FFFFFF"/>
            <w:vAlign w:val="center"/>
          </w:tcPr>
          <w:p w14:paraId="776309A4" w14:textId="03B9D4DB" w:rsidR="005E445F" w:rsidRPr="005722F9" w:rsidRDefault="002C157E" w:rsidP="005E445F">
            <w:pPr>
              <w:jc w:val="center"/>
              <w:rPr>
                <w:sz w:val="20"/>
                <w:szCs w:val="20"/>
              </w:rPr>
            </w:pPr>
            <w:r>
              <w:rPr>
                <w:sz w:val="20"/>
                <w:szCs w:val="20"/>
              </w:rPr>
              <w:t>12/03</w:t>
            </w:r>
            <w:r w:rsidR="00397C12">
              <w:rPr>
                <w:sz w:val="20"/>
                <w:szCs w:val="20"/>
              </w:rPr>
              <w:t>/200</w:t>
            </w:r>
            <w:r>
              <w:rPr>
                <w:sz w:val="20"/>
                <w:szCs w:val="20"/>
              </w:rPr>
              <w:t>7</w:t>
            </w:r>
          </w:p>
        </w:tc>
        <w:tc>
          <w:tcPr>
            <w:tcW w:w="1203" w:type="pct"/>
            <w:shd w:val="pct5" w:color="000000" w:fill="FFFFFF"/>
            <w:vAlign w:val="center"/>
          </w:tcPr>
          <w:p w14:paraId="2D75DD34" w14:textId="0B27872A" w:rsidR="005E445F" w:rsidRPr="005722F9" w:rsidRDefault="002C157E" w:rsidP="005E445F">
            <w:pPr>
              <w:rPr>
                <w:sz w:val="20"/>
                <w:szCs w:val="20"/>
              </w:rPr>
            </w:pPr>
            <w:r>
              <w:rPr>
                <w:sz w:val="20"/>
                <w:szCs w:val="20"/>
              </w:rPr>
              <w:t xml:space="preserve">Emerging Technology / </w:t>
            </w:r>
            <w:r w:rsidR="005E445F" w:rsidRPr="005722F9">
              <w:rPr>
                <w:sz w:val="20"/>
                <w:szCs w:val="20"/>
              </w:rPr>
              <w:t>SDGE</w:t>
            </w:r>
          </w:p>
        </w:tc>
        <w:tc>
          <w:tcPr>
            <w:tcW w:w="2199" w:type="pct"/>
            <w:shd w:val="pct5" w:color="000000" w:fill="FFFFFF"/>
            <w:vAlign w:val="center"/>
          </w:tcPr>
          <w:p w14:paraId="17DF9133" w14:textId="6DE172AC" w:rsidR="005E445F" w:rsidRPr="00717BDE" w:rsidRDefault="002C157E" w:rsidP="00397C12">
            <w:pPr>
              <w:rPr>
                <w:bCs/>
                <w:sz w:val="20"/>
                <w:szCs w:val="20"/>
              </w:rPr>
            </w:pPr>
            <w:r>
              <w:rPr>
                <w:bCs/>
                <w:sz w:val="20"/>
                <w:szCs w:val="20"/>
              </w:rPr>
              <w:t>Original Work paper</w:t>
            </w:r>
          </w:p>
        </w:tc>
      </w:tr>
      <w:tr w:rsidR="005E445F" w:rsidRPr="00BA5298" w14:paraId="7CE5997F" w14:textId="77777777" w:rsidTr="0006051A">
        <w:trPr>
          <w:trHeight w:val="325"/>
          <w:jc w:val="center"/>
        </w:trPr>
        <w:tc>
          <w:tcPr>
            <w:tcW w:w="796" w:type="pct"/>
            <w:shd w:val="pct5" w:color="000000" w:fill="FFFFFF"/>
            <w:vAlign w:val="center"/>
          </w:tcPr>
          <w:p w14:paraId="158D7943" w14:textId="0A2A2D8B" w:rsidR="005E445F" w:rsidRDefault="002C157E" w:rsidP="005E445F">
            <w:pPr>
              <w:jc w:val="center"/>
              <w:rPr>
                <w:sz w:val="20"/>
                <w:szCs w:val="20"/>
              </w:rPr>
            </w:pPr>
            <w:r>
              <w:rPr>
                <w:sz w:val="20"/>
                <w:szCs w:val="20"/>
              </w:rPr>
              <w:t>1</w:t>
            </w:r>
          </w:p>
        </w:tc>
        <w:tc>
          <w:tcPr>
            <w:tcW w:w="802" w:type="pct"/>
            <w:shd w:val="pct5" w:color="000000" w:fill="FFFFFF"/>
            <w:vAlign w:val="center"/>
          </w:tcPr>
          <w:p w14:paraId="6F71A9E6" w14:textId="16C908AB" w:rsidR="005E445F" w:rsidRDefault="002C157E" w:rsidP="005E445F">
            <w:pPr>
              <w:jc w:val="center"/>
              <w:rPr>
                <w:sz w:val="20"/>
                <w:szCs w:val="20"/>
              </w:rPr>
            </w:pPr>
            <w:r>
              <w:rPr>
                <w:sz w:val="20"/>
                <w:szCs w:val="20"/>
              </w:rPr>
              <w:t>07/17</w:t>
            </w:r>
            <w:r w:rsidR="005E445F">
              <w:rPr>
                <w:sz w:val="20"/>
                <w:szCs w:val="20"/>
              </w:rPr>
              <w:t>/20</w:t>
            </w:r>
            <w:r>
              <w:rPr>
                <w:sz w:val="20"/>
                <w:szCs w:val="20"/>
              </w:rPr>
              <w:t>09</w:t>
            </w:r>
          </w:p>
        </w:tc>
        <w:tc>
          <w:tcPr>
            <w:tcW w:w="1203" w:type="pct"/>
            <w:shd w:val="pct5" w:color="000000" w:fill="FFFFFF"/>
            <w:vAlign w:val="center"/>
          </w:tcPr>
          <w:p w14:paraId="768FBCFC" w14:textId="6DF63BB4" w:rsidR="005E445F" w:rsidRDefault="002C157E" w:rsidP="005E445F">
            <w:pPr>
              <w:rPr>
                <w:sz w:val="20"/>
                <w:szCs w:val="20"/>
              </w:rPr>
            </w:pPr>
            <w:r>
              <w:rPr>
                <w:sz w:val="20"/>
                <w:szCs w:val="20"/>
              </w:rPr>
              <w:t>Lucie Sidibe / SDGE</w:t>
            </w:r>
          </w:p>
        </w:tc>
        <w:tc>
          <w:tcPr>
            <w:tcW w:w="2199" w:type="pct"/>
            <w:shd w:val="pct5" w:color="000000" w:fill="FFFFFF"/>
            <w:vAlign w:val="center"/>
          </w:tcPr>
          <w:p w14:paraId="383CA9BA" w14:textId="4D8B491E" w:rsidR="002C157E" w:rsidRPr="002C157E" w:rsidRDefault="002C157E" w:rsidP="002C157E">
            <w:pPr>
              <w:rPr>
                <w:bCs/>
                <w:sz w:val="20"/>
                <w:szCs w:val="20"/>
              </w:rPr>
            </w:pPr>
            <w:r>
              <w:rPr>
                <w:bCs/>
                <w:sz w:val="20"/>
                <w:szCs w:val="20"/>
              </w:rPr>
              <w:t xml:space="preserve">1- </w:t>
            </w:r>
            <w:r w:rsidRPr="002C157E">
              <w:rPr>
                <w:bCs/>
                <w:sz w:val="20"/>
                <w:szCs w:val="20"/>
              </w:rPr>
              <w:t>General Review</w:t>
            </w:r>
          </w:p>
          <w:p w14:paraId="0A480683" w14:textId="3370DA31" w:rsidR="002C157E" w:rsidRPr="002C157E" w:rsidRDefault="002C157E" w:rsidP="002C157E">
            <w:pPr>
              <w:rPr>
                <w:bCs/>
                <w:sz w:val="20"/>
                <w:szCs w:val="20"/>
              </w:rPr>
            </w:pPr>
            <w:r>
              <w:rPr>
                <w:bCs/>
                <w:sz w:val="20"/>
                <w:szCs w:val="20"/>
              </w:rPr>
              <w:t xml:space="preserve">2- </w:t>
            </w:r>
            <w:r w:rsidRPr="002C157E">
              <w:rPr>
                <w:bCs/>
                <w:sz w:val="20"/>
                <w:szCs w:val="20"/>
              </w:rPr>
              <w:t>Updated Format</w:t>
            </w:r>
          </w:p>
          <w:p w14:paraId="082E7D13" w14:textId="4BD8560B" w:rsidR="002C157E" w:rsidRPr="002C157E" w:rsidRDefault="002C157E" w:rsidP="002C157E">
            <w:pPr>
              <w:rPr>
                <w:bCs/>
                <w:sz w:val="20"/>
                <w:szCs w:val="20"/>
              </w:rPr>
            </w:pPr>
            <w:r>
              <w:rPr>
                <w:bCs/>
                <w:sz w:val="20"/>
                <w:szCs w:val="20"/>
              </w:rPr>
              <w:t xml:space="preserve">3- </w:t>
            </w:r>
            <w:r w:rsidRPr="002C157E">
              <w:rPr>
                <w:bCs/>
                <w:sz w:val="20"/>
                <w:szCs w:val="20"/>
              </w:rPr>
              <w:t>NTG Updated to reflect 09/11 DEER</w:t>
            </w:r>
          </w:p>
          <w:p w14:paraId="03520710" w14:textId="03AD578A" w:rsidR="00397C12" w:rsidRDefault="002C157E" w:rsidP="00397C12">
            <w:pPr>
              <w:rPr>
                <w:bCs/>
                <w:sz w:val="20"/>
                <w:szCs w:val="20"/>
              </w:rPr>
            </w:pPr>
            <w:r>
              <w:rPr>
                <w:bCs/>
                <w:sz w:val="20"/>
                <w:szCs w:val="20"/>
              </w:rPr>
              <w:t xml:space="preserve">4- </w:t>
            </w:r>
            <w:r w:rsidRPr="002C157E">
              <w:rPr>
                <w:bCs/>
                <w:sz w:val="20"/>
                <w:szCs w:val="20"/>
              </w:rPr>
              <w:t>T8 and T12 were added as additional base case</w:t>
            </w:r>
          </w:p>
        </w:tc>
      </w:tr>
      <w:tr w:rsidR="002C157E" w:rsidRPr="00BA5298" w14:paraId="11D411FA" w14:textId="77777777" w:rsidTr="0006051A">
        <w:trPr>
          <w:trHeight w:val="325"/>
          <w:jc w:val="center"/>
        </w:trPr>
        <w:tc>
          <w:tcPr>
            <w:tcW w:w="796" w:type="pct"/>
            <w:shd w:val="pct5" w:color="000000" w:fill="FFFFFF"/>
            <w:vAlign w:val="center"/>
          </w:tcPr>
          <w:p w14:paraId="2564C0A9" w14:textId="0F21F462" w:rsidR="002C157E" w:rsidRDefault="002C157E" w:rsidP="005E445F">
            <w:pPr>
              <w:jc w:val="center"/>
              <w:rPr>
                <w:sz w:val="20"/>
                <w:szCs w:val="20"/>
              </w:rPr>
            </w:pPr>
            <w:r>
              <w:rPr>
                <w:sz w:val="20"/>
                <w:szCs w:val="20"/>
              </w:rPr>
              <w:t>2</w:t>
            </w:r>
          </w:p>
        </w:tc>
        <w:tc>
          <w:tcPr>
            <w:tcW w:w="802" w:type="pct"/>
            <w:shd w:val="pct5" w:color="000000" w:fill="FFFFFF"/>
            <w:vAlign w:val="center"/>
          </w:tcPr>
          <w:p w14:paraId="253FDD0D" w14:textId="51B34EFB" w:rsidR="002C157E" w:rsidRDefault="00C052C2" w:rsidP="005E445F">
            <w:pPr>
              <w:jc w:val="center"/>
              <w:rPr>
                <w:sz w:val="20"/>
                <w:szCs w:val="20"/>
              </w:rPr>
            </w:pPr>
            <w:r>
              <w:rPr>
                <w:sz w:val="20"/>
                <w:szCs w:val="20"/>
              </w:rPr>
              <w:t>06/26/2012</w:t>
            </w:r>
          </w:p>
        </w:tc>
        <w:tc>
          <w:tcPr>
            <w:tcW w:w="1203" w:type="pct"/>
            <w:shd w:val="pct5" w:color="000000" w:fill="FFFFFF"/>
            <w:vAlign w:val="center"/>
          </w:tcPr>
          <w:p w14:paraId="1E100468" w14:textId="66E9E54C" w:rsidR="002C157E" w:rsidRDefault="00C052C2" w:rsidP="005E445F">
            <w:pPr>
              <w:rPr>
                <w:sz w:val="20"/>
                <w:szCs w:val="20"/>
              </w:rPr>
            </w:pPr>
            <w:r>
              <w:rPr>
                <w:sz w:val="20"/>
                <w:szCs w:val="20"/>
              </w:rPr>
              <w:t>Peter Ford / SDGE</w:t>
            </w:r>
          </w:p>
        </w:tc>
        <w:tc>
          <w:tcPr>
            <w:tcW w:w="2199" w:type="pct"/>
            <w:shd w:val="pct5" w:color="000000" w:fill="FFFFFF"/>
            <w:vAlign w:val="center"/>
          </w:tcPr>
          <w:p w14:paraId="6785C499" w14:textId="77D8C2BA" w:rsidR="002C157E" w:rsidRDefault="00C052C2" w:rsidP="005E445F">
            <w:pPr>
              <w:rPr>
                <w:bCs/>
                <w:sz w:val="20"/>
                <w:szCs w:val="20"/>
              </w:rPr>
            </w:pPr>
            <w:r w:rsidRPr="00C052C2">
              <w:rPr>
                <w:bCs/>
                <w:sz w:val="20"/>
                <w:szCs w:val="20"/>
              </w:rPr>
              <w:t>Revised NTG to 2011 DEER.  Added references to WPSDGENRLG0999 and changed tables accordingly</w:t>
            </w:r>
          </w:p>
        </w:tc>
      </w:tr>
      <w:tr w:rsidR="002C157E" w:rsidRPr="00BA5298" w14:paraId="30887771" w14:textId="77777777" w:rsidTr="0006051A">
        <w:trPr>
          <w:trHeight w:val="325"/>
          <w:jc w:val="center"/>
        </w:trPr>
        <w:tc>
          <w:tcPr>
            <w:tcW w:w="796" w:type="pct"/>
            <w:shd w:val="pct5" w:color="000000" w:fill="FFFFFF"/>
            <w:vAlign w:val="center"/>
          </w:tcPr>
          <w:p w14:paraId="7AE3B2D3" w14:textId="7B7C9266" w:rsidR="002C157E" w:rsidRDefault="002C157E" w:rsidP="005E445F">
            <w:pPr>
              <w:jc w:val="center"/>
              <w:rPr>
                <w:sz w:val="20"/>
                <w:szCs w:val="20"/>
              </w:rPr>
            </w:pPr>
            <w:r>
              <w:rPr>
                <w:sz w:val="20"/>
                <w:szCs w:val="20"/>
              </w:rPr>
              <w:t>3</w:t>
            </w:r>
          </w:p>
        </w:tc>
        <w:tc>
          <w:tcPr>
            <w:tcW w:w="802" w:type="pct"/>
            <w:shd w:val="pct5" w:color="000000" w:fill="FFFFFF"/>
            <w:vAlign w:val="center"/>
          </w:tcPr>
          <w:p w14:paraId="0C50444A" w14:textId="5391BFF0" w:rsidR="002C157E" w:rsidRDefault="00AD62B0" w:rsidP="005E445F">
            <w:pPr>
              <w:jc w:val="center"/>
              <w:rPr>
                <w:sz w:val="20"/>
                <w:szCs w:val="20"/>
              </w:rPr>
            </w:pPr>
            <w:r>
              <w:rPr>
                <w:sz w:val="20"/>
                <w:szCs w:val="20"/>
              </w:rPr>
              <w:t>06/0</w:t>
            </w:r>
            <w:r w:rsidR="00714E02">
              <w:rPr>
                <w:sz w:val="20"/>
                <w:szCs w:val="20"/>
              </w:rPr>
              <w:t>6</w:t>
            </w:r>
            <w:r w:rsidR="002C157E">
              <w:rPr>
                <w:sz w:val="20"/>
                <w:szCs w:val="20"/>
              </w:rPr>
              <w:t>/2014</w:t>
            </w:r>
          </w:p>
        </w:tc>
        <w:tc>
          <w:tcPr>
            <w:tcW w:w="1203" w:type="pct"/>
            <w:shd w:val="pct5" w:color="000000" w:fill="FFFFFF"/>
            <w:vAlign w:val="center"/>
          </w:tcPr>
          <w:p w14:paraId="7E587344" w14:textId="7AF3F14A" w:rsidR="002C157E" w:rsidRDefault="002C157E" w:rsidP="005E445F">
            <w:pPr>
              <w:rPr>
                <w:sz w:val="20"/>
                <w:szCs w:val="20"/>
              </w:rPr>
            </w:pPr>
            <w:r>
              <w:rPr>
                <w:sz w:val="20"/>
                <w:szCs w:val="20"/>
              </w:rPr>
              <w:t>Judelson Enriquez / RMS</w:t>
            </w:r>
          </w:p>
        </w:tc>
        <w:tc>
          <w:tcPr>
            <w:tcW w:w="2199" w:type="pct"/>
            <w:shd w:val="pct5" w:color="000000" w:fill="FFFFFF"/>
            <w:vAlign w:val="center"/>
          </w:tcPr>
          <w:p w14:paraId="5AF5C4CC" w14:textId="77777777" w:rsidR="00473034" w:rsidRDefault="00473034" w:rsidP="00473034">
            <w:pPr>
              <w:pStyle w:val="ListParagraph"/>
              <w:numPr>
                <w:ilvl w:val="0"/>
                <w:numId w:val="23"/>
              </w:numPr>
              <w:rPr>
                <w:bCs/>
                <w:sz w:val="20"/>
                <w:szCs w:val="20"/>
              </w:rPr>
            </w:pPr>
            <w:r w:rsidRPr="0000580D">
              <w:rPr>
                <w:bCs/>
                <w:sz w:val="20"/>
                <w:szCs w:val="20"/>
              </w:rPr>
              <w:t xml:space="preserve">Updated workpaper to new format. </w:t>
            </w:r>
          </w:p>
          <w:p w14:paraId="218BB694" w14:textId="7A458266" w:rsidR="00473034" w:rsidRDefault="00473034" w:rsidP="00473034">
            <w:pPr>
              <w:pStyle w:val="ListParagraph"/>
              <w:numPr>
                <w:ilvl w:val="0"/>
                <w:numId w:val="23"/>
              </w:numPr>
              <w:rPr>
                <w:bCs/>
                <w:sz w:val="20"/>
                <w:szCs w:val="20"/>
              </w:rPr>
            </w:pPr>
            <w:r w:rsidRPr="0000580D">
              <w:rPr>
                <w:bCs/>
                <w:sz w:val="20"/>
                <w:szCs w:val="20"/>
              </w:rPr>
              <w:t>Updated measure info, deliv</w:t>
            </w:r>
            <w:r>
              <w:rPr>
                <w:bCs/>
                <w:sz w:val="20"/>
                <w:szCs w:val="20"/>
              </w:rPr>
              <w:t xml:space="preserve">ery method, </w:t>
            </w:r>
            <w:r w:rsidRPr="0000580D">
              <w:rPr>
                <w:bCs/>
                <w:sz w:val="20"/>
                <w:szCs w:val="20"/>
              </w:rPr>
              <w:t>measure requirements</w:t>
            </w:r>
            <w:r>
              <w:rPr>
                <w:bCs/>
                <w:sz w:val="20"/>
                <w:szCs w:val="20"/>
              </w:rPr>
              <w:t xml:space="preserve">, </w:t>
            </w:r>
            <w:r w:rsidR="00B12856">
              <w:rPr>
                <w:bCs/>
                <w:sz w:val="20"/>
                <w:szCs w:val="20"/>
              </w:rPr>
              <w:t xml:space="preserve">DEER </w:t>
            </w:r>
            <w:r>
              <w:rPr>
                <w:bCs/>
                <w:sz w:val="20"/>
                <w:szCs w:val="20"/>
              </w:rPr>
              <w:t xml:space="preserve">difference analysis, code analysis, EUL with DEER2014, NTG with DEER2011, Section 2 with new DEER2014 IE/operating hours methodology, </w:t>
            </w:r>
            <w:r w:rsidR="00EF0E53">
              <w:rPr>
                <w:bCs/>
                <w:sz w:val="20"/>
                <w:szCs w:val="20"/>
              </w:rPr>
              <w:t xml:space="preserve">measure wattage summary table, </w:t>
            </w:r>
            <w:r>
              <w:rPr>
                <w:bCs/>
                <w:sz w:val="20"/>
                <w:szCs w:val="20"/>
              </w:rPr>
              <w:t>load shape section, and references list.</w:t>
            </w:r>
          </w:p>
          <w:p w14:paraId="2ED3FD75" w14:textId="77777777" w:rsidR="002C157E" w:rsidRDefault="00473034" w:rsidP="004907BE">
            <w:pPr>
              <w:pStyle w:val="ListParagraph"/>
              <w:numPr>
                <w:ilvl w:val="0"/>
                <w:numId w:val="23"/>
              </w:numPr>
              <w:rPr>
                <w:bCs/>
                <w:sz w:val="20"/>
                <w:szCs w:val="20"/>
              </w:rPr>
            </w:pPr>
            <w:r w:rsidRPr="0000580D">
              <w:rPr>
                <w:bCs/>
                <w:sz w:val="20"/>
                <w:szCs w:val="20"/>
              </w:rPr>
              <w:t xml:space="preserve">Added measure table, </w:t>
            </w:r>
            <w:r w:rsidR="00B12856">
              <w:rPr>
                <w:bCs/>
                <w:sz w:val="20"/>
                <w:szCs w:val="20"/>
              </w:rPr>
              <w:t>delivery and incentive mechanism section</w:t>
            </w:r>
            <w:r>
              <w:rPr>
                <w:bCs/>
                <w:sz w:val="20"/>
                <w:szCs w:val="20"/>
              </w:rPr>
              <w:t xml:space="preserve">, </w:t>
            </w:r>
            <w:r w:rsidR="00B12856">
              <w:rPr>
                <w:bCs/>
                <w:sz w:val="20"/>
                <w:szCs w:val="20"/>
              </w:rPr>
              <w:t xml:space="preserve">DEER difference summary table, </w:t>
            </w:r>
            <w:r>
              <w:rPr>
                <w:bCs/>
                <w:sz w:val="20"/>
                <w:szCs w:val="20"/>
              </w:rPr>
              <w:t xml:space="preserve">code summary table, EUL tables, NTG tables, GSIA language and </w:t>
            </w:r>
            <w:r w:rsidR="00EF0E53">
              <w:rPr>
                <w:bCs/>
                <w:sz w:val="20"/>
                <w:szCs w:val="20"/>
              </w:rPr>
              <w:t>tables, TOU section and tables</w:t>
            </w:r>
            <w:r>
              <w:rPr>
                <w:bCs/>
                <w:sz w:val="20"/>
                <w:szCs w:val="20"/>
              </w:rPr>
              <w:t xml:space="preserve">, </w:t>
            </w:r>
            <w:r w:rsidR="00EF0E53">
              <w:rPr>
                <w:bCs/>
                <w:sz w:val="20"/>
                <w:szCs w:val="20"/>
              </w:rPr>
              <w:t>Section 2.3 gas savings and methodology</w:t>
            </w:r>
            <w:r>
              <w:rPr>
                <w:bCs/>
                <w:sz w:val="20"/>
                <w:szCs w:val="20"/>
              </w:rPr>
              <w:t>.</w:t>
            </w:r>
          </w:p>
          <w:p w14:paraId="224AF43C" w14:textId="37C4E96B" w:rsidR="004907BE" w:rsidRPr="00B12856" w:rsidRDefault="004907BE" w:rsidP="004907BE">
            <w:pPr>
              <w:pStyle w:val="ListParagraph"/>
              <w:numPr>
                <w:ilvl w:val="0"/>
                <w:numId w:val="23"/>
              </w:numPr>
              <w:rPr>
                <w:bCs/>
                <w:sz w:val="20"/>
                <w:szCs w:val="20"/>
              </w:rPr>
            </w:pPr>
            <w:r>
              <w:rPr>
                <w:bCs/>
                <w:sz w:val="20"/>
                <w:szCs w:val="20"/>
              </w:rPr>
              <w:t>Updated costs with average $/ft. based on online sources, and updated cost tables.</w:t>
            </w:r>
          </w:p>
        </w:tc>
      </w:tr>
    </w:tbl>
    <w:p w14:paraId="5D4BFECA" w14:textId="77777777" w:rsidR="005E445F" w:rsidRDefault="005E445F" w:rsidP="00EB34FC">
      <w:pPr>
        <w:pStyle w:val="Reminder"/>
        <w:rPr>
          <w:rFonts w:asciiTheme="minorHAnsi" w:hAnsiTheme="minorHAnsi" w:cstheme="minorHAnsi"/>
          <w:color w:val="auto"/>
          <w:sz w:val="32"/>
          <w:szCs w:val="32"/>
        </w:rPr>
      </w:pPr>
    </w:p>
    <w:p w14:paraId="646F6E23" w14:textId="13EC5DF8" w:rsidR="00EB34FC" w:rsidRPr="001A5F62" w:rsidRDefault="00EB34FC" w:rsidP="00FA449E">
      <w:pPr>
        <w:pStyle w:val="Reminders"/>
        <w:ind w:left="1260"/>
        <w:rPr>
          <w:rFonts w:asciiTheme="minorHAnsi" w:hAnsiTheme="minorHAnsi" w:cstheme="minorHAnsi"/>
          <w:sz w:val="20"/>
          <w:szCs w:val="20"/>
        </w:rPr>
      </w:pPr>
    </w:p>
    <w:p w14:paraId="21E12F86" w14:textId="77777777" w:rsidR="009500DC" w:rsidRDefault="009500DC" w:rsidP="00DA690B">
      <w:pPr>
        <w:rPr>
          <w:rFonts w:asciiTheme="minorHAnsi" w:hAnsiTheme="minorHAnsi" w:cstheme="minorHAnsi"/>
        </w:rPr>
        <w:sectPr w:rsidR="009500DC" w:rsidSect="009500DC">
          <w:footerReference w:type="default" r:id="rId11"/>
          <w:pgSz w:w="12240" w:h="15840"/>
          <w:pgMar w:top="1440" w:right="1440" w:bottom="1440" w:left="1440" w:header="720" w:footer="720" w:gutter="0"/>
          <w:pgNumType w:fmt="lowerRoman"/>
          <w:cols w:space="720"/>
          <w:docGrid w:linePitch="360"/>
        </w:sectPr>
      </w:pPr>
    </w:p>
    <w:p w14:paraId="56E8F65A" w14:textId="77777777" w:rsidR="00E16609" w:rsidRPr="000F130A" w:rsidRDefault="00E16609" w:rsidP="00E16609">
      <w:pPr>
        <w:pStyle w:val="Heading1"/>
        <w:rPr>
          <w:rFonts w:asciiTheme="minorHAnsi" w:hAnsiTheme="minorHAnsi" w:cstheme="minorHAnsi"/>
        </w:rPr>
      </w:pPr>
      <w:r w:rsidRPr="000F130A">
        <w:rPr>
          <w:rFonts w:asciiTheme="minorHAnsi" w:hAnsiTheme="minorHAnsi" w:cstheme="minorHAnsi"/>
        </w:rPr>
        <w:lastRenderedPageBreak/>
        <w:t>Section 1. General Measure &amp; Baseline Data</w:t>
      </w:r>
      <w:bookmarkEnd w:id="1"/>
    </w:p>
    <w:p w14:paraId="423FD042" w14:textId="77777777" w:rsidR="00E16609" w:rsidRPr="000F130A" w:rsidRDefault="00824F1C" w:rsidP="00824F1C">
      <w:pPr>
        <w:pStyle w:val="Heading2"/>
        <w:rPr>
          <w:rFonts w:asciiTheme="minorHAnsi" w:hAnsiTheme="minorHAnsi" w:cstheme="minorHAnsi"/>
        </w:rPr>
      </w:pPr>
      <w:bookmarkStart w:id="2" w:name="_Toc214003083"/>
      <w:r>
        <w:rPr>
          <w:rFonts w:asciiTheme="minorHAnsi" w:hAnsiTheme="minorHAnsi" w:cstheme="minorHAnsi"/>
        </w:rPr>
        <w:t xml:space="preserve">1.1  </w:t>
      </w:r>
      <w:r w:rsidR="00E16609" w:rsidRPr="000F130A">
        <w:rPr>
          <w:rFonts w:asciiTheme="minorHAnsi" w:hAnsiTheme="minorHAnsi" w:cstheme="minorHAnsi"/>
        </w:rPr>
        <w:t xml:space="preserve">Measure &amp; Delivery Description </w:t>
      </w:r>
      <w:bookmarkEnd w:id="2"/>
    </w:p>
    <w:p w14:paraId="41E5B2C6" w14:textId="690F8EFD" w:rsidR="005B28C1" w:rsidRDefault="00E16609" w:rsidP="00FA449E">
      <w:pPr>
        <w:pStyle w:val="Heading3"/>
      </w:pPr>
      <w:r w:rsidRPr="000F130A">
        <w:rPr>
          <w:rFonts w:asciiTheme="minorHAnsi" w:hAnsiTheme="minorHAnsi" w:cstheme="minorHAnsi"/>
        </w:rPr>
        <w:t>1.1a Measure Description</w:t>
      </w:r>
    </w:p>
    <w:p w14:paraId="4A95B835" w14:textId="4F4C959E" w:rsidR="00CA3DB6" w:rsidRDefault="00946B17" w:rsidP="00FA449E">
      <w:r w:rsidRPr="00A117C8">
        <w:t>This work paper details the replacement of</w:t>
      </w:r>
      <w:r>
        <w:t xml:space="preserve"> existing pin-based halogen or linear fluorescent lamps with new, more efficient linear LED strip lighting.</w:t>
      </w:r>
    </w:p>
    <w:p w14:paraId="3F42C2BC" w14:textId="77777777" w:rsidR="00A70122" w:rsidRDefault="00A70122" w:rsidP="00FA449E"/>
    <w:p w14:paraId="3FA2F7BE" w14:textId="77777777" w:rsidR="00946B17" w:rsidRPr="009E265C" w:rsidRDefault="00946B17" w:rsidP="00946B17">
      <w:r w:rsidRPr="009E265C">
        <w:fldChar w:fldCharType="begin"/>
      </w:r>
      <w:r w:rsidRPr="009E265C">
        <w:instrText xml:space="preserve"> REF _Ref325629993 \h </w:instrText>
      </w:r>
      <w:r w:rsidRPr="009E265C">
        <w:fldChar w:fldCharType="separate"/>
      </w:r>
      <w:r w:rsidRPr="00A120A6">
        <w:rPr>
          <w:sz w:val="22"/>
          <w:szCs w:val="22"/>
        </w:rPr>
        <w:t xml:space="preserve">Table </w:t>
      </w:r>
      <w:r>
        <w:rPr>
          <w:noProof/>
          <w:sz w:val="22"/>
          <w:szCs w:val="22"/>
        </w:rPr>
        <w:t>1</w:t>
      </w:r>
      <w:r w:rsidRPr="009E265C">
        <w:fldChar w:fldCharType="end"/>
      </w:r>
      <w:r w:rsidRPr="009E265C">
        <w:t xml:space="preserve"> below shows the measure description classifications with what the existing base case lamps can be replaced</w:t>
      </w:r>
      <w:r>
        <w:t>.</w:t>
      </w:r>
    </w:p>
    <w:p w14:paraId="030813E7" w14:textId="77777777" w:rsidR="009B67B6" w:rsidRPr="00FA449E" w:rsidRDefault="009B67B6" w:rsidP="00FA449E"/>
    <w:p w14:paraId="24083132" w14:textId="1F61510F" w:rsidR="005B28C1" w:rsidRPr="00A120A6" w:rsidRDefault="005B28C1" w:rsidP="005B28C1">
      <w:pPr>
        <w:pStyle w:val="Caption"/>
        <w:jc w:val="center"/>
        <w:rPr>
          <w:sz w:val="22"/>
          <w:szCs w:val="22"/>
        </w:rPr>
      </w:pPr>
      <w:bookmarkStart w:id="3" w:name="_Ref325629993"/>
      <w:r w:rsidRPr="00A120A6">
        <w:rPr>
          <w:sz w:val="22"/>
          <w:szCs w:val="22"/>
        </w:rPr>
        <w:t xml:space="preserve">Table </w:t>
      </w:r>
      <w:r w:rsidRPr="00A120A6">
        <w:rPr>
          <w:sz w:val="22"/>
          <w:szCs w:val="22"/>
        </w:rPr>
        <w:fldChar w:fldCharType="begin"/>
      </w:r>
      <w:r w:rsidRPr="00A120A6">
        <w:rPr>
          <w:sz w:val="22"/>
          <w:szCs w:val="22"/>
        </w:rPr>
        <w:instrText xml:space="preserve"> SEQ Table \* ARABIC </w:instrText>
      </w:r>
      <w:r w:rsidRPr="00A120A6">
        <w:rPr>
          <w:sz w:val="22"/>
          <w:szCs w:val="22"/>
        </w:rPr>
        <w:fldChar w:fldCharType="separate"/>
      </w:r>
      <w:r w:rsidR="00CA5B02">
        <w:rPr>
          <w:noProof/>
          <w:sz w:val="22"/>
          <w:szCs w:val="22"/>
        </w:rPr>
        <w:t>1</w:t>
      </w:r>
      <w:r w:rsidRPr="00A120A6">
        <w:rPr>
          <w:sz w:val="22"/>
          <w:szCs w:val="22"/>
        </w:rPr>
        <w:fldChar w:fldCharType="end"/>
      </w:r>
      <w:bookmarkEnd w:id="3"/>
      <w:r w:rsidRPr="00A120A6">
        <w:rPr>
          <w:sz w:val="22"/>
          <w:szCs w:val="22"/>
        </w:rPr>
        <w:t xml:space="preserve"> </w:t>
      </w:r>
      <w:r w:rsidR="00946B17" w:rsidRPr="00A120A6">
        <w:rPr>
          <w:sz w:val="22"/>
          <w:szCs w:val="22"/>
        </w:rPr>
        <w:t>Measure Names</w:t>
      </w:r>
    </w:p>
    <w:tbl>
      <w:tblPr>
        <w:tblStyle w:val="TableContemporary"/>
        <w:tblW w:w="0" w:type="auto"/>
        <w:jc w:val="center"/>
        <w:tblLook w:val="04A0" w:firstRow="1" w:lastRow="0" w:firstColumn="1" w:lastColumn="0" w:noHBand="0" w:noVBand="1"/>
      </w:tblPr>
      <w:tblGrid>
        <w:gridCol w:w="1396"/>
        <w:gridCol w:w="5321"/>
      </w:tblGrid>
      <w:tr w:rsidR="005B28C1" w:rsidRPr="00A120A6" w14:paraId="49B1064D" w14:textId="77777777" w:rsidTr="00CA2FCD">
        <w:trPr>
          <w:cnfStyle w:val="100000000000" w:firstRow="1" w:lastRow="0" w:firstColumn="0" w:lastColumn="0" w:oddVBand="0" w:evenVBand="0" w:oddHBand="0" w:evenHBand="0" w:firstRowFirstColumn="0" w:firstRowLastColumn="0" w:lastRowFirstColumn="0" w:lastRowLastColumn="0"/>
          <w:jc w:val="center"/>
        </w:trPr>
        <w:tc>
          <w:tcPr>
            <w:tcW w:w="1396" w:type="dxa"/>
            <w:vAlign w:val="center"/>
          </w:tcPr>
          <w:p w14:paraId="695407C7" w14:textId="45124B70" w:rsidR="005B28C1" w:rsidRPr="00A120A6" w:rsidRDefault="0094642E" w:rsidP="00CA2FCD">
            <w:pPr>
              <w:ind w:right="-63"/>
              <w:jc w:val="center"/>
              <w:rPr>
                <w:sz w:val="20"/>
                <w:szCs w:val="20"/>
              </w:rPr>
            </w:pPr>
            <w:r w:rsidRPr="00A120A6">
              <w:rPr>
                <w:sz w:val="20"/>
                <w:szCs w:val="20"/>
              </w:rPr>
              <w:t>Product</w:t>
            </w:r>
            <w:r w:rsidR="005B28C1" w:rsidRPr="00A120A6">
              <w:rPr>
                <w:sz w:val="20"/>
                <w:szCs w:val="20"/>
              </w:rPr>
              <w:t xml:space="preserve"> Code</w:t>
            </w:r>
          </w:p>
        </w:tc>
        <w:tc>
          <w:tcPr>
            <w:tcW w:w="5321" w:type="dxa"/>
            <w:vAlign w:val="center"/>
          </w:tcPr>
          <w:p w14:paraId="57BB5B79" w14:textId="3A3E749C" w:rsidR="005B28C1" w:rsidRPr="00A120A6" w:rsidRDefault="005B28C1" w:rsidP="00CA2FCD">
            <w:pPr>
              <w:jc w:val="center"/>
              <w:rPr>
                <w:sz w:val="20"/>
                <w:szCs w:val="20"/>
              </w:rPr>
            </w:pPr>
            <w:r w:rsidRPr="00A120A6">
              <w:rPr>
                <w:sz w:val="20"/>
                <w:szCs w:val="20"/>
              </w:rPr>
              <w:t>Measure name</w:t>
            </w:r>
          </w:p>
        </w:tc>
      </w:tr>
      <w:tr w:rsidR="005B28C1" w:rsidRPr="00A120A6" w14:paraId="4753056B" w14:textId="77777777" w:rsidTr="00CA2FCD">
        <w:trPr>
          <w:cnfStyle w:val="000000100000" w:firstRow="0" w:lastRow="0" w:firstColumn="0" w:lastColumn="0" w:oddVBand="0" w:evenVBand="0" w:oddHBand="1" w:evenHBand="0" w:firstRowFirstColumn="0" w:firstRowLastColumn="0" w:lastRowFirstColumn="0" w:lastRowLastColumn="0"/>
          <w:trHeight w:val="243"/>
          <w:jc w:val="center"/>
        </w:trPr>
        <w:tc>
          <w:tcPr>
            <w:tcW w:w="1396" w:type="dxa"/>
            <w:vAlign w:val="center"/>
          </w:tcPr>
          <w:p w14:paraId="274B8D8B" w14:textId="0BF8D158" w:rsidR="005B28C1" w:rsidRPr="00A120A6" w:rsidRDefault="00C901E0" w:rsidP="00C901E0">
            <w:pPr>
              <w:jc w:val="center"/>
              <w:rPr>
                <w:sz w:val="20"/>
                <w:szCs w:val="20"/>
              </w:rPr>
            </w:pPr>
            <w:r w:rsidRPr="00C901E0">
              <w:rPr>
                <w:sz w:val="20"/>
                <w:szCs w:val="20"/>
              </w:rPr>
              <w:t>L-O11</w:t>
            </w:r>
          </w:p>
        </w:tc>
        <w:tc>
          <w:tcPr>
            <w:tcW w:w="5321" w:type="dxa"/>
          </w:tcPr>
          <w:p w14:paraId="1881D19C" w14:textId="6383CC66" w:rsidR="005B28C1" w:rsidRPr="00A120A6" w:rsidRDefault="00C901E0" w:rsidP="00CA2FCD">
            <w:pPr>
              <w:rPr>
                <w:sz w:val="20"/>
                <w:szCs w:val="20"/>
              </w:rPr>
            </w:pPr>
            <w:r w:rsidRPr="00C901E0">
              <w:rPr>
                <w:sz w:val="20"/>
                <w:szCs w:val="20"/>
              </w:rPr>
              <w:t>New Linear LED Strip (T8 base case)</w:t>
            </w:r>
          </w:p>
        </w:tc>
      </w:tr>
      <w:tr w:rsidR="008A4309" w:rsidRPr="00A120A6" w14:paraId="27452BF3" w14:textId="77777777" w:rsidTr="00CA2FCD">
        <w:trPr>
          <w:cnfStyle w:val="000000010000" w:firstRow="0" w:lastRow="0" w:firstColumn="0" w:lastColumn="0" w:oddVBand="0" w:evenVBand="0" w:oddHBand="0" w:evenHBand="1" w:firstRowFirstColumn="0" w:firstRowLastColumn="0" w:lastRowFirstColumn="0" w:lastRowLastColumn="0"/>
          <w:trHeight w:val="243"/>
          <w:jc w:val="center"/>
        </w:trPr>
        <w:tc>
          <w:tcPr>
            <w:tcW w:w="1396" w:type="dxa"/>
            <w:vAlign w:val="center"/>
          </w:tcPr>
          <w:p w14:paraId="24EB566C" w14:textId="367672E1" w:rsidR="008A4309" w:rsidRDefault="00C901E0" w:rsidP="00CA2FCD">
            <w:pPr>
              <w:jc w:val="center"/>
              <w:rPr>
                <w:sz w:val="20"/>
                <w:szCs w:val="20"/>
              </w:rPr>
            </w:pPr>
            <w:r>
              <w:rPr>
                <w:sz w:val="20"/>
                <w:szCs w:val="20"/>
              </w:rPr>
              <w:t>L-O21</w:t>
            </w:r>
          </w:p>
        </w:tc>
        <w:tc>
          <w:tcPr>
            <w:tcW w:w="5321" w:type="dxa"/>
          </w:tcPr>
          <w:p w14:paraId="735F3A1C" w14:textId="29E87B0A" w:rsidR="008A4309" w:rsidRDefault="00C901E0" w:rsidP="008A4309">
            <w:pPr>
              <w:rPr>
                <w:sz w:val="20"/>
                <w:szCs w:val="20"/>
              </w:rPr>
            </w:pPr>
            <w:r>
              <w:rPr>
                <w:sz w:val="20"/>
                <w:szCs w:val="20"/>
              </w:rPr>
              <w:t>New Linear LED Strip (T12</w:t>
            </w:r>
            <w:r w:rsidRPr="00C901E0">
              <w:rPr>
                <w:sz w:val="20"/>
                <w:szCs w:val="20"/>
              </w:rPr>
              <w:t xml:space="preserve"> base case)</w:t>
            </w:r>
          </w:p>
        </w:tc>
      </w:tr>
      <w:tr w:rsidR="00CA2FCD" w:rsidRPr="00A120A6" w14:paraId="242EB207" w14:textId="77777777" w:rsidTr="00CA2FCD">
        <w:trPr>
          <w:cnfStyle w:val="000000100000" w:firstRow="0" w:lastRow="0" w:firstColumn="0" w:lastColumn="0" w:oddVBand="0" w:evenVBand="0" w:oddHBand="1" w:evenHBand="0" w:firstRowFirstColumn="0" w:firstRowLastColumn="0" w:lastRowFirstColumn="0" w:lastRowLastColumn="0"/>
          <w:trHeight w:val="243"/>
          <w:jc w:val="center"/>
        </w:trPr>
        <w:tc>
          <w:tcPr>
            <w:tcW w:w="1396" w:type="dxa"/>
            <w:vAlign w:val="center"/>
          </w:tcPr>
          <w:p w14:paraId="645FC6F7" w14:textId="56C4FAE9" w:rsidR="00CA2FCD" w:rsidRDefault="00C901E0" w:rsidP="00CA2FCD">
            <w:pPr>
              <w:jc w:val="center"/>
              <w:rPr>
                <w:sz w:val="20"/>
                <w:szCs w:val="20"/>
              </w:rPr>
            </w:pPr>
            <w:r>
              <w:rPr>
                <w:sz w:val="20"/>
                <w:szCs w:val="20"/>
              </w:rPr>
              <w:t>L-O31</w:t>
            </w:r>
          </w:p>
        </w:tc>
        <w:tc>
          <w:tcPr>
            <w:tcW w:w="5321" w:type="dxa"/>
          </w:tcPr>
          <w:p w14:paraId="4960DDED" w14:textId="496B3943" w:rsidR="00CA2FCD" w:rsidRDefault="00C901E0" w:rsidP="00CA2FCD">
            <w:pPr>
              <w:rPr>
                <w:sz w:val="20"/>
                <w:szCs w:val="20"/>
              </w:rPr>
            </w:pPr>
            <w:r>
              <w:rPr>
                <w:sz w:val="20"/>
                <w:szCs w:val="20"/>
              </w:rPr>
              <w:t>New Linear LED Strip (Bi-pin Halogen</w:t>
            </w:r>
            <w:r w:rsidRPr="00C901E0">
              <w:rPr>
                <w:sz w:val="20"/>
                <w:szCs w:val="20"/>
              </w:rPr>
              <w:t xml:space="preserve"> base case)</w:t>
            </w:r>
          </w:p>
        </w:tc>
      </w:tr>
    </w:tbl>
    <w:p w14:paraId="52325D33" w14:textId="77777777" w:rsidR="00A05CFF" w:rsidRPr="00C76795" w:rsidRDefault="00A05CFF" w:rsidP="00FB5531"/>
    <w:p w14:paraId="1306B794" w14:textId="7F7E646C" w:rsidR="0094642E" w:rsidRDefault="00E16609" w:rsidP="00FA449E">
      <w:pPr>
        <w:pStyle w:val="Heading3"/>
      </w:pPr>
      <w:r w:rsidRPr="000F130A">
        <w:rPr>
          <w:rFonts w:asciiTheme="minorHAnsi" w:hAnsiTheme="minorHAnsi" w:cstheme="minorHAnsi"/>
        </w:rPr>
        <w:t>1.1b Delivery and Incentive Mechanism</w:t>
      </w:r>
    </w:p>
    <w:p w14:paraId="129EC92A" w14:textId="77777777" w:rsidR="009C05D9" w:rsidRDefault="009C05D9" w:rsidP="009C05D9">
      <w:r>
        <w:t>The delivery method for this measure is:</w:t>
      </w:r>
    </w:p>
    <w:p w14:paraId="709810B2" w14:textId="77777777" w:rsidR="009C05D9" w:rsidRDefault="009C05D9" w:rsidP="009C05D9">
      <w:pPr>
        <w:pStyle w:val="ListParagraph"/>
        <w:numPr>
          <w:ilvl w:val="0"/>
          <w:numId w:val="10"/>
        </w:numPr>
      </w:pPr>
      <w:r>
        <w:t>Financial-Support Down-Stream Incentive Deemed</w:t>
      </w:r>
    </w:p>
    <w:p w14:paraId="14C55E99" w14:textId="77777777" w:rsidR="009C05D9" w:rsidRDefault="009C05D9" w:rsidP="009C05D9"/>
    <w:p w14:paraId="72CAD6A4" w14:textId="77777777" w:rsidR="009C05D9" w:rsidRDefault="009C05D9" w:rsidP="009C05D9">
      <w:r>
        <w:t>The measure install types are:</w:t>
      </w:r>
    </w:p>
    <w:p w14:paraId="6A994138" w14:textId="77777777" w:rsidR="009C05D9" w:rsidRPr="00427747" w:rsidRDefault="009C05D9" w:rsidP="009C05D9">
      <w:pPr>
        <w:pStyle w:val="ListParagraph"/>
        <w:numPr>
          <w:ilvl w:val="0"/>
          <w:numId w:val="11"/>
        </w:numPr>
      </w:pPr>
      <w:r>
        <w:t>Retrofit (RET)</w:t>
      </w:r>
    </w:p>
    <w:p w14:paraId="66A4D2D9" w14:textId="77777777"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1.1c Measure Requirements</w:t>
      </w:r>
    </w:p>
    <w:p w14:paraId="6392C818" w14:textId="77777777" w:rsidR="00012E4A" w:rsidRDefault="00012E4A" w:rsidP="00012E4A">
      <w:r w:rsidRPr="000C7DC9">
        <w:t>Measure eligibility requirements for the measures addressed in this work paper are established in the S</w:t>
      </w:r>
      <w:r>
        <w:t xml:space="preserve">an Diego Gas &amp; Electric </w:t>
      </w:r>
      <w:r w:rsidRPr="00B01AB6">
        <w:t>Energy Effi</w:t>
      </w:r>
      <w:r>
        <w:t>ciency Business Rebates Product</w:t>
      </w:r>
      <w:r w:rsidRPr="00B01AB6">
        <w:t xml:space="preserve"> Catalo</w:t>
      </w:r>
      <w:r w:rsidRPr="00ED10EF">
        <w:t>g</w:t>
      </w:r>
      <w:r w:rsidRPr="0041035F">
        <w:t xml:space="preserve"> </w:t>
      </w:r>
      <w:r w:rsidRPr="00B84BD5">
        <w:t>[</w:t>
      </w:r>
      <w:r w:rsidRPr="00B84BD5">
        <w:rPr>
          <w:rStyle w:val="EndnoteReference"/>
          <w:vertAlign w:val="baseline"/>
        </w:rPr>
        <w:endnoteReference w:id="1"/>
      </w:r>
      <w:r w:rsidRPr="005D1493">
        <w:t>]</w:t>
      </w:r>
      <w:r w:rsidRPr="000C7DC9">
        <w:t>.</w:t>
      </w:r>
      <w:r>
        <w:t xml:space="preserve"> Please refer to this document for the most updated eligibility requirements.</w:t>
      </w:r>
    </w:p>
    <w:p w14:paraId="11131D09" w14:textId="77777777" w:rsidR="00012E4A" w:rsidRPr="00012E4A" w:rsidRDefault="00012E4A" w:rsidP="00012E4A">
      <w:pPr>
        <w:rPr>
          <w:b/>
        </w:rPr>
      </w:pPr>
    </w:p>
    <w:p w14:paraId="254DA45C" w14:textId="77777777" w:rsidR="00012E4A" w:rsidRDefault="00012E4A" w:rsidP="00012E4A">
      <w:r>
        <w:t>General requirements include:</w:t>
      </w:r>
    </w:p>
    <w:p w14:paraId="387093CD" w14:textId="77777777" w:rsidR="00322B4A" w:rsidRDefault="00322B4A" w:rsidP="00322B4A">
      <w:pPr>
        <w:pStyle w:val="ListParagraph"/>
        <w:numPr>
          <w:ilvl w:val="0"/>
          <w:numId w:val="11"/>
        </w:numPr>
      </w:pPr>
      <w:r>
        <w:t>Only complete, new Linear LED lamps qualify</w:t>
      </w:r>
    </w:p>
    <w:p w14:paraId="51E2EEBF" w14:textId="785A69FB" w:rsidR="00322B4A" w:rsidRDefault="00322B4A" w:rsidP="00322B4A">
      <w:pPr>
        <w:pStyle w:val="ListParagraph"/>
        <w:numPr>
          <w:ilvl w:val="0"/>
          <w:numId w:val="11"/>
        </w:numPr>
      </w:pPr>
      <w:r>
        <w:t>Must replace an existing bi-pin halogen or linear fluorescent lamps</w:t>
      </w:r>
    </w:p>
    <w:p w14:paraId="33F2B8BF" w14:textId="3FA0AA42" w:rsidR="00322B4A" w:rsidRDefault="00322B4A" w:rsidP="00012E4A">
      <w:pPr>
        <w:pStyle w:val="ListParagraph"/>
        <w:numPr>
          <w:ilvl w:val="0"/>
          <w:numId w:val="11"/>
        </w:numPr>
      </w:pPr>
      <w:r>
        <w:t>A written warranty must be issued to the customer guaranteeing repair or replacement of defective electrical parts (including light source and power supplies) for a minimum of three (3) years from the date of purchase</w:t>
      </w:r>
    </w:p>
    <w:p w14:paraId="74E8D40E" w14:textId="77777777" w:rsidR="00413FE5" w:rsidRDefault="00413FE5" w:rsidP="009C05D9">
      <w:pPr>
        <w:autoSpaceDE w:val="0"/>
        <w:autoSpaceDN w:val="0"/>
        <w:adjustRightInd w:val="0"/>
        <w:rPr>
          <w:b/>
          <w:bCs/>
          <w:color w:val="000000"/>
        </w:rPr>
      </w:pPr>
    </w:p>
    <w:p w14:paraId="6A487B78" w14:textId="77777777" w:rsidR="009C05D9" w:rsidRPr="00413FE5" w:rsidRDefault="009C05D9" w:rsidP="009C05D9">
      <w:pPr>
        <w:autoSpaceDE w:val="0"/>
        <w:autoSpaceDN w:val="0"/>
        <w:adjustRightInd w:val="0"/>
        <w:rPr>
          <w:bCs/>
          <w:color w:val="000000"/>
        </w:rPr>
      </w:pPr>
      <w:r w:rsidRPr="00413FE5">
        <w:rPr>
          <w:bCs/>
          <w:color w:val="000000"/>
        </w:rPr>
        <w:t>Power Supply Requirements:</w:t>
      </w:r>
    </w:p>
    <w:p w14:paraId="182BE57E" w14:textId="77777777" w:rsidR="00413FE5" w:rsidRPr="00413FE5" w:rsidRDefault="00413FE5" w:rsidP="00413FE5">
      <w:pPr>
        <w:pStyle w:val="ListParagraph"/>
        <w:numPr>
          <w:ilvl w:val="0"/>
          <w:numId w:val="22"/>
        </w:numPr>
        <w:autoSpaceDE w:val="0"/>
        <w:autoSpaceDN w:val="0"/>
        <w:adjustRightInd w:val="0"/>
        <w:rPr>
          <w:bCs/>
          <w:color w:val="000000"/>
        </w:rPr>
      </w:pPr>
      <w:r w:rsidRPr="00413FE5">
        <w:rPr>
          <w:bCs/>
          <w:color w:val="000000"/>
        </w:rPr>
        <w:t>An electronic power supply must be used in the new system</w:t>
      </w:r>
    </w:p>
    <w:p w14:paraId="670FDEE6" w14:textId="48D28B27" w:rsidR="00413FE5" w:rsidRPr="00413FE5" w:rsidRDefault="00413FE5" w:rsidP="00413FE5">
      <w:pPr>
        <w:pStyle w:val="ListParagraph"/>
        <w:numPr>
          <w:ilvl w:val="0"/>
          <w:numId w:val="22"/>
        </w:numPr>
        <w:autoSpaceDE w:val="0"/>
        <w:autoSpaceDN w:val="0"/>
        <w:adjustRightInd w:val="0"/>
        <w:rPr>
          <w:bCs/>
          <w:color w:val="000000"/>
        </w:rPr>
      </w:pPr>
      <w:r w:rsidRPr="00413FE5">
        <w:rPr>
          <w:bCs/>
          <w:color w:val="000000"/>
        </w:rPr>
        <w:t>Must have a power factor of greater than 0.9</w:t>
      </w:r>
    </w:p>
    <w:p w14:paraId="6F219A70" w14:textId="115A0D9F" w:rsidR="009C05D9" w:rsidRDefault="00413FE5" w:rsidP="009C05D9">
      <w:pPr>
        <w:pStyle w:val="ListParagraph"/>
        <w:numPr>
          <w:ilvl w:val="0"/>
          <w:numId w:val="22"/>
        </w:numPr>
        <w:autoSpaceDE w:val="0"/>
        <w:autoSpaceDN w:val="0"/>
        <w:adjustRightInd w:val="0"/>
        <w:rPr>
          <w:bCs/>
          <w:color w:val="000000"/>
        </w:rPr>
      </w:pPr>
      <w:r w:rsidRPr="00413FE5">
        <w:rPr>
          <w:bCs/>
          <w:color w:val="000000"/>
        </w:rPr>
        <w:t>Must experience no more than 20% of total harmonic distortion</w:t>
      </w:r>
    </w:p>
    <w:p w14:paraId="46C93C0B" w14:textId="77777777" w:rsidR="00413FE5" w:rsidRPr="00413FE5" w:rsidRDefault="00413FE5" w:rsidP="00413FE5">
      <w:pPr>
        <w:autoSpaceDE w:val="0"/>
        <w:autoSpaceDN w:val="0"/>
        <w:adjustRightInd w:val="0"/>
        <w:rPr>
          <w:bCs/>
          <w:color w:val="000000"/>
        </w:rPr>
      </w:pPr>
    </w:p>
    <w:p w14:paraId="6F48D505" w14:textId="77777777" w:rsidR="00E16609" w:rsidRPr="000F130A" w:rsidRDefault="00824F1C" w:rsidP="00824F1C">
      <w:pPr>
        <w:pStyle w:val="Heading2"/>
        <w:rPr>
          <w:rFonts w:asciiTheme="minorHAnsi" w:hAnsiTheme="minorHAnsi" w:cstheme="minorHAnsi"/>
        </w:rPr>
      </w:pPr>
      <w:bookmarkStart w:id="4" w:name="_Toc214003084"/>
      <w:r>
        <w:rPr>
          <w:rFonts w:asciiTheme="minorHAnsi" w:hAnsiTheme="minorHAnsi" w:cstheme="minorHAnsi"/>
        </w:rPr>
        <w:lastRenderedPageBreak/>
        <w:t xml:space="preserve">1.2  </w:t>
      </w:r>
      <w:r w:rsidR="00E16609" w:rsidRPr="000F130A">
        <w:rPr>
          <w:rFonts w:asciiTheme="minorHAnsi" w:hAnsiTheme="minorHAnsi" w:cstheme="minorHAnsi"/>
        </w:rPr>
        <w:t>DEER Differences Analysis</w:t>
      </w:r>
      <w:bookmarkEnd w:id="4"/>
    </w:p>
    <w:p w14:paraId="2D1B32AE" w14:textId="77777777" w:rsidR="009677AE" w:rsidRDefault="009677AE" w:rsidP="009677AE">
      <w:r>
        <w:t>The</w:t>
      </w:r>
      <w:r w:rsidRPr="004A5AB5">
        <w:t xml:space="preserve"> specific measure</w:t>
      </w:r>
      <w:r>
        <w:t>s found in this workpaper are</w:t>
      </w:r>
      <w:r w:rsidRPr="004A5AB5">
        <w:t xml:space="preserve"> not included in the Database for Energy Efficient Resources (DEER</w:t>
      </w:r>
      <w:r w:rsidRPr="004A5AB5">
        <w:fldChar w:fldCharType="begin"/>
      </w:r>
      <w:r w:rsidRPr="004A5AB5">
        <w:instrText xml:space="preserve"> XE "DEER" </w:instrText>
      </w:r>
      <w:r w:rsidRPr="004A5AB5">
        <w:fldChar w:fldCharType="end"/>
      </w:r>
      <w:r>
        <w:t xml:space="preserve">) Version 2014. </w:t>
      </w:r>
      <w:r w:rsidRPr="00DE3965">
        <w:t xml:space="preserve">DEER </w:t>
      </w:r>
      <w:r>
        <w:t xml:space="preserve">contains interior lighting retrofit </w:t>
      </w:r>
      <w:r w:rsidRPr="00DE3965">
        <w:t>measures; however, none of the DEER measures match.</w:t>
      </w:r>
    </w:p>
    <w:p w14:paraId="429B5755" w14:textId="77777777" w:rsidR="00C1183B" w:rsidRPr="00BD3931" w:rsidRDefault="00C1183B" w:rsidP="00DE3965">
      <w:pPr>
        <w:rPr>
          <w:rFonts w:asciiTheme="minorHAnsi" w:hAnsiTheme="minorHAnsi" w:cstheme="minorHAnsi"/>
          <w:sz w:val="22"/>
          <w:szCs w:val="22"/>
        </w:rPr>
      </w:pPr>
    </w:p>
    <w:p w14:paraId="3F6CE70B" w14:textId="321C5187" w:rsidR="009E1CDE" w:rsidRPr="00A120A6" w:rsidRDefault="009E1CDE" w:rsidP="009E1CDE">
      <w:pPr>
        <w:pStyle w:val="Caption"/>
        <w:keepNext/>
        <w:jc w:val="center"/>
        <w:rPr>
          <w:sz w:val="22"/>
          <w:szCs w:val="22"/>
        </w:rPr>
      </w:pPr>
      <w:r w:rsidRPr="00A120A6">
        <w:rPr>
          <w:sz w:val="22"/>
          <w:szCs w:val="22"/>
        </w:rPr>
        <w:t xml:space="preserve">Table </w:t>
      </w:r>
      <w:r w:rsidRPr="00A120A6">
        <w:rPr>
          <w:sz w:val="22"/>
          <w:szCs w:val="22"/>
        </w:rPr>
        <w:fldChar w:fldCharType="begin"/>
      </w:r>
      <w:r w:rsidRPr="00A120A6">
        <w:rPr>
          <w:sz w:val="22"/>
          <w:szCs w:val="22"/>
        </w:rPr>
        <w:instrText xml:space="preserve"> SEQ Table \* ARABIC </w:instrText>
      </w:r>
      <w:r w:rsidRPr="00A120A6">
        <w:rPr>
          <w:sz w:val="22"/>
          <w:szCs w:val="22"/>
        </w:rPr>
        <w:fldChar w:fldCharType="separate"/>
      </w:r>
      <w:r w:rsidR="00CA5B02">
        <w:rPr>
          <w:noProof/>
          <w:sz w:val="22"/>
          <w:szCs w:val="22"/>
        </w:rPr>
        <w:t>2</w:t>
      </w:r>
      <w:r w:rsidRPr="00A120A6">
        <w:rPr>
          <w:sz w:val="22"/>
          <w:szCs w:val="22"/>
        </w:rPr>
        <w:fldChar w:fldCharType="end"/>
      </w:r>
      <w:r w:rsidRPr="00A120A6">
        <w:rPr>
          <w:sz w:val="22"/>
          <w:szCs w:val="22"/>
        </w:rPr>
        <w:t xml:space="preserve"> </w:t>
      </w:r>
      <w:r w:rsidR="005E2FA8" w:rsidRPr="00A120A6">
        <w:rPr>
          <w:sz w:val="22"/>
          <w:szCs w:val="22"/>
        </w:rPr>
        <w:t>DEER Difference Summary</w:t>
      </w:r>
    </w:p>
    <w:tbl>
      <w:tblPr>
        <w:tblStyle w:val="TableContemporary"/>
        <w:tblW w:w="0" w:type="auto"/>
        <w:jc w:val="center"/>
        <w:tblLook w:val="04A0" w:firstRow="1" w:lastRow="0" w:firstColumn="1" w:lastColumn="0" w:noHBand="0" w:noVBand="1"/>
      </w:tblPr>
      <w:tblGrid>
        <w:gridCol w:w="3173"/>
        <w:gridCol w:w="5513"/>
      </w:tblGrid>
      <w:tr w:rsidR="006D2809" w:rsidRPr="00A120A6" w14:paraId="1FB3E3CF" w14:textId="77777777" w:rsidTr="00C1183B">
        <w:trPr>
          <w:cnfStyle w:val="100000000000" w:firstRow="1" w:lastRow="0" w:firstColumn="0" w:lastColumn="0" w:oddVBand="0" w:evenVBand="0" w:oddHBand="0" w:evenHBand="0" w:firstRowFirstColumn="0" w:firstRowLastColumn="0" w:lastRowFirstColumn="0" w:lastRowLastColumn="0"/>
          <w:cantSplit/>
          <w:jc w:val="center"/>
        </w:trPr>
        <w:tc>
          <w:tcPr>
            <w:tcW w:w="8686" w:type="dxa"/>
            <w:gridSpan w:val="2"/>
            <w:vAlign w:val="center"/>
          </w:tcPr>
          <w:p w14:paraId="4FE8593A" w14:textId="77777777" w:rsidR="006D2809" w:rsidRPr="00A120A6" w:rsidRDefault="006D2809" w:rsidP="00602799">
            <w:pPr>
              <w:jc w:val="center"/>
              <w:rPr>
                <w:color w:val="FF0000"/>
                <w:sz w:val="20"/>
                <w:szCs w:val="20"/>
              </w:rPr>
            </w:pPr>
            <w:r w:rsidRPr="00A120A6">
              <w:rPr>
                <w:sz w:val="20"/>
                <w:szCs w:val="20"/>
              </w:rPr>
              <w:t>DEER Difference Summary Table</w:t>
            </w:r>
          </w:p>
        </w:tc>
      </w:tr>
      <w:tr w:rsidR="005E2FA8" w:rsidRPr="00A120A6" w14:paraId="2029EDB2" w14:textId="77777777" w:rsidTr="00C1183B">
        <w:trPr>
          <w:cnfStyle w:val="000000100000" w:firstRow="0" w:lastRow="0" w:firstColumn="0" w:lastColumn="0" w:oddVBand="0" w:evenVBand="0" w:oddHBand="1" w:evenHBand="0" w:firstRowFirstColumn="0" w:firstRowLastColumn="0" w:lastRowFirstColumn="0" w:lastRowLastColumn="0"/>
          <w:cantSplit/>
          <w:trHeight w:val="243"/>
          <w:jc w:val="center"/>
        </w:trPr>
        <w:tc>
          <w:tcPr>
            <w:tcW w:w="3173" w:type="dxa"/>
            <w:vAlign w:val="center"/>
          </w:tcPr>
          <w:p w14:paraId="53373897" w14:textId="0FF0146C" w:rsidR="005E2FA8" w:rsidRPr="00A120A6" w:rsidRDefault="005E2FA8" w:rsidP="00447CE5">
            <w:pPr>
              <w:rPr>
                <w:sz w:val="20"/>
                <w:szCs w:val="20"/>
              </w:rPr>
            </w:pPr>
            <w:r w:rsidRPr="00A120A6">
              <w:rPr>
                <w:sz w:val="20"/>
                <w:szCs w:val="20"/>
              </w:rPr>
              <w:t>Modified DEER Methodology</w:t>
            </w:r>
          </w:p>
        </w:tc>
        <w:tc>
          <w:tcPr>
            <w:tcW w:w="5513" w:type="dxa"/>
            <w:vAlign w:val="center"/>
          </w:tcPr>
          <w:p w14:paraId="0882E222" w14:textId="084C3E04" w:rsidR="005E2FA8" w:rsidRPr="00A120A6" w:rsidRDefault="005E2FA8" w:rsidP="00FA449E">
            <w:pPr>
              <w:jc w:val="center"/>
              <w:rPr>
                <w:b/>
                <w:sz w:val="20"/>
                <w:szCs w:val="20"/>
              </w:rPr>
            </w:pPr>
            <w:r w:rsidRPr="00A120A6">
              <w:rPr>
                <w:sz w:val="20"/>
                <w:szCs w:val="20"/>
              </w:rPr>
              <w:t>No</w:t>
            </w:r>
          </w:p>
        </w:tc>
      </w:tr>
      <w:tr w:rsidR="005E2FA8" w:rsidRPr="00A120A6" w14:paraId="6A953E07" w14:textId="77777777" w:rsidTr="00C1183B">
        <w:trPr>
          <w:cnfStyle w:val="000000010000" w:firstRow="0" w:lastRow="0" w:firstColumn="0" w:lastColumn="0" w:oddVBand="0" w:evenVBand="0" w:oddHBand="0" w:evenHBand="1" w:firstRowFirstColumn="0" w:firstRowLastColumn="0" w:lastRowFirstColumn="0" w:lastRowLastColumn="0"/>
          <w:cantSplit/>
          <w:trHeight w:val="243"/>
          <w:jc w:val="center"/>
        </w:trPr>
        <w:tc>
          <w:tcPr>
            <w:tcW w:w="3173" w:type="dxa"/>
            <w:vAlign w:val="center"/>
          </w:tcPr>
          <w:p w14:paraId="03909A1D" w14:textId="6FF3DD91" w:rsidR="005E2FA8" w:rsidRPr="00A120A6" w:rsidRDefault="005E2FA8" w:rsidP="00E81F3E">
            <w:pPr>
              <w:rPr>
                <w:sz w:val="20"/>
                <w:szCs w:val="20"/>
              </w:rPr>
            </w:pPr>
            <w:r w:rsidRPr="00A120A6">
              <w:rPr>
                <w:sz w:val="20"/>
                <w:szCs w:val="20"/>
              </w:rPr>
              <w:t>Scaled DEER Measure</w:t>
            </w:r>
          </w:p>
        </w:tc>
        <w:tc>
          <w:tcPr>
            <w:tcW w:w="5513" w:type="dxa"/>
            <w:vAlign w:val="center"/>
          </w:tcPr>
          <w:p w14:paraId="5D74F2D8" w14:textId="7987F3C4" w:rsidR="005E2FA8" w:rsidRPr="00A120A6" w:rsidRDefault="005E2FA8" w:rsidP="007539BD">
            <w:pPr>
              <w:keepNext/>
              <w:keepLines/>
              <w:jc w:val="center"/>
              <w:outlineLvl w:val="8"/>
              <w:rPr>
                <w:sz w:val="20"/>
                <w:szCs w:val="20"/>
              </w:rPr>
            </w:pPr>
            <w:r w:rsidRPr="00A120A6">
              <w:rPr>
                <w:sz w:val="20"/>
                <w:szCs w:val="20"/>
              </w:rPr>
              <w:t>No</w:t>
            </w:r>
          </w:p>
        </w:tc>
      </w:tr>
      <w:tr w:rsidR="005E2FA8" w:rsidRPr="00A120A6" w14:paraId="2D4D8A3E" w14:textId="77777777" w:rsidTr="00C1183B">
        <w:trPr>
          <w:cnfStyle w:val="000000100000" w:firstRow="0" w:lastRow="0" w:firstColumn="0" w:lastColumn="0" w:oddVBand="0" w:evenVBand="0" w:oddHBand="1" w:evenHBand="0" w:firstRowFirstColumn="0" w:firstRowLastColumn="0" w:lastRowFirstColumn="0" w:lastRowLastColumn="0"/>
          <w:cantSplit/>
          <w:trHeight w:val="243"/>
          <w:jc w:val="center"/>
        </w:trPr>
        <w:tc>
          <w:tcPr>
            <w:tcW w:w="3173" w:type="dxa"/>
            <w:vAlign w:val="center"/>
          </w:tcPr>
          <w:p w14:paraId="7A799284" w14:textId="6F9F9C36" w:rsidR="005E2FA8" w:rsidRPr="00A120A6" w:rsidRDefault="005E2FA8" w:rsidP="00E81F3E">
            <w:pPr>
              <w:rPr>
                <w:sz w:val="20"/>
                <w:szCs w:val="20"/>
              </w:rPr>
            </w:pPr>
            <w:r w:rsidRPr="00A120A6">
              <w:rPr>
                <w:sz w:val="20"/>
                <w:szCs w:val="20"/>
              </w:rPr>
              <w:t>DEER Building Prototypes Used</w:t>
            </w:r>
          </w:p>
        </w:tc>
        <w:tc>
          <w:tcPr>
            <w:tcW w:w="5513" w:type="dxa"/>
            <w:vAlign w:val="center"/>
          </w:tcPr>
          <w:p w14:paraId="24F6DB73" w14:textId="5938C71D" w:rsidR="005E2FA8" w:rsidRPr="00A120A6" w:rsidRDefault="005E2FA8" w:rsidP="00FA449E">
            <w:pPr>
              <w:jc w:val="center"/>
              <w:rPr>
                <w:sz w:val="20"/>
                <w:szCs w:val="20"/>
              </w:rPr>
            </w:pPr>
            <w:r w:rsidRPr="00A120A6">
              <w:rPr>
                <w:sz w:val="20"/>
                <w:szCs w:val="20"/>
              </w:rPr>
              <w:t>No</w:t>
            </w:r>
          </w:p>
        </w:tc>
      </w:tr>
      <w:tr w:rsidR="005E2FA8" w:rsidRPr="00A120A6" w14:paraId="6E989B4F" w14:textId="77777777" w:rsidTr="00C1183B">
        <w:trPr>
          <w:cnfStyle w:val="000000010000" w:firstRow="0" w:lastRow="0" w:firstColumn="0" w:lastColumn="0" w:oddVBand="0" w:evenVBand="0" w:oddHBand="0" w:evenHBand="1" w:firstRowFirstColumn="0" w:firstRowLastColumn="0" w:lastRowFirstColumn="0" w:lastRowLastColumn="0"/>
          <w:cantSplit/>
          <w:trHeight w:val="243"/>
          <w:jc w:val="center"/>
        </w:trPr>
        <w:tc>
          <w:tcPr>
            <w:tcW w:w="3173" w:type="dxa"/>
            <w:vAlign w:val="center"/>
          </w:tcPr>
          <w:p w14:paraId="12BD4099" w14:textId="723B9B58" w:rsidR="005E2FA8" w:rsidRPr="00A120A6" w:rsidRDefault="005E2FA8" w:rsidP="00E81F3E">
            <w:pPr>
              <w:rPr>
                <w:sz w:val="20"/>
                <w:szCs w:val="20"/>
              </w:rPr>
            </w:pPr>
            <w:r w:rsidRPr="00A120A6">
              <w:rPr>
                <w:sz w:val="20"/>
                <w:szCs w:val="20"/>
              </w:rPr>
              <w:t>Deviation from DEER</w:t>
            </w:r>
          </w:p>
        </w:tc>
        <w:tc>
          <w:tcPr>
            <w:tcW w:w="5513" w:type="dxa"/>
            <w:vAlign w:val="center"/>
          </w:tcPr>
          <w:p w14:paraId="0163D96B" w14:textId="73C369D0" w:rsidR="005E2FA8" w:rsidRPr="00A120A6" w:rsidRDefault="005E2FA8" w:rsidP="007539BD">
            <w:pPr>
              <w:keepNext/>
              <w:keepLines/>
              <w:jc w:val="center"/>
              <w:outlineLvl w:val="8"/>
              <w:rPr>
                <w:sz w:val="20"/>
                <w:szCs w:val="20"/>
              </w:rPr>
            </w:pPr>
            <w:r w:rsidRPr="00A120A6">
              <w:rPr>
                <w:sz w:val="20"/>
                <w:szCs w:val="20"/>
              </w:rPr>
              <w:t>DEER does not contain this type of measure.</w:t>
            </w:r>
          </w:p>
        </w:tc>
      </w:tr>
      <w:tr w:rsidR="005E2FA8" w:rsidRPr="00A120A6" w14:paraId="6173D156" w14:textId="77777777" w:rsidTr="00C1183B">
        <w:trPr>
          <w:cnfStyle w:val="000000100000" w:firstRow="0" w:lastRow="0" w:firstColumn="0" w:lastColumn="0" w:oddVBand="0" w:evenVBand="0" w:oddHBand="1" w:evenHBand="0" w:firstRowFirstColumn="0" w:firstRowLastColumn="0" w:lastRowFirstColumn="0" w:lastRowLastColumn="0"/>
          <w:cantSplit/>
          <w:trHeight w:val="243"/>
          <w:jc w:val="center"/>
        </w:trPr>
        <w:tc>
          <w:tcPr>
            <w:tcW w:w="3173" w:type="dxa"/>
            <w:vAlign w:val="center"/>
          </w:tcPr>
          <w:p w14:paraId="6F8B23CD" w14:textId="2ABF51AA" w:rsidR="005E2FA8" w:rsidRPr="00A120A6" w:rsidRDefault="005E2FA8" w:rsidP="00E81F3E">
            <w:pPr>
              <w:rPr>
                <w:sz w:val="20"/>
                <w:szCs w:val="20"/>
              </w:rPr>
            </w:pPr>
            <w:r w:rsidRPr="00A120A6">
              <w:rPr>
                <w:sz w:val="20"/>
                <w:szCs w:val="20"/>
              </w:rPr>
              <w:t>DEER Version</w:t>
            </w:r>
          </w:p>
        </w:tc>
        <w:tc>
          <w:tcPr>
            <w:tcW w:w="5513" w:type="dxa"/>
            <w:vAlign w:val="center"/>
          </w:tcPr>
          <w:p w14:paraId="47E96FD3" w14:textId="66378152" w:rsidR="005E2FA8" w:rsidRPr="00A120A6" w:rsidRDefault="005E2FA8" w:rsidP="00FA449E">
            <w:pPr>
              <w:jc w:val="center"/>
              <w:rPr>
                <w:sz w:val="20"/>
                <w:szCs w:val="20"/>
              </w:rPr>
            </w:pPr>
            <w:r w:rsidRPr="00A120A6">
              <w:rPr>
                <w:sz w:val="20"/>
                <w:szCs w:val="20"/>
              </w:rPr>
              <w:t xml:space="preserve">DEER </w:t>
            </w:r>
            <w:r>
              <w:rPr>
                <w:sz w:val="20"/>
                <w:szCs w:val="20"/>
              </w:rPr>
              <w:t>2014</w:t>
            </w:r>
          </w:p>
        </w:tc>
      </w:tr>
      <w:tr w:rsidR="005E2FA8" w:rsidRPr="00A120A6" w14:paraId="568514E0" w14:textId="77777777" w:rsidTr="00C1183B">
        <w:trPr>
          <w:cnfStyle w:val="000000010000" w:firstRow="0" w:lastRow="0" w:firstColumn="0" w:lastColumn="0" w:oddVBand="0" w:evenVBand="0" w:oddHBand="0" w:evenHBand="1" w:firstRowFirstColumn="0" w:firstRowLastColumn="0" w:lastRowFirstColumn="0" w:lastRowLastColumn="0"/>
          <w:cantSplit/>
          <w:trHeight w:val="243"/>
          <w:jc w:val="center"/>
        </w:trPr>
        <w:tc>
          <w:tcPr>
            <w:tcW w:w="3173" w:type="dxa"/>
            <w:vAlign w:val="center"/>
          </w:tcPr>
          <w:p w14:paraId="3332A85C" w14:textId="2D5A8358" w:rsidR="005E2FA8" w:rsidRPr="00A120A6" w:rsidRDefault="005E2FA8" w:rsidP="00E81F3E">
            <w:pPr>
              <w:rPr>
                <w:sz w:val="20"/>
                <w:szCs w:val="20"/>
              </w:rPr>
            </w:pPr>
            <w:r w:rsidRPr="00A120A6">
              <w:rPr>
                <w:sz w:val="20"/>
                <w:szCs w:val="20"/>
              </w:rPr>
              <w:t>DEER Run ID and Measure Name (Sample)</w:t>
            </w:r>
          </w:p>
        </w:tc>
        <w:tc>
          <w:tcPr>
            <w:tcW w:w="5513" w:type="dxa"/>
            <w:vAlign w:val="center"/>
          </w:tcPr>
          <w:p w14:paraId="39719C47" w14:textId="7A691BC0" w:rsidR="005E2FA8" w:rsidRPr="00A120A6" w:rsidRDefault="005E2FA8" w:rsidP="00FA449E">
            <w:pPr>
              <w:jc w:val="center"/>
              <w:rPr>
                <w:sz w:val="20"/>
                <w:szCs w:val="20"/>
              </w:rPr>
            </w:pPr>
            <w:r w:rsidRPr="00A120A6">
              <w:rPr>
                <w:sz w:val="20"/>
                <w:szCs w:val="20"/>
              </w:rPr>
              <w:t>N/A</w:t>
            </w:r>
          </w:p>
        </w:tc>
      </w:tr>
    </w:tbl>
    <w:p w14:paraId="6124CC84" w14:textId="38155E3C" w:rsidR="00A05CFF" w:rsidRDefault="00A05CFF" w:rsidP="006A6F11">
      <w:bookmarkStart w:id="5" w:name="_Toc214003087"/>
    </w:p>
    <w:p w14:paraId="4A7EC159" w14:textId="77777777" w:rsidR="00E16609" w:rsidRPr="000F130A" w:rsidRDefault="00824F1C" w:rsidP="00824F1C">
      <w:pPr>
        <w:pStyle w:val="Heading2"/>
        <w:rPr>
          <w:rFonts w:asciiTheme="minorHAnsi" w:hAnsiTheme="minorHAnsi" w:cstheme="minorHAnsi"/>
        </w:rPr>
      </w:pPr>
      <w:r>
        <w:rPr>
          <w:rFonts w:asciiTheme="minorHAnsi" w:hAnsiTheme="minorHAnsi" w:cstheme="minorHAnsi"/>
        </w:rPr>
        <w:t xml:space="preserve">1.3  </w:t>
      </w:r>
      <w:r w:rsidR="00E16609" w:rsidRPr="000F130A">
        <w:rPr>
          <w:rFonts w:asciiTheme="minorHAnsi" w:hAnsiTheme="minorHAnsi" w:cstheme="minorHAnsi"/>
        </w:rPr>
        <w:t xml:space="preserve">Code Analysis </w:t>
      </w:r>
      <w:bookmarkEnd w:id="5"/>
    </w:p>
    <w:p w14:paraId="5EDE65F0" w14:textId="77777777" w:rsidR="00EE4B1C" w:rsidRDefault="00EE4B1C" w:rsidP="00EE4B1C">
      <w:r>
        <w:t>The 2013 California Title 24 Building Energy Efficiency Standards [</w:t>
      </w:r>
      <w:r w:rsidRPr="00C11DC9">
        <w:rPr>
          <w:rStyle w:val="EndnoteReference"/>
          <w:vertAlign w:val="baseline"/>
        </w:rPr>
        <w:endnoteReference w:id="2"/>
      </w:r>
      <w:r>
        <w:t>] focus on key areas to improve the energy efficiency of newly constructed buildings and additions and alterations to existing buildings.</w:t>
      </w:r>
    </w:p>
    <w:p w14:paraId="2251A90A" w14:textId="3F37F103" w:rsidR="00923922" w:rsidRDefault="00EE4B1C" w:rsidP="00923922">
      <w:pPr>
        <w:pStyle w:val="ListParagraph"/>
        <w:numPr>
          <w:ilvl w:val="0"/>
          <w:numId w:val="19"/>
        </w:numPr>
      </w:pPr>
      <w:r>
        <w:t>Section 140.6(c</w:t>
      </w:r>
      <w:r w:rsidRPr="00621E78">
        <w:t>)</w:t>
      </w:r>
      <w:r>
        <w:t>3I and J</w:t>
      </w:r>
      <w:r w:rsidRPr="00621E78">
        <w:t xml:space="preserve"> </w:t>
      </w:r>
      <w:r>
        <w:t xml:space="preserve">outlines the calculation of allowed indoor lighting power density for wall and floor display lighting, but </w:t>
      </w:r>
      <w:r w:rsidR="00542D02">
        <w:t xml:space="preserve">this only applies to new, proposed space types and </w:t>
      </w:r>
      <w:r>
        <w:t>does not govern the measures in this workpaper.</w:t>
      </w:r>
    </w:p>
    <w:p w14:paraId="64ACCDCC" w14:textId="77777777" w:rsidR="00923922" w:rsidRDefault="00923922" w:rsidP="00F6699F"/>
    <w:p w14:paraId="6B9A4B1E" w14:textId="20BB88F3" w:rsidR="00F543DA" w:rsidRPr="002D67C8" w:rsidRDefault="00F543DA" w:rsidP="00F543DA">
      <w:r>
        <w:t>The 2014 California Title 20 Appliance Efficiency Regulations [</w:t>
      </w:r>
      <w:r w:rsidRPr="003E059E">
        <w:rPr>
          <w:rStyle w:val="EndnoteReference"/>
          <w:vertAlign w:val="baseline"/>
        </w:rPr>
        <w:endnoteReference w:id="3"/>
      </w:r>
      <w:r>
        <w:t>] i</w:t>
      </w:r>
      <w:r w:rsidRPr="002D67C8">
        <w:t>nclude standards for both federally regulated appliances and nonfederally-regulated appliances that are sold or offered for sale in California</w:t>
      </w:r>
      <w:r>
        <w:t>, but it does not govern the lighting measures in this workpaper.</w:t>
      </w:r>
    </w:p>
    <w:p w14:paraId="16E28D38" w14:textId="77777777" w:rsidR="0057691C" w:rsidRDefault="0057691C" w:rsidP="00F6699F"/>
    <w:p w14:paraId="6917AD30" w14:textId="1032B201" w:rsidR="0057691C" w:rsidRDefault="0057691C" w:rsidP="0057691C">
      <w:pPr>
        <w:jc w:val="both"/>
      </w:pPr>
      <w:r>
        <w:t xml:space="preserve">The measures in this workpaper do not fall under the Federal DOE or EPA Energy Regulations.  </w:t>
      </w:r>
    </w:p>
    <w:p w14:paraId="12040611" w14:textId="77777777" w:rsidR="00DC7007" w:rsidRPr="00C17268" w:rsidRDefault="00DC7007" w:rsidP="00F6699F"/>
    <w:p w14:paraId="20E22A02" w14:textId="25F57209" w:rsidR="00F6699F" w:rsidRPr="00A120A6" w:rsidRDefault="00F6699F" w:rsidP="00893246">
      <w:pPr>
        <w:pStyle w:val="Caption"/>
        <w:keepNext/>
        <w:jc w:val="center"/>
        <w:rPr>
          <w:sz w:val="22"/>
          <w:szCs w:val="22"/>
        </w:rPr>
      </w:pPr>
      <w:r w:rsidRPr="00A120A6">
        <w:rPr>
          <w:sz w:val="22"/>
          <w:szCs w:val="22"/>
        </w:rPr>
        <w:t xml:space="preserve">Table </w:t>
      </w:r>
      <w:r w:rsidRPr="00A120A6">
        <w:rPr>
          <w:sz w:val="22"/>
          <w:szCs w:val="22"/>
        </w:rPr>
        <w:fldChar w:fldCharType="begin"/>
      </w:r>
      <w:r w:rsidRPr="00A120A6">
        <w:rPr>
          <w:sz w:val="22"/>
          <w:szCs w:val="22"/>
        </w:rPr>
        <w:instrText xml:space="preserve"> SEQ Table \* ARABIC </w:instrText>
      </w:r>
      <w:r w:rsidRPr="00A120A6">
        <w:rPr>
          <w:sz w:val="22"/>
          <w:szCs w:val="22"/>
        </w:rPr>
        <w:fldChar w:fldCharType="separate"/>
      </w:r>
      <w:r w:rsidR="00CA5B02">
        <w:rPr>
          <w:noProof/>
          <w:sz w:val="22"/>
          <w:szCs w:val="22"/>
        </w:rPr>
        <w:t>3</w:t>
      </w:r>
      <w:r w:rsidRPr="00A120A6">
        <w:rPr>
          <w:sz w:val="22"/>
          <w:szCs w:val="22"/>
        </w:rPr>
        <w:fldChar w:fldCharType="end"/>
      </w:r>
      <w:r w:rsidRPr="00A120A6">
        <w:rPr>
          <w:sz w:val="22"/>
          <w:szCs w:val="22"/>
        </w:rPr>
        <w:t xml:space="preserve"> </w:t>
      </w:r>
      <w:r w:rsidR="00893246" w:rsidRPr="00A120A6">
        <w:rPr>
          <w:sz w:val="22"/>
          <w:szCs w:val="22"/>
        </w:rPr>
        <w:t>Code Summary</w:t>
      </w:r>
    </w:p>
    <w:tbl>
      <w:tblPr>
        <w:tblStyle w:val="TableContemporary"/>
        <w:tblW w:w="8027" w:type="dxa"/>
        <w:jc w:val="center"/>
        <w:tblLook w:val="04A0" w:firstRow="1" w:lastRow="0" w:firstColumn="1" w:lastColumn="0" w:noHBand="0" w:noVBand="1"/>
      </w:tblPr>
      <w:tblGrid>
        <w:gridCol w:w="1854"/>
        <w:gridCol w:w="4352"/>
        <w:gridCol w:w="1821"/>
      </w:tblGrid>
      <w:tr w:rsidR="00F6699F" w:rsidRPr="00A120A6" w14:paraId="4D7C76E5" w14:textId="77777777" w:rsidTr="00E218C1">
        <w:trPr>
          <w:cnfStyle w:val="100000000000" w:firstRow="1" w:lastRow="0" w:firstColumn="0" w:lastColumn="0" w:oddVBand="0" w:evenVBand="0" w:oddHBand="0" w:evenHBand="0" w:firstRowFirstColumn="0" w:firstRowLastColumn="0" w:lastRowFirstColumn="0" w:lastRowLastColumn="0"/>
          <w:tblHeader/>
          <w:jc w:val="center"/>
        </w:trPr>
        <w:tc>
          <w:tcPr>
            <w:tcW w:w="1854" w:type="dxa"/>
          </w:tcPr>
          <w:p w14:paraId="1F7259F5" w14:textId="77777777" w:rsidR="00F6699F" w:rsidRPr="00A120A6" w:rsidRDefault="00F6699F" w:rsidP="00D64229">
            <w:pPr>
              <w:jc w:val="center"/>
              <w:rPr>
                <w:sz w:val="20"/>
                <w:szCs w:val="20"/>
              </w:rPr>
            </w:pPr>
            <w:r w:rsidRPr="00A120A6">
              <w:rPr>
                <w:sz w:val="20"/>
                <w:szCs w:val="20"/>
              </w:rPr>
              <w:t>Code</w:t>
            </w:r>
          </w:p>
        </w:tc>
        <w:tc>
          <w:tcPr>
            <w:tcW w:w="4352" w:type="dxa"/>
          </w:tcPr>
          <w:p w14:paraId="00F1CD92" w14:textId="77777777" w:rsidR="00F6699F" w:rsidRPr="00A120A6" w:rsidRDefault="00F6699F" w:rsidP="00D64229">
            <w:pPr>
              <w:jc w:val="center"/>
              <w:rPr>
                <w:sz w:val="20"/>
                <w:szCs w:val="20"/>
              </w:rPr>
            </w:pPr>
            <w:r w:rsidRPr="00A120A6">
              <w:rPr>
                <w:sz w:val="20"/>
                <w:szCs w:val="20"/>
              </w:rPr>
              <w:t>Applicable Code Reference</w:t>
            </w:r>
          </w:p>
        </w:tc>
        <w:tc>
          <w:tcPr>
            <w:tcW w:w="1821" w:type="dxa"/>
          </w:tcPr>
          <w:p w14:paraId="57680B0B" w14:textId="77777777" w:rsidR="00F6699F" w:rsidRPr="00A120A6" w:rsidRDefault="00F6699F" w:rsidP="00D64229">
            <w:pPr>
              <w:jc w:val="center"/>
              <w:rPr>
                <w:sz w:val="20"/>
                <w:szCs w:val="20"/>
              </w:rPr>
            </w:pPr>
            <w:r w:rsidRPr="00A120A6">
              <w:rPr>
                <w:sz w:val="20"/>
                <w:szCs w:val="20"/>
              </w:rPr>
              <w:t>Effective Dates</w:t>
            </w:r>
          </w:p>
        </w:tc>
      </w:tr>
      <w:tr w:rsidR="00893246" w:rsidRPr="00A120A6" w14:paraId="09C2B752" w14:textId="77777777" w:rsidTr="00E218C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14:paraId="3AEA0296" w14:textId="5B3D5D82" w:rsidR="00893246" w:rsidRPr="00A120A6" w:rsidRDefault="00893246" w:rsidP="00D64229">
            <w:pPr>
              <w:jc w:val="center"/>
              <w:rPr>
                <w:sz w:val="20"/>
                <w:szCs w:val="20"/>
              </w:rPr>
            </w:pPr>
            <w:r w:rsidRPr="00A120A6">
              <w:rPr>
                <w:sz w:val="20"/>
                <w:szCs w:val="20"/>
              </w:rPr>
              <w:t>Title 24 (20</w:t>
            </w:r>
            <w:r>
              <w:rPr>
                <w:sz w:val="20"/>
                <w:szCs w:val="20"/>
              </w:rPr>
              <w:t>13</w:t>
            </w:r>
            <w:r w:rsidRPr="00A120A6">
              <w:rPr>
                <w:sz w:val="20"/>
                <w:szCs w:val="20"/>
              </w:rPr>
              <w:t>)</w:t>
            </w:r>
          </w:p>
        </w:tc>
        <w:tc>
          <w:tcPr>
            <w:tcW w:w="4352" w:type="dxa"/>
            <w:vAlign w:val="center"/>
          </w:tcPr>
          <w:p w14:paraId="3E7214B3" w14:textId="3D41F233" w:rsidR="00893246" w:rsidRPr="00A120A6" w:rsidRDefault="00893246" w:rsidP="0003028E">
            <w:pPr>
              <w:jc w:val="center"/>
              <w:rPr>
                <w:sz w:val="20"/>
                <w:szCs w:val="20"/>
              </w:rPr>
            </w:pPr>
            <w:r>
              <w:rPr>
                <w:sz w:val="20"/>
                <w:szCs w:val="20"/>
              </w:rPr>
              <w:t>2013</w:t>
            </w:r>
            <w:r w:rsidRPr="00A35130">
              <w:rPr>
                <w:sz w:val="20"/>
                <w:szCs w:val="20"/>
              </w:rPr>
              <w:t xml:space="preserve"> Non-Residential Compliance </w:t>
            </w:r>
            <w:r>
              <w:rPr>
                <w:sz w:val="20"/>
                <w:szCs w:val="20"/>
              </w:rPr>
              <w:t>M</w:t>
            </w:r>
            <w:r w:rsidRPr="00A35130">
              <w:rPr>
                <w:sz w:val="20"/>
                <w:szCs w:val="20"/>
              </w:rPr>
              <w:t xml:space="preserve">anual, </w:t>
            </w:r>
            <w:r>
              <w:rPr>
                <w:sz w:val="20"/>
                <w:szCs w:val="20"/>
              </w:rPr>
              <w:t>Section 140.6</w:t>
            </w:r>
          </w:p>
        </w:tc>
        <w:tc>
          <w:tcPr>
            <w:tcW w:w="1821" w:type="dxa"/>
            <w:vAlign w:val="center"/>
          </w:tcPr>
          <w:p w14:paraId="3990F98F" w14:textId="43AA4CE3" w:rsidR="00893246" w:rsidRPr="00A120A6" w:rsidRDefault="00893246" w:rsidP="00D64229">
            <w:pPr>
              <w:jc w:val="center"/>
              <w:rPr>
                <w:sz w:val="20"/>
                <w:szCs w:val="20"/>
              </w:rPr>
            </w:pPr>
            <w:r>
              <w:rPr>
                <w:sz w:val="20"/>
                <w:szCs w:val="20"/>
              </w:rPr>
              <w:t>July</w:t>
            </w:r>
            <w:r w:rsidRPr="00A120A6">
              <w:rPr>
                <w:sz w:val="20"/>
                <w:szCs w:val="20"/>
              </w:rPr>
              <w:t xml:space="preserve"> 1, </w:t>
            </w:r>
            <w:r>
              <w:rPr>
                <w:sz w:val="20"/>
                <w:szCs w:val="20"/>
              </w:rPr>
              <w:t>2014</w:t>
            </w:r>
          </w:p>
        </w:tc>
      </w:tr>
      <w:tr w:rsidR="00893246" w:rsidRPr="00A120A6" w14:paraId="7CA84BAC" w14:textId="77777777" w:rsidTr="00E218C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14:paraId="0DFF8C80" w14:textId="372D4647" w:rsidR="00893246" w:rsidRPr="00A120A6" w:rsidRDefault="00893246" w:rsidP="00D64229">
            <w:pPr>
              <w:jc w:val="center"/>
              <w:rPr>
                <w:sz w:val="20"/>
                <w:szCs w:val="20"/>
              </w:rPr>
            </w:pPr>
            <w:r w:rsidRPr="00A120A6">
              <w:rPr>
                <w:sz w:val="20"/>
                <w:szCs w:val="20"/>
              </w:rPr>
              <w:t>Title 20 (</w:t>
            </w:r>
            <w:r>
              <w:rPr>
                <w:sz w:val="20"/>
                <w:szCs w:val="20"/>
              </w:rPr>
              <w:t>2014</w:t>
            </w:r>
            <w:r w:rsidRPr="00A120A6">
              <w:rPr>
                <w:sz w:val="20"/>
                <w:szCs w:val="20"/>
              </w:rPr>
              <w:t>)</w:t>
            </w:r>
          </w:p>
        </w:tc>
        <w:tc>
          <w:tcPr>
            <w:tcW w:w="4352" w:type="dxa"/>
            <w:vAlign w:val="center"/>
          </w:tcPr>
          <w:p w14:paraId="1FBDB776" w14:textId="5EEDE317" w:rsidR="00893246" w:rsidRPr="00A120A6" w:rsidRDefault="00893246" w:rsidP="00D64229">
            <w:pPr>
              <w:jc w:val="center"/>
              <w:rPr>
                <w:sz w:val="20"/>
                <w:szCs w:val="20"/>
              </w:rPr>
            </w:pPr>
            <w:r>
              <w:rPr>
                <w:sz w:val="20"/>
                <w:szCs w:val="20"/>
              </w:rPr>
              <w:t>N/A</w:t>
            </w:r>
          </w:p>
        </w:tc>
        <w:tc>
          <w:tcPr>
            <w:tcW w:w="1821" w:type="dxa"/>
            <w:vAlign w:val="center"/>
          </w:tcPr>
          <w:p w14:paraId="4C33DCBE" w14:textId="672DC644" w:rsidR="00893246" w:rsidRPr="00A120A6" w:rsidRDefault="00893246" w:rsidP="00D64229">
            <w:pPr>
              <w:jc w:val="center"/>
              <w:rPr>
                <w:sz w:val="20"/>
                <w:szCs w:val="20"/>
              </w:rPr>
            </w:pPr>
            <w:r>
              <w:rPr>
                <w:sz w:val="20"/>
                <w:szCs w:val="20"/>
              </w:rPr>
              <w:t>N/A</w:t>
            </w:r>
          </w:p>
        </w:tc>
      </w:tr>
      <w:tr w:rsidR="00893246" w:rsidRPr="00A120A6" w14:paraId="74D0D21C" w14:textId="77777777" w:rsidTr="00E218C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14:paraId="5F6BFFD7" w14:textId="6773AEA6" w:rsidR="00893246" w:rsidRPr="00A120A6" w:rsidRDefault="00893246" w:rsidP="00D64229">
            <w:pPr>
              <w:jc w:val="center"/>
              <w:rPr>
                <w:sz w:val="20"/>
                <w:szCs w:val="20"/>
              </w:rPr>
            </w:pPr>
            <w:r>
              <w:rPr>
                <w:sz w:val="20"/>
                <w:szCs w:val="20"/>
              </w:rPr>
              <w:t>Federal Standards</w:t>
            </w:r>
          </w:p>
        </w:tc>
        <w:tc>
          <w:tcPr>
            <w:tcW w:w="4352" w:type="dxa"/>
            <w:vAlign w:val="center"/>
          </w:tcPr>
          <w:p w14:paraId="4D42CCC5" w14:textId="30B8CBA1" w:rsidR="00893246" w:rsidRPr="00A120A6" w:rsidRDefault="00893246" w:rsidP="00AE705E">
            <w:pPr>
              <w:jc w:val="center"/>
              <w:rPr>
                <w:sz w:val="20"/>
                <w:szCs w:val="20"/>
              </w:rPr>
            </w:pPr>
            <w:r>
              <w:rPr>
                <w:sz w:val="20"/>
                <w:szCs w:val="20"/>
              </w:rPr>
              <w:t>N/A</w:t>
            </w:r>
          </w:p>
        </w:tc>
        <w:tc>
          <w:tcPr>
            <w:tcW w:w="1821" w:type="dxa"/>
            <w:vAlign w:val="center"/>
          </w:tcPr>
          <w:p w14:paraId="16B69077" w14:textId="76D26676" w:rsidR="00893246" w:rsidRPr="00A120A6" w:rsidRDefault="00893246" w:rsidP="00D64229">
            <w:pPr>
              <w:jc w:val="center"/>
              <w:rPr>
                <w:sz w:val="20"/>
                <w:szCs w:val="20"/>
              </w:rPr>
            </w:pPr>
            <w:r>
              <w:rPr>
                <w:sz w:val="20"/>
                <w:szCs w:val="20"/>
              </w:rPr>
              <w:t>N/A</w:t>
            </w:r>
          </w:p>
        </w:tc>
      </w:tr>
    </w:tbl>
    <w:p w14:paraId="0B12962A" w14:textId="77777777" w:rsidR="00A05CFF" w:rsidRPr="00143DAE" w:rsidRDefault="00A05CFF" w:rsidP="003E24CF"/>
    <w:p w14:paraId="49B133F6" w14:textId="77777777" w:rsidR="00E16609" w:rsidRPr="00824F1C" w:rsidRDefault="00824F1C" w:rsidP="00824F1C">
      <w:pPr>
        <w:pStyle w:val="Heading2"/>
        <w:rPr>
          <w:rFonts w:asciiTheme="minorHAnsi" w:hAnsiTheme="minorHAnsi" w:cstheme="minorHAnsi"/>
        </w:rPr>
      </w:pPr>
      <w:bookmarkStart w:id="6" w:name="_Toc214003088"/>
      <w:r>
        <w:rPr>
          <w:rFonts w:asciiTheme="minorHAnsi" w:hAnsiTheme="minorHAnsi" w:cstheme="minorHAnsi"/>
        </w:rPr>
        <w:t xml:space="preserve">1.4  </w:t>
      </w:r>
      <w:r w:rsidR="00E16609" w:rsidRPr="00824F1C">
        <w:rPr>
          <w:rFonts w:asciiTheme="minorHAnsi" w:hAnsiTheme="minorHAnsi" w:cstheme="minorHAnsi"/>
        </w:rPr>
        <w:t>Measure Effective Useful Life</w:t>
      </w:r>
      <w:bookmarkEnd w:id="6"/>
    </w:p>
    <w:p w14:paraId="680A3466" w14:textId="77777777" w:rsidR="00475688" w:rsidRDefault="00475688" w:rsidP="00475688">
      <w:pPr>
        <w:pStyle w:val="Heading2"/>
        <w:spacing w:before="0" w:after="0"/>
        <w:rPr>
          <w:rFonts w:ascii="Times New Roman" w:hAnsi="Times New Roman" w:cs="Times New Roman"/>
          <w:b w:val="0"/>
          <w:bCs w:val="0"/>
          <w:iCs w:val="0"/>
          <w:smallCaps w:val="0"/>
          <w:sz w:val="24"/>
          <w:szCs w:val="24"/>
        </w:rPr>
      </w:pPr>
      <w:r w:rsidRPr="00EE146D">
        <w:rPr>
          <w:rFonts w:ascii="Times New Roman" w:hAnsi="Times New Roman" w:cs="Times New Roman"/>
          <w:b w:val="0"/>
          <w:bCs w:val="0"/>
          <w:iCs w:val="0"/>
          <w:smallCaps w:val="0"/>
          <w:sz w:val="24"/>
          <w:szCs w:val="24"/>
        </w:rPr>
        <w:t xml:space="preserve">DEER and the CPUC ED Workpaper Disposition for Lighting Retrofits documentation provide EUL and RUL information on </w:t>
      </w:r>
      <w:hyperlink r:id="rId12" w:history="1">
        <w:r w:rsidRPr="00943FDC">
          <w:rPr>
            <w:rStyle w:val="Hyperlink"/>
            <w:rFonts w:ascii="Times New Roman" w:hAnsi="Times New Roman" w:cs="Times New Roman"/>
            <w:b w:val="0"/>
            <w:bCs w:val="0"/>
            <w:iCs w:val="0"/>
            <w:smallCaps w:val="0"/>
            <w:sz w:val="24"/>
            <w:szCs w:val="24"/>
          </w:rPr>
          <w:t>www.deeresources.com</w:t>
        </w:r>
      </w:hyperlink>
      <w:r w:rsidRPr="00EE146D">
        <w:rPr>
          <w:rFonts w:ascii="Times New Roman" w:hAnsi="Times New Roman" w:cs="Times New Roman"/>
          <w:b w:val="0"/>
          <w:bCs w:val="0"/>
          <w:iCs w:val="0"/>
          <w:smallCaps w:val="0"/>
          <w:sz w:val="24"/>
          <w:szCs w:val="24"/>
        </w:rPr>
        <w:t>.</w:t>
      </w:r>
    </w:p>
    <w:p w14:paraId="6A890AB6" w14:textId="77777777" w:rsidR="00475688" w:rsidRPr="00EE146D" w:rsidRDefault="00475688" w:rsidP="00475688"/>
    <w:p w14:paraId="266CEA45" w14:textId="6C039331" w:rsidR="00475688" w:rsidRDefault="00475688" w:rsidP="00475688">
      <w:r w:rsidRPr="004605CB">
        <w:t>To obtain the EUL value, the updated CPUC ED EUL table documentation issued on February 5, 2014, “DEER2014-EUL-table-update_2014-02-05.xlsx”, was consulted.</w:t>
      </w:r>
      <w:r>
        <w:t xml:space="preserve"> However, the workbook does not specifically include EUL/RUL values for unrefrigerated</w:t>
      </w:r>
      <w:r w:rsidR="00A53C2E">
        <w:t xml:space="preserve"> linear</w:t>
      </w:r>
      <w:r>
        <w:t xml:space="preserve"> LED </w:t>
      </w:r>
      <w:r w:rsidR="00A53C2E">
        <w:t xml:space="preserve">strip for </w:t>
      </w:r>
      <w:r>
        <w:t xml:space="preserve">display </w:t>
      </w:r>
      <w:r>
        <w:lastRenderedPageBreak/>
        <w:t xml:space="preserve">case lighting. It does include the EUL ID of “LED-Cooler” but the values are for walk-in coolers and freezers. </w:t>
      </w:r>
    </w:p>
    <w:p w14:paraId="3B642019" w14:textId="77777777" w:rsidR="00475688" w:rsidRDefault="00475688" w:rsidP="00475688"/>
    <w:p w14:paraId="0B30406B" w14:textId="0A9286BD" w:rsidR="00475688" w:rsidRDefault="00475688" w:rsidP="00475688">
      <w:r>
        <w:t xml:space="preserve">Without valid commercial EUL/RUL values for unrefrigerated </w:t>
      </w:r>
      <w:r w:rsidR="00A53C2E">
        <w:t xml:space="preserve">linear LED strip for display case </w:t>
      </w:r>
      <w:r>
        <w:t>lighting, this workpaper will assume the EUL/RUL values of EUL ID “</w:t>
      </w:r>
      <w:r w:rsidR="00180CCD" w:rsidRPr="00180CCD">
        <w:t>GrocDisp-FixtLtg-LED</w:t>
      </w:r>
      <w:r>
        <w:t>”.</w:t>
      </w:r>
    </w:p>
    <w:p w14:paraId="5523FA79" w14:textId="77777777" w:rsidR="00475688" w:rsidRDefault="00475688" w:rsidP="00420858"/>
    <w:p w14:paraId="3B5077B8" w14:textId="1D3C3EEC" w:rsidR="00F9733B" w:rsidRDefault="00475688" w:rsidP="00420858">
      <w:r w:rsidRPr="00475688">
        <w:fldChar w:fldCharType="begin"/>
      </w:r>
      <w:r w:rsidRPr="00475688">
        <w:instrText xml:space="preserve"> REF _Ref325035780 \h </w:instrText>
      </w:r>
      <w:r w:rsidRPr="00475688">
        <w:fldChar w:fldCharType="separate"/>
      </w:r>
      <w:r w:rsidRPr="00475688">
        <w:t xml:space="preserve">Table </w:t>
      </w:r>
      <w:r w:rsidRPr="00475688">
        <w:rPr>
          <w:noProof/>
        </w:rPr>
        <w:t>4</w:t>
      </w:r>
      <w:r w:rsidRPr="00475688">
        <w:fldChar w:fldCharType="end"/>
      </w:r>
      <w:r w:rsidRPr="00475688">
        <w:t xml:space="preserve"> </w:t>
      </w:r>
      <w:r>
        <w:t xml:space="preserve">below identifies the value/methodology used for the measures in this workpaper. </w:t>
      </w:r>
      <w:r w:rsidRPr="00475688">
        <w:t>P</w:t>
      </w:r>
      <w:r>
        <w:t>lease consult workpaper WPSDGENRLG0999 Master Lighting Look-up Table workpaper [</w:t>
      </w:r>
      <w:r w:rsidRPr="00335050">
        <w:rPr>
          <w:rStyle w:val="EndnoteReference"/>
          <w:vertAlign w:val="baseline"/>
        </w:rPr>
        <w:endnoteReference w:id="4"/>
      </w:r>
      <w:r>
        <w:t xml:space="preserve">] for </w:t>
      </w:r>
      <w:r w:rsidRPr="00181968">
        <w:t xml:space="preserve">the actual EUL values </w:t>
      </w:r>
      <w:r>
        <w:t xml:space="preserve">used for </w:t>
      </w:r>
      <w:r w:rsidRPr="00181968">
        <w:t xml:space="preserve">all of </w:t>
      </w:r>
      <w:r>
        <w:t xml:space="preserve">the building types in this work </w:t>
      </w:r>
      <w:r w:rsidRPr="00181968">
        <w:t>paper.</w:t>
      </w:r>
    </w:p>
    <w:p w14:paraId="51B9E74E" w14:textId="77777777" w:rsidR="00584B96" w:rsidRPr="00181968" w:rsidRDefault="00584B96" w:rsidP="007637F6"/>
    <w:p w14:paraId="63EB7759" w14:textId="0F17DFDB" w:rsidR="00584B96" w:rsidRPr="00A120A6" w:rsidRDefault="00584B96" w:rsidP="00584B96">
      <w:pPr>
        <w:pStyle w:val="Caption"/>
        <w:keepNext/>
        <w:jc w:val="center"/>
        <w:rPr>
          <w:sz w:val="22"/>
          <w:szCs w:val="22"/>
        </w:rPr>
      </w:pPr>
      <w:bookmarkStart w:id="7" w:name="_Ref325035780"/>
      <w:r w:rsidRPr="00A120A6">
        <w:rPr>
          <w:sz w:val="22"/>
          <w:szCs w:val="22"/>
        </w:rPr>
        <w:t xml:space="preserve">Table </w:t>
      </w:r>
      <w:r w:rsidRPr="00A120A6">
        <w:rPr>
          <w:sz w:val="22"/>
          <w:szCs w:val="22"/>
        </w:rPr>
        <w:fldChar w:fldCharType="begin"/>
      </w:r>
      <w:r w:rsidRPr="00A120A6">
        <w:rPr>
          <w:sz w:val="22"/>
          <w:szCs w:val="22"/>
        </w:rPr>
        <w:instrText xml:space="preserve"> SEQ Table \* ARABIC </w:instrText>
      </w:r>
      <w:r w:rsidRPr="00A120A6">
        <w:rPr>
          <w:sz w:val="22"/>
          <w:szCs w:val="22"/>
        </w:rPr>
        <w:fldChar w:fldCharType="separate"/>
      </w:r>
      <w:r w:rsidR="00CA5B02">
        <w:rPr>
          <w:noProof/>
          <w:sz w:val="22"/>
          <w:szCs w:val="22"/>
        </w:rPr>
        <w:t>4</w:t>
      </w:r>
      <w:r w:rsidRPr="00A120A6">
        <w:rPr>
          <w:sz w:val="22"/>
          <w:szCs w:val="22"/>
        </w:rPr>
        <w:fldChar w:fldCharType="end"/>
      </w:r>
      <w:bookmarkEnd w:id="7"/>
      <w:r w:rsidR="00BF7D42">
        <w:rPr>
          <w:sz w:val="22"/>
          <w:szCs w:val="22"/>
        </w:rPr>
        <w:t xml:space="preserve"> </w:t>
      </w:r>
      <w:r w:rsidR="00475688">
        <w:rPr>
          <w:sz w:val="22"/>
          <w:szCs w:val="22"/>
        </w:rPr>
        <w:t>DEER</w:t>
      </w:r>
      <w:r w:rsidR="00475688" w:rsidRPr="00A120A6">
        <w:rPr>
          <w:sz w:val="22"/>
          <w:szCs w:val="22"/>
        </w:rPr>
        <w:t xml:space="preserve"> EUL Value/Methodology</w:t>
      </w:r>
    </w:p>
    <w:tbl>
      <w:tblPr>
        <w:tblStyle w:val="TableContemporary"/>
        <w:tblW w:w="0" w:type="auto"/>
        <w:jc w:val="center"/>
        <w:tblLook w:val="04A0" w:firstRow="1" w:lastRow="0" w:firstColumn="1" w:lastColumn="0" w:noHBand="0" w:noVBand="1"/>
      </w:tblPr>
      <w:tblGrid>
        <w:gridCol w:w="1116"/>
        <w:gridCol w:w="905"/>
        <w:gridCol w:w="3350"/>
        <w:gridCol w:w="1466"/>
        <w:gridCol w:w="1477"/>
      </w:tblGrid>
      <w:tr w:rsidR="00A26908" w:rsidRPr="00A120A6" w14:paraId="6AC0CE1E" w14:textId="77777777" w:rsidTr="00FB7A52">
        <w:trPr>
          <w:cnfStyle w:val="100000000000" w:firstRow="1" w:lastRow="0" w:firstColumn="0" w:lastColumn="0" w:oddVBand="0" w:evenVBand="0" w:oddHBand="0" w:evenHBand="0" w:firstRowFirstColumn="0" w:firstRowLastColumn="0" w:lastRowFirstColumn="0" w:lastRowLastColumn="0"/>
          <w:jc w:val="center"/>
        </w:trPr>
        <w:tc>
          <w:tcPr>
            <w:tcW w:w="1116" w:type="dxa"/>
            <w:vAlign w:val="center"/>
          </w:tcPr>
          <w:p w14:paraId="5B4E6D45" w14:textId="77777777" w:rsidR="00584B96" w:rsidRPr="00A120A6" w:rsidRDefault="00584B96" w:rsidP="00420858">
            <w:pPr>
              <w:jc w:val="center"/>
              <w:rPr>
                <w:sz w:val="20"/>
                <w:szCs w:val="20"/>
              </w:rPr>
            </w:pPr>
            <w:r w:rsidRPr="00A120A6">
              <w:rPr>
                <w:sz w:val="20"/>
                <w:szCs w:val="20"/>
              </w:rPr>
              <w:t>Market</w:t>
            </w:r>
          </w:p>
        </w:tc>
        <w:tc>
          <w:tcPr>
            <w:tcW w:w="905" w:type="dxa"/>
            <w:vAlign w:val="center"/>
          </w:tcPr>
          <w:p w14:paraId="6AC2C508" w14:textId="77777777" w:rsidR="00584B96" w:rsidRPr="00A120A6" w:rsidRDefault="00584B96" w:rsidP="00420858">
            <w:pPr>
              <w:jc w:val="center"/>
              <w:rPr>
                <w:sz w:val="20"/>
                <w:szCs w:val="20"/>
              </w:rPr>
            </w:pPr>
            <w:r w:rsidRPr="00A120A6">
              <w:rPr>
                <w:sz w:val="20"/>
                <w:szCs w:val="20"/>
              </w:rPr>
              <w:t>Enduse</w:t>
            </w:r>
          </w:p>
        </w:tc>
        <w:tc>
          <w:tcPr>
            <w:tcW w:w="3350" w:type="dxa"/>
            <w:vAlign w:val="center"/>
          </w:tcPr>
          <w:p w14:paraId="4D0DC35C" w14:textId="77777777" w:rsidR="00584B96" w:rsidRPr="00A120A6" w:rsidRDefault="00584B96" w:rsidP="00420858">
            <w:pPr>
              <w:jc w:val="center"/>
              <w:rPr>
                <w:sz w:val="20"/>
                <w:szCs w:val="20"/>
              </w:rPr>
            </w:pPr>
            <w:r w:rsidRPr="00A120A6">
              <w:rPr>
                <w:sz w:val="20"/>
                <w:szCs w:val="20"/>
              </w:rPr>
              <w:t>Measure</w:t>
            </w:r>
          </w:p>
        </w:tc>
        <w:tc>
          <w:tcPr>
            <w:tcW w:w="1466" w:type="dxa"/>
            <w:vAlign w:val="center"/>
          </w:tcPr>
          <w:p w14:paraId="240C7924" w14:textId="77777777" w:rsidR="00584B96" w:rsidRPr="00A120A6" w:rsidRDefault="00584B96" w:rsidP="00420858">
            <w:pPr>
              <w:jc w:val="center"/>
              <w:rPr>
                <w:sz w:val="20"/>
                <w:szCs w:val="20"/>
              </w:rPr>
            </w:pPr>
            <w:r w:rsidRPr="00A120A6">
              <w:rPr>
                <w:sz w:val="20"/>
                <w:szCs w:val="20"/>
              </w:rPr>
              <w:t>EUL (Years)</w:t>
            </w:r>
          </w:p>
        </w:tc>
        <w:tc>
          <w:tcPr>
            <w:tcW w:w="1477" w:type="dxa"/>
            <w:vAlign w:val="center"/>
          </w:tcPr>
          <w:p w14:paraId="0D900FF4" w14:textId="77777777" w:rsidR="00584B96" w:rsidRPr="00A120A6" w:rsidRDefault="00584B96" w:rsidP="00420858">
            <w:pPr>
              <w:jc w:val="center"/>
              <w:rPr>
                <w:sz w:val="20"/>
                <w:szCs w:val="20"/>
              </w:rPr>
            </w:pPr>
            <w:r w:rsidRPr="00A120A6">
              <w:rPr>
                <w:sz w:val="20"/>
                <w:szCs w:val="20"/>
              </w:rPr>
              <w:t>RUL (Years)</w:t>
            </w:r>
          </w:p>
        </w:tc>
      </w:tr>
      <w:tr w:rsidR="00A26908" w:rsidRPr="00A120A6" w14:paraId="21771882" w14:textId="77777777" w:rsidTr="00FB7A52">
        <w:trPr>
          <w:cnfStyle w:val="000000100000" w:firstRow="0" w:lastRow="0" w:firstColumn="0" w:lastColumn="0" w:oddVBand="0" w:evenVBand="0" w:oddHBand="1" w:evenHBand="0" w:firstRowFirstColumn="0" w:firstRowLastColumn="0" w:lastRowFirstColumn="0" w:lastRowLastColumn="0"/>
          <w:trHeight w:val="243"/>
          <w:jc w:val="center"/>
        </w:trPr>
        <w:tc>
          <w:tcPr>
            <w:tcW w:w="1116" w:type="dxa"/>
            <w:vAlign w:val="center"/>
          </w:tcPr>
          <w:p w14:paraId="01B043DF" w14:textId="4BD88EEE" w:rsidR="00A26908" w:rsidRPr="00A120A6" w:rsidRDefault="00A26908" w:rsidP="006D6944">
            <w:pPr>
              <w:jc w:val="center"/>
              <w:rPr>
                <w:sz w:val="20"/>
                <w:szCs w:val="20"/>
              </w:rPr>
            </w:pPr>
            <w:r w:rsidRPr="00A120A6">
              <w:rPr>
                <w:sz w:val="20"/>
                <w:szCs w:val="20"/>
              </w:rPr>
              <w:t>Non-Residential</w:t>
            </w:r>
          </w:p>
        </w:tc>
        <w:tc>
          <w:tcPr>
            <w:tcW w:w="905" w:type="dxa"/>
            <w:vAlign w:val="center"/>
          </w:tcPr>
          <w:p w14:paraId="622875DC" w14:textId="4DF0179A" w:rsidR="00A26908" w:rsidRPr="00A120A6" w:rsidRDefault="00A26908" w:rsidP="006D6944">
            <w:pPr>
              <w:jc w:val="center"/>
              <w:rPr>
                <w:sz w:val="20"/>
                <w:szCs w:val="20"/>
              </w:rPr>
            </w:pPr>
            <w:r>
              <w:rPr>
                <w:sz w:val="20"/>
                <w:szCs w:val="20"/>
              </w:rPr>
              <w:t xml:space="preserve">Indoor </w:t>
            </w:r>
            <w:r w:rsidRPr="00A120A6">
              <w:rPr>
                <w:sz w:val="20"/>
                <w:szCs w:val="20"/>
              </w:rPr>
              <w:t>Lighting</w:t>
            </w:r>
          </w:p>
        </w:tc>
        <w:tc>
          <w:tcPr>
            <w:tcW w:w="3350" w:type="dxa"/>
            <w:vAlign w:val="center"/>
          </w:tcPr>
          <w:p w14:paraId="453E6D70" w14:textId="6CEED3FF" w:rsidR="00A26908" w:rsidRPr="00A120A6" w:rsidRDefault="006D6944" w:rsidP="006D6944">
            <w:pPr>
              <w:jc w:val="center"/>
              <w:rPr>
                <w:sz w:val="20"/>
                <w:szCs w:val="20"/>
              </w:rPr>
            </w:pPr>
            <w:r w:rsidRPr="006D6944">
              <w:rPr>
                <w:sz w:val="20"/>
                <w:szCs w:val="20"/>
              </w:rPr>
              <w:t>Display Case Lighting LED Lighting</w:t>
            </w:r>
          </w:p>
        </w:tc>
        <w:tc>
          <w:tcPr>
            <w:tcW w:w="1466" w:type="dxa"/>
            <w:vAlign w:val="center"/>
          </w:tcPr>
          <w:p w14:paraId="1056B608" w14:textId="28F49846" w:rsidR="00A26908" w:rsidRPr="00A120A6" w:rsidRDefault="00E37F52" w:rsidP="006D6944">
            <w:pPr>
              <w:jc w:val="center"/>
              <w:rPr>
                <w:sz w:val="20"/>
                <w:szCs w:val="20"/>
              </w:rPr>
            </w:pPr>
            <w:r>
              <w:rPr>
                <w:sz w:val="20"/>
                <w:szCs w:val="20"/>
              </w:rPr>
              <w:t>SEE EUL ID</w:t>
            </w:r>
          </w:p>
        </w:tc>
        <w:tc>
          <w:tcPr>
            <w:tcW w:w="1477" w:type="dxa"/>
            <w:vAlign w:val="center"/>
          </w:tcPr>
          <w:p w14:paraId="69920282" w14:textId="0AC55E03" w:rsidR="006D6944" w:rsidRPr="00A120A6" w:rsidRDefault="00E37F52" w:rsidP="006D6944">
            <w:pPr>
              <w:jc w:val="center"/>
              <w:rPr>
                <w:sz w:val="20"/>
                <w:szCs w:val="20"/>
              </w:rPr>
            </w:pPr>
            <w:r>
              <w:rPr>
                <w:sz w:val="20"/>
                <w:szCs w:val="20"/>
              </w:rPr>
              <w:t>(1/3) of EUL</w:t>
            </w:r>
          </w:p>
        </w:tc>
      </w:tr>
    </w:tbl>
    <w:p w14:paraId="4F344B1C" w14:textId="040D2BCF" w:rsidR="00171B5B" w:rsidRPr="00840D26" w:rsidRDefault="00171B5B" w:rsidP="000F130A">
      <w:pPr>
        <w:rPr>
          <w:rFonts w:asciiTheme="minorHAnsi" w:hAnsiTheme="minorHAnsi" w:cstheme="minorHAnsi"/>
        </w:rPr>
      </w:pPr>
    </w:p>
    <w:p w14:paraId="42BC5291" w14:textId="68A916C9" w:rsidR="00840D26" w:rsidRPr="006F5BDE" w:rsidRDefault="00840D26" w:rsidP="00840D26">
      <w:r w:rsidRPr="005C462F">
        <w:fldChar w:fldCharType="begin"/>
      </w:r>
      <w:r w:rsidRPr="005C462F">
        <w:instrText xml:space="preserve"> REF _Ref252467071 \h </w:instrText>
      </w:r>
      <w:r w:rsidRPr="005C462F">
        <w:fldChar w:fldCharType="separate"/>
      </w:r>
      <w:r w:rsidRPr="005C462F">
        <w:t xml:space="preserve">Table </w:t>
      </w:r>
      <w:r w:rsidRPr="005C462F">
        <w:rPr>
          <w:noProof/>
        </w:rPr>
        <w:t>5</w:t>
      </w:r>
      <w:r w:rsidRPr="005C462F">
        <w:fldChar w:fldCharType="end"/>
      </w:r>
      <w:r w:rsidRPr="00840D26">
        <w:t xml:space="preserve"> </w:t>
      </w:r>
      <w:r w:rsidRPr="006F5BDE">
        <w:t>identifies the EUL IDs used in this workpaper.</w:t>
      </w:r>
    </w:p>
    <w:p w14:paraId="26E8C75C" w14:textId="77777777" w:rsidR="00845C4C" w:rsidRDefault="00845C4C" w:rsidP="000F130A">
      <w:pPr>
        <w:rPr>
          <w:rFonts w:asciiTheme="minorHAnsi" w:hAnsiTheme="minorHAnsi" w:cstheme="minorHAnsi"/>
        </w:rPr>
      </w:pPr>
    </w:p>
    <w:p w14:paraId="0F490C49" w14:textId="7D309A66" w:rsidR="00845C4C" w:rsidRPr="00845C4C" w:rsidRDefault="00845C4C" w:rsidP="00845C4C">
      <w:pPr>
        <w:pStyle w:val="Caption"/>
        <w:jc w:val="center"/>
        <w:rPr>
          <w:rFonts w:asciiTheme="minorHAnsi" w:hAnsiTheme="minorHAnsi" w:cstheme="minorHAnsi"/>
          <w:sz w:val="22"/>
        </w:rPr>
      </w:pPr>
      <w:bookmarkStart w:id="8" w:name="_Ref252467071"/>
      <w:r w:rsidRPr="00845C4C">
        <w:rPr>
          <w:sz w:val="22"/>
        </w:rPr>
        <w:t xml:space="preserve">Table </w:t>
      </w:r>
      <w:r w:rsidRPr="00845C4C">
        <w:rPr>
          <w:sz w:val="22"/>
        </w:rPr>
        <w:fldChar w:fldCharType="begin"/>
      </w:r>
      <w:r w:rsidRPr="00845C4C">
        <w:rPr>
          <w:sz w:val="22"/>
        </w:rPr>
        <w:instrText xml:space="preserve"> SEQ Table \* ARABIC </w:instrText>
      </w:r>
      <w:r w:rsidRPr="00845C4C">
        <w:rPr>
          <w:sz w:val="22"/>
        </w:rPr>
        <w:fldChar w:fldCharType="separate"/>
      </w:r>
      <w:r w:rsidR="00CA5B02">
        <w:rPr>
          <w:noProof/>
          <w:sz w:val="22"/>
        </w:rPr>
        <w:t>5</w:t>
      </w:r>
      <w:r w:rsidRPr="00845C4C">
        <w:rPr>
          <w:sz w:val="22"/>
        </w:rPr>
        <w:fldChar w:fldCharType="end"/>
      </w:r>
      <w:bookmarkEnd w:id="8"/>
      <w:r w:rsidRPr="00845C4C">
        <w:rPr>
          <w:sz w:val="22"/>
        </w:rPr>
        <w:t xml:space="preserve"> </w:t>
      </w:r>
      <w:r w:rsidR="005C462F" w:rsidRPr="00845C4C">
        <w:rPr>
          <w:sz w:val="22"/>
        </w:rPr>
        <w:t>EUL ID Summary</w:t>
      </w:r>
    </w:p>
    <w:tbl>
      <w:tblPr>
        <w:tblStyle w:val="TableContemporary"/>
        <w:tblW w:w="2987" w:type="pct"/>
        <w:jc w:val="center"/>
        <w:tblInd w:w="-171" w:type="dxa"/>
        <w:tblLook w:val="01E0" w:firstRow="1" w:lastRow="1" w:firstColumn="1" w:lastColumn="1" w:noHBand="0" w:noVBand="0"/>
      </w:tblPr>
      <w:tblGrid>
        <w:gridCol w:w="2303"/>
        <w:gridCol w:w="2474"/>
        <w:gridCol w:w="944"/>
      </w:tblGrid>
      <w:tr w:rsidR="000353F2" w:rsidRPr="00A120A6" w14:paraId="5F128BF4" w14:textId="77777777" w:rsidTr="000353F2">
        <w:trPr>
          <w:cnfStyle w:val="100000000000" w:firstRow="1" w:lastRow="0" w:firstColumn="0" w:lastColumn="0" w:oddVBand="0" w:evenVBand="0" w:oddHBand="0" w:evenHBand="0" w:firstRowFirstColumn="0" w:firstRowLastColumn="0" w:lastRowFirstColumn="0" w:lastRowLastColumn="0"/>
          <w:jc w:val="center"/>
        </w:trPr>
        <w:tc>
          <w:tcPr>
            <w:tcW w:w="2013" w:type="pct"/>
            <w:vAlign w:val="center"/>
          </w:tcPr>
          <w:p w14:paraId="6E5C1239" w14:textId="77777777" w:rsidR="00845C4C" w:rsidRPr="00A120A6" w:rsidRDefault="00845C4C" w:rsidP="00A120A6">
            <w:pPr>
              <w:jc w:val="center"/>
              <w:rPr>
                <w:sz w:val="20"/>
                <w:szCs w:val="20"/>
              </w:rPr>
            </w:pPr>
            <w:r w:rsidRPr="00A120A6">
              <w:rPr>
                <w:sz w:val="20"/>
                <w:szCs w:val="20"/>
              </w:rPr>
              <w:t>EUL_ID</w:t>
            </w:r>
          </w:p>
        </w:tc>
        <w:tc>
          <w:tcPr>
            <w:tcW w:w="2162" w:type="pct"/>
            <w:vAlign w:val="center"/>
          </w:tcPr>
          <w:p w14:paraId="5D341163" w14:textId="77777777" w:rsidR="00845C4C" w:rsidRPr="00A120A6" w:rsidRDefault="00845C4C" w:rsidP="00A120A6">
            <w:pPr>
              <w:jc w:val="center"/>
              <w:rPr>
                <w:sz w:val="20"/>
                <w:szCs w:val="20"/>
              </w:rPr>
            </w:pPr>
            <w:r w:rsidRPr="00A120A6">
              <w:rPr>
                <w:sz w:val="20"/>
                <w:szCs w:val="20"/>
              </w:rPr>
              <w:t>Description</w:t>
            </w:r>
          </w:p>
        </w:tc>
        <w:tc>
          <w:tcPr>
            <w:tcW w:w="825" w:type="pct"/>
            <w:vAlign w:val="center"/>
          </w:tcPr>
          <w:p w14:paraId="318BE665" w14:textId="77777777" w:rsidR="00845C4C" w:rsidRPr="00A120A6" w:rsidRDefault="00845C4C" w:rsidP="00A120A6">
            <w:pPr>
              <w:jc w:val="center"/>
              <w:rPr>
                <w:sz w:val="20"/>
                <w:szCs w:val="20"/>
              </w:rPr>
            </w:pPr>
            <w:r w:rsidRPr="00A120A6">
              <w:rPr>
                <w:sz w:val="20"/>
                <w:szCs w:val="20"/>
              </w:rPr>
              <w:t>Sector</w:t>
            </w:r>
          </w:p>
        </w:tc>
      </w:tr>
      <w:tr w:rsidR="00ED62EC" w:rsidRPr="00ED62EC" w14:paraId="72AB5B0C" w14:textId="77777777" w:rsidTr="00ED62EC">
        <w:trPr>
          <w:cnfStyle w:val="000000100000" w:firstRow="0" w:lastRow="0" w:firstColumn="0" w:lastColumn="0" w:oddVBand="0" w:evenVBand="0" w:oddHBand="1" w:evenHBand="0" w:firstRowFirstColumn="0" w:firstRowLastColumn="0" w:lastRowFirstColumn="0" w:lastRowLastColumn="0"/>
          <w:jc w:val="center"/>
        </w:trPr>
        <w:tc>
          <w:tcPr>
            <w:tcW w:w="2013" w:type="pct"/>
            <w:vAlign w:val="center"/>
          </w:tcPr>
          <w:p w14:paraId="0E166A20" w14:textId="26D554D2" w:rsidR="00ED62EC" w:rsidRPr="00ED62EC" w:rsidRDefault="00ED62EC" w:rsidP="00ED62EC">
            <w:pPr>
              <w:jc w:val="center"/>
              <w:rPr>
                <w:sz w:val="20"/>
                <w:szCs w:val="20"/>
              </w:rPr>
            </w:pPr>
            <w:r w:rsidRPr="00ED62EC">
              <w:rPr>
                <w:sz w:val="20"/>
                <w:szCs w:val="20"/>
              </w:rPr>
              <w:t>GrocDisp-FixtLtg-LED</w:t>
            </w:r>
          </w:p>
        </w:tc>
        <w:tc>
          <w:tcPr>
            <w:tcW w:w="2162" w:type="pct"/>
            <w:vAlign w:val="center"/>
          </w:tcPr>
          <w:p w14:paraId="0CF217E2" w14:textId="326B14BF" w:rsidR="00ED62EC" w:rsidRPr="00ED62EC" w:rsidRDefault="00ED62EC" w:rsidP="00ED62EC">
            <w:pPr>
              <w:jc w:val="center"/>
              <w:rPr>
                <w:sz w:val="20"/>
                <w:szCs w:val="20"/>
              </w:rPr>
            </w:pPr>
            <w:r w:rsidRPr="00ED62EC">
              <w:rPr>
                <w:sz w:val="20"/>
                <w:szCs w:val="20"/>
              </w:rPr>
              <w:t>Display Case Lighting LED Lighting</w:t>
            </w:r>
          </w:p>
        </w:tc>
        <w:tc>
          <w:tcPr>
            <w:tcW w:w="825" w:type="pct"/>
            <w:vAlign w:val="center"/>
          </w:tcPr>
          <w:p w14:paraId="3E8AECCD" w14:textId="2D9D7227" w:rsidR="00ED62EC" w:rsidRPr="00ED62EC" w:rsidRDefault="00ED62EC" w:rsidP="00ED62EC">
            <w:pPr>
              <w:jc w:val="center"/>
              <w:rPr>
                <w:sz w:val="20"/>
                <w:szCs w:val="20"/>
              </w:rPr>
            </w:pPr>
            <w:r w:rsidRPr="00ED62EC">
              <w:rPr>
                <w:sz w:val="20"/>
                <w:szCs w:val="20"/>
              </w:rPr>
              <w:t>C</w:t>
            </w:r>
            <w:r>
              <w:rPr>
                <w:sz w:val="20"/>
                <w:szCs w:val="20"/>
              </w:rPr>
              <w:t>om</w:t>
            </w:r>
          </w:p>
        </w:tc>
      </w:tr>
    </w:tbl>
    <w:p w14:paraId="6638CB7C" w14:textId="204EB822" w:rsidR="00A05CFF" w:rsidRDefault="00A05CFF" w:rsidP="000F130A">
      <w:pPr>
        <w:rPr>
          <w:rFonts w:asciiTheme="minorHAnsi" w:hAnsiTheme="minorHAnsi" w:cstheme="minorHAnsi"/>
        </w:rPr>
      </w:pPr>
    </w:p>
    <w:p w14:paraId="11961A82" w14:textId="77777777" w:rsidR="00E16609" w:rsidRPr="00441957" w:rsidRDefault="00824F1C" w:rsidP="00824F1C">
      <w:pPr>
        <w:pStyle w:val="Heading2"/>
        <w:rPr>
          <w:rFonts w:asciiTheme="minorHAnsi" w:hAnsiTheme="minorHAnsi" w:cstheme="minorHAnsi"/>
        </w:rPr>
      </w:pPr>
      <w:bookmarkStart w:id="9" w:name="_Toc214003089"/>
      <w:r>
        <w:rPr>
          <w:rFonts w:asciiTheme="minorHAnsi" w:hAnsiTheme="minorHAnsi" w:cstheme="minorHAnsi"/>
        </w:rPr>
        <w:t xml:space="preserve">1.5  </w:t>
      </w:r>
      <w:r w:rsidR="004E01F5" w:rsidRPr="000F130A">
        <w:rPr>
          <w:rFonts w:asciiTheme="minorHAnsi" w:hAnsiTheme="minorHAnsi" w:cstheme="minorHAnsi"/>
        </w:rPr>
        <w:t xml:space="preserve">Net-to-Gross Ratios </w:t>
      </w:r>
      <w:r w:rsidR="00E16609" w:rsidRPr="000F130A">
        <w:rPr>
          <w:rFonts w:asciiTheme="minorHAnsi" w:hAnsiTheme="minorHAnsi" w:cstheme="minorHAnsi"/>
        </w:rPr>
        <w:t>for Different Program Strategies</w:t>
      </w:r>
      <w:bookmarkEnd w:id="9"/>
    </w:p>
    <w:p w14:paraId="73F2487C" w14:textId="77777777" w:rsidR="00FA037F" w:rsidRDefault="00FA037F" w:rsidP="00FA037F">
      <w:bookmarkStart w:id="10" w:name="OLE_LINK4"/>
      <w:bookmarkStart w:id="11" w:name="OLE_LINK5"/>
      <w:r>
        <w:t xml:space="preserve">Net-to-Gross (NTG) Ratios are used to estimate free-ridership occurring in energy efficiency programs. Free riders are program participants who would have undertaken an activity whether or not there was an energy efficiency program promoting that activity. An NTG Ratio is a factor that represents the net program load impact divided by the gross program load impact. This factor is applied to gross program savings to determine the program's net impact. </w:t>
      </w:r>
    </w:p>
    <w:p w14:paraId="79EAA663" w14:textId="77777777" w:rsidR="00FA037F" w:rsidRDefault="00FA037F" w:rsidP="00FA037F">
      <w:r w:rsidRPr="00BD3931">
        <w:t xml:space="preserve">The NTG value was obtained from the “DEER2011_NTGR_2012-05-16.xls” on the DEER website as required by Version 4 of the California Public Utilities Commission (CPUC) Energy Efficiency Policy Manual [132]. </w:t>
      </w:r>
    </w:p>
    <w:p w14:paraId="6753A50E" w14:textId="77777777" w:rsidR="00FA037F" w:rsidRDefault="00FA037F" w:rsidP="00FA037F"/>
    <w:p w14:paraId="4419088E" w14:textId="4602949E" w:rsidR="00FA037F" w:rsidRDefault="00FA037F" w:rsidP="00FA037F">
      <w:r w:rsidRPr="00BD3931">
        <w:t xml:space="preserve">The relevant NTGR for this measure is shown </w:t>
      </w:r>
      <w:r w:rsidRPr="00FA037F">
        <w:t xml:space="preserve">in </w:t>
      </w:r>
      <w:r w:rsidRPr="00FA037F">
        <w:fldChar w:fldCharType="begin"/>
      </w:r>
      <w:r w:rsidRPr="00FA037F">
        <w:instrText xml:space="preserve"> REF _Ref251862157 \h </w:instrText>
      </w:r>
      <w:r w:rsidRPr="00FA037F">
        <w:fldChar w:fldCharType="separate"/>
      </w:r>
      <w:r w:rsidRPr="00C522DD">
        <w:t xml:space="preserve">Table </w:t>
      </w:r>
      <w:r w:rsidRPr="00C522DD">
        <w:rPr>
          <w:noProof/>
        </w:rPr>
        <w:t>6</w:t>
      </w:r>
      <w:r w:rsidRPr="00FA037F">
        <w:fldChar w:fldCharType="end"/>
      </w:r>
      <w:r w:rsidRPr="00FA037F">
        <w:t xml:space="preserve"> below</w:t>
      </w:r>
      <w:r w:rsidRPr="00BD3931">
        <w:t>.</w:t>
      </w:r>
      <w:r>
        <w:t xml:space="preserve"> </w:t>
      </w:r>
      <w:r w:rsidRPr="002E0A56">
        <w:t xml:space="preserve">Refer to workpaper WPSDGENRLG0999 for </w:t>
      </w:r>
      <w:r>
        <w:t>specific NTG values used</w:t>
      </w:r>
      <w:r w:rsidRPr="002E0A56">
        <w:t>.</w:t>
      </w:r>
    </w:p>
    <w:p w14:paraId="0F6A0143" w14:textId="77777777" w:rsidR="00FA037F" w:rsidRDefault="00FA037F" w:rsidP="00FA037F"/>
    <w:p w14:paraId="45A06A67" w14:textId="538712B2" w:rsidR="00BD3931" w:rsidRPr="005F20C9" w:rsidRDefault="00AF3016">
      <w:pPr>
        <w:pStyle w:val="Caption"/>
        <w:jc w:val="center"/>
        <w:rPr>
          <w:sz w:val="22"/>
          <w:szCs w:val="22"/>
        </w:rPr>
      </w:pPr>
      <w:bookmarkStart w:id="12" w:name="_Ref251862157"/>
      <w:r w:rsidRPr="005F20C9">
        <w:rPr>
          <w:sz w:val="22"/>
          <w:szCs w:val="22"/>
        </w:rPr>
        <w:t xml:space="preserve">Table </w:t>
      </w:r>
      <w:r w:rsidRPr="005F20C9">
        <w:rPr>
          <w:sz w:val="22"/>
          <w:szCs w:val="22"/>
        </w:rPr>
        <w:fldChar w:fldCharType="begin"/>
      </w:r>
      <w:r w:rsidRPr="005F20C9">
        <w:rPr>
          <w:sz w:val="22"/>
          <w:szCs w:val="22"/>
        </w:rPr>
        <w:instrText xml:space="preserve"> SEQ Table \* ARABIC </w:instrText>
      </w:r>
      <w:r w:rsidRPr="005F20C9">
        <w:rPr>
          <w:sz w:val="22"/>
          <w:szCs w:val="22"/>
        </w:rPr>
        <w:fldChar w:fldCharType="separate"/>
      </w:r>
      <w:r w:rsidR="00CA5B02">
        <w:rPr>
          <w:noProof/>
          <w:sz w:val="22"/>
          <w:szCs w:val="22"/>
        </w:rPr>
        <w:t>6</w:t>
      </w:r>
      <w:r w:rsidRPr="005F20C9">
        <w:rPr>
          <w:sz w:val="22"/>
          <w:szCs w:val="22"/>
        </w:rPr>
        <w:fldChar w:fldCharType="end"/>
      </w:r>
      <w:bookmarkEnd w:id="12"/>
      <w:r w:rsidRPr="005F20C9" w:rsidDel="00AF3016">
        <w:rPr>
          <w:sz w:val="22"/>
          <w:szCs w:val="22"/>
        </w:rPr>
        <w:t xml:space="preserve"> </w:t>
      </w:r>
      <w:r w:rsidRPr="005F20C9">
        <w:rPr>
          <w:sz w:val="22"/>
          <w:szCs w:val="22"/>
        </w:rPr>
        <w:t>Net-to-Gross Ratio</w:t>
      </w:r>
    </w:p>
    <w:tbl>
      <w:tblPr>
        <w:tblStyle w:val="TableContemporary"/>
        <w:tblW w:w="4011" w:type="pct"/>
        <w:jc w:val="center"/>
        <w:tblLook w:val="01E0" w:firstRow="1" w:lastRow="1" w:firstColumn="1" w:lastColumn="1" w:noHBand="0" w:noVBand="0"/>
      </w:tblPr>
      <w:tblGrid>
        <w:gridCol w:w="1386"/>
        <w:gridCol w:w="2990"/>
        <w:gridCol w:w="861"/>
        <w:gridCol w:w="1151"/>
        <w:gridCol w:w="1294"/>
      </w:tblGrid>
      <w:tr w:rsidR="00D63A8C" w:rsidRPr="000F130A" w14:paraId="1D5EE249" w14:textId="77777777" w:rsidTr="00386A57">
        <w:trPr>
          <w:cnfStyle w:val="100000000000" w:firstRow="1" w:lastRow="0" w:firstColumn="0" w:lastColumn="0" w:oddVBand="0" w:evenVBand="0" w:oddHBand="0" w:evenHBand="0" w:firstRowFirstColumn="0" w:firstRowLastColumn="0" w:lastRowFirstColumn="0" w:lastRowLastColumn="0"/>
          <w:cantSplit/>
          <w:tblHeader/>
          <w:jc w:val="center"/>
        </w:trPr>
        <w:tc>
          <w:tcPr>
            <w:tcW w:w="902" w:type="pct"/>
            <w:vAlign w:val="center"/>
          </w:tcPr>
          <w:p w14:paraId="361EDB11" w14:textId="77777777" w:rsidR="00D63A8C" w:rsidRPr="005F20C9" w:rsidRDefault="00D63A8C" w:rsidP="00BD3931">
            <w:pPr>
              <w:jc w:val="center"/>
              <w:rPr>
                <w:sz w:val="20"/>
                <w:szCs w:val="20"/>
              </w:rPr>
            </w:pPr>
            <w:r w:rsidRPr="005F20C9">
              <w:rPr>
                <w:sz w:val="20"/>
                <w:szCs w:val="20"/>
              </w:rPr>
              <w:t>NTGR_ID*</w:t>
            </w:r>
          </w:p>
        </w:tc>
        <w:tc>
          <w:tcPr>
            <w:tcW w:w="1946" w:type="pct"/>
            <w:vAlign w:val="center"/>
          </w:tcPr>
          <w:p w14:paraId="58C6F95C" w14:textId="77777777" w:rsidR="00D63A8C" w:rsidRPr="005F20C9" w:rsidRDefault="00D63A8C" w:rsidP="00BD3931">
            <w:pPr>
              <w:jc w:val="center"/>
              <w:rPr>
                <w:sz w:val="20"/>
                <w:szCs w:val="20"/>
              </w:rPr>
            </w:pPr>
            <w:r w:rsidRPr="005F20C9">
              <w:rPr>
                <w:sz w:val="20"/>
                <w:szCs w:val="20"/>
              </w:rPr>
              <w:t>Description*</w:t>
            </w:r>
          </w:p>
        </w:tc>
        <w:tc>
          <w:tcPr>
            <w:tcW w:w="560" w:type="pct"/>
            <w:vAlign w:val="center"/>
          </w:tcPr>
          <w:p w14:paraId="6459249F" w14:textId="77777777" w:rsidR="00D63A8C" w:rsidRPr="005F20C9" w:rsidRDefault="00D63A8C" w:rsidP="00BD3931">
            <w:pPr>
              <w:jc w:val="center"/>
              <w:rPr>
                <w:sz w:val="20"/>
                <w:szCs w:val="20"/>
              </w:rPr>
            </w:pPr>
            <w:r w:rsidRPr="005F20C9">
              <w:rPr>
                <w:sz w:val="20"/>
                <w:szCs w:val="20"/>
              </w:rPr>
              <w:t>Sector*</w:t>
            </w:r>
          </w:p>
        </w:tc>
        <w:tc>
          <w:tcPr>
            <w:tcW w:w="749" w:type="pct"/>
            <w:vAlign w:val="center"/>
          </w:tcPr>
          <w:p w14:paraId="4ADEDEAC" w14:textId="77777777" w:rsidR="00D63A8C" w:rsidRPr="005F20C9" w:rsidRDefault="00D63A8C" w:rsidP="00BD3931">
            <w:pPr>
              <w:jc w:val="center"/>
              <w:rPr>
                <w:sz w:val="20"/>
                <w:szCs w:val="20"/>
              </w:rPr>
            </w:pPr>
            <w:r w:rsidRPr="005F20C9">
              <w:rPr>
                <w:sz w:val="20"/>
                <w:szCs w:val="20"/>
              </w:rPr>
              <w:t>BldgType*</w:t>
            </w:r>
          </w:p>
        </w:tc>
        <w:tc>
          <w:tcPr>
            <w:tcW w:w="842" w:type="pct"/>
          </w:tcPr>
          <w:p w14:paraId="63115070" w14:textId="77777777" w:rsidR="00D63A8C" w:rsidRPr="005F20C9" w:rsidRDefault="00D63A8C" w:rsidP="00BD3931">
            <w:pPr>
              <w:jc w:val="center"/>
              <w:rPr>
                <w:sz w:val="20"/>
                <w:szCs w:val="20"/>
              </w:rPr>
            </w:pPr>
            <w:r w:rsidRPr="005F20C9">
              <w:rPr>
                <w:sz w:val="20"/>
                <w:szCs w:val="20"/>
              </w:rPr>
              <w:t>ProgDelivID</w:t>
            </w:r>
          </w:p>
        </w:tc>
      </w:tr>
      <w:tr w:rsidR="00386A57" w:rsidRPr="00386A57" w14:paraId="6BE553B1" w14:textId="77777777" w:rsidTr="00386A57">
        <w:trPr>
          <w:cnfStyle w:val="000000100000" w:firstRow="0" w:lastRow="0" w:firstColumn="0" w:lastColumn="0" w:oddVBand="0" w:evenVBand="0" w:oddHBand="1" w:evenHBand="0" w:firstRowFirstColumn="0" w:firstRowLastColumn="0" w:lastRowFirstColumn="0" w:lastRowLastColumn="0"/>
          <w:cantSplit/>
          <w:jc w:val="center"/>
        </w:trPr>
        <w:tc>
          <w:tcPr>
            <w:tcW w:w="902" w:type="pct"/>
            <w:vAlign w:val="center"/>
          </w:tcPr>
          <w:p w14:paraId="7F0BC5FC" w14:textId="6F7979AE" w:rsidR="00386A57" w:rsidRPr="00386A57" w:rsidRDefault="00386A57" w:rsidP="00386A57">
            <w:pPr>
              <w:jc w:val="center"/>
              <w:rPr>
                <w:sz w:val="20"/>
                <w:szCs w:val="20"/>
              </w:rPr>
            </w:pPr>
            <w:r w:rsidRPr="00386A57">
              <w:rPr>
                <w:sz w:val="20"/>
                <w:szCs w:val="20"/>
              </w:rPr>
              <w:t>ET-Default</w:t>
            </w:r>
          </w:p>
        </w:tc>
        <w:tc>
          <w:tcPr>
            <w:tcW w:w="1946" w:type="pct"/>
            <w:vAlign w:val="center"/>
          </w:tcPr>
          <w:p w14:paraId="01B76277" w14:textId="3E183BCF" w:rsidR="00386A57" w:rsidRPr="00386A57" w:rsidRDefault="00386A57" w:rsidP="00386A57">
            <w:pPr>
              <w:jc w:val="center"/>
              <w:rPr>
                <w:sz w:val="20"/>
                <w:szCs w:val="20"/>
              </w:rPr>
            </w:pPr>
            <w:r w:rsidRPr="00386A57">
              <w:rPr>
                <w:sz w:val="20"/>
                <w:szCs w:val="20"/>
              </w:rPr>
              <w:t>Emerging Technologies approved by ED through work paper review</w:t>
            </w:r>
          </w:p>
        </w:tc>
        <w:tc>
          <w:tcPr>
            <w:tcW w:w="560" w:type="pct"/>
            <w:vAlign w:val="center"/>
          </w:tcPr>
          <w:p w14:paraId="734923E7" w14:textId="28DE2E16" w:rsidR="00386A57" w:rsidRPr="00386A57" w:rsidRDefault="00386A57" w:rsidP="00386A57">
            <w:pPr>
              <w:jc w:val="center"/>
              <w:rPr>
                <w:sz w:val="20"/>
                <w:szCs w:val="20"/>
              </w:rPr>
            </w:pPr>
            <w:r w:rsidRPr="00386A57">
              <w:rPr>
                <w:sz w:val="20"/>
                <w:szCs w:val="20"/>
              </w:rPr>
              <w:t>All</w:t>
            </w:r>
          </w:p>
        </w:tc>
        <w:tc>
          <w:tcPr>
            <w:tcW w:w="749" w:type="pct"/>
            <w:vAlign w:val="center"/>
          </w:tcPr>
          <w:p w14:paraId="57F3495C" w14:textId="4273351F" w:rsidR="00386A57" w:rsidRPr="00386A57" w:rsidRDefault="00386A57" w:rsidP="00386A57">
            <w:pPr>
              <w:jc w:val="center"/>
              <w:rPr>
                <w:sz w:val="20"/>
                <w:szCs w:val="20"/>
              </w:rPr>
            </w:pPr>
            <w:r w:rsidRPr="00386A57">
              <w:rPr>
                <w:sz w:val="20"/>
                <w:szCs w:val="20"/>
              </w:rPr>
              <w:t>Any</w:t>
            </w:r>
          </w:p>
        </w:tc>
        <w:tc>
          <w:tcPr>
            <w:tcW w:w="842" w:type="pct"/>
            <w:vAlign w:val="center"/>
          </w:tcPr>
          <w:p w14:paraId="2B522351" w14:textId="409C2CE5" w:rsidR="00386A57" w:rsidRPr="00386A57" w:rsidRDefault="00386A57" w:rsidP="00386A57">
            <w:pPr>
              <w:jc w:val="center"/>
              <w:rPr>
                <w:sz w:val="20"/>
                <w:szCs w:val="20"/>
              </w:rPr>
            </w:pPr>
            <w:r w:rsidRPr="00386A57">
              <w:rPr>
                <w:sz w:val="20"/>
                <w:szCs w:val="20"/>
              </w:rPr>
              <w:t>All</w:t>
            </w:r>
          </w:p>
        </w:tc>
      </w:tr>
    </w:tbl>
    <w:p w14:paraId="019A5F2F" w14:textId="0FC1FBCD" w:rsidR="004A18EA" w:rsidRDefault="00BD3931" w:rsidP="00BD3931">
      <w:pPr>
        <w:ind w:firstLine="720"/>
        <w:rPr>
          <w:rFonts w:asciiTheme="minorHAnsi" w:hAnsiTheme="minorHAnsi" w:cstheme="minorHAnsi"/>
          <w:sz w:val="20"/>
          <w:szCs w:val="20"/>
        </w:rPr>
      </w:pPr>
      <w:r w:rsidRPr="00801F7F">
        <w:rPr>
          <w:rFonts w:asciiTheme="minorHAnsi" w:hAnsiTheme="minorHAnsi" w:cstheme="minorHAnsi"/>
          <w:sz w:val="20"/>
          <w:szCs w:val="20"/>
        </w:rPr>
        <w:t>*Denotes that the column is taken from the DEER NTG Table.</w:t>
      </w:r>
    </w:p>
    <w:bookmarkEnd w:id="10"/>
    <w:bookmarkEnd w:id="11"/>
    <w:p w14:paraId="16CD7702" w14:textId="10A0DB6F" w:rsidR="00A05CFF" w:rsidRPr="00894A02" w:rsidRDefault="00A05CFF" w:rsidP="00087CBD"/>
    <w:p w14:paraId="7275A09D" w14:textId="77777777" w:rsidR="00E16609" w:rsidRPr="000F130A" w:rsidRDefault="00824F1C" w:rsidP="00824F1C">
      <w:pPr>
        <w:pStyle w:val="Heading2"/>
        <w:rPr>
          <w:rFonts w:asciiTheme="minorHAnsi" w:hAnsiTheme="minorHAnsi" w:cstheme="minorHAnsi"/>
        </w:rPr>
      </w:pPr>
      <w:r>
        <w:rPr>
          <w:rFonts w:asciiTheme="minorHAnsi" w:hAnsiTheme="minorHAnsi" w:cstheme="minorHAnsi"/>
        </w:rPr>
        <w:t xml:space="preserve">1.6  </w:t>
      </w:r>
      <w:r w:rsidR="00E16609" w:rsidRPr="000F130A">
        <w:rPr>
          <w:rFonts w:asciiTheme="minorHAnsi" w:hAnsiTheme="minorHAnsi" w:cstheme="minorHAnsi"/>
        </w:rPr>
        <w:t>Time-of-Use Adjustment Factor</w:t>
      </w:r>
    </w:p>
    <w:p w14:paraId="76A95A75" w14:textId="6A18AB13" w:rsidR="00DA11A0" w:rsidRPr="00345D90" w:rsidRDefault="00DF553B" w:rsidP="007539BD">
      <w:r w:rsidRPr="007637F6">
        <w:t xml:space="preserve">As directed by the CPUC in decision 06-06-063 dated June 29, 2006, time-of-use (TOU) adjustment factors are to be applied for residential A/C and commercial A/C (packaged and </w:t>
      </w:r>
      <w:r w:rsidRPr="00087CBD">
        <w:t xml:space="preserve">split-system direct-expansion cooling) measures only.   Since this is not an A/C measure, the TOU </w:t>
      </w:r>
      <w:r w:rsidRPr="00087CBD">
        <w:lastRenderedPageBreak/>
        <w:t>adjustment factor is 0.</w:t>
      </w:r>
      <w:r w:rsidRPr="00A26098">
        <w:t xml:space="preserve">  </w:t>
      </w:r>
      <w:r w:rsidRPr="00894A02">
        <w:t>Additionally, if a measure is assigned a DEER08 load shape, i.e. the load shape starts with “DEER:” the TOU assigned to that measure should also be zero.</w:t>
      </w:r>
    </w:p>
    <w:p w14:paraId="5A00280C" w14:textId="77777777" w:rsidR="00801F7F" w:rsidRPr="00801F7F" w:rsidRDefault="00801F7F" w:rsidP="00801F7F">
      <w:pPr>
        <w:pStyle w:val="Caption"/>
        <w:keepNext/>
        <w:jc w:val="center"/>
        <w:rPr>
          <w:rFonts w:asciiTheme="minorHAnsi" w:hAnsiTheme="minorHAnsi" w:cstheme="minorHAnsi"/>
        </w:rPr>
      </w:pPr>
      <w:bookmarkStart w:id="13" w:name="_Ref242757962"/>
    </w:p>
    <w:p w14:paraId="530D43C7" w14:textId="1439C5DD" w:rsidR="00801F7F" w:rsidRPr="00385BC3" w:rsidRDefault="00801F7F" w:rsidP="00801F7F">
      <w:pPr>
        <w:pStyle w:val="Caption"/>
        <w:keepNext/>
        <w:jc w:val="center"/>
        <w:rPr>
          <w:sz w:val="22"/>
          <w:szCs w:val="22"/>
        </w:rPr>
      </w:pPr>
      <w:r w:rsidRPr="00385BC3">
        <w:rPr>
          <w:sz w:val="22"/>
          <w:szCs w:val="22"/>
        </w:rPr>
        <w:t xml:space="preserve">Table </w:t>
      </w:r>
      <w:r w:rsidRPr="00385BC3">
        <w:rPr>
          <w:sz w:val="22"/>
          <w:szCs w:val="22"/>
        </w:rPr>
        <w:fldChar w:fldCharType="begin"/>
      </w:r>
      <w:r w:rsidRPr="00385BC3">
        <w:rPr>
          <w:sz w:val="22"/>
          <w:szCs w:val="22"/>
        </w:rPr>
        <w:instrText xml:space="preserve"> SEQ Table \* ARABIC </w:instrText>
      </w:r>
      <w:r w:rsidRPr="00385BC3">
        <w:rPr>
          <w:sz w:val="22"/>
          <w:szCs w:val="22"/>
        </w:rPr>
        <w:fldChar w:fldCharType="separate"/>
      </w:r>
      <w:r w:rsidR="00D63A8C">
        <w:rPr>
          <w:noProof/>
          <w:sz w:val="22"/>
          <w:szCs w:val="22"/>
        </w:rPr>
        <w:t>7</w:t>
      </w:r>
      <w:r w:rsidRPr="00385BC3">
        <w:rPr>
          <w:sz w:val="22"/>
          <w:szCs w:val="22"/>
        </w:rPr>
        <w:fldChar w:fldCharType="end"/>
      </w:r>
      <w:bookmarkEnd w:id="13"/>
      <w:r w:rsidRPr="00385BC3">
        <w:rPr>
          <w:sz w:val="22"/>
          <w:szCs w:val="22"/>
        </w:rPr>
        <w:t xml:space="preserve"> TOU </w:t>
      </w:r>
      <w:r w:rsidR="00494628" w:rsidRPr="00385BC3">
        <w:rPr>
          <w:sz w:val="22"/>
          <w:szCs w:val="22"/>
        </w:rPr>
        <w:t>Summary Table</w:t>
      </w:r>
    </w:p>
    <w:tbl>
      <w:tblPr>
        <w:tblStyle w:val="TableContemporary"/>
        <w:tblW w:w="2900" w:type="pct"/>
        <w:jc w:val="center"/>
        <w:tblInd w:w="108" w:type="dxa"/>
        <w:tblBorders>
          <w:top w:val="single" w:sz="18" w:space="0" w:color="FFFFFF"/>
          <w:left w:val="single" w:sz="18" w:space="0" w:color="FFFFFF"/>
          <w:bottom w:val="single" w:sz="18" w:space="0" w:color="FFFFFF"/>
          <w:right w:val="single" w:sz="18" w:space="0" w:color="FFFFFF"/>
        </w:tblBorders>
        <w:shd w:val="clear" w:color="auto" w:fill="CCCCCC"/>
        <w:tblLook w:val="01E0" w:firstRow="1" w:lastRow="1" w:firstColumn="1" w:lastColumn="1" w:noHBand="0" w:noVBand="0"/>
      </w:tblPr>
      <w:tblGrid>
        <w:gridCol w:w="2988"/>
        <w:gridCol w:w="2566"/>
      </w:tblGrid>
      <w:tr w:rsidR="00447CE5" w:rsidRPr="00385BC3" w14:paraId="6F6A34FE" w14:textId="77777777" w:rsidTr="00BD7B82">
        <w:trPr>
          <w:cnfStyle w:val="100000000000" w:firstRow="1" w:lastRow="0" w:firstColumn="0" w:lastColumn="0" w:oddVBand="0" w:evenVBand="0" w:oddHBand="0" w:evenHBand="0" w:firstRowFirstColumn="0" w:firstRowLastColumn="0" w:lastRowFirstColumn="0" w:lastRowLastColumn="0"/>
          <w:jc w:val="center"/>
        </w:trPr>
        <w:tc>
          <w:tcPr>
            <w:tcW w:w="2690" w:type="pct"/>
            <w:tcBorders>
              <w:bottom w:val="single" w:sz="18" w:space="0" w:color="FFFFFF"/>
            </w:tcBorders>
            <w:shd w:val="clear" w:color="auto" w:fill="CCCCCC"/>
            <w:vAlign w:val="center"/>
          </w:tcPr>
          <w:p w14:paraId="3EEE06F4" w14:textId="77777777" w:rsidR="00447CE5" w:rsidRPr="00385BC3" w:rsidRDefault="00447CE5" w:rsidP="00BD7B82">
            <w:pPr>
              <w:jc w:val="center"/>
              <w:rPr>
                <w:sz w:val="20"/>
                <w:szCs w:val="20"/>
                <w:highlight w:val="yellow"/>
              </w:rPr>
            </w:pPr>
            <w:r w:rsidRPr="00385BC3">
              <w:rPr>
                <w:sz w:val="20"/>
                <w:szCs w:val="20"/>
              </w:rPr>
              <w:t>Measure</w:t>
            </w:r>
          </w:p>
        </w:tc>
        <w:tc>
          <w:tcPr>
            <w:tcW w:w="2310" w:type="pct"/>
            <w:tcBorders>
              <w:bottom w:val="single" w:sz="18" w:space="0" w:color="FFFFFF"/>
            </w:tcBorders>
            <w:shd w:val="clear" w:color="auto" w:fill="CCCCCC"/>
            <w:vAlign w:val="center"/>
          </w:tcPr>
          <w:p w14:paraId="4C8D9A6D" w14:textId="77777777" w:rsidR="00447CE5" w:rsidRPr="00385BC3" w:rsidRDefault="00447CE5" w:rsidP="00BD7B82">
            <w:pPr>
              <w:jc w:val="center"/>
              <w:rPr>
                <w:sz w:val="20"/>
                <w:szCs w:val="20"/>
                <w:highlight w:val="yellow"/>
              </w:rPr>
            </w:pPr>
            <w:r w:rsidRPr="00385BC3">
              <w:rPr>
                <w:sz w:val="20"/>
                <w:szCs w:val="20"/>
              </w:rPr>
              <w:t>%</w:t>
            </w:r>
          </w:p>
        </w:tc>
      </w:tr>
      <w:tr w:rsidR="00DF553B" w:rsidRPr="00385BC3" w14:paraId="19800795" w14:textId="77777777" w:rsidTr="00BD7B82">
        <w:trPr>
          <w:cnfStyle w:val="000000100000" w:firstRow="0" w:lastRow="0" w:firstColumn="0" w:lastColumn="0" w:oddVBand="0" w:evenVBand="0" w:oddHBand="1" w:evenHBand="0" w:firstRowFirstColumn="0" w:firstRowLastColumn="0" w:lastRowFirstColumn="0" w:lastRowLastColumn="0"/>
          <w:jc w:val="center"/>
        </w:trPr>
        <w:tc>
          <w:tcPr>
            <w:tcW w:w="2690" w:type="pct"/>
            <w:shd w:val="clear" w:color="auto" w:fill="F3F3F3"/>
            <w:vAlign w:val="center"/>
          </w:tcPr>
          <w:p w14:paraId="587FD59B" w14:textId="41AD609F" w:rsidR="00DF553B" w:rsidRPr="00385BC3" w:rsidRDefault="00A53C2E" w:rsidP="00A53C2E">
            <w:pPr>
              <w:jc w:val="center"/>
              <w:rPr>
                <w:sz w:val="20"/>
                <w:szCs w:val="20"/>
              </w:rPr>
            </w:pPr>
            <w:r>
              <w:rPr>
                <w:sz w:val="20"/>
                <w:szCs w:val="20"/>
              </w:rPr>
              <w:t xml:space="preserve">Linear </w:t>
            </w:r>
            <w:r w:rsidR="00DF553B">
              <w:rPr>
                <w:sz w:val="20"/>
                <w:szCs w:val="20"/>
              </w:rPr>
              <w:t>LED</w:t>
            </w:r>
            <w:r>
              <w:rPr>
                <w:sz w:val="20"/>
                <w:szCs w:val="20"/>
              </w:rPr>
              <w:t xml:space="preserve"> Strip</w:t>
            </w:r>
          </w:p>
        </w:tc>
        <w:tc>
          <w:tcPr>
            <w:tcW w:w="2310" w:type="pct"/>
            <w:shd w:val="clear" w:color="auto" w:fill="F3F3F3"/>
            <w:vAlign w:val="center"/>
          </w:tcPr>
          <w:p w14:paraId="3B32735A" w14:textId="38B5C210" w:rsidR="00DF553B" w:rsidRPr="00385BC3" w:rsidRDefault="00DF553B" w:rsidP="00BD7B82">
            <w:pPr>
              <w:jc w:val="center"/>
              <w:rPr>
                <w:sz w:val="20"/>
                <w:szCs w:val="20"/>
              </w:rPr>
            </w:pPr>
            <w:r w:rsidRPr="00385BC3">
              <w:rPr>
                <w:sz w:val="20"/>
                <w:szCs w:val="20"/>
              </w:rPr>
              <w:t>0</w:t>
            </w:r>
          </w:p>
        </w:tc>
      </w:tr>
    </w:tbl>
    <w:p w14:paraId="1271552D" w14:textId="77777777" w:rsidR="00DF553B" w:rsidRPr="000C18CC" w:rsidRDefault="00DF553B" w:rsidP="00DF553B">
      <w:pPr>
        <w:pStyle w:val="Reminders"/>
        <w:rPr>
          <w:rFonts w:asciiTheme="minorHAnsi" w:hAnsiTheme="minorHAnsi" w:cstheme="minorHAnsi"/>
          <w:i w:val="0"/>
          <w:color w:val="auto"/>
          <w:sz w:val="20"/>
          <w:szCs w:val="20"/>
        </w:rPr>
      </w:pPr>
      <w:r w:rsidRPr="000C18CC">
        <w:rPr>
          <w:rFonts w:asciiTheme="minorHAnsi" w:hAnsiTheme="minorHAnsi" w:cstheme="minorHAnsi"/>
          <w:i w:val="0"/>
          <w:color w:val="auto"/>
          <w:sz w:val="20"/>
          <w:szCs w:val="20"/>
        </w:rPr>
        <w:t>Note:  Check Section 3 if a measure appears to require a non-zero percentage but is assigned zero.  If the load shape is a DEER08 load shape, a TOU of 0 is correct.</w:t>
      </w:r>
    </w:p>
    <w:p w14:paraId="70D9B079" w14:textId="77777777" w:rsidR="00E16609" w:rsidRPr="00560934" w:rsidRDefault="00E16609" w:rsidP="00560934">
      <w:pPr>
        <w:pStyle w:val="Heading1"/>
        <w:keepNext w:val="0"/>
        <w:rPr>
          <w:rFonts w:asciiTheme="minorHAnsi" w:hAnsiTheme="minorHAnsi" w:cstheme="minorHAnsi"/>
        </w:rPr>
      </w:pPr>
      <w:bookmarkStart w:id="14" w:name="_Toc214003090"/>
      <w:r w:rsidRPr="00560934">
        <w:rPr>
          <w:rFonts w:asciiTheme="minorHAnsi" w:hAnsiTheme="minorHAnsi" w:cstheme="minorHAnsi"/>
        </w:rPr>
        <w:t>Section 2. Energy Savings &amp; Demand Reduction Calculations</w:t>
      </w:r>
      <w:bookmarkEnd w:id="14"/>
    </w:p>
    <w:p w14:paraId="1A9251CE" w14:textId="77777777" w:rsidR="00E971BD" w:rsidRDefault="00D36260" w:rsidP="00E971BD">
      <w:pPr>
        <w:outlineLvl w:val="0"/>
        <w:rPr>
          <w:b/>
        </w:rPr>
      </w:pPr>
      <w:r>
        <w:rPr>
          <w:b/>
        </w:rPr>
        <w:t>2.1 Energy Savings Calculations</w:t>
      </w:r>
    </w:p>
    <w:p w14:paraId="038E8B97" w14:textId="77777777" w:rsidR="00084336" w:rsidRPr="00FA449E" w:rsidRDefault="00084336" w:rsidP="00084336">
      <w:pPr>
        <w:pStyle w:val="Lvl4"/>
        <w:spacing w:before="120"/>
        <w:ind w:left="0"/>
        <w:rPr>
          <w:b w:val="0"/>
          <w:i w:val="0"/>
        </w:rPr>
      </w:pPr>
      <w:r>
        <w:rPr>
          <w:b w:val="0"/>
          <w:i w:val="0"/>
        </w:rPr>
        <w:t xml:space="preserve">The energy savings (ΔWatts) is the difference in wattage </w:t>
      </w:r>
      <w:r w:rsidRPr="00A064EC">
        <w:rPr>
          <w:b w:val="0"/>
          <w:i w:val="0"/>
        </w:rPr>
        <w:t xml:space="preserve">from the base case to the measure </w:t>
      </w:r>
      <w:r>
        <w:rPr>
          <w:b w:val="0"/>
          <w:i w:val="0"/>
        </w:rPr>
        <w:t xml:space="preserve">case as shown below. </w:t>
      </w:r>
    </w:p>
    <w:p w14:paraId="0E8DE252" w14:textId="77777777" w:rsidR="00084336" w:rsidRDefault="00084336" w:rsidP="00084336"/>
    <w:p w14:paraId="74301BAF" w14:textId="77777777" w:rsidR="00084336" w:rsidRDefault="00084336" w:rsidP="00084336">
      <w:r w:rsidRPr="00A064EC">
        <w:t>ΔWatts</w:t>
      </w:r>
      <w:r>
        <w:t xml:space="preserve"> = Base Case Wattage – Measure Case Wattage</w:t>
      </w:r>
    </w:p>
    <w:p w14:paraId="74A2F5BE" w14:textId="77777777" w:rsidR="00084336" w:rsidRDefault="00084336" w:rsidP="00084336"/>
    <w:p w14:paraId="3F754EB5" w14:textId="3935C763" w:rsidR="00084336" w:rsidRDefault="00084336" w:rsidP="00084336">
      <w:r>
        <w:t xml:space="preserve">The assumed </w:t>
      </w:r>
      <w:r w:rsidR="00BA08E1">
        <w:t xml:space="preserve">base case </w:t>
      </w:r>
      <w:r>
        <w:t>lighting systems are taken to be a 31W T8 linear fluorescent fixture, a 43W</w:t>
      </w:r>
      <w:r w:rsidR="00BA08E1">
        <w:t xml:space="preserve"> T12 linear fluorescent f</w:t>
      </w:r>
      <w:r>
        <w:t>ixture</w:t>
      </w:r>
      <w:r w:rsidR="00BA08E1">
        <w:t>, and a 108W pin-based halogen lamp fixture for the L-O11, L-O21, and L-O31 product code measures, respectively</w:t>
      </w:r>
      <w:r>
        <w:t>. The replacement system is taken to be a 4</w:t>
      </w:r>
      <w:r w:rsidR="00BA08E1">
        <w:t>’</w:t>
      </w:r>
      <w:r>
        <w:t>-5’ LED system</w:t>
      </w:r>
      <w:r w:rsidR="00BA08E1">
        <w:t xml:space="preserve">, at an average rating of </w:t>
      </w:r>
      <w:r w:rsidR="00BA08E1" w:rsidRPr="00D63A8C">
        <w:t>29W</w:t>
      </w:r>
      <w:r w:rsidR="00A62726" w:rsidRPr="00D63A8C">
        <w:t xml:space="preserve"> [</w:t>
      </w:r>
      <w:r w:rsidR="00A62726" w:rsidRPr="00D63A8C">
        <w:rPr>
          <w:rStyle w:val="EndnoteReference"/>
          <w:vertAlign w:val="baseline"/>
        </w:rPr>
        <w:endnoteReference w:id="5"/>
      </w:r>
      <w:r w:rsidR="00A62726" w:rsidRPr="00D63A8C">
        <w:t>]</w:t>
      </w:r>
      <w:r w:rsidRPr="00D63A8C">
        <w:t xml:space="preserve">. </w:t>
      </w:r>
      <w:r w:rsidRPr="00D63A8C">
        <w:fldChar w:fldCharType="begin"/>
      </w:r>
      <w:r w:rsidRPr="00D63A8C">
        <w:instrText xml:space="preserve"> REF _Ref252786485 \h </w:instrText>
      </w:r>
      <w:r w:rsidRPr="00D63A8C">
        <w:fldChar w:fldCharType="separate"/>
      </w:r>
      <w:r w:rsidR="00D63A8C" w:rsidRPr="00D63A8C">
        <w:t xml:space="preserve">Table </w:t>
      </w:r>
      <w:r w:rsidR="00D63A8C" w:rsidRPr="00D63A8C">
        <w:rPr>
          <w:noProof/>
        </w:rPr>
        <w:t>8</w:t>
      </w:r>
      <w:r w:rsidRPr="00D63A8C">
        <w:fldChar w:fldCharType="end"/>
      </w:r>
      <w:r w:rsidRPr="00D63A8C">
        <w:t xml:space="preserve"> provides</w:t>
      </w:r>
      <w:r>
        <w:t xml:space="preserve"> a sample summary of the measure, base case, and delta wattages used in the energy calculation methodology.</w:t>
      </w:r>
    </w:p>
    <w:p w14:paraId="1259548F" w14:textId="77777777" w:rsidR="00084336" w:rsidRDefault="00084336" w:rsidP="00084336">
      <w:pPr>
        <w:rPr>
          <w:b/>
          <w:color w:val="FF0000"/>
        </w:rPr>
      </w:pPr>
    </w:p>
    <w:p w14:paraId="080DBB4F" w14:textId="77777777" w:rsidR="00084336" w:rsidRPr="00C522DD" w:rsidRDefault="00084336" w:rsidP="00084336">
      <w:pPr>
        <w:pStyle w:val="Caption"/>
        <w:jc w:val="center"/>
        <w:rPr>
          <w:b w:val="0"/>
          <w:color w:val="FF0000"/>
          <w:sz w:val="22"/>
        </w:rPr>
      </w:pPr>
      <w:bookmarkStart w:id="15" w:name="_Ref252786485"/>
      <w:r w:rsidRPr="00C522DD">
        <w:rPr>
          <w:sz w:val="22"/>
        </w:rPr>
        <w:t xml:space="preserve">Table </w:t>
      </w:r>
      <w:r w:rsidRPr="00C522DD">
        <w:rPr>
          <w:sz w:val="22"/>
        </w:rPr>
        <w:fldChar w:fldCharType="begin"/>
      </w:r>
      <w:r w:rsidRPr="00C522DD">
        <w:rPr>
          <w:sz w:val="22"/>
        </w:rPr>
        <w:instrText xml:space="preserve"> SEQ Table \* ARABIC </w:instrText>
      </w:r>
      <w:r w:rsidRPr="00C522DD">
        <w:rPr>
          <w:sz w:val="22"/>
        </w:rPr>
        <w:fldChar w:fldCharType="separate"/>
      </w:r>
      <w:r w:rsidR="00D63A8C">
        <w:rPr>
          <w:noProof/>
          <w:sz w:val="22"/>
        </w:rPr>
        <w:t>8</w:t>
      </w:r>
      <w:r w:rsidRPr="00C522DD">
        <w:rPr>
          <w:noProof/>
          <w:sz w:val="22"/>
        </w:rPr>
        <w:fldChar w:fldCharType="end"/>
      </w:r>
      <w:bookmarkEnd w:id="15"/>
      <w:r w:rsidRPr="00C522DD">
        <w:rPr>
          <w:sz w:val="22"/>
        </w:rPr>
        <w:t xml:space="preserve"> Measure Wattage Summary</w:t>
      </w:r>
    </w:p>
    <w:tbl>
      <w:tblPr>
        <w:tblStyle w:val="TableContemporary"/>
        <w:tblW w:w="0" w:type="auto"/>
        <w:jc w:val="center"/>
        <w:tblLayout w:type="fixed"/>
        <w:tblLook w:val="04A0" w:firstRow="1" w:lastRow="0" w:firstColumn="1" w:lastColumn="0" w:noHBand="0" w:noVBand="1"/>
      </w:tblPr>
      <w:tblGrid>
        <w:gridCol w:w="936"/>
        <w:gridCol w:w="1616"/>
        <w:gridCol w:w="1260"/>
        <w:gridCol w:w="1260"/>
        <w:gridCol w:w="1090"/>
        <w:gridCol w:w="810"/>
        <w:gridCol w:w="1045"/>
        <w:gridCol w:w="1045"/>
      </w:tblGrid>
      <w:tr w:rsidR="00F63C96" w:rsidRPr="00CE43DC" w14:paraId="365A0E0F" w14:textId="685AB598" w:rsidTr="00F63C96">
        <w:trPr>
          <w:cnfStyle w:val="100000000000" w:firstRow="1" w:lastRow="0" w:firstColumn="0" w:lastColumn="0" w:oddVBand="0" w:evenVBand="0" w:oddHBand="0" w:evenHBand="0" w:firstRowFirstColumn="0" w:firstRowLastColumn="0" w:lastRowFirstColumn="0" w:lastRowLastColumn="0"/>
          <w:cantSplit/>
          <w:tblHeader/>
          <w:jc w:val="center"/>
        </w:trPr>
        <w:tc>
          <w:tcPr>
            <w:tcW w:w="936" w:type="dxa"/>
            <w:vAlign w:val="center"/>
          </w:tcPr>
          <w:p w14:paraId="11D77282" w14:textId="77777777" w:rsidR="00F63C96" w:rsidRPr="00CE43DC" w:rsidRDefault="00F63C96" w:rsidP="00084336">
            <w:pPr>
              <w:jc w:val="center"/>
              <w:rPr>
                <w:sz w:val="20"/>
              </w:rPr>
            </w:pPr>
            <w:r w:rsidRPr="00CE43DC">
              <w:rPr>
                <w:sz w:val="20"/>
              </w:rPr>
              <w:t>Product Code</w:t>
            </w:r>
          </w:p>
        </w:tc>
        <w:tc>
          <w:tcPr>
            <w:tcW w:w="1616" w:type="dxa"/>
            <w:vAlign w:val="center"/>
          </w:tcPr>
          <w:p w14:paraId="1150B088" w14:textId="77777777" w:rsidR="00F63C96" w:rsidRPr="00CE43DC" w:rsidRDefault="00F63C96" w:rsidP="00084336">
            <w:pPr>
              <w:jc w:val="center"/>
              <w:rPr>
                <w:sz w:val="20"/>
              </w:rPr>
            </w:pPr>
            <w:r w:rsidRPr="00CE43DC">
              <w:rPr>
                <w:sz w:val="20"/>
              </w:rPr>
              <w:t>TechType</w:t>
            </w:r>
          </w:p>
        </w:tc>
        <w:tc>
          <w:tcPr>
            <w:tcW w:w="1260" w:type="dxa"/>
            <w:vAlign w:val="center"/>
          </w:tcPr>
          <w:p w14:paraId="5F9119EF" w14:textId="77777777" w:rsidR="00F63C96" w:rsidRPr="00CE43DC" w:rsidRDefault="00F63C96" w:rsidP="00084336">
            <w:pPr>
              <w:jc w:val="center"/>
              <w:rPr>
                <w:sz w:val="20"/>
              </w:rPr>
            </w:pPr>
            <w:r w:rsidRPr="00CE43DC">
              <w:rPr>
                <w:sz w:val="20"/>
              </w:rPr>
              <w:t>Base Case Technology</w:t>
            </w:r>
          </w:p>
        </w:tc>
        <w:tc>
          <w:tcPr>
            <w:tcW w:w="1260" w:type="dxa"/>
            <w:vAlign w:val="center"/>
          </w:tcPr>
          <w:p w14:paraId="5C9CDF6E" w14:textId="77777777" w:rsidR="00F63C96" w:rsidRPr="00CE43DC" w:rsidRDefault="00F63C96" w:rsidP="00084336">
            <w:pPr>
              <w:jc w:val="center"/>
              <w:rPr>
                <w:sz w:val="20"/>
              </w:rPr>
            </w:pPr>
            <w:r w:rsidRPr="00CE43DC">
              <w:rPr>
                <w:sz w:val="20"/>
              </w:rPr>
              <w:t>Measure Technology</w:t>
            </w:r>
          </w:p>
        </w:tc>
        <w:tc>
          <w:tcPr>
            <w:tcW w:w="1090" w:type="dxa"/>
            <w:vAlign w:val="center"/>
          </w:tcPr>
          <w:p w14:paraId="09347799" w14:textId="77777777" w:rsidR="00F63C96" w:rsidRPr="00CE43DC" w:rsidRDefault="00F63C96" w:rsidP="00084336">
            <w:pPr>
              <w:jc w:val="center"/>
              <w:rPr>
                <w:sz w:val="20"/>
              </w:rPr>
            </w:pPr>
            <w:r>
              <w:rPr>
                <w:sz w:val="20"/>
              </w:rPr>
              <w:t>Base Case</w:t>
            </w:r>
          </w:p>
          <w:p w14:paraId="3CDCECFE" w14:textId="60E61B3A" w:rsidR="00F63C96" w:rsidRPr="00CE43DC" w:rsidRDefault="00F63C96" w:rsidP="00084336">
            <w:pPr>
              <w:jc w:val="center"/>
              <w:rPr>
                <w:sz w:val="20"/>
              </w:rPr>
            </w:pPr>
            <w:r w:rsidRPr="00CE43DC">
              <w:rPr>
                <w:sz w:val="20"/>
              </w:rPr>
              <w:t>Watts</w:t>
            </w:r>
          </w:p>
        </w:tc>
        <w:tc>
          <w:tcPr>
            <w:tcW w:w="810" w:type="dxa"/>
            <w:vAlign w:val="center"/>
          </w:tcPr>
          <w:p w14:paraId="027C9FE6" w14:textId="0E50692A" w:rsidR="00F63C96" w:rsidRPr="00CE43DC" w:rsidRDefault="00F63C96" w:rsidP="00084336">
            <w:pPr>
              <w:jc w:val="center"/>
              <w:rPr>
                <w:sz w:val="20"/>
              </w:rPr>
            </w:pPr>
            <w:r>
              <w:rPr>
                <w:sz w:val="20"/>
              </w:rPr>
              <w:t>Meas.</w:t>
            </w:r>
            <w:r w:rsidRPr="00CE43DC">
              <w:rPr>
                <w:sz w:val="20"/>
              </w:rPr>
              <w:t xml:space="preserve"> Watts</w:t>
            </w:r>
          </w:p>
        </w:tc>
        <w:tc>
          <w:tcPr>
            <w:tcW w:w="1045" w:type="dxa"/>
            <w:vAlign w:val="center"/>
          </w:tcPr>
          <w:p w14:paraId="788C3855" w14:textId="41484976" w:rsidR="00F63C96" w:rsidRPr="00CE43DC" w:rsidRDefault="00F63C96" w:rsidP="00084336">
            <w:pPr>
              <w:jc w:val="center"/>
              <w:rPr>
                <w:sz w:val="20"/>
              </w:rPr>
            </w:pPr>
            <w:r w:rsidRPr="00CE43DC">
              <w:rPr>
                <w:sz w:val="20"/>
              </w:rPr>
              <w:t>Δ Watts</w:t>
            </w:r>
          </w:p>
        </w:tc>
        <w:tc>
          <w:tcPr>
            <w:tcW w:w="1045" w:type="dxa"/>
            <w:vAlign w:val="center"/>
          </w:tcPr>
          <w:p w14:paraId="2CECA6F0" w14:textId="77777777" w:rsidR="00F63C96" w:rsidRPr="00CE43DC" w:rsidRDefault="00F63C96" w:rsidP="00917F7F">
            <w:pPr>
              <w:jc w:val="center"/>
              <w:rPr>
                <w:sz w:val="20"/>
              </w:rPr>
            </w:pPr>
            <w:r w:rsidRPr="00CE43DC">
              <w:rPr>
                <w:sz w:val="20"/>
              </w:rPr>
              <w:t>CstAve</w:t>
            </w:r>
          </w:p>
          <w:p w14:paraId="7AF573BD" w14:textId="0DCD0854" w:rsidR="00F63C96" w:rsidRPr="00CE43DC" w:rsidRDefault="00F63C96" w:rsidP="00084336">
            <w:pPr>
              <w:jc w:val="center"/>
              <w:rPr>
                <w:sz w:val="20"/>
              </w:rPr>
            </w:pPr>
            <w:r w:rsidRPr="00CE43DC">
              <w:rPr>
                <w:sz w:val="20"/>
              </w:rPr>
              <w:t>Δ Watts</w:t>
            </w:r>
            <w:r>
              <w:rPr>
                <w:sz w:val="20"/>
              </w:rPr>
              <w:t>/ft.</w:t>
            </w:r>
          </w:p>
        </w:tc>
      </w:tr>
      <w:tr w:rsidR="00F63C96" w:rsidRPr="00253907" w14:paraId="422A8882" w14:textId="35660C9A" w:rsidTr="00F63C96">
        <w:trPr>
          <w:cnfStyle w:val="000000100000" w:firstRow="0" w:lastRow="0" w:firstColumn="0" w:lastColumn="0" w:oddVBand="0" w:evenVBand="0" w:oddHBand="1" w:evenHBand="0" w:firstRowFirstColumn="0" w:firstRowLastColumn="0" w:lastRowFirstColumn="0" w:lastRowLastColumn="0"/>
          <w:cantSplit/>
          <w:jc w:val="center"/>
        </w:trPr>
        <w:tc>
          <w:tcPr>
            <w:tcW w:w="936" w:type="dxa"/>
            <w:vAlign w:val="center"/>
          </w:tcPr>
          <w:p w14:paraId="37DA1C8F" w14:textId="63FE05C5" w:rsidR="00F63C96" w:rsidRDefault="00F63C96" w:rsidP="00084336">
            <w:pPr>
              <w:jc w:val="center"/>
              <w:rPr>
                <w:sz w:val="18"/>
              </w:rPr>
            </w:pPr>
            <w:r w:rsidRPr="00C901E0">
              <w:rPr>
                <w:sz w:val="20"/>
                <w:szCs w:val="20"/>
              </w:rPr>
              <w:t>L-O11</w:t>
            </w:r>
          </w:p>
        </w:tc>
        <w:tc>
          <w:tcPr>
            <w:tcW w:w="1616" w:type="dxa"/>
          </w:tcPr>
          <w:p w14:paraId="45865BE3" w14:textId="7C765CBA" w:rsidR="00F63C96" w:rsidRPr="004F74F7" w:rsidRDefault="00F63C96" w:rsidP="00084336">
            <w:pPr>
              <w:jc w:val="center"/>
              <w:rPr>
                <w:sz w:val="18"/>
              </w:rPr>
            </w:pPr>
            <w:r w:rsidRPr="00C901E0">
              <w:rPr>
                <w:sz w:val="20"/>
                <w:szCs w:val="20"/>
              </w:rPr>
              <w:t>New Linear LED Strip (T8 base case)</w:t>
            </w:r>
          </w:p>
        </w:tc>
        <w:tc>
          <w:tcPr>
            <w:tcW w:w="1260" w:type="dxa"/>
            <w:vAlign w:val="center"/>
          </w:tcPr>
          <w:p w14:paraId="4E7FE74F" w14:textId="77777777" w:rsidR="00F63C96" w:rsidRPr="004F74F7" w:rsidRDefault="00F63C96" w:rsidP="00084336">
            <w:pPr>
              <w:jc w:val="center"/>
              <w:rPr>
                <w:sz w:val="18"/>
              </w:rPr>
            </w:pPr>
            <w:r>
              <w:rPr>
                <w:sz w:val="18"/>
              </w:rPr>
              <w:t>Linear Fluorescent</w:t>
            </w:r>
          </w:p>
        </w:tc>
        <w:tc>
          <w:tcPr>
            <w:tcW w:w="1260" w:type="dxa"/>
            <w:vAlign w:val="center"/>
          </w:tcPr>
          <w:p w14:paraId="1BD9A55B" w14:textId="401A8E98" w:rsidR="00F63C96" w:rsidRPr="004F74F7" w:rsidRDefault="00F63C96" w:rsidP="00F63C96">
            <w:pPr>
              <w:jc w:val="center"/>
              <w:rPr>
                <w:sz w:val="18"/>
              </w:rPr>
            </w:pPr>
            <w:r>
              <w:rPr>
                <w:sz w:val="18"/>
              </w:rPr>
              <w:t>Linear LED Strip</w:t>
            </w:r>
          </w:p>
        </w:tc>
        <w:tc>
          <w:tcPr>
            <w:tcW w:w="1090" w:type="dxa"/>
            <w:vAlign w:val="center"/>
          </w:tcPr>
          <w:p w14:paraId="07A95DDE" w14:textId="18F0020C" w:rsidR="00F63C96" w:rsidRDefault="00F63C96" w:rsidP="00084336">
            <w:pPr>
              <w:jc w:val="center"/>
              <w:rPr>
                <w:sz w:val="18"/>
              </w:rPr>
            </w:pPr>
            <w:r>
              <w:rPr>
                <w:sz w:val="18"/>
              </w:rPr>
              <w:t>31</w:t>
            </w:r>
          </w:p>
        </w:tc>
        <w:tc>
          <w:tcPr>
            <w:tcW w:w="810" w:type="dxa"/>
            <w:vAlign w:val="center"/>
          </w:tcPr>
          <w:p w14:paraId="0782BDE8" w14:textId="64D04A12" w:rsidR="00F63C96" w:rsidRDefault="00F63C96" w:rsidP="00084336">
            <w:pPr>
              <w:jc w:val="center"/>
              <w:rPr>
                <w:sz w:val="18"/>
              </w:rPr>
            </w:pPr>
            <w:r>
              <w:rPr>
                <w:sz w:val="18"/>
              </w:rPr>
              <w:t>29</w:t>
            </w:r>
          </w:p>
        </w:tc>
        <w:tc>
          <w:tcPr>
            <w:tcW w:w="1045" w:type="dxa"/>
            <w:vAlign w:val="center"/>
          </w:tcPr>
          <w:p w14:paraId="751F05B3" w14:textId="68A9F2EF" w:rsidR="00F63C96" w:rsidRDefault="00F63C96" w:rsidP="00084336">
            <w:pPr>
              <w:jc w:val="center"/>
              <w:rPr>
                <w:sz w:val="18"/>
              </w:rPr>
            </w:pPr>
            <w:r>
              <w:rPr>
                <w:sz w:val="18"/>
              </w:rPr>
              <w:t>2</w:t>
            </w:r>
          </w:p>
        </w:tc>
        <w:tc>
          <w:tcPr>
            <w:tcW w:w="1045" w:type="dxa"/>
            <w:vAlign w:val="center"/>
          </w:tcPr>
          <w:p w14:paraId="26FE3C00" w14:textId="4E872D59" w:rsidR="00F63C96" w:rsidRDefault="00F63C96" w:rsidP="00084336">
            <w:pPr>
              <w:jc w:val="center"/>
              <w:rPr>
                <w:sz w:val="18"/>
              </w:rPr>
            </w:pPr>
            <w:r>
              <w:rPr>
                <w:sz w:val="18"/>
              </w:rPr>
              <w:t>0.5</w:t>
            </w:r>
          </w:p>
        </w:tc>
      </w:tr>
      <w:tr w:rsidR="00F63C96" w:rsidRPr="00253907" w14:paraId="70EC0275" w14:textId="02508D7E" w:rsidTr="00F63C96">
        <w:trPr>
          <w:cnfStyle w:val="000000010000" w:firstRow="0" w:lastRow="0" w:firstColumn="0" w:lastColumn="0" w:oddVBand="0" w:evenVBand="0" w:oddHBand="0" w:evenHBand="1" w:firstRowFirstColumn="0" w:firstRowLastColumn="0" w:lastRowFirstColumn="0" w:lastRowLastColumn="0"/>
          <w:cantSplit/>
          <w:jc w:val="center"/>
        </w:trPr>
        <w:tc>
          <w:tcPr>
            <w:tcW w:w="936" w:type="dxa"/>
            <w:vAlign w:val="center"/>
          </w:tcPr>
          <w:p w14:paraId="74C3AD07" w14:textId="468DB868" w:rsidR="00F63C96" w:rsidRDefault="00F63C96" w:rsidP="00084336">
            <w:pPr>
              <w:jc w:val="center"/>
              <w:rPr>
                <w:sz w:val="18"/>
              </w:rPr>
            </w:pPr>
            <w:r>
              <w:rPr>
                <w:sz w:val="20"/>
                <w:szCs w:val="20"/>
              </w:rPr>
              <w:t>L-O21</w:t>
            </w:r>
          </w:p>
        </w:tc>
        <w:tc>
          <w:tcPr>
            <w:tcW w:w="1616" w:type="dxa"/>
          </w:tcPr>
          <w:p w14:paraId="11D1E287" w14:textId="3589526D" w:rsidR="00F63C96" w:rsidRPr="004F74F7" w:rsidRDefault="00F63C96" w:rsidP="00084336">
            <w:pPr>
              <w:jc w:val="center"/>
              <w:rPr>
                <w:sz w:val="18"/>
              </w:rPr>
            </w:pPr>
            <w:r>
              <w:rPr>
                <w:sz w:val="20"/>
                <w:szCs w:val="20"/>
              </w:rPr>
              <w:t>New Linear LED Strip (T12</w:t>
            </w:r>
            <w:r w:rsidRPr="00C901E0">
              <w:rPr>
                <w:sz w:val="20"/>
                <w:szCs w:val="20"/>
              </w:rPr>
              <w:t xml:space="preserve"> base case)</w:t>
            </w:r>
          </w:p>
        </w:tc>
        <w:tc>
          <w:tcPr>
            <w:tcW w:w="1260" w:type="dxa"/>
            <w:vAlign w:val="center"/>
          </w:tcPr>
          <w:p w14:paraId="3BEC079F" w14:textId="77777777" w:rsidR="00F63C96" w:rsidRPr="004F74F7" w:rsidRDefault="00F63C96" w:rsidP="00084336">
            <w:pPr>
              <w:jc w:val="center"/>
              <w:rPr>
                <w:sz w:val="18"/>
              </w:rPr>
            </w:pPr>
            <w:r>
              <w:rPr>
                <w:sz w:val="18"/>
              </w:rPr>
              <w:t>Linear Fluorescent</w:t>
            </w:r>
          </w:p>
        </w:tc>
        <w:tc>
          <w:tcPr>
            <w:tcW w:w="1260" w:type="dxa"/>
            <w:vAlign w:val="center"/>
          </w:tcPr>
          <w:p w14:paraId="68ED298A" w14:textId="28CB0EE7" w:rsidR="00F63C96" w:rsidRPr="004F74F7" w:rsidRDefault="00F63C96" w:rsidP="00F63C96">
            <w:pPr>
              <w:jc w:val="center"/>
              <w:rPr>
                <w:sz w:val="18"/>
              </w:rPr>
            </w:pPr>
            <w:r w:rsidRPr="00E76157">
              <w:rPr>
                <w:sz w:val="18"/>
              </w:rPr>
              <w:t>Linear LED Strip</w:t>
            </w:r>
          </w:p>
        </w:tc>
        <w:tc>
          <w:tcPr>
            <w:tcW w:w="1090" w:type="dxa"/>
            <w:vAlign w:val="center"/>
          </w:tcPr>
          <w:p w14:paraId="6D5F779C" w14:textId="3468BC8A" w:rsidR="00F63C96" w:rsidRDefault="00F63C96" w:rsidP="00084336">
            <w:pPr>
              <w:jc w:val="center"/>
              <w:rPr>
                <w:sz w:val="18"/>
              </w:rPr>
            </w:pPr>
            <w:r>
              <w:rPr>
                <w:sz w:val="18"/>
              </w:rPr>
              <w:t>43</w:t>
            </w:r>
          </w:p>
        </w:tc>
        <w:tc>
          <w:tcPr>
            <w:tcW w:w="810" w:type="dxa"/>
            <w:vAlign w:val="center"/>
          </w:tcPr>
          <w:p w14:paraId="027C8BC5" w14:textId="6FE94359" w:rsidR="00F63C96" w:rsidRDefault="00F63C96" w:rsidP="00084336">
            <w:pPr>
              <w:jc w:val="center"/>
              <w:rPr>
                <w:sz w:val="18"/>
              </w:rPr>
            </w:pPr>
            <w:r>
              <w:rPr>
                <w:sz w:val="18"/>
              </w:rPr>
              <w:t>29</w:t>
            </w:r>
          </w:p>
        </w:tc>
        <w:tc>
          <w:tcPr>
            <w:tcW w:w="1045" w:type="dxa"/>
            <w:vAlign w:val="center"/>
          </w:tcPr>
          <w:p w14:paraId="57BC6142" w14:textId="3A439A9B" w:rsidR="00F63C96" w:rsidRDefault="00F63C96" w:rsidP="00084336">
            <w:pPr>
              <w:jc w:val="center"/>
              <w:rPr>
                <w:sz w:val="18"/>
              </w:rPr>
            </w:pPr>
            <w:r>
              <w:rPr>
                <w:sz w:val="18"/>
              </w:rPr>
              <w:t>14</w:t>
            </w:r>
          </w:p>
        </w:tc>
        <w:tc>
          <w:tcPr>
            <w:tcW w:w="1045" w:type="dxa"/>
            <w:vAlign w:val="center"/>
          </w:tcPr>
          <w:p w14:paraId="6750C4CE" w14:textId="377346C6" w:rsidR="00F63C96" w:rsidRDefault="00F63C96" w:rsidP="00084336">
            <w:pPr>
              <w:jc w:val="center"/>
              <w:rPr>
                <w:sz w:val="18"/>
              </w:rPr>
            </w:pPr>
            <w:r>
              <w:rPr>
                <w:sz w:val="18"/>
              </w:rPr>
              <w:t>3.5</w:t>
            </w:r>
          </w:p>
        </w:tc>
      </w:tr>
      <w:tr w:rsidR="00F63C96" w:rsidRPr="00253907" w14:paraId="24925D38" w14:textId="209B0F39" w:rsidTr="00F63C96">
        <w:trPr>
          <w:cnfStyle w:val="000000100000" w:firstRow="0" w:lastRow="0" w:firstColumn="0" w:lastColumn="0" w:oddVBand="0" w:evenVBand="0" w:oddHBand="1" w:evenHBand="0" w:firstRowFirstColumn="0" w:firstRowLastColumn="0" w:lastRowFirstColumn="0" w:lastRowLastColumn="0"/>
          <w:cantSplit/>
          <w:jc w:val="center"/>
        </w:trPr>
        <w:tc>
          <w:tcPr>
            <w:tcW w:w="936" w:type="dxa"/>
            <w:vAlign w:val="center"/>
          </w:tcPr>
          <w:p w14:paraId="29272868" w14:textId="603E442E" w:rsidR="00F63C96" w:rsidRDefault="00F63C96" w:rsidP="00084336">
            <w:pPr>
              <w:jc w:val="center"/>
              <w:rPr>
                <w:sz w:val="18"/>
              </w:rPr>
            </w:pPr>
            <w:r>
              <w:rPr>
                <w:sz w:val="20"/>
                <w:szCs w:val="20"/>
              </w:rPr>
              <w:t>L-O31</w:t>
            </w:r>
          </w:p>
        </w:tc>
        <w:tc>
          <w:tcPr>
            <w:tcW w:w="1616" w:type="dxa"/>
          </w:tcPr>
          <w:p w14:paraId="5E45F8D1" w14:textId="765C5DF4" w:rsidR="00F63C96" w:rsidRPr="004F74F7" w:rsidRDefault="00F63C96" w:rsidP="00084336">
            <w:pPr>
              <w:jc w:val="center"/>
              <w:rPr>
                <w:sz w:val="18"/>
              </w:rPr>
            </w:pPr>
            <w:r>
              <w:rPr>
                <w:sz w:val="20"/>
                <w:szCs w:val="20"/>
              </w:rPr>
              <w:t>New Linear LED Strip (Bi-pin Halogen</w:t>
            </w:r>
            <w:r w:rsidRPr="00C901E0">
              <w:rPr>
                <w:sz w:val="20"/>
                <w:szCs w:val="20"/>
              </w:rPr>
              <w:t xml:space="preserve"> base case)</w:t>
            </w:r>
          </w:p>
        </w:tc>
        <w:tc>
          <w:tcPr>
            <w:tcW w:w="1260" w:type="dxa"/>
            <w:vAlign w:val="center"/>
          </w:tcPr>
          <w:p w14:paraId="3D675E5D" w14:textId="419B3EF9" w:rsidR="00F63C96" w:rsidRPr="004F74F7" w:rsidRDefault="00F63C96" w:rsidP="00084336">
            <w:pPr>
              <w:jc w:val="center"/>
              <w:rPr>
                <w:sz w:val="18"/>
              </w:rPr>
            </w:pPr>
            <w:r>
              <w:rPr>
                <w:sz w:val="18"/>
              </w:rPr>
              <w:t>Halogen</w:t>
            </w:r>
          </w:p>
        </w:tc>
        <w:tc>
          <w:tcPr>
            <w:tcW w:w="1260" w:type="dxa"/>
            <w:vAlign w:val="center"/>
          </w:tcPr>
          <w:p w14:paraId="419BF9F7" w14:textId="650214C2" w:rsidR="00F63C96" w:rsidRPr="004F74F7" w:rsidRDefault="00F63C96" w:rsidP="00F63C96">
            <w:pPr>
              <w:jc w:val="center"/>
              <w:rPr>
                <w:sz w:val="18"/>
              </w:rPr>
            </w:pPr>
            <w:r w:rsidRPr="00E76157">
              <w:rPr>
                <w:sz w:val="18"/>
              </w:rPr>
              <w:t>Linear LED Strip</w:t>
            </w:r>
          </w:p>
        </w:tc>
        <w:tc>
          <w:tcPr>
            <w:tcW w:w="1090" w:type="dxa"/>
            <w:vAlign w:val="center"/>
          </w:tcPr>
          <w:p w14:paraId="17D14CF4" w14:textId="1BBC9414" w:rsidR="00F63C96" w:rsidRDefault="00F63C96" w:rsidP="00084336">
            <w:pPr>
              <w:jc w:val="center"/>
              <w:rPr>
                <w:sz w:val="18"/>
              </w:rPr>
            </w:pPr>
            <w:r>
              <w:rPr>
                <w:sz w:val="18"/>
              </w:rPr>
              <w:t>108</w:t>
            </w:r>
          </w:p>
        </w:tc>
        <w:tc>
          <w:tcPr>
            <w:tcW w:w="810" w:type="dxa"/>
            <w:vAlign w:val="center"/>
          </w:tcPr>
          <w:p w14:paraId="5381E669" w14:textId="70D90BA2" w:rsidR="00F63C96" w:rsidRDefault="00F63C96" w:rsidP="00084336">
            <w:pPr>
              <w:jc w:val="center"/>
              <w:rPr>
                <w:sz w:val="18"/>
              </w:rPr>
            </w:pPr>
            <w:r>
              <w:rPr>
                <w:sz w:val="18"/>
              </w:rPr>
              <w:t>29</w:t>
            </w:r>
          </w:p>
        </w:tc>
        <w:tc>
          <w:tcPr>
            <w:tcW w:w="1045" w:type="dxa"/>
            <w:vAlign w:val="center"/>
          </w:tcPr>
          <w:p w14:paraId="44C0693F" w14:textId="4F2743CE" w:rsidR="00F63C96" w:rsidRDefault="00F63C96" w:rsidP="00084336">
            <w:pPr>
              <w:jc w:val="center"/>
              <w:rPr>
                <w:sz w:val="18"/>
              </w:rPr>
            </w:pPr>
            <w:r>
              <w:rPr>
                <w:sz w:val="18"/>
              </w:rPr>
              <w:t>79</w:t>
            </w:r>
          </w:p>
        </w:tc>
        <w:tc>
          <w:tcPr>
            <w:tcW w:w="1045" w:type="dxa"/>
            <w:vAlign w:val="center"/>
          </w:tcPr>
          <w:p w14:paraId="77A3B5E6" w14:textId="63B4F7A3" w:rsidR="00F63C96" w:rsidRDefault="00F63C96" w:rsidP="00084336">
            <w:pPr>
              <w:jc w:val="center"/>
              <w:rPr>
                <w:sz w:val="18"/>
              </w:rPr>
            </w:pPr>
            <w:r>
              <w:rPr>
                <w:sz w:val="18"/>
              </w:rPr>
              <w:t>19.75</w:t>
            </w:r>
          </w:p>
        </w:tc>
      </w:tr>
    </w:tbl>
    <w:p w14:paraId="56A5CB9C" w14:textId="77777777" w:rsidR="00084336" w:rsidRDefault="00084336" w:rsidP="00084336"/>
    <w:p w14:paraId="7B9DBE0F" w14:textId="77777777" w:rsidR="00302D7B" w:rsidRPr="00302D7B" w:rsidRDefault="00302D7B" w:rsidP="00302D7B">
      <w:pPr>
        <w:rPr>
          <w:b/>
          <w:szCs w:val="22"/>
        </w:rPr>
      </w:pPr>
      <w:r w:rsidRPr="00302D7B">
        <w:rPr>
          <w:b/>
          <w:szCs w:val="22"/>
        </w:rPr>
        <w:t xml:space="preserve">Hours of Operation </w:t>
      </w:r>
    </w:p>
    <w:p w14:paraId="6D913D2F" w14:textId="77777777" w:rsidR="00302D7B" w:rsidRPr="00302D7B" w:rsidRDefault="00302D7B" w:rsidP="00302D7B">
      <w:pPr>
        <w:autoSpaceDE w:val="0"/>
        <w:autoSpaceDN w:val="0"/>
        <w:adjustRightInd w:val="0"/>
        <w:rPr>
          <w:szCs w:val="22"/>
        </w:rPr>
      </w:pPr>
      <w:r w:rsidRPr="00302D7B">
        <w:rPr>
          <w:szCs w:val="22"/>
        </w:rPr>
        <w:t>For the purpose of this work paper, Annual hours of operation were obtained from the Energy Efficient Resources (DEER</w:t>
      </w:r>
      <w:r w:rsidRPr="00302D7B">
        <w:rPr>
          <w:szCs w:val="22"/>
        </w:rPr>
        <w:fldChar w:fldCharType="begin"/>
      </w:r>
      <w:r w:rsidRPr="00302D7B">
        <w:rPr>
          <w:szCs w:val="22"/>
        </w:rPr>
        <w:instrText xml:space="preserve"> XE "DEER" </w:instrText>
      </w:r>
      <w:r w:rsidRPr="00302D7B">
        <w:rPr>
          <w:szCs w:val="22"/>
        </w:rPr>
        <w:fldChar w:fldCharType="end"/>
      </w:r>
      <w:r w:rsidRPr="00302D7B">
        <w:rPr>
          <w:szCs w:val="22"/>
        </w:rPr>
        <w:t>) 2008 A summary table with applicable values per market sector is provided below.  This table applies to measure codes L-O31 and L-O21 only. For Measure Code L-O11, please refer to WPSDGENRLG0999.</w:t>
      </w:r>
    </w:p>
    <w:p w14:paraId="77E5181A" w14:textId="77777777" w:rsidR="00302D7B" w:rsidRPr="00302D7B" w:rsidRDefault="00302D7B" w:rsidP="00302D7B">
      <w:pPr>
        <w:autoSpaceDE w:val="0"/>
        <w:autoSpaceDN w:val="0"/>
        <w:adjustRightInd w:val="0"/>
        <w:rPr>
          <w:bCs/>
          <w:szCs w:val="22"/>
        </w:rPr>
      </w:pPr>
    </w:p>
    <w:p w14:paraId="2ADA8A2B" w14:textId="77777777" w:rsidR="00302D7B" w:rsidRPr="00302D7B" w:rsidRDefault="00302D7B" w:rsidP="00302D7B">
      <w:pPr>
        <w:rPr>
          <w:bCs/>
          <w:szCs w:val="22"/>
        </w:rPr>
      </w:pPr>
      <w:r w:rsidRPr="00302D7B">
        <w:rPr>
          <w:bCs/>
          <w:szCs w:val="22"/>
        </w:rPr>
        <w:br w:type="page"/>
      </w:r>
    </w:p>
    <w:p w14:paraId="1CF35CAE" w14:textId="77777777" w:rsidR="00302D7B" w:rsidRPr="00302D7B" w:rsidRDefault="00302D7B" w:rsidP="00302D7B">
      <w:pPr>
        <w:autoSpaceDE w:val="0"/>
        <w:autoSpaceDN w:val="0"/>
        <w:adjustRightInd w:val="0"/>
        <w:rPr>
          <w:bCs/>
          <w:szCs w:val="22"/>
        </w:rPr>
      </w:pPr>
    </w:p>
    <w:p w14:paraId="3F373682" w14:textId="77777777" w:rsidR="00302D7B" w:rsidRPr="00302D7B" w:rsidRDefault="00302D7B" w:rsidP="00302D7B">
      <w:pPr>
        <w:jc w:val="center"/>
        <w:rPr>
          <w:b/>
          <w:szCs w:val="22"/>
        </w:rPr>
      </w:pPr>
      <w:r w:rsidRPr="00302D7B">
        <w:rPr>
          <w:b/>
          <w:szCs w:val="22"/>
        </w:rPr>
        <w:t>Table3: Hours of Operation Summary</w:t>
      </w:r>
    </w:p>
    <w:tbl>
      <w:tblPr>
        <w:tblW w:w="7310" w:type="dxa"/>
        <w:tblInd w:w="1035" w:type="dxa"/>
        <w:tblLook w:val="04A0" w:firstRow="1" w:lastRow="0" w:firstColumn="1" w:lastColumn="0" w:noHBand="0" w:noVBand="1"/>
      </w:tblPr>
      <w:tblGrid>
        <w:gridCol w:w="2520"/>
        <w:gridCol w:w="1040"/>
        <w:gridCol w:w="1476"/>
        <w:gridCol w:w="1476"/>
        <w:gridCol w:w="1016"/>
      </w:tblGrid>
      <w:tr w:rsidR="00302D7B" w:rsidRPr="00302D7B" w14:paraId="71D46847" w14:textId="77777777" w:rsidTr="00B934BE">
        <w:trPr>
          <w:trHeight w:val="315"/>
        </w:trPr>
        <w:tc>
          <w:tcPr>
            <w:tcW w:w="2520"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4432F504" w14:textId="77777777" w:rsidR="00302D7B" w:rsidRPr="00302D7B" w:rsidRDefault="00302D7B" w:rsidP="00B934BE">
            <w:pPr>
              <w:jc w:val="center"/>
              <w:rPr>
                <w:color w:val="000000"/>
                <w:szCs w:val="22"/>
              </w:rPr>
            </w:pPr>
            <w:r w:rsidRPr="00302D7B">
              <w:rPr>
                <w:color w:val="000000"/>
                <w:szCs w:val="22"/>
              </w:rPr>
              <w:t>DEER 2008</w:t>
            </w:r>
          </w:p>
        </w:tc>
        <w:tc>
          <w:tcPr>
            <w:tcW w:w="1040" w:type="dxa"/>
            <w:tcBorders>
              <w:top w:val="single" w:sz="8" w:space="0" w:color="auto"/>
              <w:left w:val="nil"/>
              <w:bottom w:val="single" w:sz="8" w:space="0" w:color="auto"/>
              <w:right w:val="single" w:sz="8" w:space="0" w:color="auto"/>
            </w:tcBorders>
            <w:shd w:val="clear" w:color="000000" w:fill="FFFFFF"/>
            <w:noWrap/>
            <w:vAlign w:val="bottom"/>
            <w:hideMark/>
          </w:tcPr>
          <w:p w14:paraId="71EE617C" w14:textId="77777777" w:rsidR="00302D7B" w:rsidRPr="00302D7B" w:rsidRDefault="00302D7B" w:rsidP="00B934BE">
            <w:pPr>
              <w:rPr>
                <w:color w:val="000000"/>
                <w:szCs w:val="22"/>
              </w:rPr>
            </w:pPr>
            <w:r w:rsidRPr="00302D7B">
              <w:rPr>
                <w:color w:val="000000"/>
                <w:szCs w:val="22"/>
              </w:rPr>
              <w:t> </w:t>
            </w:r>
          </w:p>
        </w:tc>
        <w:tc>
          <w:tcPr>
            <w:tcW w:w="3750" w:type="dxa"/>
            <w:gridSpan w:val="3"/>
            <w:tcBorders>
              <w:top w:val="single" w:sz="8" w:space="0" w:color="auto"/>
              <w:left w:val="nil"/>
              <w:bottom w:val="single" w:sz="8" w:space="0" w:color="auto"/>
              <w:right w:val="single" w:sz="8" w:space="0" w:color="000000"/>
            </w:tcBorders>
            <w:shd w:val="clear" w:color="000000" w:fill="FFFFFF"/>
            <w:noWrap/>
            <w:vAlign w:val="bottom"/>
            <w:hideMark/>
          </w:tcPr>
          <w:p w14:paraId="611EB361" w14:textId="77777777" w:rsidR="00302D7B" w:rsidRPr="00302D7B" w:rsidRDefault="00302D7B" w:rsidP="00B934BE">
            <w:pPr>
              <w:jc w:val="center"/>
              <w:rPr>
                <w:color w:val="000000"/>
                <w:szCs w:val="22"/>
              </w:rPr>
            </w:pPr>
            <w:r w:rsidRPr="00302D7B">
              <w:rPr>
                <w:color w:val="000000"/>
                <w:szCs w:val="22"/>
              </w:rPr>
              <w:t>Equivalent Full Load Hours</w:t>
            </w:r>
          </w:p>
        </w:tc>
      </w:tr>
      <w:tr w:rsidR="00302D7B" w:rsidRPr="00302D7B" w14:paraId="72C19F81" w14:textId="77777777" w:rsidTr="00B934BE">
        <w:trPr>
          <w:trHeight w:val="315"/>
        </w:trPr>
        <w:tc>
          <w:tcPr>
            <w:tcW w:w="2520" w:type="dxa"/>
            <w:tcBorders>
              <w:top w:val="nil"/>
              <w:left w:val="single" w:sz="8" w:space="0" w:color="auto"/>
              <w:bottom w:val="single" w:sz="8" w:space="0" w:color="auto"/>
              <w:right w:val="single" w:sz="8" w:space="0" w:color="auto"/>
            </w:tcBorders>
            <w:shd w:val="clear" w:color="000000" w:fill="FFFFFF"/>
            <w:noWrap/>
            <w:vAlign w:val="bottom"/>
            <w:hideMark/>
          </w:tcPr>
          <w:p w14:paraId="7CB1560A" w14:textId="77777777" w:rsidR="00302D7B" w:rsidRPr="00302D7B" w:rsidRDefault="00302D7B" w:rsidP="00B934BE">
            <w:pPr>
              <w:jc w:val="center"/>
              <w:rPr>
                <w:color w:val="000000"/>
                <w:szCs w:val="22"/>
              </w:rPr>
            </w:pPr>
            <w:r w:rsidRPr="00302D7B">
              <w:rPr>
                <w:color w:val="000000"/>
                <w:szCs w:val="22"/>
              </w:rPr>
              <w:t>Lighting Hours of Use</w:t>
            </w:r>
          </w:p>
        </w:tc>
        <w:tc>
          <w:tcPr>
            <w:tcW w:w="1040" w:type="dxa"/>
            <w:tcBorders>
              <w:top w:val="nil"/>
              <w:left w:val="nil"/>
              <w:bottom w:val="single" w:sz="8" w:space="0" w:color="auto"/>
              <w:right w:val="single" w:sz="8" w:space="0" w:color="auto"/>
            </w:tcBorders>
            <w:shd w:val="clear" w:color="000000" w:fill="FFFFFF"/>
            <w:noWrap/>
            <w:vAlign w:val="bottom"/>
            <w:hideMark/>
          </w:tcPr>
          <w:p w14:paraId="3A3EAD5A" w14:textId="77777777" w:rsidR="00302D7B" w:rsidRPr="00302D7B" w:rsidRDefault="00302D7B" w:rsidP="00B934BE">
            <w:pPr>
              <w:rPr>
                <w:color w:val="000000"/>
                <w:szCs w:val="22"/>
              </w:rPr>
            </w:pPr>
            <w:r w:rsidRPr="00302D7B">
              <w:rPr>
                <w:color w:val="000000"/>
                <w:szCs w:val="22"/>
              </w:rPr>
              <w:t> </w:t>
            </w:r>
          </w:p>
        </w:tc>
        <w:tc>
          <w:tcPr>
            <w:tcW w:w="1387" w:type="dxa"/>
            <w:tcBorders>
              <w:top w:val="nil"/>
              <w:left w:val="nil"/>
              <w:bottom w:val="single" w:sz="8" w:space="0" w:color="auto"/>
              <w:right w:val="single" w:sz="8" w:space="0" w:color="auto"/>
            </w:tcBorders>
            <w:shd w:val="clear" w:color="000000" w:fill="FFFFFF"/>
            <w:noWrap/>
            <w:vAlign w:val="bottom"/>
            <w:hideMark/>
          </w:tcPr>
          <w:p w14:paraId="118D28F2" w14:textId="77777777" w:rsidR="00302D7B" w:rsidRPr="00302D7B" w:rsidRDefault="00302D7B" w:rsidP="00B934BE">
            <w:pPr>
              <w:jc w:val="center"/>
              <w:rPr>
                <w:color w:val="000000"/>
                <w:szCs w:val="22"/>
              </w:rPr>
            </w:pPr>
            <w:r w:rsidRPr="00302D7B">
              <w:rPr>
                <w:color w:val="000000"/>
                <w:szCs w:val="22"/>
              </w:rPr>
              <w:t>Indoor</w:t>
            </w:r>
          </w:p>
        </w:tc>
        <w:tc>
          <w:tcPr>
            <w:tcW w:w="1387" w:type="dxa"/>
            <w:tcBorders>
              <w:top w:val="nil"/>
              <w:left w:val="nil"/>
              <w:bottom w:val="single" w:sz="8" w:space="0" w:color="auto"/>
              <w:right w:val="single" w:sz="8" w:space="0" w:color="auto"/>
            </w:tcBorders>
            <w:shd w:val="clear" w:color="000000" w:fill="92D050"/>
            <w:noWrap/>
            <w:vAlign w:val="bottom"/>
            <w:hideMark/>
          </w:tcPr>
          <w:p w14:paraId="6F6877D2" w14:textId="77777777" w:rsidR="00302D7B" w:rsidRPr="00302D7B" w:rsidRDefault="00302D7B" w:rsidP="00B934BE">
            <w:pPr>
              <w:jc w:val="center"/>
              <w:rPr>
                <w:color w:val="000000"/>
                <w:szCs w:val="22"/>
              </w:rPr>
            </w:pPr>
            <w:r w:rsidRPr="00302D7B">
              <w:rPr>
                <w:color w:val="000000"/>
                <w:szCs w:val="22"/>
              </w:rPr>
              <w:t>Indoor</w:t>
            </w:r>
          </w:p>
        </w:tc>
        <w:tc>
          <w:tcPr>
            <w:tcW w:w="976" w:type="dxa"/>
            <w:tcBorders>
              <w:top w:val="nil"/>
              <w:left w:val="nil"/>
              <w:bottom w:val="single" w:sz="8" w:space="0" w:color="auto"/>
              <w:right w:val="single" w:sz="8" w:space="0" w:color="auto"/>
            </w:tcBorders>
            <w:shd w:val="clear" w:color="000000" w:fill="FFFFFF"/>
            <w:noWrap/>
            <w:vAlign w:val="bottom"/>
            <w:hideMark/>
          </w:tcPr>
          <w:p w14:paraId="15C99E11" w14:textId="77777777" w:rsidR="00302D7B" w:rsidRPr="00302D7B" w:rsidRDefault="00302D7B" w:rsidP="00B934BE">
            <w:pPr>
              <w:jc w:val="center"/>
              <w:rPr>
                <w:color w:val="000000"/>
                <w:szCs w:val="22"/>
              </w:rPr>
            </w:pPr>
            <w:r w:rsidRPr="00302D7B">
              <w:rPr>
                <w:color w:val="000000"/>
                <w:szCs w:val="22"/>
              </w:rPr>
              <w:t>Outdoor</w:t>
            </w:r>
          </w:p>
        </w:tc>
      </w:tr>
      <w:tr w:rsidR="00302D7B" w:rsidRPr="00302D7B" w14:paraId="4AFE2CAB" w14:textId="77777777" w:rsidTr="00B934BE">
        <w:trPr>
          <w:trHeight w:val="315"/>
        </w:trPr>
        <w:tc>
          <w:tcPr>
            <w:tcW w:w="2520" w:type="dxa"/>
            <w:tcBorders>
              <w:top w:val="nil"/>
              <w:left w:val="single" w:sz="8" w:space="0" w:color="auto"/>
              <w:bottom w:val="single" w:sz="8" w:space="0" w:color="auto"/>
              <w:right w:val="single" w:sz="8" w:space="0" w:color="auto"/>
            </w:tcBorders>
            <w:shd w:val="clear" w:color="000000" w:fill="FFFFFF"/>
            <w:noWrap/>
            <w:vAlign w:val="bottom"/>
            <w:hideMark/>
          </w:tcPr>
          <w:p w14:paraId="091113F3" w14:textId="77777777" w:rsidR="00302D7B" w:rsidRPr="00302D7B" w:rsidRDefault="00302D7B" w:rsidP="00B934BE">
            <w:pPr>
              <w:jc w:val="center"/>
              <w:rPr>
                <w:color w:val="000000"/>
                <w:szCs w:val="22"/>
              </w:rPr>
            </w:pPr>
            <w:r w:rsidRPr="00302D7B">
              <w:rPr>
                <w:color w:val="000000"/>
                <w:szCs w:val="22"/>
              </w:rPr>
              <w:t>Building Type</w:t>
            </w:r>
          </w:p>
        </w:tc>
        <w:tc>
          <w:tcPr>
            <w:tcW w:w="1040" w:type="dxa"/>
            <w:tcBorders>
              <w:top w:val="nil"/>
              <w:left w:val="nil"/>
              <w:bottom w:val="single" w:sz="8" w:space="0" w:color="auto"/>
              <w:right w:val="single" w:sz="8" w:space="0" w:color="auto"/>
            </w:tcBorders>
            <w:shd w:val="clear" w:color="000000" w:fill="FFFFFF"/>
            <w:noWrap/>
            <w:vAlign w:val="bottom"/>
            <w:hideMark/>
          </w:tcPr>
          <w:p w14:paraId="6F36FCF5" w14:textId="77777777" w:rsidR="00302D7B" w:rsidRPr="00302D7B" w:rsidRDefault="00302D7B" w:rsidP="00B934BE">
            <w:pPr>
              <w:jc w:val="center"/>
              <w:rPr>
                <w:color w:val="000000"/>
                <w:szCs w:val="22"/>
              </w:rPr>
            </w:pPr>
            <w:r w:rsidRPr="00302D7B">
              <w:rPr>
                <w:color w:val="000000"/>
                <w:szCs w:val="22"/>
              </w:rPr>
              <w:t>Bldg Code</w:t>
            </w:r>
          </w:p>
        </w:tc>
        <w:tc>
          <w:tcPr>
            <w:tcW w:w="1387" w:type="dxa"/>
            <w:tcBorders>
              <w:top w:val="nil"/>
              <w:left w:val="nil"/>
              <w:bottom w:val="single" w:sz="8" w:space="0" w:color="auto"/>
              <w:right w:val="single" w:sz="8" w:space="0" w:color="auto"/>
            </w:tcBorders>
            <w:shd w:val="clear" w:color="000000" w:fill="FFFFFF"/>
            <w:noWrap/>
            <w:vAlign w:val="bottom"/>
            <w:hideMark/>
          </w:tcPr>
          <w:p w14:paraId="2B933F3D" w14:textId="77777777" w:rsidR="00302D7B" w:rsidRPr="00302D7B" w:rsidRDefault="00302D7B" w:rsidP="00B934BE">
            <w:pPr>
              <w:jc w:val="center"/>
              <w:rPr>
                <w:color w:val="000000"/>
                <w:szCs w:val="22"/>
              </w:rPr>
            </w:pPr>
            <w:r w:rsidRPr="00302D7B">
              <w:rPr>
                <w:color w:val="000000"/>
                <w:szCs w:val="22"/>
              </w:rPr>
              <w:t>CFL</w:t>
            </w:r>
          </w:p>
        </w:tc>
        <w:tc>
          <w:tcPr>
            <w:tcW w:w="1387" w:type="dxa"/>
            <w:tcBorders>
              <w:top w:val="nil"/>
              <w:left w:val="nil"/>
              <w:bottom w:val="single" w:sz="8" w:space="0" w:color="auto"/>
              <w:right w:val="single" w:sz="8" w:space="0" w:color="auto"/>
            </w:tcBorders>
            <w:shd w:val="clear" w:color="000000" w:fill="92D050"/>
            <w:noWrap/>
            <w:vAlign w:val="bottom"/>
            <w:hideMark/>
          </w:tcPr>
          <w:p w14:paraId="4AEDC0EE" w14:textId="77777777" w:rsidR="00302D7B" w:rsidRPr="00302D7B" w:rsidRDefault="00302D7B" w:rsidP="00B934BE">
            <w:pPr>
              <w:jc w:val="center"/>
              <w:rPr>
                <w:color w:val="000000"/>
                <w:szCs w:val="22"/>
              </w:rPr>
            </w:pPr>
            <w:r w:rsidRPr="00302D7B">
              <w:rPr>
                <w:color w:val="000000"/>
                <w:szCs w:val="22"/>
              </w:rPr>
              <w:t>Other</w:t>
            </w:r>
          </w:p>
        </w:tc>
        <w:tc>
          <w:tcPr>
            <w:tcW w:w="976" w:type="dxa"/>
            <w:tcBorders>
              <w:top w:val="nil"/>
              <w:left w:val="nil"/>
              <w:bottom w:val="single" w:sz="8" w:space="0" w:color="auto"/>
              <w:right w:val="single" w:sz="8" w:space="0" w:color="auto"/>
            </w:tcBorders>
            <w:shd w:val="clear" w:color="000000" w:fill="FFFFFF"/>
            <w:noWrap/>
            <w:vAlign w:val="bottom"/>
            <w:hideMark/>
          </w:tcPr>
          <w:p w14:paraId="1E0F4607" w14:textId="77777777" w:rsidR="00302D7B" w:rsidRPr="00302D7B" w:rsidRDefault="00302D7B" w:rsidP="00B934BE">
            <w:pPr>
              <w:jc w:val="center"/>
              <w:rPr>
                <w:color w:val="000000"/>
                <w:szCs w:val="22"/>
              </w:rPr>
            </w:pPr>
            <w:r w:rsidRPr="00302D7B">
              <w:rPr>
                <w:color w:val="000000"/>
                <w:szCs w:val="22"/>
              </w:rPr>
              <w:t>All</w:t>
            </w:r>
          </w:p>
        </w:tc>
      </w:tr>
      <w:tr w:rsidR="00302D7B" w:rsidRPr="00302D7B" w14:paraId="412D13F4" w14:textId="77777777" w:rsidTr="00B934BE">
        <w:trPr>
          <w:trHeight w:val="315"/>
        </w:trPr>
        <w:tc>
          <w:tcPr>
            <w:tcW w:w="2520" w:type="dxa"/>
            <w:tcBorders>
              <w:top w:val="nil"/>
              <w:left w:val="single" w:sz="8" w:space="0" w:color="auto"/>
              <w:bottom w:val="single" w:sz="8" w:space="0" w:color="auto"/>
              <w:right w:val="single" w:sz="8" w:space="0" w:color="auto"/>
            </w:tcBorders>
            <w:shd w:val="clear" w:color="000000" w:fill="FFFFFF"/>
            <w:noWrap/>
            <w:vAlign w:val="bottom"/>
            <w:hideMark/>
          </w:tcPr>
          <w:p w14:paraId="140489D2" w14:textId="77777777" w:rsidR="00302D7B" w:rsidRPr="00302D7B" w:rsidRDefault="00302D7B" w:rsidP="00B934BE">
            <w:pPr>
              <w:rPr>
                <w:color w:val="000000"/>
                <w:szCs w:val="22"/>
              </w:rPr>
            </w:pPr>
            <w:r w:rsidRPr="00302D7B">
              <w:rPr>
                <w:color w:val="000000"/>
                <w:szCs w:val="22"/>
              </w:rPr>
              <w:t>Retail - 3-Story Large</w:t>
            </w:r>
          </w:p>
        </w:tc>
        <w:tc>
          <w:tcPr>
            <w:tcW w:w="1040" w:type="dxa"/>
            <w:tcBorders>
              <w:top w:val="nil"/>
              <w:left w:val="nil"/>
              <w:bottom w:val="single" w:sz="8" w:space="0" w:color="auto"/>
              <w:right w:val="single" w:sz="8" w:space="0" w:color="auto"/>
            </w:tcBorders>
            <w:shd w:val="clear" w:color="000000" w:fill="FFFFFF"/>
            <w:noWrap/>
            <w:vAlign w:val="bottom"/>
            <w:hideMark/>
          </w:tcPr>
          <w:p w14:paraId="0D27EDC5" w14:textId="77777777" w:rsidR="00302D7B" w:rsidRPr="00302D7B" w:rsidRDefault="00302D7B" w:rsidP="00B934BE">
            <w:pPr>
              <w:rPr>
                <w:color w:val="000000"/>
                <w:szCs w:val="22"/>
              </w:rPr>
            </w:pPr>
            <w:r w:rsidRPr="00302D7B">
              <w:rPr>
                <w:color w:val="000000"/>
                <w:szCs w:val="22"/>
              </w:rPr>
              <w:t>Rt3</w:t>
            </w:r>
          </w:p>
        </w:tc>
        <w:tc>
          <w:tcPr>
            <w:tcW w:w="1387" w:type="dxa"/>
            <w:tcBorders>
              <w:top w:val="nil"/>
              <w:left w:val="nil"/>
              <w:bottom w:val="single" w:sz="8" w:space="0" w:color="auto"/>
              <w:right w:val="single" w:sz="8" w:space="0" w:color="auto"/>
            </w:tcBorders>
            <w:shd w:val="clear" w:color="000000" w:fill="FFFFFF"/>
            <w:noWrap/>
            <w:vAlign w:val="bottom"/>
            <w:hideMark/>
          </w:tcPr>
          <w:p w14:paraId="4FD9660C" w14:textId="77777777" w:rsidR="00302D7B" w:rsidRPr="00302D7B" w:rsidRDefault="00302D7B" w:rsidP="00B934BE">
            <w:pPr>
              <w:jc w:val="center"/>
              <w:rPr>
                <w:color w:val="000000"/>
                <w:szCs w:val="22"/>
              </w:rPr>
            </w:pPr>
            <w:r w:rsidRPr="00302D7B">
              <w:rPr>
                <w:color w:val="000000"/>
                <w:szCs w:val="22"/>
              </w:rPr>
              <w:t>3702.759278</w:t>
            </w:r>
          </w:p>
        </w:tc>
        <w:tc>
          <w:tcPr>
            <w:tcW w:w="1387" w:type="dxa"/>
            <w:tcBorders>
              <w:top w:val="nil"/>
              <w:left w:val="nil"/>
              <w:bottom w:val="single" w:sz="8" w:space="0" w:color="auto"/>
              <w:right w:val="single" w:sz="8" w:space="0" w:color="auto"/>
            </w:tcBorders>
            <w:shd w:val="clear" w:color="000000" w:fill="92D050"/>
            <w:noWrap/>
            <w:vAlign w:val="bottom"/>
            <w:hideMark/>
          </w:tcPr>
          <w:p w14:paraId="622CBF23" w14:textId="77777777" w:rsidR="00302D7B" w:rsidRPr="00302D7B" w:rsidRDefault="00302D7B" w:rsidP="00B934BE">
            <w:pPr>
              <w:jc w:val="center"/>
              <w:rPr>
                <w:color w:val="000000"/>
                <w:szCs w:val="22"/>
              </w:rPr>
            </w:pPr>
            <w:r w:rsidRPr="00302D7B">
              <w:rPr>
                <w:color w:val="000000"/>
                <w:szCs w:val="22"/>
              </w:rPr>
              <w:t>3371.751181</w:t>
            </w:r>
          </w:p>
        </w:tc>
        <w:tc>
          <w:tcPr>
            <w:tcW w:w="976" w:type="dxa"/>
            <w:tcBorders>
              <w:top w:val="nil"/>
              <w:left w:val="nil"/>
              <w:bottom w:val="single" w:sz="8" w:space="0" w:color="auto"/>
              <w:right w:val="single" w:sz="8" w:space="0" w:color="auto"/>
            </w:tcBorders>
            <w:shd w:val="clear" w:color="000000" w:fill="FFFFFF"/>
            <w:noWrap/>
            <w:vAlign w:val="bottom"/>
            <w:hideMark/>
          </w:tcPr>
          <w:p w14:paraId="69AD8751" w14:textId="77777777" w:rsidR="00302D7B" w:rsidRPr="00302D7B" w:rsidRDefault="00302D7B" w:rsidP="00B934BE">
            <w:pPr>
              <w:jc w:val="center"/>
              <w:rPr>
                <w:color w:val="000000"/>
                <w:szCs w:val="22"/>
              </w:rPr>
            </w:pPr>
            <w:r w:rsidRPr="00302D7B">
              <w:rPr>
                <w:color w:val="000000"/>
                <w:szCs w:val="22"/>
              </w:rPr>
              <w:t>4100</w:t>
            </w:r>
          </w:p>
        </w:tc>
      </w:tr>
      <w:tr w:rsidR="00302D7B" w:rsidRPr="00302D7B" w14:paraId="0D7BE914" w14:textId="77777777" w:rsidTr="00B934BE">
        <w:trPr>
          <w:trHeight w:val="315"/>
        </w:trPr>
        <w:tc>
          <w:tcPr>
            <w:tcW w:w="2520" w:type="dxa"/>
            <w:tcBorders>
              <w:top w:val="nil"/>
              <w:left w:val="single" w:sz="8" w:space="0" w:color="auto"/>
              <w:bottom w:val="single" w:sz="8" w:space="0" w:color="auto"/>
              <w:right w:val="single" w:sz="8" w:space="0" w:color="auto"/>
            </w:tcBorders>
            <w:shd w:val="clear" w:color="000000" w:fill="FFFFFF"/>
            <w:noWrap/>
            <w:vAlign w:val="bottom"/>
            <w:hideMark/>
          </w:tcPr>
          <w:p w14:paraId="79635632" w14:textId="77777777" w:rsidR="00302D7B" w:rsidRPr="00302D7B" w:rsidRDefault="00302D7B" w:rsidP="00B934BE">
            <w:pPr>
              <w:rPr>
                <w:color w:val="000000"/>
                <w:szCs w:val="22"/>
              </w:rPr>
            </w:pPr>
            <w:r w:rsidRPr="00302D7B">
              <w:rPr>
                <w:color w:val="000000"/>
                <w:szCs w:val="22"/>
              </w:rPr>
              <w:t>Retail - Single-Story Large</w:t>
            </w:r>
          </w:p>
        </w:tc>
        <w:tc>
          <w:tcPr>
            <w:tcW w:w="1040" w:type="dxa"/>
            <w:tcBorders>
              <w:top w:val="nil"/>
              <w:left w:val="nil"/>
              <w:bottom w:val="single" w:sz="8" w:space="0" w:color="auto"/>
              <w:right w:val="single" w:sz="8" w:space="0" w:color="auto"/>
            </w:tcBorders>
            <w:shd w:val="clear" w:color="000000" w:fill="FFFFFF"/>
            <w:noWrap/>
            <w:vAlign w:val="bottom"/>
            <w:hideMark/>
          </w:tcPr>
          <w:p w14:paraId="72EEC535" w14:textId="77777777" w:rsidR="00302D7B" w:rsidRPr="00302D7B" w:rsidRDefault="00302D7B" w:rsidP="00B934BE">
            <w:pPr>
              <w:rPr>
                <w:color w:val="000000"/>
                <w:szCs w:val="22"/>
              </w:rPr>
            </w:pPr>
            <w:r w:rsidRPr="00302D7B">
              <w:rPr>
                <w:color w:val="000000"/>
                <w:szCs w:val="22"/>
              </w:rPr>
              <w:t>RtL</w:t>
            </w:r>
          </w:p>
        </w:tc>
        <w:tc>
          <w:tcPr>
            <w:tcW w:w="1387" w:type="dxa"/>
            <w:tcBorders>
              <w:top w:val="nil"/>
              <w:left w:val="nil"/>
              <w:bottom w:val="single" w:sz="8" w:space="0" w:color="auto"/>
              <w:right w:val="single" w:sz="8" w:space="0" w:color="auto"/>
            </w:tcBorders>
            <w:shd w:val="clear" w:color="000000" w:fill="FFFFFF"/>
            <w:noWrap/>
            <w:vAlign w:val="bottom"/>
            <w:hideMark/>
          </w:tcPr>
          <w:p w14:paraId="4D1064A2" w14:textId="77777777" w:rsidR="00302D7B" w:rsidRPr="00302D7B" w:rsidRDefault="00302D7B" w:rsidP="00B934BE">
            <w:pPr>
              <w:jc w:val="center"/>
              <w:rPr>
                <w:color w:val="000000"/>
                <w:szCs w:val="22"/>
              </w:rPr>
            </w:pPr>
            <w:r w:rsidRPr="00302D7B">
              <w:rPr>
                <w:color w:val="000000"/>
                <w:szCs w:val="22"/>
              </w:rPr>
              <w:t>3813.273788</w:t>
            </w:r>
          </w:p>
        </w:tc>
        <w:tc>
          <w:tcPr>
            <w:tcW w:w="1387" w:type="dxa"/>
            <w:tcBorders>
              <w:top w:val="nil"/>
              <w:left w:val="nil"/>
              <w:bottom w:val="single" w:sz="8" w:space="0" w:color="auto"/>
              <w:right w:val="single" w:sz="8" w:space="0" w:color="auto"/>
            </w:tcBorders>
            <w:shd w:val="clear" w:color="000000" w:fill="92D050"/>
            <w:noWrap/>
            <w:vAlign w:val="bottom"/>
            <w:hideMark/>
          </w:tcPr>
          <w:p w14:paraId="08F187BA" w14:textId="77777777" w:rsidR="00302D7B" w:rsidRPr="00302D7B" w:rsidRDefault="00302D7B" w:rsidP="00B934BE">
            <w:pPr>
              <w:jc w:val="center"/>
              <w:rPr>
                <w:color w:val="000000"/>
                <w:szCs w:val="22"/>
              </w:rPr>
            </w:pPr>
            <w:r w:rsidRPr="00302D7B">
              <w:rPr>
                <w:color w:val="000000"/>
                <w:szCs w:val="22"/>
              </w:rPr>
              <w:t>3430.294072</w:t>
            </w:r>
          </w:p>
        </w:tc>
        <w:tc>
          <w:tcPr>
            <w:tcW w:w="976" w:type="dxa"/>
            <w:tcBorders>
              <w:top w:val="nil"/>
              <w:left w:val="nil"/>
              <w:bottom w:val="single" w:sz="8" w:space="0" w:color="auto"/>
              <w:right w:val="single" w:sz="8" w:space="0" w:color="auto"/>
            </w:tcBorders>
            <w:shd w:val="clear" w:color="000000" w:fill="FFFFFF"/>
            <w:noWrap/>
            <w:vAlign w:val="bottom"/>
            <w:hideMark/>
          </w:tcPr>
          <w:p w14:paraId="34F09B20" w14:textId="77777777" w:rsidR="00302D7B" w:rsidRPr="00302D7B" w:rsidRDefault="00302D7B" w:rsidP="00B934BE">
            <w:pPr>
              <w:jc w:val="center"/>
              <w:rPr>
                <w:color w:val="000000"/>
                <w:szCs w:val="22"/>
              </w:rPr>
            </w:pPr>
            <w:r w:rsidRPr="00302D7B">
              <w:rPr>
                <w:color w:val="000000"/>
                <w:szCs w:val="22"/>
              </w:rPr>
              <w:t>4100</w:t>
            </w:r>
          </w:p>
        </w:tc>
      </w:tr>
      <w:tr w:rsidR="00302D7B" w:rsidRPr="00302D7B" w14:paraId="750F8063" w14:textId="77777777" w:rsidTr="00B934BE">
        <w:trPr>
          <w:trHeight w:val="315"/>
        </w:trPr>
        <w:tc>
          <w:tcPr>
            <w:tcW w:w="2520" w:type="dxa"/>
            <w:tcBorders>
              <w:top w:val="nil"/>
              <w:left w:val="single" w:sz="8" w:space="0" w:color="auto"/>
              <w:bottom w:val="single" w:sz="8" w:space="0" w:color="auto"/>
              <w:right w:val="single" w:sz="8" w:space="0" w:color="auto"/>
            </w:tcBorders>
            <w:shd w:val="clear" w:color="000000" w:fill="FFFFFF"/>
            <w:noWrap/>
            <w:vAlign w:val="bottom"/>
            <w:hideMark/>
          </w:tcPr>
          <w:p w14:paraId="65A95E8F" w14:textId="77777777" w:rsidR="00302D7B" w:rsidRPr="00302D7B" w:rsidRDefault="00302D7B" w:rsidP="00B934BE">
            <w:pPr>
              <w:rPr>
                <w:color w:val="000000"/>
                <w:szCs w:val="22"/>
              </w:rPr>
            </w:pPr>
            <w:r w:rsidRPr="00302D7B">
              <w:rPr>
                <w:color w:val="000000"/>
                <w:szCs w:val="22"/>
              </w:rPr>
              <w:t>Retail - Small</w:t>
            </w:r>
          </w:p>
        </w:tc>
        <w:tc>
          <w:tcPr>
            <w:tcW w:w="1040" w:type="dxa"/>
            <w:tcBorders>
              <w:top w:val="nil"/>
              <w:left w:val="nil"/>
              <w:bottom w:val="single" w:sz="8" w:space="0" w:color="auto"/>
              <w:right w:val="single" w:sz="8" w:space="0" w:color="auto"/>
            </w:tcBorders>
            <w:shd w:val="clear" w:color="000000" w:fill="FFFFFF"/>
            <w:noWrap/>
            <w:vAlign w:val="bottom"/>
            <w:hideMark/>
          </w:tcPr>
          <w:p w14:paraId="2D9D79EE" w14:textId="77777777" w:rsidR="00302D7B" w:rsidRPr="00302D7B" w:rsidRDefault="00302D7B" w:rsidP="00B934BE">
            <w:pPr>
              <w:rPr>
                <w:color w:val="000000"/>
                <w:szCs w:val="22"/>
              </w:rPr>
            </w:pPr>
            <w:r w:rsidRPr="00302D7B">
              <w:rPr>
                <w:color w:val="000000"/>
                <w:szCs w:val="22"/>
              </w:rPr>
              <w:t>RtS</w:t>
            </w:r>
          </w:p>
        </w:tc>
        <w:tc>
          <w:tcPr>
            <w:tcW w:w="1387" w:type="dxa"/>
            <w:tcBorders>
              <w:top w:val="nil"/>
              <w:left w:val="nil"/>
              <w:bottom w:val="single" w:sz="8" w:space="0" w:color="auto"/>
              <w:right w:val="single" w:sz="8" w:space="0" w:color="auto"/>
            </w:tcBorders>
            <w:shd w:val="clear" w:color="000000" w:fill="FFFFFF"/>
            <w:noWrap/>
            <w:vAlign w:val="bottom"/>
            <w:hideMark/>
          </w:tcPr>
          <w:p w14:paraId="0D5B5B1B" w14:textId="77777777" w:rsidR="00302D7B" w:rsidRPr="00302D7B" w:rsidRDefault="00302D7B" w:rsidP="00B934BE">
            <w:pPr>
              <w:jc w:val="center"/>
              <w:rPr>
                <w:color w:val="000000"/>
                <w:szCs w:val="22"/>
              </w:rPr>
            </w:pPr>
            <w:r w:rsidRPr="00302D7B">
              <w:rPr>
                <w:color w:val="000000"/>
                <w:szCs w:val="22"/>
              </w:rPr>
              <w:t>3720.635294</w:t>
            </w:r>
          </w:p>
        </w:tc>
        <w:tc>
          <w:tcPr>
            <w:tcW w:w="1387" w:type="dxa"/>
            <w:tcBorders>
              <w:top w:val="nil"/>
              <w:left w:val="nil"/>
              <w:bottom w:val="single" w:sz="8" w:space="0" w:color="auto"/>
              <w:right w:val="single" w:sz="8" w:space="0" w:color="auto"/>
            </w:tcBorders>
            <w:shd w:val="clear" w:color="000000" w:fill="92D050"/>
            <w:noWrap/>
            <w:vAlign w:val="bottom"/>
            <w:hideMark/>
          </w:tcPr>
          <w:p w14:paraId="04C2E4C4" w14:textId="77777777" w:rsidR="00302D7B" w:rsidRPr="00302D7B" w:rsidRDefault="00302D7B" w:rsidP="00B934BE">
            <w:pPr>
              <w:jc w:val="center"/>
              <w:rPr>
                <w:color w:val="000000"/>
                <w:szCs w:val="22"/>
              </w:rPr>
            </w:pPr>
            <w:r w:rsidRPr="00302D7B">
              <w:rPr>
                <w:color w:val="000000"/>
                <w:szCs w:val="22"/>
              </w:rPr>
              <w:t>3252.859412</w:t>
            </w:r>
          </w:p>
        </w:tc>
        <w:tc>
          <w:tcPr>
            <w:tcW w:w="976" w:type="dxa"/>
            <w:tcBorders>
              <w:top w:val="nil"/>
              <w:left w:val="nil"/>
              <w:bottom w:val="single" w:sz="8" w:space="0" w:color="auto"/>
              <w:right w:val="single" w:sz="8" w:space="0" w:color="auto"/>
            </w:tcBorders>
            <w:shd w:val="clear" w:color="000000" w:fill="FFFFFF"/>
            <w:noWrap/>
            <w:vAlign w:val="bottom"/>
            <w:hideMark/>
          </w:tcPr>
          <w:p w14:paraId="43CEF165" w14:textId="77777777" w:rsidR="00302D7B" w:rsidRPr="00302D7B" w:rsidRDefault="00302D7B" w:rsidP="00B934BE">
            <w:pPr>
              <w:jc w:val="center"/>
              <w:rPr>
                <w:color w:val="000000"/>
                <w:szCs w:val="22"/>
              </w:rPr>
            </w:pPr>
            <w:r w:rsidRPr="00302D7B">
              <w:rPr>
                <w:color w:val="000000"/>
                <w:szCs w:val="22"/>
              </w:rPr>
              <w:t>4100</w:t>
            </w:r>
          </w:p>
        </w:tc>
      </w:tr>
    </w:tbl>
    <w:p w14:paraId="6EBD47DA" w14:textId="77777777" w:rsidR="00302D7B" w:rsidRPr="00302D7B" w:rsidRDefault="00302D7B" w:rsidP="00302D7B">
      <w:pPr>
        <w:pStyle w:val="Normal2"/>
        <w:rPr>
          <w:szCs w:val="22"/>
        </w:rPr>
      </w:pPr>
    </w:p>
    <w:p w14:paraId="6E7A79FE" w14:textId="77777777" w:rsidR="00302D7B" w:rsidRPr="00302D7B" w:rsidRDefault="00302D7B" w:rsidP="00302D7B">
      <w:pPr>
        <w:rPr>
          <w:szCs w:val="22"/>
        </w:rPr>
      </w:pPr>
      <w:r w:rsidRPr="00302D7B">
        <w:rPr>
          <w:position w:val="-30"/>
          <w:szCs w:val="22"/>
        </w:rPr>
        <w:object w:dxaOrig="5760" w:dyaOrig="720" w14:anchorId="0420DB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7.35pt;height:36pt" o:ole="">
            <v:imagedata r:id="rId13" o:title=""/>
          </v:shape>
          <o:OLEObject Type="Embed" ProgID="Equation.3" ShapeID="_x0000_i1029" DrawAspect="Content" ObjectID="_1339508795" r:id="rId14"/>
        </w:object>
      </w:r>
      <w:bookmarkStart w:id="16" w:name="_Ref178760264"/>
      <w:r w:rsidRPr="00302D7B">
        <w:rPr>
          <w:szCs w:val="22"/>
        </w:rPr>
        <w:t xml:space="preserve">   </w:t>
      </w:r>
      <w:bookmarkEnd w:id="16"/>
      <w:r w:rsidRPr="00302D7B">
        <w:rPr>
          <w:szCs w:val="22"/>
        </w:rPr>
        <w:t>[</w:t>
      </w:r>
      <w:r w:rsidRPr="00302D7B">
        <w:rPr>
          <w:b/>
          <w:szCs w:val="22"/>
        </w:rPr>
        <w:t>Equation 2</w:t>
      </w:r>
      <w:r w:rsidRPr="00302D7B">
        <w:rPr>
          <w:szCs w:val="22"/>
        </w:rPr>
        <w:t>]</w:t>
      </w:r>
    </w:p>
    <w:p w14:paraId="2E113B5C" w14:textId="77777777" w:rsidR="00302D7B" w:rsidRDefault="00302D7B" w:rsidP="00302D7B">
      <w:pPr>
        <w:rPr>
          <w:b/>
          <w:szCs w:val="22"/>
        </w:rPr>
      </w:pPr>
    </w:p>
    <w:p w14:paraId="6BA6F297" w14:textId="77777777" w:rsidR="00302D7B" w:rsidRPr="00302D7B" w:rsidRDefault="00302D7B" w:rsidP="00302D7B">
      <w:pPr>
        <w:rPr>
          <w:b/>
          <w:szCs w:val="22"/>
        </w:rPr>
      </w:pPr>
      <w:r w:rsidRPr="00302D7B">
        <w:rPr>
          <w:b/>
          <w:szCs w:val="22"/>
        </w:rPr>
        <w:t>*Interactive effect was not utilized for this measure saving calculations.</w:t>
      </w:r>
    </w:p>
    <w:p w14:paraId="7EB58BA7" w14:textId="77777777" w:rsidR="00302D7B" w:rsidRPr="00302D7B" w:rsidRDefault="00302D7B" w:rsidP="00302D7B">
      <w:pPr>
        <w:outlineLvl w:val="0"/>
        <w:rPr>
          <w:b/>
          <w:szCs w:val="22"/>
        </w:rPr>
      </w:pPr>
    </w:p>
    <w:p w14:paraId="067225B7" w14:textId="37F681C8" w:rsidR="005D7173" w:rsidRDefault="007D66FA" w:rsidP="00D36260">
      <w:r w:rsidRPr="001C5C99">
        <w:t>Refer to workpaper WPSDGENRLG0999</w:t>
      </w:r>
      <w:r>
        <w:t xml:space="preserve"> </w:t>
      </w:r>
      <w:r w:rsidRPr="001C5C99">
        <w:t>for the detailed lighting calculations.</w:t>
      </w:r>
    </w:p>
    <w:p w14:paraId="5F9C3DD9" w14:textId="77777777" w:rsidR="00A05CFF" w:rsidRDefault="00A05CFF" w:rsidP="00D36260">
      <w:pPr>
        <w:rPr>
          <w:b/>
        </w:rPr>
      </w:pPr>
      <w:bookmarkStart w:id="17" w:name="_Toc182293816"/>
    </w:p>
    <w:p w14:paraId="552281C7" w14:textId="77777777" w:rsidR="00D36260" w:rsidRPr="00F33428" w:rsidRDefault="00D36260" w:rsidP="00D36260">
      <w:pPr>
        <w:outlineLvl w:val="0"/>
        <w:rPr>
          <w:b/>
        </w:rPr>
      </w:pPr>
      <w:bookmarkStart w:id="18" w:name="_Toc181721081"/>
      <w:bookmarkEnd w:id="17"/>
      <w:r w:rsidRPr="00F33428">
        <w:rPr>
          <w:b/>
        </w:rPr>
        <w:t>2.2 Demand Reduction Estimation Methodologies</w:t>
      </w:r>
      <w:bookmarkEnd w:id="18"/>
    </w:p>
    <w:p w14:paraId="0F61484B" w14:textId="3A4040C5" w:rsidR="00302D7B" w:rsidRPr="00302D7B" w:rsidRDefault="00302D7B" w:rsidP="00302D7B">
      <w:bookmarkStart w:id="19" w:name="_Ref262475244"/>
      <w:r w:rsidRPr="00302D7B">
        <w:t>The demand reduction estimates are based upon the DEER</w:t>
      </w:r>
      <w:r w:rsidRPr="00302D7B">
        <w:fldChar w:fldCharType="begin"/>
      </w:r>
      <w:r w:rsidRPr="00302D7B">
        <w:instrText xml:space="preserve"> XE "DEER" </w:instrText>
      </w:r>
      <w:r w:rsidRPr="00302D7B">
        <w:fldChar w:fldCharType="end"/>
      </w:r>
      <w:r w:rsidRPr="00302D7B">
        <w:t xml:space="preserve"> methodology for Express Efficiency</w:t>
      </w:r>
      <w:r w:rsidRPr="00302D7B">
        <w:fldChar w:fldCharType="begin"/>
      </w:r>
      <w:r w:rsidRPr="00302D7B">
        <w:instrText xml:space="preserve"> XE "Express Efficiency" </w:instrText>
      </w:r>
      <w:r w:rsidRPr="00302D7B">
        <w:fldChar w:fldCharType="end"/>
      </w:r>
      <w:r w:rsidRPr="00302D7B">
        <w:t xml:space="preserve"> type programs.</w:t>
      </w:r>
      <w:r w:rsidRPr="00302D7B">
        <w:t xml:space="preserve"> </w:t>
      </w:r>
      <w:r w:rsidRPr="00302D7B">
        <w:t>The methodology for demand reduction is shown in Equation3 below:</w:t>
      </w:r>
    </w:p>
    <w:p w14:paraId="221F17FA" w14:textId="77777777" w:rsidR="00302D7B" w:rsidRPr="00302D7B" w:rsidRDefault="00302D7B" w:rsidP="00302D7B"/>
    <w:p w14:paraId="1DE7842D" w14:textId="77777777" w:rsidR="00302D7B" w:rsidRPr="00302D7B" w:rsidRDefault="00302D7B" w:rsidP="00302D7B">
      <w:pPr>
        <w:rPr>
          <w:b/>
        </w:rPr>
      </w:pPr>
      <w:r w:rsidRPr="00302D7B">
        <w:rPr>
          <w:b/>
        </w:rPr>
        <w:t>Formula:</w:t>
      </w:r>
    </w:p>
    <w:p w14:paraId="068C1AC5" w14:textId="37991D30" w:rsidR="00516E85" w:rsidRPr="00302D7B" w:rsidRDefault="00302D7B" w:rsidP="00516E85">
      <w:r w:rsidRPr="00302D7B">
        <w:t>Demand Reduction</w:t>
      </w:r>
      <w:r w:rsidRPr="00302D7B">
        <w:rPr>
          <w:position w:val="-28"/>
        </w:rPr>
        <w:object w:dxaOrig="740" w:dyaOrig="680" w14:anchorId="2F716D12">
          <v:shape id="_x0000_i1035" type="#_x0000_t75" style="width:36.65pt;height:34pt" o:ole="">
            <v:imagedata r:id="rId15" o:title=""/>
          </v:shape>
          <o:OLEObject Type="Embed" ProgID="Equation.3" ShapeID="_x0000_i1035" DrawAspect="Content" ObjectID="_1339508796" r:id="rId16"/>
        </w:object>
      </w:r>
      <w:r w:rsidRPr="00302D7B">
        <w:t xml:space="preserve"> = </w:t>
      </w:r>
      <w:r w:rsidRPr="00302D7B">
        <w:rPr>
          <w:position w:val="-56"/>
        </w:rPr>
        <w:object w:dxaOrig="6640" w:dyaOrig="1300" w14:anchorId="2D72277A">
          <v:shape id="_x0000_i1036" type="#_x0000_t75" style="width:252.65pt;height:51.35pt" o:ole="">
            <v:imagedata r:id="rId17" o:title=""/>
          </v:shape>
          <o:OLEObject Type="Embed" ProgID="Equation.3" ShapeID="_x0000_i1036" DrawAspect="Content" ObjectID="_1339508797" r:id="rId18"/>
        </w:object>
      </w:r>
      <w:r w:rsidRPr="00302D7B">
        <w:t xml:space="preserve">  [</w:t>
      </w:r>
      <w:r w:rsidRPr="00302D7B">
        <w:rPr>
          <w:b/>
        </w:rPr>
        <w:t>Equation 3</w:t>
      </w:r>
      <w:r w:rsidRPr="00302D7B">
        <w:t>]</w:t>
      </w:r>
    </w:p>
    <w:p w14:paraId="2901248E" w14:textId="131B0EFF" w:rsidR="00393D14" w:rsidRDefault="00C301F3" w:rsidP="00516E85">
      <w:r w:rsidRPr="002E0A56">
        <w:t xml:space="preserve">Refer to workpaper WPSDGENRLG0999 for the </w:t>
      </w:r>
      <w:r>
        <w:t>detailed lighting calculations.</w:t>
      </w:r>
      <w:bookmarkEnd w:id="19"/>
    </w:p>
    <w:p w14:paraId="2BE42910" w14:textId="77777777" w:rsidR="00393D14" w:rsidRPr="00181968" w:rsidRDefault="00393D14" w:rsidP="007539BD"/>
    <w:p w14:paraId="6FE3E9A6" w14:textId="6538F556" w:rsidR="00D36260" w:rsidRDefault="00D36260" w:rsidP="00D36260">
      <w:pPr>
        <w:outlineLvl w:val="0"/>
        <w:rPr>
          <w:b/>
        </w:rPr>
      </w:pPr>
      <w:r>
        <w:rPr>
          <w:b/>
        </w:rPr>
        <w:t xml:space="preserve">2.3 </w:t>
      </w:r>
      <w:r w:rsidR="00A50FD5">
        <w:rPr>
          <w:b/>
        </w:rPr>
        <w:t>Gas Energy Saving Estimation</w:t>
      </w:r>
    </w:p>
    <w:p w14:paraId="7D7D9211" w14:textId="4BD0A5AC" w:rsidR="007653AA" w:rsidRDefault="000E3DD8" w:rsidP="007653AA">
      <w:pPr>
        <w:rPr>
          <w:szCs w:val="22"/>
        </w:rPr>
      </w:pPr>
      <w:r>
        <w:rPr>
          <w:szCs w:val="22"/>
        </w:rPr>
        <w:t>There are no gas savings associated with the measures in this workpaper.</w:t>
      </w:r>
      <w:bookmarkStart w:id="20" w:name="_GoBack"/>
      <w:bookmarkEnd w:id="20"/>
    </w:p>
    <w:p w14:paraId="55BBE3CB" w14:textId="77777777" w:rsidR="000E3DD8" w:rsidRDefault="000E3DD8" w:rsidP="007653AA">
      <w:pPr>
        <w:rPr>
          <w:szCs w:val="22"/>
        </w:rPr>
      </w:pPr>
    </w:p>
    <w:p w14:paraId="7C3F1CAB" w14:textId="6743CA51" w:rsidR="00E713A5" w:rsidRDefault="00E713A5" w:rsidP="007653AA">
      <w:pPr>
        <w:rPr>
          <w:szCs w:val="22"/>
        </w:rPr>
      </w:pPr>
      <w:r w:rsidRPr="00E713A5">
        <w:rPr>
          <w:szCs w:val="22"/>
        </w:rPr>
        <w:t>For all the savings discussed above, there is an installation rate applied to values associated with the</w:t>
      </w:r>
      <w:r>
        <w:rPr>
          <w:szCs w:val="22"/>
        </w:rPr>
        <w:t xml:space="preserve"> installation GSIA ID in</w:t>
      </w:r>
      <w:r w:rsidRPr="00E713A5">
        <w:t xml:space="preserve"> </w:t>
      </w:r>
      <w:r w:rsidRPr="00E713A5">
        <w:fldChar w:fldCharType="begin"/>
      </w:r>
      <w:r w:rsidRPr="00E713A5">
        <w:instrText xml:space="preserve"> REF _Ref263717305 \h </w:instrText>
      </w:r>
      <w:r w:rsidRPr="00E713A5">
        <w:fldChar w:fldCharType="separate"/>
      </w:r>
      <w:r w:rsidRPr="00E713A5">
        <w:t xml:space="preserve">Table </w:t>
      </w:r>
      <w:r w:rsidRPr="00E713A5">
        <w:rPr>
          <w:noProof/>
        </w:rPr>
        <w:t>9</w:t>
      </w:r>
      <w:r w:rsidRPr="00E713A5">
        <w:fldChar w:fldCharType="end"/>
      </w:r>
      <w:r w:rsidRPr="00E713A5">
        <w:t>. T</w:t>
      </w:r>
      <w:r w:rsidRPr="00E713A5">
        <w:rPr>
          <w:szCs w:val="22"/>
        </w:rPr>
        <w:t>he GSIA ID is identified in the ex-ante implementation tables for all programs and measures. The installation rate (IR) is applied to the gross savings calculations using the values associated with the IDs below.</w:t>
      </w:r>
    </w:p>
    <w:p w14:paraId="0BC4D66D" w14:textId="77777777" w:rsidR="00E713A5" w:rsidRDefault="00E713A5" w:rsidP="007653AA">
      <w:pPr>
        <w:rPr>
          <w:szCs w:val="22"/>
        </w:rPr>
      </w:pPr>
    </w:p>
    <w:p w14:paraId="7EAAC2F6" w14:textId="77777777" w:rsidR="00D63A8C" w:rsidRPr="005F20C9" w:rsidRDefault="00D63A8C" w:rsidP="00D63A8C">
      <w:pPr>
        <w:pStyle w:val="Caption"/>
        <w:jc w:val="center"/>
        <w:rPr>
          <w:sz w:val="22"/>
          <w:szCs w:val="22"/>
        </w:rPr>
      </w:pPr>
      <w:bookmarkStart w:id="21" w:name="_Ref263717305"/>
      <w:r w:rsidRPr="005F20C9">
        <w:rPr>
          <w:sz w:val="22"/>
          <w:szCs w:val="22"/>
        </w:rPr>
        <w:t xml:space="preserve">Table </w:t>
      </w:r>
      <w:r w:rsidRPr="005F20C9">
        <w:rPr>
          <w:sz w:val="22"/>
          <w:szCs w:val="22"/>
        </w:rPr>
        <w:fldChar w:fldCharType="begin"/>
      </w:r>
      <w:r w:rsidRPr="005F20C9">
        <w:rPr>
          <w:sz w:val="22"/>
          <w:szCs w:val="22"/>
        </w:rPr>
        <w:instrText xml:space="preserve"> SEQ Table \* ARABIC </w:instrText>
      </w:r>
      <w:r w:rsidRPr="005F20C9">
        <w:rPr>
          <w:sz w:val="22"/>
          <w:szCs w:val="22"/>
        </w:rPr>
        <w:fldChar w:fldCharType="separate"/>
      </w:r>
      <w:r>
        <w:rPr>
          <w:noProof/>
          <w:sz w:val="22"/>
          <w:szCs w:val="22"/>
        </w:rPr>
        <w:t>9</w:t>
      </w:r>
      <w:r w:rsidRPr="005F20C9">
        <w:rPr>
          <w:sz w:val="22"/>
          <w:szCs w:val="22"/>
        </w:rPr>
        <w:fldChar w:fldCharType="end"/>
      </w:r>
      <w:bookmarkEnd w:id="21"/>
      <w:r w:rsidRPr="005F20C9">
        <w:rPr>
          <w:sz w:val="22"/>
          <w:szCs w:val="22"/>
        </w:rPr>
        <w:t xml:space="preserve"> Gross Savings Installation Adjustment (GSIA) IDs</w:t>
      </w:r>
    </w:p>
    <w:tbl>
      <w:tblPr>
        <w:tblStyle w:val="TableContemporary"/>
        <w:tblW w:w="3822" w:type="pct"/>
        <w:jc w:val="center"/>
        <w:tblLook w:val="01E0" w:firstRow="1" w:lastRow="1" w:firstColumn="1" w:lastColumn="1" w:noHBand="0" w:noVBand="0"/>
      </w:tblPr>
      <w:tblGrid>
        <w:gridCol w:w="1241"/>
        <w:gridCol w:w="1643"/>
        <w:gridCol w:w="766"/>
        <w:gridCol w:w="1053"/>
        <w:gridCol w:w="1316"/>
        <w:gridCol w:w="1301"/>
      </w:tblGrid>
      <w:tr w:rsidR="00606BE5" w:rsidRPr="005F20C9" w14:paraId="0ADC774C" w14:textId="77777777" w:rsidTr="00606BE5">
        <w:trPr>
          <w:cnfStyle w:val="100000000000" w:firstRow="1" w:lastRow="0" w:firstColumn="0" w:lastColumn="0" w:oddVBand="0" w:evenVBand="0" w:oddHBand="0" w:evenHBand="0" w:firstRowFirstColumn="0" w:firstRowLastColumn="0" w:lastRowFirstColumn="0" w:lastRowLastColumn="0"/>
          <w:jc w:val="center"/>
        </w:trPr>
        <w:tc>
          <w:tcPr>
            <w:tcW w:w="848" w:type="pct"/>
            <w:vAlign w:val="center"/>
          </w:tcPr>
          <w:p w14:paraId="78065D90" w14:textId="77777777" w:rsidR="00606BE5" w:rsidRPr="005F20C9" w:rsidRDefault="00606BE5" w:rsidP="00FB7A52">
            <w:pPr>
              <w:jc w:val="center"/>
              <w:rPr>
                <w:sz w:val="20"/>
                <w:szCs w:val="20"/>
              </w:rPr>
            </w:pPr>
            <w:r w:rsidRPr="005F20C9">
              <w:rPr>
                <w:sz w:val="20"/>
                <w:szCs w:val="20"/>
              </w:rPr>
              <w:t>GSIA_ID</w:t>
            </w:r>
          </w:p>
        </w:tc>
        <w:tc>
          <w:tcPr>
            <w:tcW w:w="1122" w:type="pct"/>
            <w:vAlign w:val="center"/>
          </w:tcPr>
          <w:p w14:paraId="27404371" w14:textId="77777777" w:rsidR="00606BE5" w:rsidRPr="005F20C9" w:rsidRDefault="00606BE5" w:rsidP="00FB7A52">
            <w:pPr>
              <w:jc w:val="center"/>
              <w:rPr>
                <w:sz w:val="20"/>
                <w:szCs w:val="20"/>
              </w:rPr>
            </w:pPr>
            <w:r w:rsidRPr="005F20C9">
              <w:rPr>
                <w:sz w:val="20"/>
                <w:szCs w:val="20"/>
              </w:rPr>
              <w:t>Description</w:t>
            </w:r>
          </w:p>
        </w:tc>
        <w:tc>
          <w:tcPr>
            <w:tcW w:w="523" w:type="pct"/>
            <w:vAlign w:val="center"/>
          </w:tcPr>
          <w:p w14:paraId="67680FB4" w14:textId="77777777" w:rsidR="00606BE5" w:rsidRPr="005F20C9" w:rsidRDefault="00606BE5" w:rsidP="00FB7A52">
            <w:pPr>
              <w:jc w:val="center"/>
              <w:rPr>
                <w:sz w:val="20"/>
                <w:szCs w:val="20"/>
              </w:rPr>
            </w:pPr>
            <w:r w:rsidRPr="005F20C9">
              <w:rPr>
                <w:sz w:val="20"/>
                <w:szCs w:val="20"/>
              </w:rPr>
              <w:t>Sector</w:t>
            </w:r>
          </w:p>
        </w:tc>
        <w:tc>
          <w:tcPr>
            <w:tcW w:w="719" w:type="pct"/>
            <w:vAlign w:val="center"/>
          </w:tcPr>
          <w:p w14:paraId="1E2F5B70" w14:textId="77777777" w:rsidR="00606BE5" w:rsidRPr="005F20C9" w:rsidRDefault="00606BE5" w:rsidP="00FB7A52">
            <w:pPr>
              <w:jc w:val="center"/>
              <w:rPr>
                <w:sz w:val="20"/>
                <w:szCs w:val="20"/>
              </w:rPr>
            </w:pPr>
            <w:r w:rsidRPr="005F20C9">
              <w:rPr>
                <w:sz w:val="20"/>
                <w:szCs w:val="20"/>
              </w:rPr>
              <w:t>BldgType</w:t>
            </w:r>
          </w:p>
        </w:tc>
        <w:tc>
          <w:tcPr>
            <w:tcW w:w="899" w:type="pct"/>
            <w:vAlign w:val="center"/>
          </w:tcPr>
          <w:p w14:paraId="19D39282" w14:textId="77777777" w:rsidR="00606BE5" w:rsidRPr="005F20C9" w:rsidRDefault="00606BE5" w:rsidP="00FB7A52">
            <w:pPr>
              <w:jc w:val="center"/>
              <w:rPr>
                <w:sz w:val="20"/>
                <w:szCs w:val="20"/>
              </w:rPr>
            </w:pPr>
            <w:r w:rsidRPr="005F20C9">
              <w:rPr>
                <w:sz w:val="20"/>
                <w:szCs w:val="20"/>
              </w:rPr>
              <w:t>UseCategory</w:t>
            </w:r>
          </w:p>
        </w:tc>
        <w:tc>
          <w:tcPr>
            <w:tcW w:w="889" w:type="pct"/>
            <w:vAlign w:val="center"/>
          </w:tcPr>
          <w:p w14:paraId="64A84F41" w14:textId="77777777" w:rsidR="00606BE5" w:rsidRPr="005F20C9" w:rsidRDefault="00606BE5" w:rsidP="00FB7A52">
            <w:pPr>
              <w:jc w:val="center"/>
              <w:rPr>
                <w:sz w:val="20"/>
                <w:szCs w:val="20"/>
              </w:rPr>
            </w:pPr>
            <w:r w:rsidRPr="005F20C9">
              <w:rPr>
                <w:sz w:val="20"/>
                <w:szCs w:val="20"/>
              </w:rPr>
              <w:t>TechType</w:t>
            </w:r>
          </w:p>
        </w:tc>
      </w:tr>
      <w:tr w:rsidR="00606BE5" w:rsidRPr="005F20C9" w14:paraId="48536FA9" w14:textId="77777777" w:rsidTr="00606BE5">
        <w:trPr>
          <w:cnfStyle w:val="000000100000" w:firstRow="0" w:lastRow="0" w:firstColumn="0" w:lastColumn="0" w:oddVBand="0" w:evenVBand="0" w:oddHBand="1" w:evenHBand="0" w:firstRowFirstColumn="0" w:firstRowLastColumn="0" w:lastRowFirstColumn="0" w:lastRowLastColumn="0"/>
          <w:jc w:val="center"/>
        </w:trPr>
        <w:tc>
          <w:tcPr>
            <w:tcW w:w="848" w:type="pct"/>
            <w:vAlign w:val="center"/>
          </w:tcPr>
          <w:p w14:paraId="46D94426" w14:textId="77777777" w:rsidR="00606BE5" w:rsidRPr="005F20C9" w:rsidRDefault="00606BE5" w:rsidP="00FB7A52">
            <w:pPr>
              <w:jc w:val="center"/>
              <w:rPr>
                <w:sz w:val="20"/>
                <w:szCs w:val="20"/>
              </w:rPr>
            </w:pPr>
            <w:r w:rsidRPr="006F5BDE">
              <w:rPr>
                <w:sz w:val="20"/>
                <w:szCs w:val="20"/>
              </w:rPr>
              <w:t>Def-GSIA</w:t>
            </w:r>
          </w:p>
        </w:tc>
        <w:tc>
          <w:tcPr>
            <w:tcW w:w="1122" w:type="pct"/>
            <w:vAlign w:val="center"/>
          </w:tcPr>
          <w:p w14:paraId="18183FB9" w14:textId="77777777" w:rsidR="00606BE5" w:rsidRPr="005F20C9" w:rsidRDefault="00606BE5" w:rsidP="00FB7A52">
            <w:pPr>
              <w:jc w:val="center"/>
              <w:rPr>
                <w:sz w:val="20"/>
                <w:szCs w:val="20"/>
              </w:rPr>
            </w:pPr>
            <w:r w:rsidRPr="006F5BDE">
              <w:rPr>
                <w:sz w:val="20"/>
                <w:szCs w:val="20"/>
              </w:rPr>
              <w:t>Default GSIA</w:t>
            </w:r>
          </w:p>
        </w:tc>
        <w:tc>
          <w:tcPr>
            <w:tcW w:w="523" w:type="pct"/>
            <w:vAlign w:val="center"/>
          </w:tcPr>
          <w:p w14:paraId="75514E7B" w14:textId="77777777" w:rsidR="00606BE5" w:rsidRPr="005F20C9" w:rsidRDefault="00606BE5" w:rsidP="00FB7A52">
            <w:pPr>
              <w:jc w:val="center"/>
              <w:rPr>
                <w:sz w:val="20"/>
                <w:szCs w:val="20"/>
              </w:rPr>
            </w:pPr>
            <w:r>
              <w:rPr>
                <w:sz w:val="20"/>
                <w:szCs w:val="20"/>
              </w:rPr>
              <w:t>Any</w:t>
            </w:r>
          </w:p>
        </w:tc>
        <w:tc>
          <w:tcPr>
            <w:tcW w:w="719" w:type="pct"/>
            <w:vAlign w:val="center"/>
          </w:tcPr>
          <w:p w14:paraId="4B3CC051" w14:textId="77777777" w:rsidR="00606BE5" w:rsidRPr="005F20C9" w:rsidRDefault="00606BE5" w:rsidP="00FB7A52">
            <w:pPr>
              <w:jc w:val="center"/>
              <w:rPr>
                <w:sz w:val="20"/>
                <w:szCs w:val="20"/>
              </w:rPr>
            </w:pPr>
            <w:r>
              <w:rPr>
                <w:sz w:val="20"/>
                <w:szCs w:val="20"/>
              </w:rPr>
              <w:t>Any</w:t>
            </w:r>
          </w:p>
        </w:tc>
        <w:tc>
          <w:tcPr>
            <w:tcW w:w="899" w:type="pct"/>
            <w:vAlign w:val="center"/>
          </w:tcPr>
          <w:p w14:paraId="74AAB22C" w14:textId="77777777" w:rsidR="00606BE5" w:rsidRPr="005F20C9" w:rsidRDefault="00606BE5" w:rsidP="00FB7A52">
            <w:pPr>
              <w:jc w:val="center"/>
              <w:rPr>
                <w:sz w:val="20"/>
                <w:szCs w:val="20"/>
              </w:rPr>
            </w:pPr>
            <w:r>
              <w:rPr>
                <w:sz w:val="20"/>
                <w:szCs w:val="20"/>
              </w:rPr>
              <w:t>Any</w:t>
            </w:r>
          </w:p>
        </w:tc>
        <w:tc>
          <w:tcPr>
            <w:tcW w:w="889" w:type="pct"/>
            <w:vAlign w:val="center"/>
          </w:tcPr>
          <w:p w14:paraId="53823E84" w14:textId="77777777" w:rsidR="00606BE5" w:rsidRPr="005F20C9" w:rsidRDefault="00606BE5" w:rsidP="00FB7A52">
            <w:pPr>
              <w:jc w:val="center"/>
              <w:rPr>
                <w:sz w:val="20"/>
                <w:szCs w:val="20"/>
              </w:rPr>
            </w:pPr>
            <w:r>
              <w:rPr>
                <w:sz w:val="20"/>
                <w:szCs w:val="20"/>
              </w:rPr>
              <w:t>Any</w:t>
            </w:r>
          </w:p>
        </w:tc>
      </w:tr>
    </w:tbl>
    <w:p w14:paraId="63779C0E" w14:textId="77777777" w:rsidR="00D63A8C" w:rsidRPr="00522FC6" w:rsidRDefault="00D63A8C" w:rsidP="007653AA">
      <w:pPr>
        <w:rPr>
          <w:szCs w:val="22"/>
        </w:rPr>
      </w:pPr>
    </w:p>
    <w:p w14:paraId="5DDC33BE" w14:textId="77777777" w:rsidR="00E16609" w:rsidRPr="000F130A" w:rsidRDefault="00E16609" w:rsidP="00E16609">
      <w:pPr>
        <w:pStyle w:val="Heading1"/>
        <w:keepNext w:val="0"/>
        <w:rPr>
          <w:rFonts w:asciiTheme="minorHAnsi" w:hAnsiTheme="minorHAnsi" w:cstheme="minorHAnsi"/>
        </w:rPr>
      </w:pPr>
      <w:bookmarkStart w:id="22" w:name="_Toc214003093"/>
      <w:r w:rsidRPr="000F130A">
        <w:rPr>
          <w:rFonts w:asciiTheme="minorHAnsi" w:hAnsiTheme="minorHAnsi" w:cstheme="minorHAnsi"/>
        </w:rPr>
        <w:t>Section 3. Load Shape</w:t>
      </w:r>
      <w:bookmarkEnd w:id="22"/>
      <w:r w:rsidRPr="000F130A">
        <w:rPr>
          <w:rFonts w:asciiTheme="minorHAnsi" w:hAnsiTheme="minorHAnsi" w:cstheme="minorHAnsi"/>
        </w:rPr>
        <w:t>s</w:t>
      </w:r>
    </w:p>
    <w:p w14:paraId="0FF41A6C" w14:textId="7ECA6EF7" w:rsidR="0045481A" w:rsidRDefault="0045481A" w:rsidP="0045481A">
      <w:r w:rsidRPr="00BD3931">
        <w:lastRenderedPageBreak/>
        <w:t xml:space="preserve">The difference between the base case load shape and the measure load shape would be the most appropriate load shape; however, only end-use profiles are available.  Therefore, </w:t>
      </w:r>
      <w:r w:rsidRPr="00BD3931">
        <w:fldChar w:fldCharType="begin"/>
      </w:r>
      <w:r w:rsidRPr="00BD3931">
        <w:instrText xml:space="preserve"> XE "load shape" </w:instrText>
      </w:r>
      <w:r w:rsidRPr="00BD3931">
        <w:fldChar w:fldCharType="end"/>
      </w:r>
      <w:r w:rsidRPr="00BD3931">
        <w:t xml:space="preserve">the closest load shape chosen for this measure is the </w:t>
      </w:r>
      <w:r w:rsidR="009D1A7B" w:rsidRPr="009D1A7B">
        <w:t>NON_res:DEER:Indoor_Non-CFL_Ltg</w:t>
      </w:r>
      <w:r w:rsidRPr="00BD3931">
        <w:t xml:space="preserve"> load shape.  See </w:t>
      </w:r>
      <w:r w:rsidRPr="00BD3931">
        <w:fldChar w:fldCharType="begin"/>
      </w:r>
      <w:r w:rsidRPr="00BD3931">
        <w:instrText xml:space="preserve"> REF _Ref296597958 \h  \* MERGEFORMAT </w:instrText>
      </w:r>
      <w:r w:rsidRPr="00BD3931">
        <w:fldChar w:fldCharType="separate"/>
      </w:r>
      <w:r w:rsidRPr="0045481A">
        <w:t xml:space="preserve">Table </w:t>
      </w:r>
      <w:r w:rsidRPr="0045481A">
        <w:rPr>
          <w:noProof/>
        </w:rPr>
        <w:t>10</w:t>
      </w:r>
      <w:r w:rsidRPr="00BD3931">
        <w:fldChar w:fldCharType="end"/>
      </w:r>
      <w:r w:rsidRPr="00BD3931">
        <w:t xml:space="preserve"> for a list of all Building Types and Load Shapes.  See the KEMA report [31] for a more thorough discussion regarding the load shapes for this measure.</w:t>
      </w:r>
    </w:p>
    <w:p w14:paraId="398933C4" w14:textId="77777777" w:rsidR="001D613D" w:rsidRPr="00BD3931" w:rsidRDefault="001D613D" w:rsidP="007637F6"/>
    <w:p w14:paraId="4E1EBF9B" w14:textId="2F5E38E8" w:rsidR="00E16609" w:rsidRPr="00385BC3" w:rsidRDefault="003F0623" w:rsidP="003F0623">
      <w:pPr>
        <w:pStyle w:val="Caption"/>
        <w:jc w:val="center"/>
        <w:rPr>
          <w:sz w:val="22"/>
          <w:szCs w:val="22"/>
        </w:rPr>
      </w:pPr>
      <w:bookmarkStart w:id="23" w:name="_Ref296597958"/>
      <w:r w:rsidRPr="00385BC3">
        <w:rPr>
          <w:sz w:val="22"/>
          <w:szCs w:val="22"/>
        </w:rPr>
        <w:t xml:space="preserve">Table </w:t>
      </w:r>
      <w:r w:rsidRPr="00385BC3">
        <w:rPr>
          <w:sz w:val="22"/>
          <w:szCs w:val="22"/>
        </w:rPr>
        <w:fldChar w:fldCharType="begin"/>
      </w:r>
      <w:r w:rsidRPr="00385BC3">
        <w:rPr>
          <w:sz w:val="22"/>
          <w:szCs w:val="22"/>
        </w:rPr>
        <w:instrText xml:space="preserve"> SEQ Table \* ARABIC </w:instrText>
      </w:r>
      <w:r w:rsidRPr="00385BC3">
        <w:rPr>
          <w:sz w:val="22"/>
          <w:szCs w:val="22"/>
        </w:rPr>
        <w:fldChar w:fldCharType="separate"/>
      </w:r>
      <w:r w:rsidR="001B0DFC">
        <w:rPr>
          <w:noProof/>
          <w:sz w:val="22"/>
          <w:szCs w:val="22"/>
        </w:rPr>
        <w:t>10</w:t>
      </w:r>
      <w:r w:rsidRPr="00385BC3">
        <w:rPr>
          <w:sz w:val="22"/>
          <w:szCs w:val="22"/>
        </w:rPr>
        <w:fldChar w:fldCharType="end"/>
      </w:r>
      <w:bookmarkEnd w:id="23"/>
      <w:r w:rsidRPr="00385BC3">
        <w:rPr>
          <w:sz w:val="22"/>
          <w:szCs w:val="22"/>
        </w:rPr>
        <w:t xml:space="preserve"> </w:t>
      </w:r>
      <w:r w:rsidR="0045481A" w:rsidRPr="00385BC3">
        <w:rPr>
          <w:sz w:val="22"/>
          <w:szCs w:val="22"/>
        </w:rPr>
        <w:t>Building Types and Load Shapes</w:t>
      </w:r>
    </w:p>
    <w:tbl>
      <w:tblPr>
        <w:tblStyle w:val="TableContemporary"/>
        <w:tblW w:w="3218" w:type="pct"/>
        <w:jc w:val="center"/>
        <w:tblLook w:val="01E0" w:firstRow="1" w:lastRow="1" w:firstColumn="1" w:lastColumn="1" w:noHBand="0" w:noVBand="0"/>
      </w:tblPr>
      <w:tblGrid>
        <w:gridCol w:w="2722"/>
        <w:gridCol w:w="3441"/>
      </w:tblGrid>
      <w:tr w:rsidR="00E45F8C" w:rsidRPr="00181968" w14:paraId="33A41471" w14:textId="77777777" w:rsidTr="00E45F8C">
        <w:trPr>
          <w:cnfStyle w:val="100000000000" w:firstRow="1" w:lastRow="0" w:firstColumn="0" w:lastColumn="0" w:oddVBand="0" w:evenVBand="0" w:oddHBand="0" w:evenHBand="0" w:firstRowFirstColumn="0" w:firstRowLastColumn="0" w:lastRowFirstColumn="0" w:lastRowLastColumn="0"/>
          <w:tblHeader/>
          <w:jc w:val="center"/>
        </w:trPr>
        <w:tc>
          <w:tcPr>
            <w:tcW w:w="2208" w:type="pct"/>
            <w:vAlign w:val="center"/>
          </w:tcPr>
          <w:p w14:paraId="6E3686A7" w14:textId="77777777" w:rsidR="00E45F8C" w:rsidRPr="00385BC3" w:rsidRDefault="00E45F8C" w:rsidP="00E03E90">
            <w:pPr>
              <w:jc w:val="center"/>
              <w:rPr>
                <w:sz w:val="20"/>
                <w:szCs w:val="20"/>
                <w:highlight w:val="yellow"/>
              </w:rPr>
            </w:pPr>
            <w:r w:rsidRPr="00385BC3">
              <w:rPr>
                <w:sz w:val="20"/>
                <w:szCs w:val="20"/>
              </w:rPr>
              <w:t>Building Type</w:t>
            </w:r>
          </w:p>
        </w:tc>
        <w:tc>
          <w:tcPr>
            <w:tcW w:w="2792" w:type="pct"/>
            <w:vAlign w:val="center"/>
          </w:tcPr>
          <w:p w14:paraId="610FBBCA" w14:textId="77777777" w:rsidR="00E45F8C" w:rsidRPr="00385BC3" w:rsidRDefault="00E45F8C" w:rsidP="00E03E90">
            <w:pPr>
              <w:jc w:val="center"/>
              <w:rPr>
                <w:sz w:val="20"/>
                <w:szCs w:val="20"/>
              </w:rPr>
            </w:pPr>
            <w:r w:rsidRPr="00385BC3">
              <w:rPr>
                <w:sz w:val="20"/>
                <w:szCs w:val="20"/>
              </w:rPr>
              <w:t>Load Shape</w:t>
            </w:r>
          </w:p>
        </w:tc>
      </w:tr>
      <w:tr w:rsidR="00E45F8C" w:rsidRPr="00181968" w14:paraId="1C298393" w14:textId="77777777" w:rsidTr="00E45F8C">
        <w:trPr>
          <w:cnfStyle w:val="000000100000" w:firstRow="0" w:lastRow="0" w:firstColumn="0" w:lastColumn="0" w:oddVBand="0" w:evenVBand="0" w:oddHBand="1" w:evenHBand="0" w:firstRowFirstColumn="0" w:firstRowLastColumn="0" w:lastRowFirstColumn="0" w:lastRowLastColumn="0"/>
          <w:jc w:val="center"/>
        </w:trPr>
        <w:tc>
          <w:tcPr>
            <w:tcW w:w="2208" w:type="pct"/>
            <w:vAlign w:val="center"/>
          </w:tcPr>
          <w:p w14:paraId="522590EF" w14:textId="4CB9E75C" w:rsidR="00E45F8C" w:rsidRPr="00385BC3" w:rsidRDefault="00E45F8C" w:rsidP="00E03E90">
            <w:pPr>
              <w:jc w:val="center"/>
              <w:rPr>
                <w:sz w:val="20"/>
                <w:szCs w:val="20"/>
              </w:rPr>
            </w:pPr>
            <w:r w:rsidRPr="00385BC3">
              <w:rPr>
                <w:sz w:val="20"/>
                <w:szCs w:val="20"/>
              </w:rPr>
              <w:t>Retail - Multistory Large</w:t>
            </w:r>
          </w:p>
        </w:tc>
        <w:tc>
          <w:tcPr>
            <w:tcW w:w="2792" w:type="pct"/>
            <w:vAlign w:val="center"/>
          </w:tcPr>
          <w:p w14:paraId="60905569" w14:textId="51A989CC" w:rsidR="00E45F8C" w:rsidRPr="00385BC3" w:rsidRDefault="00E45F8C" w:rsidP="00E03E90">
            <w:pPr>
              <w:jc w:val="center"/>
              <w:rPr>
                <w:sz w:val="20"/>
                <w:szCs w:val="20"/>
              </w:rPr>
            </w:pPr>
            <w:r w:rsidRPr="00E45F8C">
              <w:rPr>
                <w:sz w:val="20"/>
                <w:szCs w:val="20"/>
              </w:rPr>
              <w:t>NON_res:DEER:Indoor_Non-CFL_Ltg</w:t>
            </w:r>
          </w:p>
        </w:tc>
      </w:tr>
      <w:tr w:rsidR="00E45F8C" w:rsidRPr="00181968" w14:paraId="241E0C4C" w14:textId="77777777" w:rsidTr="00E45F8C">
        <w:trPr>
          <w:cnfStyle w:val="000000010000" w:firstRow="0" w:lastRow="0" w:firstColumn="0" w:lastColumn="0" w:oddVBand="0" w:evenVBand="0" w:oddHBand="0" w:evenHBand="1" w:firstRowFirstColumn="0" w:firstRowLastColumn="0" w:lastRowFirstColumn="0" w:lastRowLastColumn="0"/>
          <w:jc w:val="center"/>
        </w:trPr>
        <w:tc>
          <w:tcPr>
            <w:tcW w:w="2208" w:type="pct"/>
            <w:vAlign w:val="center"/>
          </w:tcPr>
          <w:p w14:paraId="7FA95D7D" w14:textId="63EA8A42" w:rsidR="00E45F8C" w:rsidRPr="00385BC3" w:rsidRDefault="00E45F8C" w:rsidP="00E03E90">
            <w:pPr>
              <w:jc w:val="center"/>
              <w:rPr>
                <w:sz w:val="20"/>
                <w:szCs w:val="20"/>
              </w:rPr>
            </w:pPr>
            <w:r w:rsidRPr="00385BC3">
              <w:rPr>
                <w:sz w:val="20"/>
                <w:szCs w:val="20"/>
              </w:rPr>
              <w:t>Retail - Single-Story Large</w:t>
            </w:r>
          </w:p>
        </w:tc>
        <w:tc>
          <w:tcPr>
            <w:tcW w:w="2792" w:type="pct"/>
            <w:vAlign w:val="center"/>
          </w:tcPr>
          <w:p w14:paraId="53BA10A9" w14:textId="0A8D4D1B" w:rsidR="00E45F8C" w:rsidRPr="00385BC3" w:rsidRDefault="00E45F8C" w:rsidP="00E03E90">
            <w:pPr>
              <w:jc w:val="center"/>
              <w:rPr>
                <w:sz w:val="20"/>
                <w:szCs w:val="20"/>
              </w:rPr>
            </w:pPr>
            <w:r w:rsidRPr="00E45F8C">
              <w:rPr>
                <w:sz w:val="20"/>
                <w:szCs w:val="20"/>
              </w:rPr>
              <w:t>NON_res:DEER:Indoor_Non-CFL_Ltg</w:t>
            </w:r>
          </w:p>
        </w:tc>
      </w:tr>
      <w:tr w:rsidR="00E45F8C" w:rsidRPr="00181968" w14:paraId="477C49DA" w14:textId="77777777" w:rsidTr="00E45F8C">
        <w:trPr>
          <w:cnfStyle w:val="000000100000" w:firstRow="0" w:lastRow="0" w:firstColumn="0" w:lastColumn="0" w:oddVBand="0" w:evenVBand="0" w:oddHBand="1" w:evenHBand="0" w:firstRowFirstColumn="0" w:firstRowLastColumn="0" w:lastRowFirstColumn="0" w:lastRowLastColumn="0"/>
          <w:jc w:val="center"/>
        </w:trPr>
        <w:tc>
          <w:tcPr>
            <w:tcW w:w="2208" w:type="pct"/>
            <w:vAlign w:val="center"/>
          </w:tcPr>
          <w:p w14:paraId="2FCA7E7A" w14:textId="1D1862D9" w:rsidR="00E45F8C" w:rsidRPr="00385BC3" w:rsidRDefault="00E45F8C" w:rsidP="00E03E90">
            <w:pPr>
              <w:jc w:val="center"/>
              <w:rPr>
                <w:sz w:val="20"/>
                <w:szCs w:val="20"/>
              </w:rPr>
            </w:pPr>
            <w:r w:rsidRPr="00385BC3">
              <w:rPr>
                <w:sz w:val="20"/>
                <w:szCs w:val="20"/>
              </w:rPr>
              <w:t>Retail - Small</w:t>
            </w:r>
          </w:p>
        </w:tc>
        <w:tc>
          <w:tcPr>
            <w:tcW w:w="2792" w:type="pct"/>
            <w:vAlign w:val="center"/>
          </w:tcPr>
          <w:p w14:paraId="17F90688" w14:textId="7C908053" w:rsidR="00E45F8C" w:rsidRPr="00385BC3" w:rsidRDefault="00E45F8C" w:rsidP="00E03E90">
            <w:pPr>
              <w:jc w:val="center"/>
              <w:rPr>
                <w:sz w:val="20"/>
                <w:szCs w:val="20"/>
              </w:rPr>
            </w:pPr>
            <w:r w:rsidRPr="00E45F8C">
              <w:rPr>
                <w:sz w:val="20"/>
                <w:szCs w:val="20"/>
              </w:rPr>
              <w:t>NON_res:DEER:Indoor_Non-CFL_Ltg</w:t>
            </w:r>
          </w:p>
        </w:tc>
      </w:tr>
    </w:tbl>
    <w:p w14:paraId="7A0C11C9" w14:textId="77777777" w:rsidR="00A05CFF" w:rsidRDefault="00A05CFF" w:rsidP="0056098C">
      <w:bookmarkStart w:id="24" w:name="_Toc214003096"/>
    </w:p>
    <w:p w14:paraId="6D3FA328" w14:textId="77777777" w:rsidR="00E16609" w:rsidRDefault="00E16609" w:rsidP="00E16609">
      <w:pPr>
        <w:pStyle w:val="Heading1"/>
        <w:keepNext w:val="0"/>
        <w:rPr>
          <w:rFonts w:asciiTheme="minorHAnsi" w:hAnsiTheme="minorHAnsi" w:cstheme="minorHAnsi"/>
        </w:rPr>
      </w:pPr>
      <w:r w:rsidRPr="000F130A">
        <w:rPr>
          <w:rFonts w:asciiTheme="minorHAnsi" w:hAnsiTheme="minorHAnsi" w:cstheme="minorHAnsi"/>
        </w:rPr>
        <w:t>Section 4. Base Case &amp; Measure Costs</w:t>
      </w:r>
      <w:bookmarkEnd w:id="24"/>
    </w:p>
    <w:p w14:paraId="7A86F1AE" w14:textId="77777777" w:rsidR="00E16609" w:rsidRPr="000F130A" w:rsidRDefault="00E16609" w:rsidP="00824F1C">
      <w:pPr>
        <w:pStyle w:val="Heading2"/>
        <w:rPr>
          <w:rFonts w:asciiTheme="minorHAnsi" w:hAnsiTheme="minorHAnsi" w:cstheme="minorHAnsi"/>
        </w:rPr>
      </w:pPr>
      <w:bookmarkStart w:id="25" w:name="_MON_1325609202"/>
      <w:bookmarkStart w:id="26" w:name="_MON_1399297811"/>
      <w:bookmarkStart w:id="27" w:name="_Toc214003097"/>
      <w:bookmarkEnd w:id="25"/>
      <w:bookmarkEnd w:id="26"/>
      <w:r w:rsidRPr="000F130A">
        <w:rPr>
          <w:rFonts w:asciiTheme="minorHAnsi" w:hAnsiTheme="minorHAnsi" w:cstheme="minorHAnsi"/>
        </w:rPr>
        <w:t>4.1 Base Case Cost</w:t>
      </w:r>
      <w:bookmarkEnd w:id="27"/>
    </w:p>
    <w:p w14:paraId="6F651E9F" w14:textId="5B6B332F" w:rsidR="006101F0" w:rsidRDefault="00DA6594" w:rsidP="00A8797B">
      <w:r>
        <w:t xml:space="preserve">DEER 2008 data does not provide information on costs for linear LED strip for display case lighting. The installation type for the measures in this workpaper is “Retrofit” so it is assumed that </w:t>
      </w:r>
      <w:r w:rsidR="006E1248">
        <w:t xml:space="preserve">the base case costs are zero because the </w:t>
      </w:r>
      <w:r w:rsidR="006A5756">
        <w:t xml:space="preserve">linear </w:t>
      </w:r>
      <w:r w:rsidR="006E1248">
        <w:t xml:space="preserve">LED </w:t>
      </w:r>
      <w:r w:rsidR="006A5756">
        <w:t xml:space="preserve">strip display </w:t>
      </w:r>
      <w:r w:rsidR="006E1248">
        <w:t>case lighting would not have been normally installed, as the existing lighting is assumed to be functioning properly</w:t>
      </w:r>
      <w:r w:rsidR="006A5756">
        <w:t xml:space="preserve"> and does not need to be replaced</w:t>
      </w:r>
      <w:r w:rsidR="006E1248">
        <w:t>.</w:t>
      </w:r>
    </w:p>
    <w:p w14:paraId="6F04C704" w14:textId="5D888DB4" w:rsidR="00A05CFF" w:rsidRPr="00FA449E" w:rsidRDefault="00A05CFF" w:rsidP="00D06233"/>
    <w:p w14:paraId="670C7F52" w14:textId="77777777" w:rsidR="00E16609" w:rsidRPr="000F130A" w:rsidRDefault="00E16609" w:rsidP="00E16609">
      <w:pPr>
        <w:pStyle w:val="Heading2"/>
        <w:keepNext w:val="0"/>
        <w:rPr>
          <w:rFonts w:asciiTheme="minorHAnsi" w:hAnsiTheme="minorHAnsi" w:cstheme="minorHAnsi"/>
        </w:rPr>
      </w:pPr>
      <w:bookmarkStart w:id="28" w:name="_Toc214003098"/>
      <w:r w:rsidRPr="000F130A">
        <w:rPr>
          <w:rFonts w:asciiTheme="minorHAnsi" w:hAnsiTheme="minorHAnsi" w:cstheme="minorHAnsi"/>
        </w:rPr>
        <w:t>4.2 Gross Measure Cost</w:t>
      </w:r>
      <w:bookmarkEnd w:id="28"/>
    </w:p>
    <w:p w14:paraId="3A80CE9E" w14:textId="77777777" w:rsidR="00305BD2" w:rsidRDefault="00305BD2" w:rsidP="00305BD2">
      <w:r w:rsidRPr="00181968">
        <w:t xml:space="preserve">Per the E3, the gross measure cost </w:t>
      </w:r>
      <w:r>
        <w:t xml:space="preserve">(GMC) </w:t>
      </w:r>
      <w:r w:rsidRPr="00181968">
        <w:t>is the cost to install an energy efficient measure</w:t>
      </w:r>
      <w:r>
        <w:t>.</w:t>
      </w:r>
    </w:p>
    <w:p w14:paraId="7A8347E1" w14:textId="77777777" w:rsidR="00305BD2" w:rsidRDefault="00305BD2" w:rsidP="00305BD2"/>
    <w:p w14:paraId="196983B1" w14:textId="4AD1584B" w:rsidR="00305BD2" w:rsidRDefault="00305BD2" w:rsidP="00305BD2">
      <w:r>
        <w:t>There are no existing DEER measure costs relevant to the installation of LED refrigerated case lighting. The measure costs were obtained from online retailers [</w:t>
      </w:r>
      <w:r w:rsidRPr="00B215AD">
        <w:rPr>
          <w:rStyle w:val="EndnoteReference"/>
          <w:vertAlign w:val="baseline"/>
        </w:rPr>
        <w:endnoteReference w:id="6"/>
      </w:r>
      <w:r>
        <w:t xml:space="preserve">] and </w:t>
      </w:r>
      <w:r w:rsidR="00764DA9">
        <w:t>the costs were averaged to obtain a cost per linear foot value</w:t>
      </w:r>
      <w:r>
        <w:t>.</w:t>
      </w:r>
      <w:r w:rsidR="00892D9A">
        <w:t xml:space="preserve"> No information was obtained to estimate labor costs so a conservative estimation of about 10% of the measure cost was assumed.</w:t>
      </w:r>
    </w:p>
    <w:p w14:paraId="7FEDE800" w14:textId="77777777" w:rsidR="00305BD2" w:rsidRPr="00181968" w:rsidRDefault="00305BD2" w:rsidP="00305BD2">
      <w:pPr>
        <w:rPr>
          <w:b/>
        </w:rPr>
      </w:pPr>
    </w:p>
    <w:p w14:paraId="64EA4BDF" w14:textId="77777777" w:rsidR="00305BD2" w:rsidRDefault="00305BD2" w:rsidP="00305BD2">
      <w:r>
        <w:t>For RET, GMC is represented by the equation below:</w:t>
      </w:r>
    </w:p>
    <w:p w14:paraId="0B6D9E3B" w14:textId="77777777" w:rsidR="00305BD2" w:rsidRDefault="00305BD2" w:rsidP="00305BD2"/>
    <w:p w14:paraId="075BE659" w14:textId="77777777" w:rsidR="00305BD2" w:rsidRPr="006E264F" w:rsidRDefault="00305BD2" w:rsidP="00305BD2">
      <w:pPr>
        <w:ind w:left="720"/>
        <w:rPr>
          <w:i/>
        </w:rPr>
      </w:pPr>
      <w:r w:rsidRPr="006E264F">
        <w:rPr>
          <w:i/>
        </w:rPr>
        <w:t>GMC = Measure Equipment Cost + Measure Labor Cost</w:t>
      </w:r>
    </w:p>
    <w:p w14:paraId="6BA09E8D" w14:textId="77777777" w:rsidR="00305BD2" w:rsidRDefault="00305BD2" w:rsidP="00305BD2"/>
    <w:p w14:paraId="0BEF663C" w14:textId="2BD14DCE" w:rsidR="00305BD2" w:rsidRDefault="00305BD2" w:rsidP="00305BD2">
      <w:r>
        <w:fldChar w:fldCharType="begin"/>
      </w:r>
      <w:r>
        <w:instrText xml:space="preserve"> REF _Ref262744521 \h </w:instrText>
      </w:r>
      <w:r>
        <w:fldChar w:fldCharType="separate"/>
      </w:r>
      <w:r>
        <w:t xml:space="preserve">Table </w:t>
      </w:r>
      <w:r>
        <w:rPr>
          <w:noProof/>
        </w:rPr>
        <w:t>11</w:t>
      </w:r>
      <w:r>
        <w:fldChar w:fldCharType="end"/>
      </w:r>
      <w:r>
        <w:fldChar w:fldCharType="begin"/>
      </w:r>
      <w:r>
        <w:instrText xml:space="preserve"> REF _Ref252809794 \h </w:instrText>
      </w:r>
      <w:r>
        <w:fldChar w:fldCharType="end"/>
      </w:r>
      <w:r>
        <w:t xml:space="preserve"> shows the gross measure costs</w:t>
      </w:r>
      <w:r w:rsidR="00D80EB6">
        <w:t>, per linear foot,</w:t>
      </w:r>
      <w:r>
        <w:t xml:space="preserve"> of the </w:t>
      </w:r>
      <w:r w:rsidR="00D80EB6">
        <w:t xml:space="preserve">linear </w:t>
      </w:r>
      <w:r>
        <w:t xml:space="preserve">LED </w:t>
      </w:r>
      <w:r w:rsidR="00D80EB6">
        <w:t xml:space="preserve">strip for display </w:t>
      </w:r>
      <w:r>
        <w:t>case lighting measures.</w:t>
      </w:r>
    </w:p>
    <w:p w14:paraId="7A31CB8F" w14:textId="77777777" w:rsidR="00305BD2" w:rsidRDefault="00305BD2" w:rsidP="00305BD2"/>
    <w:p w14:paraId="635B1CE4" w14:textId="77777777" w:rsidR="00305BD2" w:rsidRDefault="00305BD2" w:rsidP="00305BD2">
      <w:pPr>
        <w:pStyle w:val="Caption"/>
        <w:jc w:val="center"/>
      </w:pPr>
      <w:bookmarkStart w:id="29" w:name="_Ref262744521"/>
      <w:r>
        <w:t xml:space="preserve">Table </w:t>
      </w:r>
      <w:fldSimple w:instr=" SEQ Table \* ARABIC ">
        <w:r>
          <w:rPr>
            <w:noProof/>
          </w:rPr>
          <w:t>11</w:t>
        </w:r>
      </w:fldSimple>
      <w:bookmarkEnd w:id="29"/>
      <w:r>
        <w:t xml:space="preserve"> Gross/Incremental Measure Costs Summary</w:t>
      </w:r>
    </w:p>
    <w:tbl>
      <w:tblPr>
        <w:tblStyle w:val="TableContemporary"/>
        <w:tblW w:w="5000" w:type="pct"/>
        <w:jc w:val="center"/>
        <w:tblLook w:val="04A0" w:firstRow="1" w:lastRow="0" w:firstColumn="1" w:lastColumn="0" w:noHBand="0" w:noVBand="1"/>
      </w:tblPr>
      <w:tblGrid>
        <w:gridCol w:w="1003"/>
        <w:gridCol w:w="4422"/>
        <w:gridCol w:w="1005"/>
        <w:gridCol w:w="1094"/>
        <w:gridCol w:w="952"/>
        <w:gridCol w:w="1100"/>
      </w:tblGrid>
      <w:tr w:rsidR="00305BD2" w:rsidRPr="002872D2" w14:paraId="4BB9D69A" w14:textId="77777777" w:rsidTr="00892D9A">
        <w:trPr>
          <w:cnfStyle w:val="100000000000" w:firstRow="1" w:lastRow="0" w:firstColumn="0" w:lastColumn="0" w:oddVBand="0" w:evenVBand="0" w:oddHBand="0" w:evenHBand="0" w:firstRowFirstColumn="0" w:firstRowLastColumn="0" w:lastRowFirstColumn="0" w:lastRowLastColumn="0"/>
          <w:jc w:val="center"/>
        </w:trPr>
        <w:tc>
          <w:tcPr>
            <w:tcW w:w="524" w:type="pct"/>
            <w:vAlign w:val="center"/>
          </w:tcPr>
          <w:p w14:paraId="39703F0E" w14:textId="77777777" w:rsidR="00305BD2" w:rsidRPr="002872D2" w:rsidRDefault="00305BD2" w:rsidP="00764DA9">
            <w:pPr>
              <w:jc w:val="center"/>
              <w:rPr>
                <w:color w:val="000000"/>
                <w:sz w:val="20"/>
              </w:rPr>
            </w:pPr>
            <w:r w:rsidRPr="002872D2">
              <w:rPr>
                <w:color w:val="000000"/>
                <w:sz w:val="20"/>
              </w:rPr>
              <w:t>Product Code</w:t>
            </w:r>
          </w:p>
        </w:tc>
        <w:tc>
          <w:tcPr>
            <w:tcW w:w="2309" w:type="pct"/>
            <w:vAlign w:val="center"/>
          </w:tcPr>
          <w:p w14:paraId="222FC8F7" w14:textId="77777777" w:rsidR="00305BD2" w:rsidRPr="002872D2" w:rsidRDefault="00305BD2" w:rsidP="00764DA9">
            <w:pPr>
              <w:jc w:val="center"/>
              <w:rPr>
                <w:color w:val="000000"/>
                <w:sz w:val="20"/>
              </w:rPr>
            </w:pPr>
            <w:r w:rsidRPr="002872D2">
              <w:rPr>
                <w:color w:val="000000"/>
                <w:sz w:val="20"/>
              </w:rPr>
              <w:t>WP Measure</w:t>
            </w:r>
            <w:r>
              <w:rPr>
                <w:color w:val="000000"/>
                <w:sz w:val="20"/>
              </w:rPr>
              <w:t xml:space="preserve"> </w:t>
            </w:r>
            <w:r w:rsidRPr="002872D2">
              <w:rPr>
                <w:color w:val="000000"/>
                <w:sz w:val="20"/>
              </w:rPr>
              <w:t>Description</w:t>
            </w:r>
          </w:p>
        </w:tc>
        <w:tc>
          <w:tcPr>
            <w:tcW w:w="525" w:type="pct"/>
            <w:vAlign w:val="center"/>
          </w:tcPr>
          <w:p w14:paraId="1E3D6D25" w14:textId="77777777" w:rsidR="00305BD2" w:rsidRPr="002872D2" w:rsidRDefault="00305BD2" w:rsidP="00764DA9">
            <w:pPr>
              <w:jc w:val="center"/>
              <w:rPr>
                <w:color w:val="000000"/>
                <w:sz w:val="20"/>
              </w:rPr>
            </w:pPr>
            <w:r w:rsidRPr="002872D2">
              <w:rPr>
                <w:color w:val="000000"/>
                <w:sz w:val="20"/>
              </w:rPr>
              <w:t>Base Cost</w:t>
            </w:r>
          </w:p>
        </w:tc>
        <w:tc>
          <w:tcPr>
            <w:tcW w:w="571" w:type="pct"/>
            <w:vAlign w:val="center"/>
          </w:tcPr>
          <w:p w14:paraId="3590EDDF" w14:textId="5D593093" w:rsidR="00305BD2" w:rsidRPr="002872D2" w:rsidRDefault="00305BD2" w:rsidP="00764DA9">
            <w:pPr>
              <w:jc w:val="center"/>
              <w:rPr>
                <w:color w:val="000000"/>
                <w:sz w:val="20"/>
              </w:rPr>
            </w:pPr>
            <w:r w:rsidRPr="002872D2">
              <w:rPr>
                <w:color w:val="000000"/>
                <w:sz w:val="20"/>
              </w:rPr>
              <w:t>Measure Cost</w:t>
            </w:r>
            <w:r w:rsidR="00D80EB6">
              <w:rPr>
                <w:color w:val="000000"/>
                <w:sz w:val="20"/>
              </w:rPr>
              <w:t xml:space="preserve"> / ft.</w:t>
            </w:r>
          </w:p>
        </w:tc>
        <w:tc>
          <w:tcPr>
            <w:tcW w:w="497" w:type="pct"/>
            <w:vAlign w:val="center"/>
          </w:tcPr>
          <w:p w14:paraId="14025E27" w14:textId="6516DA32" w:rsidR="00305BD2" w:rsidRPr="002872D2" w:rsidRDefault="00305BD2" w:rsidP="00764DA9">
            <w:pPr>
              <w:jc w:val="center"/>
              <w:rPr>
                <w:color w:val="000000"/>
                <w:sz w:val="20"/>
              </w:rPr>
            </w:pPr>
            <w:r w:rsidRPr="002872D2">
              <w:rPr>
                <w:color w:val="000000"/>
                <w:sz w:val="20"/>
              </w:rPr>
              <w:t>Labor Cost</w:t>
            </w:r>
            <w:r w:rsidR="00D80EB6">
              <w:rPr>
                <w:color w:val="000000"/>
                <w:sz w:val="20"/>
              </w:rPr>
              <w:t xml:space="preserve"> / ft.</w:t>
            </w:r>
          </w:p>
        </w:tc>
        <w:tc>
          <w:tcPr>
            <w:tcW w:w="574" w:type="pct"/>
            <w:vAlign w:val="center"/>
          </w:tcPr>
          <w:p w14:paraId="39E2C55A" w14:textId="38BDA8B9" w:rsidR="00305BD2" w:rsidRPr="002872D2" w:rsidRDefault="00305BD2" w:rsidP="00764DA9">
            <w:pPr>
              <w:jc w:val="center"/>
              <w:rPr>
                <w:color w:val="000000"/>
                <w:sz w:val="20"/>
              </w:rPr>
            </w:pPr>
            <w:r w:rsidRPr="002872D2">
              <w:rPr>
                <w:color w:val="000000"/>
                <w:sz w:val="20"/>
              </w:rPr>
              <w:t>Gross</w:t>
            </w:r>
            <w:r>
              <w:rPr>
                <w:color w:val="000000"/>
                <w:sz w:val="20"/>
              </w:rPr>
              <w:t>/Inc.</w:t>
            </w:r>
            <w:r w:rsidRPr="002872D2">
              <w:rPr>
                <w:color w:val="000000"/>
                <w:sz w:val="20"/>
              </w:rPr>
              <w:t xml:space="preserve"> Measure Cost</w:t>
            </w:r>
            <w:r w:rsidR="00D80EB6">
              <w:rPr>
                <w:color w:val="000000"/>
                <w:sz w:val="20"/>
              </w:rPr>
              <w:t xml:space="preserve"> / ft.</w:t>
            </w:r>
          </w:p>
        </w:tc>
      </w:tr>
      <w:tr w:rsidR="00892D9A" w:rsidRPr="006E1248" w14:paraId="604CCA05" w14:textId="77777777" w:rsidTr="00892D9A">
        <w:trPr>
          <w:cnfStyle w:val="000000100000" w:firstRow="0" w:lastRow="0" w:firstColumn="0" w:lastColumn="0" w:oddVBand="0" w:evenVBand="0" w:oddHBand="1" w:evenHBand="0" w:firstRowFirstColumn="0" w:firstRowLastColumn="0" w:lastRowFirstColumn="0" w:lastRowLastColumn="0"/>
          <w:jc w:val="center"/>
        </w:trPr>
        <w:tc>
          <w:tcPr>
            <w:tcW w:w="524" w:type="pct"/>
            <w:vAlign w:val="center"/>
          </w:tcPr>
          <w:p w14:paraId="336AA1AC" w14:textId="738233DD" w:rsidR="00892D9A" w:rsidRPr="006E1248" w:rsidRDefault="00892D9A" w:rsidP="00764DA9">
            <w:pPr>
              <w:jc w:val="center"/>
              <w:rPr>
                <w:color w:val="000000"/>
                <w:sz w:val="20"/>
                <w:szCs w:val="20"/>
              </w:rPr>
            </w:pPr>
            <w:r w:rsidRPr="00C901E0">
              <w:rPr>
                <w:sz w:val="20"/>
                <w:szCs w:val="20"/>
              </w:rPr>
              <w:t>L-O11</w:t>
            </w:r>
          </w:p>
        </w:tc>
        <w:tc>
          <w:tcPr>
            <w:tcW w:w="2309" w:type="pct"/>
          </w:tcPr>
          <w:p w14:paraId="1CC90127" w14:textId="03A6C711" w:rsidR="00892D9A" w:rsidRPr="006E1248" w:rsidRDefault="00892D9A" w:rsidP="00764DA9">
            <w:pPr>
              <w:rPr>
                <w:color w:val="000000"/>
                <w:sz w:val="20"/>
                <w:szCs w:val="20"/>
              </w:rPr>
            </w:pPr>
            <w:r w:rsidRPr="00C901E0">
              <w:rPr>
                <w:sz w:val="20"/>
                <w:szCs w:val="20"/>
              </w:rPr>
              <w:t>New Linear LED Strip (T8 base case)</w:t>
            </w:r>
          </w:p>
        </w:tc>
        <w:tc>
          <w:tcPr>
            <w:tcW w:w="525" w:type="pct"/>
            <w:vAlign w:val="center"/>
          </w:tcPr>
          <w:p w14:paraId="663DFB73" w14:textId="77777777" w:rsidR="00892D9A" w:rsidRPr="006E1248" w:rsidRDefault="00892D9A" w:rsidP="00764DA9">
            <w:pPr>
              <w:jc w:val="center"/>
              <w:rPr>
                <w:color w:val="000000"/>
                <w:sz w:val="20"/>
                <w:szCs w:val="20"/>
              </w:rPr>
            </w:pPr>
            <w:r>
              <w:rPr>
                <w:color w:val="000000"/>
                <w:sz w:val="20"/>
                <w:szCs w:val="20"/>
              </w:rPr>
              <w:t>$0.00</w:t>
            </w:r>
          </w:p>
        </w:tc>
        <w:tc>
          <w:tcPr>
            <w:tcW w:w="571" w:type="pct"/>
            <w:vAlign w:val="center"/>
          </w:tcPr>
          <w:p w14:paraId="72E45326" w14:textId="740BE836" w:rsidR="00892D9A" w:rsidRPr="006E1248" w:rsidRDefault="00892D9A" w:rsidP="00764DA9">
            <w:pPr>
              <w:jc w:val="center"/>
              <w:rPr>
                <w:color w:val="000000"/>
                <w:sz w:val="20"/>
                <w:szCs w:val="20"/>
              </w:rPr>
            </w:pPr>
            <w:r>
              <w:rPr>
                <w:color w:val="000000"/>
                <w:sz w:val="20"/>
                <w:szCs w:val="20"/>
              </w:rPr>
              <w:t>$23.82</w:t>
            </w:r>
          </w:p>
        </w:tc>
        <w:tc>
          <w:tcPr>
            <w:tcW w:w="497" w:type="pct"/>
            <w:vAlign w:val="center"/>
          </w:tcPr>
          <w:p w14:paraId="3C56D9FB" w14:textId="078A3D2A" w:rsidR="00892D9A" w:rsidRPr="006E1248" w:rsidRDefault="00892D9A" w:rsidP="00764DA9">
            <w:pPr>
              <w:jc w:val="center"/>
              <w:rPr>
                <w:color w:val="000000"/>
                <w:sz w:val="20"/>
                <w:szCs w:val="20"/>
              </w:rPr>
            </w:pPr>
            <w:r>
              <w:rPr>
                <w:color w:val="000000"/>
                <w:sz w:val="20"/>
                <w:szCs w:val="20"/>
              </w:rPr>
              <w:t>$</w:t>
            </w:r>
            <w:r w:rsidR="00D80EB6">
              <w:rPr>
                <w:color w:val="000000"/>
                <w:sz w:val="20"/>
                <w:szCs w:val="20"/>
              </w:rPr>
              <w:t>2.38</w:t>
            </w:r>
          </w:p>
        </w:tc>
        <w:tc>
          <w:tcPr>
            <w:tcW w:w="574" w:type="pct"/>
            <w:vAlign w:val="center"/>
          </w:tcPr>
          <w:p w14:paraId="6AF551B7" w14:textId="39D40409" w:rsidR="00892D9A" w:rsidRPr="006E1248" w:rsidRDefault="00AD27D0" w:rsidP="00764DA9">
            <w:pPr>
              <w:jc w:val="center"/>
              <w:rPr>
                <w:color w:val="000000"/>
                <w:sz w:val="20"/>
                <w:szCs w:val="20"/>
              </w:rPr>
            </w:pPr>
            <w:r>
              <w:rPr>
                <w:color w:val="000000"/>
                <w:sz w:val="20"/>
                <w:szCs w:val="20"/>
              </w:rPr>
              <w:t>$26.20</w:t>
            </w:r>
          </w:p>
        </w:tc>
      </w:tr>
      <w:tr w:rsidR="00AD27D0" w:rsidRPr="006E1248" w14:paraId="14D65C16" w14:textId="77777777" w:rsidTr="00892D9A">
        <w:trPr>
          <w:cnfStyle w:val="000000010000" w:firstRow="0" w:lastRow="0" w:firstColumn="0" w:lastColumn="0" w:oddVBand="0" w:evenVBand="0" w:oddHBand="0" w:evenHBand="1" w:firstRowFirstColumn="0" w:firstRowLastColumn="0" w:lastRowFirstColumn="0" w:lastRowLastColumn="0"/>
          <w:jc w:val="center"/>
        </w:trPr>
        <w:tc>
          <w:tcPr>
            <w:tcW w:w="524" w:type="pct"/>
            <w:vAlign w:val="center"/>
          </w:tcPr>
          <w:p w14:paraId="7CEF1B6C" w14:textId="282F59A3" w:rsidR="00AD27D0" w:rsidRPr="006E1248" w:rsidRDefault="00AD27D0" w:rsidP="00764DA9">
            <w:pPr>
              <w:jc w:val="center"/>
              <w:rPr>
                <w:color w:val="000000"/>
                <w:sz w:val="20"/>
                <w:szCs w:val="20"/>
              </w:rPr>
            </w:pPr>
            <w:r>
              <w:rPr>
                <w:sz w:val="20"/>
                <w:szCs w:val="20"/>
              </w:rPr>
              <w:t>L-O21</w:t>
            </w:r>
          </w:p>
        </w:tc>
        <w:tc>
          <w:tcPr>
            <w:tcW w:w="2309" w:type="pct"/>
          </w:tcPr>
          <w:p w14:paraId="7BFBF6DE" w14:textId="68EE97CA" w:rsidR="00AD27D0" w:rsidRPr="006E1248" w:rsidRDefault="00AD27D0" w:rsidP="00764DA9">
            <w:pPr>
              <w:rPr>
                <w:color w:val="000000"/>
                <w:sz w:val="20"/>
                <w:szCs w:val="20"/>
              </w:rPr>
            </w:pPr>
            <w:r>
              <w:rPr>
                <w:sz w:val="20"/>
                <w:szCs w:val="20"/>
              </w:rPr>
              <w:t>New Linear LED Strip (T12</w:t>
            </w:r>
            <w:r w:rsidRPr="00C901E0">
              <w:rPr>
                <w:sz w:val="20"/>
                <w:szCs w:val="20"/>
              </w:rPr>
              <w:t xml:space="preserve"> base case)</w:t>
            </w:r>
          </w:p>
        </w:tc>
        <w:tc>
          <w:tcPr>
            <w:tcW w:w="525" w:type="pct"/>
            <w:vAlign w:val="center"/>
          </w:tcPr>
          <w:p w14:paraId="0C3A8D93" w14:textId="77777777" w:rsidR="00AD27D0" w:rsidRPr="006E1248" w:rsidRDefault="00AD27D0" w:rsidP="00764DA9">
            <w:pPr>
              <w:jc w:val="center"/>
              <w:rPr>
                <w:color w:val="000000"/>
                <w:sz w:val="20"/>
                <w:szCs w:val="20"/>
              </w:rPr>
            </w:pPr>
            <w:r w:rsidRPr="002C7070">
              <w:rPr>
                <w:color w:val="000000"/>
                <w:sz w:val="20"/>
                <w:szCs w:val="20"/>
              </w:rPr>
              <w:t>$0.00</w:t>
            </w:r>
          </w:p>
        </w:tc>
        <w:tc>
          <w:tcPr>
            <w:tcW w:w="571" w:type="pct"/>
            <w:vAlign w:val="center"/>
          </w:tcPr>
          <w:p w14:paraId="3D55FBAC" w14:textId="74063D60" w:rsidR="00AD27D0" w:rsidRPr="006E1248" w:rsidRDefault="00AD27D0" w:rsidP="00764DA9">
            <w:pPr>
              <w:jc w:val="center"/>
              <w:rPr>
                <w:color w:val="000000"/>
                <w:sz w:val="20"/>
                <w:szCs w:val="20"/>
              </w:rPr>
            </w:pPr>
            <w:r>
              <w:rPr>
                <w:color w:val="000000"/>
                <w:sz w:val="20"/>
                <w:szCs w:val="20"/>
              </w:rPr>
              <w:t>$23.82</w:t>
            </w:r>
          </w:p>
        </w:tc>
        <w:tc>
          <w:tcPr>
            <w:tcW w:w="497" w:type="pct"/>
            <w:vAlign w:val="center"/>
          </w:tcPr>
          <w:p w14:paraId="26A4C2F6" w14:textId="3879117C" w:rsidR="00AD27D0" w:rsidRPr="006E1248" w:rsidRDefault="00AD27D0" w:rsidP="00764DA9">
            <w:pPr>
              <w:jc w:val="center"/>
              <w:rPr>
                <w:color w:val="000000"/>
                <w:sz w:val="20"/>
                <w:szCs w:val="20"/>
              </w:rPr>
            </w:pPr>
            <w:r>
              <w:rPr>
                <w:color w:val="000000"/>
                <w:sz w:val="20"/>
                <w:szCs w:val="20"/>
              </w:rPr>
              <w:t>$2.38</w:t>
            </w:r>
          </w:p>
        </w:tc>
        <w:tc>
          <w:tcPr>
            <w:tcW w:w="574" w:type="pct"/>
            <w:vAlign w:val="center"/>
          </w:tcPr>
          <w:p w14:paraId="19D82A2A" w14:textId="0472A8B5" w:rsidR="00AD27D0" w:rsidRPr="006E1248" w:rsidRDefault="00AD27D0" w:rsidP="00764DA9">
            <w:pPr>
              <w:jc w:val="center"/>
              <w:rPr>
                <w:color w:val="000000"/>
                <w:sz w:val="20"/>
                <w:szCs w:val="20"/>
              </w:rPr>
            </w:pPr>
            <w:r>
              <w:rPr>
                <w:color w:val="000000"/>
                <w:sz w:val="20"/>
                <w:szCs w:val="20"/>
              </w:rPr>
              <w:t>$26.20</w:t>
            </w:r>
          </w:p>
        </w:tc>
      </w:tr>
      <w:tr w:rsidR="00AD27D0" w:rsidRPr="006E1248" w14:paraId="16A59048" w14:textId="77777777" w:rsidTr="00892D9A">
        <w:trPr>
          <w:cnfStyle w:val="000000100000" w:firstRow="0" w:lastRow="0" w:firstColumn="0" w:lastColumn="0" w:oddVBand="0" w:evenVBand="0" w:oddHBand="1" w:evenHBand="0" w:firstRowFirstColumn="0" w:firstRowLastColumn="0" w:lastRowFirstColumn="0" w:lastRowLastColumn="0"/>
          <w:jc w:val="center"/>
        </w:trPr>
        <w:tc>
          <w:tcPr>
            <w:tcW w:w="524" w:type="pct"/>
            <w:vAlign w:val="center"/>
          </w:tcPr>
          <w:p w14:paraId="7E976EC3" w14:textId="1708B641" w:rsidR="00AD27D0" w:rsidRPr="006E1248" w:rsidRDefault="00AD27D0" w:rsidP="00764DA9">
            <w:pPr>
              <w:jc w:val="center"/>
              <w:rPr>
                <w:sz w:val="20"/>
                <w:szCs w:val="20"/>
              </w:rPr>
            </w:pPr>
            <w:r>
              <w:rPr>
                <w:sz w:val="20"/>
                <w:szCs w:val="20"/>
              </w:rPr>
              <w:t>L-O31</w:t>
            </w:r>
          </w:p>
        </w:tc>
        <w:tc>
          <w:tcPr>
            <w:tcW w:w="2309" w:type="pct"/>
          </w:tcPr>
          <w:p w14:paraId="12812694" w14:textId="174E9EB8" w:rsidR="00AD27D0" w:rsidRPr="006E1248" w:rsidRDefault="00AD27D0" w:rsidP="00764DA9">
            <w:pPr>
              <w:rPr>
                <w:sz w:val="20"/>
                <w:szCs w:val="20"/>
              </w:rPr>
            </w:pPr>
            <w:r>
              <w:rPr>
                <w:sz w:val="20"/>
                <w:szCs w:val="20"/>
              </w:rPr>
              <w:t>New Linear LED Strip (Bi-pin Halogen</w:t>
            </w:r>
            <w:r w:rsidRPr="00C901E0">
              <w:rPr>
                <w:sz w:val="20"/>
                <w:szCs w:val="20"/>
              </w:rPr>
              <w:t xml:space="preserve"> base case)</w:t>
            </w:r>
          </w:p>
        </w:tc>
        <w:tc>
          <w:tcPr>
            <w:tcW w:w="525" w:type="pct"/>
            <w:vAlign w:val="center"/>
          </w:tcPr>
          <w:p w14:paraId="7FB1B96E" w14:textId="77777777" w:rsidR="00AD27D0" w:rsidRPr="006E1248" w:rsidRDefault="00AD27D0" w:rsidP="00764DA9">
            <w:pPr>
              <w:jc w:val="center"/>
              <w:rPr>
                <w:color w:val="000000"/>
                <w:sz w:val="20"/>
                <w:szCs w:val="20"/>
              </w:rPr>
            </w:pPr>
            <w:r w:rsidRPr="002C7070">
              <w:rPr>
                <w:color w:val="000000"/>
                <w:sz w:val="20"/>
                <w:szCs w:val="20"/>
              </w:rPr>
              <w:t>$0.00</w:t>
            </w:r>
          </w:p>
        </w:tc>
        <w:tc>
          <w:tcPr>
            <w:tcW w:w="571" w:type="pct"/>
            <w:vAlign w:val="center"/>
          </w:tcPr>
          <w:p w14:paraId="60239D9B" w14:textId="5B387746" w:rsidR="00AD27D0" w:rsidRPr="006E1248" w:rsidRDefault="00AD27D0" w:rsidP="00764DA9">
            <w:pPr>
              <w:jc w:val="center"/>
              <w:rPr>
                <w:color w:val="000000"/>
                <w:sz w:val="20"/>
                <w:szCs w:val="20"/>
              </w:rPr>
            </w:pPr>
            <w:r>
              <w:rPr>
                <w:color w:val="000000"/>
                <w:sz w:val="20"/>
                <w:szCs w:val="20"/>
              </w:rPr>
              <w:t>$23.82</w:t>
            </w:r>
          </w:p>
        </w:tc>
        <w:tc>
          <w:tcPr>
            <w:tcW w:w="497" w:type="pct"/>
            <w:vAlign w:val="center"/>
          </w:tcPr>
          <w:p w14:paraId="51622BD5" w14:textId="00F71AE4" w:rsidR="00AD27D0" w:rsidRPr="006E1248" w:rsidRDefault="00AD27D0" w:rsidP="00764DA9">
            <w:pPr>
              <w:jc w:val="center"/>
              <w:rPr>
                <w:color w:val="000000"/>
                <w:sz w:val="20"/>
                <w:szCs w:val="20"/>
              </w:rPr>
            </w:pPr>
            <w:r>
              <w:rPr>
                <w:color w:val="000000"/>
                <w:sz w:val="20"/>
                <w:szCs w:val="20"/>
              </w:rPr>
              <w:t>$2.38</w:t>
            </w:r>
          </w:p>
        </w:tc>
        <w:tc>
          <w:tcPr>
            <w:tcW w:w="574" w:type="pct"/>
            <w:vAlign w:val="center"/>
          </w:tcPr>
          <w:p w14:paraId="3E387321" w14:textId="04E1422E" w:rsidR="00AD27D0" w:rsidRPr="006E1248" w:rsidRDefault="00AD27D0" w:rsidP="00764DA9">
            <w:pPr>
              <w:jc w:val="center"/>
              <w:rPr>
                <w:color w:val="000000"/>
                <w:sz w:val="20"/>
                <w:szCs w:val="20"/>
              </w:rPr>
            </w:pPr>
            <w:r>
              <w:rPr>
                <w:color w:val="000000"/>
                <w:sz w:val="20"/>
                <w:szCs w:val="20"/>
              </w:rPr>
              <w:t>$26.20</w:t>
            </w:r>
          </w:p>
        </w:tc>
      </w:tr>
    </w:tbl>
    <w:p w14:paraId="5B6F567F" w14:textId="77777777" w:rsidR="00305BD2" w:rsidRDefault="00305BD2" w:rsidP="00305BD2"/>
    <w:p w14:paraId="595627EB" w14:textId="77777777" w:rsidR="00305BD2" w:rsidRDefault="00305BD2" w:rsidP="00305BD2">
      <w:r>
        <w:lastRenderedPageBreak/>
        <w:t>For a complete list of measure costs, see WPSDGENRLG0999 Master Lighting Look-up Table workpaper.</w:t>
      </w:r>
    </w:p>
    <w:p w14:paraId="5FECAB91" w14:textId="77777777" w:rsidR="0014055C" w:rsidRDefault="0014055C" w:rsidP="00FA449E"/>
    <w:p w14:paraId="2221C6D5" w14:textId="77777777" w:rsidR="00E16609" w:rsidRPr="000F130A" w:rsidRDefault="00E16609" w:rsidP="00E16609">
      <w:pPr>
        <w:pStyle w:val="Heading2"/>
        <w:keepNext w:val="0"/>
        <w:rPr>
          <w:rFonts w:asciiTheme="minorHAnsi" w:hAnsiTheme="minorHAnsi" w:cstheme="minorHAnsi"/>
        </w:rPr>
      </w:pPr>
      <w:bookmarkStart w:id="30" w:name="_Toc214003099"/>
      <w:r w:rsidRPr="005D1493">
        <w:rPr>
          <w:rFonts w:asciiTheme="minorHAnsi" w:hAnsiTheme="minorHAnsi" w:cstheme="minorHAnsi"/>
        </w:rPr>
        <w:t>4.3 Incremental Measure Cost</w:t>
      </w:r>
    </w:p>
    <w:p w14:paraId="6CC10BC3" w14:textId="77777777" w:rsidR="00FA3E07" w:rsidRPr="00F95FD3" w:rsidRDefault="00FA3E07" w:rsidP="00FA3E07">
      <w:r>
        <w:t xml:space="preserve">For </w:t>
      </w:r>
      <w:r w:rsidRPr="00F95FD3">
        <w:t>RET measures, IMC is represented by the equation below:</w:t>
      </w:r>
    </w:p>
    <w:p w14:paraId="44ED2982" w14:textId="77777777" w:rsidR="00FA3E07" w:rsidRPr="00F95FD3" w:rsidRDefault="00FA3E07" w:rsidP="00FA3E07"/>
    <w:p w14:paraId="595E28D5" w14:textId="77777777" w:rsidR="00FA3E07" w:rsidRPr="00F95FD3" w:rsidRDefault="00FA3E07" w:rsidP="00FA3E07">
      <w:pPr>
        <w:ind w:left="720"/>
        <w:rPr>
          <w:i/>
        </w:rPr>
      </w:pPr>
      <w:r w:rsidRPr="00F95FD3">
        <w:rPr>
          <w:i/>
        </w:rPr>
        <w:t>IMC = (Measure Equipment Cost + Measure Labor Cost) – (Base Case Equipment Cost + Base Case Labor Cost)</w:t>
      </w:r>
    </w:p>
    <w:p w14:paraId="4BED6178" w14:textId="77777777" w:rsidR="00FA3E07" w:rsidRDefault="00FA3E07" w:rsidP="00D36260"/>
    <w:p w14:paraId="261A8E5F" w14:textId="6E001936" w:rsidR="00FA3E07" w:rsidRDefault="00FA3E07" w:rsidP="00D36260">
      <w:r w:rsidRPr="00FB7F67">
        <w:t xml:space="preserve">See workpaper WPSDGENRLG0999 for actual </w:t>
      </w:r>
      <w:r>
        <w:t>incremental</w:t>
      </w:r>
      <w:r w:rsidRPr="00FB7F67">
        <w:t xml:space="preserve"> </w:t>
      </w:r>
      <w:r>
        <w:t xml:space="preserve">measure </w:t>
      </w:r>
      <w:r w:rsidRPr="00FB7F67">
        <w:t>costs used in this workpaper.</w:t>
      </w:r>
    </w:p>
    <w:p w14:paraId="0F4D21F3" w14:textId="73725C81" w:rsidR="00E16609" w:rsidRPr="00BD3931" w:rsidRDefault="00E16609" w:rsidP="00E16609">
      <w:pPr>
        <w:rPr>
          <w:rFonts w:asciiTheme="minorHAnsi" w:hAnsiTheme="minorHAnsi" w:cstheme="minorHAnsi"/>
          <w:sz w:val="22"/>
          <w:szCs w:val="22"/>
        </w:rPr>
      </w:pPr>
      <w:r w:rsidRPr="00BD3931">
        <w:rPr>
          <w:rFonts w:asciiTheme="minorHAnsi" w:hAnsiTheme="minorHAnsi" w:cstheme="minorHAnsi"/>
          <w:sz w:val="22"/>
          <w:szCs w:val="22"/>
        </w:rPr>
        <w:br w:type="page"/>
      </w:r>
    </w:p>
    <w:bookmarkEnd w:id="30"/>
    <w:p w14:paraId="2889EA90" w14:textId="7393E4B0" w:rsidR="005B5609" w:rsidRPr="007539BD" w:rsidRDefault="00E16609" w:rsidP="007539BD">
      <w:pPr>
        <w:pStyle w:val="Heading1"/>
        <w:rPr>
          <w:sz w:val="24"/>
        </w:rPr>
      </w:pPr>
      <w:r w:rsidRPr="000F130A">
        <w:rPr>
          <w:rFonts w:asciiTheme="minorHAnsi" w:hAnsiTheme="minorHAnsi" w:cstheme="minorHAnsi"/>
        </w:rPr>
        <w:lastRenderedPageBreak/>
        <w:t>Attachments</w:t>
      </w:r>
      <w:bookmarkStart w:id="31" w:name="_MON_1308750857"/>
      <w:bookmarkStart w:id="32" w:name="_MON_1308750976"/>
      <w:bookmarkStart w:id="33" w:name="_MON_1308988700"/>
      <w:bookmarkStart w:id="34" w:name="_MON_1309003011"/>
      <w:bookmarkStart w:id="35" w:name="_MON_1331538793"/>
      <w:bookmarkEnd w:id="31"/>
      <w:bookmarkEnd w:id="32"/>
      <w:bookmarkEnd w:id="33"/>
      <w:bookmarkEnd w:id="34"/>
      <w:bookmarkEnd w:id="35"/>
    </w:p>
    <w:p w14:paraId="713B0162" w14:textId="6EE0057E" w:rsidR="00812C4F" w:rsidRDefault="00812C4F" w:rsidP="00992E6F">
      <w:pPr>
        <w:pStyle w:val="EndnoteText"/>
        <w:numPr>
          <w:ilvl w:val="0"/>
          <w:numId w:val="20"/>
        </w:numPr>
        <w:rPr>
          <w:sz w:val="24"/>
        </w:rPr>
      </w:pPr>
      <w:r w:rsidRPr="00221B8B">
        <w:rPr>
          <w:sz w:val="24"/>
        </w:rPr>
        <w:t>Measure savin</w:t>
      </w:r>
      <w:r>
        <w:rPr>
          <w:sz w:val="24"/>
        </w:rPr>
        <w:t>gs provided in workpaper WPSDGE</w:t>
      </w:r>
      <w:r w:rsidRPr="00221B8B">
        <w:rPr>
          <w:sz w:val="24"/>
        </w:rPr>
        <w:t>NRLG0999 (provided under separate cover).</w:t>
      </w:r>
    </w:p>
    <w:p w14:paraId="104D7112" w14:textId="462AA548" w:rsidR="00A62726" w:rsidRDefault="00EE49D1" w:rsidP="00992E6F">
      <w:pPr>
        <w:pStyle w:val="EndnoteText"/>
        <w:numPr>
          <w:ilvl w:val="0"/>
          <w:numId w:val="20"/>
        </w:numPr>
        <w:rPr>
          <w:sz w:val="24"/>
        </w:rPr>
      </w:pPr>
      <w:r>
        <w:rPr>
          <w:sz w:val="24"/>
        </w:rPr>
        <w:object w:dxaOrig="2440" w:dyaOrig="1120" w14:anchorId="6D138901">
          <v:shape id="_x0000_i1025" type="#_x0000_t75" style="width:122pt;height:56pt" o:ole="">
            <v:imagedata r:id="rId19" o:title=""/>
          </v:shape>
          <o:OLEObject Type="Embed" ProgID="Excel.Sheet.12" ShapeID="_x0000_i1025" DrawAspect="Icon" ObjectID="_1339508798" r:id="rId20"/>
        </w:object>
      </w:r>
    </w:p>
    <w:p w14:paraId="1AA2B3FF" w14:textId="77777777" w:rsidR="00992E6F" w:rsidRDefault="00992E6F" w:rsidP="00992E6F">
      <w:pPr>
        <w:pStyle w:val="EndnoteText"/>
        <w:ind w:left="720"/>
        <w:rPr>
          <w:sz w:val="24"/>
        </w:rPr>
      </w:pPr>
    </w:p>
    <w:p w14:paraId="40E92197" w14:textId="30B8B16C" w:rsidR="007574AF" w:rsidRPr="00EE49D1" w:rsidRDefault="000E3DD8" w:rsidP="00992E6F">
      <w:pPr>
        <w:pStyle w:val="EndnoteText"/>
        <w:numPr>
          <w:ilvl w:val="0"/>
          <w:numId w:val="20"/>
        </w:numPr>
        <w:rPr>
          <w:sz w:val="24"/>
        </w:rPr>
      </w:pPr>
      <w:r>
        <w:rPr>
          <w:rFonts w:asciiTheme="minorHAnsi" w:hAnsiTheme="minorHAnsi" w:cstheme="minorHAnsi"/>
          <w:b/>
          <w:bCs/>
          <w:smallCaps/>
          <w:kern w:val="32"/>
          <w:sz w:val="36"/>
          <w:szCs w:val="32"/>
        </w:rPr>
        <w:pict w14:anchorId="288FD3AF">
          <v:shape id="_x0000_i1026" type="#_x0000_t75" style="width:75.35pt;height:50.65pt">
            <v:imagedata r:id="rId21" o:title=""/>
          </v:shape>
        </w:pict>
      </w:r>
    </w:p>
    <w:p w14:paraId="39DAB2FD" w14:textId="77777777" w:rsidR="00EE49D1" w:rsidRDefault="00EE49D1" w:rsidP="00EE49D1">
      <w:pPr>
        <w:pStyle w:val="EndnoteText"/>
        <w:rPr>
          <w:sz w:val="24"/>
        </w:rPr>
      </w:pPr>
    </w:p>
    <w:p w14:paraId="19C8726E" w14:textId="77777777" w:rsidR="00EE49D1" w:rsidRPr="00221B8B" w:rsidRDefault="00EE49D1" w:rsidP="00992E6F">
      <w:pPr>
        <w:pStyle w:val="EndnoteText"/>
        <w:numPr>
          <w:ilvl w:val="0"/>
          <w:numId w:val="20"/>
        </w:numPr>
        <w:rPr>
          <w:sz w:val="24"/>
        </w:rPr>
      </w:pPr>
      <w:r>
        <w:rPr>
          <w:sz w:val="24"/>
        </w:rPr>
        <w:object w:dxaOrig="2440" w:dyaOrig="1120" w14:anchorId="7B608410">
          <v:shape id="_x0000_i1027" type="#_x0000_t75" style="width:122pt;height:56pt" o:ole="">
            <v:imagedata r:id="rId22" o:title=""/>
          </v:shape>
          <o:OLEObject Type="Embed" ProgID="Excel.Sheet.12" ShapeID="_x0000_i1027" DrawAspect="Icon" ObjectID="_1339508799" r:id="rId23"/>
        </w:object>
      </w:r>
    </w:p>
    <w:p w14:paraId="78BDDB8C" w14:textId="0BB91DD1" w:rsidR="00E0484D" w:rsidRDefault="00E0484D" w:rsidP="00E16609"/>
    <w:p w14:paraId="7E2320FB" w14:textId="77777777" w:rsidR="00C54EFF" w:rsidRDefault="00C54EFF" w:rsidP="00E16609">
      <w:pPr>
        <w:rPr>
          <w:rFonts w:asciiTheme="minorHAnsi" w:hAnsiTheme="minorHAnsi" w:cstheme="minorHAnsi"/>
        </w:rPr>
      </w:pPr>
    </w:p>
    <w:p w14:paraId="24B54867" w14:textId="77777777" w:rsidR="00C54EFF" w:rsidRDefault="00C54EFF">
      <w:pPr>
        <w:spacing w:after="200" w:line="276" w:lineRule="auto"/>
        <w:rPr>
          <w:rFonts w:asciiTheme="minorHAnsi" w:hAnsiTheme="minorHAnsi" w:cstheme="minorHAnsi"/>
        </w:rPr>
      </w:pPr>
      <w:r>
        <w:rPr>
          <w:rFonts w:asciiTheme="minorHAnsi" w:hAnsiTheme="minorHAnsi" w:cstheme="minorHAnsi"/>
        </w:rPr>
        <w:br w:type="page"/>
      </w:r>
    </w:p>
    <w:p w14:paraId="59A75DC6" w14:textId="77777777" w:rsidR="00C54EFF" w:rsidRPr="00C54EFF" w:rsidRDefault="00C54EFF" w:rsidP="00C54EFF">
      <w:pPr>
        <w:pStyle w:val="Heading1"/>
        <w:rPr>
          <w:rFonts w:asciiTheme="minorHAnsi" w:hAnsiTheme="minorHAnsi" w:cstheme="minorHAnsi"/>
        </w:rPr>
      </w:pPr>
      <w:r w:rsidRPr="00560ECC">
        <w:rPr>
          <w:rFonts w:asciiTheme="minorHAnsi" w:hAnsiTheme="minorHAnsi" w:cstheme="minorHAnsi"/>
        </w:rPr>
        <w:lastRenderedPageBreak/>
        <w:t>References</w:t>
      </w:r>
    </w:p>
    <w:p w14:paraId="382EF1E7" w14:textId="59E85220" w:rsidR="00F36484" w:rsidRDefault="000E3DD8" w:rsidP="00E16609">
      <w:pPr>
        <w:rPr>
          <w:rFonts w:asciiTheme="minorHAnsi" w:hAnsiTheme="minorHAnsi" w:cstheme="minorHAnsi"/>
          <w:sz w:val="20"/>
        </w:rPr>
      </w:pPr>
      <w:r>
        <w:rPr>
          <w:rFonts w:asciiTheme="minorHAnsi" w:hAnsiTheme="minorHAnsi" w:cstheme="minorHAnsi"/>
        </w:rPr>
        <w:pict w14:anchorId="2E0A07A4">
          <v:shape id="_x0000_i1028" type="#_x0000_t75" style="width:76pt;height:50pt">
            <v:imagedata r:id="rId24" o:title=""/>
          </v:shape>
        </w:pict>
      </w:r>
      <w:r w:rsidR="00493D28">
        <w:rPr>
          <w:rFonts w:asciiTheme="minorHAnsi" w:hAnsiTheme="minorHAnsi" w:cstheme="minorHAnsi"/>
          <w:sz w:val="20"/>
        </w:rPr>
        <w:t xml:space="preserve"> </w:t>
      </w:r>
    </w:p>
    <w:p w14:paraId="2CC102E3" w14:textId="03987E3C" w:rsidR="006A7913" w:rsidRDefault="006A7913" w:rsidP="00E16609">
      <w:pPr>
        <w:rPr>
          <w:sz w:val="22"/>
        </w:rPr>
      </w:pPr>
      <w:r>
        <w:rPr>
          <w:sz w:val="22"/>
        </w:rPr>
        <w:t>[21]</w:t>
      </w:r>
    </w:p>
    <w:p w14:paraId="29A6F20E" w14:textId="04A0DA75" w:rsidR="00E0484D" w:rsidRPr="003615AE" w:rsidRDefault="00E0484D" w:rsidP="00E16609">
      <w:pPr>
        <w:rPr>
          <w:sz w:val="22"/>
        </w:rPr>
      </w:pPr>
      <w:r w:rsidRPr="003615AE">
        <w:rPr>
          <w:sz w:val="22"/>
        </w:rPr>
        <w:t>[31]</w:t>
      </w:r>
    </w:p>
    <w:p w14:paraId="1B383806" w14:textId="72CFC96C" w:rsidR="00D64229" w:rsidRPr="003615AE" w:rsidRDefault="00AF3016" w:rsidP="00E16609">
      <w:pPr>
        <w:rPr>
          <w:sz w:val="22"/>
        </w:rPr>
      </w:pPr>
      <w:r w:rsidRPr="003615AE">
        <w:rPr>
          <w:sz w:val="22"/>
        </w:rPr>
        <w:t>[132]</w:t>
      </w:r>
    </w:p>
    <w:p w14:paraId="6A0D4C62" w14:textId="77777777" w:rsidR="00D64229" w:rsidRDefault="00D64229" w:rsidP="00E16609">
      <w:pPr>
        <w:rPr>
          <w:rFonts w:asciiTheme="minorHAnsi" w:hAnsiTheme="minorHAnsi" w:cstheme="minorHAnsi"/>
          <w:sz w:val="20"/>
        </w:rPr>
      </w:pPr>
    </w:p>
    <w:p w14:paraId="5D8F6545" w14:textId="77777777" w:rsidR="00C70949" w:rsidRDefault="00C70949" w:rsidP="00E16609">
      <w:pPr>
        <w:rPr>
          <w:rFonts w:asciiTheme="minorHAnsi" w:hAnsiTheme="minorHAnsi" w:cstheme="minorHAnsi"/>
          <w:sz w:val="20"/>
        </w:rPr>
      </w:pPr>
    </w:p>
    <w:p w14:paraId="682298FA" w14:textId="5AD65D05" w:rsidR="00493D28" w:rsidRPr="0082080E" w:rsidRDefault="00493D28" w:rsidP="00A12BD5">
      <w:pPr>
        <w:pStyle w:val="Caption"/>
      </w:pPr>
      <w:r w:rsidRPr="0082080E">
        <w:t xml:space="preserve">Lookup Table </w:t>
      </w:r>
      <w:r w:rsidR="00C70949" w:rsidRPr="0082080E">
        <w:t>ID Summary</w:t>
      </w:r>
    </w:p>
    <w:p w14:paraId="1DF1A868" w14:textId="3CC341B0" w:rsidR="00C70949" w:rsidRDefault="00946CA8" w:rsidP="00C70949">
      <w:r w:rsidRPr="0082080E">
        <w:t>EUL</w:t>
      </w:r>
    </w:p>
    <w:tbl>
      <w:tblPr>
        <w:tblStyle w:val="TableContemporary"/>
        <w:tblW w:w="2987" w:type="pct"/>
        <w:tblLook w:val="01E0" w:firstRow="1" w:lastRow="1" w:firstColumn="1" w:lastColumn="1" w:noHBand="0" w:noVBand="0"/>
      </w:tblPr>
      <w:tblGrid>
        <w:gridCol w:w="2303"/>
        <w:gridCol w:w="2474"/>
        <w:gridCol w:w="944"/>
      </w:tblGrid>
      <w:tr w:rsidR="004866D9" w:rsidRPr="00A120A6" w14:paraId="148FB355" w14:textId="77777777" w:rsidTr="004866D9">
        <w:trPr>
          <w:cnfStyle w:val="100000000000" w:firstRow="1" w:lastRow="0" w:firstColumn="0" w:lastColumn="0" w:oddVBand="0" w:evenVBand="0" w:oddHBand="0" w:evenHBand="0" w:firstRowFirstColumn="0" w:firstRowLastColumn="0" w:lastRowFirstColumn="0" w:lastRowLastColumn="0"/>
        </w:trPr>
        <w:tc>
          <w:tcPr>
            <w:tcW w:w="2013" w:type="pct"/>
            <w:vAlign w:val="center"/>
          </w:tcPr>
          <w:p w14:paraId="19FF92C7" w14:textId="77777777" w:rsidR="004866D9" w:rsidRPr="00A120A6" w:rsidRDefault="004866D9" w:rsidP="00541C0B">
            <w:pPr>
              <w:jc w:val="center"/>
              <w:rPr>
                <w:sz w:val="20"/>
                <w:szCs w:val="20"/>
              </w:rPr>
            </w:pPr>
            <w:r w:rsidRPr="00A120A6">
              <w:rPr>
                <w:sz w:val="20"/>
                <w:szCs w:val="20"/>
              </w:rPr>
              <w:t>EUL_ID</w:t>
            </w:r>
          </w:p>
        </w:tc>
        <w:tc>
          <w:tcPr>
            <w:tcW w:w="2162" w:type="pct"/>
            <w:vAlign w:val="center"/>
          </w:tcPr>
          <w:p w14:paraId="7CAE8FEA" w14:textId="77777777" w:rsidR="004866D9" w:rsidRPr="00A120A6" w:rsidRDefault="004866D9" w:rsidP="00541C0B">
            <w:pPr>
              <w:jc w:val="center"/>
              <w:rPr>
                <w:sz w:val="20"/>
                <w:szCs w:val="20"/>
              </w:rPr>
            </w:pPr>
            <w:r w:rsidRPr="00A120A6">
              <w:rPr>
                <w:sz w:val="20"/>
                <w:szCs w:val="20"/>
              </w:rPr>
              <w:t>Description</w:t>
            </w:r>
          </w:p>
        </w:tc>
        <w:tc>
          <w:tcPr>
            <w:tcW w:w="825" w:type="pct"/>
            <w:vAlign w:val="center"/>
          </w:tcPr>
          <w:p w14:paraId="4FD409FB" w14:textId="77777777" w:rsidR="004866D9" w:rsidRPr="00A120A6" w:rsidRDefault="004866D9" w:rsidP="00541C0B">
            <w:pPr>
              <w:jc w:val="center"/>
              <w:rPr>
                <w:sz w:val="20"/>
                <w:szCs w:val="20"/>
              </w:rPr>
            </w:pPr>
            <w:r w:rsidRPr="00A120A6">
              <w:rPr>
                <w:sz w:val="20"/>
                <w:szCs w:val="20"/>
              </w:rPr>
              <w:t>Sector</w:t>
            </w:r>
          </w:p>
        </w:tc>
      </w:tr>
      <w:tr w:rsidR="004866D9" w:rsidRPr="00ED62EC" w14:paraId="5131A2CB" w14:textId="77777777" w:rsidTr="004866D9">
        <w:trPr>
          <w:cnfStyle w:val="000000100000" w:firstRow="0" w:lastRow="0" w:firstColumn="0" w:lastColumn="0" w:oddVBand="0" w:evenVBand="0" w:oddHBand="1" w:evenHBand="0" w:firstRowFirstColumn="0" w:firstRowLastColumn="0" w:lastRowFirstColumn="0" w:lastRowLastColumn="0"/>
        </w:trPr>
        <w:tc>
          <w:tcPr>
            <w:tcW w:w="2013" w:type="pct"/>
            <w:vAlign w:val="center"/>
          </w:tcPr>
          <w:p w14:paraId="67DF92DA" w14:textId="77777777" w:rsidR="004866D9" w:rsidRPr="00ED62EC" w:rsidRDefault="004866D9" w:rsidP="00541C0B">
            <w:pPr>
              <w:jc w:val="center"/>
              <w:rPr>
                <w:sz w:val="20"/>
                <w:szCs w:val="20"/>
              </w:rPr>
            </w:pPr>
            <w:r w:rsidRPr="00ED62EC">
              <w:rPr>
                <w:sz w:val="20"/>
                <w:szCs w:val="20"/>
              </w:rPr>
              <w:t>GrocDisp-FixtLtg-LED</w:t>
            </w:r>
          </w:p>
        </w:tc>
        <w:tc>
          <w:tcPr>
            <w:tcW w:w="2162" w:type="pct"/>
            <w:vAlign w:val="center"/>
          </w:tcPr>
          <w:p w14:paraId="0711A046" w14:textId="77777777" w:rsidR="004866D9" w:rsidRPr="00ED62EC" w:rsidRDefault="004866D9" w:rsidP="00541C0B">
            <w:pPr>
              <w:jc w:val="center"/>
              <w:rPr>
                <w:sz w:val="20"/>
                <w:szCs w:val="20"/>
              </w:rPr>
            </w:pPr>
            <w:r w:rsidRPr="00ED62EC">
              <w:rPr>
                <w:sz w:val="20"/>
                <w:szCs w:val="20"/>
              </w:rPr>
              <w:t>Display Case Lighting LED Lighting</w:t>
            </w:r>
          </w:p>
        </w:tc>
        <w:tc>
          <w:tcPr>
            <w:tcW w:w="825" w:type="pct"/>
            <w:vAlign w:val="center"/>
          </w:tcPr>
          <w:p w14:paraId="4A3E4032" w14:textId="77777777" w:rsidR="004866D9" w:rsidRPr="00ED62EC" w:rsidRDefault="004866D9" w:rsidP="00541C0B">
            <w:pPr>
              <w:jc w:val="center"/>
              <w:rPr>
                <w:sz w:val="20"/>
                <w:szCs w:val="20"/>
              </w:rPr>
            </w:pPr>
            <w:r w:rsidRPr="00ED62EC">
              <w:rPr>
                <w:sz w:val="20"/>
                <w:szCs w:val="20"/>
              </w:rPr>
              <w:t>C</w:t>
            </w:r>
            <w:r>
              <w:rPr>
                <w:sz w:val="20"/>
                <w:szCs w:val="20"/>
              </w:rPr>
              <w:t>om</w:t>
            </w:r>
          </w:p>
        </w:tc>
      </w:tr>
    </w:tbl>
    <w:p w14:paraId="7D02DB2D" w14:textId="77777777" w:rsidR="00E73B87" w:rsidRPr="0082080E" w:rsidRDefault="00E73B87" w:rsidP="00E16609"/>
    <w:p w14:paraId="60002509" w14:textId="29BBDA60" w:rsidR="00A12BD5" w:rsidRDefault="00946CA8" w:rsidP="00E16609">
      <w:r w:rsidRPr="0082080E">
        <w:t>NTGR</w:t>
      </w:r>
    </w:p>
    <w:tbl>
      <w:tblPr>
        <w:tblStyle w:val="TableContemporary"/>
        <w:tblW w:w="4011" w:type="pct"/>
        <w:tblLook w:val="01E0" w:firstRow="1" w:lastRow="1" w:firstColumn="1" w:lastColumn="1" w:noHBand="0" w:noVBand="0"/>
      </w:tblPr>
      <w:tblGrid>
        <w:gridCol w:w="1386"/>
        <w:gridCol w:w="2990"/>
        <w:gridCol w:w="861"/>
        <w:gridCol w:w="1151"/>
        <w:gridCol w:w="1294"/>
      </w:tblGrid>
      <w:tr w:rsidR="00386A57" w:rsidRPr="000F130A" w14:paraId="35A9CB09" w14:textId="77777777" w:rsidTr="00386A57">
        <w:trPr>
          <w:cnfStyle w:val="100000000000" w:firstRow="1" w:lastRow="0" w:firstColumn="0" w:lastColumn="0" w:oddVBand="0" w:evenVBand="0" w:oddHBand="0" w:evenHBand="0" w:firstRowFirstColumn="0" w:firstRowLastColumn="0" w:lastRowFirstColumn="0" w:lastRowLastColumn="0"/>
          <w:cantSplit/>
          <w:tblHeader/>
        </w:trPr>
        <w:tc>
          <w:tcPr>
            <w:tcW w:w="902" w:type="pct"/>
            <w:vAlign w:val="center"/>
          </w:tcPr>
          <w:p w14:paraId="6F3EDD2E" w14:textId="77777777" w:rsidR="00386A57" w:rsidRPr="005F20C9" w:rsidRDefault="00386A57" w:rsidP="00541C0B">
            <w:pPr>
              <w:jc w:val="center"/>
              <w:rPr>
                <w:sz w:val="20"/>
                <w:szCs w:val="20"/>
              </w:rPr>
            </w:pPr>
            <w:r w:rsidRPr="005F20C9">
              <w:rPr>
                <w:sz w:val="20"/>
                <w:szCs w:val="20"/>
              </w:rPr>
              <w:t>NTGR_ID*</w:t>
            </w:r>
          </w:p>
        </w:tc>
        <w:tc>
          <w:tcPr>
            <w:tcW w:w="1946" w:type="pct"/>
            <w:vAlign w:val="center"/>
          </w:tcPr>
          <w:p w14:paraId="59B82CB7" w14:textId="77777777" w:rsidR="00386A57" w:rsidRPr="005F20C9" w:rsidRDefault="00386A57" w:rsidP="00541C0B">
            <w:pPr>
              <w:jc w:val="center"/>
              <w:rPr>
                <w:sz w:val="20"/>
                <w:szCs w:val="20"/>
              </w:rPr>
            </w:pPr>
            <w:r w:rsidRPr="005F20C9">
              <w:rPr>
                <w:sz w:val="20"/>
                <w:szCs w:val="20"/>
              </w:rPr>
              <w:t>Description*</w:t>
            </w:r>
          </w:p>
        </w:tc>
        <w:tc>
          <w:tcPr>
            <w:tcW w:w="560" w:type="pct"/>
            <w:vAlign w:val="center"/>
          </w:tcPr>
          <w:p w14:paraId="09983DD4" w14:textId="77777777" w:rsidR="00386A57" w:rsidRPr="005F20C9" w:rsidRDefault="00386A57" w:rsidP="00541C0B">
            <w:pPr>
              <w:jc w:val="center"/>
              <w:rPr>
                <w:sz w:val="20"/>
                <w:szCs w:val="20"/>
              </w:rPr>
            </w:pPr>
            <w:r w:rsidRPr="005F20C9">
              <w:rPr>
                <w:sz w:val="20"/>
                <w:szCs w:val="20"/>
              </w:rPr>
              <w:t>Sector*</w:t>
            </w:r>
          </w:p>
        </w:tc>
        <w:tc>
          <w:tcPr>
            <w:tcW w:w="749" w:type="pct"/>
            <w:vAlign w:val="center"/>
          </w:tcPr>
          <w:p w14:paraId="30889D39" w14:textId="77777777" w:rsidR="00386A57" w:rsidRPr="005F20C9" w:rsidRDefault="00386A57" w:rsidP="00541C0B">
            <w:pPr>
              <w:jc w:val="center"/>
              <w:rPr>
                <w:sz w:val="20"/>
                <w:szCs w:val="20"/>
              </w:rPr>
            </w:pPr>
            <w:r w:rsidRPr="005F20C9">
              <w:rPr>
                <w:sz w:val="20"/>
                <w:szCs w:val="20"/>
              </w:rPr>
              <w:t>BldgType*</w:t>
            </w:r>
          </w:p>
        </w:tc>
        <w:tc>
          <w:tcPr>
            <w:tcW w:w="842" w:type="pct"/>
          </w:tcPr>
          <w:p w14:paraId="040457D2" w14:textId="77777777" w:rsidR="00386A57" w:rsidRPr="005F20C9" w:rsidRDefault="00386A57" w:rsidP="00541C0B">
            <w:pPr>
              <w:jc w:val="center"/>
              <w:rPr>
                <w:sz w:val="20"/>
                <w:szCs w:val="20"/>
              </w:rPr>
            </w:pPr>
            <w:r w:rsidRPr="005F20C9">
              <w:rPr>
                <w:sz w:val="20"/>
                <w:szCs w:val="20"/>
              </w:rPr>
              <w:t>ProgDelivID</w:t>
            </w:r>
          </w:p>
        </w:tc>
      </w:tr>
      <w:tr w:rsidR="00386A57" w:rsidRPr="00386A57" w14:paraId="249FE415" w14:textId="77777777" w:rsidTr="00386A57">
        <w:trPr>
          <w:cnfStyle w:val="000000100000" w:firstRow="0" w:lastRow="0" w:firstColumn="0" w:lastColumn="0" w:oddVBand="0" w:evenVBand="0" w:oddHBand="1" w:evenHBand="0" w:firstRowFirstColumn="0" w:firstRowLastColumn="0" w:lastRowFirstColumn="0" w:lastRowLastColumn="0"/>
          <w:cantSplit/>
        </w:trPr>
        <w:tc>
          <w:tcPr>
            <w:tcW w:w="902" w:type="pct"/>
            <w:vAlign w:val="center"/>
          </w:tcPr>
          <w:p w14:paraId="4DDEF781" w14:textId="77777777" w:rsidR="00386A57" w:rsidRPr="00386A57" w:rsidRDefault="00386A57" w:rsidP="00541C0B">
            <w:pPr>
              <w:jc w:val="center"/>
              <w:rPr>
                <w:sz w:val="20"/>
                <w:szCs w:val="20"/>
              </w:rPr>
            </w:pPr>
            <w:r w:rsidRPr="00386A57">
              <w:rPr>
                <w:sz w:val="20"/>
                <w:szCs w:val="20"/>
              </w:rPr>
              <w:t>ET-Default</w:t>
            </w:r>
          </w:p>
        </w:tc>
        <w:tc>
          <w:tcPr>
            <w:tcW w:w="1946" w:type="pct"/>
            <w:vAlign w:val="center"/>
          </w:tcPr>
          <w:p w14:paraId="7DC9E487" w14:textId="77777777" w:rsidR="00386A57" w:rsidRPr="00386A57" w:rsidRDefault="00386A57" w:rsidP="00541C0B">
            <w:pPr>
              <w:jc w:val="center"/>
              <w:rPr>
                <w:sz w:val="20"/>
                <w:szCs w:val="20"/>
              </w:rPr>
            </w:pPr>
            <w:r w:rsidRPr="00386A57">
              <w:rPr>
                <w:sz w:val="20"/>
                <w:szCs w:val="20"/>
              </w:rPr>
              <w:t>Emerging Technologies approved by ED through work paper review</w:t>
            </w:r>
          </w:p>
        </w:tc>
        <w:tc>
          <w:tcPr>
            <w:tcW w:w="560" w:type="pct"/>
            <w:vAlign w:val="center"/>
          </w:tcPr>
          <w:p w14:paraId="455118FC" w14:textId="77777777" w:rsidR="00386A57" w:rsidRPr="00386A57" w:rsidRDefault="00386A57" w:rsidP="00541C0B">
            <w:pPr>
              <w:jc w:val="center"/>
              <w:rPr>
                <w:sz w:val="20"/>
                <w:szCs w:val="20"/>
              </w:rPr>
            </w:pPr>
            <w:r w:rsidRPr="00386A57">
              <w:rPr>
                <w:sz w:val="20"/>
                <w:szCs w:val="20"/>
              </w:rPr>
              <w:t>All</w:t>
            </w:r>
          </w:p>
        </w:tc>
        <w:tc>
          <w:tcPr>
            <w:tcW w:w="749" w:type="pct"/>
            <w:vAlign w:val="center"/>
          </w:tcPr>
          <w:p w14:paraId="533864D2" w14:textId="77777777" w:rsidR="00386A57" w:rsidRPr="00386A57" w:rsidRDefault="00386A57" w:rsidP="00541C0B">
            <w:pPr>
              <w:jc w:val="center"/>
              <w:rPr>
                <w:sz w:val="20"/>
                <w:szCs w:val="20"/>
              </w:rPr>
            </w:pPr>
            <w:r w:rsidRPr="00386A57">
              <w:rPr>
                <w:sz w:val="20"/>
                <w:szCs w:val="20"/>
              </w:rPr>
              <w:t>Any</w:t>
            </w:r>
          </w:p>
        </w:tc>
        <w:tc>
          <w:tcPr>
            <w:tcW w:w="842" w:type="pct"/>
            <w:vAlign w:val="center"/>
          </w:tcPr>
          <w:p w14:paraId="3580ADFF" w14:textId="77777777" w:rsidR="00386A57" w:rsidRPr="00386A57" w:rsidRDefault="00386A57" w:rsidP="00541C0B">
            <w:pPr>
              <w:jc w:val="center"/>
              <w:rPr>
                <w:sz w:val="20"/>
                <w:szCs w:val="20"/>
              </w:rPr>
            </w:pPr>
            <w:r w:rsidRPr="00386A57">
              <w:rPr>
                <w:sz w:val="20"/>
                <w:szCs w:val="20"/>
              </w:rPr>
              <w:t>All</w:t>
            </w:r>
          </w:p>
        </w:tc>
      </w:tr>
    </w:tbl>
    <w:p w14:paraId="210E1667" w14:textId="77777777" w:rsidR="00A12BD5" w:rsidRPr="0082080E" w:rsidRDefault="00A12BD5" w:rsidP="00E16609"/>
    <w:p w14:paraId="168DF4E0" w14:textId="5EF7EF38" w:rsidR="00946CA8" w:rsidRPr="0082080E" w:rsidRDefault="00946CA8" w:rsidP="00E16609">
      <w:r w:rsidRPr="0082080E">
        <w:t>GSIA</w:t>
      </w:r>
    </w:p>
    <w:tbl>
      <w:tblPr>
        <w:tblStyle w:val="TableContemporary"/>
        <w:tblW w:w="3822" w:type="pct"/>
        <w:tblLook w:val="01E0" w:firstRow="1" w:lastRow="1" w:firstColumn="1" w:lastColumn="1" w:noHBand="0" w:noVBand="0"/>
      </w:tblPr>
      <w:tblGrid>
        <w:gridCol w:w="1241"/>
        <w:gridCol w:w="1643"/>
        <w:gridCol w:w="766"/>
        <w:gridCol w:w="1053"/>
        <w:gridCol w:w="1316"/>
        <w:gridCol w:w="1301"/>
      </w:tblGrid>
      <w:tr w:rsidR="0055250E" w:rsidRPr="005F20C9" w14:paraId="52C16443" w14:textId="77777777" w:rsidTr="0055250E">
        <w:trPr>
          <w:cnfStyle w:val="100000000000" w:firstRow="1" w:lastRow="0" w:firstColumn="0" w:lastColumn="0" w:oddVBand="0" w:evenVBand="0" w:oddHBand="0" w:evenHBand="0" w:firstRowFirstColumn="0" w:firstRowLastColumn="0" w:lastRowFirstColumn="0" w:lastRowLastColumn="0"/>
        </w:trPr>
        <w:tc>
          <w:tcPr>
            <w:tcW w:w="848" w:type="pct"/>
            <w:vAlign w:val="center"/>
          </w:tcPr>
          <w:p w14:paraId="2035A0CC" w14:textId="77777777" w:rsidR="0055250E" w:rsidRPr="005F20C9" w:rsidRDefault="0055250E" w:rsidP="00FB7A52">
            <w:pPr>
              <w:jc w:val="center"/>
              <w:rPr>
                <w:sz w:val="20"/>
                <w:szCs w:val="20"/>
              </w:rPr>
            </w:pPr>
            <w:r w:rsidRPr="005F20C9">
              <w:rPr>
                <w:sz w:val="20"/>
                <w:szCs w:val="20"/>
              </w:rPr>
              <w:t>GSIA_ID</w:t>
            </w:r>
          </w:p>
        </w:tc>
        <w:tc>
          <w:tcPr>
            <w:tcW w:w="1122" w:type="pct"/>
            <w:vAlign w:val="center"/>
          </w:tcPr>
          <w:p w14:paraId="44667D1D" w14:textId="77777777" w:rsidR="0055250E" w:rsidRPr="005F20C9" w:rsidRDefault="0055250E" w:rsidP="00FB7A52">
            <w:pPr>
              <w:jc w:val="center"/>
              <w:rPr>
                <w:sz w:val="20"/>
                <w:szCs w:val="20"/>
              </w:rPr>
            </w:pPr>
            <w:r w:rsidRPr="005F20C9">
              <w:rPr>
                <w:sz w:val="20"/>
                <w:szCs w:val="20"/>
              </w:rPr>
              <w:t>Description</w:t>
            </w:r>
          </w:p>
        </w:tc>
        <w:tc>
          <w:tcPr>
            <w:tcW w:w="523" w:type="pct"/>
            <w:vAlign w:val="center"/>
          </w:tcPr>
          <w:p w14:paraId="2ADA948F" w14:textId="77777777" w:rsidR="0055250E" w:rsidRPr="005F20C9" w:rsidRDefault="0055250E" w:rsidP="00FB7A52">
            <w:pPr>
              <w:jc w:val="center"/>
              <w:rPr>
                <w:sz w:val="20"/>
                <w:szCs w:val="20"/>
              </w:rPr>
            </w:pPr>
            <w:r w:rsidRPr="005F20C9">
              <w:rPr>
                <w:sz w:val="20"/>
                <w:szCs w:val="20"/>
              </w:rPr>
              <w:t>Sector</w:t>
            </w:r>
          </w:p>
        </w:tc>
        <w:tc>
          <w:tcPr>
            <w:tcW w:w="719" w:type="pct"/>
            <w:vAlign w:val="center"/>
          </w:tcPr>
          <w:p w14:paraId="1E81EF51" w14:textId="77777777" w:rsidR="0055250E" w:rsidRPr="005F20C9" w:rsidRDefault="0055250E" w:rsidP="00FB7A52">
            <w:pPr>
              <w:jc w:val="center"/>
              <w:rPr>
                <w:sz w:val="20"/>
                <w:szCs w:val="20"/>
              </w:rPr>
            </w:pPr>
            <w:r w:rsidRPr="005F20C9">
              <w:rPr>
                <w:sz w:val="20"/>
                <w:szCs w:val="20"/>
              </w:rPr>
              <w:t>BldgType</w:t>
            </w:r>
          </w:p>
        </w:tc>
        <w:tc>
          <w:tcPr>
            <w:tcW w:w="899" w:type="pct"/>
            <w:vAlign w:val="center"/>
          </w:tcPr>
          <w:p w14:paraId="79C6C732" w14:textId="77777777" w:rsidR="0055250E" w:rsidRPr="005F20C9" w:rsidRDefault="0055250E" w:rsidP="00FB7A52">
            <w:pPr>
              <w:jc w:val="center"/>
              <w:rPr>
                <w:sz w:val="20"/>
                <w:szCs w:val="20"/>
              </w:rPr>
            </w:pPr>
            <w:r w:rsidRPr="005F20C9">
              <w:rPr>
                <w:sz w:val="20"/>
                <w:szCs w:val="20"/>
              </w:rPr>
              <w:t>UseCategory</w:t>
            </w:r>
          </w:p>
        </w:tc>
        <w:tc>
          <w:tcPr>
            <w:tcW w:w="889" w:type="pct"/>
            <w:vAlign w:val="center"/>
          </w:tcPr>
          <w:p w14:paraId="59D4C206" w14:textId="77777777" w:rsidR="0055250E" w:rsidRPr="005F20C9" w:rsidRDefault="0055250E" w:rsidP="00FB7A52">
            <w:pPr>
              <w:jc w:val="center"/>
              <w:rPr>
                <w:sz w:val="20"/>
                <w:szCs w:val="20"/>
              </w:rPr>
            </w:pPr>
            <w:r w:rsidRPr="005F20C9">
              <w:rPr>
                <w:sz w:val="20"/>
                <w:szCs w:val="20"/>
              </w:rPr>
              <w:t>TechType</w:t>
            </w:r>
          </w:p>
        </w:tc>
      </w:tr>
      <w:tr w:rsidR="0055250E" w:rsidRPr="005F20C9" w14:paraId="1411D645" w14:textId="77777777" w:rsidTr="0055250E">
        <w:trPr>
          <w:cnfStyle w:val="000000100000" w:firstRow="0" w:lastRow="0" w:firstColumn="0" w:lastColumn="0" w:oddVBand="0" w:evenVBand="0" w:oddHBand="1" w:evenHBand="0" w:firstRowFirstColumn="0" w:firstRowLastColumn="0" w:lastRowFirstColumn="0" w:lastRowLastColumn="0"/>
        </w:trPr>
        <w:tc>
          <w:tcPr>
            <w:tcW w:w="848" w:type="pct"/>
            <w:vAlign w:val="center"/>
          </w:tcPr>
          <w:p w14:paraId="60305074" w14:textId="77777777" w:rsidR="0055250E" w:rsidRPr="005F20C9" w:rsidRDefault="0055250E" w:rsidP="00FB7A52">
            <w:pPr>
              <w:jc w:val="center"/>
              <w:rPr>
                <w:sz w:val="20"/>
                <w:szCs w:val="20"/>
              </w:rPr>
            </w:pPr>
            <w:r w:rsidRPr="006F5BDE">
              <w:rPr>
                <w:sz w:val="20"/>
                <w:szCs w:val="20"/>
              </w:rPr>
              <w:t>Def-GSIA</w:t>
            </w:r>
          </w:p>
        </w:tc>
        <w:tc>
          <w:tcPr>
            <w:tcW w:w="1122" w:type="pct"/>
            <w:vAlign w:val="center"/>
          </w:tcPr>
          <w:p w14:paraId="388B647B" w14:textId="77777777" w:rsidR="0055250E" w:rsidRPr="005F20C9" w:rsidRDefault="0055250E" w:rsidP="00FB7A52">
            <w:pPr>
              <w:jc w:val="center"/>
              <w:rPr>
                <w:sz w:val="20"/>
                <w:szCs w:val="20"/>
              </w:rPr>
            </w:pPr>
            <w:r w:rsidRPr="006F5BDE">
              <w:rPr>
                <w:sz w:val="20"/>
                <w:szCs w:val="20"/>
              </w:rPr>
              <w:t>Default GSIA</w:t>
            </w:r>
          </w:p>
        </w:tc>
        <w:tc>
          <w:tcPr>
            <w:tcW w:w="523" w:type="pct"/>
            <w:vAlign w:val="center"/>
          </w:tcPr>
          <w:p w14:paraId="569AA391" w14:textId="77777777" w:rsidR="0055250E" w:rsidRPr="005F20C9" w:rsidRDefault="0055250E" w:rsidP="00FB7A52">
            <w:pPr>
              <w:jc w:val="center"/>
              <w:rPr>
                <w:sz w:val="20"/>
                <w:szCs w:val="20"/>
              </w:rPr>
            </w:pPr>
            <w:r>
              <w:rPr>
                <w:sz w:val="20"/>
                <w:szCs w:val="20"/>
              </w:rPr>
              <w:t>Any</w:t>
            </w:r>
          </w:p>
        </w:tc>
        <w:tc>
          <w:tcPr>
            <w:tcW w:w="719" w:type="pct"/>
            <w:vAlign w:val="center"/>
          </w:tcPr>
          <w:p w14:paraId="0581C633" w14:textId="77777777" w:rsidR="0055250E" w:rsidRPr="005F20C9" w:rsidRDefault="0055250E" w:rsidP="00FB7A52">
            <w:pPr>
              <w:jc w:val="center"/>
              <w:rPr>
                <w:sz w:val="20"/>
                <w:szCs w:val="20"/>
              </w:rPr>
            </w:pPr>
            <w:r>
              <w:rPr>
                <w:sz w:val="20"/>
                <w:szCs w:val="20"/>
              </w:rPr>
              <w:t>Any</w:t>
            </w:r>
          </w:p>
        </w:tc>
        <w:tc>
          <w:tcPr>
            <w:tcW w:w="899" w:type="pct"/>
            <w:vAlign w:val="center"/>
          </w:tcPr>
          <w:p w14:paraId="5E9D41CE" w14:textId="77777777" w:rsidR="0055250E" w:rsidRPr="005F20C9" w:rsidRDefault="0055250E" w:rsidP="00FB7A52">
            <w:pPr>
              <w:jc w:val="center"/>
              <w:rPr>
                <w:sz w:val="20"/>
                <w:szCs w:val="20"/>
              </w:rPr>
            </w:pPr>
            <w:r>
              <w:rPr>
                <w:sz w:val="20"/>
                <w:szCs w:val="20"/>
              </w:rPr>
              <w:t>Any</w:t>
            </w:r>
          </w:p>
        </w:tc>
        <w:tc>
          <w:tcPr>
            <w:tcW w:w="889" w:type="pct"/>
            <w:vAlign w:val="center"/>
          </w:tcPr>
          <w:p w14:paraId="51F26D47" w14:textId="77777777" w:rsidR="0055250E" w:rsidRPr="005F20C9" w:rsidRDefault="0055250E" w:rsidP="00FB7A52">
            <w:pPr>
              <w:jc w:val="center"/>
              <w:rPr>
                <w:sz w:val="20"/>
                <w:szCs w:val="20"/>
              </w:rPr>
            </w:pPr>
            <w:r>
              <w:rPr>
                <w:sz w:val="20"/>
                <w:szCs w:val="20"/>
              </w:rPr>
              <w:t>Any</w:t>
            </w:r>
          </w:p>
        </w:tc>
      </w:tr>
    </w:tbl>
    <w:p w14:paraId="6C2370C6" w14:textId="58B8365A" w:rsidR="000C7DC9" w:rsidRPr="0082080E" w:rsidRDefault="000C7DC9" w:rsidP="00E16609"/>
    <w:p w14:paraId="4CFFD66B" w14:textId="274B4B79" w:rsidR="00946CA8" w:rsidRPr="0082080E" w:rsidRDefault="00946CA8" w:rsidP="00E16609">
      <w:r w:rsidRPr="0082080E">
        <w:t>BUILDING TYPE &amp; LOAD SHAPE</w:t>
      </w:r>
    </w:p>
    <w:tbl>
      <w:tblPr>
        <w:tblStyle w:val="TableContemporary"/>
        <w:tblW w:w="3218" w:type="pct"/>
        <w:tblLook w:val="01E0" w:firstRow="1" w:lastRow="1" w:firstColumn="1" w:lastColumn="1" w:noHBand="0" w:noVBand="0"/>
      </w:tblPr>
      <w:tblGrid>
        <w:gridCol w:w="2628"/>
        <w:gridCol w:w="3535"/>
      </w:tblGrid>
      <w:tr w:rsidR="0055250E" w:rsidRPr="00181968" w14:paraId="3BA5DB68" w14:textId="77777777" w:rsidTr="0055250E">
        <w:trPr>
          <w:cnfStyle w:val="100000000000" w:firstRow="1" w:lastRow="0" w:firstColumn="0" w:lastColumn="0" w:oddVBand="0" w:evenVBand="0" w:oddHBand="0" w:evenHBand="0" w:firstRowFirstColumn="0" w:firstRowLastColumn="0" w:lastRowFirstColumn="0" w:lastRowLastColumn="0"/>
          <w:tblHeader/>
        </w:trPr>
        <w:tc>
          <w:tcPr>
            <w:tcW w:w="2132" w:type="pct"/>
            <w:vAlign w:val="center"/>
          </w:tcPr>
          <w:p w14:paraId="3DC9567A" w14:textId="77777777" w:rsidR="0055250E" w:rsidRPr="00385BC3" w:rsidRDefault="0055250E" w:rsidP="00FB7A52">
            <w:pPr>
              <w:jc w:val="center"/>
              <w:rPr>
                <w:sz w:val="20"/>
                <w:szCs w:val="20"/>
                <w:highlight w:val="yellow"/>
              </w:rPr>
            </w:pPr>
            <w:r w:rsidRPr="00385BC3">
              <w:rPr>
                <w:sz w:val="20"/>
                <w:szCs w:val="20"/>
              </w:rPr>
              <w:t>Building Type</w:t>
            </w:r>
          </w:p>
        </w:tc>
        <w:tc>
          <w:tcPr>
            <w:tcW w:w="2868" w:type="pct"/>
            <w:vAlign w:val="center"/>
          </w:tcPr>
          <w:p w14:paraId="64A22658" w14:textId="77777777" w:rsidR="0055250E" w:rsidRPr="00385BC3" w:rsidRDefault="0055250E" w:rsidP="00FB7A52">
            <w:pPr>
              <w:jc w:val="center"/>
              <w:rPr>
                <w:sz w:val="20"/>
                <w:szCs w:val="20"/>
              </w:rPr>
            </w:pPr>
            <w:r w:rsidRPr="00385BC3">
              <w:rPr>
                <w:sz w:val="20"/>
                <w:szCs w:val="20"/>
              </w:rPr>
              <w:t>Load Shape</w:t>
            </w:r>
          </w:p>
        </w:tc>
      </w:tr>
      <w:tr w:rsidR="0055250E" w:rsidRPr="00181968" w14:paraId="14162969" w14:textId="77777777" w:rsidTr="0055250E">
        <w:trPr>
          <w:cnfStyle w:val="000000100000" w:firstRow="0" w:lastRow="0" w:firstColumn="0" w:lastColumn="0" w:oddVBand="0" w:evenVBand="0" w:oddHBand="1" w:evenHBand="0" w:firstRowFirstColumn="0" w:firstRowLastColumn="0" w:lastRowFirstColumn="0" w:lastRowLastColumn="0"/>
        </w:trPr>
        <w:tc>
          <w:tcPr>
            <w:tcW w:w="2132" w:type="pct"/>
            <w:vAlign w:val="center"/>
          </w:tcPr>
          <w:p w14:paraId="64DEEBA9" w14:textId="77777777" w:rsidR="0055250E" w:rsidRPr="00385BC3" w:rsidRDefault="0055250E" w:rsidP="00FB7A52">
            <w:pPr>
              <w:jc w:val="center"/>
              <w:rPr>
                <w:sz w:val="20"/>
                <w:szCs w:val="20"/>
              </w:rPr>
            </w:pPr>
            <w:r w:rsidRPr="00385BC3">
              <w:rPr>
                <w:sz w:val="20"/>
                <w:szCs w:val="20"/>
              </w:rPr>
              <w:t>Retail - Multistory Large</w:t>
            </w:r>
          </w:p>
        </w:tc>
        <w:tc>
          <w:tcPr>
            <w:tcW w:w="2868" w:type="pct"/>
            <w:vAlign w:val="center"/>
          </w:tcPr>
          <w:p w14:paraId="42F03460" w14:textId="1BEBC770" w:rsidR="0055250E" w:rsidRPr="00385BC3" w:rsidRDefault="0055250E" w:rsidP="00FB7A52">
            <w:pPr>
              <w:jc w:val="center"/>
              <w:rPr>
                <w:sz w:val="20"/>
                <w:szCs w:val="20"/>
              </w:rPr>
            </w:pPr>
            <w:r w:rsidRPr="0055250E">
              <w:rPr>
                <w:sz w:val="20"/>
                <w:szCs w:val="20"/>
              </w:rPr>
              <w:t>NON_res:DEER:Indoor_Non-CFL_Ltg</w:t>
            </w:r>
          </w:p>
        </w:tc>
      </w:tr>
      <w:tr w:rsidR="0055250E" w:rsidRPr="00181968" w14:paraId="08D03BE8" w14:textId="77777777" w:rsidTr="0055250E">
        <w:trPr>
          <w:cnfStyle w:val="000000010000" w:firstRow="0" w:lastRow="0" w:firstColumn="0" w:lastColumn="0" w:oddVBand="0" w:evenVBand="0" w:oddHBand="0" w:evenHBand="1" w:firstRowFirstColumn="0" w:firstRowLastColumn="0" w:lastRowFirstColumn="0" w:lastRowLastColumn="0"/>
        </w:trPr>
        <w:tc>
          <w:tcPr>
            <w:tcW w:w="2132" w:type="pct"/>
            <w:vAlign w:val="center"/>
          </w:tcPr>
          <w:p w14:paraId="313F4F27" w14:textId="77777777" w:rsidR="0055250E" w:rsidRPr="00385BC3" w:rsidRDefault="0055250E" w:rsidP="00FB7A52">
            <w:pPr>
              <w:jc w:val="center"/>
              <w:rPr>
                <w:sz w:val="20"/>
                <w:szCs w:val="20"/>
              </w:rPr>
            </w:pPr>
            <w:r w:rsidRPr="00385BC3">
              <w:rPr>
                <w:sz w:val="20"/>
                <w:szCs w:val="20"/>
              </w:rPr>
              <w:t>Retail - Single-Story Large</w:t>
            </w:r>
          </w:p>
        </w:tc>
        <w:tc>
          <w:tcPr>
            <w:tcW w:w="2868" w:type="pct"/>
            <w:vAlign w:val="center"/>
          </w:tcPr>
          <w:p w14:paraId="0D942EB3" w14:textId="78B8863D" w:rsidR="0055250E" w:rsidRPr="00385BC3" w:rsidRDefault="0055250E" w:rsidP="00FB7A52">
            <w:pPr>
              <w:jc w:val="center"/>
              <w:rPr>
                <w:sz w:val="20"/>
                <w:szCs w:val="20"/>
              </w:rPr>
            </w:pPr>
            <w:r w:rsidRPr="0055250E">
              <w:rPr>
                <w:sz w:val="20"/>
                <w:szCs w:val="20"/>
              </w:rPr>
              <w:t>NON_res:DEER:Indoor_Non-CFL_Ltg</w:t>
            </w:r>
          </w:p>
        </w:tc>
      </w:tr>
      <w:tr w:rsidR="0055250E" w:rsidRPr="00181968" w14:paraId="4E46E010" w14:textId="77777777" w:rsidTr="0055250E">
        <w:trPr>
          <w:cnfStyle w:val="000000100000" w:firstRow="0" w:lastRow="0" w:firstColumn="0" w:lastColumn="0" w:oddVBand="0" w:evenVBand="0" w:oddHBand="1" w:evenHBand="0" w:firstRowFirstColumn="0" w:firstRowLastColumn="0" w:lastRowFirstColumn="0" w:lastRowLastColumn="0"/>
        </w:trPr>
        <w:tc>
          <w:tcPr>
            <w:tcW w:w="2132" w:type="pct"/>
            <w:vAlign w:val="center"/>
          </w:tcPr>
          <w:p w14:paraId="3796F392" w14:textId="77777777" w:rsidR="0055250E" w:rsidRPr="00385BC3" w:rsidRDefault="0055250E" w:rsidP="00FB7A52">
            <w:pPr>
              <w:jc w:val="center"/>
              <w:rPr>
                <w:sz w:val="20"/>
                <w:szCs w:val="20"/>
              </w:rPr>
            </w:pPr>
            <w:r w:rsidRPr="00385BC3">
              <w:rPr>
                <w:sz w:val="20"/>
                <w:szCs w:val="20"/>
              </w:rPr>
              <w:t>Retail - Small</w:t>
            </w:r>
          </w:p>
        </w:tc>
        <w:tc>
          <w:tcPr>
            <w:tcW w:w="2868" w:type="pct"/>
            <w:vAlign w:val="center"/>
          </w:tcPr>
          <w:p w14:paraId="0173B080" w14:textId="38DCF080" w:rsidR="0055250E" w:rsidRPr="00385BC3" w:rsidRDefault="0055250E" w:rsidP="00FB7A52">
            <w:pPr>
              <w:jc w:val="center"/>
              <w:rPr>
                <w:sz w:val="20"/>
                <w:szCs w:val="20"/>
              </w:rPr>
            </w:pPr>
            <w:r w:rsidRPr="0055250E">
              <w:rPr>
                <w:sz w:val="20"/>
                <w:szCs w:val="20"/>
              </w:rPr>
              <w:t>NON_res:DEER:Indoor_Non-CFL_Ltg</w:t>
            </w:r>
          </w:p>
        </w:tc>
      </w:tr>
    </w:tbl>
    <w:p w14:paraId="612CDEE8" w14:textId="77777777" w:rsidR="00C70949" w:rsidRPr="000F130A" w:rsidRDefault="00C70949" w:rsidP="00E16609">
      <w:pPr>
        <w:rPr>
          <w:rFonts w:asciiTheme="minorHAnsi" w:hAnsiTheme="minorHAnsi" w:cstheme="minorHAnsi"/>
        </w:rPr>
      </w:pPr>
    </w:p>
    <w:sectPr w:rsidR="00C70949" w:rsidRPr="000F130A" w:rsidSect="00CE69E9">
      <w:endnotePr>
        <w:numFmt w:val="upperLetter"/>
      </w:endnotePr>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39FEB" w14:textId="77777777" w:rsidR="00FB7A52" w:rsidRDefault="00FB7A52" w:rsidP="00447D6E">
      <w:r>
        <w:separator/>
      </w:r>
    </w:p>
  </w:endnote>
  <w:endnote w:type="continuationSeparator" w:id="0">
    <w:p w14:paraId="7B8C9B53" w14:textId="77777777" w:rsidR="00FB7A52" w:rsidRDefault="00FB7A52" w:rsidP="00447D6E">
      <w:r>
        <w:continuationSeparator/>
      </w:r>
    </w:p>
  </w:endnote>
  <w:endnote w:id="1">
    <w:p w14:paraId="2EA718D7" w14:textId="77777777" w:rsidR="00FB7A52" w:rsidRPr="00EF7DD2" w:rsidRDefault="00FB7A52" w:rsidP="00012E4A">
      <w:pPr>
        <w:pStyle w:val="EndnoteText"/>
        <w:spacing w:before="120"/>
      </w:pPr>
      <w:r w:rsidRPr="00EF7DD2">
        <w:t>[</w:t>
      </w:r>
      <w:r w:rsidRPr="00EF7DD2">
        <w:rPr>
          <w:rStyle w:val="EndnoteReference"/>
          <w:vertAlign w:val="baseline"/>
        </w:rPr>
        <w:endnoteRef/>
      </w:r>
      <w:r w:rsidRPr="00EF7DD2">
        <w:t>]</w:t>
      </w:r>
      <w:r>
        <w:t xml:space="preserve"> </w:t>
      </w:r>
      <w:r w:rsidRPr="00056FD8">
        <w:t>SDG&amp;E Energy Efficiency Business Rebates Lighting Product Catalog - https://www.sdge.com/rebates-finder/earn-rebates-your-improvements</w:t>
      </w:r>
    </w:p>
  </w:endnote>
  <w:endnote w:id="2">
    <w:p w14:paraId="4659918C" w14:textId="77777777" w:rsidR="00FB7A52" w:rsidRDefault="00FB7A52" w:rsidP="00EE4B1C">
      <w:pPr>
        <w:pStyle w:val="EndnoteText"/>
        <w:spacing w:before="120"/>
      </w:pPr>
      <w:r>
        <w:t>[</w:t>
      </w:r>
      <w:r w:rsidRPr="00C11DC9">
        <w:rPr>
          <w:rStyle w:val="EndnoteReference"/>
          <w:vertAlign w:val="baseline"/>
        </w:rPr>
        <w:endnoteRef/>
      </w:r>
      <w:r>
        <w:t xml:space="preserve">] The 2013 Building Energy Efficiency Standards for Residential and Nonresidential Buildings – Title 24, Part 6: </w:t>
      </w:r>
      <w:r w:rsidRPr="00034E29">
        <w:t>http://www.energy.ca.gov/2012publications/CEC-400-2012-004/CEC-400-2012-004-CMF-REV2.pdf</w:t>
      </w:r>
    </w:p>
  </w:endnote>
  <w:endnote w:id="3">
    <w:p w14:paraId="1940A514" w14:textId="77777777" w:rsidR="00FB7A52" w:rsidRDefault="00FB7A52" w:rsidP="00F543DA">
      <w:pPr>
        <w:pStyle w:val="EndnoteText"/>
        <w:spacing w:before="120"/>
      </w:pPr>
      <w:r>
        <w:t>[</w:t>
      </w:r>
      <w:r w:rsidRPr="003E059E">
        <w:rPr>
          <w:rStyle w:val="EndnoteReference"/>
          <w:vertAlign w:val="baseline"/>
        </w:rPr>
        <w:endnoteRef/>
      </w:r>
      <w:r>
        <w:t xml:space="preserve">] The 2014 Appliance Efficiency Regulations – Title 20: </w:t>
      </w:r>
      <w:r w:rsidRPr="00734121">
        <w:t>http://www.energy.ca.gov/2014publications/CEC-400-2014-009/CEC-400-2014-009-CMF.pdf</w:t>
      </w:r>
    </w:p>
  </w:endnote>
  <w:endnote w:id="4">
    <w:p w14:paraId="6479A665" w14:textId="77777777" w:rsidR="00FB7A52" w:rsidRDefault="00FB7A52" w:rsidP="00475688">
      <w:pPr>
        <w:pStyle w:val="EndnoteText"/>
        <w:spacing w:before="120"/>
      </w:pPr>
      <w:r>
        <w:t>[</w:t>
      </w:r>
      <w:r w:rsidRPr="00335050">
        <w:rPr>
          <w:rStyle w:val="EndnoteReference"/>
          <w:vertAlign w:val="baseline"/>
        </w:rPr>
        <w:endnoteRef/>
      </w:r>
      <w:r>
        <w:t xml:space="preserve">] Attachment #1 – </w:t>
      </w:r>
      <w:r w:rsidRPr="0017312B">
        <w:t>Work Paper WPSDGENRLG0999</w:t>
      </w:r>
      <w:r>
        <w:t xml:space="preserve">, </w:t>
      </w:r>
      <w:r w:rsidRPr="0017312B">
        <w:t>Master Lighting Lookup Table – Non Residential</w:t>
      </w:r>
      <w:r>
        <w:t>, San Diego Gas and Electric</w:t>
      </w:r>
    </w:p>
  </w:endnote>
  <w:endnote w:id="5">
    <w:p w14:paraId="3FF8551A" w14:textId="2641F9AF" w:rsidR="00FB7A52" w:rsidRDefault="00FB7A52" w:rsidP="00A62726">
      <w:pPr>
        <w:pStyle w:val="EndnoteText"/>
        <w:spacing w:before="120"/>
      </w:pPr>
      <w:r>
        <w:t>[</w:t>
      </w:r>
      <w:r w:rsidRPr="00A62726">
        <w:rPr>
          <w:rStyle w:val="EndnoteReference"/>
          <w:vertAlign w:val="baseline"/>
        </w:rPr>
        <w:endnoteRef/>
      </w:r>
      <w:r>
        <w:t>] Attachment #2 - Wattage calculation workbook.</w:t>
      </w:r>
    </w:p>
  </w:endnote>
  <w:endnote w:id="6">
    <w:p w14:paraId="59463DC8" w14:textId="62B6B1E1" w:rsidR="00FB7A52" w:rsidRDefault="00FB7A52" w:rsidP="00305BD2">
      <w:pPr>
        <w:pStyle w:val="EndnoteText"/>
        <w:spacing w:before="120"/>
      </w:pPr>
      <w:r>
        <w:t>[</w:t>
      </w:r>
      <w:r w:rsidRPr="00B215AD">
        <w:rPr>
          <w:rStyle w:val="EndnoteReference"/>
          <w:vertAlign w:val="baseline"/>
        </w:rPr>
        <w:endnoteRef/>
      </w:r>
      <w:r>
        <w:t>] Attachment #4 – Linear LED strip costs from online retailers.</w:t>
      </w:r>
    </w:p>
    <w:p w14:paraId="238FE7A7" w14:textId="77777777" w:rsidR="00FB7A52" w:rsidRDefault="00FB7A52" w:rsidP="00305BD2">
      <w:pPr>
        <w:pStyle w:val="EndnoteText"/>
        <w:spacing w:before="1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4C016" w14:textId="44A54433" w:rsidR="00FB7A52" w:rsidRPr="009500DC" w:rsidRDefault="00FB7A52" w:rsidP="00447D6E">
    <w:pPr>
      <w:pStyle w:val="Footer"/>
      <w:jc w:val="right"/>
      <w:rPr>
        <w:rFonts w:asciiTheme="minorHAnsi" w:hAnsiTheme="minorHAnsi" w:cstheme="minorHAnsi"/>
      </w:rPr>
    </w:pPr>
    <w:r>
      <w:rPr>
        <w:rFonts w:asciiTheme="minorHAnsi" w:hAnsiTheme="minorHAnsi" w:cstheme="minorHAnsi"/>
        <w:b/>
        <w:sz w:val="36"/>
        <w:szCs w:val="36"/>
      </w:rPr>
      <w:t>June 20, 2014</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D6EA0" w14:textId="62F3C481" w:rsidR="00FB7A52" w:rsidRPr="009500DC" w:rsidRDefault="00FB7A52" w:rsidP="009500DC">
    <w:pPr>
      <w:pStyle w:val="Footer"/>
      <w:pBdr>
        <w:top w:val="single" w:sz="4" w:space="1" w:color="auto"/>
      </w:pBdr>
      <w:tabs>
        <w:tab w:val="clear" w:pos="4680"/>
        <w:tab w:val="clear" w:pos="9360"/>
        <w:tab w:val="center" w:pos="10800"/>
        <w:tab w:val="right" w:pos="21600"/>
        <w:tab w:val="right" w:pos="23580"/>
      </w:tabs>
      <w:rPr>
        <w:rFonts w:asciiTheme="minorHAnsi" w:hAnsiTheme="minorHAnsi" w:cstheme="minorHAnsi"/>
        <w:b/>
        <w:sz w:val="20"/>
        <w:szCs w:val="20"/>
      </w:rPr>
    </w:pPr>
    <w:r w:rsidRPr="00712581">
      <w:rPr>
        <w:rFonts w:asciiTheme="minorHAnsi" w:hAnsiTheme="minorHAnsi" w:cstheme="minorHAnsi"/>
        <w:b/>
        <w:sz w:val="20"/>
        <w:szCs w:val="20"/>
      </w:rPr>
      <w:t>WPSDGENRL</w:t>
    </w:r>
    <w:r w:rsidR="00397681">
      <w:rPr>
        <w:rFonts w:asciiTheme="minorHAnsi" w:hAnsiTheme="minorHAnsi" w:cstheme="minorHAnsi"/>
        <w:b/>
        <w:sz w:val="20"/>
        <w:szCs w:val="20"/>
      </w:rPr>
      <w:t>G</w:t>
    </w:r>
    <w:r w:rsidRPr="00712581">
      <w:rPr>
        <w:rFonts w:asciiTheme="minorHAnsi" w:hAnsiTheme="minorHAnsi" w:cstheme="minorHAnsi"/>
        <w:b/>
        <w:sz w:val="20"/>
        <w:szCs w:val="20"/>
      </w:rPr>
      <w:t>0081</w:t>
    </w:r>
    <w:r w:rsidRPr="009500DC">
      <w:rPr>
        <w:rFonts w:asciiTheme="minorHAnsi" w:hAnsiTheme="minorHAnsi" w:cstheme="minorHAnsi"/>
        <w:b/>
        <w:sz w:val="20"/>
        <w:szCs w:val="20"/>
      </w:rPr>
      <w:t xml:space="preserve">, </w:t>
    </w:r>
    <w:r>
      <w:rPr>
        <w:rFonts w:asciiTheme="minorHAnsi" w:hAnsiTheme="minorHAnsi" w:cstheme="minorHAnsi"/>
        <w:b/>
        <w:sz w:val="20"/>
        <w:szCs w:val="20"/>
      </w:rPr>
      <w:t>Revision 3</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0E3DD8">
      <w:rPr>
        <w:rFonts w:asciiTheme="minorHAnsi" w:hAnsiTheme="minorHAnsi" w:cstheme="minorHAnsi"/>
        <w:b/>
        <w:noProof/>
        <w:sz w:val="20"/>
        <w:szCs w:val="20"/>
      </w:rPr>
      <w:t>ii</w:t>
    </w:r>
    <w:r w:rsidRPr="009500DC">
      <w:rPr>
        <w:rFonts w:asciiTheme="minorHAnsi" w:hAnsiTheme="minorHAnsi" w:cstheme="minorHAnsi"/>
        <w:b/>
        <w:noProof/>
        <w:sz w:val="20"/>
        <w:szCs w:val="20"/>
      </w:rPr>
      <w:fldChar w:fldCharType="end"/>
    </w:r>
    <w:r w:rsidRPr="009500DC">
      <w:rPr>
        <w:rFonts w:asciiTheme="minorHAnsi" w:hAnsiTheme="minorHAnsi" w:cstheme="minorHAnsi"/>
        <w:b/>
        <w:color w:val="FF0000"/>
        <w:sz w:val="20"/>
        <w:szCs w:val="20"/>
      </w:rPr>
      <w:tab/>
    </w:r>
    <w:r>
      <w:rPr>
        <w:rFonts w:asciiTheme="minorHAnsi" w:hAnsiTheme="minorHAnsi" w:cstheme="minorHAnsi"/>
        <w:b/>
        <w:sz w:val="20"/>
        <w:szCs w:val="20"/>
      </w:rPr>
      <w:t>June 20, 2014</w:t>
    </w:r>
  </w:p>
  <w:p w14:paraId="1CB9C58C" w14:textId="00DECD88" w:rsidR="00FB7A52" w:rsidRPr="009500DC" w:rsidRDefault="00FB7A52" w:rsidP="009500DC">
    <w:pPr>
      <w:pStyle w:val="Footer"/>
      <w:pBdr>
        <w:top w:val="single" w:sz="4" w:space="1" w:color="auto"/>
      </w:pBdr>
      <w:tabs>
        <w:tab w:val="clear" w:pos="4680"/>
        <w:tab w:val="clear" w:pos="9360"/>
        <w:tab w:val="right" w:pos="21600"/>
      </w:tabs>
      <w:rPr>
        <w:rFonts w:asciiTheme="minorHAnsi" w:hAnsiTheme="minorHAnsi" w:cstheme="minorHAnsi"/>
      </w:rPr>
    </w:pPr>
    <w:r w:rsidRPr="009500DC">
      <w:rPr>
        <w:rFonts w:asciiTheme="minorHAnsi" w:hAnsiTheme="minorHAnsi" w:cstheme="minorHAnsi"/>
        <w:b/>
        <w:sz w:val="20"/>
        <w:szCs w:val="20"/>
      </w:rPr>
      <w:t>S</w:t>
    </w:r>
    <w:r>
      <w:rPr>
        <w:rFonts w:asciiTheme="minorHAnsi" w:hAnsiTheme="minorHAnsi" w:cstheme="minorHAnsi"/>
        <w:b/>
        <w:sz w:val="20"/>
        <w:szCs w:val="20"/>
      </w:rPr>
      <w:t>an Diego Gas &amp; Electric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E1343" w14:textId="3CC669D2" w:rsidR="00FB7A52" w:rsidRPr="009500DC" w:rsidRDefault="00FB7A52" w:rsidP="009500DC">
    <w:pPr>
      <w:pStyle w:val="Footer"/>
      <w:pBdr>
        <w:top w:val="single" w:sz="4" w:space="1" w:color="auto"/>
      </w:pBdr>
      <w:rPr>
        <w:rFonts w:asciiTheme="minorHAnsi" w:hAnsiTheme="minorHAnsi" w:cstheme="minorHAnsi"/>
        <w:b/>
        <w:sz w:val="20"/>
        <w:szCs w:val="20"/>
      </w:rPr>
    </w:pPr>
    <w:r w:rsidRPr="00712581">
      <w:rPr>
        <w:rFonts w:asciiTheme="minorHAnsi" w:hAnsiTheme="minorHAnsi" w:cstheme="minorHAnsi"/>
        <w:b/>
        <w:sz w:val="20"/>
        <w:szCs w:val="20"/>
      </w:rPr>
      <w:t>WPSDGENRL</w:t>
    </w:r>
    <w:r w:rsidR="00397681">
      <w:rPr>
        <w:rFonts w:asciiTheme="minorHAnsi" w:hAnsiTheme="minorHAnsi" w:cstheme="minorHAnsi"/>
        <w:b/>
        <w:sz w:val="20"/>
        <w:szCs w:val="20"/>
      </w:rPr>
      <w:t>G</w:t>
    </w:r>
    <w:r w:rsidRPr="00712581">
      <w:rPr>
        <w:rFonts w:asciiTheme="minorHAnsi" w:hAnsiTheme="minorHAnsi" w:cstheme="minorHAnsi"/>
        <w:b/>
        <w:sz w:val="20"/>
        <w:szCs w:val="20"/>
      </w:rPr>
      <w:t>0081</w:t>
    </w:r>
    <w:r w:rsidRPr="009500DC">
      <w:rPr>
        <w:rFonts w:asciiTheme="minorHAnsi" w:hAnsiTheme="minorHAnsi" w:cstheme="minorHAnsi"/>
        <w:b/>
        <w:sz w:val="20"/>
        <w:szCs w:val="20"/>
      </w:rPr>
      <w:t xml:space="preserve">, </w:t>
    </w:r>
    <w:r>
      <w:rPr>
        <w:rFonts w:asciiTheme="minorHAnsi" w:hAnsiTheme="minorHAnsi" w:cstheme="minorHAnsi"/>
        <w:b/>
        <w:sz w:val="20"/>
        <w:szCs w:val="20"/>
      </w:rPr>
      <w:t>Revision 3</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0E3DD8">
      <w:rPr>
        <w:rFonts w:asciiTheme="minorHAnsi" w:hAnsiTheme="minorHAnsi" w:cstheme="minorHAnsi"/>
        <w:b/>
        <w:noProof/>
        <w:sz w:val="20"/>
        <w:szCs w:val="20"/>
      </w:rPr>
      <w:t>5</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June 20, 2014</w:t>
    </w:r>
  </w:p>
  <w:p w14:paraId="5395A976" w14:textId="3C17C074" w:rsidR="00FB7A52" w:rsidRPr="009500DC" w:rsidRDefault="00FB7A52"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w:t>
    </w:r>
    <w:r>
      <w:rPr>
        <w:rFonts w:asciiTheme="minorHAnsi" w:hAnsiTheme="minorHAnsi" w:cstheme="minorHAnsi"/>
        <w:b/>
        <w:sz w:val="20"/>
        <w:szCs w:val="20"/>
      </w:rPr>
      <w:t>an Diego Gas &amp; Electric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22671" w14:textId="77777777" w:rsidR="00FB7A52" w:rsidRDefault="00FB7A52" w:rsidP="00447D6E">
      <w:r>
        <w:separator/>
      </w:r>
    </w:p>
  </w:footnote>
  <w:footnote w:type="continuationSeparator" w:id="0">
    <w:p w14:paraId="209E84E8" w14:textId="77777777" w:rsidR="00FB7A52" w:rsidRDefault="00FB7A52" w:rsidP="00447D6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5ABA"/>
    <w:multiLevelType w:val="hybridMultilevel"/>
    <w:tmpl w:val="B2944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134BA"/>
    <w:multiLevelType w:val="hybridMultilevel"/>
    <w:tmpl w:val="66901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9734363"/>
    <w:multiLevelType w:val="hybridMultilevel"/>
    <w:tmpl w:val="D902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0611B"/>
    <w:multiLevelType w:val="hybridMultilevel"/>
    <w:tmpl w:val="CC9C06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D125DC"/>
    <w:multiLevelType w:val="hybridMultilevel"/>
    <w:tmpl w:val="2BEC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F8083D"/>
    <w:multiLevelType w:val="hybridMultilevel"/>
    <w:tmpl w:val="87900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1C6735"/>
    <w:multiLevelType w:val="hybridMultilevel"/>
    <w:tmpl w:val="2DB86E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CD514F8"/>
    <w:multiLevelType w:val="hybridMultilevel"/>
    <w:tmpl w:val="321EF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DB02EA"/>
    <w:multiLevelType w:val="hybridMultilevel"/>
    <w:tmpl w:val="15803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2">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0AC60A3"/>
    <w:multiLevelType w:val="hybridMultilevel"/>
    <w:tmpl w:val="43128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6E246C"/>
    <w:multiLevelType w:val="hybridMultilevel"/>
    <w:tmpl w:val="4AA2AA0A"/>
    <w:lvl w:ilvl="0" w:tplc="36886E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EF430B3"/>
    <w:multiLevelType w:val="hybridMultilevel"/>
    <w:tmpl w:val="1854B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992D82"/>
    <w:multiLevelType w:val="hybridMultilevel"/>
    <w:tmpl w:val="317CE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B56453"/>
    <w:multiLevelType w:val="hybridMultilevel"/>
    <w:tmpl w:val="034CC6E4"/>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hint="default"/>
      </w:rPr>
    </w:lvl>
    <w:lvl w:ilvl="2" w:tplc="04090005">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0">
    <w:nsid w:val="706D5390"/>
    <w:multiLevelType w:val="hybridMultilevel"/>
    <w:tmpl w:val="ED06B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2"/>
  </w:num>
  <w:num w:numId="4">
    <w:abstractNumId w:val="8"/>
  </w:num>
  <w:num w:numId="5">
    <w:abstractNumId w:val="8"/>
  </w:num>
  <w:num w:numId="6">
    <w:abstractNumId w:val="2"/>
  </w:num>
  <w:num w:numId="7">
    <w:abstractNumId w:val="16"/>
  </w:num>
  <w:num w:numId="8">
    <w:abstractNumId w:val="11"/>
  </w:num>
  <w:num w:numId="9">
    <w:abstractNumId w:val="20"/>
  </w:num>
  <w:num w:numId="10">
    <w:abstractNumId w:val="5"/>
  </w:num>
  <w:num w:numId="11">
    <w:abstractNumId w:val="19"/>
  </w:num>
  <w:num w:numId="12">
    <w:abstractNumId w:val="9"/>
  </w:num>
  <w:num w:numId="13">
    <w:abstractNumId w:val="10"/>
  </w:num>
  <w:num w:numId="14">
    <w:abstractNumId w:val="14"/>
  </w:num>
  <w:num w:numId="15">
    <w:abstractNumId w:val="1"/>
  </w:num>
  <w:num w:numId="16">
    <w:abstractNumId w:val="17"/>
  </w:num>
  <w:num w:numId="17">
    <w:abstractNumId w:val="4"/>
  </w:num>
  <w:num w:numId="18">
    <w:abstractNumId w:val="0"/>
  </w:num>
  <w:num w:numId="19">
    <w:abstractNumId w:val="13"/>
  </w:num>
  <w:num w:numId="20">
    <w:abstractNumId w:val="18"/>
  </w:num>
  <w:num w:numId="21">
    <w:abstractNumId w:val="6"/>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22D"/>
    <w:rsid w:val="00001646"/>
    <w:rsid w:val="0000193B"/>
    <w:rsid w:val="000031C8"/>
    <w:rsid w:val="0000472B"/>
    <w:rsid w:val="00004B2A"/>
    <w:rsid w:val="00005902"/>
    <w:rsid w:val="00007A77"/>
    <w:rsid w:val="000125AD"/>
    <w:rsid w:val="00012E4A"/>
    <w:rsid w:val="00017355"/>
    <w:rsid w:val="0002600A"/>
    <w:rsid w:val="00027183"/>
    <w:rsid w:val="0003028E"/>
    <w:rsid w:val="00033EA1"/>
    <w:rsid w:val="000353F2"/>
    <w:rsid w:val="00051340"/>
    <w:rsid w:val="000513AF"/>
    <w:rsid w:val="00056947"/>
    <w:rsid w:val="00056FD8"/>
    <w:rsid w:val="0006051A"/>
    <w:rsid w:val="00061F3F"/>
    <w:rsid w:val="00073033"/>
    <w:rsid w:val="00076DF4"/>
    <w:rsid w:val="00084336"/>
    <w:rsid w:val="00084E23"/>
    <w:rsid w:val="00085974"/>
    <w:rsid w:val="000865D9"/>
    <w:rsid w:val="00087CBD"/>
    <w:rsid w:val="00090346"/>
    <w:rsid w:val="0009074D"/>
    <w:rsid w:val="000A62BA"/>
    <w:rsid w:val="000A63C9"/>
    <w:rsid w:val="000B0DE7"/>
    <w:rsid w:val="000B61A6"/>
    <w:rsid w:val="000B64F4"/>
    <w:rsid w:val="000C0000"/>
    <w:rsid w:val="000C18CC"/>
    <w:rsid w:val="000C7DC9"/>
    <w:rsid w:val="000E3DD8"/>
    <w:rsid w:val="000E6135"/>
    <w:rsid w:val="000F130A"/>
    <w:rsid w:val="00100EE0"/>
    <w:rsid w:val="001018FC"/>
    <w:rsid w:val="00102744"/>
    <w:rsid w:val="001031E6"/>
    <w:rsid w:val="001053FE"/>
    <w:rsid w:val="00107242"/>
    <w:rsid w:val="0011413C"/>
    <w:rsid w:val="00115577"/>
    <w:rsid w:val="00116974"/>
    <w:rsid w:val="0012348E"/>
    <w:rsid w:val="00126720"/>
    <w:rsid w:val="00130429"/>
    <w:rsid w:val="00137CF3"/>
    <w:rsid w:val="00140403"/>
    <w:rsid w:val="0014051D"/>
    <w:rsid w:val="0014055C"/>
    <w:rsid w:val="00143DAE"/>
    <w:rsid w:val="00146E01"/>
    <w:rsid w:val="00147155"/>
    <w:rsid w:val="00150664"/>
    <w:rsid w:val="00150E29"/>
    <w:rsid w:val="00153CB3"/>
    <w:rsid w:val="00165357"/>
    <w:rsid w:val="00171B5B"/>
    <w:rsid w:val="00174C73"/>
    <w:rsid w:val="00180CCD"/>
    <w:rsid w:val="001811EE"/>
    <w:rsid w:val="00190093"/>
    <w:rsid w:val="00191E2A"/>
    <w:rsid w:val="001948F5"/>
    <w:rsid w:val="001973CD"/>
    <w:rsid w:val="001A0A3A"/>
    <w:rsid w:val="001A0EB4"/>
    <w:rsid w:val="001A2862"/>
    <w:rsid w:val="001A2E4A"/>
    <w:rsid w:val="001A4CD9"/>
    <w:rsid w:val="001A5F62"/>
    <w:rsid w:val="001A6BD1"/>
    <w:rsid w:val="001A776B"/>
    <w:rsid w:val="001A7F6B"/>
    <w:rsid w:val="001B0DFC"/>
    <w:rsid w:val="001B1D0A"/>
    <w:rsid w:val="001B5EF4"/>
    <w:rsid w:val="001B618B"/>
    <w:rsid w:val="001C14A7"/>
    <w:rsid w:val="001C2CE1"/>
    <w:rsid w:val="001C4140"/>
    <w:rsid w:val="001C5C99"/>
    <w:rsid w:val="001D3914"/>
    <w:rsid w:val="001D613D"/>
    <w:rsid w:val="001E0829"/>
    <w:rsid w:val="001E66D5"/>
    <w:rsid w:val="001F05CE"/>
    <w:rsid w:val="001F3C87"/>
    <w:rsid w:val="001F7F2C"/>
    <w:rsid w:val="00200C22"/>
    <w:rsid w:val="0021393E"/>
    <w:rsid w:val="0022308B"/>
    <w:rsid w:val="00224AB9"/>
    <w:rsid w:val="00226272"/>
    <w:rsid w:val="00227F2D"/>
    <w:rsid w:val="002322D5"/>
    <w:rsid w:val="002370CA"/>
    <w:rsid w:val="00247275"/>
    <w:rsid w:val="002505E5"/>
    <w:rsid w:val="00251C42"/>
    <w:rsid w:val="00255C19"/>
    <w:rsid w:val="002563A0"/>
    <w:rsid w:val="0026271D"/>
    <w:rsid w:val="00262863"/>
    <w:rsid w:val="00262A48"/>
    <w:rsid w:val="00271C88"/>
    <w:rsid w:val="00273CFB"/>
    <w:rsid w:val="00274FBE"/>
    <w:rsid w:val="00275554"/>
    <w:rsid w:val="002762E1"/>
    <w:rsid w:val="00276DD4"/>
    <w:rsid w:val="002811BC"/>
    <w:rsid w:val="00281478"/>
    <w:rsid w:val="00283DE8"/>
    <w:rsid w:val="00284A10"/>
    <w:rsid w:val="00285966"/>
    <w:rsid w:val="002872D2"/>
    <w:rsid w:val="0029015D"/>
    <w:rsid w:val="002901AB"/>
    <w:rsid w:val="00290879"/>
    <w:rsid w:val="00291D5F"/>
    <w:rsid w:val="00295EF8"/>
    <w:rsid w:val="002A14E6"/>
    <w:rsid w:val="002A3D26"/>
    <w:rsid w:val="002B0E11"/>
    <w:rsid w:val="002B1ADF"/>
    <w:rsid w:val="002B6C7D"/>
    <w:rsid w:val="002C157E"/>
    <w:rsid w:val="002C389D"/>
    <w:rsid w:val="002C3DDE"/>
    <w:rsid w:val="002C444C"/>
    <w:rsid w:val="002C6C7A"/>
    <w:rsid w:val="002D67C8"/>
    <w:rsid w:val="002E0A56"/>
    <w:rsid w:val="002E4073"/>
    <w:rsid w:val="002E5BE8"/>
    <w:rsid w:val="002F0469"/>
    <w:rsid w:val="002F06D1"/>
    <w:rsid w:val="002F1437"/>
    <w:rsid w:val="002F3943"/>
    <w:rsid w:val="002F4191"/>
    <w:rsid w:val="002F754F"/>
    <w:rsid w:val="00302D7B"/>
    <w:rsid w:val="00305BD2"/>
    <w:rsid w:val="003134A9"/>
    <w:rsid w:val="003148C6"/>
    <w:rsid w:val="00322B4A"/>
    <w:rsid w:val="00332700"/>
    <w:rsid w:val="00332C16"/>
    <w:rsid w:val="00335050"/>
    <w:rsid w:val="00343632"/>
    <w:rsid w:val="00345A28"/>
    <w:rsid w:val="00345D80"/>
    <w:rsid w:val="00345D90"/>
    <w:rsid w:val="003471D4"/>
    <w:rsid w:val="003560BA"/>
    <w:rsid w:val="00356487"/>
    <w:rsid w:val="00356D53"/>
    <w:rsid w:val="0035789F"/>
    <w:rsid w:val="003615AE"/>
    <w:rsid w:val="00374ED9"/>
    <w:rsid w:val="003764DC"/>
    <w:rsid w:val="00377E2E"/>
    <w:rsid w:val="00380B23"/>
    <w:rsid w:val="00385BC3"/>
    <w:rsid w:val="00386A57"/>
    <w:rsid w:val="00386C6E"/>
    <w:rsid w:val="00392C89"/>
    <w:rsid w:val="0039339C"/>
    <w:rsid w:val="00393D14"/>
    <w:rsid w:val="00396805"/>
    <w:rsid w:val="00397681"/>
    <w:rsid w:val="00397C12"/>
    <w:rsid w:val="003A5D9F"/>
    <w:rsid w:val="003A660D"/>
    <w:rsid w:val="003B41B0"/>
    <w:rsid w:val="003C1F4F"/>
    <w:rsid w:val="003C1FF6"/>
    <w:rsid w:val="003C4441"/>
    <w:rsid w:val="003C5449"/>
    <w:rsid w:val="003C5A0D"/>
    <w:rsid w:val="003C7864"/>
    <w:rsid w:val="003D23BF"/>
    <w:rsid w:val="003D2871"/>
    <w:rsid w:val="003D35CF"/>
    <w:rsid w:val="003D5B83"/>
    <w:rsid w:val="003E24CF"/>
    <w:rsid w:val="003E545F"/>
    <w:rsid w:val="003E6E47"/>
    <w:rsid w:val="003E7498"/>
    <w:rsid w:val="003F0623"/>
    <w:rsid w:val="003F683E"/>
    <w:rsid w:val="0041035F"/>
    <w:rsid w:val="00413FE5"/>
    <w:rsid w:val="004200FE"/>
    <w:rsid w:val="00420858"/>
    <w:rsid w:val="004221A9"/>
    <w:rsid w:val="00426F16"/>
    <w:rsid w:val="004411D7"/>
    <w:rsid w:val="00441957"/>
    <w:rsid w:val="00443D32"/>
    <w:rsid w:val="00447CE5"/>
    <w:rsid w:val="00447D6E"/>
    <w:rsid w:val="004513B7"/>
    <w:rsid w:val="0045481A"/>
    <w:rsid w:val="0046286E"/>
    <w:rsid w:val="00465A56"/>
    <w:rsid w:val="00471234"/>
    <w:rsid w:val="00473034"/>
    <w:rsid w:val="00475507"/>
    <w:rsid w:val="00475688"/>
    <w:rsid w:val="00477522"/>
    <w:rsid w:val="00485808"/>
    <w:rsid w:val="004866D9"/>
    <w:rsid w:val="004907BE"/>
    <w:rsid w:val="00493457"/>
    <w:rsid w:val="00493D28"/>
    <w:rsid w:val="00494628"/>
    <w:rsid w:val="004949BD"/>
    <w:rsid w:val="00496BE0"/>
    <w:rsid w:val="004A18EA"/>
    <w:rsid w:val="004A4649"/>
    <w:rsid w:val="004A5ACB"/>
    <w:rsid w:val="004A7DE0"/>
    <w:rsid w:val="004B4A3A"/>
    <w:rsid w:val="004C48F4"/>
    <w:rsid w:val="004D7582"/>
    <w:rsid w:val="004E01F5"/>
    <w:rsid w:val="004E1ABC"/>
    <w:rsid w:val="004E76CA"/>
    <w:rsid w:val="004F2686"/>
    <w:rsid w:val="004F74F7"/>
    <w:rsid w:val="005065E0"/>
    <w:rsid w:val="0051020F"/>
    <w:rsid w:val="00510AD0"/>
    <w:rsid w:val="00516E85"/>
    <w:rsid w:val="0052199B"/>
    <w:rsid w:val="00522FC6"/>
    <w:rsid w:val="00526809"/>
    <w:rsid w:val="0053263F"/>
    <w:rsid w:val="00542D02"/>
    <w:rsid w:val="00545C63"/>
    <w:rsid w:val="00550A71"/>
    <w:rsid w:val="0055250E"/>
    <w:rsid w:val="00552DE4"/>
    <w:rsid w:val="00555828"/>
    <w:rsid w:val="00560934"/>
    <w:rsid w:val="0056098C"/>
    <w:rsid w:val="00564960"/>
    <w:rsid w:val="005674DE"/>
    <w:rsid w:val="00571BB9"/>
    <w:rsid w:val="005734A4"/>
    <w:rsid w:val="0057531A"/>
    <w:rsid w:val="005763B3"/>
    <w:rsid w:val="0057691C"/>
    <w:rsid w:val="00581469"/>
    <w:rsid w:val="00584B96"/>
    <w:rsid w:val="005854A1"/>
    <w:rsid w:val="0058650A"/>
    <w:rsid w:val="00590609"/>
    <w:rsid w:val="0059120D"/>
    <w:rsid w:val="00597D3B"/>
    <w:rsid w:val="005A0A05"/>
    <w:rsid w:val="005A1078"/>
    <w:rsid w:val="005A24EF"/>
    <w:rsid w:val="005A5FB0"/>
    <w:rsid w:val="005A74E0"/>
    <w:rsid w:val="005B28C1"/>
    <w:rsid w:val="005B5609"/>
    <w:rsid w:val="005C1EB6"/>
    <w:rsid w:val="005C229F"/>
    <w:rsid w:val="005C2E48"/>
    <w:rsid w:val="005C462F"/>
    <w:rsid w:val="005C5A19"/>
    <w:rsid w:val="005D1493"/>
    <w:rsid w:val="005D23D6"/>
    <w:rsid w:val="005D4DD7"/>
    <w:rsid w:val="005D7173"/>
    <w:rsid w:val="005E2FA8"/>
    <w:rsid w:val="005E436A"/>
    <w:rsid w:val="005E445F"/>
    <w:rsid w:val="005E5072"/>
    <w:rsid w:val="005E7C0F"/>
    <w:rsid w:val="005F20C9"/>
    <w:rsid w:val="005F63F3"/>
    <w:rsid w:val="00600745"/>
    <w:rsid w:val="00601ACC"/>
    <w:rsid w:val="00602799"/>
    <w:rsid w:val="006067B1"/>
    <w:rsid w:val="00606884"/>
    <w:rsid w:val="00606BE5"/>
    <w:rsid w:val="006101F0"/>
    <w:rsid w:val="00612041"/>
    <w:rsid w:val="006144B1"/>
    <w:rsid w:val="00614ED5"/>
    <w:rsid w:val="006163AF"/>
    <w:rsid w:val="00617D58"/>
    <w:rsid w:val="00621E78"/>
    <w:rsid w:val="006224AB"/>
    <w:rsid w:val="006230E9"/>
    <w:rsid w:val="006309A7"/>
    <w:rsid w:val="00635A29"/>
    <w:rsid w:val="006404E6"/>
    <w:rsid w:val="006413C4"/>
    <w:rsid w:val="00647ABE"/>
    <w:rsid w:val="00651EDE"/>
    <w:rsid w:val="006545BE"/>
    <w:rsid w:val="00664B05"/>
    <w:rsid w:val="006666ED"/>
    <w:rsid w:val="00670B5B"/>
    <w:rsid w:val="00676900"/>
    <w:rsid w:val="006809A0"/>
    <w:rsid w:val="00683C8B"/>
    <w:rsid w:val="006952A9"/>
    <w:rsid w:val="0069583E"/>
    <w:rsid w:val="006A055F"/>
    <w:rsid w:val="006A5293"/>
    <w:rsid w:val="006A5756"/>
    <w:rsid w:val="006A6F11"/>
    <w:rsid w:val="006A7913"/>
    <w:rsid w:val="006B0DF3"/>
    <w:rsid w:val="006B36A3"/>
    <w:rsid w:val="006B7A98"/>
    <w:rsid w:val="006C03B8"/>
    <w:rsid w:val="006C095A"/>
    <w:rsid w:val="006C2123"/>
    <w:rsid w:val="006C42BC"/>
    <w:rsid w:val="006C430A"/>
    <w:rsid w:val="006D2809"/>
    <w:rsid w:val="006D58EA"/>
    <w:rsid w:val="006D6944"/>
    <w:rsid w:val="006E1248"/>
    <w:rsid w:val="006E2FDF"/>
    <w:rsid w:val="006E4F80"/>
    <w:rsid w:val="006F0880"/>
    <w:rsid w:val="006F5BDE"/>
    <w:rsid w:val="006F7928"/>
    <w:rsid w:val="00701F43"/>
    <w:rsid w:val="007048AC"/>
    <w:rsid w:val="00707448"/>
    <w:rsid w:val="00710C5C"/>
    <w:rsid w:val="00712581"/>
    <w:rsid w:val="00714E02"/>
    <w:rsid w:val="0071752C"/>
    <w:rsid w:val="00717BDE"/>
    <w:rsid w:val="00722AF6"/>
    <w:rsid w:val="00733C7D"/>
    <w:rsid w:val="00734BD2"/>
    <w:rsid w:val="00740761"/>
    <w:rsid w:val="00742B6A"/>
    <w:rsid w:val="00743FE5"/>
    <w:rsid w:val="00745405"/>
    <w:rsid w:val="007539BD"/>
    <w:rsid w:val="007574AF"/>
    <w:rsid w:val="007637F6"/>
    <w:rsid w:val="00763CC0"/>
    <w:rsid w:val="00764D0D"/>
    <w:rsid w:val="00764DA9"/>
    <w:rsid w:val="007653AA"/>
    <w:rsid w:val="00766C81"/>
    <w:rsid w:val="0077216B"/>
    <w:rsid w:val="00777D67"/>
    <w:rsid w:val="00780318"/>
    <w:rsid w:val="00782FF5"/>
    <w:rsid w:val="00784D94"/>
    <w:rsid w:val="00785486"/>
    <w:rsid w:val="0079280D"/>
    <w:rsid w:val="007933F1"/>
    <w:rsid w:val="007A0834"/>
    <w:rsid w:val="007A79C9"/>
    <w:rsid w:val="007C5BA5"/>
    <w:rsid w:val="007C6C3D"/>
    <w:rsid w:val="007D0486"/>
    <w:rsid w:val="007D66FA"/>
    <w:rsid w:val="007E2ACE"/>
    <w:rsid w:val="007E43F8"/>
    <w:rsid w:val="007E63FE"/>
    <w:rsid w:val="007E656B"/>
    <w:rsid w:val="007E7AC8"/>
    <w:rsid w:val="007F50E8"/>
    <w:rsid w:val="00800319"/>
    <w:rsid w:val="00800CDC"/>
    <w:rsid w:val="00801F7F"/>
    <w:rsid w:val="00807A2B"/>
    <w:rsid w:val="00811722"/>
    <w:rsid w:val="00812C4F"/>
    <w:rsid w:val="00815296"/>
    <w:rsid w:val="0081696A"/>
    <w:rsid w:val="00817F93"/>
    <w:rsid w:val="0082080E"/>
    <w:rsid w:val="00824F1C"/>
    <w:rsid w:val="00840D26"/>
    <w:rsid w:val="00843514"/>
    <w:rsid w:val="00845C4C"/>
    <w:rsid w:val="008548D2"/>
    <w:rsid w:val="00854B53"/>
    <w:rsid w:val="0086300D"/>
    <w:rsid w:val="00865B6D"/>
    <w:rsid w:val="00881A42"/>
    <w:rsid w:val="00884664"/>
    <w:rsid w:val="00885E0A"/>
    <w:rsid w:val="0088603B"/>
    <w:rsid w:val="00886F7A"/>
    <w:rsid w:val="00892D9A"/>
    <w:rsid w:val="00893246"/>
    <w:rsid w:val="00893FC3"/>
    <w:rsid w:val="00894A02"/>
    <w:rsid w:val="0089577B"/>
    <w:rsid w:val="00897927"/>
    <w:rsid w:val="008A0F29"/>
    <w:rsid w:val="008A2500"/>
    <w:rsid w:val="008A4309"/>
    <w:rsid w:val="008A6191"/>
    <w:rsid w:val="008B5555"/>
    <w:rsid w:val="008C16A9"/>
    <w:rsid w:val="008C1708"/>
    <w:rsid w:val="008C3EB1"/>
    <w:rsid w:val="008D6709"/>
    <w:rsid w:val="008D71C3"/>
    <w:rsid w:val="008E0F49"/>
    <w:rsid w:val="008E17CC"/>
    <w:rsid w:val="008F33B4"/>
    <w:rsid w:val="008F5040"/>
    <w:rsid w:val="008F7A3F"/>
    <w:rsid w:val="009040B7"/>
    <w:rsid w:val="00907E3E"/>
    <w:rsid w:val="00917F7F"/>
    <w:rsid w:val="00921596"/>
    <w:rsid w:val="00922B85"/>
    <w:rsid w:val="00923922"/>
    <w:rsid w:val="00934398"/>
    <w:rsid w:val="0094207F"/>
    <w:rsid w:val="0094339A"/>
    <w:rsid w:val="00943AF0"/>
    <w:rsid w:val="0094642E"/>
    <w:rsid w:val="00946B17"/>
    <w:rsid w:val="00946CA8"/>
    <w:rsid w:val="009500DC"/>
    <w:rsid w:val="009509DB"/>
    <w:rsid w:val="00951923"/>
    <w:rsid w:val="00951CC7"/>
    <w:rsid w:val="00962156"/>
    <w:rsid w:val="0096372C"/>
    <w:rsid w:val="00965323"/>
    <w:rsid w:val="00966387"/>
    <w:rsid w:val="009677AE"/>
    <w:rsid w:val="00972C81"/>
    <w:rsid w:val="00992E6F"/>
    <w:rsid w:val="00995CB0"/>
    <w:rsid w:val="00997E77"/>
    <w:rsid w:val="009A2734"/>
    <w:rsid w:val="009A3741"/>
    <w:rsid w:val="009A3FD8"/>
    <w:rsid w:val="009B67B6"/>
    <w:rsid w:val="009C05D9"/>
    <w:rsid w:val="009C1777"/>
    <w:rsid w:val="009C2C86"/>
    <w:rsid w:val="009D0753"/>
    <w:rsid w:val="009D1A7B"/>
    <w:rsid w:val="009D3CD5"/>
    <w:rsid w:val="009E1802"/>
    <w:rsid w:val="009E1CDE"/>
    <w:rsid w:val="009E265C"/>
    <w:rsid w:val="009E51E2"/>
    <w:rsid w:val="009F031A"/>
    <w:rsid w:val="009F3D64"/>
    <w:rsid w:val="009F4787"/>
    <w:rsid w:val="009F4D40"/>
    <w:rsid w:val="009F4E97"/>
    <w:rsid w:val="009F7A61"/>
    <w:rsid w:val="00A05CFF"/>
    <w:rsid w:val="00A064EC"/>
    <w:rsid w:val="00A06842"/>
    <w:rsid w:val="00A120A6"/>
    <w:rsid w:val="00A12BD5"/>
    <w:rsid w:val="00A1423E"/>
    <w:rsid w:val="00A1434F"/>
    <w:rsid w:val="00A17DF0"/>
    <w:rsid w:val="00A26098"/>
    <w:rsid w:val="00A2611E"/>
    <w:rsid w:val="00A26908"/>
    <w:rsid w:val="00A31EBA"/>
    <w:rsid w:val="00A363E8"/>
    <w:rsid w:val="00A500D6"/>
    <w:rsid w:val="00A507FE"/>
    <w:rsid w:val="00A50FD5"/>
    <w:rsid w:val="00A53115"/>
    <w:rsid w:val="00A53C2E"/>
    <w:rsid w:val="00A62726"/>
    <w:rsid w:val="00A70122"/>
    <w:rsid w:val="00A7776D"/>
    <w:rsid w:val="00A80315"/>
    <w:rsid w:val="00A858DA"/>
    <w:rsid w:val="00A86DA2"/>
    <w:rsid w:val="00A8797B"/>
    <w:rsid w:val="00A87ABD"/>
    <w:rsid w:val="00A96692"/>
    <w:rsid w:val="00A97FCB"/>
    <w:rsid w:val="00AA3AAB"/>
    <w:rsid w:val="00AB3386"/>
    <w:rsid w:val="00AB3C57"/>
    <w:rsid w:val="00AC19DD"/>
    <w:rsid w:val="00AC2B05"/>
    <w:rsid w:val="00AC3389"/>
    <w:rsid w:val="00AC416A"/>
    <w:rsid w:val="00AC61DF"/>
    <w:rsid w:val="00AD007B"/>
    <w:rsid w:val="00AD27D0"/>
    <w:rsid w:val="00AD4DD0"/>
    <w:rsid w:val="00AD62B0"/>
    <w:rsid w:val="00AE4EAA"/>
    <w:rsid w:val="00AE705E"/>
    <w:rsid w:val="00AE71F1"/>
    <w:rsid w:val="00AF3016"/>
    <w:rsid w:val="00AF3FA4"/>
    <w:rsid w:val="00AF6342"/>
    <w:rsid w:val="00B00C05"/>
    <w:rsid w:val="00B01AB6"/>
    <w:rsid w:val="00B07EE5"/>
    <w:rsid w:val="00B12856"/>
    <w:rsid w:val="00B13D36"/>
    <w:rsid w:val="00B1734A"/>
    <w:rsid w:val="00B215AD"/>
    <w:rsid w:val="00B21AC3"/>
    <w:rsid w:val="00B26B83"/>
    <w:rsid w:val="00B26B89"/>
    <w:rsid w:val="00B32479"/>
    <w:rsid w:val="00B37FA0"/>
    <w:rsid w:val="00B40B46"/>
    <w:rsid w:val="00B4131E"/>
    <w:rsid w:val="00B60936"/>
    <w:rsid w:val="00B6379D"/>
    <w:rsid w:val="00B67998"/>
    <w:rsid w:val="00B84BD5"/>
    <w:rsid w:val="00B866B4"/>
    <w:rsid w:val="00B87921"/>
    <w:rsid w:val="00B964BC"/>
    <w:rsid w:val="00B9687D"/>
    <w:rsid w:val="00BA08E1"/>
    <w:rsid w:val="00BA590A"/>
    <w:rsid w:val="00BA7F85"/>
    <w:rsid w:val="00BB0B39"/>
    <w:rsid w:val="00BB5F75"/>
    <w:rsid w:val="00BC2B41"/>
    <w:rsid w:val="00BC4889"/>
    <w:rsid w:val="00BC5949"/>
    <w:rsid w:val="00BC5D0B"/>
    <w:rsid w:val="00BC64FC"/>
    <w:rsid w:val="00BD3314"/>
    <w:rsid w:val="00BD3931"/>
    <w:rsid w:val="00BD5B88"/>
    <w:rsid w:val="00BD710C"/>
    <w:rsid w:val="00BD7B82"/>
    <w:rsid w:val="00BE30FF"/>
    <w:rsid w:val="00BF5B0F"/>
    <w:rsid w:val="00BF6A3E"/>
    <w:rsid w:val="00BF7D42"/>
    <w:rsid w:val="00C052C2"/>
    <w:rsid w:val="00C10F35"/>
    <w:rsid w:val="00C1183B"/>
    <w:rsid w:val="00C11DC9"/>
    <w:rsid w:val="00C15189"/>
    <w:rsid w:val="00C15850"/>
    <w:rsid w:val="00C16E7B"/>
    <w:rsid w:val="00C17268"/>
    <w:rsid w:val="00C20246"/>
    <w:rsid w:val="00C20CD2"/>
    <w:rsid w:val="00C23D70"/>
    <w:rsid w:val="00C24D03"/>
    <w:rsid w:val="00C25E61"/>
    <w:rsid w:val="00C301F3"/>
    <w:rsid w:val="00C35ACC"/>
    <w:rsid w:val="00C41DB7"/>
    <w:rsid w:val="00C4456F"/>
    <w:rsid w:val="00C479E1"/>
    <w:rsid w:val="00C522DD"/>
    <w:rsid w:val="00C54EFF"/>
    <w:rsid w:val="00C65BB1"/>
    <w:rsid w:val="00C6648A"/>
    <w:rsid w:val="00C70949"/>
    <w:rsid w:val="00C70B8B"/>
    <w:rsid w:val="00C70D36"/>
    <w:rsid w:val="00C72B8B"/>
    <w:rsid w:val="00C74513"/>
    <w:rsid w:val="00C76795"/>
    <w:rsid w:val="00C77B9B"/>
    <w:rsid w:val="00C901E0"/>
    <w:rsid w:val="00C95D26"/>
    <w:rsid w:val="00C97DB0"/>
    <w:rsid w:val="00CA2AB4"/>
    <w:rsid w:val="00CA2FCD"/>
    <w:rsid w:val="00CA3DB6"/>
    <w:rsid w:val="00CA5B02"/>
    <w:rsid w:val="00CA62CE"/>
    <w:rsid w:val="00CA7D33"/>
    <w:rsid w:val="00CB0100"/>
    <w:rsid w:val="00CB0A09"/>
    <w:rsid w:val="00CB5CD4"/>
    <w:rsid w:val="00CB69BB"/>
    <w:rsid w:val="00CC0580"/>
    <w:rsid w:val="00CC1EC8"/>
    <w:rsid w:val="00CC31C9"/>
    <w:rsid w:val="00CC5062"/>
    <w:rsid w:val="00CC512E"/>
    <w:rsid w:val="00CD2408"/>
    <w:rsid w:val="00CD4776"/>
    <w:rsid w:val="00CE43DC"/>
    <w:rsid w:val="00CE5BEB"/>
    <w:rsid w:val="00CE69E9"/>
    <w:rsid w:val="00CF0317"/>
    <w:rsid w:val="00CF6629"/>
    <w:rsid w:val="00D01F32"/>
    <w:rsid w:val="00D04EC0"/>
    <w:rsid w:val="00D06233"/>
    <w:rsid w:val="00D076F1"/>
    <w:rsid w:val="00D1626D"/>
    <w:rsid w:val="00D1674C"/>
    <w:rsid w:val="00D16EEC"/>
    <w:rsid w:val="00D16FFE"/>
    <w:rsid w:val="00D218BF"/>
    <w:rsid w:val="00D25074"/>
    <w:rsid w:val="00D31A41"/>
    <w:rsid w:val="00D345B2"/>
    <w:rsid w:val="00D36260"/>
    <w:rsid w:val="00D63A8C"/>
    <w:rsid w:val="00D64229"/>
    <w:rsid w:val="00D65FB4"/>
    <w:rsid w:val="00D7380B"/>
    <w:rsid w:val="00D743B2"/>
    <w:rsid w:val="00D74F78"/>
    <w:rsid w:val="00D75D77"/>
    <w:rsid w:val="00D80EB6"/>
    <w:rsid w:val="00D81DB2"/>
    <w:rsid w:val="00D82624"/>
    <w:rsid w:val="00D9087D"/>
    <w:rsid w:val="00D9491C"/>
    <w:rsid w:val="00D955D7"/>
    <w:rsid w:val="00D96C1B"/>
    <w:rsid w:val="00DA11A0"/>
    <w:rsid w:val="00DA6594"/>
    <w:rsid w:val="00DA690B"/>
    <w:rsid w:val="00DB0AD4"/>
    <w:rsid w:val="00DB7585"/>
    <w:rsid w:val="00DC1FAF"/>
    <w:rsid w:val="00DC4EB4"/>
    <w:rsid w:val="00DC59F8"/>
    <w:rsid w:val="00DC7007"/>
    <w:rsid w:val="00DC7AEA"/>
    <w:rsid w:val="00DE3965"/>
    <w:rsid w:val="00DE787C"/>
    <w:rsid w:val="00DF0D21"/>
    <w:rsid w:val="00DF2EE9"/>
    <w:rsid w:val="00DF553B"/>
    <w:rsid w:val="00DF5694"/>
    <w:rsid w:val="00E03E90"/>
    <w:rsid w:val="00E0484D"/>
    <w:rsid w:val="00E061F2"/>
    <w:rsid w:val="00E070C0"/>
    <w:rsid w:val="00E076B8"/>
    <w:rsid w:val="00E07752"/>
    <w:rsid w:val="00E16609"/>
    <w:rsid w:val="00E218C1"/>
    <w:rsid w:val="00E233F3"/>
    <w:rsid w:val="00E23BDC"/>
    <w:rsid w:val="00E33839"/>
    <w:rsid w:val="00E37F52"/>
    <w:rsid w:val="00E42A30"/>
    <w:rsid w:val="00E45F8C"/>
    <w:rsid w:val="00E47476"/>
    <w:rsid w:val="00E55F89"/>
    <w:rsid w:val="00E63202"/>
    <w:rsid w:val="00E64A08"/>
    <w:rsid w:val="00E7102E"/>
    <w:rsid w:val="00E713A5"/>
    <w:rsid w:val="00E71A36"/>
    <w:rsid w:val="00E73B87"/>
    <w:rsid w:val="00E74187"/>
    <w:rsid w:val="00E813F4"/>
    <w:rsid w:val="00E81725"/>
    <w:rsid w:val="00E81F29"/>
    <w:rsid w:val="00E81F3E"/>
    <w:rsid w:val="00E85563"/>
    <w:rsid w:val="00E859BD"/>
    <w:rsid w:val="00E9173F"/>
    <w:rsid w:val="00E96759"/>
    <w:rsid w:val="00E971BD"/>
    <w:rsid w:val="00EA15A8"/>
    <w:rsid w:val="00EB34FC"/>
    <w:rsid w:val="00EB76E1"/>
    <w:rsid w:val="00EC7A11"/>
    <w:rsid w:val="00ED10EF"/>
    <w:rsid w:val="00ED3CC1"/>
    <w:rsid w:val="00ED62EC"/>
    <w:rsid w:val="00ED75F0"/>
    <w:rsid w:val="00EE146D"/>
    <w:rsid w:val="00EE49D1"/>
    <w:rsid w:val="00EE4B1C"/>
    <w:rsid w:val="00EF072B"/>
    <w:rsid w:val="00EF0E53"/>
    <w:rsid w:val="00EF5713"/>
    <w:rsid w:val="00EF7DD2"/>
    <w:rsid w:val="00F03355"/>
    <w:rsid w:val="00F077D2"/>
    <w:rsid w:val="00F16872"/>
    <w:rsid w:val="00F20DCF"/>
    <w:rsid w:val="00F36106"/>
    <w:rsid w:val="00F36484"/>
    <w:rsid w:val="00F365DA"/>
    <w:rsid w:val="00F3748F"/>
    <w:rsid w:val="00F40A98"/>
    <w:rsid w:val="00F42DC4"/>
    <w:rsid w:val="00F46FA2"/>
    <w:rsid w:val="00F4752B"/>
    <w:rsid w:val="00F47FAB"/>
    <w:rsid w:val="00F510A3"/>
    <w:rsid w:val="00F51712"/>
    <w:rsid w:val="00F52F0C"/>
    <w:rsid w:val="00F53643"/>
    <w:rsid w:val="00F543DA"/>
    <w:rsid w:val="00F56792"/>
    <w:rsid w:val="00F60E32"/>
    <w:rsid w:val="00F63C96"/>
    <w:rsid w:val="00F667BE"/>
    <w:rsid w:val="00F6699F"/>
    <w:rsid w:val="00F7242E"/>
    <w:rsid w:val="00F80380"/>
    <w:rsid w:val="00F914BD"/>
    <w:rsid w:val="00F9733B"/>
    <w:rsid w:val="00FA037F"/>
    <w:rsid w:val="00FA198C"/>
    <w:rsid w:val="00FA388A"/>
    <w:rsid w:val="00FA3E07"/>
    <w:rsid w:val="00FA449E"/>
    <w:rsid w:val="00FA6BDF"/>
    <w:rsid w:val="00FB5531"/>
    <w:rsid w:val="00FB5C12"/>
    <w:rsid w:val="00FB7A52"/>
    <w:rsid w:val="00FB7F67"/>
    <w:rsid w:val="00FD0B39"/>
    <w:rsid w:val="00FD32F2"/>
    <w:rsid w:val="00FD5A8C"/>
    <w:rsid w:val="00FE1547"/>
    <w:rsid w:val="00FE3233"/>
    <w:rsid w:val="00FF1241"/>
    <w:rsid w:val="00FF5210"/>
    <w:rsid w:val="00FF57A3"/>
    <w:rsid w:val="00FF5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8641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paragraph" w:customStyle="1" w:styleId="Lvl4">
    <w:name w:val="Lvl 4"/>
    <w:next w:val="Normal"/>
    <w:rsid w:val="00D36260"/>
    <w:pPr>
      <w:keepNext/>
      <w:spacing w:before="40" w:after="0" w:line="240" w:lineRule="auto"/>
      <w:ind w:left="216"/>
    </w:pPr>
    <w:rPr>
      <w:rFonts w:ascii="Times New Roman" w:eastAsia="Times New Roman" w:hAnsi="Times New Roman" w:cs="Times New Roman"/>
      <w:b/>
      <w:i/>
      <w:noProof/>
      <w:sz w:val="24"/>
      <w:szCs w:val="20"/>
    </w:rPr>
  </w:style>
  <w:style w:type="paragraph" w:customStyle="1" w:styleId="Tablehead">
    <w:name w:val="Table head"/>
    <w:basedOn w:val="Caption"/>
    <w:rsid w:val="00D36260"/>
    <w:pPr>
      <w:spacing w:before="120" w:after="130" w:line="280" w:lineRule="atLeast"/>
      <w:jc w:val="center"/>
    </w:pPr>
    <w:rPr>
      <w:szCs w:val="24"/>
    </w:rPr>
  </w:style>
  <w:style w:type="paragraph" w:styleId="ListParagraph">
    <w:name w:val="List Paragraph"/>
    <w:basedOn w:val="Normal"/>
    <w:uiPriority w:val="34"/>
    <w:qFormat/>
    <w:rsid w:val="0094642E"/>
    <w:pPr>
      <w:ind w:left="720"/>
      <w:contextualSpacing/>
    </w:pPr>
  </w:style>
  <w:style w:type="paragraph" w:styleId="EndnoteText">
    <w:name w:val="endnote text"/>
    <w:basedOn w:val="Normal"/>
    <w:link w:val="EndnoteTextChar"/>
    <w:semiHidden/>
    <w:rsid w:val="00F6699F"/>
    <w:rPr>
      <w:sz w:val="20"/>
      <w:szCs w:val="20"/>
    </w:rPr>
  </w:style>
  <w:style w:type="character" w:customStyle="1" w:styleId="EndnoteTextChar">
    <w:name w:val="Endnote Text Char"/>
    <w:basedOn w:val="DefaultParagraphFont"/>
    <w:link w:val="EndnoteText"/>
    <w:semiHidden/>
    <w:rsid w:val="00F6699F"/>
    <w:rPr>
      <w:rFonts w:ascii="Times New Roman" w:eastAsia="Times New Roman" w:hAnsi="Times New Roman" w:cs="Times New Roman"/>
      <w:sz w:val="20"/>
      <w:szCs w:val="20"/>
    </w:rPr>
  </w:style>
  <w:style w:type="character" w:styleId="EndnoteReference">
    <w:name w:val="endnote reference"/>
    <w:basedOn w:val="DefaultParagraphFont"/>
    <w:semiHidden/>
    <w:rsid w:val="00F6699F"/>
    <w:rPr>
      <w:vertAlign w:val="superscript"/>
    </w:rPr>
  </w:style>
  <w:style w:type="paragraph" w:styleId="Index1">
    <w:name w:val="index 1"/>
    <w:basedOn w:val="Normal"/>
    <w:next w:val="Normal"/>
    <w:autoRedefine/>
    <w:uiPriority w:val="99"/>
    <w:semiHidden/>
    <w:unhideWhenUsed/>
    <w:rsid w:val="00ED10EF"/>
    <w:pPr>
      <w:ind w:left="240" w:hanging="240"/>
    </w:pPr>
  </w:style>
  <w:style w:type="paragraph" w:customStyle="1" w:styleId="Normal2">
    <w:name w:val="Normal2"/>
    <w:basedOn w:val="Normal"/>
    <w:next w:val="Normal"/>
    <w:link w:val="Normal2Char"/>
    <w:rsid w:val="00A064EC"/>
    <w:pPr>
      <w:spacing w:line="280" w:lineRule="atLeast"/>
    </w:pPr>
  </w:style>
  <w:style w:type="character" w:customStyle="1" w:styleId="Normal2Char">
    <w:name w:val="Normal2 Char"/>
    <w:basedOn w:val="DefaultParagraphFont"/>
    <w:link w:val="Normal2"/>
    <w:rsid w:val="00A064EC"/>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6A6F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A6F11"/>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966387"/>
    <w:rPr>
      <w:color w:val="800080" w:themeColor="followedHyperlink"/>
      <w:u w:val="single"/>
    </w:rPr>
  </w:style>
  <w:style w:type="paragraph" w:styleId="BodyText">
    <w:name w:val="Body Text"/>
    <w:basedOn w:val="Normal"/>
    <w:link w:val="BodyTextChar"/>
    <w:rsid w:val="00A05CFF"/>
    <w:pPr>
      <w:autoSpaceDE w:val="0"/>
      <w:autoSpaceDN w:val="0"/>
      <w:adjustRightInd w:val="0"/>
      <w:jc w:val="both"/>
    </w:pPr>
  </w:style>
  <w:style w:type="character" w:customStyle="1" w:styleId="BodyTextChar">
    <w:name w:val="Body Text Char"/>
    <w:basedOn w:val="DefaultParagraphFont"/>
    <w:link w:val="BodyText"/>
    <w:rsid w:val="00A05CFF"/>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86C6E"/>
    <w:rPr>
      <w:color w:val="808080"/>
    </w:rPr>
  </w:style>
  <w:style w:type="paragraph" w:styleId="Revision">
    <w:name w:val="Revision"/>
    <w:hidden/>
    <w:uiPriority w:val="99"/>
    <w:semiHidden/>
    <w:rsid w:val="00FA037F"/>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paragraph" w:customStyle="1" w:styleId="Lvl4">
    <w:name w:val="Lvl 4"/>
    <w:next w:val="Normal"/>
    <w:rsid w:val="00D36260"/>
    <w:pPr>
      <w:keepNext/>
      <w:spacing w:before="40" w:after="0" w:line="240" w:lineRule="auto"/>
      <w:ind w:left="216"/>
    </w:pPr>
    <w:rPr>
      <w:rFonts w:ascii="Times New Roman" w:eastAsia="Times New Roman" w:hAnsi="Times New Roman" w:cs="Times New Roman"/>
      <w:b/>
      <w:i/>
      <w:noProof/>
      <w:sz w:val="24"/>
      <w:szCs w:val="20"/>
    </w:rPr>
  </w:style>
  <w:style w:type="paragraph" w:customStyle="1" w:styleId="Tablehead">
    <w:name w:val="Table head"/>
    <w:basedOn w:val="Caption"/>
    <w:rsid w:val="00D36260"/>
    <w:pPr>
      <w:spacing w:before="120" w:after="130" w:line="280" w:lineRule="atLeast"/>
      <w:jc w:val="center"/>
    </w:pPr>
    <w:rPr>
      <w:szCs w:val="24"/>
    </w:rPr>
  </w:style>
  <w:style w:type="paragraph" w:styleId="ListParagraph">
    <w:name w:val="List Paragraph"/>
    <w:basedOn w:val="Normal"/>
    <w:uiPriority w:val="34"/>
    <w:qFormat/>
    <w:rsid w:val="0094642E"/>
    <w:pPr>
      <w:ind w:left="720"/>
      <w:contextualSpacing/>
    </w:pPr>
  </w:style>
  <w:style w:type="paragraph" w:styleId="EndnoteText">
    <w:name w:val="endnote text"/>
    <w:basedOn w:val="Normal"/>
    <w:link w:val="EndnoteTextChar"/>
    <w:semiHidden/>
    <w:rsid w:val="00F6699F"/>
    <w:rPr>
      <w:sz w:val="20"/>
      <w:szCs w:val="20"/>
    </w:rPr>
  </w:style>
  <w:style w:type="character" w:customStyle="1" w:styleId="EndnoteTextChar">
    <w:name w:val="Endnote Text Char"/>
    <w:basedOn w:val="DefaultParagraphFont"/>
    <w:link w:val="EndnoteText"/>
    <w:semiHidden/>
    <w:rsid w:val="00F6699F"/>
    <w:rPr>
      <w:rFonts w:ascii="Times New Roman" w:eastAsia="Times New Roman" w:hAnsi="Times New Roman" w:cs="Times New Roman"/>
      <w:sz w:val="20"/>
      <w:szCs w:val="20"/>
    </w:rPr>
  </w:style>
  <w:style w:type="character" w:styleId="EndnoteReference">
    <w:name w:val="endnote reference"/>
    <w:basedOn w:val="DefaultParagraphFont"/>
    <w:semiHidden/>
    <w:rsid w:val="00F6699F"/>
    <w:rPr>
      <w:vertAlign w:val="superscript"/>
    </w:rPr>
  </w:style>
  <w:style w:type="paragraph" w:styleId="Index1">
    <w:name w:val="index 1"/>
    <w:basedOn w:val="Normal"/>
    <w:next w:val="Normal"/>
    <w:autoRedefine/>
    <w:uiPriority w:val="99"/>
    <w:semiHidden/>
    <w:unhideWhenUsed/>
    <w:rsid w:val="00ED10EF"/>
    <w:pPr>
      <w:ind w:left="240" w:hanging="240"/>
    </w:pPr>
  </w:style>
  <w:style w:type="paragraph" w:customStyle="1" w:styleId="Normal2">
    <w:name w:val="Normal2"/>
    <w:basedOn w:val="Normal"/>
    <w:next w:val="Normal"/>
    <w:link w:val="Normal2Char"/>
    <w:rsid w:val="00A064EC"/>
    <w:pPr>
      <w:spacing w:line="280" w:lineRule="atLeast"/>
    </w:pPr>
  </w:style>
  <w:style w:type="character" w:customStyle="1" w:styleId="Normal2Char">
    <w:name w:val="Normal2 Char"/>
    <w:basedOn w:val="DefaultParagraphFont"/>
    <w:link w:val="Normal2"/>
    <w:rsid w:val="00A064EC"/>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6A6F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A6F11"/>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966387"/>
    <w:rPr>
      <w:color w:val="800080" w:themeColor="followedHyperlink"/>
      <w:u w:val="single"/>
    </w:rPr>
  </w:style>
  <w:style w:type="paragraph" w:styleId="BodyText">
    <w:name w:val="Body Text"/>
    <w:basedOn w:val="Normal"/>
    <w:link w:val="BodyTextChar"/>
    <w:rsid w:val="00A05CFF"/>
    <w:pPr>
      <w:autoSpaceDE w:val="0"/>
      <w:autoSpaceDN w:val="0"/>
      <w:adjustRightInd w:val="0"/>
      <w:jc w:val="both"/>
    </w:pPr>
  </w:style>
  <w:style w:type="character" w:customStyle="1" w:styleId="BodyTextChar">
    <w:name w:val="Body Text Char"/>
    <w:basedOn w:val="DefaultParagraphFont"/>
    <w:link w:val="BodyText"/>
    <w:rsid w:val="00A05CFF"/>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86C6E"/>
    <w:rPr>
      <w:color w:val="808080"/>
    </w:rPr>
  </w:style>
  <w:style w:type="paragraph" w:styleId="Revision">
    <w:name w:val="Revision"/>
    <w:hidden/>
    <w:uiPriority w:val="99"/>
    <w:semiHidden/>
    <w:rsid w:val="00FA037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package" Target="embeddings/Microsoft_Excel_Sheet1.xlsx"/><Relationship Id="rId21" Type="http://schemas.openxmlformats.org/officeDocument/2006/relationships/image" Target="media/image5.emf"/><Relationship Id="rId22" Type="http://schemas.openxmlformats.org/officeDocument/2006/relationships/image" Target="media/image6.emf"/><Relationship Id="rId23" Type="http://schemas.openxmlformats.org/officeDocument/2006/relationships/package" Target="embeddings/Microsoft_Excel_Sheet2.xlsx"/><Relationship Id="rId24" Type="http://schemas.openxmlformats.org/officeDocument/2006/relationships/image" Target="media/image7.emf"/><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yperlink" Target="http://www.deeresources.com" TargetMode="External"/><Relationship Id="rId13" Type="http://schemas.openxmlformats.org/officeDocument/2006/relationships/image" Target="media/image1.wmf"/><Relationship Id="rId14" Type="http://schemas.openxmlformats.org/officeDocument/2006/relationships/oleObject" Target="embeddings/Microsoft_Equation1.bin"/><Relationship Id="rId15" Type="http://schemas.openxmlformats.org/officeDocument/2006/relationships/image" Target="media/image2.wmf"/><Relationship Id="rId16" Type="http://schemas.openxmlformats.org/officeDocument/2006/relationships/oleObject" Target="embeddings/Microsoft_Equation2.bin"/><Relationship Id="rId17" Type="http://schemas.openxmlformats.org/officeDocument/2006/relationships/image" Target="media/image3.wmf"/><Relationship Id="rId18" Type="http://schemas.openxmlformats.org/officeDocument/2006/relationships/oleObject" Target="embeddings/Microsoft_Equation3.bin"/><Relationship Id="rId19" Type="http://schemas.openxmlformats.org/officeDocument/2006/relationships/image" Target="media/image4.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AD516-823B-4242-B3BF-0AE4C0F0A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1199</TotalTime>
  <Pages>13</Pages>
  <Words>2347</Words>
  <Characters>13381</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O'Keefe, Brian</dc:creator>
  <cp:keywords/>
  <dc:description/>
  <cp:lastModifiedBy>Sonny Enriquez, P.E.</cp:lastModifiedBy>
  <cp:revision>481</cp:revision>
  <dcterms:created xsi:type="dcterms:W3CDTF">2012-05-24T20:41:00Z</dcterms:created>
  <dcterms:modified xsi:type="dcterms:W3CDTF">2014-06-30T23:55:00Z</dcterms:modified>
</cp:coreProperties>
</file>