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88A" w:rsidRPr="00B6688A" w:rsidRDefault="00B6688A" w:rsidP="00B6688A">
      <w:pPr>
        <w:jc w:val="right"/>
        <w:rPr>
          <w:rFonts w:asciiTheme="minorHAnsi" w:hAnsiTheme="minorHAnsi" w:cstheme="minorHAnsi"/>
          <w:b/>
          <w:sz w:val="48"/>
          <w:szCs w:val="48"/>
        </w:rPr>
      </w:pPr>
      <w:bookmarkStart w:id="0" w:name="_Toc214003082"/>
      <w:r w:rsidRPr="00B6688A">
        <w:rPr>
          <w:rFonts w:asciiTheme="minorHAnsi" w:hAnsiTheme="minorHAnsi" w:cstheme="minorHAnsi"/>
          <w:b/>
          <w:sz w:val="48"/>
          <w:szCs w:val="48"/>
        </w:rPr>
        <w:t xml:space="preserve">Work Paper </w:t>
      </w:r>
      <w:r w:rsidR="00D915E8">
        <w:rPr>
          <w:rFonts w:asciiTheme="minorHAnsi" w:hAnsiTheme="minorHAnsi" w:cstheme="minorHAnsi"/>
          <w:b/>
          <w:sz w:val="48"/>
          <w:szCs w:val="48"/>
        </w:rPr>
        <w:t>WPSDGENRLG0044</w:t>
      </w:r>
    </w:p>
    <w:p w:rsidR="00DA690B" w:rsidRPr="00EB34FC" w:rsidRDefault="00B6688A" w:rsidP="00B6688A">
      <w:pPr>
        <w:jc w:val="right"/>
        <w:rPr>
          <w:rFonts w:asciiTheme="minorHAnsi" w:hAnsiTheme="minorHAnsi" w:cstheme="minorHAnsi"/>
          <w:b/>
          <w:sz w:val="48"/>
          <w:szCs w:val="48"/>
        </w:rPr>
      </w:pPr>
      <w:r w:rsidRPr="00B6688A">
        <w:rPr>
          <w:rFonts w:asciiTheme="minorHAnsi" w:hAnsiTheme="minorHAnsi" w:cstheme="minorHAnsi"/>
          <w:b/>
          <w:sz w:val="48"/>
          <w:szCs w:val="48"/>
        </w:rPr>
        <w:t xml:space="preserve">Revision </w:t>
      </w:r>
      <w:r w:rsidR="00D915E8">
        <w:rPr>
          <w:rFonts w:asciiTheme="minorHAnsi" w:hAnsiTheme="minorHAnsi" w:cstheme="minorHAnsi"/>
          <w:b/>
          <w:sz w:val="48"/>
          <w:szCs w:val="48"/>
        </w:rPr>
        <w:t>4</w:t>
      </w: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915E8" w:rsidP="00DA690B">
      <w:pPr>
        <w:pBdr>
          <w:bottom w:val="single" w:sz="4" w:space="1" w:color="auto"/>
        </w:pBdr>
        <w:rPr>
          <w:rFonts w:asciiTheme="minorHAnsi" w:hAnsiTheme="minorHAnsi" w:cstheme="minorHAnsi"/>
          <w:b/>
          <w:sz w:val="36"/>
          <w:szCs w:val="36"/>
        </w:rPr>
      </w:pPr>
      <w:r>
        <w:rPr>
          <w:rFonts w:asciiTheme="minorHAnsi" w:hAnsiTheme="minorHAnsi" w:cstheme="minorHAnsi"/>
          <w:b/>
          <w:sz w:val="36"/>
          <w:szCs w:val="36"/>
        </w:rPr>
        <w:t>San Diego Gas &amp; Electric</w:t>
      </w:r>
    </w:p>
    <w:p w:rsidR="00DA690B" w:rsidRPr="005A0798" w:rsidRDefault="003F0E12" w:rsidP="00DA690B">
      <w:pPr>
        <w:rPr>
          <w:rFonts w:asciiTheme="minorHAnsi" w:hAnsiTheme="minorHAnsi" w:cstheme="minorHAnsi"/>
          <w:b/>
          <w:sz w:val="32"/>
        </w:rPr>
      </w:pPr>
      <w:r w:rsidRPr="005A0798">
        <w:rPr>
          <w:rFonts w:asciiTheme="minorHAnsi" w:hAnsiTheme="minorHAnsi" w:cstheme="minorHAnsi"/>
          <w:b/>
          <w:sz w:val="32"/>
        </w:rPr>
        <w:t>Energy Efficiency Engineering</w:t>
      </w: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EB34FC" w:rsidRPr="00EB34FC" w:rsidRDefault="00B6688A" w:rsidP="00EB34FC">
      <w:r w:rsidRPr="00B6688A">
        <w:rPr>
          <w:rFonts w:asciiTheme="minorHAnsi" w:hAnsiTheme="minorHAnsi" w:cstheme="minorHAnsi"/>
          <w:b/>
          <w:sz w:val="72"/>
          <w:szCs w:val="72"/>
        </w:rPr>
        <w:t>Interior Linear Fluorescent Fixture</w:t>
      </w:r>
    </w:p>
    <w:p w:rsidR="00D915E8" w:rsidRPr="005A0798" w:rsidRDefault="00D915E8" w:rsidP="00DA690B">
      <w:pPr>
        <w:rPr>
          <w:rFonts w:asciiTheme="minorHAnsi" w:hAnsiTheme="minorHAnsi" w:cstheme="minorHAnsi"/>
          <w:b/>
        </w:rPr>
        <w:sectPr w:rsidR="00D915E8" w:rsidRPr="005A0798">
          <w:footerReference w:type="default" r:id="rId9"/>
          <w:pgSz w:w="12240" w:h="15840"/>
          <w:pgMar w:top="1440" w:right="1440" w:bottom="1440" w:left="1440" w:header="720" w:footer="720" w:gutter="0"/>
          <w:cols w:space="720"/>
          <w:docGrid w:linePitch="360"/>
        </w:sectPr>
      </w:pPr>
      <w:r w:rsidRPr="005A0798">
        <w:rPr>
          <w:rFonts w:asciiTheme="minorHAnsi" w:hAnsiTheme="minorHAnsi" w:cstheme="minorHAnsi"/>
          <w:b/>
        </w:rPr>
        <w:t>Measure Codes: L-H11 thru L-H61</w:t>
      </w:r>
    </w:p>
    <w:p w:rsidR="00EB34FC" w:rsidRPr="005734A4" w:rsidRDefault="00EB34FC" w:rsidP="00EB34FC">
      <w:pPr>
        <w:pStyle w:val="Heading3"/>
        <w:ind w:left="-630"/>
        <w:rPr>
          <w:rFonts w:asciiTheme="minorHAnsi" w:hAnsiTheme="minorHAnsi" w:cstheme="minorHAnsi"/>
        </w:rPr>
      </w:pPr>
      <w:r w:rsidRPr="005734A4">
        <w:rPr>
          <w:rFonts w:asciiTheme="minorHAnsi" w:hAnsiTheme="minorHAnsi" w:cstheme="minorHAnsi"/>
        </w:rPr>
        <w:lastRenderedPageBreak/>
        <w:t>Core Measure Summary Table</w:t>
      </w:r>
    </w:p>
    <w:tbl>
      <w:tblPr>
        <w:tblW w:w="22631" w:type="dxa"/>
        <w:tblInd w:w="-522" w:type="dxa"/>
        <w:tblLayout w:type="fixed"/>
        <w:tblLook w:val="04A0" w:firstRow="1" w:lastRow="0" w:firstColumn="1" w:lastColumn="0" w:noHBand="0" w:noVBand="1"/>
      </w:tblPr>
      <w:tblGrid>
        <w:gridCol w:w="3600"/>
        <w:gridCol w:w="2430"/>
        <w:gridCol w:w="1080"/>
        <w:gridCol w:w="720"/>
        <w:gridCol w:w="1710"/>
        <w:gridCol w:w="1800"/>
        <w:gridCol w:w="671"/>
        <w:gridCol w:w="990"/>
        <w:gridCol w:w="900"/>
        <w:gridCol w:w="810"/>
        <w:gridCol w:w="990"/>
        <w:gridCol w:w="990"/>
        <w:gridCol w:w="810"/>
        <w:gridCol w:w="720"/>
        <w:gridCol w:w="990"/>
        <w:gridCol w:w="990"/>
        <w:gridCol w:w="810"/>
        <w:gridCol w:w="720"/>
        <w:gridCol w:w="900"/>
      </w:tblGrid>
      <w:tr w:rsidR="006404E6" w:rsidRPr="002F3943" w:rsidTr="008A616F">
        <w:trPr>
          <w:trHeight w:val="540"/>
        </w:trPr>
        <w:tc>
          <w:tcPr>
            <w:tcW w:w="13001" w:type="dxa"/>
            <w:gridSpan w:val="8"/>
            <w:tcBorders>
              <w:top w:val="single" w:sz="8" w:space="0" w:color="auto"/>
              <w:left w:val="single" w:sz="8" w:space="0" w:color="auto"/>
              <w:bottom w:val="single" w:sz="8" w:space="0" w:color="auto"/>
              <w:right w:val="single" w:sz="8" w:space="0" w:color="000000"/>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General Measure Information</w:t>
            </w:r>
          </w:p>
        </w:tc>
        <w:tc>
          <w:tcPr>
            <w:tcW w:w="1710" w:type="dxa"/>
            <w:gridSpan w:val="2"/>
            <w:tcBorders>
              <w:top w:val="single" w:sz="8" w:space="0" w:color="auto"/>
              <w:left w:val="nil"/>
              <w:bottom w:val="nil"/>
              <w:right w:val="single" w:sz="4" w:space="0" w:color="auto"/>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PT</w:t>
            </w:r>
          </w:p>
        </w:tc>
        <w:tc>
          <w:tcPr>
            <w:tcW w:w="3510" w:type="dxa"/>
            <w:gridSpan w:val="4"/>
            <w:tcBorders>
              <w:top w:val="single" w:sz="8" w:space="0" w:color="auto"/>
              <w:left w:val="single" w:sz="4" w:space="0" w:color="auto"/>
              <w:bottom w:val="nil"/>
              <w:right w:val="single" w:sz="8" w:space="0" w:color="000000"/>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1st Baseline Period</w:t>
            </w:r>
          </w:p>
        </w:tc>
        <w:tc>
          <w:tcPr>
            <w:tcW w:w="3510" w:type="dxa"/>
            <w:gridSpan w:val="4"/>
            <w:tcBorders>
              <w:top w:val="single" w:sz="8" w:space="0" w:color="auto"/>
              <w:left w:val="nil"/>
              <w:bottom w:val="nil"/>
              <w:right w:val="single" w:sz="8" w:space="0" w:color="000000"/>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2nd Baseline Period</w:t>
            </w:r>
          </w:p>
        </w:tc>
        <w:tc>
          <w:tcPr>
            <w:tcW w:w="900" w:type="dxa"/>
            <w:tcBorders>
              <w:top w:val="single" w:sz="8" w:space="0" w:color="auto"/>
              <w:left w:val="nil"/>
              <w:bottom w:val="nil"/>
              <w:right w:val="single" w:sz="8" w:space="0" w:color="auto"/>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TOU</w:t>
            </w:r>
          </w:p>
        </w:tc>
      </w:tr>
      <w:tr w:rsidR="006404E6" w:rsidRPr="002F3943" w:rsidTr="00044307">
        <w:trPr>
          <w:trHeight w:val="1290"/>
        </w:trPr>
        <w:tc>
          <w:tcPr>
            <w:tcW w:w="3600" w:type="dxa"/>
            <w:tcBorders>
              <w:top w:val="nil"/>
              <w:left w:val="single" w:sz="8" w:space="0" w:color="auto"/>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Measure Name</w:t>
            </w:r>
          </w:p>
        </w:tc>
        <w:tc>
          <w:tcPr>
            <w:tcW w:w="2430" w:type="dxa"/>
            <w:tcBorders>
              <w:top w:val="nil"/>
              <w:left w:val="nil"/>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 xml:space="preserve">Measure </w:t>
            </w:r>
            <w:proofErr w:type="spellStart"/>
            <w:r w:rsidRPr="002F3943">
              <w:rPr>
                <w:rFonts w:ascii="Calibri" w:hAnsi="Calibri" w:cs="Calibri"/>
                <w:sz w:val="14"/>
                <w:szCs w:val="14"/>
              </w:rPr>
              <w:t>RunID</w:t>
            </w:r>
            <w:proofErr w:type="spellEnd"/>
          </w:p>
        </w:tc>
        <w:tc>
          <w:tcPr>
            <w:tcW w:w="1080" w:type="dxa"/>
            <w:tcBorders>
              <w:top w:val="nil"/>
              <w:left w:val="nil"/>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Solution Code</w:t>
            </w:r>
          </w:p>
        </w:tc>
        <w:tc>
          <w:tcPr>
            <w:tcW w:w="720" w:type="dxa"/>
            <w:tcBorders>
              <w:top w:val="nil"/>
              <w:left w:val="nil"/>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CZ</w:t>
            </w:r>
          </w:p>
        </w:tc>
        <w:tc>
          <w:tcPr>
            <w:tcW w:w="1710" w:type="dxa"/>
            <w:tcBorders>
              <w:top w:val="nil"/>
              <w:left w:val="nil"/>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Building Type</w:t>
            </w:r>
          </w:p>
        </w:tc>
        <w:tc>
          <w:tcPr>
            <w:tcW w:w="1800" w:type="dxa"/>
            <w:tcBorders>
              <w:top w:val="nil"/>
              <w:left w:val="nil"/>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Load Shape</w:t>
            </w:r>
          </w:p>
        </w:tc>
        <w:tc>
          <w:tcPr>
            <w:tcW w:w="671" w:type="dxa"/>
            <w:tcBorders>
              <w:top w:val="nil"/>
              <w:left w:val="nil"/>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EUL</w:t>
            </w:r>
          </w:p>
        </w:tc>
        <w:tc>
          <w:tcPr>
            <w:tcW w:w="990" w:type="dxa"/>
            <w:tcBorders>
              <w:top w:val="nil"/>
              <w:left w:val="nil"/>
              <w:bottom w:val="single" w:sz="4" w:space="0" w:color="auto"/>
              <w:right w:val="nil"/>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Unit Definition</w:t>
            </w:r>
          </w:p>
        </w:tc>
        <w:tc>
          <w:tcPr>
            <w:tcW w:w="900" w:type="dxa"/>
            <w:tcBorders>
              <w:top w:val="single" w:sz="8" w:space="0" w:color="auto"/>
              <w:left w:val="single" w:sz="8" w:space="0" w:color="auto"/>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Program Type (NEW, ROB, RET)</w:t>
            </w:r>
          </w:p>
        </w:tc>
        <w:tc>
          <w:tcPr>
            <w:tcW w:w="810"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6404E6" w:rsidRPr="002F3943" w:rsidRDefault="006404E6" w:rsidP="006404E6">
            <w:pPr>
              <w:jc w:val="center"/>
              <w:rPr>
                <w:rFonts w:ascii="Calibri" w:hAnsi="Calibri" w:cs="Calibri"/>
                <w:sz w:val="14"/>
                <w:szCs w:val="14"/>
              </w:rPr>
            </w:pPr>
            <w:r>
              <w:rPr>
                <w:rFonts w:ascii="Calibri" w:hAnsi="Calibri" w:cs="Calibri"/>
                <w:sz w:val="14"/>
                <w:szCs w:val="14"/>
              </w:rPr>
              <w:t>Applicable Code</w:t>
            </w:r>
          </w:p>
        </w:tc>
        <w:tc>
          <w:tcPr>
            <w:tcW w:w="990" w:type="dxa"/>
            <w:tcBorders>
              <w:top w:val="single" w:sz="8" w:space="0" w:color="auto"/>
              <w:left w:val="single" w:sz="4" w:space="0" w:color="auto"/>
              <w:bottom w:val="single" w:sz="4" w:space="0" w:color="auto"/>
              <w:right w:val="single" w:sz="4" w:space="0" w:color="auto"/>
            </w:tcBorders>
            <w:shd w:val="clear" w:color="000000" w:fill="D8E4BC"/>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Gross Unit Annual Electricity Savings (kWh/unit)</w:t>
            </w:r>
          </w:p>
        </w:tc>
        <w:tc>
          <w:tcPr>
            <w:tcW w:w="990" w:type="dxa"/>
            <w:tcBorders>
              <w:top w:val="single" w:sz="8" w:space="0" w:color="auto"/>
              <w:left w:val="nil"/>
              <w:bottom w:val="single" w:sz="4" w:space="0" w:color="auto"/>
              <w:right w:val="single" w:sz="4" w:space="0" w:color="auto"/>
            </w:tcBorders>
            <w:shd w:val="clear" w:color="000000" w:fill="D8E4BC"/>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User Entered kW Savings per unit (kW/unit)</w:t>
            </w:r>
          </w:p>
        </w:tc>
        <w:tc>
          <w:tcPr>
            <w:tcW w:w="810" w:type="dxa"/>
            <w:tcBorders>
              <w:top w:val="single" w:sz="8" w:space="0" w:color="auto"/>
              <w:left w:val="nil"/>
              <w:bottom w:val="single" w:sz="4" w:space="0" w:color="auto"/>
              <w:right w:val="single" w:sz="4" w:space="0" w:color="auto"/>
            </w:tcBorders>
            <w:shd w:val="clear" w:color="000000" w:fill="D8E4BC"/>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Gas      Savings   (</w:t>
            </w:r>
            <w:proofErr w:type="spellStart"/>
            <w:r w:rsidRPr="002F3943">
              <w:rPr>
                <w:rFonts w:ascii="Calibri" w:hAnsi="Calibri" w:cs="Calibri"/>
                <w:sz w:val="14"/>
                <w:szCs w:val="14"/>
              </w:rPr>
              <w:t>Therms</w:t>
            </w:r>
            <w:proofErr w:type="spellEnd"/>
            <w:r w:rsidRPr="002F3943">
              <w:rPr>
                <w:rFonts w:ascii="Calibri" w:hAnsi="Calibri" w:cs="Calibri"/>
                <w:sz w:val="14"/>
                <w:szCs w:val="14"/>
              </w:rPr>
              <w:t>)</w:t>
            </w:r>
          </w:p>
        </w:tc>
        <w:tc>
          <w:tcPr>
            <w:tcW w:w="720" w:type="dxa"/>
            <w:tcBorders>
              <w:top w:val="single" w:sz="8" w:space="0" w:color="auto"/>
              <w:left w:val="nil"/>
              <w:bottom w:val="single" w:sz="4" w:space="0" w:color="auto"/>
              <w:right w:val="single" w:sz="8" w:space="0" w:color="auto"/>
            </w:tcBorders>
            <w:shd w:val="clear" w:color="000000" w:fill="D8E4BC"/>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1st Baseline Useful Life</w:t>
            </w:r>
          </w:p>
        </w:tc>
        <w:tc>
          <w:tcPr>
            <w:tcW w:w="990" w:type="dxa"/>
            <w:tcBorders>
              <w:top w:val="single" w:sz="8" w:space="0" w:color="auto"/>
              <w:left w:val="nil"/>
              <w:bottom w:val="single" w:sz="4" w:space="0" w:color="auto"/>
              <w:right w:val="single" w:sz="4" w:space="0" w:color="auto"/>
            </w:tcBorders>
            <w:shd w:val="clear" w:color="000000" w:fill="B7DEE8"/>
            <w:vAlign w:val="center"/>
            <w:hideMark/>
          </w:tcPr>
          <w:p w:rsidR="006404E6" w:rsidRPr="002F3943" w:rsidRDefault="006404E6" w:rsidP="007048AC">
            <w:pPr>
              <w:jc w:val="center"/>
              <w:rPr>
                <w:rFonts w:asciiTheme="minorHAnsi" w:hAnsiTheme="minorHAnsi" w:cstheme="minorHAnsi"/>
                <w:sz w:val="14"/>
                <w:szCs w:val="14"/>
              </w:rPr>
            </w:pPr>
            <w:r w:rsidRPr="002F3943">
              <w:rPr>
                <w:rFonts w:asciiTheme="minorHAnsi" w:hAnsiTheme="minorHAnsi" w:cstheme="minorHAnsi"/>
                <w:sz w:val="14"/>
                <w:szCs w:val="14"/>
              </w:rPr>
              <w:t>kWh Saving per unit (kWh/unit)</w:t>
            </w:r>
          </w:p>
        </w:tc>
        <w:tc>
          <w:tcPr>
            <w:tcW w:w="990" w:type="dxa"/>
            <w:tcBorders>
              <w:top w:val="single" w:sz="8" w:space="0" w:color="auto"/>
              <w:left w:val="nil"/>
              <w:bottom w:val="single" w:sz="4" w:space="0" w:color="auto"/>
              <w:right w:val="single" w:sz="4" w:space="0" w:color="auto"/>
            </w:tcBorders>
            <w:shd w:val="clear" w:color="000000" w:fill="B7DEE8"/>
            <w:vAlign w:val="center"/>
            <w:hideMark/>
          </w:tcPr>
          <w:p w:rsidR="006404E6" w:rsidRPr="002F3943" w:rsidRDefault="006404E6" w:rsidP="007048AC">
            <w:pPr>
              <w:jc w:val="center"/>
              <w:rPr>
                <w:rFonts w:asciiTheme="minorHAnsi" w:hAnsiTheme="minorHAnsi" w:cstheme="minorHAnsi"/>
                <w:sz w:val="14"/>
                <w:szCs w:val="14"/>
              </w:rPr>
            </w:pPr>
            <w:r w:rsidRPr="002F3943">
              <w:rPr>
                <w:rFonts w:asciiTheme="minorHAnsi" w:hAnsiTheme="minorHAnsi" w:cstheme="minorHAnsi"/>
                <w:sz w:val="14"/>
                <w:szCs w:val="14"/>
              </w:rPr>
              <w:t>kW Savings per unit (kW/unit)</w:t>
            </w:r>
          </w:p>
        </w:tc>
        <w:tc>
          <w:tcPr>
            <w:tcW w:w="810" w:type="dxa"/>
            <w:tcBorders>
              <w:top w:val="single" w:sz="8" w:space="0" w:color="auto"/>
              <w:left w:val="nil"/>
              <w:bottom w:val="single" w:sz="4" w:space="0" w:color="auto"/>
              <w:right w:val="single" w:sz="4" w:space="0" w:color="auto"/>
            </w:tcBorders>
            <w:shd w:val="clear" w:color="000000" w:fill="B7DEE8"/>
            <w:vAlign w:val="center"/>
            <w:hideMark/>
          </w:tcPr>
          <w:p w:rsidR="006404E6" w:rsidRPr="002F3943" w:rsidRDefault="006404E6" w:rsidP="007048AC">
            <w:pPr>
              <w:jc w:val="center"/>
              <w:rPr>
                <w:rFonts w:asciiTheme="minorHAnsi" w:hAnsiTheme="minorHAnsi" w:cstheme="minorHAnsi"/>
                <w:sz w:val="14"/>
                <w:szCs w:val="14"/>
              </w:rPr>
            </w:pPr>
            <w:r w:rsidRPr="002F3943">
              <w:rPr>
                <w:rFonts w:asciiTheme="minorHAnsi" w:hAnsiTheme="minorHAnsi" w:cstheme="minorHAnsi"/>
                <w:sz w:val="14"/>
                <w:szCs w:val="14"/>
              </w:rPr>
              <w:t>Gas Savings   (</w:t>
            </w:r>
            <w:proofErr w:type="spellStart"/>
            <w:r w:rsidRPr="002F3943">
              <w:rPr>
                <w:rFonts w:asciiTheme="minorHAnsi" w:hAnsiTheme="minorHAnsi" w:cstheme="minorHAnsi"/>
                <w:sz w:val="14"/>
                <w:szCs w:val="14"/>
              </w:rPr>
              <w:t>Therms</w:t>
            </w:r>
            <w:proofErr w:type="spellEnd"/>
            <w:r w:rsidRPr="002F3943">
              <w:rPr>
                <w:rFonts w:asciiTheme="minorHAnsi" w:hAnsiTheme="minorHAnsi" w:cstheme="minorHAnsi"/>
                <w:sz w:val="14"/>
                <w:szCs w:val="14"/>
              </w:rPr>
              <w:t>)</w:t>
            </w:r>
          </w:p>
        </w:tc>
        <w:tc>
          <w:tcPr>
            <w:tcW w:w="720" w:type="dxa"/>
            <w:tcBorders>
              <w:top w:val="single" w:sz="8" w:space="0" w:color="auto"/>
              <w:left w:val="nil"/>
              <w:bottom w:val="single" w:sz="4" w:space="0" w:color="auto"/>
              <w:right w:val="single" w:sz="8" w:space="0" w:color="auto"/>
            </w:tcBorders>
            <w:shd w:val="clear" w:color="000000" w:fill="B7DEE8"/>
            <w:vAlign w:val="center"/>
            <w:hideMark/>
          </w:tcPr>
          <w:p w:rsidR="006404E6" w:rsidRPr="002F3943" w:rsidRDefault="006404E6" w:rsidP="007048AC">
            <w:pPr>
              <w:jc w:val="center"/>
              <w:rPr>
                <w:rFonts w:asciiTheme="minorHAnsi" w:hAnsiTheme="minorHAnsi" w:cstheme="minorHAnsi"/>
                <w:sz w:val="14"/>
                <w:szCs w:val="14"/>
              </w:rPr>
            </w:pPr>
            <w:r w:rsidRPr="002F3943">
              <w:rPr>
                <w:rFonts w:asciiTheme="minorHAnsi" w:hAnsiTheme="minorHAnsi" w:cstheme="minorHAnsi"/>
                <w:sz w:val="14"/>
                <w:szCs w:val="14"/>
              </w:rPr>
              <w:t>2nd Baseline Useful Life</w:t>
            </w:r>
          </w:p>
        </w:tc>
        <w:tc>
          <w:tcPr>
            <w:tcW w:w="900" w:type="dxa"/>
            <w:tcBorders>
              <w:top w:val="single" w:sz="8" w:space="0" w:color="auto"/>
              <w:left w:val="nil"/>
              <w:bottom w:val="single" w:sz="4" w:space="0" w:color="auto"/>
              <w:right w:val="single" w:sz="8"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 TOU</w:t>
            </w:r>
          </w:p>
        </w:tc>
      </w:tr>
      <w:tr w:rsidR="00F45D83" w:rsidRPr="002F3943" w:rsidTr="00044307">
        <w:trPr>
          <w:trHeight w:val="255"/>
        </w:trPr>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5D83" w:rsidRPr="005A0798" w:rsidRDefault="000A647B">
            <w:pPr>
              <w:rPr>
                <w:rFonts w:ascii="Calibri" w:hAnsi="Calibri" w:cs="Calibri"/>
                <w:b/>
                <w:sz w:val="20"/>
                <w:szCs w:val="20"/>
              </w:rPr>
            </w:pPr>
            <w:r w:rsidRPr="005A0798">
              <w:rPr>
                <w:rFonts w:ascii="Calibri" w:hAnsi="Calibri" w:cs="Calibri"/>
                <w:b/>
                <w:sz w:val="20"/>
                <w:szCs w:val="20"/>
              </w:rPr>
              <w:t xml:space="preserve">Refer to </w:t>
            </w:r>
            <w:proofErr w:type="spellStart"/>
            <w:r w:rsidRPr="005A0798">
              <w:rPr>
                <w:rFonts w:ascii="Calibri" w:hAnsi="Calibri" w:cs="Calibri"/>
                <w:b/>
                <w:sz w:val="20"/>
                <w:szCs w:val="20"/>
              </w:rPr>
              <w:t>workpaper</w:t>
            </w:r>
            <w:proofErr w:type="spellEnd"/>
            <w:r w:rsidRPr="005A0798">
              <w:rPr>
                <w:rFonts w:ascii="Calibri" w:hAnsi="Calibri" w:cs="Calibri"/>
                <w:b/>
                <w:sz w:val="20"/>
                <w:szCs w:val="20"/>
              </w:rPr>
              <w:t xml:space="preserve"> WPSDGENRLG0999</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5D83" w:rsidRDefault="00F45D83">
            <w:pPr>
              <w:rPr>
                <w:rFonts w:ascii="Calibri" w:hAnsi="Calibri" w:cs="Calibri"/>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5D83" w:rsidRDefault="00F45D83">
            <w:pPr>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5D83" w:rsidRDefault="00F45D83">
            <w:pPr>
              <w:rPr>
                <w:rFonts w:ascii="Calibri" w:hAnsi="Calibri" w:cs="Calibr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F45D83" w:rsidRDefault="00F45D83">
            <w:pPr>
              <w:rPr>
                <w:rFonts w:ascii="Calibri" w:hAnsi="Calibri" w:cs="Calibri"/>
                <w:sz w:val="20"/>
                <w:szCs w:val="20"/>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45D83" w:rsidRDefault="00F45D83">
            <w:pPr>
              <w:rPr>
                <w:rFonts w:ascii="Calibri" w:hAnsi="Calibri" w:cs="Calibri"/>
                <w:sz w:val="20"/>
                <w:szCs w:val="20"/>
              </w:rPr>
            </w:pPr>
          </w:p>
        </w:tc>
        <w:tc>
          <w:tcPr>
            <w:tcW w:w="671" w:type="dxa"/>
            <w:tcBorders>
              <w:top w:val="single" w:sz="4" w:space="0" w:color="auto"/>
              <w:left w:val="single" w:sz="4" w:space="0" w:color="auto"/>
              <w:bottom w:val="single" w:sz="4" w:space="0" w:color="auto"/>
              <w:right w:val="single" w:sz="4" w:space="0" w:color="auto"/>
            </w:tcBorders>
            <w:shd w:val="clear" w:color="auto" w:fill="auto"/>
            <w:vAlign w:val="bottom"/>
          </w:tcPr>
          <w:p w:rsidR="00F45D83" w:rsidRDefault="00F45D83">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5D83" w:rsidRDefault="00F45D83">
            <w:pP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5D83" w:rsidRDefault="00F45D83">
            <w:pPr>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vAlign w:val="bottom"/>
          </w:tcPr>
          <w:p w:rsidR="00F45D83" w:rsidRDefault="00F45D83">
            <w:pPr>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5D83" w:rsidRDefault="00F45D83">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5D83" w:rsidRDefault="00F45D83">
            <w:pPr>
              <w:jc w:val="right"/>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5D83" w:rsidRDefault="00F45D83">
            <w:pPr>
              <w:jc w:val="right"/>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5D83" w:rsidRDefault="00F45D83">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rsidR="00F45D83" w:rsidRDefault="00F45D83">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rsidR="00F45D83" w:rsidRDefault="00F45D83">
            <w:pPr>
              <w:jc w:val="right"/>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rsidR="00F45D83" w:rsidRDefault="00F45D83">
            <w:pPr>
              <w:jc w:val="right"/>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F45D83" w:rsidRDefault="00F45D83">
            <w:pPr>
              <w:jc w:val="right"/>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F45D83" w:rsidRDefault="00F45D83">
            <w:pPr>
              <w:jc w:val="right"/>
              <w:rPr>
                <w:rFonts w:ascii="Calibri" w:hAnsi="Calibri" w:cs="Calibri"/>
                <w:sz w:val="20"/>
                <w:szCs w:val="20"/>
              </w:rPr>
            </w:pPr>
          </w:p>
        </w:tc>
      </w:tr>
      <w:tr w:rsidR="003F0E12" w:rsidRPr="002F3943" w:rsidTr="005A0798">
        <w:trPr>
          <w:trHeight w:val="255"/>
        </w:trPr>
        <w:tc>
          <w:tcPr>
            <w:tcW w:w="3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0E12" w:rsidRDefault="003F0E12">
            <w:pPr>
              <w:rPr>
                <w:rFonts w:ascii="Calibri" w:hAnsi="Calibri" w:cs="Calibr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671"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vAlign w:val="bottom"/>
          </w:tcPr>
          <w:p w:rsidR="003F0E12" w:rsidRDefault="003F0E12">
            <w:pPr>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r>
      <w:tr w:rsidR="003F0E12" w:rsidRPr="002F3943" w:rsidTr="005A0798">
        <w:trPr>
          <w:trHeight w:val="255"/>
        </w:trPr>
        <w:tc>
          <w:tcPr>
            <w:tcW w:w="3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0E12" w:rsidRDefault="003F0E12">
            <w:pPr>
              <w:rPr>
                <w:rFonts w:ascii="Calibri" w:hAnsi="Calibri" w:cs="Calibr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rsidP="00120BFA">
            <w:pPr>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671"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vAlign w:val="bottom"/>
          </w:tcPr>
          <w:p w:rsidR="003F0E12" w:rsidRDefault="003F0E12">
            <w:pPr>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r>
      <w:tr w:rsidR="003F0E12" w:rsidRPr="002F3943" w:rsidTr="005A0798">
        <w:trPr>
          <w:trHeight w:val="255"/>
        </w:trPr>
        <w:tc>
          <w:tcPr>
            <w:tcW w:w="3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0E12" w:rsidRDefault="003F0E12">
            <w:pPr>
              <w:rPr>
                <w:rFonts w:ascii="Calibri" w:hAnsi="Calibri" w:cs="Calibr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671"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vAlign w:val="bottom"/>
          </w:tcPr>
          <w:p w:rsidR="003F0E12" w:rsidRDefault="003F0E12">
            <w:pPr>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r>
      <w:tr w:rsidR="003F0E12" w:rsidRPr="002F3943" w:rsidTr="005A0798">
        <w:trPr>
          <w:trHeight w:val="255"/>
        </w:trPr>
        <w:tc>
          <w:tcPr>
            <w:tcW w:w="3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0E12" w:rsidRDefault="003F0E12">
            <w:pPr>
              <w:rPr>
                <w:rFonts w:ascii="Calibri" w:hAnsi="Calibri" w:cs="Calibr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671"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vAlign w:val="bottom"/>
          </w:tcPr>
          <w:p w:rsidR="003F0E12" w:rsidRDefault="003F0E12">
            <w:pPr>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r>
      <w:tr w:rsidR="003F0E12" w:rsidRPr="002F3943" w:rsidTr="005A0798">
        <w:trPr>
          <w:trHeight w:val="255"/>
        </w:trPr>
        <w:tc>
          <w:tcPr>
            <w:tcW w:w="3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0E12" w:rsidRDefault="003F0E12">
            <w:pPr>
              <w:rPr>
                <w:rFonts w:ascii="Calibri" w:hAnsi="Calibri" w:cs="Calibr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671"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vAlign w:val="bottom"/>
          </w:tcPr>
          <w:p w:rsidR="003F0E12" w:rsidRDefault="003F0E12">
            <w:pPr>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r>
      <w:tr w:rsidR="003F0E12" w:rsidRPr="002F3943" w:rsidTr="00044307">
        <w:trPr>
          <w:trHeight w:val="255"/>
        </w:trPr>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671"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vAlign w:val="bottom"/>
          </w:tcPr>
          <w:p w:rsidR="003F0E12" w:rsidRDefault="003F0E12">
            <w:pPr>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r>
      <w:tr w:rsidR="003F0E12" w:rsidRPr="002F3943" w:rsidTr="00044307">
        <w:trPr>
          <w:trHeight w:val="255"/>
        </w:trPr>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671"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vAlign w:val="bottom"/>
          </w:tcPr>
          <w:p w:rsidR="003F0E12" w:rsidRDefault="003F0E12">
            <w:pPr>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r>
    </w:tbl>
    <w:p w:rsidR="00EB34FC" w:rsidRPr="005734A4" w:rsidRDefault="00EB34FC" w:rsidP="00EB34FC">
      <w:pPr>
        <w:pStyle w:val="Reminder"/>
        <w:ind w:left="-630"/>
        <w:rPr>
          <w:rFonts w:asciiTheme="minorHAnsi" w:hAnsiTheme="minorHAnsi" w:cstheme="minorHAnsi"/>
          <w:color w:val="auto"/>
        </w:rPr>
      </w:pPr>
      <w:r w:rsidRPr="005734A4">
        <w:rPr>
          <w:rFonts w:asciiTheme="minorHAnsi" w:hAnsiTheme="minorHAnsi" w:cstheme="minorHAnsi"/>
          <w:color w:val="auto"/>
        </w:rPr>
        <w:t>Note:</w:t>
      </w:r>
      <w:r w:rsidRPr="005734A4">
        <w:rPr>
          <w:rFonts w:asciiTheme="minorHAnsi" w:hAnsiTheme="minorHAnsi" w:cstheme="minorHAnsi"/>
          <w:b/>
          <w:color w:val="auto"/>
        </w:rPr>
        <w:t xml:space="preserve"> </w:t>
      </w:r>
      <w:r w:rsidR="003F0E12" w:rsidRPr="003F0E12">
        <w:rPr>
          <w:rFonts w:asciiTheme="minorHAnsi" w:hAnsiTheme="minorHAnsi" w:cstheme="minorHAnsi"/>
          <w:b/>
          <w:color w:val="auto"/>
        </w:rPr>
        <w:t>See WPSDGENRLG0999 for detailed savings</w:t>
      </w:r>
    </w:p>
    <w:p w:rsidR="00EB34FC" w:rsidRPr="005734A4" w:rsidRDefault="00EB34FC" w:rsidP="00EB34FC">
      <w:pPr>
        <w:pStyle w:val="Heading3"/>
        <w:ind w:left="-630"/>
        <w:rPr>
          <w:rFonts w:asciiTheme="minorHAnsi" w:hAnsiTheme="minorHAnsi" w:cstheme="minorHAnsi"/>
        </w:rPr>
      </w:pPr>
      <w:r w:rsidRPr="005734A4">
        <w:rPr>
          <w:rFonts w:asciiTheme="minorHAnsi" w:hAnsiTheme="minorHAnsi" w:cstheme="minorHAnsi"/>
        </w:rPr>
        <w:br w:type="page"/>
      </w:r>
      <w:r w:rsidRPr="005734A4">
        <w:rPr>
          <w:rFonts w:asciiTheme="minorHAnsi" w:hAnsiTheme="minorHAnsi" w:cstheme="minorHAnsi"/>
        </w:rPr>
        <w:lastRenderedPageBreak/>
        <w:t>Costing and NTG Summary Table</w:t>
      </w:r>
    </w:p>
    <w:tbl>
      <w:tblPr>
        <w:tblW w:w="21556" w:type="dxa"/>
        <w:tblInd w:w="-522" w:type="dxa"/>
        <w:tblLook w:val="04A0" w:firstRow="1" w:lastRow="0" w:firstColumn="1" w:lastColumn="0" w:noHBand="0" w:noVBand="1"/>
      </w:tblPr>
      <w:tblGrid>
        <w:gridCol w:w="4320"/>
        <w:gridCol w:w="1260"/>
        <w:gridCol w:w="900"/>
        <w:gridCol w:w="900"/>
        <w:gridCol w:w="900"/>
        <w:gridCol w:w="900"/>
        <w:gridCol w:w="900"/>
        <w:gridCol w:w="900"/>
        <w:gridCol w:w="900"/>
        <w:gridCol w:w="946"/>
        <w:gridCol w:w="1260"/>
        <w:gridCol w:w="1530"/>
        <w:gridCol w:w="1080"/>
        <w:gridCol w:w="4860"/>
      </w:tblGrid>
      <w:tr w:rsidR="006404E6" w:rsidRPr="002F3943" w:rsidTr="00447CE5">
        <w:trPr>
          <w:trHeight w:val="690"/>
        </w:trPr>
        <w:tc>
          <w:tcPr>
            <w:tcW w:w="7380" w:type="dxa"/>
            <w:gridSpan w:val="4"/>
            <w:tcBorders>
              <w:top w:val="single" w:sz="8" w:space="0" w:color="auto"/>
              <w:left w:val="single" w:sz="8" w:space="0" w:color="auto"/>
              <w:bottom w:val="single" w:sz="8" w:space="0" w:color="auto"/>
              <w:right w:val="single" w:sz="8" w:space="0" w:color="000000"/>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General Measure Information</w:t>
            </w:r>
          </w:p>
        </w:tc>
        <w:tc>
          <w:tcPr>
            <w:tcW w:w="1800" w:type="dxa"/>
            <w:gridSpan w:val="2"/>
            <w:tcBorders>
              <w:top w:val="single" w:sz="8" w:space="0" w:color="auto"/>
              <w:left w:val="nil"/>
              <w:bottom w:val="single" w:sz="8" w:space="0" w:color="auto"/>
              <w:right w:val="single" w:sz="4" w:space="0" w:color="auto"/>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PT</w:t>
            </w:r>
          </w:p>
        </w:tc>
        <w:tc>
          <w:tcPr>
            <w:tcW w:w="2700" w:type="dxa"/>
            <w:gridSpan w:val="3"/>
            <w:tcBorders>
              <w:top w:val="single" w:sz="8" w:space="0" w:color="auto"/>
              <w:left w:val="single" w:sz="4" w:space="0" w:color="auto"/>
              <w:bottom w:val="single" w:sz="8" w:space="0" w:color="auto"/>
              <w:right w:val="single" w:sz="4" w:space="0" w:color="auto"/>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NTG</w:t>
            </w:r>
          </w:p>
        </w:tc>
        <w:tc>
          <w:tcPr>
            <w:tcW w:w="946"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6404E6" w:rsidRPr="002F3943" w:rsidRDefault="006404E6" w:rsidP="0088603B">
            <w:pPr>
              <w:jc w:val="center"/>
              <w:rPr>
                <w:rFonts w:ascii="Calibri" w:hAnsi="Calibri" w:cs="Calibri"/>
                <w:sz w:val="28"/>
                <w:szCs w:val="28"/>
              </w:rPr>
            </w:pPr>
            <w:r>
              <w:rPr>
                <w:rFonts w:ascii="Calibri" w:hAnsi="Calibri" w:cs="Calibri"/>
                <w:sz w:val="28"/>
                <w:szCs w:val="28"/>
              </w:rPr>
              <w:t>IR</w:t>
            </w:r>
          </w:p>
        </w:tc>
        <w:tc>
          <w:tcPr>
            <w:tcW w:w="1260" w:type="dxa"/>
            <w:tcBorders>
              <w:top w:val="single" w:sz="8" w:space="0" w:color="auto"/>
              <w:left w:val="single" w:sz="4" w:space="0" w:color="auto"/>
              <w:bottom w:val="single" w:sz="8" w:space="0" w:color="auto"/>
              <w:right w:val="single" w:sz="8" w:space="0" w:color="auto"/>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1st Baseline Period</w:t>
            </w:r>
          </w:p>
        </w:tc>
        <w:tc>
          <w:tcPr>
            <w:tcW w:w="1530" w:type="dxa"/>
            <w:tcBorders>
              <w:top w:val="single" w:sz="8" w:space="0" w:color="auto"/>
              <w:left w:val="nil"/>
              <w:bottom w:val="single" w:sz="8" w:space="0" w:color="auto"/>
              <w:right w:val="single" w:sz="8" w:space="0" w:color="auto"/>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 xml:space="preserve"> 2nd Baseline Period </w:t>
            </w:r>
          </w:p>
        </w:tc>
        <w:tc>
          <w:tcPr>
            <w:tcW w:w="1080" w:type="dxa"/>
            <w:tcBorders>
              <w:top w:val="single" w:sz="8" w:space="0" w:color="auto"/>
              <w:left w:val="nil"/>
              <w:bottom w:val="single" w:sz="8" w:space="0" w:color="auto"/>
              <w:right w:val="single" w:sz="8" w:space="0" w:color="auto"/>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 xml:space="preserve"> IMC </w:t>
            </w:r>
          </w:p>
        </w:tc>
        <w:tc>
          <w:tcPr>
            <w:tcW w:w="4860" w:type="dxa"/>
            <w:tcBorders>
              <w:top w:val="single" w:sz="8" w:space="0" w:color="auto"/>
              <w:left w:val="nil"/>
              <w:bottom w:val="single" w:sz="8" w:space="0" w:color="auto"/>
              <w:right w:val="single" w:sz="8" w:space="0" w:color="auto"/>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DIM</w:t>
            </w:r>
          </w:p>
        </w:tc>
      </w:tr>
      <w:tr w:rsidR="006404E6" w:rsidRPr="007048AC" w:rsidTr="006404E6">
        <w:trPr>
          <w:trHeight w:val="690"/>
        </w:trPr>
        <w:tc>
          <w:tcPr>
            <w:tcW w:w="4320" w:type="dxa"/>
            <w:tcBorders>
              <w:top w:val="nil"/>
              <w:left w:val="single" w:sz="8" w:space="0" w:color="auto"/>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Measure Name</w:t>
            </w:r>
          </w:p>
        </w:tc>
        <w:tc>
          <w:tcPr>
            <w:tcW w:w="1260" w:type="dxa"/>
            <w:tcBorders>
              <w:top w:val="nil"/>
              <w:left w:val="nil"/>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Solution Code</w:t>
            </w:r>
          </w:p>
        </w:tc>
        <w:tc>
          <w:tcPr>
            <w:tcW w:w="900" w:type="dxa"/>
            <w:tcBorders>
              <w:top w:val="nil"/>
              <w:left w:val="nil"/>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CZ</w:t>
            </w:r>
          </w:p>
        </w:tc>
        <w:tc>
          <w:tcPr>
            <w:tcW w:w="900" w:type="dxa"/>
            <w:tcBorders>
              <w:top w:val="nil"/>
              <w:left w:val="nil"/>
              <w:bottom w:val="single" w:sz="4" w:space="0" w:color="auto"/>
              <w:right w:val="single" w:sz="8"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Unit Definition</w:t>
            </w:r>
          </w:p>
        </w:tc>
        <w:tc>
          <w:tcPr>
            <w:tcW w:w="900" w:type="dxa"/>
            <w:tcBorders>
              <w:top w:val="nil"/>
              <w:left w:val="nil"/>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Program Type (NEW, ROB, RET)</w:t>
            </w:r>
          </w:p>
        </w:tc>
        <w:tc>
          <w:tcPr>
            <w:tcW w:w="900" w:type="dxa"/>
            <w:tcBorders>
              <w:top w:val="single" w:sz="4" w:space="0" w:color="auto"/>
              <w:left w:val="single" w:sz="4" w:space="0" w:color="auto"/>
              <w:bottom w:val="single" w:sz="4" w:space="0" w:color="auto"/>
              <w:right w:val="single" w:sz="4" w:space="0" w:color="auto"/>
            </w:tcBorders>
            <w:shd w:val="clear" w:color="000000" w:fill="C0C0C0"/>
          </w:tcPr>
          <w:p w:rsidR="006404E6" w:rsidRDefault="006404E6" w:rsidP="002F3943">
            <w:pPr>
              <w:jc w:val="center"/>
              <w:rPr>
                <w:rFonts w:ascii="Calibri" w:hAnsi="Calibri" w:cs="Calibri"/>
                <w:sz w:val="14"/>
                <w:szCs w:val="14"/>
              </w:rPr>
            </w:pPr>
          </w:p>
          <w:p w:rsidR="006404E6" w:rsidRPr="006404E6" w:rsidRDefault="006404E6" w:rsidP="006404E6">
            <w:pPr>
              <w:jc w:val="center"/>
              <w:rPr>
                <w:rFonts w:ascii="Calibri" w:hAnsi="Calibri" w:cs="Calibri"/>
                <w:sz w:val="14"/>
                <w:szCs w:val="14"/>
              </w:rPr>
            </w:pPr>
            <w:r>
              <w:rPr>
                <w:rFonts w:ascii="Calibri" w:hAnsi="Calibri" w:cs="Calibri"/>
                <w:sz w:val="14"/>
                <w:szCs w:val="14"/>
              </w:rPr>
              <w:t>Applicable Code</w:t>
            </w:r>
          </w:p>
        </w:tc>
        <w:tc>
          <w:tcPr>
            <w:tcW w:w="900" w:type="dxa"/>
            <w:tcBorders>
              <w:top w:val="nil"/>
              <w:left w:val="single" w:sz="4" w:space="0" w:color="auto"/>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NTG Non-Res.</w:t>
            </w:r>
          </w:p>
        </w:tc>
        <w:tc>
          <w:tcPr>
            <w:tcW w:w="900" w:type="dxa"/>
            <w:tcBorders>
              <w:top w:val="nil"/>
              <w:left w:val="nil"/>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NTG Res.</w:t>
            </w:r>
          </w:p>
        </w:tc>
        <w:tc>
          <w:tcPr>
            <w:tcW w:w="900" w:type="dxa"/>
            <w:tcBorders>
              <w:top w:val="nil"/>
              <w:left w:val="nil"/>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NTG Multi Family</w:t>
            </w:r>
          </w:p>
        </w:tc>
        <w:tc>
          <w:tcPr>
            <w:tcW w:w="946"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6404E6" w:rsidRPr="002F3943" w:rsidRDefault="006404E6" w:rsidP="0088603B">
            <w:pPr>
              <w:jc w:val="center"/>
              <w:rPr>
                <w:rFonts w:ascii="Calibri" w:hAnsi="Calibri" w:cs="Calibri"/>
                <w:sz w:val="14"/>
                <w:szCs w:val="14"/>
              </w:rPr>
            </w:pPr>
            <w:r w:rsidRPr="002F3943">
              <w:rPr>
                <w:rFonts w:ascii="Calibri" w:hAnsi="Calibri" w:cs="Calibri"/>
                <w:sz w:val="14"/>
                <w:szCs w:val="14"/>
              </w:rPr>
              <w:t>NTG Non-Res.</w:t>
            </w:r>
          </w:p>
        </w:tc>
        <w:tc>
          <w:tcPr>
            <w:tcW w:w="1260" w:type="dxa"/>
            <w:tcBorders>
              <w:top w:val="nil"/>
              <w:left w:val="single" w:sz="4" w:space="0" w:color="auto"/>
              <w:bottom w:val="single" w:sz="4" w:space="0" w:color="auto"/>
              <w:right w:val="single" w:sz="8" w:space="0" w:color="auto"/>
            </w:tcBorders>
            <w:shd w:val="clear" w:color="000000" w:fill="C4D79B"/>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Gross Measure Cost per unit</w:t>
            </w:r>
          </w:p>
        </w:tc>
        <w:tc>
          <w:tcPr>
            <w:tcW w:w="1530" w:type="dxa"/>
            <w:tcBorders>
              <w:top w:val="nil"/>
              <w:left w:val="nil"/>
              <w:bottom w:val="single" w:sz="8" w:space="0" w:color="auto"/>
              <w:right w:val="single" w:sz="4" w:space="0" w:color="auto"/>
            </w:tcBorders>
            <w:shd w:val="clear" w:color="000000" w:fill="B7DEE8"/>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Gross Measure Cost per unit</w:t>
            </w:r>
          </w:p>
        </w:tc>
        <w:tc>
          <w:tcPr>
            <w:tcW w:w="1080" w:type="dxa"/>
            <w:tcBorders>
              <w:top w:val="nil"/>
              <w:left w:val="single" w:sz="8" w:space="0" w:color="auto"/>
              <w:bottom w:val="single" w:sz="4" w:space="0" w:color="auto"/>
              <w:right w:val="single" w:sz="8"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Incremental Measure Cost per unit</w:t>
            </w:r>
          </w:p>
        </w:tc>
        <w:tc>
          <w:tcPr>
            <w:tcW w:w="4860" w:type="dxa"/>
            <w:tcBorders>
              <w:top w:val="nil"/>
              <w:left w:val="nil"/>
              <w:bottom w:val="single" w:sz="4" w:space="0" w:color="auto"/>
              <w:right w:val="single" w:sz="8"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Delivery &amp; Incentive Method</w:t>
            </w:r>
          </w:p>
        </w:tc>
      </w:tr>
      <w:tr w:rsidR="003F0E12" w:rsidRPr="002F3943" w:rsidTr="00044307">
        <w:trPr>
          <w:trHeight w:val="255"/>
        </w:trPr>
        <w:tc>
          <w:tcPr>
            <w:tcW w:w="4320" w:type="dxa"/>
            <w:tcBorders>
              <w:top w:val="nil"/>
              <w:left w:val="single" w:sz="8" w:space="0" w:color="auto"/>
              <w:bottom w:val="single" w:sz="4" w:space="0" w:color="auto"/>
              <w:right w:val="single" w:sz="4" w:space="0" w:color="auto"/>
            </w:tcBorders>
            <w:shd w:val="clear" w:color="auto" w:fill="auto"/>
            <w:noWrap/>
            <w:vAlign w:val="bottom"/>
          </w:tcPr>
          <w:p w:rsidR="003F0E12" w:rsidRPr="005A0798" w:rsidRDefault="000A647B">
            <w:pPr>
              <w:rPr>
                <w:rFonts w:ascii="Calibri" w:hAnsi="Calibri" w:cs="Calibri"/>
                <w:b/>
                <w:sz w:val="20"/>
                <w:szCs w:val="20"/>
              </w:rPr>
            </w:pPr>
            <w:r w:rsidRPr="005A0798">
              <w:rPr>
                <w:rFonts w:ascii="Calibri" w:hAnsi="Calibri" w:cs="Calibri"/>
                <w:b/>
                <w:sz w:val="20"/>
                <w:szCs w:val="20"/>
              </w:rPr>
              <w:t xml:space="preserve">Refer to </w:t>
            </w:r>
            <w:proofErr w:type="spellStart"/>
            <w:r w:rsidRPr="005A0798">
              <w:rPr>
                <w:rFonts w:ascii="Calibri" w:hAnsi="Calibri" w:cs="Calibri"/>
                <w:b/>
                <w:sz w:val="20"/>
                <w:szCs w:val="20"/>
              </w:rPr>
              <w:t>workpaper</w:t>
            </w:r>
            <w:proofErr w:type="spellEnd"/>
            <w:r w:rsidRPr="005A0798">
              <w:rPr>
                <w:rFonts w:ascii="Calibri" w:hAnsi="Calibri" w:cs="Calibri"/>
                <w:b/>
                <w:sz w:val="20"/>
                <w:szCs w:val="20"/>
              </w:rPr>
              <w:t xml:space="preserve"> WPSDGENRLG0999</w:t>
            </w:r>
          </w:p>
        </w:tc>
        <w:tc>
          <w:tcPr>
            <w:tcW w:w="1260" w:type="dxa"/>
            <w:tcBorders>
              <w:top w:val="nil"/>
              <w:left w:val="nil"/>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900" w:type="dxa"/>
            <w:tcBorders>
              <w:top w:val="nil"/>
              <w:left w:val="nil"/>
              <w:bottom w:val="single" w:sz="4" w:space="0" w:color="auto"/>
              <w:right w:val="single" w:sz="8"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F0E12" w:rsidRDefault="003F0E12">
            <w:pPr>
              <w:rPr>
                <w:rFonts w:ascii="Calibri" w:hAnsi="Calibri" w:cs="Calibri"/>
                <w:sz w:val="20"/>
                <w:szCs w:val="20"/>
              </w:rPr>
            </w:pPr>
          </w:p>
        </w:tc>
        <w:tc>
          <w:tcPr>
            <w:tcW w:w="900" w:type="dxa"/>
            <w:tcBorders>
              <w:top w:val="nil"/>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946" w:type="dxa"/>
            <w:tcBorders>
              <w:top w:val="single" w:sz="4" w:space="0" w:color="auto"/>
              <w:left w:val="single" w:sz="4" w:space="0" w:color="auto"/>
              <w:bottom w:val="single" w:sz="4" w:space="0" w:color="auto"/>
              <w:right w:val="single" w:sz="4" w:space="0" w:color="auto"/>
            </w:tcBorders>
            <w:vAlign w:val="bottom"/>
          </w:tcPr>
          <w:p w:rsidR="003F0E12" w:rsidRDefault="003F0E12">
            <w:pPr>
              <w:jc w:val="right"/>
              <w:rPr>
                <w:rFonts w:ascii="Calibri" w:hAnsi="Calibri" w:cs="Calibri"/>
                <w:sz w:val="20"/>
                <w:szCs w:val="20"/>
              </w:rPr>
            </w:pPr>
          </w:p>
        </w:tc>
        <w:tc>
          <w:tcPr>
            <w:tcW w:w="1260" w:type="dxa"/>
            <w:tcBorders>
              <w:top w:val="nil"/>
              <w:left w:val="single" w:sz="4" w:space="0" w:color="auto"/>
              <w:bottom w:val="single" w:sz="4" w:space="0" w:color="auto"/>
              <w:right w:val="single" w:sz="8" w:space="0" w:color="auto"/>
            </w:tcBorders>
            <w:shd w:val="clear" w:color="auto" w:fill="auto"/>
            <w:noWrap/>
            <w:vAlign w:val="bottom"/>
          </w:tcPr>
          <w:p w:rsidR="003F0E12" w:rsidRDefault="003F0E12">
            <w:pPr>
              <w:jc w:val="right"/>
              <w:rPr>
                <w:rFonts w:ascii="Calibri" w:hAnsi="Calibri" w:cs="Calibri"/>
                <w:sz w:val="20"/>
                <w:szCs w:val="20"/>
              </w:rPr>
            </w:pPr>
          </w:p>
        </w:tc>
        <w:tc>
          <w:tcPr>
            <w:tcW w:w="1530" w:type="dxa"/>
            <w:tcBorders>
              <w:top w:val="nil"/>
              <w:left w:val="nil"/>
              <w:bottom w:val="single" w:sz="4" w:space="0" w:color="auto"/>
              <w:right w:val="single" w:sz="8" w:space="0" w:color="auto"/>
            </w:tcBorders>
            <w:shd w:val="clear" w:color="auto" w:fill="auto"/>
            <w:noWrap/>
            <w:vAlign w:val="bottom"/>
          </w:tcPr>
          <w:p w:rsidR="003F0E12" w:rsidRDefault="003F0E12">
            <w:pPr>
              <w:jc w:val="right"/>
              <w:rPr>
                <w:rFonts w:ascii="Calibri" w:hAnsi="Calibri" w:cs="Calibri"/>
                <w:sz w:val="20"/>
                <w:szCs w:val="20"/>
              </w:rPr>
            </w:pPr>
          </w:p>
        </w:tc>
        <w:tc>
          <w:tcPr>
            <w:tcW w:w="1080" w:type="dxa"/>
            <w:tcBorders>
              <w:top w:val="nil"/>
              <w:left w:val="nil"/>
              <w:bottom w:val="single" w:sz="4" w:space="0" w:color="auto"/>
              <w:right w:val="single" w:sz="8" w:space="0" w:color="auto"/>
            </w:tcBorders>
            <w:shd w:val="clear" w:color="auto" w:fill="auto"/>
            <w:noWrap/>
            <w:vAlign w:val="bottom"/>
          </w:tcPr>
          <w:p w:rsidR="003F0E12" w:rsidRDefault="003F0E12">
            <w:pPr>
              <w:jc w:val="right"/>
              <w:rPr>
                <w:rFonts w:ascii="Calibri" w:hAnsi="Calibri" w:cs="Calibri"/>
                <w:sz w:val="20"/>
                <w:szCs w:val="20"/>
              </w:rPr>
            </w:pPr>
          </w:p>
        </w:tc>
        <w:tc>
          <w:tcPr>
            <w:tcW w:w="4860" w:type="dxa"/>
            <w:tcBorders>
              <w:top w:val="nil"/>
              <w:left w:val="nil"/>
              <w:bottom w:val="single" w:sz="4" w:space="0" w:color="auto"/>
              <w:right w:val="single" w:sz="8" w:space="0" w:color="auto"/>
            </w:tcBorders>
            <w:shd w:val="clear" w:color="auto" w:fill="auto"/>
            <w:vAlign w:val="bottom"/>
          </w:tcPr>
          <w:p w:rsidR="003F0E12" w:rsidRDefault="003F0E12">
            <w:pPr>
              <w:rPr>
                <w:rFonts w:ascii="Calibri" w:hAnsi="Calibri" w:cs="Calibri"/>
                <w:sz w:val="20"/>
                <w:szCs w:val="20"/>
              </w:rPr>
            </w:pPr>
          </w:p>
        </w:tc>
      </w:tr>
      <w:tr w:rsidR="003F0E12" w:rsidRPr="002F3943" w:rsidTr="005A0798">
        <w:trPr>
          <w:trHeight w:val="255"/>
        </w:trPr>
        <w:tc>
          <w:tcPr>
            <w:tcW w:w="4320" w:type="dxa"/>
            <w:tcBorders>
              <w:top w:val="nil"/>
              <w:left w:val="single" w:sz="8" w:space="0" w:color="auto"/>
              <w:bottom w:val="single" w:sz="4" w:space="0" w:color="auto"/>
              <w:right w:val="single" w:sz="4" w:space="0" w:color="auto"/>
            </w:tcBorders>
            <w:shd w:val="clear" w:color="auto" w:fill="auto"/>
            <w:noWrap/>
            <w:vAlign w:val="center"/>
          </w:tcPr>
          <w:p w:rsidR="003F0E12" w:rsidRDefault="003F0E12">
            <w:pPr>
              <w:rPr>
                <w:rFonts w:ascii="Calibri" w:hAnsi="Calibri" w:cs="Calibri"/>
                <w:sz w:val="20"/>
                <w:szCs w:val="20"/>
              </w:rPr>
            </w:pPr>
          </w:p>
        </w:tc>
        <w:tc>
          <w:tcPr>
            <w:tcW w:w="1260" w:type="dxa"/>
            <w:tcBorders>
              <w:top w:val="nil"/>
              <w:left w:val="nil"/>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900" w:type="dxa"/>
            <w:tcBorders>
              <w:top w:val="nil"/>
              <w:left w:val="nil"/>
              <w:bottom w:val="single" w:sz="4" w:space="0" w:color="auto"/>
              <w:right w:val="single" w:sz="8"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F0E12" w:rsidRDefault="003F0E12">
            <w:pPr>
              <w:rPr>
                <w:rFonts w:ascii="Calibri" w:hAnsi="Calibri" w:cs="Calibri"/>
                <w:sz w:val="20"/>
                <w:szCs w:val="20"/>
              </w:rPr>
            </w:pPr>
          </w:p>
        </w:tc>
        <w:tc>
          <w:tcPr>
            <w:tcW w:w="900" w:type="dxa"/>
            <w:tcBorders>
              <w:top w:val="nil"/>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946" w:type="dxa"/>
            <w:tcBorders>
              <w:top w:val="single" w:sz="4" w:space="0" w:color="auto"/>
              <w:left w:val="single" w:sz="4" w:space="0" w:color="auto"/>
              <w:bottom w:val="single" w:sz="4" w:space="0" w:color="auto"/>
              <w:right w:val="single" w:sz="4" w:space="0" w:color="auto"/>
            </w:tcBorders>
            <w:vAlign w:val="bottom"/>
          </w:tcPr>
          <w:p w:rsidR="003F0E12" w:rsidRDefault="003F0E12">
            <w:pPr>
              <w:jc w:val="right"/>
              <w:rPr>
                <w:rFonts w:ascii="Calibri" w:hAnsi="Calibri" w:cs="Calibri"/>
                <w:sz w:val="20"/>
                <w:szCs w:val="20"/>
              </w:rPr>
            </w:pPr>
          </w:p>
        </w:tc>
        <w:tc>
          <w:tcPr>
            <w:tcW w:w="1260" w:type="dxa"/>
            <w:tcBorders>
              <w:top w:val="nil"/>
              <w:left w:val="single" w:sz="4" w:space="0" w:color="auto"/>
              <w:bottom w:val="single" w:sz="4" w:space="0" w:color="auto"/>
              <w:right w:val="single" w:sz="8" w:space="0" w:color="auto"/>
            </w:tcBorders>
            <w:shd w:val="clear" w:color="auto" w:fill="auto"/>
            <w:noWrap/>
            <w:vAlign w:val="bottom"/>
          </w:tcPr>
          <w:p w:rsidR="003F0E12" w:rsidRDefault="003F0E12">
            <w:pPr>
              <w:jc w:val="right"/>
              <w:rPr>
                <w:rFonts w:ascii="Calibri" w:hAnsi="Calibri" w:cs="Calibri"/>
                <w:sz w:val="20"/>
                <w:szCs w:val="20"/>
              </w:rPr>
            </w:pPr>
          </w:p>
        </w:tc>
        <w:tc>
          <w:tcPr>
            <w:tcW w:w="1530" w:type="dxa"/>
            <w:tcBorders>
              <w:top w:val="nil"/>
              <w:left w:val="nil"/>
              <w:bottom w:val="single" w:sz="4" w:space="0" w:color="auto"/>
              <w:right w:val="single" w:sz="8" w:space="0" w:color="auto"/>
            </w:tcBorders>
            <w:shd w:val="clear" w:color="auto" w:fill="auto"/>
            <w:noWrap/>
            <w:vAlign w:val="bottom"/>
          </w:tcPr>
          <w:p w:rsidR="003F0E12" w:rsidRDefault="003F0E12">
            <w:pPr>
              <w:jc w:val="right"/>
              <w:rPr>
                <w:rFonts w:ascii="Calibri" w:hAnsi="Calibri" w:cs="Calibri"/>
                <w:sz w:val="20"/>
                <w:szCs w:val="20"/>
              </w:rPr>
            </w:pPr>
          </w:p>
        </w:tc>
        <w:tc>
          <w:tcPr>
            <w:tcW w:w="1080" w:type="dxa"/>
            <w:tcBorders>
              <w:top w:val="nil"/>
              <w:left w:val="nil"/>
              <w:bottom w:val="single" w:sz="4" w:space="0" w:color="auto"/>
              <w:right w:val="single" w:sz="8" w:space="0" w:color="auto"/>
            </w:tcBorders>
            <w:shd w:val="clear" w:color="auto" w:fill="auto"/>
            <w:noWrap/>
            <w:vAlign w:val="bottom"/>
          </w:tcPr>
          <w:p w:rsidR="003F0E12" w:rsidRDefault="003F0E12">
            <w:pPr>
              <w:jc w:val="right"/>
              <w:rPr>
                <w:rFonts w:ascii="Calibri" w:hAnsi="Calibri" w:cs="Calibri"/>
                <w:sz w:val="20"/>
                <w:szCs w:val="20"/>
              </w:rPr>
            </w:pPr>
          </w:p>
        </w:tc>
        <w:tc>
          <w:tcPr>
            <w:tcW w:w="4860" w:type="dxa"/>
            <w:tcBorders>
              <w:top w:val="nil"/>
              <w:left w:val="nil"/>
              <w:bottom w:val="single" w:sz="4" w:space="0" w:color="auto"/>
              <w:right w:val="single" w:sz="8" w:space="0" w:color="auto"/>
            </w:tcBorders>
            <w:shd w:val="clear" w:color="auto" w:fill="auto"/>
            <w:vAlign w:val="bottom"/>
          </w:tcPr>
          <w:p w:rsidR="003F0E12" w:rsidRDefault="003F0E12">
            <w:pPr>
              <w:rPr>
                <w:rFonts w:ascii="Calibri" w:hAnsi="Calibri" w:cs="Calibri"/>
                <w:sz w:val="20"/>
                <w:szCs w:val="20"/>
              </w:rPr>
            </w:pPr>
          </w:p>
        </w:tc>
      </w:tr>
      <w:tr w:rsidR="003F0E12" w:rsidRPr="002F3943" w:rsidTr="005A0798">
        <w:trPr>
          <w:trHeight w:val="255"/>
        </w:trPr>
        <w:tc>
          <w:tcPr>
            <w:tcW w:w="4320" w:type="dxa"/>
            <w:tcBorders>
              <w:top w:val="nil"/>
              <w:left w:val="single" w:sz="8" w:space="0" w:color="auto"/>
              <w:bottom w:val="single" w:sz="4" w:space="0" w:color="auto"/>
              <w:right w:val="single" w:sz="4" w:space="0" w:color="auto"/>
            </w:tcBorders>
            <w:shd w:val="clear" w:color="auto" w:fill="auto"/>
            <w:noWrap/>
            <w:vAlign w:val="center"/>
          </w:tcPr>
          <w:p w:rsidR="003F0E12" w:rsidRDefault="003F0E12">
            <w:pPr>
              <w:rPr>
                <w:rFonts w:ascii="Calibri" w:hAnsi="Calibri" w:cs="Calibri"/>
                <w:sz w:val="20"/>
                <w:szCs w:val="20"/>
              </w:rPr>
            </w:pPr>
          </w:p>
        </w:tc>
        <w:tc>
          <w:tcPr>
            <w:tcW w:w="1260" w:type="dxa"/>
            <w:tcBorders>
              <w:top w:val="nil"/>
              <w:left w:val="nil"/>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900" w:type="dxa"/>
            <w:tcBorders>
              <w:top w:val="nil"/>
              <w:left w:val="nil"/>
              <w:bottom w:val="single" w:sz="4" w:space="0" w:color="auto"/>
              <w:right w:val="single" w:sz="8"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F0E12" w:rsidRDefault="003F0E12">
            <w:pPr>
              <w:rPr>
                <w:rFonts w:ascii="Calibri" w:hAnsi="Calibri" w:cs="Calibri"/>
                <w:sz w:val="20"/>
                <w:szCs w:val="20"/>
              </w:rPr>
            </w:pPr>
          </w:p>
        </w:tc>
        <w:tc>
          <w:tcPr>
            <w:tcW w:w="900" w:type="dxa"/>
            <w:tcBorders>
              <w:top w:val="nil"/>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946" w:type="dxa"/>
            <w:tcBorders>
              <w:top w:val="single" w:sz="4" w:space="0" w:color="auto"/>
              <w:left w:val="single" w:sz="4" w:space="0" w:color="auto"/>
              <w:bottom w:val="single" w:sz="4" w:space="0" w:color="auto"/>
              <w:right w:val="single" w:sz="4" w:space="0" w:color="auto"/>
            </w:tcBorders>
            <w:vAlign w:val="bottom"/>
          </w:tcPr>
          <w:p w:rsidR="003F0E12" w:rsidRDefault="003F0E12">
            <w:pPr>
              <w:jc w:val="right"/>
              <w:rPr>
                <w:rFonts w:ascii="Calibri" w:hAnsi="Calibri" w:cs="Calibri"/>
                <w:sz w:val="20"/>
                <w:szCs w:val="20"/>
              </w:rPr>
            </w:pPr>
          </w:p>
        </w:tc>
        <w:tc>
          <w:tcPr>
            <w:tcW w:w="1260" w:type="dxa"/>
            <w:tcBorders>
              <w:top w:val="nil"/>
              <w:left w:val="single" w:sz="4" w:space="0" w:color="auto"/>
              <w:bottom w:val="single" w:sz="4" w:space="0" w:color="auto"/>
              <w:right w:val="single" w:sz="8" w:space="0" w:color="auto"/>
            </w:tcBorders>
            <w:shd w:val="clear" w:color="auto" w:fill="auto"/>
            <w:noWrap/>
            <w:vAlign w:val="bottom"/>
          </w:tcPr>
          <w:p w:rsidR="003F0E12" w:rsidRDefault="003F0E12">
            <w:pPr>
              <w:jc w:val="right"/>
              <w:rPr>
                <w:rFonts w:ascii="Calibri" w:hAnsi="Calibri" w:cs="Calibri"/>
                <w:sz w:val="20"/>
                <w:szCs w:val="20"/>
              </w:rPr>
            </w:pPr>
          </w:p>
        </w:tc>
        <w:tc>
          <w:tcPr>
            <w:tcW w:w="1530" w:type="dxa"/>
            <w:tcBorders>
              <w:top w:val="nil"/>
              <w:left w:val="nil"/>
              <w:bottom w:val="single" w:sz="4" w:space="0" w:color="auto"/>
              <w:right w:val="single" w:sz="8" w:space="0" w:color="auto"/>
            </w:tcBorders>
            <w:shd w:val="clear" w:color="auto" w:fill="auto"/>
            <w:noWrap/>
            <w:vAlign w:val="bottom"/>
          </w:tcPr>
          <w:p w:rsidR="003F0E12" w:rsidRDefault="003F0E12">
            <w:pPr>
              <w:jc w:val="right"/>
              <w:rPr>
                <w:rFonts w:ascii="Calibri" w:hAnsi="Calibri" w:cs="Calibri"/>
                <w:sz w:val="20"/>
                <w:szCs w:val="20"/>
              </w:rPr>
            </w:pPr>
          </w:p>
        </w:tc>
        <w:tc>
          <w:tcPr>
            <w:tcW w:w="1080" w:type="dxa"/>
            <w:tcBorders>
              <w:top w:val="nil"/>
              <w:left w:val="nil"/>
              <w:bottom w:val="single" w:sz="4" w:space="0" w:color="auto"/>
              <w:right w:val="single" w:sz="8" w:space="0" w:color="auto"/>
            </w:tcBorders>
            <w:shd w:val="clear" w:color="auto" w:fill="auto"/>
            <w:noWrap/>
            <w:vAlign w:val="bottom"/>
          </w:tcPr>
          <w:p w:rsidR="003F0E12" w:rsidRDefault="003F0E12">
            <w:pPr>
              <w:jc w:val="right"/>
              <w:rPr>
                <w:rFonts w:ascii="Calibri" w:hAnsi="Calibri" w:cs="Calibri"/>
                <w:sz w:val="20"/>
                <w:szCs w:val="20"/>
              </w:rPr>
            </w:pPr>
          </w:p>
        </w:tc>
        <w:tc>
          <w:tcPr>
            <w:tcW w:w="4860" w:type="dxa"/>
            <w:tcBorders>
              <w:top w:val="nil"/>
              <w:left w:val="nil"/>
              <w:bottom w:val="single" w:sz="4" w:space="0" w:color="auto"/>
              <w:right w:val="single" w:sz="8" w:space="0" w:color="auto"/>
            </w:tcBorders>
            <w:shd w:val="clear" w:color="auto" w:fill="auto"/>
            <w:vAlign w:val="bottom"/>
          </w:tcPr>
          <w:p w:rsidR="003F0E12" w:rsidRDefault="003F0E12">
            <w:pPr>
              <w:rPr>
                <w:rFonts w:ascii="Calibri" w:hAnsi="Calibri" w:cs="Calibri"/>
                <w:sz w:val="20"/>
                <w:szCs w:val="20"/>
              </w:rPr>
            </w:pPr>
          </w:p>
        </w:tc>
      </w:tr>
      <w:tr w:rsidR="003F0E12" w:rsidRPr="002F3943" w:rsidTr="005A0798">
        <w:trPr>
          <w:trHeight w:val="255"/>
        </w:trPr>
        <w:tc>
          <w:tcPr>
            <w:tcW w:w="4320" w:type="dxa"/>
            <w:tcBorders>
              <w:top w:val="nil"/>
              <w:left w:val="single" w:sz="8" w:space="0" w:color="auto"/>
              <w:bottom w:val="single" w:sz="4" w:space="0" w:color="auto"/>
              <w:right w:val="single" w:sz="4" w:space="0" w:color="auto"/>
            </w:tcBorders>
            <w:shd w:val="clear" w:color="auto" w:fill="auto"/>
            <w:noWrap/>
            <w:vAlign w:val="center"/>
          </w:tcPr>
          <w:p w:rsidR="003F0E12" w:rsidRDefault="003F0E12">
            <w:pPr>
              <w:rPr>
                <w:rFonts w:ascii="Calibri" w:hAnsi="Calibri" w:cs="Calibri"/>
                <w:sz w:val="20"/>
                <w:szCs w:val="20"/>
              </w:rPr>
            </w:pPr>
          </w:p>
        </w:tc>
        <w:tc>
          <w:tcPr>
            <w:tcW w:w="1260" w:type="dxa"/>
            <w:tcBorders>
              <w:top w:val="nil"/>
              <w:left w:val="nil"/>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900" w:type="dxa"/>
            <w:tcBorders>
              <w:top w:val="nil"/>
              <w:left w:val="nil"/>
              <w:bottom w:val="single" w:sz="4" w:space="0" w:color="auto"/>
              <w:right w:val="single" w:sz="8"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F0E12" w:rsidRDefault="003F0E12">
            <w:pPr>
              <w:rPr>
                <w:rFonts w:ascii="Calibri" w:hAnsi="Calibri" w:cs="Calibri"/>
                <w:sz w:val="20"/>
                <w:szCs w:val="20"/>
              </w:rPr>
            </w:pPr>
          </w:p>
        </w:tc>
        <w:tc>
          <w:tcPr>
            <w:tcW w:w="900" w:type="dxa"/>
            <w:tcBorders>
              <w:top w:val="nil"/>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946" w:type="dxa"/>
            <w:tcBorders>
              <w:top w:val="single" w:sz="4" w:space="0" w:color="auto"/>
              <w:left w:val="single" w:sz="4" w:space="0" w:color="auto"/>
              <w:bottom w:val="single" w:sz="4" w:space="0" w:color="auto"/>
              <w:right w:val="single" w:sz="4" w:space="0" w:color="auto"/>
            </w:tcBorders>
            <w:vAlign w:val="bottom"/>
          </w:tcPr>
          <w:p w:rsidR="003F0E12" w:rsidRDefault="003F0E12">
            <w:pPr>
              <w:jc w:val="right"/>
              <w:rPr>
                <w:rFonts w:ascii="Calibri" w:hAnsi="Calibri" w:cs="Calibri"/>
                <w:sz w:val="20"/>
                <w:szCs w:val="20"/>
              </w:rPr>
            </w:pPr>
          </w:p>
        </w:tc>
        <w:tc>
          <w:tcPr>
            <w:tcW w:w="1260" w:type="dxa"/>
            <w:tcBorders>
              <w:top w:val="nil"/>
              <w:left w:val="single" w:sz="4" w:space="0" w:color="auto"/>
              <w:bottom w:val="single" w:sz="4" w:space="0" w:color="auto"/>
              <w:right w:val="single" w:sz="8" w:space="0" w:color="auto"/>
            </w:tcBorders>
            <w:shd w:val="clear" w:color="auto" w:fill="auto"/>
            <w:noWrap/>
            <w:vAlign w:val="bottom"/>
          </w:tcPr>
          <w:p w:rsidR="003F0E12" w:rsidRDefault="003F0E12">
            <w:pPr>
              <w:jc w:val="right"/>
              <w:rPr>
                <w:rFonts w:ascii="Calibri" w:hAnsi="Calibri" w:cs="Calibri"/>
                <w:sz w:val="20"/>
                <w:szCs w:val="20"/>
              </w:rPr>
            </w:pPr>
          </w:p>
        </w:tc>
        <w:tc>
          <w:tcPr>
            <w:tcW w:w="1530" w:type="dxa"/>
            <w:tcBorders>
              <w:top w:val="nil"/>
              <w:left w:val="nil"/>
              <w:bottom w:val="single" w:sz="4" w:space="0" w:color="auto"/>
              <w:right w:val="single" w:sz="8" w:space="0" w:color="auto"/>
            </w:tcBorders>
            <w:shd w:val="clear" w:color="auto" w:fill="auto"/>
            <w:noWrap/>
            <w:vAlign w:val="bottom"/>
          </w:tcPr>
          <w:p w:rsidR="003F0E12" w:rsidRDefault="003F0E12">
            <w:pPr>
              <w:jc w:val="right"/>
              <w:rPr>
                <w:rFonts w:ascii="Calibri" w:hAnsi="Calibri" w:cs="Calibri"/>
                <w:sz w:val="20"/>
                <w:szCs w:val="20"/>
              </w:rPr>
            </w:pPr>
          </w:p>
        </w:tc>
        <w:tc>
          <w:tcPr>
            <w:tcW w:w="1080" w:type="dxa"/>
            <w:tcBorders>
              <w:top w:val="nil"/>
              <w:left w:val="nil"/>
              <w:bottom w:val="single" w:sz="4" w:space="0" w:color="auto"/>
              <w:right w:val="single" w:sz="8" w:space="0" w:color="auto"/>
            </w:tcBorders>
            <w:shd w:val="clear" w:color="auto" w:fill="auto"/>
            <w:noWrap/>
            <w:vAlign w:val="bottom"/>
          </w:tcPr>
          <w:p w:rsidR="003F0E12" w:rsidRDefault="003F0E12">
            <w:pPr>
              <w:jc w:val="right"/>
              <w:rPr>
                <w:rFonts w:ascii="Calibri" w:hAnsi="Calibri" w:cs="Calibri"/>
                <w:sz w:val="20"/>
                <w:szCs w:val="20"/>
              </w:rPr>
            </w:pPr>
          </w:p>
        </w:tc>
        <w:tc>
          <w:tcPr>
            <w:tcW w:w="4860" w:type="dxa"/>
            <w:tcBorders>
              <w:top w:val="nil"/>
              <w:left w:val="nil"/>
              <w:bottom w:val="single" w:sz="4" w:space="0" w:color="auto"/>
              <w:right w:val="single" w:sz="8" w:space="0" w:color="auto"/>
            </w:tcBorders>
            <w:shd w:val="clear" w:color="auto" w:fill="auto"/>
            <w:vAlign w:val="bottom"/>
          </w:tcPr>
          <w:p w:rsidR="003F0E12" w:rsidRDefault="003F0E12">
            <w:pPr>
              <w:rPr>
                <w:rFonts w:ascii="Calibri" w:hAnsi="Calibri" w:cs="Calibri"/>
                <w:sz w:val="20"/>
                <w:szCs w:val="20"/>
              </w:rPr>
            </w:pPr>
          </w:p>
        </w:tc>
      </w:tr>
      <w:tr w:rsidR="003F0E12" w:rsidRPr="002F3943" w:rsidTr="005A0798">
        <w:trPr>
          <w:trHeight w:val="255"/>
        </w:trPr>
        <w:tc>
          <w:tcPr>
            <w:tcW w:w="4320" w:type="dxa"/>
            <w:tcBorders>
              <w:top w:val="nil"/>
              <w:left w:val="single" w:sz="8" w:space="0" w:color="auto"/>
              <w:bottom w:val="single" w:sz="4" w:space="0" w:color="auto"/>
              <w:right w:val="single" w:sz="4" w:space="0" w:color="auto"/>
            </w:tcBorders>
            <w:shd w:val="clear" w:color="auto" w:fill="auto"/>
            <w:noWrap/>
            <w:vAlign w:val="center"/>
          </w:tcPr>
          <w:p w:rsidR="003F0E12" w:rsidRDefault="003F0E12">
            <w:pPr>
              <w:rPr>
                <w:rFonts w:ascii="Calibri" w:hAnsi="Calibri" w:cs="Calibri"/>
                <w:sz w:val="20"/>
                <w:szCs w:val="20"/>
              </w:rPr>
            </w:pPr>
          </w:p>
        </w:tc>
        <w:tc>
          <w:tcPr>
            <w:tcW w:w="1260" w:type="dxa"/>
            <w:tcBorders>
              <w:top w:val="nil"/>
              <w:left w:val="nil"/>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900" w:type="dxa"/>
            <w:tcBorders>
              <w:top w:val="nil"/>
              <w:left w:val="nil"/>
              <w:bottom w:val="single" w:sz="4" w:space="0" w:color="auto"/>
              <w:right w:val="single" w:sz="8"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F0E12" w:rsidRDefault="003F0E12">
            <w:pPr>
              <w:rPr>
                <w:rFonts w:ascii="Calibri" w:hAnsi="Calibri" w:cs="Calibri"/>
                <w:sz w:val="20"/>
                <w:szCs w:val="20"/>
              </w:rPr>
            </w:pPr>
          </w:p>
        </w:tc>
        <w:tc>
          <w:tcPr>
            <w:tcW w:w="900" w:type="dxa"/>
            <w:tcBorders>
              <w:top w:val="nil"/>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946" w:type="dxa"/>
            <w:tcBorders>
              <w:top w:val="single" w:sz="4" w:space="0" w:color="auto"/>
              <w:left w:val="single" w:sz="4" w:space="0" w:color="auto"/>
              <w:bottom w:val="single" w:sz="4" w:space="0" w:color="auto"/>
              <w:right w:val="single" w:sz="4" w:space="0" w:color="auto"/>
            </w:tcBorders>
            <w:vAlign w:val="bottom"/>
          </w:tcPr>
          <w:p w:rsidR="003F0E12" w:rsidRDefault="003F0E12">
            <w:pPr>
              <w:jc w:val="right"/>
              <w:rPr>
                <w:rFonts w:ascii="Calibri" w:hAnsi="Calibri" w:cs="Calibri"/>
                <w:sz w:val="20"/>
                <w:szCs w:val="20"/>
              </w:rPr>
            </w:pPr>
          </w:p>
        </w:tc>
        <w:tc>
          <w:tcPr>
            <w:tcW w:w="1260" w:type="dxa"/>
            <w:tcBorders>
              <w:top w:val="nil"/>
              <w:left w:val="single" w:sz="4" w:space="0" w:color="auto"/>
              <w:bottom w:val="single" w:sz="4" w:space="0" w:color="auto"/>
              <w:right w:val="single" w:sz="8" w:space="0" w:color="auto"/>
            </w:tcBorders>
            <w:shd w:val="clear" w:color="auto" w:fill="auto"/>
            <w:noWrap/>
            <w:vAlign w:val="bottom"/>
          </w:tcPr>
          <w:p w:rsidR="003F0E12" w:rsidRDefault="003F0E12">
            <w:pPr>
              <w:jc w:val="right"/>
              <w:rPr>
                <w:rFonts w:ascii="Calibri" w:hAnsi="Calibri" w:cs="Calibri"/>
                <w:sz w:val="20"/>
                <w:szCs w:val="20"/>
              </w:rPr>
            </w:pPr>
          </w:p>
        </w:tc>
        <w:tc>
          <w:tcPr>
            <w:tcW w:w="1530" w:type="dxa"/>
            <w:tcBorders>
              <w:top w:val="nil"/>
              <w:left w:val="nil"/>
              <w:bottom w:val="single" w:sz="4" w:space="0" w:color="auto"/>
              <w:right w:val="single" w:sz="8" w:space="0" w:color="auto"/>
            </w:tcBorders>
            <w:shd w:val="clear" w:color="auto" w:fill="auto"/>
            <w:noWrap/>
            <w:vAlign w:val="bottom"/>
          </w:tcPr>
          <w:p w:rsidR="003F0E12" w:rsidRDefault="003F0E12">
            <w:pPr>
              <w:jc w:val="right"/>
              <w:rPr>
                <w:rFonts w:ascii="Calibri" w:hAnsi="Calibri" w:cs="Calibri"/>
                <w:sz w:val="20"/>
                <w:szCs w:val="20"/>
              </w:rPr>
            </w:pPr>
          </w:p>
        </w:tc>
        <w:tc>
          <w:tcPr>
            <w:tcW w:w="1080" w:type="dxa"/>
            <w:tcBorders>
              <w:top w:val="nil"/>
              <w:left w:val="nil"/>
              <w:bottom w:val="single" w:sz="4" w:space="0" w:color="auto"/>
              <w:right w:val="single" w:sz="8" w:space="0" w:color="auto"/>
            </w:tcBorders>
            <w:shd w:val="clear" w:color="auto" w:fill="auto"/>
            <w:noWrap/>
            <w:vAlign w:val="bottom"/>
          </w:tcPr>
          <w:p w:rsidR="003F0E12" w:rsidRDefault="003F0E12">
            <w:pPr>
              <w:jc w:val="right"/>
              <w:rPr>
                <w:rFonts w:ascii="Calibri" w:hAnsi="Calibri" w:cs="Calibri"/>
                <w:sz w:val="20"/>
                <w:szCs w:val="20"/>
              </w:rPr>
            </w:pPr>
          </w:p>
        </w:tc>
        <w:tc>
          <w:tcPr>
            <w:tcW w:w="4860" w:type="dxa"/>
            <w:tcBorders>
              <w:top w:val="nil"/>
              <w:left w:val="nil"/>
              <w:bottom w:val="single" w:sz="4" w:space="0" w:color="auto"/>
              <w:right w:val="single" w:sz="8" w:space="0" w:color="auto"/>
            </w:tcBorders>
            <w:shd w:val="clear" w:color="auto" w:fill="auto"/>
            <w:vAlign w:val="bottom"/>
          </w:tcPr>
          <w:p w:rsidR="003F0E12" w:rsidRDefault="003F0E12">
            <w:pPr>
              <w:rPr>
                <w:rFonts w:ascii="Calibri" w:hAnsi="Calibri" w:cs="Calibri"/>
                <w:sz w:val="20"/>
                <w:szCs w:val="20"/>
              </w:rPr>
            </w:pPr>
          </w:p>
        </w:tc>
      </w:tr>
      <w:tr w:rsidR="003F0E12" w:rsidRPr="002F3943" w:rsidTr="005A0798">
        <w:trPr>
          <w:trHeight w:val="255"/>
        </w:trPr>
        <w:tc>
          <w:tcPr>
            <w:tcW w:w="4320" w:type="dxa"/>
            <w:tcBorders>
              <w:top w:val="nil"/>
              <w:left w:val="single" w:sz="8" w:space="0" w:color="auto"/>
              <w:bottom w:val="single" w:sz="4" w:space="0" w:color="auto"/>
              <w:right w:val="single" w:sz="4" w:space="0" w:color="auto"/>
            </w:tcBorders>
            <w:shd w:val="clear" w:color="auto" w:fill="auto"/>
            <w:noWrap/>
            <w:vAlign w:val="center"/>
          </w:tcPr>
          <w:p w:rsidR="003F0E12" w:rsidRDefault="003F0E12">
            <w:pPr>
              <w:rPr>
                <w:rFonts w:ascii="Calibri" w:hAnsi="Calibri" w:cs="Calibri"/>
                <w:sz w:val="20"/>
                <w:szCs w:val="20"/>
              </w:rPr>
            </w:pPr>
          </w:p>
        </w:tc>
        <w:tc>
          <w:tcPr>
            <w:tcW w:w="1260" w:type="dxa"/>
            <w:tcBorders>
              <w:top w:val="nil"/>
              <w:left w:val="nil"/>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3F0E12" w:rsidRDefault="003F0E12">
            <w:pPr>
              <w:jc w:val="right"/>
              <w:rPr>
                <w:rFonts w:ascii="Calibri" w:hAnsi="Calibri" w:cs="Calibri"/>
                <w:sz w:val="20"/>
                <w:szCs w:val="20"/>
              </w:rPr>
            </w:pPr>
          </w:p>
        </w:tc>
        <w:tc>
          <w:tcPr>
            <w:tcW w:w="900" w:type="dxa"/>
            <w:tcBorders>
              <w:top w:val="nil"/>
              <w:left w:val="nil"/>
              <w:bottom w:val="single" w:sz="4" w:space="0" w:color="auto"/>
              <w:right w:val="single" w:sz="8"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3F0E12" w:rsidRDefault="003F0E12">
            <w:pP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F0E12" w:rsidRDefault="003F0E12">
            <w:pPr>
              <w:rPr>
                <w:rFonts w:ascii="Calibri" w:hAnsi="Calibri" w:cs="Calibri"/>
                <w:sz w:val="20"/>
                <w:szCs w:val="20"/>
              </w:rPr>
            </w:pPr>
          </w:p>
        </w:tc>
        <w:tc>
          <w:tcPr>
            <w:tcW w:w="900" w:type="dxa"/>
            <w:tcBorders>
              <w:top w:val="nil"/>
              <w:left w:val="single" w:sz="4" w:space="0" w:color="auto"/>
              <w:bottom w:val="single" w:sz="4" w:space="0" w:color="auto"/>
              <w:right w:val="single" w:sz="4" w:space="0" w:color="auto"/>
            </w:tcBorders>
            <w:shd w:val="clear" w:color="auto" w:fill="auto"/>
            <w:vAlign w:val="bottom"/>
          </w:tcPr>
          <w:p w:rsidR="003F0E12" w:rsidRDefault="003F0E12">
            <w:pPr>
              <w:jc w:val="right"/>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vAlign w:val="bottom"/>
          </w:tcPr>
          <w:p w:rsidR="003F0E12" w:rsidRDefault="003F0E12">
            <w:pPr>
              <w:rPr>
                <w:rFonts w:ascii="Calibri" w:hAnsi="Calibri" w:cs="Calibri"/>
                <w:sz w:val="20"/>
                <w:szCs w:val="20"/>
              </w:rPr>
            </w:pPr>
          </w:p>
        </w:tc>
        <w:tc>
          <w:tcPr>
            <w:tcW w:w="946" w:type="dxa"/>
            <w:tcBorders>
              <w:top w:val="single" w:sz="4" w:space="0" w:color="auto"/>
              <w:left w:val="single" w:sz="4" w:space="0" w:color="auto"/>
              <w:bottom w:val="single" w:sz="4" w:space="0" w:color="auto"/>
              <w:right w:val="single" w:sz="4" w:space="0" w:color="auto"/>
            </w:tcBorders>
            <w:vAlign w:val="bottom"/>
          </w:tcPr>
          <w:p w:rsidR="003F0E12" w:rsidRDefault="003F0E12">
            <w:pPr>
              <w:jc w:val="right"/>
              <w:rPr>
                <w:rFonts w:ascii="Calibri" w:hAnsi="Calibri" w:cs="Calibri"/>
                <w:sz w:val="20"/>
                <w:szCs w:val="20"/>
              </w:rPr>
            </w:pPr>
          </w:p>
        </w:tc>
        <w:tc>
          <w:tcPr>
            <w:tcW w:w="1260" w:type="dxa"/>
            <w:tcBorders>
              <w:top w:val="nil"/>
              <w:left w:val="single" w:sz="4" w:space="0" w:color="auto"/>
              <w:bottom w:val="single" w:sz="4" w:space="0" w:color="auto"/>
              <w:right w:val="single" w:sz="8" w:space="0" w:color="auto"/>
            </w:tcBorders>
            <w:shd w:val="clear" w:color="auto" w:fill="auto"/>
            <w:noWrap/>
            <w:vAlign w:val="bottom"/>
          </w:tcPr>
          <w:p w:rsidR="003F0E12" w:rsidRDefault="003F0E12">
            <w:pPr>
              <w:jc w:val="right"/>
              <w:rPr>
                <w:rFonts w:ascii="Calibri" w:hAnsi="Calibri" w:cs="Calibri"/>
                <w:sz w:val="20"/>
                <w:szCs w:val="20"/>
              </w:rPr>
            </w:pPr>
          </w:p>
        </w:tc>
        <w:tc>
          <w:tcPr>
            <w:tcW w:w="1530" w:type="dxa"/>
            <w:tcBorders>
              <w:top w:val="nil"/>
              <w:left w:val="nil"/>
              <w:bottom w:val="single" w:sz="4" w:space="0" w:color="auto"/>
              <w:right w:val="single" w:sz="8" w:space="0" w:color="auto"/>
            </w:tcBorders>
            <w:shd w:val="clear" w:color="auto" w:fill="auto"/>
            <w:noWrap/>
            <w:vAlign w:val="bottom"/>
          </w:tcPr>
          <w:p w:rsidR="003F0E12" w:rsidRDefault="003F0E12">
            <w:pPr>
              <w:jc w:val="right"/>
              <w:rPr>
                <w:rFonts w:ascii="Calibri" w:hAnsi="Calibri" w:cs="Calibri"/>
                <w:sz w:val="20"/>
                <w:szCs w:val="20"/>
              </w:rPr>
            </w:pPr>
          </w:p>
        </w:tc>
        <w:tc>
          <w:tcPr>
            <w:tcW w:w="1080" w:type="dxa"/>
            <w:tcBorders>
              <w:top w:val="nil"/>
              <w:left w:val="nil"/>
              <w:bottom w:val="single" w:sz="4" w:space="0" w:color="auto"/>
              <w:right w:val="single" w:sz="8" w:space="0" w:color="auto"/>
            </w:tcBorders>
            <w:shd w:val="clear" w:color="auto" w:fill="auto"/>
            <w:noWrap/>
            <w:vAlign w:val="bottom"/>
          </w:tcPr>
          <w:p w:rsidR="003F0E12" w:rsidRDefault="003F0E12">
            <w:pPr>
              <w:jc w:val="right"/>
              <w:rPr>
                <w:rFonts w:ascii="Calibri" w:hAnsi="Calibri" w:cs="Calibri"/>
                <w:sz w:val="20"/>
                <w:szCs w:val="20"/>
              </w:rPr>
            </w:pPr>
          </w:p>
        </w:tc>
        <w:tc>
          <w:tcPr>
            <w:tcW w:w="4860" w:type="dxa"/>
            <w:tcBorders>
              <w:top w:val="nil"/>
              <w:left w:val="nil"/>
              <w:bottom w:val="single" w:sz="4" w:space="0" w:color="auto"/>
              <w:right w:val="single" w:sz="8" w:space="0" w:color="auto"/>
            </w:tcBorders>
            <w:shd w:val="clear" w:color="auto" w:fill="auto"/>
            <w:vAlign w:val="bottom"/>
          </w:tcPr>
          <w:p w:rsidR="003F0E12" w:rsidRDefault="003F0E12">
            <w:pPr>
              <w:rPr>
                <w:rFonts w:ascii="Calibri" w:hAnsi="Calibri" w:cs="Calibri"/>
                <w:sz w:val="20"/>
                <w:szCs w:val="20"/>
              </w:rPr>
            </w:pPr>
          </w:p>
        </w:tc>
      </w:tr>
      <w:tr w:rsidR="00F45D83" w:rsidRPr="002F3943" w:rsidTr="00044307">
        <w:trPr>
          <w:trHeight w:val="255"/>
        </w:trPr>
        <w:tc>
          <w:tcPr>
            <w:tcW w:w="4320" w:type="dxa"/>
            <w:tcBorders>
              <w:top w:val="nil"/>
              <w:left w:val="single" w:sz="8" w:space="0" w:color="auto"/>
              <w:bottom w:val="single" w:sz="4" w:space="0" w:color="auto"/>
              <w:right w:val="single" w:sz="4" w:space="0" w:color="auto"/>
            </w:tcBorders>
            <w:shd w:val="clear" w:color="auto" w:fill="auto"/>
            <w:noWrap/>
            <w:vAlign w:val="bottom"/>
          </w:tcPr>
          <w:p w:rsidR="00F45D83" w:rsidRDefault="00F45D83">
            <w:pPr>
              <w:rPr>
                <w:rFonts w:ascii="Calibri" w:hAnsi="Calibri" w:cs="Calibri"/>
                <w:sz w:val="20"/>
                <w:szCs w:val="20"/>
              </w:rPr>
            </w:pPr>
          </w:p>
        </w:tc>
        <w:tc>
          <w:tcPr>
            <w:tcW w:w="1260" w:type="dxa"/>
            <w:tcBorders>
              <w:top w:val="nil"/>
              <w:left w:val="nil"/>
              <w:bottom w:val="single" w:sz="4" w:space="0" w:color="auto"/>
              <w:right w:val="single" w:sz="4" w:space="0" w:color="auto"/>
            </w:tcBorders>
            <w:shd w:val="clear" w:color="auto" w:fill="auto"/>
            <w:noWrap/>
            <w:vAlign w:val="bottom"/>
          </w:tcPr>
          <w:p w:rsidR="00F45D83" w:rsidRDefault="00F45D83">
            <w:pP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F45D83" w:rsidRDefault="00F45D83">
            <w:pPr>
              <w:jc w:val="right"/>
              <w:rPr>
                <w:rFonts w:ascii="Calibri" w:hAnsi="Calibri" w:cs="Calibri"/>
                <w:sz w:val="20"/>
                <w:szCs w:val="20"/>
              </w:rPr>
            </w:pPr>
          </w:p>
        </w:tc>
        <w:tc>
          <w:tcPr>
            <w:tcW w:w="900" w:type="dxa"/>
            <w:tcBorders>
              <w:top w:val="nil"/>
              <w:left w:val="nil"/>
              <w:bottom w:val="single" w:sz="4" w:space="0" w:color="auto"/>
              <w:right w:val="single" w:sz="8" w:space="0" w:color="auto"/>
            </w:tcBorders>
            <w:shd w:val="clear" w:color="auto" w:fill="auto"/>
            <w:noWrap/>
            <w:vAlign w:val="bottom"/>
          </w:tcPr>
          <w:p w:rsidR="00F45D83" w:rsidRDefault="00F45D83">
            <w:pP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noWrap/>
            <w:vAlign w:val="bottom"/>
          </w:tcPr>
          <w:p w:rsidR="00F45D83" w:rsidRDefault="00F45D83">
            <w:pP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F45D83" w:rsidRDefault="00F45D83">
            <w:pPr>
              <w:rPr>
                <w:rFonts w:ascii="Calibri" w:hAnsi="Calibri" w:cs="Calibri"/>
                <w:sz w:val="20"/>
                <w:szCs w:val="20"/>
              </w:rPr>
            </w:pPr>
          </w:p>
        </w:tc>
        <w:tc>
          <w:tcPr>
            <w:tcW w:w="900" w:type="dxa"/>
            <w:tcBorders>
              <w:top w:val="nil"/>
              <w:left w:val="single" w:sz="4" w:space="0" w:color="auto"/>
              <w:bottom w:val="single" w:sz="4" w:space="0" w:color="auto"/>
              <w:right w:val="single" w:sz="4" w:space="0" w:color="auto"/>
            </w:tcBorders>
            <w:shd w:val="clear" w:color="auto" w:fill="auto"/>
            <w:vAlign w:val="bottom"/>
          </w:tcPr>
          <w:p w:rsidR="00F45D83" w:rsidRDefault="00F45D83">
            <w:pPr>
              <w:jc w:val="right"/>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vAlign w:val="bottom"/>
          </w:tcPr>
          <w:p w:rsidR="00F45D83" w:rsidRDefault="00F45D83">
            <w:pP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vAlign w:val="bottom"/>
          </w:tcPr>
          <w:p w:rsidR="00F45D83" w:rsidRDefault="00F45D83">
            <w:pPr>
              <w:rPr>
                <w:rFonts w:ascii="Calibri" w:hAnsi="Calibri" w:cs="Calibri"/>
                <w:sz w:val="20"/>
                <w:szCs w:val="20"/>
              </w:rPr>
            </w:pPr>
          </w:p>
        </w:tc>
        <w:tc>
          <w:tcPr>
            <w:tcW w:w="946" w:type="dxa"/>
            <w:tcBorders>
              <w:top w:val="single" w:sz="4" w:space="0" w:color="auto"/>
              <w:left w:val="single" w:sz="4" w:space="0" w:color="auto"/>
              <w:bottom w:val="single" w:sz="4" w:space="0" w:color="auto"/>
              <w:right w:val="single" w:sz="4" w:space="0" w:color="auto"/>
            </w:tcBorders>
            <w:vAlign w:val="bottom"/>
          </w:tcPr>
          <w:p w:rsidR="00F45D83" w:rsidRDefault="00F45D83">
            <w:pPr>
              <w:jc w:val="right"/>
              <w:rPr>
                <w:rFonts w:ascii="Calibri" w:hAnsi="Calibri" w:cs="Calibri"/>
                <w:sz w:val="20"/>
                <w:szCs w:val="20"/>
              </w:rPr>
            </w:pPr>
          </w:p>
        </w:tc>
        <w:tc>
          <w:tcPr>
            <w:tcW w:w="1260" w:type="dxa"/>
            <w:tcBorders>
              <w:top w:val="nil"/>
              <w:left w:val="single" w:sz="4" w:space="0" w:color="auto"/>
              <w:bottom w:val="single" w:sz="4" w:space="0" w:color="auto"/>
              <w:right w:val="single" w:sz="8" w:space="0" w:color="auto"/>
            </w:tcBorders>
            <w:shd w:val="clear" w:color="auto" w:fill="auto"/>
            <w:noWrap/>
            <w:vAlign w:val="bottom"/>
          </w:tcPr>
          <w:p w:rsidR="00F45D83" w:rsidRDefault="00F45D83">
            <w:pPr>
              <w:jc w:val="right"/>
              <w:rPr>
                <w:rFonts w:ascii="Calibri" w:hAnsi="Calibri" w:cs="Calibri"/>
                <w:sz w:val="20"/>
                <w:szCs w:val="20"/>
              </w:rPr>
            </w:pPr>
          </w:p>
        </w:tc>
        <w:tc>
          <w:tcPr>
            <w:tcW w:w="1530" w:type="dxa"/>
            <w:tcBorders>
              <w:top w:val="nil"/>
              <w:left w:val="nil"/>
              <w:bottom w:val="single" w:sz="4" w:space="0" w:color="auto"/>
              <w:right w:val="single" w:sz="8" w:space="0" w:color="auto"/>
            </w:tcBorders>
            <w:shd w:val="clear" w:color="auto" w:fill="auto"/>
            <w:noWrap/>
            <w:vAlign w:val="bottom"/>
          </w:tcPr>
          <w:p w:rsidR="00F45D83" w:rsidRDefault="00F45D83">
            <w:pPr>
              <w:jc w:val="right"/>
              <w:rPr>
                <w:rFonts w:ascii="Calibri" w:hAnsi="Calibri" w:cs="Calibri"/>
                <w:sz w:val="20"/>
                <w:szCs w:val="20"/>
              </w:rPr>
            </w:pPr>
          </w:p>
        </w:tc>
        <w:tc>
          <w:tcPr>
            <w:tcW w:w="1080" w:type="dxa"/>
            <w:tcBorders>
              <w:top w:val="nil"/>
              <w:left w:val="nil"/>
              <w:bottom w:val="single" w:sz="4" w:space="0" w:color="auto"/>
              <w:right w:val="single" w:sz="8" w:space="0" w:color="auto"/>
            </w:tcBorders>
            <w:shd w:val="clear" w:color="auto" w:fill="auto"/>
            <w:noWrap/>
            <w:vAlign w:val="bottom"/>
          </w:tcPr>
          <w:p w:rsidR="00F45D83" w:rsidRDefault="00F45D83">
            <w:pPr>
              <w:jc w:val="right"/>
              <w:rPr>
                <w:rFonts w:ascii="Calibri" w:hAnsi="Calibri" w:cs="Calibri"/>
                <w:sz w:val="20"/>
                <w:szCs w:val="20"/>
              </w:rPr>
            </w:pPr>
          </w:p>
        </w:tc>
        <w:tc>
          <w:tcPr>
            <w:tcW w:w="4860" w:type="dxa"/>
            <w:tcBorders>
              <w:top w:val="nil"/>
              <w:left w:val="nil"/>
              <w:bottom w:val="single" w:sz="4" w:space="0" w:color="auto"/>
              <w:right w:val="single" w:sz="8" w:space="0" w:color="auto"/>
            </w:tcBorders>
            <w:shd w:val="clear" w:color="auto" w:fill="auto"/>
            <w:vAlign w:val="bottom"/>
          </w:tcPr>
          <w:p w:rsidR="00F45D83" w:rsidRDefault="00F45D83">
            <w:pPr>
              <w:rPr>
                <w:rFonts w:ascii="Calibri" w:hAnsi="Calibri" w:cs="Calibri"/>
                <w:sz w:val="20"/>
                <w:szCs w:val="20"/>
              </w:rPr>
            </w:pPr>
          </w:p>
        </w:tc>
      </w:tr>
      <w:tr w:rsidR="00F45D83" w:rsidRPr="002F3943" w:rsidTr="00044307">
        <w:trPr>
          <w:trHeight w:val="255"/>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5D83" w:rsidRDefault="00F45D83">
            <w:pPr>
              <w:rPr>
                <w:rFonts w:ascii="Calibri" w:hAnsi="Calibri" w:cs="Calibri"/>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5D83" w:rsidRDefault="00F45D83">
            <w:pP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5D83" w:rsidRDefault="00F45D83">
            <w:pPr>
              <w:jc w:val="right"/>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5D83" w:rsidRDefault="00F45D83">
            <w:pP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5D83" w:rsidRDefault="00F45D83">
            <w:pP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F45D83" w:rsidRDefault="00F45D83">
            <w:pP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F45D83" w:rsidRDefault="00F45D83">
            <w:pPr>
              <w:jc w:val="right"/>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F45D83" w:rsidRDefault="00F45D83">
            <w:pP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F45D83" w:rsidRDefault="00F45D83">
            <w:pPr>
              <w:rPr>
                <w:rFonts w:ascii="Calibri" w:hAnsi="Calibri" w:cs="Calibri"/>
                <w:sz w:val="20"/>
                <w:szCs w:val="20"/>
              </w:rPr>
            </w:pPr>
          </w:p>
        </w:tc>
        <w:tc>
          <w:tcPr>
            <w:tcW w:w="946" w:type="dxa"/>
            <w:tcBorders>
              <w:top w:val="single" w:sz="4" w:space="0" w:color="auto"/>
              <w:left w:val="single" w:sz="4" w:space="0" w:color="auto"/>
              <w:bottom w:val="single" w:sz="4" w:space="0" w:color="auto"/>
              <w:right w:val="single" w:sz="4" w:space="0" w:color="auto"/>
            </w:tcBorders>
            <w:vAlign w:val="bottom"/>
          </w:tcPr>
          <w:p w:rsidR="00F45D83" w:rsidRDefault="00F45D83">
            <w:pPr>
              <w:jc w:val="right"/>
              <w:rPr>
                <w:rFonts w:ascii="Calibri" w:hAnsi="Calibri" w:cs="Calibri"/>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5D83" w:rsidRDefault="00F45D83">
            <w:pPr>
              <w:jc w:val="right"/>
              <w:rPr>
                <w:rFonts w:ascii="Calibri" w:hAnsi="Calibri" w:cs="Calibri"/>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5D83" w:rsidRDefault="00F45D83">
            <w:pPr>
              <w:jc w:val="right"/>
              <w:rPr>
                <w:rFonts w:ascii="Calibri" w:hAnsi="Calibri" w:cs="Calibri"/>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5D83" w:rsidRDefault="00F45D83">
            <w:pPr>
              <w:jc w:val="right"/>
              <w:rPr>
                <w:rFonts w:ascii="Calibri" w:hAnsi="Calibri" w:cs="Calibri"/>
                <w:sz w:val="20"/>
                <w:szCs w:val="20"/>
              </w:rPr>
            </w:pPr>
          </w:p>
        </w:tc>
        <w:tc>
          <w:tcPr>
            <w:tcW w:w="4860" w:type="dxa"/>
            <w:tcBorders>
              <w:top w:val="single" w:sz="4" w:space="0" w:color="auto"/>
              <w:left w:val="single" w:sz="4" w:space="0" w:color="auto"/>
              <w:bottom w:val="single" w:sz="4" w:space="0" w:color="auto"/>
              <w:right w:val="single" w:sz="4" w:space="0" w:color="auto"/>
            </w:tcBorders>
            <w:shd w:val="clear" w:color="auto" w:fill="auto"/>
            <w:vAlign w:val="bottom"/>
          </w:tcPr>
          <w:p w:rsidR="00F45D83" w:rsidRDefault="00F45D83">
            <w:pPr>
              <w:rPr>
                <w:rFonts w:ascii="Calibri" w:hAnsi="Calibri" w:cs="Calibri"/>
                <w:sz w:val="20"/>
                <w:szCs w:val="20"/>
              </w:rPr>
            </w:pPr>
          </w:p>
        </w:tc>
      </w:tr>
    </w:tbl>
    <w:p w:rsidR="00EB34FC" w:rsidRPr="005734A4" w:rsidRDefault="00EB34FC" w:rsidP="00EB34FC">
      <w:pPr>
        <w:pStyle w:val="Reminder"/>
        <w:ind w:left="-630"/>
        <w:rPr>
          <w:rFonts w:asciiTheme="minorHAnsi" w:hAnsiTheme="minorHAnsi" w:cstheme="minorHAnsi"/>
          <w:color w:val="auto"/>
        </w:rPr>
      </w:pPr>
      <w:r w:rsidRPr="005734A4">
        <w:rPr>
          <w:rFonts w:asciiTheme="minorHAnsi" w:hAnsiTheme="minorHAnsi" w:cstheme="minorHAnsi"/>
          <w:color w:val="auto"/>
        </w:rPr>
        <w:t>Note:</w:t>
      </w:r>
      <w:r w:rsidRPr="005734A4">
        <w:rPr>
          <w:rFonts w:asciiTheme="minorHAnsi" w:hAnsiTheme="minorHAnsi" w:cstheme="minorHAnsi"/>
          <w:b/>
          <w:color w:val="auto"/>
        </w:rPr>
        <w:t xml:space="preserve"> </w:t>
      </w:r>
      <w:r w:rsidR="00570218" w:rsidRPr="003F0E12">
        <w:rPr>
          <w:rFonts w:asciiTheme="minorHAnsi" w:hAnsiTheme="minorHAnsi" w:cstheme="minorHAnsi"/>
          <w:b/>
          <w:color w:val="auto"/>
        </w:rPr>
        <w:t xml:space="preserve">See WPSDGENRLG0999 </w:t>
      </w:r>
      <w:r w:rsidR="00570218">
        <w:rPr>
          <w:rFonts w:asciiTheme="minorHAnsi" w:hAnsiTheme="minorHAnsi" w:cstheme="minorHAnsi"/>
          <w:b/>
          <w:color w:val="auto"/>
        </w:rPr>
        <w:t>f</w:t>
      </w:r>
      <w:r w:rsidRPr="005734A4">
        <w:rPr>
          <w:rFonts w:asciiTheme="minorHAnsi" w:hAnsiTheme="minorHAnsi" w:cstheme="minorHAnsi"/>
          <w:b/>
          <w:color w:val="auto"/>
        </w:rPr>
        <w:t>or the complete list of Measures</w:t>
      </w:r>
    </w:p>
    <w:p w:rsidR="00EB34FC" w:rsidRPr="005734A4" w:rsidRDefault="00EB34FC" w:rsidP="00EB34FC">
      <w:pPr>
        <w:pStyle w:val="Reminder"/>
        <w:rPr>
          <w:rFonts w:asciiTheme="minorHAnsi" w:hAnsiTheme="minorHAnsi" w:cstheme="minorHAnsi"/>
        </w:rPr>
      </w:pPr>
    </w:p>
    <w:p w:rsidR="00EB34FC" w:rsidRPr="005734A4" w:rsidRDefault="00EB34FC" w:rsidP="00EB34FC">
      <w:pPr>
        <w:ind w:left="-630"/>
        <w:rPr>
          <w:rFonts w:asciiTheme="minorHAnsi" w:hAnsiTheme="minorHAnsi" w:cstheme="minorHAnsi"/>
        </w:rPr>
      </w:pPr>
    </w:p>
    <w:p w:rsidR="00EB34FC" w:rsidRPr="005734A4" w:rsidRDefault="00EB34FC" w:rsidP="00EB34FC">
      <w:pPr>
        <w:ind w:left="-630"/>
        <w:rPr>
          <w:rFonts w:asciiTheme="minorHAnsi" w:hAnsiTheme="minorHAnsi" w:cstheme="minorHAnsi"/>
        </w:rPr>
        <w:sectPr w:rsidR="00EB34FC" w:rsidRPr="005734A4" w:rsidSect="009500DC">
          <w:footerReference w:type="default" r:id="rId10"/>
          <w:pgSz w:w="24480" w:h="15840" w:orient="landscape" w:code="3"/>
          <w:pgMar w:top="1440" w:right="1440" w:bottom="1440" w:left="1440" w:header="720" w:footer="720" w:gutter="0"/>
          <w:pgNumType w:fmt="lowerRoman" w:start="1"/>
          <w:cols w:space="720"/>
          <w:docGrid w:linePitch="360"/>
        </w:sectPr>
      </w:pPr>
    </w:p>
    <w:p w:rsidR="00EB34FC" w:rsidRPr="005734A4" w:rsidRDefault="00EB34FC" w:rsidP="00EB34FC">
      <w:pPr>
        <w:pStyle w:val="Heading1"/>
        <w:rPr>
          <w:rFonts w:asciiTheme="minorHAnsi" w:hAnsiTheme="minorHAnsi" w:cstheme="minorHAnsi"/>
        </w:rPr>
      </w:pPr>
      <w:r w:rsidRPr="005734A4">
        <w:rPr>
          <w:rFonts w:asciiTheme="minorHAnsi" w:hAnsiTheme="minorHAnsi" w:cstheme="minorHAnsi"/>
        </w:rPr>
        <w:lastRenderedPageBreak/>
        <w:t>Document Revision History</w:t>
      </w:r>
    </w:p>
    <w:tbl>
      <w:tblPr>
        <w:tblStyle w:val="TableContemporary"/>
        <w:tblW w:w="4689" w:type="pct"/>
        <w:tblLayout w:type="fixed"/>
        <w:tblLook w:val="01E0" w:firstRow="1" w:lastRow="1" w:firstColumn="1" w:lastColumn="1" w:noHBand="0" w:noVBand="0"/>
      </w:tblPr>
      <w:tblGrid>
        <w:gridCol w:w="1430"/>
        <w:gridCol w:w="1440"/>
        <w:gridCol w:w="2161"/>
        <w:gridCol w:w="3949"/>
      </w:tblGrid>
      <w:tr w:rsidR="00EB34FC" w:rsidRPr="005734A4" w:rsidTr="006404E6">
        <w:trPr>
          <w:cnfStyle w:val="100000000000" w:firstRow="1" w:lastRow="0" w:firstColumn="0" w:lastColumn="0" w:oddVBand="0" w:evenVBand="0" w:oddHBand="0" w:evenHBand="0" w:firstRowFirstColumn="0" w:firstRowLastColumn="0" w:lastRowFirstColumn="0" w:lastRowLastColumn="0"/>
          <w:trHeight w:val="298"/>
        </w:trPr>
        <w:tc>
          <w:tcPr>
            <w:tcW w:w="796" w:type="pct"/>
          </w:tcPr>
          <w:p w:rsidR="00EB34FC" w:rsidRPr="005734A4" w:rsidRDefault="00EB34FC" w:rsidP="007048AC">
            <w:pPr>
              <w:rPr>
                <w:rFonts w:asciiTheme="minorHAnsi" w:hAnsiTheme="minorHAnsi" w:cstheme="minorHAnsi"/>
                <w:b w:val="0"/>
                <w:bCs w:val="0"/>
              </w:rPr>
            </w:pPr>
            <w:r w:rsidRPr="005734A4">
              <w:rPr>
                <w:rFonts w:asciiTheme="minorHAnsi" w:hAnsiTheme="minorHAnsi" w:cstheme="minorHAnsi"/>
              </w:rPr>
              <w:t>Revision #</w:t>
            </w:r>
          </w:p>
        </w:tc>
        <w:tc>
          <w:tcPr>
            <w:tcW w:w="802" w:type="pct"/>
          </w:tcPr>
          <w:p w:rsidR="00EB34FC" w:rsidRPr="005734A4" w:rsidRDefault="00EB34FC" w:rsidP="007048AC">
            <w:pPr>
              <w:rPr>
                <w:rFonts w:asciiTheme="minorHAnsi" w:hAnsiTheme="minorHAnsi" w:cstheme="minorHAnsi"/>
                <w:b w:val="0"/>
                <w:bCs w:val="0"/>
                <w:sz w:val="20"/>
                <w:szCs w:val="20"/>
              </w:rPr>
            </w:pPr>
            <w:r w:rsidRPr="005734A4">
              <w:rPr>
                <w:rFonts w:asciiTheme="minorHAnsi" w:hAnsiTheme="minorHAnsi" w:cstheme="minorHAnsi"/>
                <w:sz w:val="20"/>
                <w:szCs w:val="20"/>
              </w:rPr>
              <w:t>MM/DD/YY</w:t>
            </w:r>
          </w:p>
        </w:tc>
        <w:tc>
          <w:tcPr>
            <w:tcW w:w="1203" w:type="pct"/>
          </w:tcPr>
          <w:p w:rsidR="00EB34FC" w:rsidRPr="005734A4" w:rsidRDefault="00EB34FC" w:rsidP="007048AC">
            <w:pPr>
              <w:rPr>
                <w:rFonts w:asciiTheme="minorHAnsi" w:hAnsiTheme="minorHAnsi" w:cstheme="minorHAnsi"/>
                <w:b w:val="0"/>
                <w:bCs w:val="0"/>
                <w:sz w:val="20"/>
                <w:szCs w:val="20"/>
              </w:rPr>
            </w:pPr>
            <w:r w:rsidRPr="005734A4">
              <w:rPr>
                <w:rFonts w:asciiTheme="minorHAnsi" w:hAnsiTheme="minorHAnsi" w:cstheme="minorHAnsi"/>
                <w:sz w:val="20"/>
                <w:szCs w:val="20"/>
              </w:rPr>
              <w:t>Author/Affiliation</w:t>
            </w:r>
          </w:p>
        </w:tc>
        <w:tc>
          <w:tcPr>
            <w:tcW w:w="2199" w:type="pct"/>
          </w:tcPr>
          <w:p w:rsidR="00EB34FC" w:rsidRPr="005734A4" w:rsidRDefault="00EB34FC" w:rsidP="007048AC">
            <w:pPr>
              <w:rPr>
                <w:rFonts w:asciiTheme="minorHAnsi" w:hAnsiTheme="minorHAnsi" w:cstheme="minorHAnsi"/>
                <w:b w:val="0"/>
                <w:bCs w:val="0"/>
                <w:sz w:val="20"/>
                <w:szCs w:val="20"/>
              </w:rPr>
            </w:pPr>
            <w:r w:rsidRPr="005734A4">
              <w:rPr>
                <w:rFonts w:asciiTheme="minorHAnsi" w:hAnsiTheme="minorHAnsi" w:cstheme="minorHAnsi"/>
                <w:sz w:val="20"/>
                <w:szCs w:val="20"/>
              </w:rPr>
              <w:t>Summary of Changes</w:t>
            </w:r>
          </w:p>
        </w:tc>
      </w:tr>
      <w:tr w:rsidR="005347D4" w:rsidRPr="005734A4" w:rsidTr="006B0B4C">
        <w:trPr>
          <w:cnfStyle w:val="000000100000" w:firstRow="0" w:lastRow="0" w:firstColumn="0" w:lastColumn="0" w:oddVBand="0" w:evenVBand="0" w:oddHBand="1" w:evenHBand="0" w:firstRowFirstColumn="0" w:firstRowLastColumn="0" w:lastRowFirstColumn="0" w:lastRowLastColumn="0"/>
          <w:trHeight w:val="248"/>
        </w:trPr>
        <w:tc>
          <w:tcPr>
            <w:tcW w:w="796" w:type="pct"/>
            <w:vAlign w:val="center"/>
          </w:tcPr>
          <w:p w:rsidR="005347D4" w:rsidRPr="005734A4" w:rsidRDefault="005347D4" w:rsidP="006B0B4C">
            <w:pPr>
              <w:jc w:val="center"/>
              <w:rPr>
                <w:rFonts w:asciiTheme="minorHAnsi" w:hAnsiTheme="minorHAnsi" w:cstheme="minorHAnsi"/>
                <w:sz w:val="20"/>
                <w:szCs w:val="20"/>
              </w:rPr>
            </w:pPr>
            <w:r w:rsidRPr="005734A4">
              <w:rPr>
                <w:rFonts w:asciiTheme="minorHAnsi" w:hAnsiTheme="minorHAnsi" w:cstheme="minorHAnsi"/>
                <w:sz w:val="20"/>
                <w:szCs w:val="20"/>
              </w:rPr>
              <w:t>0</w:t>
            </w:r>
          </w:p>
        </w:tc>
        <w:tc>
          <w:tcPr>
            <w:tcW w:w="802" w:type="pct"/>
            <w:vAlign w:val="center"/>
          </w:tcPr>
          <w:p w:rsidR="005347D4" w:rsidRPr="005734A4" w:rsidRDefault="0052595F" w:rsidP="006B0B4C">
            <w:pPr>
              <w:jc w:val="center"/>
              <w:rPr>
                <w:rFonts w:asciiTheme="minorHAnsi" w:hAnsiTheme="minorHAnsi" w:cstheme="minorHAnsi"/>
                <w:sz w:val="20"/>
                <w:szCs w:val="20"/>
              </w:rPr>
            </w:pPr>
            <w:r>
              <w:rPr>
                <w:rFonts w:asciiTheme="minorHAnsi" w:hAnsiTheme="minorHAnsi" w:cstheme="minorHAnsi"/>
                <w:sz w:val="20"/>
                <w:szCs w:val="20"/>
              </w:rPr>
              <w:t>1</w:t>
            </w:r>
            <w:r w:rsidR="009441C9">
              <w:rPr>
                <w:rFonts w:asciiTheme="minorHAnsi" w:hAnsiTheme="minorHAnsi" w:cstheme="minorHAnsi"/>
                <w:sz w:val="20"/>
                <w:szCs w:val="20"/>
              </w:rPr>
              <w:t>2</w:t>
            </w:r>
            <w:r>
              <w:rPr>
                <w:rFonts w:asciiTheme="minorHAnsi" w:hAnsiTheme="minorHAnsi" w:cstheme="minorHAnsi"/>
                <w:sz w:val="20"/>
                <w:szCs w:val="20"/>
              </w:rPr>
              <w:t>/2003</w:t>
            </w:r>
          </w:p>
        </w:tc>
        <w:tc>
          <w:tcPr>
            <w:tcW w:w="1203" w:type="pct"/>
            <w:vAlign w:val="center"/>
          </w:tcPr>
          <w:p w:rsidR="005347D4" w:rsidRPr="005734A4" w:rsidRDefault="0052595F" w:rsidP="006B0B4C">
            <w:pPr>
              <w:jc w:val="center"/>
              <w:rPr>
                <w:rFonts w:asciiTheme="minorHAnsi" w:hAnsiTheme="minorHAnsi" w:cstheme="minorHAnsi"/>
                <w:sz w:val="20"/>
                <w:szCs w:val="20"/>
              </w:rPr>
            </w:pPr>
            <w:r>
              <w:rPr>
                <w:rFonts w:asciiTheme="minorHAnsi" w:hAnsiTheme="minorHAnsi" w:cstheme="minorHAnsi"/>
                <w:sz w:val="20"/>
                <w:szCs w:val="20"/>
              </w:rPr>
              <w:t>PGE</w:t>
            </w:r>
          </w:p>
        </w:tc>
        <w:tc>
          <w:tcPr>
            <w:tcW w:w="2199" w:type="pct"/>
          </w:tcPr>
          <w:p w:rsidR="005347D4" w:rsidRPr="005A0798" w:rsidRDefault="0052595F" w:rsidP="005A0798">
            <w:pPr>
              <w:rPr>
                <w:rFonts w:asciiTheme="minorHAnsi" w:hAnsiTheme="minorHAnsi" w:cstheme="minorHAnsi"/>
                <w:sz w:val="20"/>
                <w:szCs w:val="20"/>
              </w:rPr>
            </w:pPr>
            <w:r w:rsidRPr="005A0798">
              <w:rPr>
                <w:rFonts w:asciiTheme="minorHAnsi" w:hAnsiTheme="minorHAnsi" w:cstheme="minorHAnsi"/>
                <w:bCs/>
                <w:sz w:val="20"/>
                <w:szCs w:val="20"/>
              </w:rPr>
              <w:t>Short version</w:t>
            </w:r>
          </w:p>
        </w:tc>
      </w:tr>
      <w:tr w:rsidR="0052595F" w:rsidRPr="005734A4" w:rsidTr="006B0B4C">
        <w:trPr>
          <w:cnfStyle w:val="000000010000" w:firstRow="0" w:lastRow="0" w:firstColumn="0" w:lastColumn="0" w:oddVBand="0" w:evenVBand="0" w:oddHBand="0" w:evenHBand="1" w:firstRowFirstColumn="0" w:firstRowLastColumn="0" w:lastRowFirstColumn="0" w:lastRowLastColumn="0"/>
          <w:trHeight w:val="247"/>
        </w:trPr>
        <w:tc>
          <w:tcPr>
            <w:tcW w:w="796" w:type="pct"/>
            <w:shd w:val="pct5" w:color="000000" w:fill="FFFFFF"/>
            <w:vAlign w:val="center"/>
          </w:tcPr>
          <w:p w:rsidR="0052595F" w:rsidRPr="005734A4" w:rsidRDefault="0052595F" w:rsidP="006B0B4C">
            <w:pPr>
              <w:jc w:val="center"/>
              <w:rPr>
                <w:rFonts w:asciiTheme="minorHAnsi" w:hAnsiTheme="minorHAnsi" w:cstheme="minorHAnsi"/>
                <w:sz w:val="20"/>
                <w:szCs w:val="20"/>
              </w:rPr>
            </w:pPr>
            <w:r>
              <w:rPr>
                <w:rFonts w:asciiTheme="minorHAnsi" w:hAnsiTheme="minorHAnsi" w:cstheme="minorHAnsi"/>
                <w:sz w:val="20"/>
                <w:szCs w:val="20"/>
              </w:rPr>
              <w:t>1</w:t>
            </w:r>
          </w:p>
        </w:tc>
        <w:tc>
          <w:tcPr>
            <w:tcW w:w="802" w:type="pct"/>
            <w:shd w:val="pct5" w:color="000000" w:fill="FFFFFF"/>
            <w:vAlign w:val="center"/>
          </w:tcPr>
          <w:p w:rsidR="0052595F" w:rsidRDefault="0052595F" w:rsidP="006B0B4C">
            <w:pPr>
              <w:jc w:val="center"/>
              <w:rPr>
                <w:rFonts w:asciiTheme="minorHAnsi" w:hAnsiTheme="minorHAnsi" w:cstheme="minorHAnsi"/>
                <w:sz w:val="20"/>
                <w:szCs w:val="20"/>
              </w:rPr>
            </w:pPr>
            <w:r>
              <w:rPr>
                <w:rFonts w:asciiTheme="minorHAnsi" w:hAnsiTheme="minorHAnsi" w:cstheme="minorHAnsi"/>
                <w:sz w:val="20"/>
                <w:szCs w:val="20"/>
              </w:rPr>
              <w:t>09/10/2009</w:t>
            </w:r>
          </w:p>
        </w:tc>
        <w:tc>
          <w:tcPr>
            <w:tcW w:w="1203" w:type="pct"/>
            <w:shd w:val="pct5" w:color="000000" w:fill="FFFFFF"/>
            <w:vAlign w:val="center"/>
          </w:tcPr>
          <w:p w:rsidR="0052595F" w:rsidRDefault="0052595F" w:rsidP="006B0B4C">
            <w:pPr>
              <w:jc w:val="center"/>
              <w:rPr>
                <w:rFonts w:asciiTheme="minorHAnsi" w:hAnsiTheme="minorHAnsi" w:cstheme="minorHAnsi"/>
                <w:sz w:val="20"/>
                <w:szCs w:val="20"/>
              </w:rPr>
            </w:pPr>
            <w:r>
              <w:rPr>
                <w:rFonts w:asciiTheme="minorHAnsi" w:hAnsiTheme="minorHAnsi" w:cstheme="minorHAnsi"/>
                <w:sz w:val="20"/>
                <w:szCs w:val="20"/>
              </w:rPr>
              <w:t xml:space="preserve">Lucie </w:t>
            </w:r>
            <w:proofErr w:type="spellStart"/>
            <w:r>
              <w:rPr>
                <w:rFonts w:asciiTheme="minorHAnsi" w:hAnsiTheme="minorHAnsi" w:cstheme="minorHAnsi"/>
                <w:sz w:val="20"/>
                <w:szCs w:val="20"/>
              </w:rPr>
              <w:t>Sidibe</w:t>
            </w:r>
            <w:proofErr w:type="spellEnd"/>
            <w:r>
              <w:rPr>
                <w:rFonts w:asciiTheme="minorHAnsi" w:hAnsiTheme="minorHAnsi" w:cstheme="minorHAnsi"/>
                <w:sz w:val="20"/>
                <w:szCs w:val="20"/>
              </w:rPr>
              <w:t>, SDG&amp;E</w:t>
            </w:r>
          </w:p>
        </w:tc>
        <w:tc>
          <w:tcPr>
            <w:tcW w:w="2199" w:type="pct"/>
            <w:shd w:val="pct5" w:color="000000" w:fill="FFFFFF"/>
          </w:tcPr>
          <w:p w:rsidR="0052595F" w:rsidRDefault="0052595F" w:rsidP="0052595F">
            <w:pPr>
              <w:rPr>
                <w:rFonts w:asciiTheme="minorHAnsi" w:hAnsiTheme="minorHAnsi" w:cstheme="minorHAnsi"/>
                <w:bCs/>
                <w:sz w:val="20"/>
                <w:szCs w:val="20"/>
              </w:rPr>
            </w:pPr>
            <w:r w:rsidRPr="0052595F">
              <w:rPr>
                <w:rFonts w:asciiTheme="minorHAnsi" w:hAnsiTheme="minorHAnsi" w:cstheme="minorHAnsi"/>
                <w:bCs/>
                <w:sz w:val="20"/>
                <w:szCs w:val="20"/>
              </w:rPr>
              <w:t>Linear Fluorescent Interior Fixture SDGEWPNRL044</w:t>
            </w:r>
            <w:r>
              <w:rPr>
                <w:rFonts w:asciiTheme="minorHAnsi" w:hAnsiTheme="minorHAnsi" w:cstheme="minorHAnsi"/>
                <w:bCs/>
                <w:sz w:val="20"/>
                <w:szCs w:val="20"/>
              </w:rPr>
              <w:t xml:space="preserve"> </w:t>
            </w:r>
            <w:r w:rsidRPr="0052595F">
              <w:rPr>
                <w:rFonts w:asciiTheme="minorHAnsi" w:hAnsiTheme="minorHAnsi" w:cstheme="minorHAnsi"/>
                <w:bCs/>
                <w:sz w:val="20"/>
                <w:szCs w:val="20"/>
              </w:rPr>
              <w:t>adopted from PGE Work Paper Revision0, April 01, 2008, PGECOLTG114</w:t>
            </w:r>
          </w:p>
        </w:tc>
      </w:tr>
      <w:tr w:rsidR="0052595F" w:rsidRPr="005734A4" w:rsidTr="006B0B4C">
        <w:trPr>
          <w:cnfStyle w:val="000000100000" w:firstRow="0" w:lastRow="0" w:firstColumn="0" w:lastColumn="0" w:oddVBand="0" w:evenVBand="0" w:oddHBand="1" w:evenHBand="0" w:firstRowFirstColumn="0" w:firstRowLastColumn="0" w:lastRowFirstColumn="0" w:lastRowLastColumn="0"/>
          <w:trHeight w:val="247"/>
        </w:trPr>
        <w:tc>
          <w:tcPr>
            <w:tcW w:w="796" w:type="pct"/>
            <w:vAlign w:val="center"/>
          </w:tcPr>
          <w:p w:rsidR="0052595F" w:rsidRDefault="0052595F" w:rsidP="006B0B4C">
            <w:pPr>
              <w:jc w:val="center"/>
              <w:rPr>
                <w:rFonts w:asciiTheme="minorHAnsi" w:hAnsiTheme="minorHAnsi" w:cstheme="minorHAnsi"/>
                <w:sz w:val="20"/>
                <w:szCs w:val="20"/>
              </w:rPr>
            </w:pPr>
            <w:r>
              <w:rPr>
                <w:rFonts w:asciiTheme="minorHAnsi" w:hAnsiTheme="minorHAnsi" w:cstheme="minorHAnsi"/>
                <w:sz w:val="20"/>
                <w:szCs w:val="20"/>
              </w:rPr>
              <w:t>2</w:t>
            </w:r>
          </w:p>
        </w:tc>
        <w:tc>
          <w:tcPr>
            <w:tcW w:w="802" w:type="pct"/>
            <w:vAlign w:val="center"/>
          </w:tcPr>
          <w:p w:rsidR="0052595F" w:rsidRDefault="0052595F" w:rsidP="006B0B4C">
            <w:pPr>
              <w:jc w:val="center"/>
              <w:rPr>
                <w:rFonts w:asciiTheme="minorHAnsi" w:hAnsiTheme="minorHAnsi" w:cstheme="minorHAnsi"/>
                <w:sz w:val="20"/>
                <w:szCs w:val="20"/>
              </w:rPr>
            </w:pPr>
            <w:r>
              <w:rPr>
                <w:rFonts w:asciiTheme="minorHAnsi" w:hAnsiTheme="minorHAnsi" w:cstheme="minorHAnsi"/>
                <w:sz w:val="20"/>
                <w:szCs w:val="20"/>
              </w:rPr>
              <w:t>08/12/2011</w:t>
            </w:r>
          </w:p>
        </w:tc>
        <w:tc>
          <w:tcPr>
            <w:tcW w:w="1203" w:type="pct"/>
            <w:vAlign w:val="center"/>
          </w:tcPr>
          <w:p w:rsidR="0052595F" w:rsidRDefault="0052595F" w:rsidP="006B0B4C">
            <w:pPr>
              <w:jc w:val="center"/>
              <w:rPr>
                <w:rFonts w:asciiTheme="minorHAnsi" w:hAnsiTheme="minorHAnsi" w:cstheme="minorHAnsi"/>
                <w:sz w:val="20"/>
                <w:szCs w:val="20"/>
              </w:rPr>
            </w:pPr>
            <w:r>
              <w:rPr>
                <w:rFonts w:asciiTheme="minorHAnsi" w:hAnsiTheme="minorHAnsi" w:cstheme="minorHAnsi"/>
                <w:sz w:val="20"/>
                <w:szCs w:val="20"/>
              </w:rPr>
              <w:t xml:space="preserve">Charles </w:t>
            </w:r>
            <w:proofErr w:type="spellStart"/>
            <w:r>
              <w:rPr>
                <w:rFonts w:asciiTheme="minorHAnsi" w:hAnsiTheme="minorHAnsi" w:cstheme="minorHAnsi"/>
                <w:sz w:val="20"/>
                <w:szCs w:val="20"/>
              </w:rPr>
              <w:t>Harmstead</w:t>
            </w:r>
            <w:proofErr w:type="spellEnd"/>
            <w:r>
              <w:rPr>
                <w:rFonts w:asciiTheme="minorHAnsi" w:hAnsiTheme="minorHAnsi" w:cstheme="minorHAnsi"/>
                <w:sz w:val="20"/>
                <w:szCs w:val="20"/>
              </w:rPr>
              <w:t>, SDG&amp;E</w:t>
            </w:r>
          </w:p>
        </w:tc>
        <w:tc>
          <w:tcPr>
            <w:tcW w:w="2199" w:type="pct"/>
          </w:tcPr>
          <w:p w:rsidR="0052595F" w:rsidRPr="005A0798" w:rsidRDefault="0052595F" w:rsidP="005A0798">
            <w:pPr>
              <w:pStyle w:val="ListParagraph"/>
              <w:numPr>
                <w:ilvl w:val="0"/>
                <w:numId w:val="13"/>
              </w:numPr>
              <w:rPr>
                <w:rFonts w:asciiTheme="minorHAnsi" w:hAnsiTheme="minorHAnsi" w:cstheme="minorHAnsi"/>
                <w:bCs/>
                <w:sz w:val="20"/>
                <w:szCs w:val="20"/>
              </w:rPr>
            </w:pPr>
            <w:r w:rsidRPr="005A0798">
              <w:rPr>
                <w:rFonts w:asciiTheme="minorHAnsi" w:hAnsiTheme="minorHAnsi" w:cstheme="minorHAnsi"/>
                <w:bCs/>
                <w:sz w:val="20"/>
                <w:szCs w:val="20"/>
              </w:rPr>
              <w:t>Updated NTG value to DEER08</w:t>
            </w:r>
          </w:p>
          <w:p w:rsidR="0052595F" w:rsidRPr="005A0798" w:rsidRDefault="0052595F" w:rsidP="005A0798">
            <w:pPr>
              <w:pStyle w:val="ListParagraph"/>
              <w:numPr>
                <w:ilvl w:val="0"/>
                <w:numId w:val="13"/>
              </w:numPr>
              <w:rPr>
                <w:rFonts w:asciiTheme="minorHAnsi" w:hAnsiTheme="minorHAnsi" w:cstheme="minorHAnsi"/>
                <w:bCs/>
                <w:sz w:val="20"/>
                <w:szCs w:val="20"/>
              </w:rPr>
            </w:pPr>
            <w:r w:rsidRPr="005A0798">
              <w:rPr>
                <w:rFonts w:asciiTheme="minorHAnsi" w:hAnsiTheme="minorHAnsi" w:cstheme="minorHAnsi"/>
                <w:bCs/>
                <w:sz w:val="20"/>
                <w:szCs w:val="20"/>
              </w:rPr>
              <w:t>Updated Cost values</w:t>
            </w:r>
          </w:p>
          <w:p w:rsidR="0052595F" w:rsidRPr="005A0798" w:rsidRDefault="0052595F" w:rsidP="005A0798">
            <w:pPr>
              <w:pStyle w:val="ListParagraph"/>
              <w:numPr>
                <w:ilvl w:val="0"/>
                <w:numId w:val="13"/>
              </w:numPr>
              <w:rPr>
                <w:rFonts w:asciiTheme="minorHAnsi" w:hAnsiTheme="minorHAnsi" w:cstheme="minorHAnsi"/>
                <w:bCs/>
                <w:sz w:val="20"/>
                <w:szCs w:val="20"/>
              </w:rPr>
            </w:pPr>
            <w:r w:rsidRPr="005A0798">
              <w:rPr>
                <w:rFonts w:asciiTheme="minorHAnsi" w:hAnsiTheme="minorHAnsi" w:cstheme="minorHAnsi"/>
                <w:bCs/>
                <w:sz w:val="20"/>
                <w:szCs w:val="20"/>
              </w:rPr>
              <w:t>Saving calculations were adjusted to meet DEER 3.02 Lighting Work Book hours and interactive effects. Dual baselines were added, where applicable</w:t>
            </w:r>
          </w:p>
        </w:tc>
      </w:tr>
      <w:tr w:rsidR="0052595F" w:rsidRPr="005734A4" w:rsidTr="006B0B4C">
        <w:trPr>
          <w:cnfStyle w:val="000000010000" w:firstRow="0" w:lastRow="0" w:firstColumn="0" w:lastColumn="0" w:oddVBand="0" w:evenVBand="0" w:oddHBand="0" w:evenHBand="1" w:firstRowFirstColumn="0" w:firstRowLastColumn="0" w:lastRowFirstColumn="0" w:lastRowLastColumn="0"/>
          <w:trHeight w:val="247"/>
        </w:trPr>
        <w:tc>
          <w:tcPr>
            <w:tcW w:w="796" w:type="pct"/>
            <w:shd w:val="pct5" w:color="000000" w:fill="FFFFFF"/>
            <w:vAlign w:val="center"/>
          </w:tcPr>
          <w:p w:rsidR="0052595F" w:rsidRDefault="0052595F" w:rsidP="006B0B4C">
            <w:pPr>
              <w:jc w:val="center"/>
              <w:rPr>
                <w:rFonts w:asciiTheme="minorHAnsi" w:hAnsiTheme="minorHAnsi" w:cstheme="minorHAnsi"/>
                <w:sz w:val="20"/>
                <w:szCs w:val="20"/>
              </w:rPr>
            </w:pPr>
            <w:r>
              <w:rPr>
                <w:rFonts w:asciiTheme="minorHAnsi" w:hAnsiTheme="minorHAnsi" w:cstheme="minorHAnsi"/>
                <w:sz w:val="20"/>
                <w:szCs w:val="20"/>
              </w:rPr>
              <w:t>3</w:t>
            </w:r>
          </w:p>
        </w:tc>
        <w:tc>
          <w:tcPr>
            <w:tcW w:w="802" w:type="pct"/>
            <w:shd w:val="pct5" w:color="000000" w:fill="FFFFFF"/>
            <w:vAlign w:val="center"/>
          </w:tcPr>
          <w:p w:rsidR="0052595F" w:rsidRDefault="0052595F" w:rsidP="006B0B4C">
            <w:pPr>
              <w:jc w:val="center"/>
              <w:rPr>
                <w:rFonts w:asciiTheme="minorHAnsi" w:hAnsiTheme="minorHAnsi" w:cstheme="minorHAnsi"/>
                <w:sz w:val="20"/>
                <w:szCs w:val="20"/>
              </w:rPr>
            </w:pPr>
            <w:r>
              <w:rPr>
                <w:rFonts w:asciiTheme="minorHAnsi" w:hAnsiTheme="minorHAnsi" w:cstheme="minorHAnsi"/>
                <w:sz w:val="20"/>
                <w:szCs w:val="20"/>
              </w:rPr>
              <w:t>06/26/2012</w:t>
            </w:r>
          </w:p>
        </w:tc>
        <w:tc>
          <w:tcPr>
            <w:tcW w:w="1203" w:type="pct"/>
            <w:shd w:val="pct5" w:color="000000" w:fill="FFFFFF"/>
            <w:vAlign w:val="center"/>
          </w:tcPr>
          <w:p w:rsidR="0052595F" w:rsidRDefault="0052595F" w:rsidP="006B0B4C">
            <w:pPr>
              <w:jc w:val="center"/>
              <w:rPr>
                <w:rFonts w:asciiTheme="minorHAnsi" w:hAnsiTheme="minorHAnsi" w:cstheme="minorHAnsi"/>
                <w:sz w:val="20"/>
                <w:szCs w:val="20"/>
              </w:rPr>
            </w:pPr>
            <w:r>
              <w:rPr>
                <w:rFonts w:asciiTheme="minorHAnsi" w:hAnsiTheme="minorHAnsi" w:cstheme="minorHAnsi"/>
                <w:sz w:val="20"/>
                <w:szCs w:val="20"/>
              </w:rPr>
              <w:t xml:space="preserve">Charles </w:t>
            </w:r>
            <w:proofErr w:type="spellStart"/>
            <w:r>
              <w:rPr>
                <w:rFonts w:asciiTheme="minorHAnsi" w:hAnsiTheme="minorHAnsi" w:cstheme="minorHAnsi"/>
                <w:sz w:val="20"/>
                <w:szCs w:val="20"/>
              </w:rPr>
              <w:t>Harmstead</w:t>
            </w:r>
            <w:proofErr w:type="spellEnd"/>
            <w:r>
              <w:rPr>
                <w:rFonts w:asciiTheme="minorHAnsi" w:hAnsiTheme="minorHAnsi" w:cstheme="minorHAnsi"/>
                <w:sz w:val="20"/>
                <w:szCs w:val="20"/>
              </w:rPr>
              <w:t>, SDG&amp;E</w:t>
            </w:r>
          </w:p>
        </w:tc>
        <w:tc>
          <w:tcPr>
            <w:tcW w:w="2199" w:type="pct"/>
            <w:shd w:val="pct5" w:color="000000" w:fill="FFFFFF"/>
          </w:tcPr>
          <w:p w:rsidR="0052595F" w:rsidRPr="005A0798" w:rsidRDefault="0052595F" w:rsidP="005A0798">
            <w:pPr>
              <w:pStyle w:val="ListParagraph"/>
              <w:numPr>
                <w:ilvl w:val="0"/>
                <w:numId w:val="14"/>
              </w:numPr>
              <w:rPr>
                <w:rFonts w:asciiTheme="minorHAnsi" w:hAnsiTheme="minorHAnsi" w:cstheme="minorHAnsi"/>
                <w:bCs/>
                <w:sz w:val="20"/>
                <w:szCs w:val="20"/>
              </w:rPr>
            </w:pPr>
            <w:r w:rsidRPr="005A0798">
              <w:rPr>
                <w:rFonts w:asciiTheme="minorHAnsi" w:hAnsiTheme="minorHAnsi" w:cstheme="minorHAnsi"/>
                <w:bCs/>
                <w:sz w:val="20"/>
                <w:szCs w:val="20"/>
              </w:rPr>
              <w:t>Updated NTGR value to DEER 2011</w:t>
            </w:r>
          </w:p>
          <w:p w:rsidR="0052595F" w:rsidRPr="005A0798" w:rsidRDefault="0052595F" w:rsidP="005A0798">
            <w:pPr>
              <w:pStyle w:val="ListParagraph"/>
              <w:numPr>
                <w:ilvl w:val="0"/>
                <w:numId w:val="14"/>
              </w:numPr>
              <w:rPr>
                <w:rFonts w:asciiTheme="minorHAnsi" w:hAnsiTheme="minorHAnsi" w:cstheme="minorHAnsi"/>
                <w:bCs/>
                <w:sz w:val="20"/>
                <w:szCs w:val="20"/>
              </w:rPr>
            </w:pPr>
            <w:r w:rsidRPr="005A0798">
              <w:rPr>
                <w:rFonts w:asciiTheme="minorHAnsi" w:hAnsiTheme="minorHAnsi" w:cstheme="minorHAnsi"/>
                <w:bCs/>
                <w:sz w:val="20"/>
                <w:szCs w:val="20"/>
              </w:rPr>
              <w:t xml:space="preserve">Updated savings calculations to </w:t>
            </w:r>
            <w:proofErr w:type="spellStart"/>
            <w:r w:rsidRPr="005A0798">
              <w:rPr>
                <w:rFonts w:asciiTheme="minorHAnsi" w:hAnsiTheme="minorHAnsi" w:cstheme="minorHAnsi"/>
                <w:bCs/>
                <w:sz w:val="20"/>
                <w:szCs w:val="20"/>
              </w:rPr>
              <w:t>workpaper</w:t>
            </w:r>
            <w:proofErr w:type="spellEnd"/>
            <w:r w:rsidRPr="005A0798">
              <w:rPr>
                <w:rFonts w:asciiTheme="minorHAnsi" w:hAnsiTheme="minorHAnsi" w:cstheme="minorHAnsi"/>
                <w:bCs/>
                <w:sz w:val="20"/>
                <w:szCs w:val="20"/>
              </w:rPr>
              <w:t xml:space="preserve"> WPSDGENRLG0999</w:t>
            </w:r>
          </w:p>
        </w:tc>
      </w:tr>
      <w:tr w:rsidR="0052595F" w:rsidRPr="005734A4" w:rsidTr="006B0B4C">
        <w:trPr>
          <w:cnfStyle w:val="000000100000" w:firstRow="0" w:lastRow="0" w:firstColumn="0" w:lastColumn="0" w:oddVBand="0" w:evenVBand="0" w:oddHBand="1" w:evenHBand="0" w:firstRowFirstColumn="0" w:firstRowLastColumn="0" w:lastRowFirstColumn="0" w:lastRowLastColumn="0"/>
          <w:trHeight w:val="247"/>
        </w:trPr>
        <w:tc>
          <w:tcPr>
            <w:tcW w:w="796" w:type="pct"/>
            <w:vAlign w:val="center"/>
          </w:tcPr>
          <w:p w:rsidR="0052595F" w:rsidRDefault="0052595F" w:rsidP="006B0B4C">
            <w:pPr>
              <w:jc w:val="center"/>
              <w:rPr>
                <w:rFonts w:asciiTheme="minorHAnsi" w:hAnsiTheme="minorHAnsi" w:cstheme="minorHAnsi"/>
                <w:sz w:val="20"/>
                <w:szCs w:val="20"/>
              </w:rPr>
            </w:pPr>
            <w:r>
              <w:rPr>
                <w:rFonts w:asciiTheme="minorHAnsi" w:hAnsiTheme="minorHAnsi" w:cstheme="minorHAnsi"/>
                <w:sz w:val="20"/>
                <w:szCs w:val="20"/>
              </w:rPr>
              <w:t>4</w:t>
            </w:r>
          </w:p>
        </w:tc>
        <w:tc>
          <w:tcPr>
            <w:tcW w:w="802" w:type="pct"/>
            <w:vAlign w:val="center"/>
          </w:tcPr>
          <w:p w:rsidR="0052595F" w:rsidRDefault="00DE77CF" w:rsidP="006B0B4C">
            <w:pPr>
              <w:jc w:val="center"/>
              <w:rPr>
                <w:rFonts w:asciiTheme="minorHAnsi" w:hAnsiTheme="minorHAnsi" w:cstheme="minorHAnsi"/>
                <w:sz w:val="20"/>
                <w:szCs w:val="20"/>
              </w:rPr>
            </w:pPr>
            <w:r>
              <w:rPr>
                <w:rFonts w:asciiTheme="minorHAnsi" w:hAnsiTheme="minorHAnsi" w:cstheme="minorHAnsi"/>
                <w:sz w:val="20"/>
                <w:szCs w:val="20"/>
              </w:rPr>
              <w:t>01/</w:t>
            </w:r>
            <w:r w:rsidR="00743E5A">
              <w:rPr>
                <w:rFonts w:asciiTheme="minorHAnsi" w:hAnsiTheme="minorHAnsi" w:cstheme="minorHAnsi"/>
                <w:sz w:val="20"/>
                <w:szCs w:val="20"/>
              </w:rPr>
              <w:t>30</w:t>
            </w:r>
            <w:r w:rsidR="0052595F">
              <w:rPr>
                <w:rFonts w:asciiTheme="minorHAnsi" w:hAnsiTheme="minorHAnsi" w:cstheme="minorHAnsi"/>
                <w:sz w:val="20"/>
                <w:szCs w:val="20"/>
              </w:rPr>
              <w:t>/2014</w:t>
            </w:r>
          </w:p>
        </w:tc>
        <w:tc>
          <w:tcPr>
            <w:tcW w:w="1203" w:type="pct"/>
            <w:vAlign w:val="center"/>
          </w:tcPr>
          <w:p w:rsidR="0052595F" w:rsidRDefault="0052595F" w:rsidP="006B0B4C">
            <w:pPr>
              <w:jc w:val="center"/>
              <w:rPr>
                <w:rFonts w:asciiTheme="minorHAnsi" w:hAnsiTheme="minorHAnsi" w:cstheme="minorHAnsi"/>
                <w:sz w:val="20"/>
                <w:szCs w:val="20"/>
              </w:rPr>
            </w:pPr>
            <w:r>
              <w:rPr>
                <w:rFonts w:asciiTheme="minorHAnsi" w:hAnsiTheme="minorHAnsi" w:cstheme="minorHAnsi"/>
                <w:sz w:val="20"/>
                <w:szCs w:val="20"/>
              </w:rPr>
              <w:t>Rocaciano Vega, RMS</w:t>
            </w:r>
          </w:p>
        </w:tc>
        <w:tc>
          <w:tcPr>
            <w:tcW w:w="2199" w:type="pct"/>
          </w:tcPr>
          <w:p w:rsidR="000A647B" w:rsidRPr="005A0798" w:rsidRDefault="000A647B" w:rsidP="005A0798">
            <w:pPr>
              <w:pStyle w:val="ListParagraph"/>
              <w:numPr>
                <w:ilvl w:val="0"/>
                <w:numId w:val="15"/>
              </w:numPr>
              <w:rPr>
                <w:rFonts w:asciiTheme="minorHAnsi" w:hAnsiTheme="minorHAnsi" w:cstheme="minorHAnsi"/>
                <w:bCs/>
                <w:sz w:val="20"/>
                <w:szCs w:val="20"/>
              </w:rPr>
            </w:pPr>
            <w:r w:rsidRPr="005A0798">
              <w:rPr>
                <w:rFonts w:asciiTheme="minorHAnsi" w:hAnsiTheme="minorHAnsi" w:cstheme="minorHAnsi"/>
                <w:bCs/>
                <w:sz w:val="20"/>
                <w:szCs w:val="20"/>
              </w:rPr>
              <w:t xml:space="preserve">Updated </w:t>
            </w:r>
            <w:proofErr w:type="spellStart"/>
            <w:r w:rsidRPr="005A0798">
              <w:rPr>
                <w:rFonts w:asciiTheme="minorHAnsi" w:hAnsiTheme="minorHAnsi" w:cstheme="minorHAnsi"/>
                <w:bCs/>
                <w:sz w:val="20"/>
                <w:szCs w:val="20"/>
              </w:rPr>
              <w:t>workpaper</w:t>
            </w:r>
            <w:proofErr w:type="spellEnd"/>
            <w:r w:rsidRPr="005A0798">
              <w:rPr>
                <w:rFonts w:asciiTheme="minorHAnsi" w:hAnsiTheme="minorHAnsi" w:cstheme="minorHAnsi"/>
                <w:bCs/>
                <w:sz w:val="20"/>
                <w:szCs w:val="20"/>
              </w:rPr>
              <w:t xml:space="preserve"> to new format. </w:t>
            </w:r>
          </w:p>
          <w:p w:rsidR="000A647B" w:rsidRPr="005A0798" w:rsidRDefault="000A647B" w:rsidP="005A0798">
            <w:pPr>
              <w:pStyle w:val="ListParagraph"/>
              <w:numPr>
                <w:ilvl w:val="0"/>
                <w:numId w:val="15"/>
              </w:numPr>
              <w:rPr>
                <w:rFonts w:asciiTheme="minorHAnsi" w:hAnsiTheme="minorHAnsi" w:cstheme="minorHAnsi"/>
                <w:bCs/>
                <w:sz w:val="20"/>
                <w:szCs w:val="20"/>
              </w:rPr>
            </w:pPr>
            <w:r w:rsidRPr="005A0798">
              <w:rPr>
                <w:rFonts w:asciiTheme="minorHAnsi" w:hAnsiTheme="minorHAnsi" w:cstheme="minorHAnsi"/>
                <w:bCs/>
                <w:sz w:val="20"/>
                <w:szCs w:val="20"/>
              </w:rPr>
              <w:t xml:space="preserve">Added Measures table, DEER Difference Summary table, Code Summary table, GSIA ID table, and Building Types and Load Shapes table. </w:t>
            </w:r>
          </w:p>
          <w:p w:rsidR="003328A4" w:rsidRDefault="000A647B" w:rsidP="003328A4">
            <w:pPr>
              <w:pStyle w:val="ListParagraph"/>
              <w:numPr>
                <w:ilvl w:val="0"/>
                <w:numId w:val="15"/>
              </w:numPr>
              <w:rPr>
                <w:rFonts w:asciiTheme="minorHAnsi" w:hAnsiTheme="minorHAnsi" w:cstheme="minorHAnsi"/>
                <w:bCs/>
                <w:sz w:val="20"/>
                <w:szCs w:val="20"/>
              </w:rPr>
            </w:pPr>
            <w:r w:rsidRPr="005A0798">
              <w:rPr>
                <w:rFonts w:asciiTheme="minorHAnsi" w:hAnsiTheme="minorHAnsi" w:cstheme="minorHAnsi"/>
                <w:bCs/>
                <w:sz w:val="20"/>
                <w:szCs w:val="20"/>
              </w:rPr>
              <w:t xml:space="preserve">Updated Code Analysis, Measure EUL, NTG, and Energy Savings &amp; Demand Reduction Calculations, and Costs sections </w:t>
            </w:r>
            <w:r w:rsidR="003328A4">
              <w:rPr>
                <w:rFonts w:asciiTheme="minorHAnsi" w:hAnsiTheme="minorHAnsi" w:cstheme="minorHAnsi"/>
                <w:bCs/>
                <w:sz w:val="20"/>
                <w:szCs w:val="20"/>
              </w:rPr>
              <w:t xml:space="preserve">per the CPUC Lighting Disposition (Nov. 12, 2013) </w:t>
            </w:r>
          </w:p>
          <w:p w:rsidR="0052595F" w:rsidRPr="005A0798" w:rsidRDefault="003328A4" w:rsidP="003328A4">
            <w:pPr>
              <w:pStyle w:val="ListParagraph"/>
              <w:numPr>
                <w:ilvl w:val="0"/>
                <w:numId w:val="15"/>
              </w:numPr>
              <w:rPr>
                <w:rFonts w:asciiTheme="minorHAnsi" w:hAnsiTheme="minorHAnsi" w:cstheme="minorHAnsi"/>
                <w:bCs/>
                <w:sz w:val="20"/>
                <w:szCs w:val="20"/>
              </w:rPr>
            </w:pPr>
            <w:r>
              <w:rPr>
                <w:rFonts w:asciiTheme="minorHAnsi" w:hAnsiTheme="minorHAnsi" w:cstheme="minorHAnsi"/>
                <w:bCs/>
                <w:sz w:val="20"/>
                <w:szCs w:val="20"/>
              </w:rPr>
              <w:t>R</w:t>
            </w:r>
            <w:r w:rsidR="000A647B" w:rsidRPr="005A0798">
              <w:rPr>
                <w:rFonts w:asciiTheme="minorHAnsi" w:hAnsiTheme="minorHAnsi" w:cstheme="minorHAnsi"/>
                <w:bCs/>
                <w:sz w:val="20"/>
                <w:szCs w:val="20"/>
              </w:rPr>
              <w:t>eference</w:t>
            </w:r>
            <w:r>
              <w:rPr>
                <w:rFonts w:asciiTheme="minorHAnsi" w:hAnsiTheme="minorHAnsi" w:cstheme="minorHAnsi"/>
                <w:bCs/>
                <w:sz w:val="20"/>
                <w:szCs w:val="20"/>
              </w:rPr>
              <w:t>d</w:t>
            </w:r>
            <w:r w:rsidR="000A647B" w:rsidRPr="005A0798">
              <w:rPr>
                <w:rFonts w:asciiTheme="minorHAnsi" w:hAnsiTheme="minorHAnsi" w:cstheme="minorHAnsi"/>
                <w:bCs/>
                <w:sz w:val="20"/>
                <w:szCs w:val="20"/>
              </w:rPr>
              <w:t xml:space="preserve"> </w:t>
            </w:r>
            <w:proofErr w:type="spellStart"/>
            <w:r w:rsidR="000A647B" w:rsidRPr="005A0798">
              <w:rPr>
                <w:rFonts w:asciiTheme="minorHAnsi" w:hAnsiTheme="minorHAnsi" w:cstheme="minorHAnsi"/>
                <w:bCs/>
                <w:sz w:val="20"/>
                <w:szCs w:val="20"/>
              </w:rPr>
              <w:t>workpaper</w:t>
            </w:r>
            <w:proofErr w:type="spellEnd"/>
            <w:r w:rsidR="000A647B" w:rsidRPr="005A0798">
              <w:rPr>
                <w:rFonts w:asciiTheme="minorHAnsi" w:hAnsiTheme="minorHAnsi" w:cstheme="minorHAnsi"/>
                <w:bCs/>
                <w:sz w:val="20"/>
                <w:szCs w:val="20"/>
              </w:rPr>
              <w:t xml:space="preserve"> WPSDGENRLG0999</w:t>
            </w:r>
            <w:r>
              <w:rPr>
                <w:rFonts w:asciiTheme="minorHAnsi" w:hAnsiTheme="minorHAnsi" w:cstheme="minorHAnsi"/>
                <w:bCs/>
                <w:sz w:val="20"/>
                <w:szCs w:val="20"/>
              </w:rPr>
              <w:t>,</w:t>
            </w:r>
            <w:r w:rsidR="000A647B" w:rsidRPr="005A0798">
              <w:rPr>
                <w:rFonts w:asciiTheme="minorHAnsi" w:hAnsiTheme="minorHAnsi" w:cstheme="minorHAnsi"/>
                <w:bCs/>
                <w:sz w:val="20"/>
                <w:szCs w:val="20"/>
              </w:rPr>
              <w:t xml:space="preserve"> </w:t>
            </w:r>
            <w:r>
              <w:rPr>
                <w:rFonts w:asciiTheme="minorHAnsi" w:hAnsiTheme="minorHAnsi" w:cstheme="minorHAnsi"/>
                <w:bCs/>
                <w:sz w:val="20"/>
                <w:szCs w:val="20"/>
              </w:rPr>
              <w:t>where applicable</w:t>
            </w:r>
            <w:r w:rsidR="000A647B" w:rsidRPr="005A0798">
              <w:rPr>
                <w:rFonts w:asciiTheme="minorHAnsi" w:hAnsiTheme="minorHAnsi" w:cstheme="minorHAnsi"/>
                <w:bCs/>
                <w:sz w:val="20"/>
                <w:szCs w:val="20"/>
              </w:rPr>
              <w:t>.</w:t>
            </w:r>
          </w:p>
        </w:tc>
      </w:tr>
    </w:tbl>
    <w:p w:rsidR="00EB34FC" w:rsidRPr="00D96844" w:rsidRDefault="00EB34FC" w:rsidP="00D96844">
      <w:pPr>
        <w:pStyle w:val="Reminder"/>
        <w:rPr>
          <w:rFonts w:asciiTheme="minorHAnsi" w:hAnsiTheme="minorHAnsi" w:cstheme="minorHAnsi"/>
          <w:color w:val="auto"/>
          <w:sz w:val="40"/>
          <w:szCs w:val="40"/>
        </w:rPr>
      </w:pPr>
    </w:p>
    <w:p w:rsidR="009500DC" w:rsidRDefault="009500DC" w:rsidP="00DA690B">
      <w:pPr>
        <w:rPr>
          <w:rFonts w:asciiTheme="minorHAnsi" w:hAnsiTheme="minorHAnsi" w:cstheme="minorHAnsi"/>
        </w:rPr>
      </w:pPr>
    </w:p>
    <w:p w:rsidR="009500DC" w:rsidRDefault="009500DC" w:rsidP="00DA690B">
      <w:pPr>
        <w:rPr>
          <w:rFonts w:asciiTheme="minorHAnsi" w:hAnsiTheme="minorHAnsi" w:cstheme="minorHAnsi"/>
        </w:rPr>
        <w:sectPr w:rsidR="009500DC" w:rsidSect="009500DC">
          <w:footerReference w:type="default" r:id="rId11"/>
          <w:pgSz w:w="12240" w:h="15840"/>
          <w:pgMar w:top="1440" w:right="1440" w:bottom="1440" w:left="1440" w:header="720" w:footer="720" w:gutter="0"/>
          <w:pgNumType w:fmt="lowerRoman"/>
          <w:cols w:space="720"/>
          <w:docGrid w:linePitch="360"/>
        </w:sectPr>
      </w:pPr>
    </w:p>
    <w:p w:rsidR="00E16609" w:rsidRPr="000F130A" w:rsidRDefault="00E16609" w:rsidP="00E16609">
      <w:pPr>
        <w:pStyle w:val="Heading1"/>
        <w:rPr>
          <w:rFonts w:asciiTheme="minorHAnsi" w:hAnsiTheme="minorHAnsi" w:cstheme="minorHAnsi"/>
        </w:rPr>
      </w:pPr>
      <w:proofErr w:type="gramStart"/>
      <w:r w:rsidRPr="000F130A">
        <w:rPr>
          <w:rFonts w:asciiTheme="minorHAnsi" w:hAnsiTheme="minorHAnsi" w:cstheme="minorHAnsi"/>
        </w:rPr>
        <w:lastRenderedPageBreak/>
        <w:t>Section 1.</w:t>
      </w:r>
      <w:proofErr w:type="gramEnd"/>
      <w:r w:rsidRPr="000F130A">
        <w:rPr>
          <w:rFonts w:asciiTheme="minorHAnsi" w:hAnsiTheme="minorHAnsi" w:cstheme="minorHAnsi"/>
        </w:rPr>
        <w:t xml:space="preserve"> General Measure &amp; Baseline Data</w:t>
      </w:r>
      <w:bookmarkEnd w:id="0"/>
    </w:p>
    <w:p w:rsidR="00E16609" w:rsidRDefault="00E16609" w:rsidP="00824A37">
      <w:pPr>
        <w:pStyle w:val="Heading2"/>
        <w:numPr>
          <w:ilvl w:val="1"/>
          <w:numId w:val="9"/>
        </w:numPr>
        <w:rPr>
          <w:rFonts w:asciiTheme="minorHAnsi" w:hAnsiTheme="minorHAnsi" w:cstheme="minorHAnsi"/>
        </w:rPr>
      </w:pPr>
      <w:bookmarkStart w:id="1" w:name="_Toc214003083"/>
      <w:r w:rsidRPr="000F130A">
        <w:rPr>
          <w:rFonts w:asciiTheme="minorHAnsi" w:hAnsiTheme="minorHAnsi" w:cstheme="minorHAnsi"/>
        </w:rPr>
        <w:t xml:space="preserve">Measure &amp; Delivery Description </w:t>
      </w:r>
      <w:bookmarkEnd w:id="1"/>
    </w:p>
    <w:p w:rsidR="00E16609" w:rsidRPr="000F130A" w:rsidRDefault="00E16609" w:rsidP="00E16609">
      <w:pPr>
        <w:pStyle w:val="Heading3"/>
        <w:rPr>
          <w:rFonts w:asciiTheme="minorHAnsi" w:hAnsiTheme="minorHAnsi" w:cstheme="minorHAnsi"/>
        </w:rPr>
      </w:pPr>
      <w:r w:rsidRPr="000F130A">
        <w:rPr>
          <w:rFonts w:asciiTheme="minorHAnsi" w:hAnsiTheme="minorHAnsi" w:cstheme="minorHAnsi"/>
        </w:rPr>
        <w:t>1.1a Measure Description</w:t>
      </w:r>
    </w:p>
    <w:p w:rsidR="00F23425" w:rsidRDefault="001A35DF" w:rsidP="007A7A9D">
      <w:pPr>
        <w:rPr>
          <w:rFonts w:asciiTheme="minorHAnsi" w:hAnsiTheme="minorHAnsi" w:cstheme="minorHAnsi"/>
          <w:sz w:val="22"/>
          <w:szCs w:val="22"/>
        </w:rPr>
      </w:pPr>
      <w:r w:rsidRPr="001A35DF">
        <w:rPr>
          <w:rFonts w:asciiTheme="minorHAnsi" w:hAnsiTheme="minorHAnsi" w:cstheme="minorHAnsi"/>
          <w:sz w:val="22"/>
          <w:szCs w:val="22"/>
        </w:rPr>
        <w:t xml:space="preserve">Only complete new T8 or T5 or High Output (HO) T5 fixtures qualify. New fixtures must not exceed the maximum wattage listed in </w:t>
      </w:r>
      <w:r w:rsidR="000A647B">
        <w:rPr>
          <w:rFonts w:asciiTheme="minorHAnsi" w:hAnsiTheme="minorHAnsi" w:cstheme="minorHAnsi"/>
          <w:sz w:val="22"/>
          <w:szCs w:val="22"/>
        </w:rPr>
        <w:t>Table 1</w:t>
      </w:r>
      <w:r w:rsidRPr="001A35DF">
        <w:rPr>
          <w:rFonts w:asciiTheme="minorHAnsi" w:hAnsiTheme="minorHAnsi" w:cstheme="minorHAnsi"/>
          <w:sz w:val="22"/>
          <w:szCs w:val="22"/>
        </w:rPr>
        <w:t xml:space="preserve"> below for each range of lamp wattage being replaced and must have a lower wattage than the new fixture. (Note: In all cases, the wattage of the replacement fixture must be less than the wattage of the existing lamp.  The maximum replacement wattage listed in the table for each category is typically associated with the highest wattage in the base case range.) Fixtures must be equipped with linear fluorescent lamps and ballasts that meet the specifications defined in the T8 or T5 Linear Fluorescent Lamps with Electronic Ballasts category. New fixtures must replace one-for-one, existing Incandescent, Mercury Vapor, T12/High Output Fluorescent, T12/Very High Output Fluorescent, Standard Metal Halide, or High Pressure Sodium Fixtures in interior installations.</w:t>
      </w:r>
    </w:p>
    <w:p w:rsidR="007A7A9D" w:rsidRPr="007A7A9D" w:rsidRDefault="007A7A9D" w:rsidP="007A7A9D">
      <w:pPr>
        <w:rPr>
          <w:sz w:val="22"/>
          <w:szCs w:val="22"/>
        </w:rPr>
      </w:pPr>
    </w:p>
    <w:p w:rsidR="00B6688A" w:rsidRPr="007A7A9D" w:rsidRDefault="00B6688A" w:rsidP="00B6688A">
      <w:pPr>
        <w:pStyle w:val="Caption"/>
        <w:jc w:val="center"/>
        <w:rPr>
          <w:rFonts w:asciiTheme="minorHAnsi" w:hAnsiTheme="minorHAnsi" w:cstheme="minorHAnsi"/>
          <w:sz w:val="22"/>
          <w:szCs w:val="22"/>
        </w:rPr>
      </w:pPr>
      <w:bookmarkStart w:id="2" w:name="_Ref300124694"/>
      <w:r w:rsidRPr="007A7A9D">
        <w:rPr>
          <w:rFonts w:asciiTheme="minorHAnsi" w:hAnsiTheme="minorHAnsi" w:cstheme="minorHAnsi"/>
          <w:sz w:val="22"/>
          <w:szCs w:val="22"/>
        </w:rPr>
        <w:t xml:space="preserve">Table </w:t>
      </w:r>
      <w:r w:rsidRPr="007A7A9D">
        <w:rPr>
          <w:rFonts w:asciiTheme="minorHAnsi" w:hAnsiTheme="minorHAnsi" w:cstheme="minorHAnsi"/>
          <w:sz w:val="22"/>
          <w:szCs w:val="22"/>
        </w:rPr>
        <w:fldChar w:fldCharType="begin"/>
      </w:r>
      <w:r w:rsidRPr="007A7A9D">
        <w:rPr>
          <w:rFonts w:asciiTheme="minorHAnsi" w:hAnsiTheme="minorHAnsi" w:cstheme="minorHAnsi"/>
          <w:sz w:val="22"/>
          <w:szCs w:val="22"/>
        </w:rPr>
        <w:instrText xml:space="preserve"> SEQ Table \* ARABIC </w:instrText>
      </w:r>
      <w:r w:rsidRPr="007A7A9D">
        <w:rPr>
          <w:rFonts w:asciiTheme="minorHAnsi" w:hAnsiTheme="minorHAnsi" w:cstheme="minorHAnsi"/>
          <w:sz w:val="22"/>
          <w:szCs w:val="22"/>
        </w:rPr>
        <w:fldChar w:fldCharType="separate"/>
      </w:r>
      <w:r w:rsidR="005F254C">
        <w:rPr>
          <w:rFonts w:asciiTheme="minorHAnsi" w:hAnsiTheme="minorHAnsi" w:cstheme="minorHAnsi"/>
          <w:noProof/>
          <w:sz w:val="22"/>
          <w:szCs w:val="22"/>
        </w:rPr>
        <w:t>1</w:t>
      </w:r>
      <w:r w:rsidRPr="007A7A9D">
        <w:rPr>
          <w:rFonts w:asciiTheme="minorHAnsi" w:hAnsiTheme="minorHAnsi" w:cstheme="minorHAnsi"/>
          <w:sz w:val="22"/>
          <w:szCs w:val="22"/>
        </w:rPr>
        <w:fldChar w:fldCharType="end"/>
      </w:r>
      <w:bookmarkEnd w:id="2"/>
      <w:r w:rsidRPr="007A7A9D">
        <w:rPr>
          <w:rFonts w:asciiTheme="minorHAnsi" w:hAnsiTheme="minorHAnsi" w:cstheme="minorHAnsi"/>
          <w:sz w:val="22"/>
          <w:szCs w:val="22"/>
        </w:rPr>
        <w:t xml:space="preserve"> Measure Names</w:t>
      </w:r>
    </w:p>
    <w:tbl>
      <w:tblPr>
        <w:tblStyle w:val="TableContemporary"/>
        <w:tblW w:w="0" w:type="auto"/>
        <w:jc w:val="center"/>
        <w:tblLook w:val="04A0" w:firstRow="1" w:lastRow="0" w:firstColumn="1" w:lastColumn="0" w:noHBand="0" w:noVBand="1"/>
      </w:tblPr>
      <w:tblGrid>
        <w:gridCol w:w="2394"/>
        <w:gridCol w:w="4725"/>
      </w:tblGrid>
      <w:tr w:rsidR="00B6688A" w:rsidRPr="005B28C1" w:rsidTr="001F3F31">
        <w:trPr>
          <w:cnfStyle w:val="100000000000" w:firstRow="1" w:lastRow="0" w:firstColumn="0" w:lastColumn="0" w:oddVBand="0" w:evenVBand="0" w:oddHBand="0" w:evenHBand="0" w:firstRowFirstColumn="0" w:firstRowLastColumn="0" w:lastRowFirstColumn="0" w:lastRowLastColumn="0"/>
          <w:jc w:val="center"/>
        </w:trPr>
        <w:tc>
          <w:tcPr>
            <w:tcW w:w="2394" w:type="dxa"/>
          </w:tcPr>
          <w:p w:rsidR="00B6688A" w:rsidRPr="005B28C1" w:rsidRDefault="00064AE0" w:rsidP="008A616F">
            <w:pPr>
              <w:jc w:val="center"/>
              <w:rPr>
                <w:rFonts w:asciiTheme="minorHAnsi" w:hAnsiTheme="minorHAnsi" w:cstheme="minorHAnsi"/>
                <w:sz w:val="20"/>
                <w:szCs w:val="20"/>
              </w:rPr>
            </w:pPr>
            <w:r>
              <w:rPr>
                <w:rFonts w:asciiTheme="minorHAnsi" w:hAnsiTheme="minorHAnsi" w:cstheme="minorHAnsi"/>
                <w:sz w:val="20"/>
                <w:szCs w:val="20"/>
              </w:rPr>
              <w:t>Product</w:t>
            </w:r>
            <w:r w:rsidR="00B6688A" w:rsidRPr="005B28C1">
              <w:rPr>
                <w:rFonts w:asciiTheme="minorHAnsi" w:hAnsiTheme="minorHAnsi" w:cstheme="minorHAnsi"/>
                <w:sz w:val="20"/>
                <w:szCs w:val="20"/>
              </w:rPr>
              <w:t xml:space="preserve"> Code</w:t>
            </w:r>
          </w:p>
        </w:tc>
        <w:tc>
          <w:tcPr>
            <w:tcW w:w="4725" w:type="dxa"/>
          </w:tcPr>
          <w:p w:rsidR="00B6688A" w:rsidRPr="005B28C1" w:rsidRDefault="00B6688A" w:rsidP="008A616F">
            <w:pPr>
              <w:rPr>
                <w:rFonts w:asciiTheme="minorHAnsi" w:hAnsiTheme="minorHAnsi" w:cstheme="minorHAnsi"/>
                <w:sz w:val="20"/>
                <w:szCs w:val="20"/>
              </w:rPr>
            </w:pPr>
            <w:r w:rsidRPr="005B28C1">
              <w:rPr>
                <w:rFonts w:asciiTheme="minorHAnsi" w:hAnsiTheme="minorHAnsi" w:cstheme="minorHAnsi"/>
                <w:sz w:val="20"/>
                <w:szCs w:val="20"/>
              </w:rPr>
              <w:t>Measure name</w:t>
            </w:r>
          </w:p>
        </w:tc>
      </w:tr>
      <w:tr w:rsidR="005347D4" w:rsidRPr="005B28C1" w:rsidTr="001F3F31">
        <w:trPr>
          <w:cnfStyle w:val="000000100000" w:firstRow="0" w:lastRow="0" w:firstColumn="0" w:lastColumn="0" w:oddVBand="0" w:evenVBand="0" w:oddHBand="1" w:evenHBand="0" w:firstRowFirstColumn="0" w:firstRowLastColumn="0" w:lastRowFirstColumn="0" w:lastRowLastColumn="0"/>
          <w:trHeight w:val="243"/>
          <w:jc w:val="center"/>
        </w:trPr>
        <w:tc>
          <w:tcPr>
            <w:tcW w:w="2394" w:type="dxa"/>
            <w:vAlign w:val="center"/>
          </w:tcPr>
          <w:p w:rsidR="005347D4" w:rsidRPr="006D5A28" w:rsidRDefault="00284608" w:rsidP="00D219AF">
            <w:pPr>
              <w:jc w:val="center"/>
              <w:rPr>
                <w:rFonts w:asciiTheme="minorHAnsi" w:hAnsiTheme="minorHAnsi" w:cstheme="minorHAnsi"/>
                <w:sz w:val="20"/>
                <w:szCs w:val="20"/>
              </w:rPr>
            </w:pPr>
            <w:r>
              <w:rPr>
                <w:rFonts w:ascii="Calibri" w:hAnsi="Calibri" w:cs="Calibri"/>
                <w:color w:val="000000"/>
                <w:sz w:val="20"/>
                <w:szCs w:val="20"/>
              </w:rPr>
              <w:t>L-H11</w:t>
            </w:r>
          </w:p>
        </w:tc>
        <w:tc>
          <w:tcPr>
            <w:tcW w:w="4725" w:type="dxa"/>
            <w:vAlign w:val="center"/>
          </w:tcPr>
          <w:p w:rsidR="005347D4" w:rsidRPr="006D5A28" w:rsidRDefault="00284608" w:rsidP="001F3F31">
            <w:pPr>
              <w:rPr>
                <w:rFonts w:asciiTheme="minorHAnsi" w:hAnsiTheme="minorHAnsi" w:cstheme="minorHAnsi"/>
                <w:sz w:val="20"/>
                <w:szCs w:val="20"/>
              </w:rPr>
            </w:pPr>
            <w:r>
              <w:rPr>
                <w:rFonts w:ascii="Calibri" w:hAnsi="Calibri" w:cs="Calibri"/>
                <w:color w:val="000000"/>
                <w:sz w:val="20"/>
                <w:szCs w:val="20"/>
              </w:rPr>
              <w:t>Up to 600 Watt Interior Fixture T5 Linear Fluorescent  replacing greater than 400 Watt lamp base case</w:t>
            </w:r>
          </w:p>
        </w:tc>
      </w:tr>
      <w:tr w:rsidR="005347D4" w:rsidRPr="005B28C1" w:rsidTr="001F3F31">
        <w:trPr>
          <w:cnfStyle w:val="000000010000" w:firstRow="0" w:lastRow="0" w:firstColumn="0" w:lastColumn="0" w:oddVBand="0" w:evenVBand="0" w:oddHBand="0" w:evenHBand="1" w:firstRowFirstColumn="0" w:firstRowLastColumn="0" w:lastRowFirstColumn="0" w:lastRowLastColumn="0"/>
          <w:trHeight w:val="243"/>
          <w:jc w:val="center"/>
        </w:trPr>
        <w:tc>
          <w:tcPr>
            <w:tcW w:w="2394" w:type="dxa"/>
            <w:vAlign w:val="center"/>
          </w:tcPr>
          <w:p w:rsidR="005347D4" w:rsidRPr="006D5A28" w:rsidRDefault="00284608" w:rsidP="00D219AF">
            <w:pPr>
              <w:jc w:val="center"/>
              <w:rPr>
                <w:rFonts w:asciiTheme="minorHAnsi" w:hAnsiTheme="minorHAnsi" w:cstheme="minorHAnsi"/>
                <w:sz w:val="20"/>
                <w:szCs w:val="20"/>
              </w:rPr>
            </w:pPr>
            <w:r>
              <w:rPr>
                <w:rFonts w:ascii="Calibri" w:hAnsi="Calibri" w:cs="Calibri"/>
                <w:color w:val="000000"/>
                <w:sz w:val="20"/>
                <w:szCs w:val="20"/>
              </w:rPr>
              <w:t>L-H21</w:t>
            </w:r>
          </w:p>
        </w:tc>
        <w:tc>
          <w:tcPr>
            <w:tcW w:w="4725" w:type="dxa"/>
            <w:vAlign w:val="center"/>
          </w:tcPr>
          <w:p w:rsidR="005347D4" w:rsidRPr="006D5A28" w:rsidRDefault="00284608" w:rsidP="001F3F31">
            <w:pPr>
              <w:rPr>
                <w:rFonts w:asciiTheme="minorHAnsi" w:hAnsiTheme="minorHAnsi" w:cstheme="minorHAnsi"/>
                <w:sz w:val="20"/>
                <w:szCs w:val="20"/>
              </w:rPr>
            </w:pPr>
            <w:r>
              <w:rPr>
                <w:rFonts w:ascii="Calibri" w:hAnsi="Calibri" w:cs="Calibri"/>
                <w:color w:val="000000"/>
                <w:sz w:val="20"/>
                <w:szCs w:val="20"/>
              </w:rPr>
              <w:t>Up to 244 Watt (Tier 1) Interior Fixture T5 Linear Fluorescent  replacing 400 Watt lamp base case</w:t>
            </w:r>
          </w:p>
        </w:tc>
      </w:tr>
      <w:tr w:rsidR="005347D4" w:rsidRPr="005B28C1" w:rsidTr="001F3F31">
        <w:trPr>
          <w:cnfStyle w:val="000000100000" w:firstRow="0" w:lastRow="0" w:firstColumn="0" w:lastColumn="0" w:oddVBand="0" w:evenVBand="0" w:oddHBand="1" w:evenHBand="0" w:firstRowFirstColumn="0" w:firstRowLastColumn="0" w:lastRowFirstColumn="0" w:lastRowLastColumn="0"/>
          <w:trHeight w:val="243"/>
          <w:jc w:val="center"/>
        </w:trPr>
        <w:tc>
          <w:tcPr>
            <w:tcW w:w="2394" w:type="dxa"/>
            <w:vAlign w:val="center"/>
          </w:tcPr>
          <w:p w:rsidR="005347D4" w:rsidRPr="006D5A28" w:rsidRDefault="00284608" w:rsidP="00D219AF">
            <w:pPr>
              <w:jc w:val="center"/>
              <w:rPr>
                <w:rFonts w:asciiTheme="minorHAnsi" w:hAnsiTheme="minorHAnsi" w:cstheme="minorHAnsi"/>
                <w:sz w:val="20"/>
                <w:szCs w:val="20"/>
              </w:rPr>
            </w:pPr>
            <w:r>
              <w:rPr>
                <w:rFonts w:ascii="Calibri" w:hAnsi="Calibri" w:cs="Calibri"/>
                <w:color w:val="000000"/>
                <w:sz w:val="20"/>
                <w:szCs w:val="20"/>
              </w:rPr>
              <w:t>L-H31</w:t>
            </w:r>
          </w:p>
        </w:tc>
        <w:tc>
          <w:tcPr>
            <w:tcW w:w="4725" w:type="dxa"/>
            <w:vAlign w:val="center"/>
          </w:tcPr>
          <w:p w:rsidR="005347D4" w:rsidRPr="006D5A28" w:rsidRDefault="00284608" w:rsidP="001F3F31">
            <w:pPr>
              <w:rPr>
                <w:rFonts w:asciiTheme="minorHAnsi" w:hAnsiTheme="minorHAnsi" w:cstheme="minorHAnsi"/>
                <w:sz w:val="20"/>
                <w:szCs w:val="20"/>
              </w:rPr>
            </w:pPr>
            <w:r w:rsidRPr="00C50C38">
              <w:rPr>
                <w:rFonts w:ascii="Calibri" w:hAnsi="Calibri" w:cs="Calibri"/>
                <w:color w:val="000000"/>
                <w:sz w:val="20"/>
                <w:szCs w:val="20"/>
              </w:rPr>
              <w:t>245 to 360 Watt (Tier 2) Interior Fixture T5 Linear Flu</w:t>
            </w:r>
            <w:r>
              <w:rPr>
                <w:rFonts w:ascii="Calibri" w:hAnsi="Calibri" w:cs="Calibri"/>
                <w:color w:val="000000"/>
                <w:sz w:val="20"/>
                <w:szCs w:val="20"/>
              </w:rPr>
              <w:t>o</w:t>
            </w:r>
            <w:r w:rsidRPr="00C50C38">
              <w:rPr>
                <w:rFonts w:ascii="Calibri" w:hAnsi="Calibri" w:cs="Calibri"/>
                <w:color w:val="000000"/>
                <w:sz w:val="20"/>
                <w:szCs w:val="20"/>
              </w:rPr>
              <w:t>rescent  replacing 400 Watt lamp base case</w:t>
            </w:r>
          </w:p>
        </w:tc>
      </w:tr>
      <w:tr w:rsidR="005347D4" w:rsidRPr="005B28C1" w:rsidTr="001F3F31">
        <w:trPr>
          <w:cnfStyle w:val="000000010000" w:firstRow="0" w:lastRow="0" w:firstColumn="0" w:lastColumn="0" w:oddVBand="0" w:evenVBand="0" w:oddHBand="0" w:evenHBand="1" w:firstRowFirstColumn="0" w:firstRowLastColumn="0" w:lastRowFirstColumn="0" w:lastRowLastColumn="0"/>
          <w:trHeight w:val="243"/>
          <w:jc w:val="center"/>
        </w:trPr>
        <w:tc>
          <w:tcPr>
            <w:tcW w:w="2394" w:type="dxa"/>
            <w:vAlign w:val="center"/>
          </w:tcPr>
          <w:p w:rsidR="005347D4" w:rsidRPr="006D5A28" w:rsidRDefault="00284608" w:rsidP="00D219AF">
            <w:pPr>
              <w:jc w:val="center"/>
              <w:rPr>
                <w:rFonts w:asciiTheme="minorHAnsi" w:hAnsiTheme="minorHAnsi" w:cstheme="minorHAnsi"/>
                <w:sz w:val="20"/>
                <w:szCs w:val="20"/>
              </w:rPr>
            </w:pPr>
            <w:r>
              <w:rPr>
                <w:rFonts w:ascii="Calibri" w:hAnsi="Calibri" w:cs="Calibri"/>
                <w:color w:val="000000"/>
                <w:sz w:val="20"/>
                <w:szCs w:val="20"/>
              </w:rPr>
              <w:t>L-H41</w:t>
            </w:r>
          </w:p>
        </w:tc>
        <w:tc>
          <w:tcPr>
            <w:tcW w:w="4725" w:type="dxa"/>
            <w:vAlign w:val="center"/>
          </w:tcPr>
          <w:p w:rsidR="005347D4" w:rsidRPr="006D5A28" w:rsidRDefault="00284608" w:rsidP="001F3F31">
            <w:pPr>
              <w:rPr>
                <w:rFonts w:asciiTheme="minorHAnsi" w:hAnsiTheme="minorHAnsi" w:cstheme="minorHAnsi"/>
                <w:sz w:val="20"/>
                <w:szCs w:val="20"/>
              </w:rPr>
            </w:pPr>
            <w:r>
              <w:rPr>
                <w:rFonts w:ascii="Calibri" w:hAnsi="Calibri" w:cs="Calibri"/>
                <w:color w:val="000000"/>
                <w:sz w:val="20"/>
                <w:szCs w:val="20"/>
              </w:rPr>
              <w:t>Up to 192 Watt Interior Fixture T5 Linear Fluorescent  replacing 176 - 399 Watt lamp base case</w:t>
            </w:r>
          </w:p>
        </w:tc>
      </w:tr>
      <w:tr w:rsidR="00C50C38" w:rsidRPr="005B28C1" w:rsidTr="001F3F31">
        <w:trPr>
          <w:cnfStyle w:val="000000100000" w:firstRow="0" w:lastRow="0" w:firstColumn="0" w:lastColumn="0" w:oddVBand="0" w:evenVBand="0" w:oddHBand="1" w:evenHBand="0" w:firstRowFirstColumn="0" w:firstRowLastColumn="0" w:lastRowFirstColumn="0" w:lastRowLastColumn="0"/>
          <w:trHeight w:val="243"/>
          <w:jc w:val="center"/>
        </w:trPr>
        <w:tc>
          <w:tcPr>
            <w:tcW w:w="2394" w:type="dxa"/>
            <w:vAlign w:val="center"/>
          </w:tcPr>
          <w:p w:rsidR="00C50C38" w:rsidRDefault="00284608" w:rsidP="00D219AF">
            <w:pPr>
              <w:jc w:val="center"/>
              <w:rPr>
                <w:rFonts w:ascii="Calibri" w:hAnsi="Calibri" w:cs="Calibri"/>
                <w:color w:val="000000"/>
                <w:sz w:val="20"/>
                <w:szCs w:val="20"/>
              </w:rPr>
            </w:pPr>
            <w:r>
              <w:rPr>
                <w:rFonts w:ascii="Calibri" w:hAnsi="Calibri" w:cs="Calibri"/>
                <w:color w:val="000000"/>
                <w:sz w:val="20"/>
                <w:szCs w:val="20"/>
              </w:rPr>
              <w:t>L-H51</w:t>
            </w:r>
          </w:p>
        </w:tc>
        <w:tc>
          <w:tcPr>
            <w:tcW w:w="4725" w:type="dxa"/>
            <w:vAlign w:val="center"/>
          </w:tcPr>
          <w:p w:rsidR="00C50C38" w:rsidRDefault="00284608" w:rsidP="00C50C38">
            <w:pPr>
              <w:rPr>
                <w:rFonts w:ascii="Calibri" w:hAnsi="Calibri" w:cs="Calibri"/>
                <w:color w:val="000000"/>
                <w:sz w:val="20"/>
                <w:szCs w:val="20"/>
              </w:rPr>
            </w:pPr>
            <w:r>
              <w:rPr>
                <w:rFonts w:ascii="Calibri" w:hAnsi="Calibri" w:cs="Calibri"/>
                <w:color w:val="000000"/>
                <w:sz w:val="20"/>
                <w:szCs w:val="20"/>
              </w:rPr>
              <w:t>Up to 128 Watt Interior Fixture T5 Linear Fluorescent  replacing 101 - 175 Watt lamp base case</w:t>
            </w:r>
          </w:p>
        </w:tc>
      </w:tr>
      <w:tr w:rsidR="005347D4" w:rsidRPr="005B28C1" w:rsidTr="001F3F31">
        <w:trPr>
          <w:cnfStyle w:val="000000010000" w:firstRow="0" w:lastRow="0" w:firstColumn="0" w:lastColumn="0" w:oddVBand="0" w:evenVBand="0" w:oddHBand="0" w:evenHBand="1" w:firstRowFirstColumn="0" w:firstRowLastColumn="0" w:lastRowFirstColumn="0" w:lastRowLastColumn="0"/>
          <w:trHeight w:val="243"/>
          <w:jc w:val="center"/>
        </w:trPr>
        <w:tc>
          <w:tcPr>
            <w:tcW w:w="2394" w:type="dxa"/>
            <w:vAlign w:val="center"/>
          </w:tcPr>
          <w:p w:rsidR="005347D4" w:rsidRPr="006D5A28" w:rsidRDefault="00284608" w:rsidP="00D219AF">
            <w:pPr>
              <w:jc w:val="center"/>
              <w:rPr>
                <w:rFonts w:asciiTheme="minorHAnsi" w:hAnsiTheme="minorHAnsi" w:cstheme="minorHAnsi"/>
                <w:sz w:val="20"/>
                <w:szCs w:val="20"/>
              </w:rPr>
            </w:pPr>
            <w:r>
              <w:rPr>
                <w:rFonts w:ascii="Calibri" w:hAnsi="Calibri" w:cs="Calibri"/>
                <w:color w:val="000000"/>
                <w:sz w:val="20"/>
                <w:szCs w:val="20"/>
              </w:rPr>
              <w:t>L-H61</w:t>
            </w:r>
          </w:p>
        </w:tc>
        <w:tc>
          <w:tcPr>
            <w:tcW w:w="4725" w:type="dxa"/>
            <w:vAlign w:val="center"/>
          </w:tcPr>
          <w:p w:rsidR="005347D4" w:rsidRPr="006D5A28" w:rsidRDefault="00284608" w:rsidP="001F3F31">
            <w:pPr>
              <w:rPr>
                <w:rFonts w:asciiTheme="minorHAnsi" w:hAnsiTheme="minorHAnsi" w:cstheme="minorHAnsi"/>
                <w:sz w:val="20"/>
                <w:szCs w:val="20"/>
              </w:rPr>
            </w:pPr>
            <w:r>
              <w:rPr>
                <w:rFonts w:ascii="Calibri" w:hAnsi="Calibri" w:cs="Calibri"/>
                <w:color w:val="000000"/>
                <w:sz w:val="20"/>
                <w:szCs w:val="20"/>
              </w:rPr>
              <w:t>Up to 64 Watt Interior Fixture T5 Linear Fluorescent  replacing less than 100 Watt lamp base case</w:t>
            </w:r>
          </w:p>
        </w:tc>
      </w:tr>
    </w:tbl>
    <w:p w:rsidR="00E16609" w:rsidRPr="000F130A" w:rsidRDefault="00E16609" w:rsidP="00E16609">
      <w:pPr>
        <w:pStyle w:val="Heading3"/>
        <w:rPr>
          <w:rFonts w:asciiTheme="minorHAnsi" w:hAnsiTheme="minorHAnsi" w:cstheme="minorHAnsi"/>
        </w:rPr>
      </w:pPr>
      <w:r w:rsidRPr="000F130A">
        <w:rPr>
          <w:rFonts w:asciiTheme="minorHAnsi" w:hAnsiTheme="minorHAnsi" w:cstheme="minorHAnsi"/>
        </w:rPr>
        <w:t>1.1b Delivery and Incentive Mechanism</w:t>
      </w:r>
    </w:p>
    <w:p w:rsidR="002C0FA9" w:rsidRDefault="005F0E62" w:rsidP="005F0E62">
      <w:pPr>
        <w:rPr>
          <w:rFonts w:asciiTheme="minorHAnsi" w:hAnsiTheme="minorHAnsi" w:cstheme="minorHAnsi"/>
          <w:sz w:val="22"/>
          <w:szCs w:val="22"/>
        </w:rPr>
      </w:pPr>
      <w:r w:rsidRPr="00520EB7">
        <w:rPr>
          <w:rFonts w:asciiTheme="minorHAnsi" w:hAnsiTheme="minorHAnsi" w:cstheme="minorHAnsi"/>
          <w:sz w:val="22"/>
          <w:szCs w:val="22"/>
        </w:rPr>
        <w:t>The delivery method that is a</w:t>
      </w:r>
      <w:r w:rsidR="002C0FA9">
        <w:rPr>
          <w:rFonts w:asciiTheme="minorHAnsi" w:hAnsiTheme="minorHAnsi" w:cstheme="minorHAnsi"/>
          <w:sz w:val="22"/>
          <w:szCs w:val="22"/>
        </w:rPr>
        <w:t>vailable for these measures are</w:t>
      </w:r>
    </w:p>
    <w:p w:rsidR="002C0FA9" w:rsidRDefault="005F0E62" w:rsidP="002C0FA9">
      <w:pPr>
        <w:pStyle w:val="ListParagraph"/>
        <w:numPr>
          <w:ilvl w:val="0"/>
          <w:numId w:val="10"/>
        </w:numPr>
        <w:rPr>
          <w:rFonts w:asciiTheme="minorHAnsi" w:hAnsiTheme="minorHAnsi" w:cstheme="minorHAnsi"/>
          <w:sz w:val="22"/>
          <w:szCs w:val="22"/>
        </w:rPr>
      </w:pPr>
      <w:r w:rsidRPr="002C0FA9">
        <w:rPr>
          <w:rFonts w:asciiTheme="minorHAnsi" w:hAnsiTheme="minorHAnsi" w:cstheme="minorHAnsi"/>
          <w:sz w:val="22"/>
          <w:szCs w:val="22"/>
        </w:rPr>
        <w:t>Financial Support - Down-Stream Incentive – Deemed, in which the rebate is paid</w:t>
      </w:r>
      <w:r w:rsidR="002C0FA9">
        <w:rPr>
          <w:rFonts w:asciiTheme="minorHAnsi" w:hAnsiTheme="minorHAnsi" w:cstheme="minorHAnsi"/>
          <w:sz w:val="22"/>
          <w:szCs w:val="22"/>
        </w:rPr>
        <w:t xml:space="preserve"> directly to the customer</w:t>
      </w:r>
    </w:p>
    <w:p w:rsidR="005F0E62" w:rsidRDefault="005F0E62" w:rsidP="002C0FA9">
      <w:pPr>
        <w:pStyle w:val="ListParagraph"/>
        <w:numPr>
          <w:ilvl w:val="0"/>
          <w:numId w:val="10"/>
        </w:numPr>
        <w:rPr>
          <w:rFonts w:asciiTheme="minorHAnsi" w:hAnsiTheme="minorHAnsi" w:cstheme="minorHAnsi"/>
          <w:sz w:val="22"/>
          <w:szCs w:val="22"/>
        </w:rPr>
      </w:pPr>
      <w:r w:rsidRPr="002C0FA9">
        <w:rPr>
          <w:rFonts w:asciiTheme="minorHAnsi" w:hAnsiTheme="minorHAnsi" w:cstheme="minorHAnsi"/>
          <w:sz w:val="22"/>
          <w:szCs w:val="22"/>
        </w:rPr>
        <w:t xml:space="preserve">Financial Support – Direct Install, in which the measure is installed at the customer’s facility by program contractors. </w:t>
      </w:r>
    </w:p>
    <w:p w:rsidR="005F0E62" w:rsidRDefault="005F0E62" w:rsidP="005F0E62">
      <w:pPr>
        <w:rPr>
          <w:rFonts w:asciiTheme="minorHAnsi" w:hAnsiTheme="minorHAnsi" w:cstheme="minorHAnsi"/>
          <w:sz w:val="22"/>
          <w:szCs w:val="22"/>
        </w:rPr>
      </w:pPr>
    </w:p>
    <w:p w:rsidR="00044307" w:rsidRDefault="00D34FE0" w:rsidP="005F0E62">
      <w:pPr>
        <w:rPr>
          <w:rFonts w:asciiTheme="minorHAnsi" w:hAnsiTheme="minorHAnsi" w:cstheme="minorHAnsi"/>
          <w:sz w:val="22"/>
          <w:szCs w:val="22"/>
        </w:rPr>
      </w:pPr>
      <w:r>
        <w:rPr>
          <w:rFonts w:asciiTheme="minorHAnsi" w:hAnsiTheme="minorHAnsi" w:cstheme="minorHAnsi"/>
          <w:sz w:val="22"/>
          <w:szCs w:val="22"/>
        </w:rPr>
        <w:t>The install type</w:t>
      </w:r>
      <w:r w:rsidR="00044307">
        <w:rPr>
          <w:rFonts w:asciiTheme="minorHAnsi" w:hAnsiTheme="minorHAnsi" w:cstheme="minorHAnsi"/>
          <w:sz w:val="22"/>
          <w:szCs w:val="22"/>
        </w:rPr>
        <w:t>s</w:t>
      </w:r>
      <w:r>
        <w:rPr>
          <w:rFonts w:asciiTheme="minorHAnsi" w:hAnsiTheme="minorHAnsi" w:cstheme="minorHAnsi"/>
          <w:sz w:val="22"/>
          <w:szCs w:val="22"/>
        </w:rPr>
        <w:t xml:space="preserve"> </w:t>
      </w:r>
      <w:r w:rsidR="00044307">
        <w:rPr>
          <w:rFonts w:asciiTheme="minorHAnsi" w:hAnsiTheme="minorHAnsi" w:cstheme="minorHAnsi"/>
          <w:sz w:val="22"/>
          <w:szCs w:val="22"/>
        </w:rPr>
        <w:t>are:</w:t>
      </w:r>
    </w:p>
    <w:p w:rsidR="00044307" w:rsidRDefault="00044307" w:rsidP="00044307">
      <w:pPr>
        <w:pStyle w:val="ListParagraph"/>
        <w:numPr>
          <w:ilvl w:val="0"/>
          <w:numId w:val="12"/>
        </w:numPr>
        <w:rPr>
          <w:rFonts w:asciiTheme="minorHAnsi" w:hAnsiTheme="minorHAnsi" w:cstheme="minorHAnsi"/>
          <w:sz w:val="22"/>
          <w:szCs w:val="22"/>
        </w:rPr>
      </w:pPr>
      <w:r w:rsidRPr="00044307">
        <w:rPr>
          <w:rFonts w:asciiTheme="minorHAnsi" w:hAnsiTheme="minorHAnsi" w:cstheme="minorHAnsi"/>
          <w:sz w:val="22"/>
          <w:szCs w:val="22"/>
        </w:rPr>
        <w:t>Retrofit (RET</w:t>
      </w:r>
      <w:r>
        <w:rPr>
          <w:rFonts w:asciiTheme="minorHAnsi" w:hAnsiTheme="minorHAnsi" w:cstheme="minorHAnsi"/>
          <w:sz w:val="22"/>
          <w:szCs w:val="22"/>
        </w:rPr>
        <w:t>)</w:t>
      </w:r>
      <w:r w:rsidR="000E00F7">
        <w:rPr>
          <w:rFonts w:asciiTheme="minorHAnsi" w:hAnsiTheme="minorHAnsi" w:cstheme="minorHAnsi"/>
          <w:sz w:val="22"/>
          <w:szCs w:val="22"/>
        </w:rPr>
        <w:t xml:space="preserve"> for direct install.</w:t>
      </w:r>
    </w:p>
    <w:p w:rsidR="005F0E62" w:rsidRPr="00044307" w:rsidRDefault="00D34FE0" w:rsidP="00044307">
      <w:pPr>
        <w:pStyle w:val="ListParagraph"/>
        <w:numPr>
          <w:ilvl w:val="0"/>
          <w:numId w:val="12"/>
        </w:numPr>
        <w:rPr>
          <w:rFonts w:asciiTheme="minorHAnsi" w:hAnsiTheme="minorHAnsi" w:cstheme="minorHAnsi"/>
          <w:sz w:val="22"/>
          <w:szCs w:val="22"/>
        </w:rPr>
      </w:pPr>
      <w:r w:rsidRPr="00044307">
        <w:rPr>
          <w:rFonts w:asciiTheme="minorHAnsi" w:hAnsiTheme="minorHAnsi" w:cstheme="minorHAnsi"/>
          <w:sz w:val="22"/>
          <w:szCs w:val="22"/>
        </w:rPr>
        <w:t>Replace-on-Burnout (ROB)</w:t>
      </w:r>
    </w:p>
    <w:p w:rsidR="00E16609" w:rsidRPr="000F130A" w:rsidRDefault="00E16609" w:rsidP="00E16609">
      <w:pPr>
        <w:pStyle w:val="Heading3"/>
        <w:rPr>
          <w:rFonts w:asciiTheme="minorHAnsi" w:hAnsiTheme="minorHAnsi" w:cstheme="minorHAnsi"/>
        </w:rPr>
      </w:pPr>
      <w:r w:rsidRPr="000F130A">
        <w:rPr>
          <w:rFonts w:asciiTheme="minorHAnsi" w:hAnsiTheme="minorHAnsi" w:cstheme="minorHAnsi"/>
        </w:rPr>
        <w:t>1.1c Measure Requirements</w:t>
      </w:r>
    </w:p>
    <w:p w:rsidR="005F0E62" w:rsidRDefault="001A35DF" w:rsidP="005A0798">
      <w:pPr>
        <w:pStyle w:val="Reminders"/>
        <w:spacing w:after="120"/>
        <w:rPr>
          <w:rFonts w:asciiTheme="minorHAnsi" w:hAnsiTheme="minorHAnsi" w:cstheme="minorHAnsi"/>
          <w:i w:val="0"/>
          <w:color w:val="auto"/>
          <w:sz w:val="22"/>
          <w:szCs w:val="22"/>
        </w:rPr>
      </w:pPr>
      <w:r w:rsidRPr="001A35DF">
        <w:rPr>
          <w:rFonts w:asciiTheme="minorHAnsi" w:hAnsiTheme="minorHAnsi" w:cstheme="minorHAnsi"/>
          <w:i w:val="0"/>
          <w:color w:val="auto"/>
          <w:sz w:val="22"/>
          <w:szCs w:val="22"/>
        </w:rPr>
        <w:t xml:space="preserve">Existing Pulse Start Metal Halide installations do not qualify. Exterior installations do not qualify. All fixtures must be hardwired. Fixtures are not eligible for additional rebates under the Compact Fluorescent Fixtures and T8 or T5 Linear Fluorescent Lamps with Electronic Ballasts categories, but may </w:t>
      </w:r>
      <w:r w:rsidRPr="001A35DF">
        <w:rPr>
          <w:rFonts w:asciiTheme="minorHAnsi" w:hAnsiTheme="minorHAnsi" w:cstheme="minorHAnsi"/>
          <w:i w:val="0"/>
          <w:color w:val="auto"/>
          <w:sz w:val="22"/>
          <w:szCs w:val="22"/>
        </w:rPr>
        <w:lastRenderedPageBreak/>
        <w:t>qualify for an occupancy sensor rebate under the Occupancy Sensor category, provided all requirements are met. To qualify for the 400 Watt and &gt;400 Watt categories, fixtures must be installed at a height over 12’ above the finished floor.</w:t>
      </w:r>
    </w:p>
    <w:p w:rsidR="00E16609" w:rsidRPr="000F130A" w:rsidRDefault="00824F1C" w:rsidP="00824F1C">
      <w:pPr>
        <w:pStyle w:val="Heading2"/>
        <w:rPr>
          <w:rFonts w:asciiTheme="minorHAnsi" w:hAnsiTheme="minorHAnsi" w:cstheme="minorHAnsi"/>
        </w:rPr>
      </w:pPr>
      <w:bookmarkStart w:id="3" w:name="_Toc214003084"/>
      <w:proofErr w:type="gramStart"/>
      <w:r>
        <w:rPr>
          <w:rFonts w:asciiTheme="minorHAnsi" w:hAnsiTheme="minorHAnsi" w:cstheme="minorHAnsi"/>
        </w:rPr>
        <w:t xml:space="preserve">1.2  </w:t>
      </w:r>
      <w:r w:rsidR="00E16609" w:rsidRPr="000F130A">
        <w:rPr>
          <w:rFonts w:asciiTheme="minorHAnsi" w:hAnsiTheme="minorHAnsi" w:cstheme="minorHAnsi"/>
        </w:rPr>
        <w:t>DEER</w:t>
      </w:r>
      <w:proofErr w:type="gramEnd"/>
      <w:r w:rsidR="00E16609" w:rsidRPr="000F130A">
        <w:rPr>
          <w:rFonts w:asciiTheme="minorHAnsi" w:hAnsiTheme="minorHAnsi" w:cstheme="minorHAnsi"/>
        </w:rPr>
        <w:t xml:space="preserve"> Differences Analysis</w:t>
      </w:r>
      <w:bookmarkEnd w:id="3"/>
    </w:p>
    <w:p w:rsidR="001D61B9" w:rsidRPr="001D61B9" w:rsidRDefault="001D61B9" w:rsidP="005A0798">
      <w:pPr>
        <w:spacing w:after="120"/>
        <w:rPr>
          <w:rFonts w:asciiTheme="minorHAnsi" w:hAnsiTheme="minorHAnsi" w:cstheme="minorHAnsi"/>
          <w:sz w:val="22"/>
          <w:szCs w:val="22"/>
        </w:rPr>
      </w:pPr>
      <w:r w:rsidRPr="001D61B9">
        <w:rPr>
          <w:rFonts w:asciiTheme="minorHAnsi" w:hAnsiTheme="minorHAnsi" w:cstheme="minorHAnsi"/>
          <w:sz w:val="22"/>
          <w:szCs w:val="22"/>
        </w:rPr>
        <w:t xml:space="preserve">DEER 3.02 Interactive Effects Lighting Workbook will be used to determine energy savings, demand reductions and </w:t>
      </w:r>
      <w:proofErr w:type="spellStart"/>
      <w:r w:rsidRPr="001D61B9">
        <w:rPr>
          <w:rFonts w:asciiTheme="minorHAnsi" w:hAnsiTheme="minorHAnsi" w:cstheme="minorHAnsi"/>
          <w:sz w:val="22"/>
          <w:szCs w:val="22"/>
        </w:rPr>
        <w:t>therm</w:t>
      </w:r>
      <w:proofErr w:type="spellEnd"/>
      <w:r w:rsidRPr="001D61B9">
        <w:rPr>
          <w:rFonts w:asciiTheme="minorHAnsi" w:hAnsiTheme="minorHAnsi" w:cstheme="minorHAnsi"/>
          <w:sz w:val="22"/>
          <w:szCs w:val="22"/>
        </w:rPr>
        <w:t xml:space="preserve"> offsets. </w:t>
      </w:r>
    </w:p>
    <w:p w:rsidR="001D61B9" w:rsidRDefault="001D61B9" w:rsidP="005A0798">
      <w:pPr>
        <w:spacing w:after="120"/>
        <w:rPr>
          <w:rFonts w:asciiTheme="minorHAnsi" w:hAnsiTheme="minorHAnsi" w:cstheme="minorHAnsi"/>
          <w:sz w:val="22"/>
          <w:szCs w:val="22"/>
        </w:rPr>
      </w:pPr>
      <w:r w:rsidRPr="001D61B9">
        <w:rPr>
          <w:rFonts w:asciiTheme="minorHAnsi" w:hAnsiTheme="minorHAnsi" w:cstheme="minorHAnsi"/>
          <w:sz w:val="22"/>
          <w:szCs w:val="22"/>
        </w:rPr>
        <w:t>Non-CFL operating hours will be used.  Based on the new operating hours, building types, weather zones, and the interactive effects, the energy savings is calculated (SDG&amp;E calculations); The NTG, and other values used in this work paper are from DEER 2008.</w:t>
      </w:r>
    </w:p>
    <w:p w:rsidR="005F0E62" w:rsidRDefault="005F0E62" w:rsidP="00E16609">
      <w:pPr>
        <w:rPr>
          <w:rFonts w:asciiTheme="minorHAnsi" w:hAnsiTheme="minorHAnsi" w:cstheme="minorHAnsi"/>
        </w:rPr>
      </w:pPr>
    </w:p>
    <w:p w:rsidR="009E1CDE" w:rsidRPr="000B5886" w:rsidRDefault="009E1CDE" w:rsidP="009E1CDE">
      <w:pPr>
        <w:pStyle w:val="Caption"/>
        <w:keepNext/>
        <w:jc w:val="center"/>
        <w:rPr>
          <w:rFonts w:asciiTheme="minorHAnsi" w:hAnsiTheme="minorHAnsi" w:cstheme="minorHAnsi"/>
          <w:sz w:val="22"/>
          <w:szCs w:val="22"/>
        </w:rPr>
      </w:pPr>
      <w:r w:rsidRPr="000B5886">
        <w:rPr>
          <w:rFonts w:asciiTheme="minorHAnsi" w:hAnsiTheme="minorHAnsi" w:cstheme="minorHAnsi"/>
          <w:sz w:val="22"/>
          <w:szCs w:val="22"/>
        </w:rPr>
        <w:t xml:space="preserve">Table </w:t>
      </w:r>
      <w:r w:rsidRPr="000B5886">
        <w:rPr>
          <w:rFonts w:asciiTheme="minorHAnsi" w:hAnsiTheme="minorHAnsi" w:cstheme="minorHAnsi"/>
          <w:sz w:val="22"/>
          <w:szCs w:val="22"/>
        </w:rPr>
        <w:fldChar w:fldCharType="begin"/>
      </w:r>
      <w:r w:rsidRPr="000B5886">
        <w:rPr>
          <w:rFonts w:asciiTheme="minorHAnsi" w:hAnsiTheme="minorHAnsi" w:cstheme="minorHAnsi"/>
          <w:sz w:val="22"/>
          <w:szCs w:val="22"/>
        </w:rPr>
        <w:instrText xml:space="preserve"> SEQ Table \* ARABIC </w:instrText>
      </w:r>
      <w:r w:rsidRPr="000B5886">
        <w:rPr>
          <w:rFonts w:asciiTheme="minorHAnsi" w:hAnsiTheme="minorHAnsi" w:cstheme="minorHAnsi"/>
          <w:sz w:val="22"/>
          <w:szCs w:val="22"/>
        </w:rPr>
        <w:fldChar w:fldCharType="separate"/>
      </w:r>
      <w:r w:rsidR="005F254C">
        <w:rPr>
          <w:rFonts w:asciiTheme="minorHAnsi" w:hAnsiTheme="minorHAnsi" w:cstheme="minorHAnsi"/>
          <w:noProof/>
          <w:sz w:val="22"/>
          <w:szCs w:val="22"/>
        </w:rPr>
        <w:t>2</w:t>
      </w:r>
      <w:r w:rsidRPr="000B5886">
        <w:rPr>
          <w:rFonts w:asciiTheme="minorHAnsi" w:hAnsiTheme="minorHAnsi" w:cstheme="minorHAnsi"/>
          <w:sz w:val="22"/>
          <w:szCs w:val="22"/>
        </w:rPr>
        <w:fldChar w:fldCharType="end"/>
      </w:r>
      <w:r w:rsidRPr="000B5886">
        <w:rPr>
          <w:rFonts w:asciiTheme="minorHAnsi" w:hAnsiTheme="minorHAnsi" w:cstheme="minorHAnsi"/>
          <w:sz w:val="22"/>
          <w:szCs w:val="22"/>
        </w:rPr>
        <w:t xml:space="preserve"> DEER Difference </w:t>
      </w:r>
      <w:r w:rsidR="00E81F3E" w:rsidRPr="000B5886">
        <w:rPr>
          <w:rFonts w:asciiTheme="minorHAnsi" w:hAnsiTheme="minorHAnsi" w:cstheme="minorHAnsi"/>
          <w:sz w:val="22"/>
          <w:szCs w:val="22"/>
        </w:rPr>
        <w:t>Summary</w:t>
      </w:r>
    </w:p>
    <w:tbl>
      <w:tblPr>
        <w:tblStyle w:val="TableContemporary"/>
        <w:tblW w:w="0" w:type="auto"/>
        <w:jc w:val="center"/>
        <w:tblInd w:w="-4618" w:type="dxa"/>
        <w:tblLook w:val="04A0" w:firstRow="1" w:lastRow="0" w:firstColumn="1" w:lastColumn="0" w:noHBand="0" w:noVBand="1"/>
      </w:tblPr>
      <w:tblGrid>
        <w:gridCol w:w="3173"/>
        <w:gridCol w:w="5513"/>
      </w:tblGrid>
      <w:tr w:rsidR="006D2809" w:rsidRPr="005B28C1" w:rsidTr="0088603B">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rsidR="006D2809" w:rsidRPr="006D2809" w:rsidRDefault="006D2809" w:rsidP="00602799">
            <w:pPr>
              <w:jc w:val="center"/>
              <w:rPr>
                <w:rFonts w:asciiTheme="minorHAnsi" w:hAnsiTheme="minorHAnsi" w:cstheme="minorHAnsi"/>
                <w:color w:val="FF0000"/>
                <w:sz w:val="20"/>
                <w:szCs w:val="20"/>
              </w:rPr>
            </w:pPr>
            <w:r w:rsidRPr="006D2809">
              <w:rPr>
                <w:rFonts w:asciiTheme="minorHAnsi" w:hAnsiTheme="minorHAnsi" w:cstheme="minorHAnsi"/>
                <w:sz w:val="20"/>
                <w:szCs w:val="20"/>
              </w:rPr>
              <w:t>DEER Difference Summary Table</w:t>
            </w:r>
          </w:p>
        </w:tc>
      </w:tr>
      <w:tr w:rsidR="0046286E" w:rsidRPr="005B28C1"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46286E" w:rsidRPr="006D2809" w:rsidRDefault="0046286E" w:rsidP="00447CE5">
            <w:pPr>
              <w:rPr>
                <w:rFonts w:asciiTheme="minorHAnsi" w:hAnsiTheme="minorHAnsi" w:cstheme="minorHAnsi"/>
                <w:sz w:val="20"/>
                <w:szCs w:val="20"/>
              </w:rPr>
            </w:pPr>
            <w:r w:rsidRPr="006D2809">
              <w:rPr>
                <w:rFonts w:asciiTheme="minorHAnsi" w:hAnsiTheme="minorHAnsi" w:cstheme="minorHAnsi"/>
                <w:sz w:val="20"/>
                <w:szCs w:val="20"/>
              </w:rPr>
              <w:t xml:space="preserve">Modified DEER </w:t>
            </w:r>
            <w:r w:rsidR="00447CE5">
              <w:rPr>
                <w:rFonts w:asciiTheme="minorHAnsi" w:hAnsiTheme="minorHAnsi" w:cstheme="minorHAnsi"/>
                <w:sz w:val="20"/>
                <w:szCs w:val="20"/>
              </w:rPr>
              <w:t>Methodol</w:t>
            </w:r>
            <w:r w:rsidR="00DC2770">
              <w:rPr>
                <w:rFonts w:asciiTheme="minorHAnsi" w:hAnsiTheme="minorHAnsi" w:cstheme="minorHAnsi"/>
                <w:sz w:val="20"/>
                <w:szCs w:val="20"/>
              </w:rPr>
              <w:t>o</w:t>
            </w:r>
            <w:r w:rsidR="00447CE5">
              <w:rPr>
                <w:rFonts w:asciiTheme="minorHAnsi" w:hAnsiTheme="minorHAnsi" w:cstheme="minorHAnsi"/>
                <w:sz w:val="20"/>
                <w:szCs w:val="20"/>
              </w:rPr>
              <w:t>gy</w:t>
            </w:r>
          </w:p>
        </w:tc>
        <w:tc>
          <w:tcPr>
            <w:tcW w:w="5513" w:type="dxa"/>
            <w:vAlign w:val="center"/>
          </w:tcPr>
          <w:p w:rsidR="0046286E" w:rsidRPr="00824A37" w:rsidRDefault="0046286E" w:rsidP="0088603B">
            <w:pPr>
              <w:jc w:val="center"/>
              <w:rPr>
                <w:rFonts w:asciiTheme="minorHAnsi" w:hAnsiTheme="minorHAnsi" w:cstheme="minorHAnsi"/>
                <w:b/>
                <w:sz w:val="20"/>
                <w:szCs w:val="20"/>
              </w:rPr>
            </w:pPr>
            <w:r w:rsidRPr="00824A37">
              <w:rPr>
                <w:rFonts w:asciiTheme="minorHAnsi" w:hAnsiTheme="minorHAnsi" w:cstheme="minorHAnsi"/>
                <w:sz w:val="20"/>
                <w:szCs w:val="20"/>
              </w:rPr>
              <w:t>No</w:t>
            </w:r>
          </w:p>
        </w:tc>
      </w:tr>
      <w:tr w:rsidR="00447CE5" w:rsidRPr="005B28C1"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447CE5" w:rsidRPr="006D2809" w:rsidRDefault="00447CE5" w:rsidP="00E81F3E">
            <w:pPr>
              <w:rPr>
                <w:rFonts w:asciiTheme="minorHAnsi" w:hAnsiTheme="minorHAnsi" w:cstheme="minorHAnsi"/>
                <w:sz w:val="20"/>
                <w:szCs w:val="20"/>
              </w:rPr>
            </w:pPr>
            <w:r>
              <w:rPr>
                <w:rFonts w:asciiTheme="minorHAnsi" w:hAnsiTheme="minorHAnsi" w:cstheme="minorHAnsi"/>
                <w:sz w:val="20"/>
                <w:szCs w:val="20"/>
              </w:rPr>
              <w:t>Scaled DEER Measure</w:t>
            </w:r>
          </w:p>
        </w:tc>
        <w:tc>
          <w:tcPr>
            <w:tcW w:w="5513" w:type="dxa"/>
            <w:vAlign w:val="center"/>
          </w:tcPr>
          <w:p w:rsidR="00447CE5" w:rsidRPr="00824A37" w:rsidRDefault="00447CE5" w:rsidP="00E81F3E">
            <w:pPr>
              <w:jc w:val="center"/>
              <w:rPr>
                <w:rFonts w:asciiTheme="minorHAnsi" w:hAnsiTheme="minorHAnsi" w:cstheme="minorHAnsi"/>
                <w:sz w:val="20"/>
                <w:szCs w:val="20"/>
              </w:rPr>
            </w:pPr>
            <w:r w:rsidRPr="00824A37">
              <w:rPr>
                <w:rFonts w:asciiTheme="minorHAnsi" w:hAnsiTheme="minorHAnsi" w:cstheme="minorHAnsi"/>
                <w:sz w:val="20"/>
                <w:szCs w:val="20"/>
              </w:rPr>
              <w:t>No</w:t>
            </w:r>
          </w:p>
        </w:tc>
      </w:tr>
      <w:tr w:rsidR="00E81F3E" w:rsidRPr="005B28C1"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E81F3E" w:rsidRPr="006D2809" w:rsidRDefault="00E81F3E" w:rsidP="00E81F3E">
            <w:pPr>
              <w:rPr>
                <w:rFonts w:asciiTheme="minorHAnsi" w:hAnsiTheme="minorHAnsi" w:cstheme="minorHAnsi"/>
                <w:sz w:val="20"/>
                <w:szCs w:val="20"/>
              </w:rPr>
            </w:pPr>
            <w:r w:rsidRPr="006D2809">
              <w:rPr>
                <w:rFonts w:asciiTheme="minorHAnsi" w:hAnsiTheme="minorHAnsi" w:cstheme="minorHAnsi"/>
                <w:sz w:val="20"/>
                <w:szCs w:val="20"/>
              </w:rPr>
              <w:t xml:space="preserve">DEER Building </w:t>
            </w:r>
            <w:r>
              <w:rPr>
                <w:rFonts w:asciiTheme="minorHAnsi" w:hAnsiTheme="minorHAnsi" w:cstheme="minorHAnsi"/>
                <w:sz w:val="20"/>
                <w:szCs w:val="20"/>
              </w:rPr>
              <w:t>Protot</w:t>
            </w:r>
            <w:r w:rsidRPr="006D2809">
              <w:rPr>
                <w:rFonts w:asciiTheme="minorHAnsi" w:hAnsiTheme="minorHAnsi" w:cstheme="minorHAnsi"/>
                <w:sz w:val="20"/>
                <w:szCs w:val="20"/>
              </w:rPr>
              <w:t>ypes</w:t>
            </w:r>
            <w:r>
              <w:rPr>
                <w:rFonts w:asciiTheme="minorHAnsi" w:hAnsiTheme="minorHAnsi" w:cstheme="minorHAnsi"/>
                <w:sz w:val="20"/>
                <w:szCs w:val="20"/>
              </w:rPr>
              <w:t xml:space="preserve"> Used</w:t>
            </w:r>
          </w:p>
        </w:tc>
        <w:tc>
          <w:tcPr>
            <w:tcW w:w="5513" w:type="dxa"/>
            <w:vAlign w:val="center"/>
          </w:tcPr>
          <w:p w:rsidR="00E81F3E" w:rsidRPr="00824A37" w:rsidRDefault="00E81F3E" w:rsidP="00E81F3E">
            <w:pPr>
              <w:jc w:val="center"/>
              <w:rPr>
                <w:rFonts w:asciiTheme="minorHAnsi" w:hAnsiTheme="minorHAnsi" w:cstheme="minorHAnsi"/>
                <w:sz w:val="20"/>
                <w:szCs w:val="20"/>
              </w:rPr>
            </w:pPr>
            <w:r w:rsidRPr="00824A37">
              <w:rPr>
                <w:rFonts w:asciiTheme="minorHAnsi" w:hAnsiTheme="minorHAnsi" w:cstheme="minorHAnsi"/>
                <w:sz w:val="20"/>
                <w:szCs w:val="20"/>
              </w:rPr>
              <w:t>No</w:t>
            </w:r>
          </w:p>
        </w:tc>
      </w:tr>
      <w:tr w:rsidR="00E81F3E" w:rsidRPr="005B28C1"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E81F3E" w:rsidRPr="006D2809" w:rsidRDefault="00E81F3E" w:rsidP="00E81F3E">
            <w:pPr>
              <w:rPr>
                <w:rFonts w:asciiTheme="minorHAnsi" w:hAnsiTheme="minorHAnsi" w:cstheme="minorHAnsi"/>
                <w:sz w:val="20"/>
                <w:szCs w:val="20"/>
              </w:rPr>
            </w:pPr>
            <w:r>
              <w:rPr>
                <w:rFonts w:asciiTheme="minorHAnsi" w:hAnsiTheme="minorHAnsi" w:cstheme="minorHAnsi"/>
                <w:sz w:val="20"/>
                <w:szCs w:val="20"/>
              </w:rPr>
              <w:t>Deviation from DEER</w:t>
            </w:r>
          </w:p>
        </w:tc>
        <w:tc>
          <w:tcPr>
            <w:tcW w:w="5513" w:type="dxa"/>
            <w:vAlign w:val="center"/>
          </w:tcPr>
          <w:p w:rsidR="00E81F3E" w:rsidRPr="00824A37" w:rsidRDefault="00E81F3E" w:rsidP="00E81F3E">
            <w:pPr>
              <w:jc w:val="center"/>
              <w:rPr>
                <w:rFonts w:asciiTheme="minorHAnsi" w:hAnsiTheme="minorHAnsi" w:cstheme="minorHAnsi"/>
                <w:sz w:val="20"/>
                <w:szCs w:val="20"/>
              </w:rPr>
            </w:pPr>
            <w:r w:rsidRPr="00824A37">
              <w:rPr>
                <w:rFonts w:asciiTheme="minorHAnsi" w:hAnsiTheme="minorHAnsi" w:cstheme="minorHAnsi"/>
                <w:sz w:val="20"/>
                <w:szCs w:val="20"/>
              </w:rPr>
              <w:t>DEER does not contain this type of measure.</w:t>
            </w:r>
          </w:p>
        </w:tc>
      </w:tr>
      <w:tr w:rsidR="00E81F3E" w:rsidRPr="005B28C1"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E81F3E" w:rsidRPr="006D2809" w:rsidRDefault="00E81F3E" w:rsidP="00E81F3E">
            <w:pPr>
              <w:rPr>
                <w:rFonts w:asciiTheme="minorHAnsi" w:hAnsiTheme="minorHAnsi" w:cstheme="minorHAnsi"/>
                <w:sz w:val="20"/>
                <w:szCs w:val="20"/>
              </w:rPr>
            </w:pPr>
            <w:r w:rsidRPr="006D2809">
              <w:rPr>
                <w:rFonts w:asciiTheme="minorHAnsi" w:hAnsiTheme="minorHAnsi" w:cstheme="minorHAnsi"/>
                <w:sz w:val="20"/>
                <w:szCs w:val="20"/>
              </w:rPr>
              <w:t>DEER Version</w:t>
            </w:r>
          </w:p>
        </w:tc>
        <w:tc>
          <w:tcPr>
            <w:tcW w:w="5513" w:type="dxa"/>
            <w:vAlign w:val="center"/>
          </w:tcPr>
          <w:p w:rsidR="00E81F3E" w:rsidRPr="00824A37" w:rsidRDefault="00C45D1D" w:rsidP="00824A37">
            <w:pPr>
              <w:jc w:val="center"/>
              <w:rPr>
                <w:rFonts w:asciiTheme="minorHAnsi" w:hAnsiTheme="minorHAnsi" w:cstheme="minorHAnsi"/>
                <w:sz w:val="20"/>
                <w:szCs w:val="20"/>
              </w:rPr>
            </w:pPr>
            <w:r>
              <w:rPr>
                <w:rFonts w:asciiTheme="minorHAnsi" w:hAnsiTheme="minorHAnsi" w:cstheme="minorHAnsi"/>
                <w:sz w:val="20"/>
                <w:szCs w:val="20"/>
              </w:rPr>
              <w:t>N/A</w:t>
            </w:r>
          </w:p>
        </w:tc>
      </w:tr>
      <w:tr w:rsidR="00E81F3E" w:rsidRPr="005B28C1"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E81F3E" w:rsidRPr="006D2809" w:rsidRDefault="00616E76" w:rsidP="00616E76">
            <w:pPr>
              <w:rPr>
                <w:rFonts w:asciiTheme="minorHAnsi" w:hAnsiTheme="minorHAnsi" w:cstheme="minorHAnsi"/>
                <w:sz w:val="20"/>
                <w:szCs w:val="20"/>
              </w:rPr>
            </w:pPr>
            <w:r>
              <w:rPr>
                <w:rFonts w:asciiTheme="minorHAnsi" w:hAnsiTheme="minorHAnsi" w:cstheme="minorHAnsi"/>
                <w:sz w:val="20"/>
                <w:szCs w:val="20"/>
              </w:rPr>
              <w:t>DEER Run ID and Measure Name</w:t>
            </w:r>
          </w:p>
        </w:tc>
        <w:tc>
          <w:tcPr>
            <w:tcW w:w="5513" w:type="dxa"/>
            <w:vAlign w:val="center"/>
          </w:tcPr>
          <w:p w:rsidR="00E81F3E" w:rsidRPr="00824A37" w:rsidRDefault="00C45D1D" w:rsidP="00E81F3E">
            <w:pPr>
              <w:jc w:val="center"/>
              <w:rPr>
                <w:rFonts w:asciiTheme="minorHAnsi" w:hAnsiTheme="minorHAnsi" w:cstheme="minorHAnsi"/>
                <w:sz w:val="20"/>
                <w:szCs w:val="20"/>
              </w:rPr>
            </w:pPr>
            <w:r>
              <w:rPr>
                <w:rFonts w:asciiTheme="minorHAnsi" w:hAnsiTheme="minorHAnsi" w:cstheme="minorHAnsi"/>
                <w:sz w:val="20"/>
                <w:szCs w:val="20"/>
              </w:rPr>
              <w:t>N/A</w:t>
            </w:r>
          </w:p>
        </w:tc>
      </w:tr>
    </w:tbl>
    <w:p w:rsidR="00E16609" w:rsidRPr="000F130A" w:rsidRDefault="00824F1C" w:rsidP="00824F1C">
      <w:pPr>
        <w:pStyle w:val="Heading2"/>
        <w:rPr>
          <w:rFonts w:asciiTheme="minorHAnsi" w:hAnsiTheme="minorHAnsi" w:cstheme="minorHAnsi"/>
        </w:rPr>
      </w:pPr>
      <w:bookmarkStart w:id="4" w:name="_Toc214003087"/>
      <w:proofErr w:type="gramStart"/>
      <w:r w:rsidRPr="00B5705B">
        <w:rPr>
          <w:rFonts w:asciiTheme="minorHAnsi" w:hAnsiTheme="minorHAnsi" w:cstheme="minorHAnsi"/>
        </w:rPr>
        <w:t xml:space="preserve">1.3  </w:t>
      </w:r>
      <w:r w:rsidR="00E16609" w:rsidRPr="00B5705B">
        <w:rPr>
          <w:rFonts w:asciiTheme="minorHAnsi" w:hAnsiTheme="minorHAnsi" w:cstheme="minorHAnsi"/>
        </w:rPr>
        <w:t>Code</w:t>
      </w:r>
      <w:proofErr w:type="gramEnd"/>
      <w:r w:rsidR="00E16609" w:rsidRPr="00B5705B">
        <w:rPr>
          <w:rFonts w:asciiTheme="minorHAnsi" w:hAnsiTheme="minorHAnsi" w:cstheme="minorHAnsi"/>
        </w:rPr>
        <w:t xml:space="preserve"> Analysis</w:t>
      </w:r>
      <w:r w:rsidR="00E16609" w:rsidRPr="000F130A">
        <w:rPr>
          <w:rFonts w:asciiTheme="minorHAnsi" w:hAnsiTheme="minorHAnsi" w:cstheme="minorHAnsi"/>
        </w:rPr>
        <w:t xml:space="preserve"> </w:t>
      </w:r>
      <w:bookmarkEnd w:id="4"/>
    </w:p>
    <w:p w:rsidR="00AB4961" w:rsidRPr="00AB4961" w:rsidRDefault="00AB4961" w:rsidP="00AB4961">
      <w:pPr>
        <w:pStyle w:val="Heading2"/>
        <w:rPr>
          <w:rFonts w:asciiTheme="minorHAnsi" w:hAnsiTheme="minorHAnsi" w:cstheme="minorHAnsi"/>
          <w:b w:val="0"/>
          <w:bCs w:val="0"/>
          <w:iCs w:val="0"/>
          <w:smallCaps w:val="0"/>
          <w:sz w:val="22"/>
          <w:szCs w:val="22"/>
        </w:rPr>
      </w:pPr>
      <w:r w:rsidRPr="00AB4961">
        <w:rPr>
          <w:rFonts w:asciiTheme="minorHAnsi" w:hAnsiTheme="minorHAnsi" w:cstheme="minorHAnsi"/>
          <w:b w:val="0"/>
          <w:bCs w:val="0"/>
          <w:iCs w:val="0"/>
          <w:smallCaps w:val="0"/>
          <w:sz w:val="22"/>
          <w:szCs w:val="22"/>
        </w:rPr>
        <w:t>In Section 149(b)</w:t>
      </w:r>
      <w:r w:rsidR="00185824">
        <w:rPr>
          <w:rFonts w:asciiTheme="minorHAnsi" w:hAnsiTheme="minorHAnsi" w:cstheme="minorHAnsi"/>
          <w:b w:val="0"/>
          <w:bCs w:val="0"/>
          <w:iCs w:val="0"/>
          <w:smallCaps w:val="0"/>
          <w:sz w:val="22"/>
          <w:szCs w:val="22"/>
        </w:rPr>
        <w:t xml:space="preserve"> of California’s Title 24 2008</w:t>
      </w:r>
      <w:r w:rsidR="00D106D9">
        <w:rPr>
          <w:rFonts w:asciiTheme="minorHAnsi" w:hAnsiTheme="minorHAnsi" w:cstheme="minorHAnsi"/>
          <w:b w:val="0"/>
          <w:bCs w:val="0"/>
          <w:iCs w:val="0"/>
          <w:smallCaps w:val="0"/>
          <w:sz w:val="22"/>
          <w:szCs w:val="22"/>
        </w:rPr>
        <w:t xml:space="preserve"> [</w:t>
      </w:r>
      <w:r w:rsidR="00B35581">
        <w:rPr>
          <w:rFonts w:asciiTheme="minorHAnsi" w:hAnsiTheme="minorHAnsi" w:cstheme="minorHAnsi"/>
          <w:b w:val="0"/>
          <w:bCs w:val="0"/>
          <w:iCs w:val="0"/>
          <w:smallCaps w:val="0"/>
          <w:sz w:val="22"/>
          <w:szCs w:val="22"/>
        </w:rPr>
        <w:t>65</w:t>
      </w:r>
      <w:r w:rsidR="00D106D9">
        <w:rPr>
          <w:rFonts w:asciiTheme="minorHAnsi" w:hAnsiTheme="minorHAnsi" w:cstheme="minorHAnsi"/>
          <w:b w:val="0"/>
          <w:bCs w:val="0"/>
          <w:iCs w:val="0"/>
          <w:smallCaps w:val="0"/>
          <w:sz w:val="22"/>
          <w:szCs w:val="22"/>
        </w:rPr>
        <w:t>]</w:t>
      </w:r>
      <w:r w:rsidR="00185824">
        <w:rPr>
          <w:rFonts w:asciiTheme="minorHAnsi" w:hAnsiTheme="minorHAnsi" w:cstheme="minorHAnsi"/>
          <w:b w:val="0"/>
          <w:bCs w:val="0"/>
          <w:iCs w:val="0"/>
          <w:smallCaps w:val="0"/>
          <w:sz w:val="22"/>
          <w:szCs w:val="22"/>
        </w:rPr>
        <w:t xml:space="preserve"> </w:t>
      </w:r>
      <w:r w:rsidRPr="00AB4961">
        <w:rPr>
          <w:rFonts w:asciiTheme="minorHAnsi" w:hAnsiTheme="minorHAnsi" w:cstheme="minorHAnsi"/>
          <w:b w:val="0"/>
          <w:bCs w:val="0"/>
          <w:iCs w:val="0"/>
          <w:smallCaps w:val="0"/>
          <w:sz w:val="22"/>
          <w:szCs w:val="22"/>
        </w:rPr>
        <w:t xml:space="preserve">Non-Residential Building Energy Efficiency Standards, the Alteration codes </w:t>
      </w:r>
      <w:r>
        <w:rPr>
          <w:rFonts w:asciiTheme="minorHAnsi" w:hAnsiTheme="minorHAnsi" w:cstheme="minorHAnsi"/>
          <w:b w:val="0"/>
          <w:bCs w:val="0"/>
          <w:iCs w:val="0"/>
          <w:smallCaps w:val="0"/>
          <w:sz w:val="22"/>
          <w:szCs w:val="22"/>
        </w:rPr>
        <w:t xml:space="preserve">and standards language states: </w:t>
      </w:r>
    </w:p>
    <w:p w:rsidR="00AB4961" w:rsidRPr="00AB4961" w:rsidRDefault="00AB4961" w:rsidP="005A0798">
      <w:pPr>
        <w:pStyle w:val="Heading2"/>
        <w:numPr>
          <w:ilvl w:val="0"/>
          <w:numId w:val="16"/>
        </w:numPr>
        <w:rPr>
          <w:rFonts w:asciiTheme="minorHAnsi" w:hAnsiTheme="minorHAnsi" w:cstheme="minorHAnsi"/>
          <w:b w:val="0"/>
          <w:bCs w:val="0"/>
          <w:iCs w:val="0"/>
          <w:smallCaps w:val="0"/>
          <w:sz w:val="22"/>
          <w:szCs w:val="22"/>
        </w:rPr>
      </w:pPr>
      <w:r w:rsidRPr="00AB4961">
        <w:rPr>
          <w:rFonts w:asciiTheme="minorHAnsi" w:hAnsiTheme="minorHAnsi" w:cstheme="minorHAnsi"/>
          <w:b w:val="0"/>
          <w:bCs w:val="0"/>
          <w:iCs w:val="0"/>
          <w:smallCaps w:val="0"/>
          <w:sz w:val="22"/>
          <w:szCs w:val="22"/>
        </w:rPr>
        <w:t>Alterations to existing indoor lighting systems shall meet the following requirements:</w:t>
      </w:r>
    </w:p>
    <w:p w:rsidR="00AB4961" w:rsidRPr="00AB4961" w:rsidRDefault="00AB4961" w:rsidP="005A0798">
      <w:pPr>
        <w:pStyle w:val="Heading2"/>
        <w:numPr>
          <w:ilvl w:val="1"/>
          <w:numId w:val="20"/>
        </w:numPr>
        <w:spacing w:before="0" w:after="0"/>
        <w:rPr>
          <w:rFonts w:asciiTheme="minorHAnsi" w:hAnsiTheme="minorHAnsi" w:cstheme="minorHAnsi"/>
          <w:b w:val="0"/>
          <w:bCs w:val="0"/>
          <w:iCs w:val="0"/>
          <w:smallCaps w:val="0"/>
          <w:sz w:val="22"/>
          <w:szCs w:val="22"/>
        </w:rPr>
      </w:pPr>
      <w:r w:rsidRPr="00AB4961">
        <w:rPr>
          <w:rFonts w:asciiTheme="minorHAnsi" w:hAnsiTheme="minorHAnsi" w:cstheme="minorHAnsi"/>
          <w:b w:val="0"/>
          <w:bCs w:val="0"/>
          <w:iCs w:val="0"/>
          <w:smallCaps w:val="0"/>
          <w:sz w:val="22"/>
          <w:szCs w:val="22"/>
        </w:rPr>
        <w:t>Alterations that increase the connected lighting load, replace, or remove and re-install a total of 50 percent or more of the luminaries in an enclosed space, shall meet the requirements of Sections 130 and 146; and</w:t>
      </w:r>
    </w:p>
    <w:p w:rsidR="00AB4961" w:rsidRPr="00AB4961" w:rsidRDefault="00AB4961" w:rsidP="005A0798">
      <w:pPr>
        <w:pStyle w:val="Heading2"/>
        <w:numPr>
          <w:ilvl w:val="1"/>
          <w:numId w:val="20"/>
        </w:numPr>
        <w:spacing w:before="0" w:after="0"/>
        <w:rPr>
          <w:rFonts w:asciiTheme="minorHAnsi" w:hAnsiTheme="minorHAnsi" w:cstheme="minorHAnsi"/>
          <w:b w:val="0"/>
          <w:bCs w:val="0"/>
          <w:iCs w:val="0"/>
          <w:smallCaps w:val="0"/>
          <w:sz w:val="22"/>
          <w:szCs w:val="22"/>
        </w:rPr>
      </w:pPr>
      <w:r w:rsidRPr="00AB4961">
        <w:rPr>
          <w:rFonts w:asciiTheme="minorHAnsi" w:hAnsiTheme="minorHAnsi" w:cstheme="minorHAnsi"/>
          <w:b w:val="0"/>
          <w:bCs w:val="0"/>
          <w:iCs w:val="0"/>
          <w:smallCaps w:val="0"/>
          <w:sz w:val="22"/>
          <w:szCs w:val="22"/>
        </w:rPr>
        <w:t>The following wiring alterations shall meet the requirements of Sections 119, 131, and 134:</w:t>
      </w:r>
    </w:p>
    <w:p w:rsidR="00AB4961" w:rsidRPr="00AB4961" w:rsidRDefault="00AB4961" w:rsidP="005A0798">
      <w:pPr>
        <w:pStyle w:val="Heading2"/>
        <w:numPr>
          <w:ilvl w:val="2"/>
          <w:numId w:val="16"/>
        </w:numPr>
        <w:spacing w:before="0" w:after="0"/>
        <w:rPr>
          <w:rFonts w:asciiTheme="minorHAnsi" w:hAnsiTheme="minorHAnsi" w:cstheme="minorHAnsi"/>
          <w:b w:val="0"/>
          <w:bCs w:val="0"/>
          <w:iCs w:val="0"/>
          <w:smallCaps w:val="0"/>
          <w:sz w:val="22"/>
          <w:szCs w:val="22"/>
        </w:rPr>
      </w:pPr>
      <w:r w:rsidRPr="00AB4961">
        <w:rPr>
          <w:rFonts w:asciiTheme="minorHAnsi" w:hAnsiTheme="minorHAnsi" w:cstheme="minorHAnsi"/>
          <w:b w:val="0"/>
          <w:bCs w:val="0"/>
          <w:iCs w:val="0"/>
          <w:smallCaps w:val="0"/>
          <w:sz w:val="22"/>
          <w:szCs w:val="22"/>
        </w:rPr>
        <w:t>Where new or moved wiring is being installed to serve added or moved luminaries; or</w:t>
      </w:r>
    </w:p>
    <w:p w:rsidR="00AB4961" w:rsidRPr="00AB4961" w:rsidRDefault="00AB4961" w:rsidP="005A0798">
      <w:pPr>
        <w:pStyle w:val="Heading2"/>
        <w:numPr>
          <w:ilvl w:val="2"/>
          <w:numId w:val="16"/>
        </w:numPr>
        <w:spacing w:before="0" w:after="0"/>
        <w:rPr>
          <w:rFonts w:asciiTheme="minorHAnsi" w:hAnsiTheme="minorHAnsi" w:cstheme="minorHAnsi"/>
          <w:b w:val="0"/>
          <w:bCs w:val="0"/>
          <w:iCs w:val="0"/>
          <w:smallCaps w:val="0"/>
          <w:sz w:val="22"/>
          <w:szCs w:val="22"/>
        </w:rPr>
      </w:pPr>
      <w:r w:rsidRPr="00AB4961">
        <w:rPr>
          <w:rFonts w:asciiTheme="minorHAnsi" w:hAnsiTheme="minorHAnsi" w:cstheme="minorHAnsi"/>
          <w:b w:val="0"/>
          <w:bCs w:val="0"/>
          <w:iCs w:val="0"/>
          <w:smallCaps w:val="0"/>
          <w:sz w:val="22"/>
          <w:szCs w:val="22"/>
        </w:rPr>
        <w:t>Where conductor wiring from the panel or from a light switch to the luminaries is being replaced, or</w:t>
      </w:r>
    </w:p>
    <w:p w:rsidR="00AB4961" w:rsidRPr="00AB4961" w:rsidRDefault="00AB4961" w:rsidP="005A0798">
      <w:pPr>
        <w:pStyle w:val="Heading2"/>
        <w:numPr>
          <w:ilvl w:val="2"/>
          <w:numId w:val="16"/>
        </w:numPr>
        <w:spacing w:before="0" w:after="0"/>
        <w:rPr>
          <w:rFonts w:asciiTheme="minorHAnsi" w:hAnsiTheme="minorHAnsi" w:cstheme="minorHAnsi"/>
          <w:b w:val="0"/>
          <w:bCs w:val="0"/>
          <w:iCs w:val="0"/>
          <w:smallCaps w:val="0"/>
          <w:sz w:val="22"/>
          <w:szCs w:val="22"/>
        </w:rPr>
      </w:pPr>
      <w:r w:rsidRPr="00AB4961">
        <w:rPr>
          <w:rFonts w:asciiTheme="minorHAnsi" w:hAnsiTheme="minorHAnsi" w:cstheme="minorHAnsi"/>
          <w:b w:val="0"/>
          <w:bCs w:val="0"/>
          <w:iCs w:val="0"/>
          <w:smallCaps w:val="0"/>
          <w:sz w:val="22"/>
          <w:szCs w:val="22"/>
        </w:rPr>
        <w:t>Where a lighting panel is installed or relocated.</w:t>
      </w:r>
    </w:p>
    <w:p w:rsidR="00AB4961" w:rsidRPr="00AB4961" w:rsidRDefault="00AB4961" w:rsidP="005A0798">
      <w:pPr>
        <w:pStyle w:val="Heading2"/>
        <w:numPr>
          <w:ilvl w:val="1"/>
          <w:numId w:val="20"/>
        </w:numPr>
        <w:spacing w:before="0" w:after="0"/>
        <w:rPr>
          <w:rFonts w:asciiTheme="minorHAnsi" w:hAnsiTheme="minorHAnsi" w:cstheme="minorHAnsi"/>
          <w:b w:val="0"/>
          <w:bCs w:val="0"/>
          <w:iCs w:val="0"/>
          <w:smallCaps w:val="0"/>
          <w:sz w:val="22"/>
          <w:szCs w:val="22"/>
        </w:rPr>
      </w:pPr>
      <w:r w:rsidRPr="00AB4961">
        <w:rPr>
          <w:rFonts w:asciiTheme="minorHAnsi" w:hAnsiTheme="minorHAnsi" w:cstheme="minorHAnsi"/>
          <w:b w:val="0"/>
          <w:bCs w:val="0"/>
          <w:iCs w:val="0"/>
          <w:smallCaps w:val="0"/>
          <w:sz w:val="22"/>
          <w:szCs w:val="22"/>
        </w:rPr>
        <w:t>For an alteration where an existing enclosed space is subdivided into two or more spaces, the new enclosed spaces shall meet the requirements of Sections 131(a) and (d); and</w:t>
      </w:r>
    </w:p>
    <w:p w:rsidR="00AB4961" w:rsidRDefault="00AB4961" w:rsidP="005A0798">
      <w:pPr>
        <w:ind w:left="1080"/>
        <w:rPr>
          <w:rFonts w:asciiTheme="minorHAnsi" w:hAnsiTheme="minorHAnsi" w:cstheme="minorHAnsi"/>
          <w:sz w:val="22"/>
          <w:szCs w:val="22"/>
        </w:rPr>
      </w:pPr>
      <w:r w:rsidRPr="00AB4961">
        <w:rPr>
          <w:rFonts w:asciiTheme="minorHAnsi" w:hAnsiTheme="minorHAnsi" w:cstheme="minorHAnsi"/>
          <w:sz w:val="22"/>
          <w:szCs w:val="22"/>
        </w:rPr>
        <w:t>4. Alterations that have less than 0.5 watts per square foot and increase the existing lighting power density to 0.5 watts per square foot or greater shall meet the requirements of Sections 119, 130, 131, 134,143(c), and 146.</w:t>
      </w:r>
    </w:p>
    <w:p w:rsidR="00D34FE0" w:rsidRDefault="00D34FE0" w:rsidP="00D81287">
      <w:pPr>
        <w:rPr>
          <w:rFonts w:asciiTheme="minorHAnsi" w:hAnsiTheme="minorHAnsi" w:cstheme="minorHAnsi"/>
          <w:sz w:val="22"/>
          <w:szCs w:val="22"/>
        </w:rPr>
      </w:pPr>
    </w:p>
    <w:p w:rsidR="00D34FE0" w:rsidRPr="008B1155" w:rsidRDefault="00D34FE0" w:rsidP="00D34FE0">
      <w:pPr>
        <w:rPr>
          <w:rFonts w:asciiTheme="minorHAnsi" w:hAnsiTheme="minorHAnsi" w:cstheme="minorHAnsi"/>
          <w:sz w:val="22"/>
          <w:szCs w:val="22"/>
        </w:rPr>
      </w:pPr>
      <w:r w:rsidRPr="008B1155">
        <w:rPr>
          <w:rFonts w:asciiTheme="minorHAnsi" w:hAnsiTheme="minorHAnsi" w:cstheme="minorHAnsi"/>
          <w:sz w:val="22"/>
          <w:szCs w:val="22"/>
        </w:rPr>
        <w:t>Title 20 Ap</w:t>
      </w:r>
      <w:r>
        <w:rPr>
          <w:rFonts w:asciiTheme="minorHAnsi" w:hAnsiTheme="minorHAnsi" w:cstheme="minorHAnsi"/>
          <w:sz w:val="22"/>
          <w:szCs w:val="22"/>
        </w:rPr>
        <w:t>pliance Efficiency Regulations</w:t>
      </w:r>
      <w:r w:rsidRPr="008B1155">
        <w:rPr>
          <w:rFonts w:asciiTheme="minorHAnsi" w:hAnsiTheme="minorHAnsi" w:cstheme="minorHAnsi"/>
          <w:sz w:val="22"/>
          <w:szCs w:val="22"/>
        </w:rPr>
        <w:t xml:space="preserve"> include an Energy Efficiency Standard for Metal Halide Luminaires.  Probe-start ballasts metal halide luminaires rated at least partially within the range of 150 </w:t>
      </w:r>
      <w:r w:rsidRPr="008B1155">
        <w:rPr>
          <w:rFonts w:asciiTheme="minorHAnsi" w:hAnsiTheme="minorHAnsi" w:cstheme="minorHAnsi"/>
          <w:sz w:val="22"/>
          <w:szCs w:val="22"/>
        </w:rPr>
        <w:lastRenderedPageBreak/>
        <w:t>to 500 watts are not eligible. Additionally, metal halide luminaires that are not probe-start ballasts must comply with Section 1605.3(n</w:t>
      </w:r>
      <w:proofErr w:type="gramStart"/>
      <w:r w:rsidRPr="008B1155">
        <w:rPr>
          <w:rFonts w:asciiTheme="minorHAnsi" w:hAnsiTheme="minorHAnsi" w:cstheme="minorHAnsi"/>
          <w:sz w:val="22"/>
          <w:szCs w:val="22"/>
        </w:rPr>
        <w:t>)(</w:t>
      </w:r>
      <w:proofErr w:type="gramEnd"/>
      <w:r w:rsidRPr="008B1155">
        <w:rPr>
          <w:rFonts w:asciiTheme="minorHAnsi" w:hAnsiTheme="minorHAnsi" w:cstheme="minorHAnsi"/>
          <w:sz w:val="22"/>
          <w:szCs w:val="22"/>
        </w:rPr>
        <w:t>2)(A) and 1605.3(n)(2)(B) as applicable.</w:t>
      </w:r>
    </w:p>
    <w:p w:rsidR="00D34FE0" w:rsidRDefault="00D34FE0" w:rsidP="00D34FE0">
      <w:pPr>
        <w:rPr>
          <w:rFonts w:asciiTheme="minorHAnsi" w:hAnsiTheme="minorHAnsi" w:cstheme="minorHAnsi"/>
          <w:sz w:val="22"/>
          <w:szCs w:val="22"/>
        </w:rPr>
      </w:pPr>
    </w:p>
    <w:p w:rsidR="00D34FE0" w:rsidRPr="00867D5D" w:rsidRDefault="00D34FE0" w:rsidP="00D34FE0">
      <w:pPr>
        <w:rPr>
          <w:rFonts w:asciiTheme="minorHAnsi" w:hAnsiTheme="minorHAnsi" w:cstheme="minorHAnsi"/>
          <w:sz w:val="22"/>
          <w:szCs w:val="22"/>
        </w:rPr>
      </w:pPr>
      <w:r w:rsidRPr="00867D5D">
        <w:rPr>
          <w:rFonts w:asciiTheme="minorHAnsi" w:hAnsiTheme="minorHAnsi" w:cstheme="minorHAnsi"/>
          <w:sz w:val="22"/>
          <w:szCs w:val="22"/>
        </w:rPr>
        <w:t>Effective July 14th, 2012, multiple T12 lamp types will be impacted by the new US Department of Energy standards set for general service fluorescent lamps. Accordingly, T12 fixtures are being phased out as an eligible baseline lighting technology for the purpose of calculating energy saving</w:t>
      </w:r>
      <w:r>
        <w:rPr>
          <w:rFonts w:asciiTheme="minorHAnsi" w:hAnsiTheme="minorHAnsi" w:cstheme="minorHAnsi"/>
          <w:sz w:val="22"/>
          <w:szCs w:val="22"/>
        </w:rPr>
        <w:t xml:space="preserve">s </w:t>
      </w:r>
      <w:r w:rsidR="003A3A88">
        <w:rPr>
          <w:rFonts w:asciiTheme="minorHAnsi" w:hAnsiTheme="minorHAnsi" w:cstheme="minorHAnsi"/>
          <w:sz w:val="22"/>
          <w:szCs w:val="22"/>
        </w:rPr>
        <w:t>for lighting retrofit projects</w:t>
      </w:r>
      <w:r w:rsidRPr="00867D5D">
        <w:rPr>
          <w:rFonts w:asciiTheme="minorHAnsi" w:hAnsiTheme="minorHAnsi" w:cstheme="minorHAnsi"/>
          <w:sz w:val="22"/>
          <w:szCs w:val="22"/>
        </w:rPr>
        <w:t xml:space="preserve">. In accordance with this requirement, all T12 fixtures are not eligible as Base Case for this measure.  </w:t>
      </w:r>
    </w:p>
    <w:p w:rsidR="007A7A9D" w:rsidRPr="007A7A9D" w:rsidRDefault="007A7A9D" w:rsidP="00D81287">
      <w:pPr>
        <w:rPr>
          <w:rFonts w:asciiTheme="minorHAnsi" w:hAnsiTheme="minorHAnsi" w:cstheme="minorHAnsi"/>
          <w:sz w:val="22"/>
          <w:szCs w:val="22"/>
        </w:rPr>
      </w:pPr>
    </w:p>
    <w:p w:rsidR="00B07EE5" w:rsidRPr="007A7A9D" w:rsidRDefault="00B07EE5" w:rsidP="00B07EE5">
      <w:pPr>
        <w:pStyle w:val="Caption"/>
        <w:keepNext/>
        <w:jc w:val="center"/>
        <w:rPr>
          <w:rFonts w:asciiTheme="minorHAnsi" w:hAnsiTheme="minorHAnsi" w:cstheme="minorHAnsi"/>
          <w:sz w:val="22"/>
          <w:szCs w:val="22"/>
        </w:rPr>
      </w:pPr>
      <w:r w:rsidRPr="007A7A9D">
        <w:rPr>
          <w:rFonts w:asciiTheme="minorHAnsi" w:hAnsiTheme="minorHAnsi" w:cstheme="minorHAnsi"/>
          <w:sz w:val="22"/>
          <w:szCs w:val="22"/>
        </w:rPr>
        <w:t xml:space="preserve">Table </w:t>
      </w:r>
      <w:r w:rsidRPr="007A7A9D">
        <w:rPr>
          <w:rFonts w:asciiTheme="minorHAnsi" w:hAnsiTheme="minorHAnsi" w:cstheme="minorHAnsi"/>
          <w:sz w:val="22"/>
          <w:szCs w:val="22"/>
        </w:rPr>
        <w:fldChar w:fldCharType="begin"/>
      </w:r>
      <w:r w:rsidRPr="007A7A9D">
        <w:rPr>
          <w:rFonts w:asciiTheme="minorHAnsi" w:hAnsiTheme="minorHAnsi" w:cstheme="minorHAnsi"/>
          <w:sz w:val="22"/>
          <w:szCs w:val="22"/>
        </w:rPr>
        <w:instrText xml:space="preserve"> SEQ Table \* ARABIC </w:instrText>
      </w:r>
      <w:r w:rsidRPr="007A7A9D">
        <w:rPr>
          <w:rFonts w:asciiTheme="minorHAnsi" w:hAnsiTheme="minorHAnsi" w:cstheme="minorHAnsi"/>
          <w:sz w:val="22"/>
          <w:szCs w:val="22"/>
        </w:rPr>
        <w:fldChar w:fldCharType="separate"/>
      </w:r>
      <w:r w:rsidR="005F254C">
        <w:rPr>
          <w:rFonts w:asciiTheme="minorHAnsi" w:hAnsiTheme="minorHAnsi" w:cstheme="minorHAnsi"/>
          <w:noProof/>
          <w:sz w:val="22"/>
          <w:szCs w:val="22"/>
        </w:rPr>
        <w:t>3</w:t>
      </w:r>
      <w:r w:rsidRPr="007A7A9D">
        <w:rPr>
          <w:rFonts w:asciiTheme="minorHAnsi" w:hAnsiTheme="minorHAnsi" w:cstheme="minorHAnsi"/>
          <w:sz w:val="22"/>
          <w:szCs w:val="22"/>
        </w:rPr>
        <w:fldChar w:fldCharType="end"/>
      </w:r>
      <w:r w:rsidRPr="007A7A9D">
        <w:rPr>
          <w:rFonts w:asciiTheme="minorHAnsi" w:hAnsiTheme="minorHAnsi" w:cstheme="minorHAnsi"/>
          <w:sz w:val="22"/>
          <w:szCs w:val="22"/>
        </w:rPr>
        <w:t xml:space="preserve"> </w:t>
      </w:r>
      <w:r w:rsidR="005A1078" w:rsidRPr="007A7A9D">
        <w:rPr>
          <w:rFonts w:asciiTheme="minorHAnsi" w:hAnsiTheme="minorHAnsi" w:cstheme="minorHAnsi"/>
          <w:sz w:val="22"/>
          <w:szCs w:val="22"/>
        </w:rPr>
        <w:t>Code Summary</w:t>
      </w:r>
    </w:p>
    <w:tbl>
      <w:tblPr>
        <w:tblStyle w:val="TableContemporary"/>
        <w:tblW w:w="8027" w:type="dxa"/>
        <w:jc w:val="center"/>
        <w:tblInd w:w="-4933" w:type="dxa"/>
        <w:tblLook w:val="04A0" w:firstRow="1" w:lastRow="0" w:firstColumn="1" w:lastColumn="0" w:noHBand="0" w:noVBand="1"/>
      </w:tblPr>
      <w:tblGrid>
        <w:gridCol w:w="1854"/>
        <w:gridCol w:w="4352"/>
        <w:gridCol w:w="1821"/>
      </w:tblGrid>
      <w:tr w:rsidR="00881A42" w:rsidRPr="005B28C1" w:rsidTr="00C25E61">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881A42" w:rsidRPr="009C1777" w:rsidRDefault="00881A42" w:rsidP="00283DE8">
            <w:pPr>
              <w:jc w:val="center"/>
              <w:rPr>
                <w:rFonts w:asciiTheme="minorHAnsi" w:hAnsiTheme="minorHAnsi" w:cstheme="minorHAnsi"/>
                <w:sz w:val="20"/>
                <w:szCs w:val="20"/>
              </w:rPr>
            </w:pPr>
            <w:r w:rsidRPr="009C1777">
              <w:rPr>
                <w:rFonts w:asciiTheme="minorHAnsi" w:hAnsiTheme="minorHAnsi" w:cstheme="minorHAnsi"/>
                <w:sz w:val="20"/>
                <w:szCs w:val="20"/>
              </w:rPr>
              <w:t>Code</w:t>
            </w:r>
          </w:p>
        </w:tc>
        <w:tc>
          <w:tcPr>
            <w:tcW w:w="4352" w:type="dxa"/>
          </w:tcPr>
          <w:p w:rsidR="00881A42" w:rsidRPr="009C1777" w:rsidRDefault="00CB0100" w:rsidP="00283DE8">
            <w:pPr>
              <w:jc w:val="center"/>
              <w:rPr>
                <w:rFonts w:asciiTheme="minorHAnsi" w:hAnsiTheme="minorHAnsi" w:cstheme="minorHAnsi"/>
                <w:sz w:val="20"/>
                <w:szCs w:val="20"/>
              </w:rPr>
            </w:pPr>
            <w:r>
              <w:rPr>
                <w:rFonts w:asciiTheme="minorHAnsi" w:hAnsiTheme="minorHAnsi" w:cstheme="minorHAnsi"/>
                <w:sz w:val="20"/>
                <w:szCs w:val="20"/>
              </w:rPr>
              <w:t xml:space="preserve">Applicable </w:t>
            </w:r>
            <w:r w:rsidR="00881A42">
              <w:rPr>
                <w:rFonts w:asciiTheme="minorHAnsi" w:hAnsiTheme="minorHAnsi" w:cstheme="minorHAnsi"/>
                <w:sz w:val="20"/>
                <w:szCs w:val="20"/>
              </w:rPr>
              <w:t>Code Reference</w:t>
            </w:r>
          </w:p>
        </w:tc>
        <w:tc>
          <w:tcPr>
            <w:tcW w:w="1821" w:type="dxa"/>
          </w:tcPr>
          <w:p w:rsidR="00881A42" w:rsidRDefault="00881A42" w:rsidP="00283DE8">
            <w:pPr>
              <w:jc w:val="center"/>
              <w:rPr>
                <w:rFonts w:asciiTheme="minorHAnsi" w:hAnsiTheme="minorHAnsi" w:cstheme="minorHAnsi"/>
                <w:sz w:val="20"/>
                <w:szCs w:val="20"/>
              </w:rPr>
            </w:pPr>
            <w:r>
              <w:rPr>
                <w:rFonts w:asciiTheme="minorHAnsi" w:hAnsiTheme="minorHAnsi" w:cstheme="minorHAnsi"/>
                <w:sz w:val="20"/>
                <w:szCs w:val="20"/>
              </w:rPr>
              <w:t>Effective Dates</w:t>
            </w:r>
          </w:p>
        </w:tc>
      </w:tr>
      <w:tr w:rsidR="00D34FE0" w:rsidRPr="005B28C1" w:rsidTr="00C25E61">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D34FE0" w:rsidRPr="000368E9" w:rsidRDefault="00D34FE0" w:rsidP="00044307">
            <w:pPr>
              <w:jc w:val="center"/>
              <w:rPr>
                <w:rFonts w:asciiTheme="minorHAnsi" w:hAnsiTheme="minorHAnsi" w:cstheme="minorHAnsi"/>
                <w:sz w:val="20"/>
                <w:szCs w:val="20"/>
              </w:rPr>
            </w:pPr>
            <w:r w:rsidRPr="000368E9">
              <w:rPr>
                <w:rFonts w:asciiTheme="minorHAnsi" w:hAnsiTheme="minorHAnsi" w:cstheme="minorHAnsi"/>
                <w:sz w:val="20"/>
                <w:szCs w:val="20"/>
              </w:rPr>
              <w:t>Title 24 (2008)</w:t>
            </w:r>
          </w:p>
        </w:tc>
        <w:tc>
          <w:tcPr>
            <w:tcW w:w="4352" w:type="dxa"/>
            <w:vAlign w:val="center"/>
          </w:tcPr>
          <w:p w:rsidR="00D34FE0" w:rsidRPr="000368E9" w:rsidRDefault="00D34FE0" w:rsidP="00044307">
            <w:pPr>
              <w:jc w:val="center"/>
              <w:rPr>
                <w:rFonts w:asciiTheme="minorHAnsi" w:hAnsiTheme="minorHAnsi" w:cstheme="minorHAnsi"/>
                <w:sz w:val="20"/>
                <w:szCs w:val="20"/>
              </w:rPr>
            </w:pPr>
            <w:r w:rsidRPr="000368E9">
              <w:rPr>
                <w:rFonts w:asciiTheme="minorHAnsi" w:hAnsiTheme="minorHAnsi" w:cstheme="minorHAnsi"/>
                <w:sz w:val="20"/>
                <w:szCs w:val="20"/>
              </w:rPr>
              <w:t>2</w:t>
            </w:r>
            <w:r>
              <w:rPr>
                <w:rFonts w:asciiTheme="minorHAnsi" w:hAnsiTheme="minorHAnsi" w:cstheme="minorHAnsi"/>
                <w:sz w:val="20"/>
                <w:szCs w:val="20"/>
              </w:rPr>
              <w:t>008 Non-Residential Compliance M</w:t>
            </w:r>
            <w:r w:rsidRPr="000368E9">
              <w:rPr>
                <w:rFonts w:asciiTheme="minorHAnsi" w:hAnsiTheme="minorHAnsi" w:cstheme="minorHAnsi"/>
                <w:sz w:val="20"/>
                <w:szCs w:val="20"/>
              </w:rPr>
              <w:t xml:space="preserve">anual, </w:t>
            </w:r>
            <w:r>
              <w:rPr>
                <w:rFonts w:asciiTheme="minorHAnsi" w:hAnsiTheme="minorHAnsi" w:cstheme="minorHAnsi"/>
                <w:sz w:val="20"/>
                <w:szCs w:val="20"/>
              </w:rPr>
              <w:t>Sections 130 and 146</w:t>
            </w:r>
          </w:p>
        </w:tc>
        <w:tc>
          <w:tcPr>
            <w:tcW w:w="1821" w:type="dxa"/>
            <w:vAlign w:val="center"/>
          </w:tcPr>
          <w:p w:rsidR="00D34FE0" w:rsidRPr="000368E9" w:rsidRDefault="00D34FE0" w:rsidP="00044307">
            <w:pPr>
              <w:jc w:val="center"/>
              <w:rPr>
                <w:rFonts w:asciiTheme="minorHAnsi" w:hAnsiTheme="minorHAnsi" w:cstheme="minorHAnsi"/>
                <w:sz w:val="20"/>
                <w:szCs w:val="20"/>
              </w:rPr>
            </w:pPr>
            <w:r>
              <w:rPr>
                <w:rFonts w:asciiTheme="minorHAnsi" w:hAnsiTheme="minorHAnsi" w:cstheme="minorHAnsi"/>
                <w:sz w:val="20"/>
                <w:szCs w:val="20"/>
              </w:rPr>
              <w:t>January 1, 2010</w:t>
            </w:r>
          </w:p>
        </w:tc>
      </w:tr>
      <w:tr w:rsidR="00D34FE0" w:rsidRPr="005B28C1" w:rsidTr="00C25E61">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vAlign w:val="center"/>
          </w:tcPr>
          <w:p w:rsidR="00D34FE0" w:rsidRPr="00867D5D" w:rsidRDefault="00D34FE0" w:rsidP="00044307">
            <w:pPr>
              <w:jc w:val="center"/>
              <w:rPr>
                <w:rFonts w:asciiTheme="minorHAnsi" w:hAnsiTheme="minorHAnsi" w:cstheme="minorHAnsi"/>
                <w:sz w:val="20"/>
                <w:szCs w:val="20"/>
              </w:rPr>
            </w:pPr>
            <w:r>
              <w:rPr>
                <w:rFonts w:asciiTheme="minorHAnsi" w:hAnsiTheme="minorHAnsi" w:cstheme="minorHAnsi"/>
                <w:sz w:val="20"/>
                <w:szCs w:val="20"/>
              </w:rPr>
              <w:t>Title 20 (2010)</w:t>
            </w:r>
          </w:p>
        </w:tc>
        <w:tc>
          <w:tcPr>
            <w:tcW w:w="4352" w:type="dxa"/>
            <w:vAlign w:val="center"/>
          </w:tcPr>
          <w:p w:rsidR="00D34FE0" w:rsidRPr="00867D5D" w:rsidRDefault="00D34FE0" w:rsidP="00044307">
            <w:pPr>
              <w:jc w:val="center"/>
              <w:rPr>
                <w:rFonts w:asciiTheme="minorHAnsi" w:hAnsiTheme="minorHAnsi" w:cstheme="minorHAnsi"/>
                <w:sz w:val="20"/>
                <w:szCs w:val="20"/>
              </w:rPr>
            </w:pPr>
            <w:r>
              <w:rPr>
                <w:rFonts w:asciiTheme="minorHAnsi" w:hAnsiTheme="minorHAnsi" w:cstheme="minorHAnsi"/>
                <w:sz w:val="20"/>
                <w:szCs w:val="20"/>
              </w:rPr>
              <w:t>Section 1605.3(n) Energy Efficiency Standard for Metal Halide Luminaires</w:t>
            </w:r>
          </w:p>
        </w:tc>
        <w:tc>
          <w:tcPr>
            <w:tcW w:w="1821" w:type="dxa"/>
            <w:vAlign w:val="center"/>
          </w:tcPr>
          <w:p w:rsidR="00D34FE0" w:rsidRPr="00867D5D" w:rsidRDefault="00D34FE0" w:rsidP="00044307">
            <w:pPr>
              <w:jc w:val="center"/>
              <w:rPr>
                <w:rFonts w:asciiTheme="minorHAnsi" w:hAnsiTheme="minorHAnsi" w:cstheme="minorHAnsi"/>
                <w:sz w:val="20"/>
                <w:szCs w:val="20"/>
              </w:rPr>
            </w:pPr>
            <w:r>
              <w:rPr>
                <w:rFonts w:asciiTheme="minorHAnsi" w:hAnsiTheme="minorHAnsi" w:cstheme="minorHAnsi"/>
                <w:sz w:val="20"/>
                <w:szCs w:val="20"/>
              </w:rPr>
              <w:t>January 1, 2010</w:t>
            </w:r>
          </w:p>
        </w:tc>
      </w:tr>
    </w:tbl>
    <w:p w:rsidR="00E16609" w:rsidRPr="00824F1C" w:rsidRDefault="00824F1C" w:rsidP="00824F1C">
      <w:pPr>
        <w:pStyle w:val="Heading2"/>
        <w:rPr>
          <w:rFonts w:asciiTheme="minorHAnsi" w:hAnsiTheme="minorHAnsi" w:cstheme="minorHAnsi"/>
        </w:rPr>
      </w:pPr>
      <w:bookmarkStart w:id="5" w:name="_Toc214003088"/>
      <w:proofErr w:type="gramStart"/>
      <w:r>
        <w:rPr>
          <w:rFonts w:asciiTheme="minorHAnsi" w:hAnsiTheme="minorHAnsi" w:cstheme="minorHAnsi"/>
        </w:rPr>
        <w:t xml:space="preserve">1.4  </w:t>
      </w:r>
      <w:r w:rsidR="00E16609" w:rsidRPr="00824F1C">
        <w:rPr>
          <w:rFonts w:asciiTheme="minorHAnsi" w:hAnsiTheme="minorHAnsi" w:cstheme="minorHAnsi"/>
        </w:rPr>
        <w:t>Measure</w:t>
      </w:r>
      <w:proofErr w:type="gramEnd"/>
      <w:r w:rsidR="00E16609" w:rsidRPr="00824F1C">
        <w:rPr>
          <w:rFonts w:asciiTheme="minorHAnsi" w:hAnsiTheme="minorHAnsi" w:cstheme="minorHAnsi"/>
        </w:rPr>
        <w:t xml:space="preserve"> Effective Useful Life</w:t>
      </w:r>
      <w:bookmarkEnd w:id="5"/>
    </w:p>
    <w:p w:rsidR="004252D5" w:rsidRDefault="004252D5" w:rsidP="000F130A">
      <w:pPr>
        <w:rPr>
          <w:rFonts w:asciiTheme="minorHAnsi" w:hAnsiTheme="minorHAnsi" w:cstheme="minorHAnsi"/>
          <w:sz w:val="22"/>
          <w:szCs w:val="22"/>
        </w:rPr>
      </w:pPr>
      <w:r w:rsidRPr="004252D5">
        <w:rPr>
          <w:rFonts w:asciiTheme="minorHAnsi" w:hAnsiTheme="minorHAnsi" w:cstheme="minorHAnsi"/>
          <w:sz w:val="22"/>
          <w:szCs w:val="22"/>
        </w:rPr>
        <w:t>According to Fed</w:t>
      </w:r>
      <w:r>
        <w:rPr>
          <w:rFonts w:asciiTheme="minorHAnsi" w:hAnsiTheme="minorHAnsi" w:cstheme="minorHAnsi"/>
          <w:sz w:val="22"/>
          <w:szCs w:val="22"/>
        </w:rPr>
        <w:t>eral requirements, Measure codes</w:t>
      </w:r>
      <w:r w:rsidRPr="004252D5">
        <w:rPr>
          <w:rFonts w:asciiTheme="minorHAnsi" w:hAnsiTheme="minorHAnsi" w:cstheme="minorHAnsi"/>
          <w:sz w:val="22"/>
          <w:szCs w:val="22"/>
        </w:rPr>
        <w:t xml:space="preserve"> L-H11, L-H51, and L-H61 measure life will not be affected by dual baseline. Measure Codes L-H21, L-H31, and L-H41 will be affected by dual baseline, with RUL of 5 years (evaluated with existing lamps as baseline) and (EUL- RUL) of 10 years (evaluated at current code baseline).  Hours of operation are provided in the DEER 3.02 Work Book.</w:t>
      </w:r>
    </w:p>
    <w:p w:rsidR="004252D5" w:rsidRDefault="004252D5" w:rsidP="000F130A">
      <w:pPr>
        <w:rPr>
          <w:rFonts w:asciiTheme="minorHAnsi" w:hAnsiTheme="minorHAnsi" w:cstheme="minorHAnsi"/>
          <w:sz w:val="22"/>
          <w:szCs w:val="22"/>
        </w:rPr>
      </w:pPr>
    </w:p>
    <w:p w:rsidR="005B28C1" w:rsidRPr="007A7A9D" w:rsidRDefault="00C45D1D" w:rsidP="000F130A">
      <w:pPr>
        <w:rPr>
          <w:rFonts w:asciiTheme="minorHAnsi" w:hAnsiTheme="minorHAnsi" w:cstheme="minorHAnsi"/>
          <w:sz w:val="22"/>
          <w:szCs w:val="22"/>
        </w:rPr>
      </w:pPr>
      <w:r>
        <w:rPr>
          <w:rFonts w:asciiTheme="minorHAnsi" w:hAnsiTheme="minorHAnsi" w:cstheme="minorHAnsi"/>
          <w:sz w:val="22"/>
          <w:szCs w:val="22"/>
        </w:rPr>
        <w:t>DEER11</w:t>
      </w:r>
      <w:r w:rsidR="000F130A" w:rsidRPr="007A7A9D">
        <w:rPr>
          <w:rFonts w:asciiTheme="minorHAnsi" w:hAnsiTheme="minorHAnsi" w:cstheme="minorHAnsi"/>
          <w:sz w:val="22"/>
          <w:szCs w:val="22"/>
        </w:rPr>
        <w:t xml:space="preserve"> </w:t>
      </w:r>
      <w:r w:rsidR="00AB4961" w:rsidRPr="00AB4961">
        <w:rPr>
          <w:rFonts w:asciiTheme="minorHAnsi" w:hAnsiTheme="minorHAnsi" w:cstheme="minorHAnsi"/>
          <w:sz w:val="22"/>
          <w:szCs w:val="22"/>
        </w:rPr>
        <w:t xml:space="preserve">and the CPUC ED </w:t>
      </w:r>
      <w:proofErr w:type="spellStart"/>
      <w:r w:rsidR="00AB4961" w:rsidRPr="00AB4961">
        <w:rPr>
          <w:rFonts w:asciiTheme="minorHAnsi" w:hAnsiTheme="minorHAnsi" w:cstheme="minorHAnsi"/>
          <w:sz w:val="22"/>
          <w:szCs w:val="22"/>
        </w:rPr>
        <w:t>Workpaper</w:t>
      </w:r>
      <w:proofErr w:type="spellEnd"/>
      <w:r w:rsidR="00AB4961" w:rsidRPr="00AB4961">
        <w:rPr>
          <w:rFonts w:asciiTheme="minorHAnsi" w:hAnsiTheme="minorHAnsi" w:cstheme="minorHAnsi"/>
          <w:sz w:val="22"/>
          <w:szCs w:val="22"/>
        </w:rPr>
        <w:t xml:space="preserve"> Disposition for Lighting Retrofits documentation </w:t>
      </w:r>
      <w:r w:rsidR="000F130A" w:rsidRPr="007A7A9D">
        <w:rPr>
          <w:rFonts w:asciiTheme="minorHAnsi" w:hAnsiTheme="minorHAnsi" w:cstheme="minorHAnsi"/>
          <w:sz w:val="22"/>
          <w:szCs w:val="22"/>
        </w:rPr>
        <w:t>provides EUL and RUL i</w:t>
      </w:r>
      <w:r w:rsidR="00D34FE0">
        <w:rPr>
          <w:rFonts w:asciiTheme="minorHAnsi" w:hAnsiTheme="minorHAnsi" w:cstheme="minorHAnsi"/>
          <w:sz w:val="22"/>
          <w:szCs w:val="22"/>
        </w:rPr>
        <w:t>nformation to be used for the 13</w:t>
      </w:r>
      <w:r w:rsidR="000F130A" w:rsidRPr="007A7A9D">
        <w:rPr>
          <w:rFonts w:asciiTheme="minorHAnsi" w:hAnsiTheme="minorHAnsi" w:cstheme="minorHAnsi"/>
          <w:sz w:val="22"/>
          <w:szCs w:val="22"/>
        </w:rPr>
        <w:t>-1</w:t>
      </w:r>
      <w:r w:rsidR="00D34FE0">
        <w:rPr>
          <w:rFonts w:asciiTheme="minorHAnsi" w:hAnsiTheme="minorHAnsi" w:cstheme="minorHAnsi"/>
          <w:sz w:val="22"/>
          <w:szCs w:val="22"/>
        </w:rPr>
        <w:t>4</w:t>
      </w:r>
      <w:r w:rsidR="000F130A" w:rsidRPr="007A7A9D">
        <w:rPr>
          <w:rFonts w:asciiTheme="minorHAnsi" w:hAnsiTheme="minorHAnsi" w:cstheme="minorHAnsi"/>
          <w:sz w:val="22"/>
          <w:szCs w:val="22"/>
        </w:rPr>
        <w:t xml:space="preserve"> program cycle on </w:t>
      </w:r>
      <w:hyperlink r:id="rId12" w:history="1">
        <w:r w:rsidR="000F130A" w:rsidRPr="007A7A9D">
          <w:rPr>
            <w:rFonts w:asciiTheme="minorHAnsi" w:hAnsiTheme="minorHAnsi" w:cstheme="minorHAnsi"/>
            <w:sz w:val="22"/>
            <w:szCs w:val="22"/>
          </w:rPr>
          <w:t>www.deeresources.com</w:t>
        </w:r>
      </w:hyperlink>
      <w:r w:rsidR="00056947" w:rsidRPr="007A7A9D">
        <w:rPr>
          <w:rFonts w:asciiTheme="minorHAnsi" w:hAnsiTheme="minorHAnsi" w:cstheme="minorHAnsi"/>
          <w:sz w:val="22"/>
          <w:szCs w:val="22"/>
        </w:rPr>
        <w:t xml:space="preserve">. </w:t>
      </w:r>
      <w:r w:rsidR="000F130A" w:rsidRPr="007A7A9D">
        <w:rPr>
          <w:rFonts w:asciiTheme="minorHAnsi" w:hAnsiTheme="minorHAnsi" w:cstheme="minorHAnsi"/>
          <w:sz w:val="22"/>
          <w:szCs w:val="22"/>
        </w:rPr>
        <w:t>The DEER documentation “Summary of EUL-RUL Analysis for the April 2008 Update to DEER” provides the RUL value as a flat 1/3 of the EUL value.</w:t>
      </w:r>
      <w:r w:rsidR="005347D4">
        <w:rPr>
          <w:rFonts w:asciiTheme="minorHAnsi" w:hAnsiTheme="minorHAnsi" w:cstheme="minorHAnsi"/>
          <w:sz w:val="22"/>
          <w:szCs w:val="22"/>
        </w:rPr>
        <w:t xml:space="preserve"> </w:t>
      </w:r>
      <w:r w:rsidR="005347D4" w:rsidRPr="00BD3931">
        <w:rPr>
          <w:rFonts w:asciiTheme="minorHAnsi" w:hAnsiTheme="minorHAnsi" w:cstheme="minorHAnsi"/>
          <w:sz w:val="22"/>
          <w:szCs w:val="22"/>
        </w:rPr>
        <w:t>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1D61B9" w:rsidRDefault="001D61B9" w:rsidP="000F130A">
      <w:pPr>
        <w:rPr>
          <w:rFonts w:asciiTheme="minorHAnsi" w:hAnsiTheme="minorHAnsi" w:cstheme="minorHAnsi"/>
          <w:sz w:val="22"/>
          <w:szCs w:val="22"/>
        </w:rPr>
      </w:pPr>
    </w:p>
    <w:p w:rsidR="000F2F89" w:rsidRPr="000F2F89" w:rsidRDefault="004252D5" w:rsidP="000F2F89">
      <w:pPr>
        <w:rPr>
          <w:rFonts w:asciiTheme="minorHAnsi" w:hAnsiTheme="minorHAnsi" w:cstheme="minorHAnsi"/>
          <w:sz w:val="22"/>
          <w:szCs w:val="22"/>
        </w:rPr>
      </w:pPr>
      <w:r w:rsidRPr="004252D5">
        <w:rPr>
          <w:rFonts w:asciiTheme="minorHAnsi" w:hAnsiTheme="minorHAnsi" w:cstheme="minorHAnsi"/>
          <w:sz w:val="22"/>
          <w:szCs w:val="22"/>
        </w:rPr>
        <w:t xml:space="preserve">To obtain the EUL value, the CPUC ED </w:t>
      </w:r>
      <w:proofErr w:type="spellStart"/>
      <w:r w:rsidRPr="004252D5">
        <w:rPr>
          <w:rFonts w:asciiTheme="minorHAnsi" w:hAnsiTheme="minorHAnsi" w:cstheme="minorHAnsi"/>
          <w:sz w:val="22"/>
          <w:szCs w:val="22"/>
        </w:rPr>
        <w:t>Workpaper</w:t>
      </w:r>
      <w:proofErr w:type="spellEnd"/>
      <w:r w:rsidRPr="004252D5">
        <w:rPr>
          <w:rFonts w:asciiTheme="minorHAnsi" w:hAnsiTheme="minorHAnsi" w:cstheme="minorHAnsi"/>
          <w:sz w:val="22"/>
          <w:szCs w:val="22"/>
        </w:rPr>
        <w:t xml:space="preserve"> Disposition for Lighting Retrofits documentation issued on November 12, 2013, “2013-2014_LightingRetrofit_Disposition-12November2013.xlsx”</w:t>
      </w:r>
      <w:r w:rsidR="00F31A00">
        <w:rPr>
          <w:rFonts w:asciiTheme="minorHAnsi" w:hAnsiTheme="minorHAnsi" w:cstheme="minorHAnsi"/>
          <w:sz w:val="22"/>
          <w:szCs w:val="22"/>
        </w:rPr>
        <w:t xml:space="preserve"> </w:t>
      </w:r>
      <w:r w:rsidR="003A3A88">
        <w:rPr>
          <w:rFonts w:asciiTheme="minorHAnsi" w:hAnsiTheme="minorHAnsi" w:cstheme="minorHAnsi"/>
          <w:sz w:val="22"/>
          <w:szCs w:val="22"/>
        </w:rPr>
        <w:t>[A]</w:t>
      </w:r>
      <w:r w:rsidRPr="004252D5">
        <w:rPr>
          <w:rFonts w:asciiTheme="minorHAnsi" w:hAnsiTheme="minorHAnsi" w:cstheme="minorHAnsi"/>
          <w:sz w:val="22"/>
          <w:szCs w:val="22"/>
        </w:rPr>
        <w:t xml:space="preserve">, was consulted.  </w:t>
      </w:r>
      <w:r w:rsidR="000F2F89" w:rsidRPr="000F2F89">
        <w:rPr>
          <w:rFonts w:asciiTheme="minorHAnsi" w:hAnsiTheme="minorHAnsi" w:cstheme="minorHAnsi"/>
          <w:sz w:val="22"/>
          <w:szCs w:val="22"/>
        </w:rPr>
        <w:t xml:space="preserve">The disposition workbook specifies 70,000 hours for the non-residential linear fluorescent T8 lamp technology.  </w:t>
      </w:r>
      <w:r w:rsidR="0025329C" w:rsidRPr="000F2F89">
        <w:rPr>
          <w:rFonts w:asciiTheme="minorHAnsi" w:hAnsiTheme="minorHAnsi" w:cstheme="minorHAnsi"/>
          <w:sz w:val="22"/>
          <w:szCs w:val="22"/>
        </w:rPr>
        <w:t xml:space="preserve">Please consult </w:t>
      </w:r>
      <w:proofErr w:type="spellStart"/>
      <w:r w:rsidR="0025329C" w:rsidRPr="000F2F89">
        <w:rPr>
          <w:rFonts w:asciiTheme="minorHAnsi" w:hAnsiTheme="minorHAnsi" w:cstheme="minorHAnsi"/>
          <w:sz w:val="22"/>
          <w:szCs w:val="22"/>
        </w:rPr>
        <w:t>workpaper</w:t>
      </w:r>
      <w:proofErr w:type="spellEnd"/>
      <w:r w:rsidR="0025329C" w:rsidRPr="000F2F89">
        <w:rPr>
          <w:rFonts w:asciiTheme="minorHAnsi" w:hAnsiTheme="minorHAnsi" w:cstheme="minorHAnsi"/>
          <w:sz w:val="22"/>
          <w:szCs w:val="22"/>
        </w:rPr>
        <w:t xml:space="preserve"> WPSDGENRLG0999 </w:t>
      </w:r>
      <w:r w:rsidR="003A3A88">
        <w:rPr>
          <w:rFonts w:asciiTheme="minorHAnsi" w:hAnsiTheme="minorHAnsi" w:cstheme="minorHAnsi"/>
          <w:sz w:val="22"/>
          <w:szCs w:val="22"/>
        </w:rPr>
        <w:t>[B]</w:t>
      </w:r>
      <w:r w:rsidR="00096965">
        <w:rPr>
          <w:rFonts w:asciiTheme="minorHAnsi" w:hAnsiTheme="minorHAnsi" w:cstheme="minorHAnsi"/>
          <w:sz w:val="22"/>
          <w:szCs w:val="22"/>
        </w:rPr>
        <w:t xml:space="preserve"> </w:t>
      </w:r>
      <w:r w:rsidR="0025329C" w:rsidRPr="000F2F89">
        <w:rPr>
          <w:rFonts w:asciiTheme="minorHAnsi" w:hAnsiTheme="minorHAnsi" w:cstheme="minorHAnsi"/>
          <w:sz w:val="22"/>
          <w:szCs w:val="22"/>
        </w:rPr>
        <w:t xml:space="preserve">for the actual EUL values used for all of the building types in this </w:t>
      </w:r>
      <w:proofErr w:type="spellStart"/>
      <w:r w:rsidR="0025329C" w:rsidRPr="000F2F89">
        <w:rPr>
          <w:rFonts w:asciiTheme="minorHAnsi" w:hAnsiTheme="minorHAnsi" w:cstheme="minorHAnsi"/>
          <w:sz w:val="22"/>
          <w:szCs w:val="22"/>
        </w:rPr>
        <w:t>workpaper</w:t>
      </w:r>
      <w:proofErr w:type="spellEnd"/>
      <w:r w:rsidR="0025329C" w:rsidRPr="000F2F89">
        <w:rPr>
          <w:rFonts w:asciiTheme="minorHAnsi" w:hAnsiTheme="minorHAnsi" w:cstheme="minorHAnsi"/>
          <w:sz w:val="22"/>
          <w:szCs w:val="22"/>
        </w:rPr>
        <w:t>.</w:t>
      </w:r>
    </w:p>
    <w:p w:rsidR="000F2F89" w:rsidRPr="000F2F89" w:rsidRDefault="000F2F89" w:rsidP="000F2F89">
      <w:pPr>
        <w:rPr>
          <w:rFonts w:asciiTheme="minorHAnsi" w:hAnsiTheme="minorHAnsi" w:cstheme="minorHAnsi"/>
          <w:sz w:val="22"/>
          <w:szCs w:val="22"/>
        </w:rPr>
      </w:pPr>
    </w:p>
    <w:p w:rsidR="004252D5" w:rsidRDefault="000F2F89" w:rsidP="000F2F89">
      <w:pPr>
        <w:rPr>
          <w:rFonts w:asciiTheme="minorHAnsi" w:hAnsiTheme="minorHAnsi" w:cstheme="minorHAnsi"/>
          <w:sz w:val="22"/>
          <w:szCs w:val="22"/>
        </w:rPr>
      </w:pPr>
      <w:r w:rsidRPr="000F2F89">
        <w:rPr>
          <w:rFonts w:asciiTheme="minorHAnsi" w:hAnsiTheme="minorHAnsi" w:cstheme="minorHAnsi"/>
          <w:sz w:val="22"/>
          <w:szCs w:val="22"/>
        </w:rPr>
        <w:t xml:space="preserve">The EUL ID used in this </w:t>
      </w:r>
      <w:proofErr w:type="spellStart"/>
      <w:r w:rsidRPr="000F2F89">
        <w:rPr>
          <w:rFonts w:asciiTheme="minorHAnsi" w:hAnsiTheme="minorHAnsi" w:cstheme="minorHAnsi"/>
          <w:sz w:val="22"/>
          <w:szCs w:val="22"/>
        </w:rPr>
        <w:t>workpaper</w:t>
      </w:r>
      <w:proofErr w:type="spellEnd"/>
      <w:r w:rsidRPr="000F2F89">
        <w:rPr>
          <w:rFonts w:asciiTheme="minorHAnsi" w:hAnsiTheme="minorHAnsi" w:cstheme="minorHAnsi"/>
          <w:sz w:val="22"/>
          <w:szCs w:val="22"/>
        </w:rPr>
        <w:t xml:space="preserve"> is “</w:t>
      </w:r>
      <w:proofErr w:type="spellStart"/>
      <w:r w:rsidRPr="000F2F89">
        <w:rPr>
          <w:rFonts w:asciiTheme="minorHAnsi" w:hAnsiTheme="minorHAnsi" w:cstheme="minorHAnsi"/>
          <w:sz w:val="22"/>
          <w:szCs w:val="22"/>
        </w:rPr>
        <w:t>ILtg-Lfluor-Elec</w:t>
      </w:r>
      <w:proofErr w:type="spellEnd"/>
      <w:r w:rsidRPr="000F2F89">
        <w:rPr>
          <w:rFonts w:asciiTheme="minorHAnsi" w:hAnsiTheme="minorHAnsi" w:cstheme="minorHAnsi"/>
          <w:sz w:val="22"/>
          <w:szCs w:val="22"/>
        </w:rPr>
        <w:t>” with a Sector ID of “Com”.</w:t>
      </w:r>
    </w:p>
    <w:p w:rsidR="007A7A9D" w:rsidRPr="007A7A9D" w:rsidRDefault="007A7A9D" w:rsidP="000F130A">
      <w:pPr>
        <w:rPr>
          <w:rFonts w:asciiTheme="minorHAnsi" w:hAnsiTheme="minorHAnsi" w:cstheme="minorHAnsi"/>
          <w:sz w:val="22"/>
          <w:szCs w:val="22"/>
        </w:rPr>
      </w:pPr>
    </w:p>
    <w:p w:rsidR="005B28C1" w:rsidRPr="007A7A9D" w:rsidRDefault="005B28C1" w:rsidP="005B28C1">
      <w:pPr>
        <w:pStyle w:val="Caption"/>
        <w:jc w:val="center"/>
        <w:rPr>
          <w:rFonts w:asciiTheme="minorHAnsi" w:hAnsiTheme="minorHAnsi" w:cstheme="minorHAnsi"/>
          <w:sz w:val="22"/>
          <w:szCs w:val="22"/>
        </w:rPr>
      </w:pPr>
      <w:bookmarkStart w:id="6" w:name="_Ref296591307"/>
      <w:r w:rsidRPr="007A7A9D">
        <w:rPr>
          <w:rFonts w:asciiTheme="minorHAnsi" w:hAnsiTheme="minorHAnsi" w:cstheme="minorHAnsi"/>
          <w:sz w:val="22"/>
          <w:szCs w:val="22"/>
        </w:rPr>
        <w:t xml:space="preserve">Table </w:t>
      </w:r>
      <w:r w:rsidRPr="007A7A9D">
        <w:rPr>
          <w:rFonts w:asciiTheme="minorHAnsi" w:hAnsiTheme="minorHAnsi" w:cstheme="minorHAnsi"/>
          <w:sz w:val="22"/>
          <w:szCs w:val="22"/>
        </w:rPr>
        <w:fldChar w:fldCharType="begin"/>
      </w:r>
      <w:r w:rsidRPr="007A7A9D">
        <w:rPr>
          <w:rFonts w:asciiTheme="minorHAnsi" w:hAnsiTheme="minorHAnsi" w:cstheme="minorHAnsi"/>
          <w:sz w:val="22"/>
          <w:szCs w:val="22"/>
        </w:rPr>
        <w:instrText xml:space="preserve"> SEQ Table \* ARABIC </w:instrText>
      </w:r>
      <w:r w:rsidRPr="007A7A9D">
        <w:rPr>
          <w:rFonts w:asciiTheme="minorHAnsi" w:hAnsiTheme="minorHAnsi" w:cstheme="minorHAnsi"/>
          <w:sz w:val="22"/>
          <w:szCs w:val="22"/>
        </w:rPr>
        <w:fldChar w:fldCharType="separate"/>
      </w:r>
      <w:r w:rsidR="005F254C">
        <w:rPr>
          <w:rFonts w:asciiTheme="minorHAnsi" w:hAnsiTheme="minorHAnsi" w:cstheme="minorHAnsi"/>
          <w:noProof/>
          <w:sz w:val="22"/>
          <w:szCs w:val="22"/>
        </w:rPr>
        <w:t>4</w:t>
      </w:r>
      <w:r w:rsidRPr="007A7A9D">
        <w:rPr>
          <w:rFonts w:asciiTheme="minorHAnsi" w:hAnsiTheme="minorHAnsi" w:cstheme="minorHAnsi"/>
          <w:sz w:val="22"/>
          <w:szCs w:val="22"/>
        </w:rPr>
        <w:fldChar w:fldCharType="end"/>
      </w:r>
      <w:bookmarkEnd w:id="6"/>
      <w:r w:rsidRPr="007A7A9D">
        <w:rPr>
          <w:rFonts w:asciiTheme="minorHAnsi" w:hAnsiTheme="minorHAnsi" w:cstheme="minorHAnsi"/>
          <w:sz w:val="22"/>
          <w:szCs w:val="22"/>
        </w:rPr>
        <w:t xml:space="preserve"> DEER08 EUL Value/Methodology</w:t>
      </w:r>
    </w:p>
    <w:tbl>
      <w:tblPr>
        <w:tblStyle w:val="TableContemporary"/>
        <w:tblW w:w="11646" w:type="dxa"/>
        <w:jc w:val="center"/>
        <w:tblLook w:val="04A0" w:firstRow="1" w:lastRow="0" w:firstColumn="1" w:lastColumn="0" w:noHBand="0" w:noVBand="1"/>
      </w:tblPr>
      <w:tblGrid>
        <w:gridCol w:w="1548"/>
        <w:gridCol w:w="1530"/>
        <w:gridCol w:w="1890"/>
        <w:gridCol w:w="1890"/>
        <w:gridCol w:w="3510"/>
        <w:gridCol w:w="1278"/>
      </w:tblGrid>
      <w:tr w:rsidR="00E914FB" w:rsidRPr="005B28C1" w:rsidTr="00E914FB">
        <w:trPr>
          <w:cnfStyle w:val="100000000000" w:firstRow="1" w:lastRow="0" w:firstColumn="0" w:lastColumn="0" w:oddVBand="0" w:evenVBand="0" w:oddHBand="0" w:evenHBand="0" w:firstRowFirstColumn="0" w:firstRowLastColumn="0" w:lastRowFirstColumn="0" w:lastRowLastColumn="0"/>
          <w:jc w:val="center"/>
        </w:trPr>
        <w:tc>
          <w:tcPr>
            <w:tcW w:w="1548" w:type="dxa"/>
            <w:vAlign w:val="center"/>
          </w:tcPr>
          <w:p w:rsidR="00E914FB" w:rsidRPr="005B28C1" w:rsidRDefault="00E914FB" w:rsidP="00E914FB">
            <w:pPr>
              <w:jc w:val="center"/>
              <w:rPr>
                <w:rFonts w:asciiTheme="minorHAnsi" w:hAnsiTheme="minorHAnsi" w:cstheme="minorHAnsi"/>
                <w:sz w:val="20"/>
                <w:szCs w:val="20"/>
              </w:rPr>
            </w:pPr>
            <w:r w:rsidRPr="005B28C1">
              <w:rPr>
                <w:rFonts w:asciiTheme="minorHAnsi" w:hAnsiTheme="minorHAnsi" w:cstheme="minorHAnsi"/>
                <w:sz w:val="20"/>
                <w:szCs w:val="20"/>
              </w:rPr>
              <w:t>Market</w:t>
            </w:r>
          </w:p>
        </w:tc>
        <w:tc>
          <w:tcPr>
            <w:tcW w:w="1530" w:type="dxa"/>
            <w:vAlign w:val="center"/>
          </w:tcPr>
          <w:p w:rsidR="00E914FB" w:rsidRPr="005B28C1" w:rsidRDefault="00E914FB" w:rsidP="00E914FB">
            <w:pPr>
              <w:jc w:val="center"/>
              <w:rPr>
                <w:rFonts w:asciiTheme="minorHAnsi" w:hAnsiTheme="minorHAnsi" w:cstheme="minorHAnsi"/>
                <w:sz w:val="20"/>
                <w:szCs w:val="20"/>
              </w:rPr>
            </w:pPr>
            <w:proofErr w:type="spellStart"/>
            <w:r w:rsidRPr="005B28C1">
              <w:rPr>
                <w:rFonts w:asciiTheme="minorHAnsi" w:hAnsiTheme="minorHAnsi" w:cstheme="minorHAnsi"/>
                <w:sz w:val="20"/>
                <w:szCs w:val="20"/>
              </w:rPr>
              <w:t>Enduse</w:t>
            </w:r>
            <w:proofErr w:type="spellEnd"/>
          </w:p>
        </w:tc>
        <w:tc>
          <w:tcPr>
            <w:tcW w:w="1890" w:type="dxa"/>
            <w:vAlign w:val="center"/>
          </w:tcPr>
          <w:p w:rsidR="00E914FB" w:rsidRPr="005B28C1" w:rsidRDefault="00E914FB" w:rsidP="00E914FB">
            <w:pPr>
              <w:jc w:val="center"/>
              <w:rPr>
                <w:rFonts w:asciiTheme="minorHAnsi" w:hAnsiTheme="minorHAnsi" w:cstheme="minorHAnsi"/>
                <w:sz w:val="20"/>
                <w:szCs w:val="20"/>
              </w:rPr>
            </w:pPr>
            <w:r>
              <w:rPr>
                <w:rFonts w:asciiTheme="minorHAnsi" w:hAnsiTheme="minorHAnsi" w:cstheme="minorHAnsi"/>
                <w:sz w:val="20"/>
                <w:szCs w:val="20"/>
              </w:rPr>
              <w:t>EUL ID</w:t>
            </w:r>
          </w:p>
        </w:tc>
        <w:tc>
          <w:tcPr>
            <w:tcW w:w="1890" w:type="dxa"/>
            <w:vAlign w:val="center"/>
          </w:tcPr>
          <w:p w:rsidR="00E914FB" w:rsidRPr="005B28C1" w:rsidRDefault="00E914FB" w:rsidP="00E914FB">
            <w:pPr>
              <w:jc w:val="center"/>
              <w:rPr>
                <w:rFonts w:asciiTheme="minorHAnsi" w:hAnsiTheme="minorHAnsi" w:cstheme="minorHAnsi"/>
                <w:sz w:val="20"/>
                <w:szCs w:val="20"/>
              </w:rPr>
            </w:pPr>
            <w:r w:rsidRPr="005B28C1">
              <w:rPr>
                <w:rFonts w:asciiTheme="minorHAnsi" w:hAnsiTheme="minorHAnsi" w:cstheme="minorHAnsi"/>
                <w:sz w:val="20"/>
                <w:szCs w:val="20"/>
              </w:rPr>
              <w:t>Measure</w:t>
            </w:r>
          </w:p>
        </w:tc>
        <w:tc>
          <w:tcPr>
            <w:tcW w:w="3510" w:type="dxa"/>
            <w:vAlign w:val="center"/>
          </w:tcPr>
          <w:p w:rsidR="00E914FB" w:rsidRPr="005B28C1" w:rsidRDefault="00E914FB" w:rsidP="00E914FB">
            <w:pPr>
              <w:jc w:val="center"/>
              <w:rPr>
                <w:rFonts w:asciiTheme="minorHAnsi" w:hAnsiTheme="minorHAnsi" w:cstheme="minorHAnsi"/>
                <w:sz w:val="20"/>
                <w:szCs w:val="20"/>
              </w:rPr>
            </w:pPr>
            <w:r w:rsidRPr="005B28C1">
              <w:rPr>
                <w:rFonts w:asciiTheme="minorHAnsi" w:hAnsiTheme="minorHAnsi" w:cstheme="minorHAnsi"/>
                <w:sz w:val="20"/>
                <w:szCs w:val="20"/>
              </w:rPr>
              <w:t>EUL (Years)</w:t>
            </w:r>
          </w:p>
        </w:tc>
        <w:tc>
          <w:tcPr>
            <w:tcW w:w="1278" w:type="dxa"/>
            <w:vAlign w:val="center"/>
          </w:tcPr>
          <w:p w:rsidR="00E914FB" w:rsidRPr="005B28C1" w:rsidRDefault="00E914FB" w:rsidP="00E914FB">
            <w:pPr>
              <w:jc w:val="center"/>
              <w:rPr>
                <w:rFonts w:asciiTheme="minorHAnsi" w:hAnsiTheme="minorHAnsi" w:cstheme="minorHAnsi"/>
                <w:sz w:val="20"/>
                <w:szCs w:val="20"/>
              </w:rPr>
            </w:pPr>
            <w:r>
              <w:rPr>
                <w:rFonts w:asciiTheme="minorHAnsi" w:hAnsiTheme="minorHAnsi" w:cstheme="minorHAnsi"/>
                <w:sz w:val="20"/>
                <w:szCs w:val="20"/>
              </w:rPr>
              <w:t>RUL (Years)</w:t>
            </w:r>
          </w:p>
        </w:tc>
      </w:tr>
      <w:tr w:rsidR="00E914FB" w:rsidRPr="005B28C1" w:rsidTr="00E914FB">
        <w:trPr>
          <w:cnfStyle w:val="000000100000" w:firstRow="0" w:lastRow="0" w:firstColumn="0" w:lastColumn="0" w:oddVBand="0" w:evenVBand="0" w:oddHBand="1" w:evenHBand="0" w:firstRowFirstColumn="0" w:firstRowLastColumn="0" w:lastRowFirstColumn="0" w:lastRowLastColumn="0"/>
          <w:trHeight w:val="243"/>
          <w:jc w:val="center"/>
        </w:trPr>
        <w:tc>
          <w:tcPr>
            <w:tcW w:w="1548" w:type="dxa"/>
            <w:vAlign w:val="center"/>
          </w:tcPr>
          <w:p w:rsidR="00E914FB" w:rsidRPr="005B28C1" w:rsidRDefault="00E914FB" w:rsidP="00E914FB">
            <w:pPr>
              <w:jc w:val="center"/>
              <w:rPr>
                <w:rFonts w:asciiTheme="minorHAnsi" w:hAnsiTheme="minorHAnsi" w:cstheme="minorHAnsi"/>
                <w:sz w:val="20"/>
                <w:szCs w:val="20"/>
              </w:rPr>
            </w:pPr>
            <w:r w:rsidRPr="005B28C1">
              <w:rPr>
                <w:rFonts w:asciiTheme="minorHAnsi" w:hAnsiTheme="minorHAnsi" w:cstheme="minorHAnsi"/>
                <w:sz w:val="20"/>
                <w:szCs w:val="20"/>
              </w:rPr>
              <w:t>Non-Residential</w:t>
            </w:r>
          </w:p>
        </w:tc>
        <w:tc>
          <w:tcPr>
            <w:tcW w:w="1530" w:type="dxa"/>
            <w:vAlign w:val="center"/>
          </w:tcPr>
          <w:p w:rsidR="00E914FB" w:rsidRPr="005B28C1" w:rsidRDefault="00E914FB" w:rsidP="00E914FB">
            <w:pPr>
              <w:jc w:val="center"/>
              <w:rPr>
                <w:rFonts w:asciiTheme="minorHAnsi" w:hAnsiTheme="minorHAnsi" w:cstheme="minorHAnsi"/>
                <w:sz w:val="20"/>
                <w:szCs w:val="20"/>
              </w:rPr>
            </w:pPr>
            <w:r w:rsidRPr="00E53E7E">
              <w:rPr>
                <w:rFonts w:asciiTheme="minorHAnsi" w:hAnsiTheme="minorHAnsi" w:cstheme="minorHAnsi"/>
                <w:sz w:val="20"/>
                <w:szCs w:val="20"/>
              </w:rPr>
              <w:t>Indoor Lighting</w:t>
            </w:r>
          </w:p>
        </w:tc>
        <w:tc>
          <w:tcPr>
            <w:tcW w:w="1890" w:type="dxa"/>
            <w:vAlign w:val="center"/>
          </w:tcPr>
          <w:p w:rsidR="00E914FB" w:rsidRPr="00E53E7E" w:rsidRDefault="00B32F0E" w:rsidP="00E914FB">
            <w:pPr>
              <w:jc w:val="center"/>
              <w:rPr>
                <w:rFonts w:asciiTheme="minorHAnsi" w:hAnsiTheme="minorHAnsi" w:cstheme="minorHAnsi"/>
                <w:sz w:val="20"/>
                <w:szCs w:val="20"/>
              </w:rPr>
            </w:pPr>
            <w:proofErr w:type="spellStart"/>
            <w:r w:rsidRPr="00B32F0E">
              <w:rPr>
                <w:rFonts w:asciiTheme="minorHAnsi" w:hAnsiTheme="minorHAnsi" w:cstheme="minorHAnsi"/>
                <w:sz w:val="20"/>
                <w:szCs w:val="20"/>
              </w:rPr>
              <w:t>ILtg-Lfluor-Elec</w:t>
            </w:r>
            <w:proofErr w:type="spellEnd"/>
          </w:p>
        </w:tc>
        <w:tc>
          <w:tcPr>
            <w:tcW w:w="1890" w:type="dxa"/>
            <w:vAlign w:val="center"/>
          </w:tcPr>
          <w:p w:rsidR="00E914FB" w:rsidRPr="005B28C1" w:rsidRDefault="00E914FB" w:rsidP="00E914FB">
            <w:pPr>
              <w:jc w:val="center"/>
              <w:rPr>
                <w:rFonts w:asciiTheme="minorHAnsi" w:hAnsiTheme="minorHAnsi" w:cstheme="minorHAnsi"/>
                <w:sz w:val="20"/>
                <w:szCs w:val="20"/>
              </w:rPr>
            </w:pPr>
            <w:r w:rsidRPr="00E53E7E">
              <w:rPr>
                <w:rFonts w:asciiTheme="minorHAnsi" w:hAnsiTheme="minorHAnsi" w:cstheme="minorHAnsi"/>
                <w:sz w:val="20"/>
                <w:szCs w:val="20"/>
              </w:rPr>
              <w:t>Linear Fluorescents</w:t>
            </w:r>
          </w:p>
        </w:tc>
        <w:tc>
          <w:tcPr>
            <w:tcW w:w="3510" w:type="dxa"/>
          </w:tcPr>
          <w:p w:rsidR="00E914FB" w:rsidRPr="0054570B" w:rsidRDefault="00E914FB" w:rsidP="00D968BF">
            <w:pPr>
              <w:rPr>
                <w:rFonts w:asciiTheme="minorHAnsi" w:hAnsiTheme="minorHAnsi" w:cstheme="minorHAnsi"/>
                <w:sz w:val="20"/>
                <w:szCs w:val="20"/>
              </w:rPr>
            </w:pPr>
            <w:r w:rsidRPr="0054570B">
              <w:rPr>
                <w:rFonts w:asciiTheme="minorHAnsi" w:hAnsiTheme="minorHAnsi" w:cstheme="minorHAnsi"/>
                <w:sz w:val="20"/>
                <w:szCs w:val="20"/>
              </w:rPr>
              <w:t>EUL varies by building type</w:t>
            </w:r>
          </w:p>
          <w:p w:rsidR="00E914FB" w:rsidRPr="0054570B" w:rsidRDefault="00E914FB" w:rsidP="00D968BF">
            <w:pPr>
              <w:rPr>
                <w:rFonts w:asciiTheme="minorHAnsi" w:hAnsiTheme="minorHAnsi" w:cstheme="minorHAnsi"/>
                <w:sz w:val="20"/>
                <w:szCs w:val="20"/>
              </w:rPr>
            </w:pPr>
            <w:r w:rsidRPr="0054570B">
              <w:rPr>
                <w:rFonts w:asciiTheme="minorHAnsi" w:hAnsiTheme="minorHAnsi" w:cstheme="minorHAnsi"/>
                <w:sz w:val="20"/>
                <w:szCs w:val="20"/>
              </w:rPr>
              <w:t>EUL = Rated Life of Ballast (70,000 hours) / Annual usage for building type (usage provided by DEER)  OR</w:t>
            </w:r>
          </w:p>
          <w:p w:rsidR="00E914FB" w:rsidRPr="0054570B" w:rsidRDefault="00E914FB" w:rsidP="00D968BF">
            <w:pPr>
              <w:rPr>
                <w:rFonts w:asciiTheme="minorHAnsi" w:hAnsiTheme="minorHAnsi" w:cstheme="minorHAnsi"/>
                <w:sz w:val="20"/>
                <w:szCs w:val="20"/>
              </w:rPr>
            </w:pPr>
            <w:r w:rsidRPr="0054570B">
              <w:rPr>
                <w:rFonts w:asciiTheme="minorHAnsi" w:hAnsiTheme="minorHAnsi" w:cstheme="minorHAnsi"/>
                <w:sz w:val="20"/>
                <w:szCs w:val="20"/>
              </w:rPr>
              <w:t>15 years (whichever is less).</w:t>
            </w:r>
          </w:p>
        </w:tc>
        <w:tc>
          <w:tcPr>
            <w:tcW w:w="1278" w:type="dxa"/>
          </w:tcPr>
          <w:p w:rsidR="00E914FB" w:rsidRPr="0054570B" w:rsidRDefault="00E914FB" w:rsidP="000F130A">
            <w:pPr>
              <w:rPr>
                <w:rFonts w:asciiTheme="minorHAnsi" w:hAnsiTheme="minorHAnsi" w:cstheme="minorHAnsi"/>
                <w:sz w:val="20"/>
                <w:szCs w:val="20"/>
                <w:highlight w:val="yellow"/>
              </w:rPr>
            </w:pPr>
            <w:r>
              <w:rPr>
                <w:rFonts w:asciiTheme="minorHAnsi" w:hAnsiTheme="minorHAnsi" w:cstheme="minorHAnsi"/>
                <w:sz w:val="20"/>
                <w:szCs w:val="20"/>
              </w:rPr>
              <w:t>RUL value i</w:t>
            </w:r>
            <w:r w:rsidRPr="0054570B">
              <w:rPr>
                <w:rFonts w:asciiTheme="minorHAnsi" w:hAnsiTheme="minorHAnsi" w:cstheme="minorHAnsi"/>
                <w:sz w:val="20"/>
                <w:szCs w:val="20"/>
              </w:rPr>
              <w:t>s a flat 1/3 of the EUL value</w:t>
            </w:r>
          </w:p>
        </w:tc>
      </w:tr>
    </w:tbl>
    <w:p w:rsidR="00E16609" w:rsidRPr="00364100" w:rsidRDefault="00824F1C" w:rsidP="00364100">
      <w:pPr>
        <w:pStyle w:val="Heading2"/>
        <w:rPr>
          <w:rFonts w:asciiTheme="minorHAnsi" w:hAnsiTheme="minorHAnsi" w:cstheme="minorHAnsi"/>
        </w:rPr>
      </w:pPr>
      <w:bookmarkStart w:id="7" w:name="_Toc214003089"/>
      <w:proofErr w:type="gramStart"/>
      <w:r>
        <w:rPr>
          <w:rFonts w:asciiTheme="minorHAnsi" w:hAnsiTheme="minorHAnsi" w:cstheme="minorHAnsi"/>
        </w:rPr>
        <w:lastRenderedPageBreak/>
        <w:t xml:space="preserve">1.5  </w:t>
      </w:r>
      <w:r w:rsidR="00E16609" w:rsidRPr="000F130A">
        <w:rPr>
          <w:rFonts w:asciiTheme="minorHAnsi" w:hAnsiTheme="minorHAnsi" w:cstheme="minorHAnsi"/>
        </w:rPr>
        <w:t>Net</w:t>
      </w:r>
      <w:proofErr w:type="gramEnd"/>
      <w:r w:rsidR="00E16609" w:rsidRPr="000F130A">
        <w:rPr>
          <w:rFonts w:asciiTheme="minorHAnsi" w:hAnsiTheme="minorHAnsi" w:cstheme="minorHAnsi"/>
        </w:rPr>
        <w:t>-to-Gross Ratios for Different Program Strategies</w:t>
      </w:r>
      <w:bookmarkEnd w:id="7"/>
    </w:p>
    <w:p w:rsidR="00E16609" w:rsidRPr="00F4752B" w:rsidRDefault="00D34FE0" w:rsidP="00E16609">
      <w:pPr>
        <w:rPr>
          <w:rFonts w:asciiTheme="minorHAnsi" w:hAnsiTheme="minorHAnsi" w:cstheme="minorHAnsi"/>
          <w:sz w:val="22"/>
          <w:szCs w:val="22"/>
        </w:rPr>
      </w:pPr>
      <w:r w:rsidRPr="00BD3931">
        <w:rPr>
          <w:rFonts w:asciiTheme="minorHAnsi" w:hAnsiTheme="minorHAnsi" w:cstheme="minorHAnsi"/>
          <w:sz w:val="22"/>
          <w:szCs w:val="22"/>
        </w:rPr>
        <w:t>The NTG value was obtained from the “DEER2011_NTGR_2012-05-16.xls” on the DEER website as required by Version 4 of the California Public Utilities Commission (CPUC) Energy Efficiency Policy Manual [132]</w:t>
      </w:r>
      <w:r w:rsidR="007B7920">
        <w:rPr>
          <w:rFonts w:asciiTheme="minorHAnsi" w:hAnsiTheme="minorHAnsi" w:cstheme="minorHAnsi"/>
          <w:sz w:val="22"/>
          <w:szCs w:val="22"/>
        </w:rPr>
        <w:t xml:space="preserve">, and </w:t>
      </w:r>
      <w:r w:rsidR="007B7920" w:rsidRPr="004252D5">
        <w:rPr>
          <w:rFonts w:asciiTheme="minorHAnsi" w:hAnsiTheme="minorHAnsi" w:cstheme="minorHAnsi"/>
          <w:sz w:val="22"/>
          <w:szCs w:val="22"/>
        </w:rPr>
        <w:t xml:space="preserve">the CPUC ED </w:t>
      </w:r>
      <w:proofErr w:type="spellStart"/>
      <w:r w:rsidR="007B7920" w:rsidRPr="004252D5">
        <w:rPr>
          <w:rFonts w:asciiTheme="minorHAnsi" w:hAnsiTheme="minorHAnsi" w:cstheme="minorHAnsi"/>
          <w:sz w:val="22"/>
          <w:szCs w:val="22"/>
        </w:rPr>
        <w:t>Workpaper</w:t>
      </w:r>
      <w:proofErr w:type="spellEnd"/>
      <w:r w:rsidR="007B7920" w:rsidRPr="004252D5">
        <w:rPr>
          <w:rFonts w:asciiTheme="minorHAnsi" w:hAnsiTheme="minorHAnsi" w:cstheme="minorHAnsi"/>
          <w:sz w:val="22"/>
          <w:szCs w:val="22"/>
        </w:rPr>
        <w:t xml:space="preserve"> Disposition for Lighting Retrofits documentation issued on November 12, 2013, “2013-2014_LightingRetrofit_Disposition-12November2013.xlsx”</w:t>
      </w:r>
      <w:r w:rsidR="00096965">
        <w:rPr>
          <w:rFonts w:asciiTheme="minorHAnsi" w:hAnsiTheme="minorHAnsi" w:cstheme="minorHAnsi"/>
          <w:sz w:val="22"/>
          <w:szCs w:val="22"/>
        </w:rPr>
        <w:t xml:space="preserve"> </w:t>
      </w:r>
      <w:r w:rsidR="003A3A88">
        <w:rPr>
          <w:rFonts w:asciiTheme="minorHAnsi" w:hAnsiTheme="minorHAnsi" w:cstheme="minorHAnsi"/>
          <w:sz w:val="22"/>
          <w:szCs w:val="22"/>
        </w:rPr>
        <w:t>[A]</w:t>
      </w:r>
      <w:r w:rsidRPr="00BD3931">
        <w:rPr>
          <w:rFonts w:asciiTheme="minorHAnsi" w:hAnsiTheme="minorHAnsi" w:cstheme="minorHAnsi"/>
          <w:sz w:val="22"/>
          <w:szCs w:val="22"/>
        </w:rPr>
        <w:t xml:space="preserve">. </w:t>
      </w:r>
      <w:r w:rsidR="00E16609" w:rsidRPr="00F4752B">
        <w:rPr>
          <w:rFonts w:asciiTheme="minorHAnsi" w:hAnsiTheme="minorHAnsi" w:cstheme="minorHAnsi"/>
          <w:sz w:val="22"/>
          <w:szCs w:val="22"/>
        </w:rPr>
        <w:t>The relevant NTGR for this measure is shown</w:t>
      </w:r>
      <w:r w:rsidR="00D75D77" w:rsidRPr="00F4752B">
        <w:rPr>
          <w:rFonts w:asciiTheme="minorHAnsi" w:hAnsiTheme="minorHAnsi" w:cstheme="minorHAnsi"/>
          <w:sz w:val="22"/>
          <w:szCs w:val="22"/>
        </w:rPr>
        <w:t xml:space="preserve"> </w:t>
      </w:r>
      <w:r w:rsidR="00E16609" w:rsidRPr="00F4752B">
        <w:rPr>
          <w:rFonts w:asciiTheme="minorHAnsi" w:hAnsiTheme="minorHAnsi" w:cstheme="minorHAnsi"/>
          <w:sz w:val="22"/>
          <w:szCs w:val="22"/>
        </w:rPr>
        <w:t xml:space="preserve">in </w:t>
      </w:r>
      <w:r w:rsidR="00D75D77" w:rsidRPr="00F4752B">
        <w:rPr>
          <w:rFonts w:asciiTheme="minorHAnsi" w:hAnsiTheme="minorHAnsi" w:cstheme="minorHAnsi"/>
          <w:sz w:val="22"/>
          <w:szCs w:val="22"/>
        </w:rPr>
        <w:fldChar w:fldCharType="begin"/>
      </w:r>
      <w:r w:rsidR="00D75D77" w:rsidRPr="00F4752B">
        <w:rPr>
          <w:rFonts w:asciiTheme="minorHAnsi" w:hAnsiTheme="minorHAnsi" w:cstheme="minorHAnsi"/>
          <w:sz w:val="22"/>
          <w:szCs w:val="22"/>
        </w:rPr>
        <w:instrText xml:space="preserve"> REF _Ref296591799 \h </w:instrText>
      </w:r>
      <w:r w:rsidR="00F4752B">
        <w:rPr>
          <w:rFonts w:asciiTheme="minorHAnsi" w:hAnsiTheme="minorHAnsi" w:cstheme="minorHAnsi"/>
          <w:sz w:val="22"/>
          <w:szCs w:val="22"/>
        </w:rPr>
        <w:instrText xml:space="preserve"> \* MERGEFORMAT </w:instrText>
      </w:r>
      <w:r w:rsidR="00D75D77" w:rsidRPr="00F4752B">
        <w:rPr>
          <w:rFonts w:asciiTheme="minorHAnsi" w:hAnsiTheme="minorHAnsi" w:cstheme="minorHAnsi"/>
          <w:sz w:val="22"/>
          <w:szCs w:val="22"/>
        </w:rPr>
      </w:r>
      <w:r w:rsidR="00D75D77" w:rsidRPr="00F4752B">
        <w:rPr>
          <w:rFonts w:asciiTheme="minorHAnsi" w:hAnsiTheme="minorHAnsi" w:cstheme="minorHAnsi"/>
          <w:sz w:val="22"/>
          <w:szCs w:val="22"/>
        </w:rPr>
        <w:fldChar w:fldCharType="separate"/>
      </w:r>
      <w:r w:rsidR="005F254C" w:rsidRPr="00F4752B">
        <w:rPr>
          <w:rFonts w:asciiTheme="minorHAnsi" w:hAnsiTheme="minorHAnsi" w:cstheme="minorHAnsi"/>
          <w:sz w:val="22"/>
          <w:szCs w:val="22"/>
        </w:rPr>
        <w:t xml:space="preserve">Table </w:t>
      </w:r>
      <w:r w:rsidR="005F254C">
        <w:rPr>
          <w:rFonts w:asciiTheme="minorHAnsi" w:hAnsiTheme="minorHAnsi" w:cstheme="minorHAnsi"/>
          <w:noProof/>
          <w:sz w:val="22"/>
          <w:szCs w:val="22"/>
        </w:rPr>
        <w:t>6</w:t>
      </w:r>
      <w:r w:rsidR="00D75D77" w:rsidRPr="00F4752B">
        <w:rPr>
          <w:rFonts w:asciiTheme="minorHAnsi" w:hAnsiTheme="minorHAnsi" w:cstheme="minorHAnsi"/>
          <w:sz w:val="22"/>
          <w:szCs w:val="22"/>
        </w:rPr>
        <w:fldChar w:fldCharType="end"/>
      </w:r>
      <w:r w:rsidR="00D75D77" w:rsidRPr="00F4752B">
        <w:rPr>
          <w:rFonts w:asciiTheme="minorHAnsi" w:hAnsiTheme="minorHAnsi" w:cstheme="minorHAnsi"/>
          <w:sz w:val="22"/>
          <w:szCs w:val="22"/>
        </w:rPr>
        <w:t xml:space="preserve"> </w:t>
      </w:r>
      <w:r w:rsidR="00E16609" w:rsidRPr="00F4752B">
        <w:rPr>
          <w:rFonts w:asciiTheme="minorHAnsi" w:hAnsiTheme="minorHAnsi" w:cstheme="minorHAnsi"/>
          <w:sz w:val="22"/>
          <w:szCs w:val="22"/>
        </w:rPr>
        <w:t>below.</w:t>
      </w:r>
    </w:p>
    <w:p w:rsidR="00E16609" w:rsidRPr="000F130A" w:rsidRDefault="00E16609" w:rsidP="00E16609">
      <w:pPr>
        <w:rPr>
          <w:rFonts w:asciiTheme="minorHAnsi" w:hAnsiTheme="minorHAnsi" w:cstheme="minorHAnsi"/>
        </w:rPr>
      </w:pPr>
    </w:p>
    <w:p w:rsidR="00E16609" w:rsidRPr="00F4752B" w:rsidRDefault="00286FC8" w:rsidP="00D75D77">
      <w:pPr>
        <w:pStyle w:val="Caption"/>
        <w:jc w:val="center"/>
        <w:rPr>
          <w:rFonts w:asciiTheme="minorHAnsi" w:hAnsiTheme="minorHAnsi" w:cstheme="minorHAnsi"/>
          <w:sz w:val="22"/>
          <w:szCs w:val="22"/>
        </w:rPr>
      </w:pPr>
      <w:bookmarkStart w:id="8" w:name="_Ref296591799"/>
      <w:r>
        <w:rPr>
          <w:rFonts w:asciiTheme="minorHAnsi" w:hAnsiTheme="minorHAnsi" w:cstheme="minorHAnsi"/>
          <w:sz w:val="22"/>
          <w:szCs w:val="22"/>
        </w:rPr>
        <w:t>T</w:t>
      </w:r>
      <w:r w:rsidR="00D75D77" w:rsidRPr="00F4752B">
        <w:rPr>
          <w:rFonts w:asciiTheme="minorHAnsi" w:hAnsiTheme="minorHAnsi" w:cstheme="minorHAnsi"/>
          <w:sz w:val="22"/>
          <w:szCs w:val="22"/>
        </w:rPr>
        <w:t xml:space="preserve">able </w:t>
      </w:r>
      <w:r w:rsidR="00D75D77" w:rsidRPr="00F4752B">
        <w:rPr>
          <w:rFonts w:asciiTheme="minorHAnsi" w:hAnsiTheme="minorHAnsi" w:cstheme="minorHAnsi"/>
          <w:sz w:val="22"/>
          <w:szCs w:val="22"/>
        </w:rPr>
        <w:fldChar w:fldCharType="begin"/>
      </w:r>
      <w:r w:rsidR="00D75D77" w:rsidRPr="00F4752B">
        <w:rPr>
          <w:rFonts w:asciiTheme="minorHAnsi" w:hAnsiTheme="minorHAnsi" w:cstheme="minorHAnsi"/>
          <w:sz w:val="22"/>
          <w:szCs w:val="22"/>
        </w:rPr>
        <w:instrText xml:space="preserve"> SEQ Table \* ARABIC </w:instrText>
      </w:r>
      <w:r w:rsidR="00D75D77" w:rsidRPr="00F4752B">
        <w:rPr>
          <w:rFonts w:asciiTheme="minorHAnsi" w:hAnsiTheme="minorHAnsi" w:cstheme="minorHAnsi"/>
          <w:sz w:val="22"/>
          <w:szCs w:val="22"/>
        </w:rPr>
        <w:fldChar w:fldCharType="separate"/>
      </w:r>
      <w:r w:rsidR="00120BFA">
        <w:rPr>
          <w:rFonts w:asciiTheme="minorHAnsi" w:hAnsiTheme="minorHAnsi" w:cstheme="minorHAnsi"/>
          <w:noProof/>
          <w:sz w:val="22"/>
          <w:szCs w:val="22"/>
        </w:rPr>
        <w:t>5</w:t>
      </w:r>
      <w:r w:rsidR="00D75D77" w:rsidRPr="00F4752B">
        <w:rPr>
          <w:rFonts w:asciiTheme="minorHAnsi" w:hAnsiTheme="minorHAnsi" w:cstheme="minorHAnsi"/>
          <w:sz w:val="22"/>
          <w:szCs w:val="22"/>
        </w:rPr>
        <w:fldChar w:fldCharType="end"/>
      </w:r>
      <w:bookmarkEnd w:id="8"/>
      <w:r w:rsidR="00E16609" w:rsidRPr="00F4752B">
        <w:rPr>
          <w:rFonts w:asciiTheme="minorHAnsi" w:hAnsiTheme="minorHAnsi" w:cstheme="minorHAnsi"/>
          <w:sz w:val="22"/>
          <w:szCs w:val="22"/>
        </w:rPr>
        <w:t xml:space="preserve"> Net-to-Gross Ratio</w:t>
      </w:r>
    </w:p>
    <w:tbl>
      <w:tblPr>
        <w:tblStyle w:val="TableContemporary"/>
        <w:tblW w:w="5000" w:type="pct"/>
        <w:jc w:val="center"/>
        <w:tblLayout w:type="fixed"/>
        <w:tblLook w:val="01E0" w:firstRow="1" w:lastRow="1" w:firstColumn="1" w:lastColumn="1" w:noHBand="0" w:noVBand="0"/>
      </w:tblPr>
      <w:tblGrid>
        <w:gridCol w:w="1367"/>
        <w:gridCol w:w="4051"/>
        <w:gridCol w:w="843"/>
        <w:gridCol w:w="1140"/>
        <w:gridCol w:w="1348"/>
        <w:gridCol w:w="827"/>
      </w:tblGrid>
      <w:tr w:rsidR="00F17FDC" w:rsidRPr="00550FB9" w:rsidTr="005A0798">
        <w:trPr>
          <w:cnfStyle w:val="100000000000" w:firstRow="1" w:lastRow="0" w:firstColumn="0" w:lastColumn="0" w:oddVBand="0" w:evenVBand="0" w:oddHBand="0" w:evenHBand="0" w:firstRowFirstColumn="0" w:firstRowLastColumn="0" w:lastRowFirstColumn="0" w:lastRowLastColumn="0"/>
          <w:jc w:val="center"/>
        </w:trPr>
        <w:tc>
          <w:tcPr>
            <w:tcW w:w="714" w:type="pct"/>
            <w:vAlign w:val="center"/>
          </w:tcPr>
          <w:p w:rsidR="004F0A89" w:rsidRPr="00550FB9" w:rsidRDefault="004F0A89" w:rsidP="00044307">
            <w:pPr>
              <w:jc w:val="center"/>
              <w:rPr>
                <w:rFonts w:asciiTheme="minorHAnsi" w:hAnsiTheme="minorHAnsi" w:cstheme="minorHAnsi"/>
                <w:sz w:val="20"/>
                <w:szCs w:val="20"/>
              </w:rPr>
            </w:pPr>
            <w:r w:rsidRPr="00550FB9">
              <w:rPr>
                <w:rFonts w:asciiTheme="minorHAnsi" w:hAnsiTheme="minorHAnsi" w:cstheme="minorHAnsi"/>
                <w:sz w:val="20"/>
                <w:szCs w:val="20"/>
              </w:rPr>
              <w:t>NTGR_ID*</w:t>
            </w:r>
          </w:p>
        </w:tc>
        <w:tc>
          <w:tcPr>
            <w:tcW w:w="2115" w:type="pct"/>
            <w:vAlign w:val="center"/>
          </w:tcPr>
          <w:p w:rsidR="004F0A89" w:rsidRPr="00550FB9" w:rsidRDefault="004F0A89" w:rsidP="00044307">
            <w:pPr>
              <w:jc w:val="center"/>
              <w:rPr>
                <w:rFonts w:asciiTheme="minorHAnsi" w:hAnsiTheme="minorHAnsi" w:cstheme="minorHAnsi"/>
                <w:sz w:val="20"/>
                <w:szCs w:val="20"/>
              </w:rPr>
            </w:pPr>
            <w:r w:rsidRPr="00550FB9">
              <w:rPr>
                <w:rFonts w:asciiTheme="minorHAnsi" w:hAnsiTheme="minorHAnsi" w:cstheme="minorHAnsi"/>
                <w:sz w:val="20"/>
                <w:szCs w:val="20"/>
              </w:rPr>
              <w:t>Description*</w:t>
            </w:r>
          </w:p>
        </w:tc>
        <w:tc>
          <w:tcPr>
            <w:tcW w:w="440" w:type="pct"/>
            <w:vAlign w:val="center"/>
          </w:tcPr>
          <w:p w:rsidR="004F0A89" w:rsidRPr="00550FB9" w:rsidRDefault="004F0A89" w:rsidP="00044307">
            <w:pPr>
              <w:jc w:val="center"/>
              <w:rPr>
                <w:rFonts w:asciiTheme="minorHAnsi" w:hAnsiTheme="minorHAnsi" w:cstheme="minorHAnsi"/>
                <w:sz w:val="20"/>
                <w:szCs w:val="20"/>
              </w:rPr>
            </w:pPr>
            <w:r w:rsidRPr="00550FB9">
              <w:rPr>
                <w:rFonts w:asciiTheme="minorHAnsi" w:hAnsiTheme="minorHAnsi" w:cstheme="minorHAnsi"/>
                <w:sz w:val="20"/>
                <w:szCs w:val="20"/>
              </w:rPr>
              <w:t>Sector*</w:t>
            </w:r>
          </w:p>
        </w:tc>
        <w:tc>
          <w:tcPr>
            <w:tcW w:w="595" w:type="pct"/>
            <w:vAlign w:val="center"/>
          </w:tcPr>
          <w:p w:rsidR="004F0A89" w:rsidRPr="00550FB9" w:rsidRDefault="004F0A89" w:rsidP="00044307">
            <w:pPr>
              <w:jc w:val="center"/>
              <w:rPr>
                <w:rFonts w:asciiTheme="minorHAnsi" w:hAnsiTheme="minorHAnsi" w:cstheme="minorHAnsi"/>
                <w:sz w:val="20"/>
                <w:szCs w:val="20"/>
              </w:rPr>
            </w:pPr>
            <w:proofErr w:type="spellStart"/>
            <w:r w:rsidRPr="00550FB9">
              <w:rPr>
                <w:rFonts w:asciiTheme="minorHAnsi" w:hAnsiTheme="minorHAnsi" w:cstheme="minorHAnsi"/>
                <w:sz w:val="20"/>
                <w:szCs w:val="20"/>
              </w:rPr>
              <w:t>BldgType</w:t>
            </w:r>
            <w:proofErr w:type="spellEnd"/>
            <w:r w:rsidRPr="00550FB9">
              <w:rPr>
                <w:rFonts w:asciiTheme="minorHAnsi" w:hAnsiTheme="minorHAnsi" w:cstheme="minorHAnsi"/>
                <w:sz w:val="20"/>
                <w:szCs w:val="20"/>
              </w:rPr>
              <w:t>*</w:t>
            </w:r>
          </w:p>
        </w:tc>
        <w:tc>
          <w:tcPr>
            <w:tcW w:w="704" w:type="pct"/>
          </w:tcPr>
          <w:p w:rsidR="004F0A89" w:rsidRPr="00550FB9" w:rsidRDefault="004F0A89" w:rsidP="00044307">
            <w:pPr>
              <w:jc w:val="center"/>
              <w:rPr>
                <w:rFonts w:asciiTheme="minorHAnsi" w:hAnsiTheme="minorHAnsi" w:cstheme="minorHAnsi"/>
                <w:sz w:val="20"/>
                <w:szCs w:val="20"/>
              </w:rPr>
            </w:pPr>
            <w:proofErr w:type="spellStart"/>
            <w:r w:rsidRPr="00550FB9">
              <w:rPr>
                <w:rFonts w:asciiTheme="minorHAnsi" w:hAnsiTheme="minorHAnsi" w:cstheme="minorHAnsi"/>
                <w:sz w:val="20"/>
                <w:szCs w:val="20"/>
              </w:rPr>
              <w:t>ProgDelivID</w:t>
            </w:r>
            <w:proofErr w:type="spellEnd"/>
            <w:r w:rsidR="00DD44C5">
              <w:rPr>
                <w:rFonts w:asciiTheme="minorHAnsi" w:hAnsiTheme="minorHAnsi" w:cstheme="minorHAnsi"/>
                <w:sz w:val="20"/>
                <w:szCs w:val="20"/>
              </w:rPr>
              <w:t>*</w:t>
            </w:r>
          </w:p>
        </w:tc>
        <w:tc>
          <w:tcPr>
            <w:tcW w:w="432" w:type="pct"/>
            <w:vAlign w:val="center"/>
          </w:tcPr>
          <w:p w:rsidR="004F0A89" w:rsidRPr="00550FB9" w:rsidRDefault="004F0A89" w:rsidP="00044307">
            <w:pPr>
              <w:jc w:val="center"/>
              <w:rPr>
                <w:rFonts w:asciiTheme="minorHAnsi" w:hAnsiTheme="minorHAnsi" w:cstheme="minorHAnsi"/>
                <w:sz w:val="20"/>
                <w:szCs w:val="20"/>
              </w:rPr>
            </w:pPr>
            <w:r w:rsidRPr="00550FB9">
              <w:rPr>
                <w:rFonts w:asciiTheme="minorHAnsi" w:hAnsiTheme="minorHAnsi" w:cstheme="minorHAnsi"/>
                <w:sz w:val="20"/>
                <w:szCs w:val="20"/>
              </w:rPr>
              <w:t>NTG*</w:t>
            </w:r>
          </w:p>
        </w:tc>
      </w:tr>
      <w:tr w:rsidR="00F17FDC" w:rsidRPr="00550FB9" w:rsidTr="005A0798">
        <w:trPr>
          <w:cnfStyle w:val="000000100000" w:firstRow="0" w:lastRow="0" w:firstColumn="0" w:lastColumn="0" w:oddVBand="0" w:evenVBand="0" w:oddHBand="1" w:evenHBand="0" w:firstRowFirstColumn="0" w:firstRowLastColumn="0" w:lastRowFirstColumn="0" w:lastRowLastColumn="0"/>
          <w:jc w:val="center"/>
        </w:trPr>
        <w:tc>
          <w:tcPr>
            <w:tcW w:w="714" w:type="pct"/>
            <w:vAlign w:val="center"/>
          </w:tcPr>
          <w:p w:rsidR="00F17FDC" w:rsidRPr="00D219AF" w:rsidRDefault="00F17FDC" w:rsidP="00D219AF">
            <w:pPr>
              <w:jc w:val="center"/>
              <w:rPr>
                <w:rFonts w:asciiTheme="minorHAnsi" w:hAnsiTheme="minorHAnsi" w:cstheme="minorHAnsi"/>
                <w:sz w:val="20"/>
                <w:szCs w:val="20"/>
              </w:rPr>
            </w:pPr>
            <w:r w:rsidRPr="001F3F31">
              <w:rPr>
                <w:rFonts w:asciiTheme="minorHAnsi" w:hAnsiTheme="minorHAnsi" w:cstheme="minorHAnsi"/>
                <w:sz w:val="20"/>
                <w:szCs w:val="20"/>
              </w:rPr>
              <w:t>NonRes-sAll-mT5T8-dn</w:t>
            </w:r>
          </w:p>
        </w:tc>
        <w:tc>
          <w:tcPr>
            <w:tcW w:w="2115" w:type="pct"/>
            <w:vAlign w:val="center"/>
          </w:tcPr>
          <w:p w:rsidR="00F17FDC" w:rsidRPr="00D219AF" w:rsidRDefault="00F17FDC" w:rsidP="00D219AF">
            <w:pPr>
              <w:jc w:val="center"/>
              <w:rPr>
                <w:rFonts w:asciiTheme="minorHAnsi" w:hAnsiTheme="minorHAnsi" w:cstheme="minorHAnsi"/>
                <w:sz w:val="20"/>
                <w:szCs w:val="20"/>
              </w:rPr>
            </w:pPr>
            <w:r w:rsidRPr="001F3F31">
              <w:rPr>
                <w:rFonts w:asciiTheme="minorHAnsi" w:hAnsiTheme="minorHAnsi" w:cstheme="minorHAnsi"/>
                <w:sz w:val="20"/>
                <w:szCs w:val="22"/>
              </w:rPr>
              <w:t>T5 and T8 lamps</w:t>
            </w:r>
          </w:p>
        </w:tc>
        <w:tc>
          <w:tcPr>
            <w:tcW w:w="440" w:type="pct"/>
            <w:vAlign w:val="center"/>
          </w:tcPr>
          <w:p w:rsidR="00F17FDC" w:rsidRPr="00D219AF" w:rsidRDefault="00F17FDC" w:rsidP="00D219AF">
            <w:pPr>
              <w:jc w:val="center"/>
              <w:rPr>
                <w:rFonts w:asciiTheme="minorHAnsi" w:hAnsiTheme="minorHAnsi" w:cstheme="minorHAnsi"/>
                <w:sz w:val="20"/>
                <w:szCs w:val="20"/>
              </w:rPr>
            </w:pPr>
            <w:r w:rsidRPr="001F3F31">
              <w:rPr>
                <w:rFonts w:asciiTheme="minorHAnsi" w:hAnsiTheme="minorHAnsi" w:cstheme="minorHAnsi"/>
                <w:sz w:val="20"/>
                <w:szCs w:val="20"/>
              </w:rPr>
              <w:t>Com</w:t>
            </w:r>
          </w:p>
        </w:tc>
        <w:tc>
          <w:tcPr>
            <w:tcW w:w="595" w:type="pct"/>
            <w:vAlign w:val="center"/>
          </w:tcPr>
          <w:p w:rsidR="00F17FDC" w:rsidRPr="001F3F31" w:rsidRDefault="00F17FDC" w:rsidP="001F3F31">
            <w:pPr>
              <w:jc w:val="center"/>
              <w:rPr>
                <w:rFonts w:asciiTheme="minorHAnsi" w:hAnsiTheme="minorHAnsi" w:cstheme="minorHAnsi"/>
                <w:sz w:val="20"/>
                <w:szCs w:val="20"/>
              </w:rPr>
            </w:pPr>
            <w:r w:rsidRPr="001F3F31">
              <w:rPr>
                <w:rFonts w:asciiTheme="minorHAnsi" w:hAnsiTheme="minorHAnsi" w:cstheme="minorHAnsi"/>
                <w:sz w:val="20"/>
                <w:szCs w:val="20"/>
              </w:rPr>
              <w:t>Any</w:t>
            </w:r>
          </w:p>
        </w:tc>
        <w:tc>
          <w:tcPr>
            <w:tcW w:w="704" w:type="pct"/>
            <w:vAlign w:val="center"/>
          </w:tcPr>
          <w:p w:rsidR="00F17FDC" w:rsidRPr="00D219AF" w:rsidRDefault="00F17FDC" w:rsidP="001F3F31">
            <w:pPr>
              <w:jc w:val="center"/>
              <w:rPr>
                <w:rFonts w:asciiTheme="minorHAnsi" w:hAnsiTheme="minorHAnsi" w:cstheme="minorHAnsi"/>
                <w:sz w:val="20"/>
                <w:szCs w:val="20"/>
              </w:rPr>
            </w:pPr>
            <w:proofErr w:type="spellStart"/>
            <w:r w:rsidRPr="001F3F31">
              <w:rPr>
                <w:rFonts w:asciiTheme="minorHAnsi" w:hAnsiTheme="minorHAnsi" w:cstheme="minorHAnsi"/>
                <w:sz w:val="20"/>
                <w:szCs w:val="20"/>
              </w:rPr>
              <w:t>PreRebDown</w:t>
            </w:r>
            <w:proofErr w:type="spellEnd"/>
          </w:p>
        </w:tc>
        <w:tc>
          <w:tcPr>
            <w:tcW w:w="432" w:type="pct"/>
            <w:vAlign w:val="center"/>
          </w:tcPr>
          <w:p w:rsidR="00F17FDC" w:rsidRPr="00D219AF" w:rsidRDefault="00F17FDC" w:rsidP="001F3F31">
            <w:pPr>
              <w:jc w:val="center"/>
              <w:rPr>
                <w:rFonts w:asciiTheme="minorHAnsi" w:hAnsiTheme="minorHAnsi" w:cstheme="minorHAnsi"/>
                <w:sz w:val="20"/>
                <w:szCs w:val="20"/>
              </w:rPr>
            </w:pPr>
            <w:r w:rsidRPr="001F3F31">
              <w:rPr>
                <w:rFonts w:asciiTheme="minorHAnsi" w:hAnsiTheme="minorHAnsi" w:cstheme="minorHAnsi"/>
                <w:sz w:val="20"/>
                <w:szCs w:val="20"/>
              </w:rPr>
              <w:t>0.7</w:t>
            </w:r>
          </w:p>
        </w:tc>
      </w:tr>
      <w:tr w:rsidR="00F17FDC" w:rsidRPr="00550FB9" w:rsidTr="005A0798">
        <w:trPr>
          <w:cnfStyle w:val="000000010000" w:firstRow="0" w:lastRow="0" w:firstColumn="0" w:lastColumn="0" w:oddVBand="0" w:evenVBand="0" w:oddHBand="0" w:evenHBand="1" w:firstRowFirstColumn="0" w:firstRowLastColumn="0" w:lastRowFirstColumn="0" w:lastRowLastColumn="0"/>
          <w:jc w:val="center"/>
        </w:trPr>
        <w:tc>
          <w:tcPr>
            <w:tcW w:w="714" w:type="pct"/>
            <w:vAlign w:val="center"/>
          </w:tcPr>
          <w:p w:rsidR="00F17FDC" w:rsidRPr="00D219AF" w:rsidRDefault="0025329C" w:rsidP="00D219AF">
            <w:pPr>
              <w:jc w:val="center"/>
              <w:rPr>
                <w:rFonts w:asciiTheme="minorHAnsi" w:hAnsiTheme="minorHAnsi" w:cstheme="minorHAnsi"/>
                <w:sz w:val="20"/>
                <w:szCs w:val="20"/>
              </w:rPr>
            </w:pPr>
            <w:r w:rsidRPr="0025329C">
              <w:rPr>
                <w:rFonts w:asciiTheme="minorHAnsi" w:hAnsiTheme="minorHAnsi" w:cstheme="minorHAnsi"/>
                <w:sz w:val="20"/>
                <w:szCs w:val="20"/>
              </w:rPr>
              <w:t>Com-Default&gt;2yrs</w:t>
            </w:r>
          </w:p>
        </w:tc>
        <w:tc>
          <w:tcPr>
            <w:tcW w:w="2115" w:type="pct"/>
            <w:vAlign w:val="center"/>
          </w:tcPr>
          <w:p w:rsidR="00F17FDC" w:rsidRPr="00D219AF" w:rsidRDefault="00F17FDC" w:rsidP="00D219AF">
            <w:pPr>
              <w:jc w:val="center"/>
              <w:rPr>
                <w:rFonts w:asciiTheme="minorHAnsi" w:hAnsiTheme="minorHAnsi" w:cstheme="minorHAnsi"/>
                <w:sz w:val="20"/>
                <w:szCs w:val="20"/>
              </w:rPr>
            </w:pPr>
            <w:r w:rsidRPr="000249B4">
              <w:rPr>
                <w:rFonts w:asciiTheme="minorHAnsi" w:hAnsiTheme="minorHAnsi" w:cstheme="minorHAnsi"/>
                <w:sz w:val="20"/>
                <w:szCs w:val="22"/>
              </w:rPr>
              <w:t>T8 lamps</w:t>
            </w:r>
            <w:r w:rsidR="00DD44C5" w:rsidRPr="000249B4">
              <w:rPr>
                <w:rFonts w:asciiTheme="minorHAnsi" w:hAnsiTheme="minorHAnsi" w:cstheme="minorHAnsi"/>
                <w:sz w:val="20"/>
                <w:szCs w:val="22"/>
              </w:rPr>
              <w:t>**</w:t>
            </w:r>
          </w:p>
        </w:tc>
        <w:tc>
          <w:tcPr>
            <w:tcW w:w="440" w:type="pct"/>
            <w:vAlign w:val="center"/>
          </w:tcPr>
          <w:p w:rsidR="00F17FDC" w:rsidRPr="00D219AF" w:rsidRDefault="00F17FDC" w:rsidP="00D219AF">
            <w:pPr>
              <w:jc w:val="center"/>
              <w:rPr>
                <w:rFonts w:asciiTheme="minorHAnsi" w:hAnsiTheme="minorHAnsi" w:cstheme="minorHAnsi"/>
                <w:sz w:val="20"/>
                <w:szCs w:val="20"/>
              </w:rPr>
            </w:pPr>
            <w:r w:rsidRPr="001F3F31">
              <w:rPr>
                <w:rFonts w:asciiTheme="minorHAnsi" w:hAnsiTheme="minorHAnsi" w:cstheme="minorHAnsi"/>
                <w:sz w:val="20"/>
                <w:szCs w:val="20"/>
              </w:rPr>
              <w:t>Com</w:t>
            </w:r>
          </w:p>
        </w:tc>
        <w:tc>
          <w:tcPr>
            <w:tcW w:w="595" w:type="pct"/>
            <w:vAlign w:val="center"/>
          </w:tcPr>
          <w:p w:rsidR="00F17FDC" w:rsidRPr="001F3F31" w:rsidRDefault="00F17FDC" w:rsidP="001F3F31">
            <w:pPr>
              <w:jc w:val="center"/>
              <w:rPr>
                <w:rFonts w:asciiTheme="minorHAnsi" w:hAnsiTheme="minorHAnsi" w:cstheme="minorHAnsi"/>
                <w:sz w:val="20"/>
                <w:szCs w:val="20"/>
              </w:rPr>
            </w:pPr>
            <w:r w:rsidRPr="001F3F31">
              <w:rPr>
                <w:rFonts w:asciiTheme="minorHAnsi" w:hAnsiTheme="minorHAnsi" w:cstheme="minorHAnsi"/>
                <w:sz w:val="20"/>
                <w:szCs w:val="20"/>
              </w:rPr>
              <w:t>Any</w:t>
            </w:r>
          </w:p>
        </w:tc>
        <w:tc>
          <w:tcPr>
            <w:tcW w:w="704" w:type="pct"/>
            <w:vAlign w:val="center"/>
          </w:tcPr>
          <w:p w:rsidR="00F17FDC" w:rsidRPr="00D219AF" w:rsidRDefault="00C77D43" w:rsidP="001F3F31">
            <w:pPr>
              <w:jc w:val="center"/>
              <w:rPr>
                <w:rFonts w:asciiTheme="minorHAnsi" w:hAnsiTheme="minorHAnsi" w:cstheme="minorHAnsi"/>
                <w:sz w:val="20"/>
                <w:szCs w:val="20"/>
              </w:rPr>
            </w:pPr>
            <w:r>
              <w:rPr>
                <w:rFonts w:asciiTheme="minorHAnsi" w:hAnsiTheme="minorHAnsi" w:cstheme="minorHAnsi"/>
                <w:sz w:val="20"/>
                <w:szCs w:val="20"/>
              </w:rPr>
              <w:t>All</w:t>
            </w:r>
          </w:p>
        </w:tc>
        <w:tc>
          <w:tcPr>
            <w:tcW w:w="432" w:type="pct"/>
            <w:vAlign w:val="center"/>
          </w:tcPr>
          <w:p w:rsidR="00F17FDC" w:rsidRPr="00D219AF" w:rsidRDefault="00F17FDC" w:rsidP="00120BFA">
            <w:pPr>
              <w:jc w:val="center"/>
              <w:rPr>
                <w:rFonts w:asciiTheme="minorHAnsi" w:hAnsiTheme="minorHAnsi" w:cstheme="minorHAnsi"/>
                <w:sz w:val="20"/>
                <w:szCs w:val="20"/>
              </w:rPr>
            </w:pPr>
            <w:r w:rsidRPr="001F3F31">
              <w:rPr>
                <w:rFonts w:asciiTheme="minorHAnsi" w:hAnsiTheme="minorHAnsi" w:cstheme="minorHAnsi"/>
                <w:sz w:val="20"/>
                <w:szCs w:val="20"/>
              </w:rPr>
              <w:t>0.</w:t>
            </w:r>
            <w:r w:rsidR="0025329C">
              <w:rPr>
                <w:rFonts w:asciiTheme="minorHAnsi" w:hAnsiTheme="minorHAnsi" w:cstheme="minorHAnsi"/>
                <w:sz w:val="20"/>
                <w:szCs w:val="20"/>
              </w:rPr>
              <w:t>6</w:t>
            </w:r>
          </w:p>
        </w:tc>
      </w:tr>
    </w:tbl>
    <w:p w:rsidR="007A7A9D" w:rsidRDefault="00801F7F" w:rsidP="007A7A9D">
      <w:pPr>
        <w:ind w:firstLine="720"/>
        <w:rPr>
          <w:rFonts w:asciiTheme="minorHAnsi" w:hAnsiTheme="minorHAnsi" w:cstheme="minorHAnsi"/>
          <w:sz w:val="20"/>
          <w:szCs w:val="20"/>
        </w:rPr>
      </w:pPr>
      <w:r w:rsidRPr="00801F7F">
        <w:rPr>
          <w:rFonts w:asciiTheme="minorHAnsi" w:hAnsiTheme="minorHAnsi" w:cstheme="minorHAnsi"/>
          <w:sz w:val="20"/>
          <w:szCs w:val="20"/>
        </w:rPr>
        <w:t>*Denotes that the column is taken from the DEER NTG Table.</w:t>
      </w:r>
    </w:p>
    <w:p w:rsidR="007A7A9D" w:rsidRDefault="007A7A9D" w:rsidP="007A7A9D">
      <w:pPr>
        <w:ind w:firstLine="720"/>
        <w:rPr>
          <w:rFonts w:asciiTheme="minorHAnsi" w:hAnsiTheme="minorHAnsi" w:cstheme="minorHAnsi"/>
          <w:sz w:val="20"/>
          <w:szCs w:val="20"/>
        </w:rPr>
      </w:pPr>
      <w:r>
        <w:rPr>
          <w:rFonts w:asciiTheme="minorHAnsi" w:hAnsiTheme="minorHAnsi" w:cstheme="minorHAnsi"/>
          <w:sz w:val="20"/>
          <w:szCs w:val="20"/>
        </w:rPr>
        <w:t>**This Measure value is also applied to T5 fixtures.</w:t>
      </w:r>
    </w:p>
    <w:p w:rsidR="004F0A89" w:rsidRDefault="004F0A89" w:rsidP="004F0A89">
      <w:pPr>
        <w:rPr>
          <w:rFonts w:asciiTheme="minorHAnsi" w:hAnsiTheme="minorHAnsi" w:cstheme="minorHAnsi"/>
          <w:sz w:val="20"/>
          <w:szCs w:val="20"/>
        </w:rPr>
      </w:pPr>
    </w:p>
    <w:p w:rsidR="004F0A89" w:rsidRDefault="004F0A89" w:rsidP="004F0A89">
      <w:pPr>
        <w:rPr>
          <w:rFonts w:asciiTheme="minorHAnsi" w:hAnsiTheme="minorHAnsi" w:cstheme="minorHAnsi"/>
          <w:sz w:val="22"/>
          <w:szCs w:val="22"/>
        </w:rPr>
      </w:pPr>
      <w:r w:rsidRPr="004E01F5">
        <w:rPr>
          <w:rFonts w:asciiTheme="minorHAnsi" w:hAnsiTheme="minorHAnsi" w:cstheme="minorHAnsi"/>
          <w:sz w:val="22"/>
          <w:szCs w:val="22"/>
        </w:rPr>
        <w:t>The installation rate (IR) is identified in the calculation attachment. This value is obtained from a spreadsheet created by the DEER team titled “GrossSavingsAdjustments.xlsx”</w:t>
      </w:r>
      <w:r w:rsidR="007B7920">
        <w:rPr>
          <w:rFonts w:asciiTheme="minorHAnsi" w:hAnsiTheme="minorHAnsi" w:cstheme="minorHAnsi"/>
          <w:sz w:val="22"/>
          <w:szCs w:val="22"/>
        </w:rPr>
        <w:t xml:space="preserve"> and </w:t>
      </w:r>
      <w:r w:rsidR="007B7920" w:rsidRPr="004252D5">
        <w:rPr>
          <w:rFonts w:asciiTheme="minorHAnsi" w:hAnsiTheme="minorHAnsi" w:cstheme="minorHAnsi"/>
          <w:sz w:val="22"/>
          <w:szCs w:val="22"/>
        </w:rPr>
        <w:t xml:space="preserve">the CPUC ED </w:t>
      </w:r>
      <w:proofErr w:type="spellStart"/>
      <w:r w:rsidR="007B7920" w:rsidRPr="004252D5">
        <w:rPr>
          <w:rFonts w:asciiTheme="minorHAnsi" w:hAnsiTheme="minorHAnsi" w:cstheme="minorHAnsi"/>
          <w:sz w:val="22"/>
          <w:szCs w:val="22"/>
        </w:rPr>
        <w:t>Workpaper</w:t>
      </w:r>
      <w:proofErr w:type="spellEnd"/>
      <w:r w:rsidR="007B7920" w:rsidRPr="004252D5">
        <w:rPr>
          <w:rFonts w:asciiTheme="minorHAnsi" w:hAnsiTheme="minorHAnsi" w:cstheme="minorHAnsi"/>
          <w:sz w:val="22"/>
          <w:szCs w:val="22"/>
        </w:rPr>
        <w:t xml:space="preserve"> Disposition for Lighting Retrofits documentation issued on November 12, 2013, “2013-2014_LightingRetrofit_D</w:t>
      </w:r>
      <w:r w:rsidR="007B7920">
        <w:rPr>
          <w:rFonts w:asciiTheme="minorHAnsi" w:hAnsiTheme="minorHAnsi" w:cstheme="minorHAnsi"/>
          <w:sz w:val="22"/>
          <w:szCs w:val="22"/>
        </w:rPr>
        <w:t>isposition-12November2013.xlsx”</w:t>
      </w:r>
      <w:r w:rsidR="00096965">
        <w:rPr>
          <w:rFonts w:asciiTheme="minorHAnsi" w:hAnsiTheme="minorHAnsi" w:cstheme="minorHAnsi"/>
          <w:sz w:val="22"/>
          <w:szCs w:val="22"/>
        </w:rPr>
        <w:t xml:space="preserve"> </w:t>
      </w:r>
      <w:r w:rsidR="003A3A88">
        <w:rPr>
          <w:rFonts w:asciiTheme="minorHAnsi" w:hAnsiTheme="minorHAnsi" w:cstheme="minorHAnsi"/>
          <w:sz w:val="22"/>
          <w:szCs w:val="22"/>
        </w:rPr>
        <w:t>[A]</w:t>
      </w:r>
      <w:r w:rsidR="007B7920">
        <w:rPr>
          <w:rFonts w:asciiTheme="minorHAnsi" w:hAnsiTheme="minorHAnsi" w:cstheme="minorHAnsi"/>
          <w:sz w:val="22"/>
          <w:szCs w:val="22"/>
        </w:rPr>
        <w:t xml:space="preserve">. </w:t>
      </w:r>
      <w:r>
        <w:rPr>
          <w:rFonts w:asciiTheme="minorHAnsi" w:hAnsiTheme="minorHAnsi" w:cstheme="minorHAnsi"/>
          <w:sz w:val="22"/>
          <w:szCs w:val="22"/>
        </w:rPr>
        <w:t>The installation rate varies by end use, sector, technology, application, and delivery method.</w:t>
      </w:r>
      <w:r w:rsidR="007B7920">
        <w:rPr>
          <w:rFonts w:asciiTheme="minorHAnsi" w:hAnsiTheme="minorHAnsi" w:cstheme="minorHAnsi"/>
          <w:sz w:val="22"/>
          <w:szCs w:val="22"/>
        </w:rPr>
        <w:t xml:space="preserve"> </w:t>
      </w:r>
      <w:r w:rsidR="007B7920" w:rsidRPr="007B7920">
        <w:rPr>
          <w:rFonts w:asciiTheme="minorHAnsi" w:hAnsiTheme="minorHAnsi" w:cstheme="minorHAnsi"/>
          <w:sz w:val="22"/>
          <w:szCs w:val="22"/>
        </w:rPr>
        <w:t xml:space="preserve">Refer to </w:t>
      </w:r>
      <w:proofErr w:type="spellStart"/>
      <w:r w:rsidR="007B7920" w:rsidRPr="007B7920">
        <w:rPr>
          <w:rFonts w:asciiTheme="minorHAnsi" w:hAnsiTheme="minorHAnsi" w:cstheme="minorHAnsi"/>
          <w:sz w:val="22"/>
          <w:szCs w:val="22"/>
        </w:rPr>
        <w:t>workpaper</w:t>
      </w:r>
      <w:proofErr w:type="spellEnd"/>
      <w:r w:rsidR="007B7920" w:rsidRPr="007B7920">
        <w:rPr>
          <w:rFonts w:asciiTheme="minorHAnsi" w:hAnsiTheme="minorHAnsi" w:cstheme="minorHAnsi"/>
          <w:sz w:val="22"/>
          <w:szCs w:val="22"/>
        </w:rPr>
        <w:t xml:space="preserve"> WPSDGENRLG0999 for specific GSIA values used.  </w:t>
      </w:r>
    </w:p>
    <w:p w:rsidR="00120BFA" w:rsidRDefault="00120BFA" w:rsidP="004F0A89">
      <w:pPr>
        <w:rPr>
          <w:rFonts w:asciiTheme="minorHAnsi" w:hAnsiTheme="minorHAnsi" w:cstheme="minorHAnsi"/>
          <w:sz w:val="22"/>
          <w:szCs w:val="22"/>
        </w:rPr>
      </w:pPr>
    </w:p>
    <w:p w:rsidR="00120BFA" w:rsidRPr="00FA449E" w:rsidRDefault="00120BFA" w:rsidP="00120BFA">
      <w:pPr>
        <w:pStyle w:val="Caption"/>
        <w:jc w:val="center"/>
        <w:rPr>
          <w:rFonts w:asciiTheme="minorHAnsi" w:hAnsiTheme="minorHAnsi" w:cstheme="minorHAnsi"/>
          <w:sz w:val="22"/>
          <w:szCs w:val="22"/>
        </w:rPr>
      </w:pPr>
      <w:bookmarkStart w:id="9" w:name="_Ref252198578"/>
      <w:bookmarkStart w:id="10" w:name="_Ref252198567"/>
      <w:r w:rsidRPr="007539BD">
        <w:rPr>
          <w:rFonts w:asciiTheme="minorHAnsi" w:hAnsiTheme="minorHAnsi"/>
          <w:sz w:val="22"/>
          <w:szCs w:val="22"/>
        </w:rPr>
        <w:t xml:space="preserve">Table </w:t>
      </w:r>
      <w:bookmarkEnd w:id="9"/>
      <w:r w:rsidRPr="00F4752B">
        <w:rPr>
          <w:rFonts w:asciiTheme="minorHAnsi" w:hAnsiTheme="minorHAnsi" w:cstheme="minorHAnsi"/>
          <w:sz w:val="22"/>
          <w:szCs w:val="22"/>
        </w:rPr>
        <w:fldChar w:fldCharType="begin"/>
      </w:r>
      <w:r w:rsidRPr="00F4752B">
        <w:rPr>
          <w:rFonts w:asciiTheme="minorHAnsi" w:hAnsiTheme="minorHAnsi" w:cstheme="minorHAnsi"/>
          <w:sz w:val="22"/>
          <w:szCs w:val="22"/>
        </w:rPr>
        <w:instrText xml:space="preserve"> SEQ Table \* ARABIC </w:instrText>
      </w:r>
      <w:r w:rsidRPr="00F4752B">
        <w:rPr>
          <w:rFonts w:asciiTheme="minorHAnsi" w:hAnsiTheme="minorHAnsi" w:cstheme="minorHAnsi"/>
          <w:sz w:val="22"/>
          <w:szCs w:val="22"/>
        </w:rPr>
        <w:fldChar w:fldCharType="separate"/>
      </w:r>
      <w:r>
        <w:rPr>
          <w:rFonts w:asciiTheme="minorHAnsi" w:hAnsiTheme="minorHAnsi" w:cstheme="minorHAnsi"/>
          <w:noProof/>
          <w:sz w:val="22"/>
          <w:szCs w:val="22"/>
        </w:rPr>
        <w:t>6</w:t>
      </w:r>
      <w:r w:rsidRPr="00F4752B">
        <w:rPr>
          <w:rFonts w:asciiTheme="minorHAnsi" w:hAnsiTheme="minorHAnsi" w:cstheme="minorHAnsi"/>
          <w:sz w:val="22"/>
          <w:szCs w:val="22"/>
        </w:rPr>
        <w:fldChar w:fldCharType="end"/>
      </w:r>
      <w:r w:rsidRPr="007539BD">
        <w:rPr>
          <w:rFonts w:asciiTheme="minorHAnsi" w:hAnsiTheme="minorHAnsi"/>
          <w:sz w:val="22"/>
          <w:szCs w:val="22"/>
        </w:rPr>
        <w:t xml:space="preserve"> </w:t>
      </w:r>
      <w:r w:rsidRPr="00FA449E">
        <w:rPr>
          <w:rFonts w:asciiTheme="minorHAnsi" w:hAnsiTheme="minorHAnsi" w:cstheme="minorHAnsi"/>
          <w:sz w:val="22"/>
          <w:szCs w:val="22"/>
        </w:rPr>
        <w:t>Gross Savings Installation Adjustment (GSIA) IDs</w:t>
      </w:r>
      <w:bookmarkEnd w:id="10"/>
    </w:p>
    <w:tbl>
      <w:tblPr>
        <w:tblStyle w:val="TableContemporary"/>
        <w:tblW w:w="3999" w:type="pct"/>
        <w:jc w:val="center"/>
        <w:tblInd w:w="1186" w:type="dxa"/>
        <w:tblLook w:val="01E0" w:firstRow="1" w:lastRow="1" w:firstColumn="1" w:lastColumn="1" w:noHBand="0" w:noVBand="0"/>
      </w:tblPr>
      <w:tblGrid>
        <w:gridCol w:w="1225"/>
        <w:gridCol w:w="2209"/>
        <w:gridCol w:w="743"/>
        <w:gridCol w:w="982"/>
        <w:gridCol w:w="1270"/>
        <w:gridCol w:w="1230"/>
      </w:tblGrid>
      <w:tr w:rsidR="00120BFA" w:rsidRPr="000F130A" w:rsidTr="00185824">
        <w:trPr>
          <w:cnfStyle w:val="100000000000" w:firstRow="1" w:lastRow="0" w:firstColumn="0" w:lastColumn="0" w:oddVBand="0" w:evenVBand="0" w:oddHBand="0" w:evenHBand="0" w:firstRowFirstColumn="0" w:firstRowLastColumn="0" w:lastRowFirstColumn="0" w:lastRowLastColumn="0"/>
          <w:jc w:val="center"/>
        </w:trPr>
        <w:tc>
          <w:tcPr>
            <w:tcW w:w="800" w:type="pct"/>
            <w:vAlign w:val="center"/>
          </w:tcPr>
          <w:p w:rsidR="00120BFA" w:rsidRPr="004E76CA" w:rsidRDefault="00120BFA" w:rsidP="00185824">
            <w:pPr>
              <w:jc w:val="center"/>
              <w:rPr>
                <w:rFonts w:asciiTheme="minorHAnsi" w:hAnsiTheme="minorHAnsi" w:cstheme="minorHAnsi"/>
                <w:sz w:val="20"/>
                <w:szCs w:val="20"/>
              </w:rPr>
            </w:pPr>
            <w:r>
              <w:rPr>
                <w:rFonts w:asciiTheme="minorHAnsi" w:hAnsiTheme="minorHAnsi" w:cstheme="minorHAnsi"/>
                <w:sz w:val="20"/>
                <w:szCs w:val="20"/>
              </w:rPr>
              <w:t>GSIA</w:t>
            </w:r>
            <w:r w:rsidRPr="0066252B">
              <w:rPr>
                <w:rFonts w:asciiTheme="minorHAnsi" w:hAnsiTheme="minorHAnsi" w:cstheme="minorHAnsi"/>
                <w:sz w:val="20"/>
                <w:szCs w:val="20"/>
              </w:rPr>
              <w:t>_ID</w:t>
            </w:r>
          </w:p>
        </w:tc>
        <w:tc>
          <w:tcPr>
            <w:tcW w:w="1442" w:type="pct"/>
            <w:vAlign w:val="center"/>
          </w:tcPr>
          <w:p w:rsidR="00120BFA" w:rsidRPr="004E76CA" w:rsidRDefault="00120BFA" w:rsidP="00185824">
            <w:pPr>
              <w:jc w:val="center"/>
              <w:rPr>
                <w:rFonts w:asciiTheme="minorHAnsi" w:hAnsiTheme="minorHAnsi" w:cstheme="minorHAnsi"/>
                <w:sz w:val="20"/>
                <w:szCs w:val="20"/>
              </w:rPr>
            </w:pPr>
            <w:r w:rsidRPr="0066252B">
              <w:rPr>
                <w:rFonts w:asciiTheme="minorHAnsi" w:hAnsiTheme="minorHAnsi" w:cstheme="minorHAnsi"/>
                <w:sz w:val="20"/>
                <w:szCs w:val="20"/>
              </w:rPr>
              <w:t>Description</w:t>
            </w:r>
          </w:p>
        </w:tc>
        <w:tc>
          <w:tcPr>
            <w:tcW w:w="485" w:type="pct"/>
            <w:vAlign w:val="center"/>
          </w:tcPr>
          <w:p w:rsidR="00120BFA" w:rsidRPr="004E76CA" w:rsidRDefault="00120BFA" w:rsidP="00185824">
            <w:pPr>
              <w:jc w:val="center"/>
              <w:rPr>
                <w:rFonts w:asciiTheme="minorHAnsi" w:hAnsiTheme="minorHAnsi" w:cstheme="minorHAnsi"/>
                <w:sz w:val="20"/>
                <w:szCs w:val="20"/>
              </w:rPr>
            </w:pPr>
            <w:r w:rsidRPr="0066252B">
              <w:rPr>
                <w:rFonts w:asciiTheme="minorHAnsi" w:hAnsiTheme="minorHAnsi" w:cstheme="minorHAnsi"/>
                <w:sz w:val="20"/>
                <w:szCs w:val="20"/>
              </w:rPr>
              <w:t>Sector</w:t>
            </w:r>
          </w:p>
        </w:tc>
        <w:tc>
          <w:tcPr>
            <w:tcW w:w="641" w:type="pct"/>
            <w:vAlign w:val="center"/>
          </w:tcPr>
          <w:p w:rsidR="00120BFA" w:rsidRPr="004E76CA" w:rsidRDefault="00120BFA" w:rsidP="00185824">
            <w:pPr>
              <w:jc w:val="center"/>
              <w:rPr>
                <w:rFonts w:asciiTheme="minorHAnsi" w:hAnsiTheme="minorHAnsi" w:cstheme="minorHAnsi"/>
                <w:sz w:val="20"/>
                <w:szCs w:val="20"/>
              </w:rPr>
            </w:pPr>
            <w:proofErr w:type="spellStart"/>
            <w:r w:rsidRPr="0066252B">
              <w:rPr>
                <w:rFonts w:asciiTheme="minorHAnsi" w:hAnsiTheme="minorHAnsi" w:cstheme="minorHAnsi"/>
                <w:sz w:val="20"/>
                <w:szCs w:val="20"/>
              </w:rPr>
              <w:t>BldgType</w:t>
            </w:r>
            <w:proofErr w:type="spellEnd"/>
          </w:p>
        </w:tc>
        <w:tc>
          <w:tcPr>
            <w:tcW w:w="829" w:type="pct"/>
            <w:vAlign w:val="center"/>
          </w:tcPr>
          <w:p w:rsidR="00120BFA" w:rsidRPr="004E76CA" w:rsidRDefault="00120BFA" w:rsidP="00185824">
            <w:pPr>
              <w:jc w:val="center"/>
              <w:rPr>
                <w:rFonts w:asciiTheme="minorHAnsi" w:hAnsiTheme="minorHAnsi" w:cstheme="minorHAnsi"/>
                <w:sz w:val="20"/>
                <w:szCs w:val="20"/>
              </w:rPr>
            </w:pPr>
            <w:proofErr w:type="spellStart"/>
            <w:r>
              <w:rPr>
                <w:rFonts w:asciiTheme="minorHAnsi" w:hAnsiTheme="minorHAnsi" w:cstheme="minorHAnsi"/>
                <w:sz w:val="20"/>
                <w:szCs w:val="20"/>
              </w:rPr>
              <w:t>UseCategory</w:t>
            </w:r>
            <w:proofErr w:type="spellEnd"/>
          </w:p>
        </w:tc>
        <w:tc>
          <w:tcPr>
            <w:tcW w:w="803" w:type="pct"/>
            <w:vAlign w:val="center"/>
          </w:tcPr>
          <w:p w:rsidR="00120BFA" w:rsidRDefault="00120BFA" w:rsidP="00185824">
            <w:pPr>
              <w:jc w:val="center"/>
              <w:rPr>
                <w:rFonts w:asciiTheme="minorHAnsi" w:hAnsiTheme="minorHAnsi" w:cstheme="minorHAnsi"/>
                <w:sz w:val="20"/>
                <w:szCs w:val="20"/>
              </w:rPr>
            </w:pPr>
            <w:proofErr w:type="spellStart"/>
            <w:r>
              <w:rPr>
                <w:rFonts w:asciiTheme="minorHAnsi" w:hAnsiTheme="minorHAnsi" w:cstheme="minorHAnsi"/>
                <w:sz w:val="20"/>
                <w:szCs w:val="20"/>
              </w:rPr>
              <w:t>TechType</w:t>
            </w:r>
            <w:proofErr w:type="spellEnd"/>
          </w:p>
        </w:tc>
      </w:tr>
      <w:tr w:rsidR="007B7920" w:rsidRPr="000F130A" w:rsidTr="00185824">
        <w:trPr>
          <w:cnfStyle w:val="000000100000" w:firstRow="0" w:lastRow="0" w:firstColumn="0" w:lastColumn="0" w:oddVBand="0" w:evenVBand="0" w:oddHBand="1" w:evenHBand="0" w:firstRowFirstColumn="0" w:firstRowLastColumn="0" w:lastRowFirstColumn="0" w:lastRowLastColumn="0"/>
          <w:jc w:val="center"/>
        </w:trPr>
        <w:tc>
          <w:tcPr>
            <w:tcW w:w="800" w:type="pct"/>
            <w:vAlign w:val="center"/>
          </w:tcPr>
          <w:p w:rsidR="00120BFA" w:rsidRPr="009040B7" w:rsidRDefault="00120BFA" w:rsidP="00185824">
            <w:pPr>
              <w:jc w:val="center"/>
              <w:rPr>
                <w:rFonts w:asciiTheme="minorHAnsi" w:hAnsiTheme="minorHAnsi" w:cstheme="minorHAnsi"/>
                <w:sz w:val="20"/>
                <w:szCs w:val="20"/>
              </w:rPr>
            </w:pPr>
            <w:r w:rsidRPr="009040B7">
              <w:rPr>
                <w:rFonts w:asciiTheme="minorHAnsi" w:hAnsiTheme="minorHAnsi" w:cstheme="minorHAnsi"/>
                <w:sz w:val="20"/>
                <w:szCs w:val="20"/>
              </w:rPr>
              <w:t>Com-LF-SDG</w:t>
            </w:r>
          </w:p>
        </w:tc>
        <w:tc>
          <w:tcPr>
            <w:tcW w:w="1442" w:type="pct"/>
            <w:vAlign w:val="center"/>
          </w:tcPr>
          <w:p w:rsidR="00120BFA" w:rsidRPr="009040B7" w:rsidRDefault="00120BFA" w:rsidP="00185824">
            <w:pPr>
              <w:jc w:val="center"/>
              <w:rPr>
                <w:rFonts w:asciiTheme="minorHAnsi" w:hAnsiTheme="minorHAnsi" w:cstheme="minorHAnsi"/>
                <w:sz w:val="20"/>
                <w:szCs w:val="20"/>
              </w:rPr>
            </w:pPr>
            <w:r w:rsidRPr="009040B7">
              <w:rPr>
                <w:rFonts w:asciiTheme="minorHAnsi" w:hAnsiTheme="minorHAnsi" w:cstheme="minorHAnsi"/>
                <w:sz w:val="20"/>
                <w:szCs w:val="20"/>
              </w:rPr>
              <w:t>Non-Res Linear Fluorescent fixture; Annual Installation Rate</w:t>
            </w:r>
          </w:p>
        </w:tc>
        <w:tc>
          <w:tcPr>
            <w:tcW w:w="485" w:type="pct"/>
            <w:vAlign w:val="center"/>
          </w:tcPr>
          <w:p w:rsidR="00120BFA" w:rsidRPr="00C74F63" w:rsidRDefault="00120BFA" w:rsidP="00185824">
            <w:pPr>
              <w:jc w:val="center"/>
              <w:rPr>
                <w:rFonts w:asciiTheme="minorHAnsi" w:hAnsiTheme="minorHAnsi" w:cstheme="minorHAnsi"/>
                <w:sz w:val="20"/>
                <w:szCs w:val="20"/>
              </w:rPr>
            </w:pPr>
            <w:r w:rsidRPr="00C74F63">
              <w:rPr>
                <w:rFonts w:asciiTheme="minorHAnsi" w:hAnsiTheme="minorHAnsi" w:cstheme="minorHAnsi"/>
                <w:sz w:val="20"/>
                <w:szCs w:val="20"/>
              </w:rPr>
              <w:t>Com</w:t>
            </w:r>
          </w:p>
        </w:tc>
        <w:tc>
          <w:tcPr>
            <w:tcW w:w="641" w:type="pct"/>
            <w:vAlign w:val="center"/>
          </w:tcPr>
          <w:p w:rsidR="00120BFA" w:rsidRPr="00C74F63" w:rsidRDefault="00120BFA" w:rsidP="00185824">
            <w:pPr>
              <w:jc w:val="center"/>
              <w:rPr>
                <w:rFonts w:asciiTheme="minorHAnsi" w:hAnsiTheme="minorHAnsi" w:cstheme="minorHAnsi"/>
                <w:sz w:val="20"/>
                <w:szCs w:val="20"/>
              </w:rPr>
            </w:pPr>
            <w:r w:rsidRPr="00C74F63">
              <w:rPr>
                <w:rFonts w:asciiTheme="minorHAnsi" w:hAnsiTheme="minorHAnsi" w:cstheme="minorHAnsi"/>
                <w:sz w:val="20"/>
                <w:szCs w:val="20"/>
              </w:rPr>
              <w:t>Any</w:t>
            </w:r>
          </w:p>
        </w:tc>
        <w:tc>
          <w:tcPr>
            <w:tcW w:w="829" w:type="pct"/>
            <w:vAlign w:val="center"/>
          </w:tcPr>
          <w:p w:rsidR="00120BFA" w:rsidRDefault="00120BFA" w:rsidP="00185824">
            <w:pPr>
              <w:jc w:val="center"/>
              <w:rPr>
                <w:rFonts w:asciiTheme="minorHAnsi" w:hAnsiTheme="minorHAnsi" w:cstheme="minorHAnsi"/>
                <w:sz w:val="20"/>
                <w:szCs w:val="20"/>
              </w:rPr>
            </w:pPr>
            <w:r>
              <w:rPr>
                <w:rFonts w:asciiTheme="minorHAnsi" w:hAnsiTheme="minorHAnsi" w:cstheme="minorHAnsi"/>
                <w:sz w:val="20"/>
                <w:szCs w:val="20"/>
              </w:rPr>
              <w:t>Lighting</w:t>
            </w:r>
          </w:p>
        </w:tc>
        <w:tc>
          <w:tcPr>
            <w:tcW w:w="803" w:type="pct"/>
            <w:vAlign w:val="center"/>
          </w:tcPr>
          <w:p w:rsidR="00120BFA" w:rsidRPr="009040B7" w:rsidRDefault="00120BFA" w:rsidP="00185824">
            <w:pPr>
              <w:jc w:val="center"/>
              <w:rPr>
                <w:rFonts w:asciiTheme="minorHAnsi" w:hAnsiTheme="minorHAnsi" w:cstheme="minorHAnsi"/>
                <w:sz w:val="20"/>
                <w:szCs w:val="20"/>
              </w:rPr>
            </w:pPr>
            <w:proofErr w:type="spellStart"/>
            <w:r w:rsidRPr="009040B7">
              <w:rPr>
                <w:rFonts w:asciiTheme="minorHAnsi" w:hAnsiTheme="minorHAnsi" w:cstheme="minorHAnsi"/>
                <w:sz w:val="20"/>
                <w:szCs w:val="20"/>
              </w:rPr>
              <w:t>LinFluor_fixt</w:t>
            </w:r>
            <w:proofErr w:type="spellEnd"/>
          </w:p>
        </w:tc>
      </w:tr>
    </w:tbl>
    <w:p w:rsidR="00120BFA" w:rsidRPr="004E01F5" w:rsidRDefault="00120BFA" w:rsidP="004F0A89">
      <w:pPr>
        <w:rPr>
          <w:rFonts w:asciiTheme="minorHAnsi" w:hAnsiTheme="minorHAnsi" w:cstheme="minorHAnsi"/>
          <w:b/>
          <w:bCs/>
          <w:iCs/>
          <w:smallCaps/>
          <w:sz w:val="22"/>
          <w:szCs w:val="22"/>
        </w:rPr>
      </w:pPr>
    </w:p>
    <w:p w:rsidR="004F0A89" w:rsidRPr="00BD3931" w:rsidRDefault="004F0A89" w:rsidP="004F0A89">
      <w:pPr>
        <w:pStyle w:val="Heading2"/>
        <w:rPr>
          <w:rFonts w:asciiTheme="minorHAnsi" w:hAnsiTheme="minorHAnsi" w:cstheme="minorHAnsi"/>
          <w:b w:val="0"/>
          <w:bCs w:val="0"/>
          <w:iCs w:val="0"/>
          <w:smallCaps w:val="0"/>
          <w:sz w:val="22"/>
          <w:szCs w:val="22"/>
        </w:rPr>
      </w:pPr>
      <w:r w:rsidRPr="00BD3931">
        <w:rPr>
          <w:rFonts w:asciiTheme="minorHAnsi" w:hAnsiTheme="minorHAnsi" w:cstheme="minorHAnsi"/>
          <w:b w:val="0"/>
          <w:bCs w:val="0"/>
          <w:iCs w:val="0"/>
          <w:smallCaps w:val="0"/>
          <w:sz w:val="22"/>
          <w:szCs w:val="22"/>
        </w:rPr>
        <w:t xml:space="preserve">Spillage rate will also be applied to measures however the values will not be tracked in the </w:t>
      </w:r>
      <w:proofErr w:type="spellStart"/>
      <w:r w:rsidRPr="00BD3931">
        <w:rPr>
          <w:rFonts w:asciiTheme="minorHAnsi" w:hAnsiTheme="minorHAnsi" w:cstheme="minorHAnsi"/>
          <w:b w:val="0"/>
          <w:bCs w:val="0"/>
          <w:iCs w:val="0"/>
          <w:smallCaps w:val="0"/>
          <w:sz w:val="22"/>
          <w:szCs w:val="22"/>
        </w:rPr>
        <w:t>workpapers</w:t>
      </w:r>
      <w:proofErr w:type="spellEnd"/>
      <w:r w:rsidRPr="00BD3931">
        <w:rPr>
          <w:rFonts w:asciiTheme="minorHAnsi" w:hAnsiTheme="minorHAnsi" w:cstheme="minorHAnsi"/>
          <w:b w:val="0"/>
          <w:bCs w:val="0"/>
          <w:iCs w:val="0"/>
          <w:smallCaps w:val="0"/>
          <w:sz w:val="22"/>
          <w:szCs w:val="22"/>
        </w:rPr>
        <w:t xml:space="preserve">. The </w:t>
      </w:r>
      <w:r w:rsidR="005347D4">
        <w:rPr>
          <w:rFonts w:asciiTheme="minorHAnsi" w:hAnsiTheme="minorHAnsi" w:cstheme="minorHAnsi"/>
          <w:b w:val="0"/>
          <w:bCs w:val="0"/>
          <w:iCs w:val="0"/>
          <w:smallCaps w:val="0"/>
          <w:sz w:val="22"/>
          <w:szCs w:val="22"/>
        </w:rPr>
        <w:t>spillage</w:t>
      </w:r>
      <w:r w:rsidR="005347D4" w:rsidRPr="00BD3931">
        <w:rPr>
          <w:rFonts w:asciiTheme="minorHAnsi" w:hAnsiTheme="minorHAnsi" w:cstheme="minorHAnsi"/>
          <w:b w:val="0"/>
          <w:bCs w:val="0"/>
          <w:iCs w:val="0"/>
          <w:smallCaps w:val="0"/>
          <w:sz w:val="22"/>
          <w:szCs w:val="22"/>
        </w:rPr>
        <w:t xml:space="preserve"> </w:t>
      </w:r>
      <w:r w:rsidRPr="00BD3931">
        <w:rPr>
          <w:rFonts w:asciiTheme="minorHAnsi" w:hAnsiTheme="minorHAnsi" w:cstheme="minorHAnsi"/>
          <w:b w:val="0"/>
          <w:bCs w:val="0"/>
          <w:iCs w:val="0"/>
          <w:smallCaps w:val="0"/>
          <w:sz w:val="22"/>
          <w:szCs w:val="22"/>
        </w:rPr>
        <w:t>rate will be tracked in an external table to be supplied to the Energy Division.</w:t>
      </w:r>
    </w:p>
    <w:p w:rsidR="00801F7F" w:rsidRPr="003F43F7" w:rsidRDefault="00824F1C" w:rsidP="003F43F7">
      <w:pPr>
        <w:pStyle w:val="Heading2"/>
        <w:rPr>
          <w:rFonts w:asciiTheme="minorHAnsi" w:hAnsiTheme="minorHAnsi" w:cstheme="minorHAnsi"/>
        </w:rPr>
      </w:pPr>
      <w:proofErr w:type="gramStart"/>
      <w:r w:rsidRPr="00B5705B">
        <w:rPr>
          <w:rFonts w:asciiTheme="minorHAnsi" w:hAnsiTheme="minorHAnsi" w:cstheme="minorHAnsi"/>
        </w:rPr>
        <w:t xml:space="preserve">1.6  </w:t>
      </w:r>
      <w:r w:rsidR="003F43F7" w:rsidRPr="00B5705B">
        <w:rPr>
          <w:rFonts w:asciiTheme="minorHAnsi" w:hAnsiTheme="minorHAnsi" w:cstheme="minorHAnsi"/>
        </w:rPr>
        <w:t>Time</w:t>
      </w:r>
      <w:proofErr w:type="gramEnd"/>
      <w:r w:rsidR="003F43F7" w:rsidRPr="00B5705B">
        <w:rPr>
          <w:rFonts w:asciiTheme="minorHAnsi" w:hAnsiTheme="minorHAnsi" w:cstheme="minorHAnsi"/>
        </w:rPr>
        <w:t>-of-Use Adjustment Factor</w:t>
      </w:r>
    </w:p>
    <w:p w:rsidR="00DA11A0" w:rsidRDefault="00801F7F" w:rsidP="00801F7F">
      <w:pPr>
        <w:pStyle w:val="Reminders"/>
        <w:rPr>
          <w:rFonts w:asciiTheme="minorHAnsi" w:hAnsiTheme="minorHAnsi" w:cstheme="minorHAnsi"/>
          <w:i w:val="0"/>
          <w:color w:val="auto"/>
          <w:sz w:val="22"/>
          <w:szCs w:val="22"/>
        </w:rPr>
      </w:pPr>
      <w:r w:rsidRPr="00F4752B">
        <w:rPr>
          <w:rFonts w:asciiTheme="minorHAnsi" w:hAnsiTheme="minorHAnsi" w:cstheme="minorHAnsi"/>
          <w:i w:val="0"/>
          <w:color w:val="auto"/>
          <w:sz w:val="22"/>
          <w:szCs w:val="22"/>
        </w:rPr>
        <w:t>As directed by the CPUC in decision 06-06-063 dated June 29, 2006, time-of-use (TOU) adjustment factors are to be applied for residential A/C and commercial A/C (packaged and split-system direct-expansion cooling) measures only.   Since this is not an A/C measure, the TOU adjustment factor is 0.</w:t>
      </w:r>
      <w:r w:rsidR="00F56792" w:rsidRPr="00F4752B">
        <w:rPr>
          <w:rFonts w:asciiTheme="minorHAnsi" w:hAnsiTheme="minorHAnsi" w:cstheme="minorHAnsi"/>
          <w:i w:val="0"/>
          <w:color w:val="auto"/>
          <w:sz w:val="22"/>
          <w:szCs w:val="22"/>
        </w:rPr>
        <w:t xml:space="preserve">  </w:t>
      </w:r>
      <w:r w:rsidR="000C0000" w:rsidRPr="00F4752B">
        <w:rPr>
          <w:rFonts w:asciiTheme="minorHAnsi" w:hAnsiTheme="minorHAnsi" w:cstheme="minorHAnsi"/>
          <w:i w:val="0"/>
          <w:color w:val="auto"/>
          <w:sz w:val="22"/>
          <w:szCs w:val="22"/>
        </w:rPr>
        <w:t>Additionally</w:t>
      </w:r>
      <w:r w:rsidR="00F56792" w:rsidRPr="00F4752B">
        <w:rPr>
          <w:rFonts w:asciiTheme="minorHAnsi" w:hAnsiTheme="minorHAnsi" w:cstheme="minorHAnsi"/>
          <w:i w:val="0"/>
          <w:color w:val="auto"/>
          <w:sz w:val="22"/>
          <w:szCs w:val="22"/>
        </w:rPr>
        <w:t>, if a measure is assigned a DEER08 load shape, i.e. the load shape starts with “DEER:” the TOU assigned to that measure should also be zero.</w:t>
      </w:r>
    </w:p>
    <w:p w:rsidR="00973A13" w:rsidRPr="00F4752B" w:rsidRDefault="00973A13" w:rsidP="00973A13">
      <w:pPr>
        <w:pStyle w:val="Caption"/>
        <w:keepNext/>
        <w:jc w:val="center"/>
        <w:rPr>
          <w:rFonts w:asciiTheme="minorHAnsi" w:hAnsiTheme="minorHAnsi" w:cstheme="minorHAnsi"/>
          <w:sz w:val="22"/>
          <w:szCs w:val="22"/>
        </w:rPr>
      </w:pPr>
      <w:r w:rsidRPr="00F4752B">
        <w:rPr>
          <w:rFonts w:asciiTheme="minorHAnsi" w:hAnsiTheme="minorHAnsi" w:cstheme="minorHAnsi"/>
          <w:sz w:val="22"/>
          <w:szCs w:val="22"/>
        </w:rPr>
        <w:t xml:space="preserve">Table </w:t>
      </w:r>
      <w:r w:rsidR="00120BFA" w:rsidRPr="00F4752B">
        <w:rPr>
          <w:rFonts w:asciiTheme="minorHAnsi" w:hAnsiTheme="minorHAnsi" w:cstheme="minorHAnsi"/>
          <w:sz w:val="22"/>
          <w:szCs w:val="22"/>
        </w:rPr>
        <w:fldChar w:fldCharType="begin"/>
      </w:r>
      <w:r w:rsidR="00120BFA" w:rsidRPr="00F4752B">
        <w:rPr>
          <w:rFonts w:asciiTheme="minorHAnsi" w:hAnsiTheme="minorHAnsi" w:cstheme="minorHAnsi"/>
          <w:sz w:val="22"/>
          <w:szCs w:val="22"/>
        </w:rPr>
        <w:instrText xml:space="preserve"> SEQ Table \* ARABIC </w:instrText>
      </w:r>
      <w:r w:rsidR="00120BFA" w:rsidRPr="00F4752B">
        <w:rPr>
          <w:rFonts w:asciiTheme="minorHAnsi" w:hAnsiTheme="minorHAnsi" w:cstheme="minorHAnsi"/>
          <w:sz w:val="22"/>
          <w:szCs w:val="22"/>
        </w:rPr>
        <w:fldChar w:fldCharType="separate"/>
      </w:r>
      <w:r w:rsidR="00743E5A">
        <w:rPr>
          <w:rFonts w:asciiTheme="minorHAnsi" w:hAnsiTheme="minorHAnsi" w:cstheme="minorHAnsi"/>
          <w:noProof/>
          <w:sz w:val="22"/>
          <w:szCs w:val="22"/>
        </w:rPr>
        <w:t>7</w:t>
      </w:r>
      <w:r w:rsidR="00120BFA" w:rsidRPr="00F4752B">
        <w:rPr>
          <w:rFonts w:asciiTheme="minorHAnsi" w:hAnsiTheme="minorHAnsi" w:cstheme="minorHAnsi"/>
          <w:sz w:val="22"/>
          <w:szCs w:val="22"/>
        </w:rPr>
        <w:fldChar w:fldCharType="end"/>
      </w:r>
      <w:r w:rsidR="0089097F" w:rsidRPr="00F4752B">
        <w:rPr>
          <w:rFonts w:asciiTheme="minorHAnsi" w:hAnsiTheme="minorHAnsi" w:cstheme="minorHAnsi"/>
          <w:sz w:val="22"/>
          <w:szCs w:val="22"/>
        </w:rPr>
        <w:t xml:space="preserve"> </w:t>
      </w:r>
      <w:r w:rsidRPr="00F4752B">
        <w:rPr>
          <w:rFonts w:asciiTheme="minorHAnsi" w:hAnsiTheme="minorHAnsi" w:cstheme="minorHAnsi"/>
          <w:sz w:val="22"/>
          <w:szCs w:val="22"/>
        </w:rPr>
        <w:t xml:space="preserve">TOU </w:t>
      </w:r>
      <w:r>
        <w:rPr>
          <w:rFonts w:asciiTheme="minorHAnsi" w:hAnsiTheme="minorHAnsi" w:cstheme="minorHAnsi"/>
          <w:sz w:val="22"/>
          <w:szCs w:val="22"/>
        </w:rPr>
        <w:t>Summary Table</w:t>
      </w:r>
    </w:p>
    <w:tbl>
      <w:tblPr>
        <w:tblStyle w:val="TableContemporary"/>
        <w:tblW w:w="2900" w:type="pct"/>
        <w:jc w:val="center"/>
        <w:tblInd w:w="108" w:type="dxa"/>
        <w:tblBorders>
          <w:top w:val="single" w:sz="18" w:space="0" w:color="FFFFFF"/>
          <w:left w:val="single" w:sz="18" w:space="0" w:color="FFFFFF"/>
          <w:bottom w:val="single" w:sz="18" w:space="0" w:color="FFFFFF"/>
          <w:right w:val="single" w:sz="18" w:space="0" w:color="FFFFFF"/>
        </w:tblBorders>
        <w:shd w:val="clear" w:color="auto" w:fill="CCCCCC"/>
        <w:tblLook w:val="01E0" w:firstRow="1" w:lastRow="1" w:firstColumn="1" w:lastColumn="1" w:noHBand="0" w:noVBand="0"/>
      </w:tblPr>
      <w:tblGrid>
        <w:gridCol w:w="2988"/>
        <w:gridCol w:w="2566"/>
      </w:tblGrid>
      <w:tr w:rsidR="00973A13" w:rsidRPr="00DA11A0" w:rsidTr="002C0FA9">
        <w:trPr>
          <w:cnfStyle w:val="100000000000" w:firstRow="1" w:lastRow="0" w:firstColumn="0" w:lastColumn="0" w:oddVBand="0" w:evenVBand="0" w:oddHBand="0" w:evenHBand="0" w:firstRowFirstColumn="0" w:firstRowLastColumn="0" w:lastRowFirstColumn="0" w:lastRowLastColumn="0"/>
          <w:jc w:val="center"/>
        </w:trPr>
        <w:tc>
          <w:tcPr>
            <w:tcW w:w="2690" w:type="pct"/>
            <w:tcBorders>
              <w:bottom w:val="single" w:sz="18" w:space="0" w:color="FFFFFF"/>
            </w:tcBorders>
            <w:shd w:val="clear" w:color="auto" w:fill="CCCCCC"/>
          </w:tcPr>
          <w:p w:rsidR="00973A13" w:rsidRPr="00027183" w:rsidRDefault="00973A13" w:rsidP="002C0FA9">
            <w:pPr>
              <w:jc w:val="center"/>
              <w:rPr>
                <w:rFonts w:asciiTheme="minorHAnsi" w:hAnsiTheme="minorHAnsi" w:cstheme="minorHAnsi"/>
                <w:sz w:val="20"/>
                <w:szCs w:val="20"/>
                <w:highlight w:val="yellow"/>
              </w:rPr>
            </w:pPr>
            <w:r w:rsidRPr="00027183">
              <w:rPr>
                <w:rFonts w:asciiTheme="minorHAnsi" w:hAnsiTheme="minorHAnsi" w:cstheme="minorHAnsi"/>
                <w:sz w:val="20"/>
                <w:szCs w:val="20"/>
              </w:rPr>
              <w:t>Measure</w:t>
            </w:r>
          </w:p>
        </w:tc>
        <w:tc>
          <w:tcPr>
            <w:tcW w:w="2310" w:type="pct"/>
            <w:tcBorders>
              <w:bottom w:val="single" w:sz="18" w:space="0" w:color="FFFFFF"/>
            </w:tcBorders>
            <w:shd w:val="clear" w:color="auto" w:fill="CCCCCC"/>
          </w:tcPr>
          <w:p w:rsidR="00973A13" w:rsidRPr="00027183" w:rsidRDefault="00973A13" w:rsidP="002C0FA9">
            <w:pPr>
              <w:jc w:val="center"/>
              <w:rPr>
                <w:rFonts w:asciiTheme="minorHAnsi" w:hAnsiTheme="minorHAnsi" w:cstheme="minorHAnsi"/>
                <w:sz w:val="20"/>
                <w:szCs w:val="20"/>
                <w:highlight w:val="yellow"/>
              </w:rPr>
            </w:pPr>
            <w:r w:rsidRPr="00027183">
              <w:rPr>
                <w:rFonts w:asciiTheme="minorHAnsi" w:hAnsiTheme="minorHAnsi" w:cstheme="minorHAnsi"/>
                <w:sz w:val="20"/>
                <w:szCs w:val="20"/>
              </w:rPr>
              <w:t>%</w:t>
            </w:r>
          </w:p>
        </w:tc>
      </w:tr>
      <w:tr w:rsidR="00973A13" w:rsidRPr="00DA11A0" w:rsidTr="002C0FA9">
        <w:trPr>
          <w:cnfStyle w:val="000000100000" w:firstRow="0" w:lastRow="0" w:firstColumn="0" w:lastColumn="0" w:oddVBand="0" w:evenVBand="0" w:oddHBand="1" w:evenHBand="0" w:firstRowFirstColumn="0" w:firstRowLastColumn="0" w:lastRowFirstColumn="0" w:lastRowLastColumn="0"/>
          <w:jc w:val="center"/>
        </w:trPr>
        <w:tc>
          <w:tcPr>
            <w:tcW w:w="2690" w:type="pct"/>
            <w:shd w:val="clear" w:color="auto" w:fill="F3F3F3"/>
          </w:tcPr>
          <w:p w:rsidR="00973A13" w:rsidRPr="00027183" w:rsidRDefault="00973A13" w:rsidP="002C0FA9">
            <w:pPr>
              <w:rPr>
                <w:rFonts w:asciiTheme="minorHAnsi" w:hAnsiTheme="minorHAnsi" w:cstheme="minorHAnsi"/>
                <w:sz w:val="20"/>
                <w:szCs w:val="20"/>
              </w:rPr>
            </w:pPr>
            <w:r w:rsidRPr="00027183">
              <w:rPr>
                <w:rFonts w:asciiTheme="minorHAnsi" w:hAnsiTheme="minorHAnsi" w:cstheme="minorHAnsi"/>
                <w:sz w:val="20"/>
                <w:szCs w:val="20"/>
              </w:rPr>
              <w:t>Linear Fluorescent Fixtures</w:t>
            </w:r>
          </w:p>
        </w:tc>
        <w:tc>
          <w:tcPr>
            <w:tcW w:w="2310" w:type="pct"/>
            <w:shd w:val="clear" w:color="auto" w:fill="F3F3F3"/>
          </w:tcPr>
          <w:p w:rsidR="00973A13" w:rsidRPr="00027183" w:rsidRDefault="00973A13" w:rsidP="002C0FA9">
            <w:pPr>
              <w:jc w:val="center"/>
              <w:rPr>
                <w:rFonts w:asciiTheme="minorHAnsi" w:hAnsiTheme="minorHAnsi" w:cstheme="minorHAnsi"/>
                <w:sz w:val="20"/>
                <w:szCs w:val="20"/>
              </w:rPr>
            </w:pPr>
            <w:r w:rsidRPr="00027183">
              <w:rPr>
                <w:rFonts w:asciiTheme="minorHAnsi" w:hAnsiTheme="minorHAnsi" w:cstheme="minorHAnsi"/>
                <w:sz w:val="20"/>
                <w:szCs w:val="20"/>
              </w:rPr>
              <w:t>0</w:t>
            </w:r>
          </w:p>
        </w:tc>
      </w:tr>
    </w:tbl>
    <w:p w:rsidR="00286FC8" w:rsidRDefault="00286FC8" w:rsidP="00E16609">
      <w:pPr>
        <w:pStyle w:val="Heading1"/>
        <w:keepNext w:val="0"/>
        <w:rPr>
          <w:rFonts w:asciiTheme="minorHAnsi" w:hAnsiTheme="minorHAnsi" w:cstheme="minorHAnsi"/>
        </w:rPr>
      </w:pPr>
      <w:bookmarkStart w:id="11" w:name="_Toc214003090"/>
    </w:p>
    <w:p w:rsidR="00C501F5" w:rsidRPr="005A0798" w:rsidRDefault="00C501F5" w:rsidP="005A0798"/>
    <w:p w:rsidR="00E16609" w:rsidRPr="000F130A" w:rsidRDefault="00E16609" w:rsidP="00E16609">
      <w:pPr>
        <w:pStyle w:val="Heading1"/>
        <w:keepNext w:val="0"/>
        <w:rPr>
          <w:rFonts w:asciiTheme="minorHAnsi" w:hAnsiTheme="minorHAnsi" w:cstheme="minorHAnsi"/>
        </w:rPr>
      </w:pPr>
      <w:proofErr w:type="gramStart"/>
      <w:r w:rsidRPr="000F130A">
        <w:rPr>
          <w:rFonts w:asciiTheme="minorHAnsi" w:hAnsiTheme="minorHAnsi" w:cstheme="minorHAnsi"/>
        </w:rPr>
        <w:lastRenderedPageBreak/>
        <w:t>Section 2.</w:t>
      </w:r>
      <w:proofErr w:type="gramEnd"/>
      <w:r w:rsidRPr="000F130A">
        <w:rPr>
          <w:rFonts w:asciiTheme="minorHAnsi" w:hAnsiTheme="minorHAnsi" w:cstheme="minorHAnsi"/>
        </w:rPr>
        <w:t xml:space="preserve"> Energy Savings &amp; Demand Reduction Calculations</w:t>
      </w:r>
      <w:bookmarkEnd w:id="11"/>
    </w:p>
    <w:p w:rsidR="009743FA" w:rsidRPr="009743FA" w:rsidRDefault="009743FA" w:rsidP="009743FA">
      <w:pPr>
        <w:pStyle w:val="Heading1"/>
        <w:rPr>
          <w:rFonts w:asciiTheme="minorHAnsi" w:hAnsiTheme="minorHAnsi" w:cstheme="minorHAnsi"/>
          <w:b w:val="0"/>
          <w:bCs w:val="0"/>
          <w:smallCaps w:val="0"/>
          <w:kern w:val="0"/>
          <w:sz w:val="22"/>
          <w:szCs w:val="22"/>
        </w:rPr>
      </w:pPr>
      <w:r w:rsidRPr="009743FA">
        <w:rPr>
          <w:rFonts w:asciiTheme="minorHAnsi" w:hAnsiTheme="minorHAnsi" w:cstheme="minorHAnsi"/>
          <w:b w:val="0"/>
          <w:bCs w:val="0"/>
          <w:smallCaps w:val="0"/>
          <w:kern w:val="0"/>
          <w:sz w:val="22"/>
          <w:szCs w:val="22"/>
        </w:rPr>
        <w:t>The energy savings (</w:t>
      </w:r>
      <w:proofErr w:type="spellStart"/>
      <w:r w:rsidRPr="009743FA">
        <w:rPr>
          <w:rFonts w:asciiTheme="minorHAnsi" w:hAnsiTheme="minorHAnsi" w:cstheme="minorHAnsi"/>
          <w:b w:val="0"/>
          <w:bCs w:val="0"/>
          <w:smallCaps w:val="0"/>
          <w:kern w:val="0"/>
          <w:sz w:val="22"/>
          <w:szCs w:val="22"/>
        </w:rPr>
        <w:t>ΔWatts</w:t>
      </w:r>
      <w:proofErr w:type="spellEnd"/>
      <w:r w:rsidRPr="009743FA">
        <w:rPr>
          <w:rFonts w:asciiTheme="minorHAnsi" w:hAnsiTheme="minorHAnsi" w:cstheme="minorHAnsi"/>
          <w:b w:val="0"/>
          <w:bCs w:val="0"/>
          <w:smallCaps w:val="0"/>
          <w:kern w:val="0"/>
          <w:sz w:val="22"/>
          <w:szCs w:val="22"/>
        </w:rPr>
        <w:t xml:space="preserve">) is the difference in wattage from the base case to the measure case as shown below. </w:t>
      </w:r>
      <w:r w:rsidR="003A3A88" w:rsidRPr="003A3A88">
        <w:rPr>
          <w:rFonts w:asciiTheme="minorHAnsi" w:hAnsiTheme="minorHAnsi" w:cstheme="minorHAnsi"/>
          <w:b w:val="0"/>
          <w:bCs w:val="0"/>
          <w:smallCaps w:val="0"/>
          <w:kern w:val="0"/>
          <w:sz w:val="22"/>
          <w:szCs w:val="22"/>
        </w:rPr>
        <w:t xml:space="preserve">Assumed Wattage for both measure and base cases were taken for the SDGE Standard Performance Contract (SPC) Table of Standard Fixture Wattages </w:t>
      </w:r>
      <w:r w:rsidR="003A3A88">
        <w:rPr>
          <w:rFonts w:asciiTheme="minorHAnsi" w:hAnsiTheme="minorHAnsi" w:cstheme="minorHAnsi"/>
          <w:b w:val="0"/>
          <w:bCs w:val="0"/>
          <w:smallCaps w:val="0"/>
          <w:kern w:val="0"/>
          <w:sz w:val="22"/>
          <w:szCs w:val="22"/>
        </w:rPr>
        <w:t>A</w:t>
      </w:r>
      <w:r w:rsidR="003A3A88" w:rsidRPr="003A3A88">
        <w:rPr>
          <w:rFonts w:asciiTheme="minorHAnsi" w:hAnsiTheme="minorHAnsi" w:cstheme="minorHAnsi"/>
          <w:b w:val="0"/>
          <w:bCs w:val="0"/>
          <w:smallCaps w:val="0"/>
          <w:kern w:val="0"/>
          <w:sz w:val="22"/>
          <w:szCs w:val="22"/>
        </w:rPr>
        <w:t>ppendix B</w:t>
      </w:r>
      <w:r w:rsidR="003A3A88">
        <w:rPr>
          <w:rFonts w:asciiTheme="minorHAnsi" w:hAnsiTheme="minorHAnsi" w:cstheme="minorHAnsi"/>
          <w:b w:val="0"/>
          <w:bCs w:val="0"/>
          <w:smallCaps w:val="0"/>
          <w:kern w:val="0"/>
          <w:sz w:val="22"/>
          <w:szCs w:val="22"/>
        </w:rPr>
        <w:t xml:space="preserve"> [C].</w:t>
      </w:r>
      <w:r w:rsidRPr="009743FA">
        <w:rPr>
          <w:rFonts w:asciiTheme="minorHAnsi" w:hAnsiTheme="minorHAnsi" w:cstheme="minorHAnsi"/>
          <w:b w:val="0"/>
          <w:bCs w:val="0"/>
          <w:smallCaps w:val="0"/>
          <w:kern w:val="0"/>
          <w:sz w:val="22"/>
          <w:szCs w:val="22"/>
        </w:rPr>
        <w:t xml:space="preserve"> </w:t>
      </w:r>
      <w:r w:rsidR="00743E5A" w:rsidRPr="00743E5A">
        <w:rPr>
          <w:rFonts w:asciiTheme="minorHAnsi" w:hAnsiTheme="minorHAnsi" w:cstheme="minorHAnsi"/>
          <w:b w:val="0"/>
          <w:bCs w:val="0"/>
          <w:smallCaps w:val="0"/>
          <w:kern w:val="0"/>
          <w:sz w:val="22"/>
          <w:szCs w:val="22"/>
        </w:rPr>
        <w:t xml:space="preserve">Table </w:t>
      </w:r>
      <w:r w:rsidR="00932121">
        <w:rPr>
          <w:rFonts w:asciiTheme="minorHAnsi" w:hAnsiTheme="minorHAnsi" w:cstheme="minorHAnsi"/>
          <w:b w:val="0"/>
          <w:bCs w:val="0"/>
          <w:smallCaps w:val="0"/>
          <w:kern w:val="0"/>
          <w:sz w:val="22"/>
          <w:szCs w:val="22"/>
        </w:rPr>
        <w:t>8</w:t>
      </w:r>
      <w:r w:rsidR="00743E5A" w:rsidRPr="00743E5A">
        <w:rPr>
          <w:rFonts w:asciiTheme="minorHAnsi" w:hAnsiTheme="minorHAnsi" w:cstheme="minorHAnsi"/>
          <w:b w:val="0"/>
          <w:bCs w:val="0"/>
          <w:smallCaps w:val="0"/>
          <w:kern w:val="0"/>
          <w:sz w:val="22"/>
          <w:szCs w:val="22"/>
        </w:rPr>
        <w:t xml:space="preserve"> provides a summary of the measure and delta wattages used in the demand reduction calculation methodology, as described in the CPUC ED </w:t>
      </w:r>
      <w:proofErr w:type="spellStart"/>
      <w:r w:rsidR="00743E5A" w:rsidRPr="00743E5A">
        <w:rPr>
          <w:rFonts w:asciiTheme="minorHAnsi" w:hAnsiTheme="minorHAnsi" w:cstheme="minorHAnsi"/>
          <w:b w:val="0"/>
          <w:bCs w:val="0"/>
          <w:smallCaps w:val="0"/>
          <w:kern w:val="0"/>
          <w:sz w:val="22"/>
          <w:szCs w:val="22"/>
        </w:rPr>
        <w:t>Workpaper</w:t>
      </w:r>
      <w:proofErr w:type="spellEnd"/>
      <w:r w:rsidR="00743E5A" w:rsidRPr="00743E5A">
        <w:rPr>
          <w:rFonts w:asciiTheme="minorHAnsi" w:hAnsiTheme="minorHAnsi" w:cstheme="minorHAnsi"/>
          <w:b w:val="0"/>
          <w:bCs w:val="0"/>
          <w:smallCaps w:val="0"/>
          <w:kern w:val="0"/>
          <w:sz w:val="22"/>
          <w:szCs w:val="22"/>
        </w:rPr>
        <w:t xml:space="preserve"> Disposition for Lighting Retrofits documentation issued on November 12, 2013 [</w:t>
      </w:r>
      <w:proofErr w:type="gramStart"/>
      <w:r w:rsidR="00743E5A">
        <w:rPr>
          <w:rFonts w:asciiTheme="minorHAnsi" w:hAnsiTheme="minorHAnsi" w:cstheme="minorHAnsi"/>
          <w:b w:val="0"/>
          <w:bCs w:val="0"/>
          <w:smallCaps w:val="0"/>
          <w:kern w:val="0"/>
          <w:sz w:val="22"/>
          <w:szCs w:val="22"/>
        </w:rPr>
        <w:t>A</w:t>
      </w:r>
      <w:r w:rsidR="00743E5A" w:rsidRPr="00743E5A">
        <w:rPr>
          <w:rFonts w:asciiTheme="minorHAnsi" w:hAnsiTheme="minorHAnsi" w:cstheme="minorHAnsi"/>
          <w:b w:val="0"/>
          <w:bCs w:val="0"/>
          <w:smallCaps w:val="0"/>
          <w:kern w:val="0"/>
          <w:sz w:val="22"/>
          <w:szCs w:val="22"/>
        </w:rPr>
        <w:t xml:space="preserve"> ]</w:t>
      </w:r>
      <w:proofErr w:type="gramEnd"/>
      <w:r w:rsidR="00743E5A">
        <w:rPr>
          <w:rFonts w:asciiTheme="minorHAnsi" w:hAnsiTheme="minorHAnsi" w:cstheme="minorHAnsi"/>
          <w:b w:val="0"/>
          <w:bCs w:val="0"/>
          <w:smallCaps w:val="0"/>
          <w:kern w:val="0"/>
          <w:sz w:val="22"/>
          <w:szCs w:val="22"/>
        </w:rPr>
        <w:t xml:space="preserve">. </w:t>
      </w:r>
      <w:r w:rsidRPr="009743FA">
        <w:rPr>
          <w:rFonts w:asciiTheme="minorHAnsi" w:hAnsiTheme="minorHAnsi" w:cstheme="minorHAnsi"/>
          <w:b w:val="0"/>
          <w:bCs w:val="0"/>
          <w:smallCaps w:val="0"/>
          <w:kern w:val="0"/>
          <w:sz w:val="22"/>
          <w:szCs w:val="22"/>
        </w:rPr>
        <w:t xml:space="preserve">Refer to </w:t>
      </w:r>
      <w:proofErr w:type="spellStart"/>
      <w:r w:rsidRPr="009743FA">
        <w:rPr>
          <w:rFonts w:asciiTheme="minorHAnsi" w:hAnsiTheme="minorHAnsi" w:cstheme="minorHAnsi"/>
          <w:b w:val="0"/>
          <w:bCs w:val="0"/>
          <w:smallCaps w:val="0"/>
          <w:kern w:val="0"/>
          <w:sz w:val="22"/>
          <w:szCs w:val="22"/>
        </w:rPr>
        <w:t>workpaper</w:t>
      </w:r>
      <w:proofErr w:type="spellEnd"/>
      <w:r w:rsidRPr="009743FA">
        <w:rPr>
          <w:rFonts w:asciiTheme="minorHAnsi" w:hAnsiTheme="minorHAnsi" w:cstheme="minorHAnsi"/>
          <w:b w:val="0"/>
          <w:bCs w:val="0"/>
          <w:smallCaps w:val="0"/>
          <w:kern w:val="0"/>
          <w:sz w:val="22"/>
          <w:szCs w:val="22"/>
        </w:rPr>
        <w:t xml:space="preserve"> WPSDGENRLG0999</w:t>
      </w:r>
      <w:r w:rsidR="00193CFF">
        <w:rPr>
          <w:rFonts w:asciiTheme="minorHAnsi" w:hAnsiTheme="minorHAnsi" w:cstheme="minorHAnsi"/>
          <w:b w:val="0"/>
          <w:bCs w:val="0"/>
          <w:smallCaps w:val="0"/>
          <w:kern w:val="0"/>
          <w:sz w:val="22"/>
          <w:szCs w:val="22"/>
        </w:rPr>
        <w:t xml:space="preserve"> </w:t>
      </w:r>
      <w:r w:rsidR="003A3A88">
        <w:rPr>
          <w:rFonts w:asciiTheme="minorHAnsi" w:hAnsiTheme="minorHAnsi" w:cstheme="minorHAnsi"/>
          <w:b w:val="0"/>
          <w:bCs w:val="0"/>
          <w:smallCaps w:val="0"/>
          <w:kern w:val="0"/>
          <w:sz w:val="22"/>
          <w:szCs w:val="22"/>
        </w:rPr>
        <w:t>[B]</w:t>
      </w:r>
      <w:r w:rsidRPr="009743FA">
        <w:rPr>
          <w:rFonts w:asciiTheme="minorHAnsi" w:hAnsiTheme="minorHAnsi" w:cstheme="minorHAnsi"/>
          <w:b w:val="0"/>
          <w:bCs w:val="0"/>
          <w:smallCaps w:val="0"/>
          <w:kern w:val="0"/>
          <w:sz w:val="22"/>
          <w:szCs w:val="22"/>
        </w:rPr>
        <w:t xml:space="preserve"> for the detailed lighting calculations. </w:t>
      </w:r>
    </w:p>
    <w:p w:rsidR="003F43F7" w:rsidRPr="006A56A2" w:rsidRDefault="009743FA" w:rsidP="003F43F7">
      <w:pPr>
        <w:rPr>
          <w:rFonts w:asciiTheme="minorHAnsi" w:hAnsiTheme="minorHAnsi" w:cstheme="minorHAnsi"/>
          <w:sz w:val="22"/>
          <w:szCs w:val="22"/>
        </w:rPr>
      </w:pPr>
      <w:proofErr w:type="spellStart"/>
      <w:r w:rsidRPr="005A0798">
        <w:rPr>
          <w:rFonts w:asciiTheme="minorHAnsi" w:hAnsiTheme="minorHAnsi" w:cstheme="minorHAnsi"/>
          <w:i/>
          <w:sz w:val="22"/>
          <w:szCs w:val="22"/>
        </w:rPr>
        <w:t>ΔWatts</w:t>
      </w:r>
      <w:proofErr w:type="spellEnd"/>
      <w:r w:rsidRPr="005A0798">
        <w:rPr>
          <w:rFonts w:asciiTheme="minorHAnsi" w:hAnsiTheme="minorHAnsi" w:cstheme="minorHAnsi"/>
          <w:i/>
          <w:sz w:val="22"/>
          <w:szCs w:val="22"/>
        </w:rPr>
        <w:t xml:space="preserve"> = Base Case Wattage – Measure Case Wattage</w:t>
      </w:r>
    </w:p>
    <w:p w:rsidR="003F43F7" w:rsidRPr="006A56A2" w:rsidRDefault="003F43F7" w:rsidP="003F43F7">
      <w:pPr>
        <w:rPr>
          <w:rFonts w:asciiTheme="minorHAnsi" w:hAnsiTheme="minorHAnsi" w:cstheme="minorHAnsi"/>
          <w:sz w:val="22"/>
          <w:szCs w:val="22"/>
          <w:vertAlign w:val="superscript"/>
        </w:rPr>
      </w:pPr>
    </w:p>
    <w:p w:rsidR="003F43F7" w:rsidRPr="006A56A2" w:rsidRDefault="003F43F7" w:rsidP="003F43F7">
      <w:pPr>
        <w:rPr>
          <w:rFonts w:asciiTheme="minorHAnsi" w:hAnsiTheme="minorHAnsi" w:cstheme="minorHAnsi"/>
          <w:sz w:val="22"/>
          <w:szCs w:val="22"/>
        </w:rPr>
      </w:pPr>
      <w:r w:rsidRPr="006A56A2">
        <w:rPr>
          <w:rFonts w:asciiTheme="minorHAnsi" w:hAnsiTheme="minorHAnsi" w:cstheme="minorHAnsi"/>
          <w:sz w:val="22"/>
          <w:szCs w:val="22"/>
        </w:rPr>
        <w:t>Equation 1</w:t>
      </w:r>
      <w:r w:rsidRPr="006A56A2">
        <w:rPr>
          <w:rFonts w:asciiTheme="minorHAnsi" w:hAnsiTheme="minorHAnsi" w:cstheme="minorHAnsi"/>
          <w:b/>
          <w:sz w:val="22"/>
          <w:szCs w:val="22"/>
        </w:rPr>
        <w:t xml:space="preserve"> </w:t>
      </w:r>
      <w:r w:rsidRPr="006A56A2">
        <w:rPr>
          <w:rFonts w:asciiTheme="minorHAnsi" w:hAnsiTheme="minorHAnsi" w:cstheme="minorHAnsi"/>
          <w:sz w:val="22"/>
          <w:szCs w:val="22"/>
        </w:rPr>
        <w:t>illustrates the energy savings estimation methodologies used to calculate Non-CFL interior lighting measures.</w:t>
      </w:r>
    </w:p>
    <w:p w:rsidR="003F43F7" w:rsidRPr="006A56A2" w:rsidRDefault="003F43F7" w:rsidP="003F43F7">
      <w:pPr>
        <w:pStyle w:val="Normal2"/>
        <w:jc w:val="right"/>
        <w:rPr>
          <w:rFonts w:asciiTheme="minorHAnsi" w:hAnsiTheme="minorHAnsi" w:cstheme="minorHAnsi"/>
          <w:sz w:val="22"/>
          <w:szCs w:val="22"/>
        </w:rPr>
      </w:pPr>
    </w:p>
    <w:p w:rsidR="003F43F7" w:rsidRPr="0099488B" w:rsidRDefault="00532290" w:rsidP="0060057F">
      <w:pPr>
        <w:pStyle w:val="Caption"/>
        <w:rPr>
          <w:rFonts w:asciiTheme="minorHAnsi" w:hAnsiTheme="minorHAnsi" w:cstheme="minorHAnsi"/>
          <w:sz w:val="22"/>
          <w:szCs w:val="22"/>
        </w:rPr>
      </w:pPr>
      <w:r w:rsidRPr="00532290">
        <w:rPr>
          <w:rFonts w:asciiTheme="minorHAnsi" w:hAnsiTheme="minorHAnsi" w:cstheme="minorHAnsi"/>
          <w:position w:val="-32"/>
          <w:sz w:val="22"/>
          <w:szCs w:val="22"/>
        </w:rPr>
        <w:object w:dxaOrig="76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9.6pt;height:38.6pt" o:ole="">
            <v:imagedata r:id="rId13" o:title=""/>
          </v:shape>
          <o:OLEObject Type="Embed" ProgID="Equation.3" ShapeID="_x0000_i1025" DrawAspect="Content" ObjectID="_1452720475" r:id="rId14"/>
        </w:object>
      </w:r>
      <w:r w:rsidR="003F43F7" w:rsidRPr="006A56A2">
        <w:rPr>
          <w:rFonts w:asciiTheme="minorHAnsi" w:hAnsiTheme="minorHAnsi" w:cstheme="minorHAnsi"/>
          <w:sz w:val="22"/>
          <w:szCs w:val="22"/>
        </w:rPr>
        <w:t xml:space="preserve">  </w:t>
      </w:r>
      <w:bookmarkStart w:id="12" w:name="_Ref178767441"/>
      <w:r w:rsidR="003F43F7" w:rsidRPr="006A56A2">
        <w:rPr>
          <w:rFonts w:asciiTheme="minorHAnsi" w:hAnsiTheme="minorHAnsi" w:cstheme="minorHAnsi"/>
          <w:sz w:val="22"/>
          <w:szCs w:val="22"/>
        </w:rPr>
        <w:t xml:space="preserve">    </w:t>
      </w:r>
      <w:r w:rsidR="003F43F7">
        <w:rPr>
          <w:rFonts w:asciiTheme="minorHAnsi" w:hAnsiTheme="minorHAnsi" w:cstheme="minorHAnsi"/>
          <w:sz w:val="22"/>
          <w:szCs w:val="22"/>
        </w:rPr>
        <w:t xml:space="preserve"> </w:t>
      </w:r>
      <w:r w:rsidR="003F43F7" w:rsidRPr="006A56A2">
        <w:rPr>
          <w:rFonts w:asciiTheme="minorHAnsi" w:hAnsiTheme="minorHAnsi" w:cstheme="minorHAnsi"/>
          <w:sz w:val="22"/>
          <w:szCs w:val="22"/>
        </w:rPr>
        <w:t xml:space="preserve">   </w:t>
      </w:r>
      <w:r w:rsidR="003F43F7">
        <w:rPr>
          <w:rFonts w:asciiTheme="minorHAnsi" w:hAnsiTheme="minorHAnsi" w:cstheme="minorHAnsi"/>
          <w:sz w:val="22"/>
          <w:szCs w:val="22"/>
        </w:rPr>
        <w:t xml:space="preserve">     </w:t>
      </w:r>
      <w:r w:rsidR="0060057F" w:rsidRPr="0099488B">
        <w:rPr>
          <w:rFonts w:asciiTheme="minorHAnsi" w:hAnsiTheme="minorHAnsi" w:cstheme="minorHAnsi"/>
          <w:sz w:val="22"/>
          <w:szCs w:val="22"/>
        </w:rPr>
        <w:t xml:space="preserve">Equation </w:t>
      </w:r>
      <w:r w:rsidR="0060057F" w:rsidRPr="0099488B">
        <w:rPr>
          <w:rFonts w:asciiTheme="minorHAnsi" w:hAnsiTheme="minorHAnsi" w:cstheme="minorHAnsi"/>
          <w:sz w:val="22"/>
          <w:szCs w:val="22"/>
        </w:rPr>
        <w:fldChar w:fldCharType="begin"/>
      </w:r>
      <w:r w:rsidR="0060057F" w:rsidRPr="0099488B">
        <w:rPr>
          <w:rFonts w:asciiTheme="minorHAnsi" w:hAnsiTheme="minorHAnsi" w:cstheme="minorHAnsi"/>
          <w:sz w:val="22"/>
          <w:szCs w:val="22"/>
        </w:rPr>
        <w:instrText xml:space="preserve"> SEQ Equation \* ARABIC </w:instrText>
      </w:r>
      <w:r w:rsidR="0060057F" w:rsidRPr="0099488B">
        <w:rPr>
          <w:rFonts w:asciiTheme="minorHAnsi" w:hAnsiTheme="minorHAnsi" w:cstheme="minorHAnsi"/>
          <w:sz w:val="22"/>
          <w:szCs w:val="22"/>
        </w:rPr>
        <w:fldChar w:fldCharType="separate"/>
      </w:r>
      <w:r w:rsidR="005F254C">
        <w:rPr>
          <w:rFonts w:asciiTheme="minorHAnsi" w:hAnsiTheme="minorHAnsi" w:cstheme="minorHAnsi"/>
          <w:noProof/>
          <w:sz w:val="22"/>
          <w:szCs w:val="22"/>
        </w:rPr>
        <w:t>1</w:t>
      </w:r>
      <w:r w:rsidR="0060057F" w:rsidRPr="0099488B">
        <w:rPr>
          <w:rFonts w:asciiTheme="minorHAnsi" w:hAnsiTheme="minorHAnsi" w:cstheme="minorHAnsi"/>
          <w:sz w:val="22"/>
          <w:szCs w:val="22"/>
        </w:rPr>
        <w:fldChar w:fldCharType="end"/>
      </w:r>
    </w:p>
    <w:bookmarkEnd w:id="12"/>
    <w:p w:rsidR="003F43F7" w:rsidRPr="006A56A2" w:rsidRDefault="003F43F7" w:rsidP="003F43F7">
      <w:pPr>
        <w:pStyle w:val="Normal2"/>
        <w:jc w:val="center"/>
        <w:rPr>
          <w:rFonts w:asciiTheme="minorHAnsi" w:hAnsiTheme="minorHAnsi" w:cstheme="minorHAnsi"/>
          <w:b/>
          <w:sz w:val="22"/>
          <w:szCs w:val="22"/>
        </w:rPr>
      </w:pPr>
      <w:r w:rsidRPr="006A56A2">
        <w:rPr>
          <w:rFonts w:asciiTheme="minorHAnsi" w:hAnsiTheme="minorHAnsi" w:cstheme="minorHAnsi"/>
          <w:sz w:val="22"/>
          <w:szCs w:val="22"/>
        </w:rPr>
        <w:t xml:space="preserve">  </w:t>
      </w:r>
    </w:p>
    <w:p w:rsidR="003F43F7" w:rsidRPr="006A56A2" w:rsidRDefault="003F43F7" w:rsidP="003F43F7">
      <w:pPr>
        <w:rPr>
          <w:rFonts w:asciiTheme="minorHAnsi" w:hAnsiTheme="minorHAnsi" w:cstheme="minorHAnsi"/>
          <w:sz w:val="22"/>
          <w:szCs w:val="22"/>
        </w:rPr>
      </w:pPr>
      <w:r w:rsidRPr="006A56A2">
        <w:rPr>
          <w:rFonts w:asciiTheme="minorHAnsi" w:hAnsiTheme="minorHAnsi" w:cstheme="minorHAnsi"/>
          <w:sz w:val="22"/>
          <w:szCs w:val="22"/>
        </w:rPr>
        <w:t xml:space="preserve">Equation </w:t>
      </w:r>
      <w:r w:rsidR="009743FA">
        <w:rPr>
          <w:rFonts w:asciiTheme="minorHAnsi" w:hAnsiTheme="minorHAnsi" w:cstheme="minorHAnsi"/>
          <w:sz w:val="22"/>
          <w:szCs w:val="22"/>
        </w:rPr>
        <w:t>2</w:t>
      </w:r>
      <w:r w:rsidR="009743FA" w:rsidRPr="006A56A2">
        <w:rPr>
          <w:rFonts w:asciiTheme="minorHAnsi" w:hAnsiTheme="minorHAnsi" w:cstheme="minorHAnsi"/>
          <w:sz w:val="22"/>
          <w:szCs w:val="22"/>
        </w:rPr>
        <w:t xml:space="preserve"> </w:t>
      </w:r>
      <w:r w:rsidRPr="006A56A2">
        <w:rPr>
          <w:rFonts w:asciiTheme="minorHAnsi" w:hAnsiTheme="minorHAnsi" w:cstheme="minorHAnsi"/>
          <w:sz w:val="22"/>
          <w:szCs w:val="22"/>
        </w:rPr>
        <w:t xml:space="preserve">illustrates the peak demand reduction estimation method used.  </w:t>
      </w:r>
      <w:r w:rsidR="009743FA" w:rsidRPr="009743FA">
        <w:rPr>
          <w:rFonts w:asciiTheme="minorHAnsi" w:hAnsiTheme="minorHAnsi" w:cstheme="minorHAnsi"/>
          <w:sz w:val="22"/>
          <w:szCs w:val="22"/>
        </w:rPr>
        <w:t xml:space="preserve">Refer to </w:t>
      </w:r>
      <w:proofErr w:type="spellStart"/>
      <w:r w:rsidR="009743FA" w:rsidRPr="009743FA">
        <w:rPr>
          <w:rFonts w:asciiTheme="minorHAnsi" w:hAnsiTheme="minorHAnsi" w:cstheme="minorHAnsi"/>
          <w:sz w:val="22"/>
          <w:szCs w:val="22"/>
        </w:rPr>
        <w:t>workpaper</w:t>
      </w:r>
      <w:proofErr w:type="spellEnd"/>
      <w:r w:rsidR="009743FA" w:rsidRPr="009743FA">
        <w:rPr>
          <w:rFonts w:asciiTheme="minorHAnsi" w:hAnsiTheme="minorHAnsi" w:cstheme="minorHAnsi"/>
          <w:sz w:val="22"/>
          <w:szCs w:val="22"/>
        </w:rPr>
        <w:t xml:space="preserve"> WPSDGENRLG0999</w:t>
      </w:r>
      <w:r w:rsidR="003A3A88">
        <w:rPr>
          <w:rFonts w:asciiTheme="minorHAnsi" w:hAnsiTheme="minorHAnsi" w:cstheme="minorHAnsi"/>
          <w:sz w:val="22"/>
          <w:szCs w:val="22"/>
        </w:rPr>
        <w:t xml:space="preserve"> [B]</w:t>
      </w:r>
      <w:r w:rsidR="009743FA" w:rsidRPr="009743FA">
        <w:rPr>
          <w:rFonts w:asciiTheme="minorHAnsi" w:hAnsiTheme="minorHAnsi" w:cstheme="minorHAnsi"/>
          <w:sz w:val="22"/>
          <w:szCs w:val="22"/>
        </w:rPr>
        <w:t xml:space="preserve"> for the detailed lighting calculations.  </w:t>
      </w:r>
    </w:p>
    <w:p w:rsidR="003F43F7" w:rsidRPr="006A56A2" w:rsidRDefault="003F43F7" w:rsidP="003F43F7">
      <w:pPr>
        <w:pStyle w:val="Normal2"/>
        <w:rPr>
          <w:rFonts w:asciiTheme="minorHAnsi" w:hAnsiTheme="minorHAnsi" w:cstheme="minorHAnsi"/>
          <w:sz w:val="22"/>
          <w:szCs w:val="22"/>
        </w:rPr>
      </w:pPr>
    </w:p>
    <w:p w:rsidR="003F43F7" w:rsidRPr="0099488B" w:rsidRDefault="00B476AC" w:rsidP="0060057F">
      <w:pPr>
        <w:pStyle w:val="Caption"/>
        <w:rPr>
          <w:rFonts w:asciiTheme="minorHAnsi" w:hAnsiTheme="minorHAnsi" w:cstheme="minorHAnsi"/>
          <w:sz w:val="22"/>
          <w:szCs w:val="22"/>
        </w:rPr>
      </w:pPr>
      <w:r w:rsidRPr="006A56A2">
        <w:rPr>
          <w:rFonts w:asciiTheme="minorHAnsi" w:hAnsiTheme="minorHAnsi" w:cstheme="minorHAnsi"/>
          <w:position w:val="-28"/>
          <w:sz w:val="22"/>
          <w:szCs w:val="22"/>
        </w:rPr>
        <w:object w:dxaOrig="7460" w:dyaOrig="680">
          <v:shape id="_x0000_i1026" type="#_x0000_t75" style="width:375pt;height:33.4pt" o:ole="">
            <v:imagedata r:id="rId15" o:title=""/>
          </v:shape>
          <o:OLEObject Type="Embed" ProgID="Equation.3" ShapeID="_x0000_i1026" DrawAspect="Content" ObjectID="_1452720476" r:id="rId16"/>
        </w:object>
      </w:r>
      <w:r>
        <w:rPr>
          <w:rFonts w:asciiTheme="minorHAnsi" w:hAnsiTheme="minorHAnsi" w:cstheme="minorHAnsi"/>
          <w:sz w:val="22"/>
          <w:szCs w:val="22"/>
        </w:rPr>
        <w:tab/>
      </w:r>
      <w:r w:rsidR="00532290">
        <w:rPr>
          <w:rFonts w:asciiTheme="minorHAnsi" w:hAnsiTheme="minorHAnsi" w:cstheme="minorHAnsi"/>
          <w:sz w:val="22"/>
          <w:szCs w:val="22"/>
        </w:rPr>
        <w:t xml:space="preserve">         </w:t>
      </w:r>
      <w:r w:rsidR="0060057F" w:rsidRPr="0099488B">
        <w:rPr>
          <w:rFonts w:asciiTheme="minorHAnsi" w:hAnsiTheme="minorHAnsi" w:cstheme="minorHAnsi"/>
          <w:sz w:val="22"/>
          <w:szCs w:val="22"/>
        </w:rPr>
        <w:t xml:space="preserve">Equation </w:t>
      </w:r>
      <w:r w:rsidR="009743FA">
        <w:rPr>
          <w:rFonts w:asciiTheme="minorHAnsi" w:hAnsiTheme="minorHAnsi" w:cstheme="minorHAnsi"/>
          <w:sz w:val="22"/>
          <w:szCs w:val="22"/>
        </w:rPr>
        <w:t>2</w:t>
      </w:r>
    </w:p>
    <w:p w:rsidR="003F43F7" w:rsidRPr="006A56A2" w:rsidRDefault="003F43F7" w:rsidP="003F43F7">
      <w:pPr>
        <w:rPr>
          <w:rFonts w:asciiTheme="minorHAnsi" w:hAnsiTheme="minorHAnsi" w:cstheme="minorHAnsi"/>
          <w:sz w:val="22"/>
          <w:szCs w:val="22"/>
        </w:rPr>
      </w:pPr>
    </w:p>
    <w:p w:rsidR="00CD3D02" w:rsidRPr="00F4752B" w:rsidRDefault="00CD3D02" w:rsidP="00CD3D02">
      <w:pPr>
        <w:pStyle w:val="Caption"/>
        <w:jc w:val="center"/>
        <w:rPr>
          <w:rFonts w:asciiTheme="minorHAnsi" w:hAnsiTheme="minorHAnsi" w:cstheme="minorHAnsi"/>
          <w:b w:val="0"/>
          <w:sz w:val="22"/>
          <w:szCs w:val="22"/>
        </w:rPr>
      </w:pPr>
      <w:r w:rsidRPr="002300FD">
        <w:rPr>
          <w:rFonts w:asciiTheme="minorHAnsi" w:hAnsiTheme="minorHAnsi" w:cstheme="minorHAnsi"/>
          <w:sz w:val="22"/>
          <w:szCs w:val="22"/>
        </w:rPr>
        <w:t xml:space="preserve">Table </w:t>
      </w:r>
      <w:r w:rsidRPr="002300FD">
        <w:rPr>
          <w:rFonts w:asciiTheme="minorHAnsi" w:hAnsiTheme="minorHAnsi" w:cstheme="minorHAnsi"/>
          <w:sz w:val="22"/>
          <w:szCs w:val="22"/>
        </w:rPr>
        <w:fldChar w:fldCharType="begin"/>
      </w:r>
      <w:r w:rsidRPr="002300FD">
        <w:rPr>
          <w:rFonts w:asciiTheme="minorHAnsi" w:hAnsiTheme="minorHAnsi" w:cstheme="minorHAnsi"/>
          <w:sz w:val="22"/>
          <w:szCs w:val="22"/>
        </w:rPr>
        <w:instrText xml:space="preserve"> SEQ Table \* ARABIC </w:instrText>
      </w:r>
      <w:r w:rsidRPr="002300FD">
        <w:rPr>
          <w:rFonts w:asciiTheme="minorHAnsi" w:hAnsiTheme="minorHAnsi" w:cstheme="minorHAnsi"/>
          <w:sz w:val="22"/>
          <w:szCs w:val="22"/>
        </w:rPr>
        <w:fldChar w:fldCharType="separate"/>
      </w:r>
      <w:r w:rsidR="00743E5A">
        <w:rPr>
          <w:rFonts w:asciiTheme="minorHAnsi" w:hAnsiTheme="minorHAnsi" w:cstheme="minorHAnsi"/>
          <w:noProof/>
          <w:sz w:val="22"/>
          <w:szCs w:val="22"/>
        </w:rPr>
        <w:t>8</w:t>
      </w:r>
      <w:r w:rsidRPr="002300FD">
        <w:rPr>
          <w:rFonts w:asciiTheme="minorHAnsi" w:hAnsiTheme="minorHAnsi" w:cstheme="minorHAnsi"/>
          <w:sz w:val="22"/>
          <w:szCs w:val="22"/>
        </w:rPr>
        <w:fldChar w:fldCharType="end"/>
      </w:r>
      <w:r>
        <w:t xml:space="preserve"> </w:t>
      </w:r>
      <w:r>
        <w:rPr>
          <w:rFonts w:asciiTheme="minorHAnsi" w:hAnsiTheme="minorHAnsi" w:cstheme="minorHAnsi"/>
          <w:sz w:val="22"/>
          <w:szCs w:val="22"/>
        </w:rPr>
        <w:t>Measure Wattage Summary</w:t>
      </w:r>
    </w:p>
    <w:tbl>
      <w:tblPr>
        <w:tblStyle w:val="TableContemporary"/>
        <w:tblW w:w="0" w:type="auto"/>
        <w:tblLook w:val="04A0" w:firstRow="1" w:lastRow="0" w:firstColumn="1" w:lastColumn="0" w:noHBand="0" w:noVBand="1"/>
      </w:tblPr>
      <w:tblGrid>
        <w:gridCol w:w="833"/>
        <w:gridCol w:w="1517"/>
        <w:gridCol w:w="1262"/>
        <w:gridCol w:w="1086"/>
        <w:gridCol w:w="1260"/>
        <w:gridCol w:w="720"/>
        <w:gridCol w:w="630"/>
        <w:gridCol w:w="630"/>
        <w:gridCol w:w="810"/>
        <w:gridCol w:w="828"/>
      </w:tblGrid>
      <w:tr w:rsidR="00AD378B" w:rsidTr="00AD378B">
        <w:trPr>
          <w:cnfStyle w:val="100000000000" w:firstRow="1" w:lastRow="0" w:firstColumn="0" w:lastColumn="0" w:oddVBand="0" w:evenVBand="0" w:oddHBand="0" w:evenHBand="0" w:firstRowFirstColumn="0" w:firstRowLastColumn="0" w:lastRowFirstColumn="0" w:lastRowLastColumn="0"/>
          <w:trHeight w:val="576"/>
        </w:trPr>
        <w:tc>
          <w:tcPr>
            <w:tcW w:w="833" w:type="dxa"/>
            <w:vAlign w:val="center"/>
          </w:tcPr>
          <w:p w:rsidR="00791684" w:rsidRPr="00253907" w:rsidRDefault="00791684" w:rsidP="006B0B4C">
            <w:pPr>
              <w:jc w:val="center"/>
              <w:rPr>
                <w:sz w:val="16"/>
              </w:rPr>
            </w:pPr>
            <w:r w:rsidRPr="00253907">
              <w:rPr>
                <w:sz w:val="16"/>
              </w:rPr>
              <w:t xml:space="preserve">Product Code </w:t>
            </w:r>
          </w:p>
        </w:tc>
        <w:tc>
          <w:tcPr>
            <w:tcW w:w="1517" w:type="dxa"/>
            <w:vAlign w:val="center"/>
          </w:tcPr>
          <w:p w:rsidR="00791684" w:rsidRPr="00253907" w:rsidRDefault="00AD378B" w:rsidP="006B0B4C">
            <w:pPr>
              <w:jc w:val="center"/>
              <w:rPr>
                <w:sz w:val="16"/>
              </w:rPr>
            </w:pPr>
            <w:r>
              <w:rPr>
                <w:sz w:val="16"/>
              </w:rPr>
              <w:t>Description</w:t>
            </w:r>
          </w:p>
        </w:tc>
        <w:tc>
          <w:tcPr>
            <w:tcW w:w="1262" w:type="dxa"/>
            <w:vAlign w:val="center"/>
          </w:tcPr>
          <w:p w:rsidR="00791684" w:rsidRPr="00253907" w:rsidRDefault="00AD378B" w:rsidP="006B0B4C">
            <w:pPr>
              <w:jc w:val="center"/>
              <w:rPr>
                <w:sz w:val="16"/>
              </w:rPr>
            </w:pPr>
            <w:r>
              <w:rPr>
                <w:sz w:val="16"/>
              </w:rPr>
              <w:t>Baseline Technology</w:t>
            </w:r>
          </w:p>
        </w:tc>
        <w:tc>
          <w:tcPr>
            <w:tcW w:w="1086" w:type="dxa"/>
            <w:vAlign w:val="center"/>
          </w:tcPr>
          <w:p w:rsidR="00791684" w:rsidRPr="00253907" w:rsidRDefault="00AD378B" w:rsidP="006B0B4C">
            <w:pPr>
              <w:jc w:val="center"/>
              <w:rPr>
                <w:sz w:val="16"/>
              </w:rPr>
            </w:pPr>
            <w:r>
              <w:rPr>
                <w:sz w:val="16"/>
              </w:rPr>
              <w:t>Code Technology</w:t>
            </w:r>
          </w:p>
        </w:tc>
        <w:tc>
          <w:tcPr>
            <w:tcW w:w="1260" w:type="dxa"/>
            <w:vAlign w:val="center"/>
          </w:tcPr>
          <w:p w:rsidR="00791684" w:rsidRPr="00253907" w:rsidRDefault="00AD378B" w:rsidP="006B0B4C">
            <w:pPr>
              <w:jc w:val="center"/>
              <w:rPr>
                <w:sz w:val="16"/>
              </w:rPr>
            </w:pPr>
            <w:r>
              <w:rPr>
                <w:sz w:val="16"/>
              </w:rPr>
              <w:t>Measure Technology</w:t>
            </w:r>
          </w:p>
        </w:tc>
        <w:tc>
          <w:tcPr>
            <w:tcW w:w="720" w:type="dxa"/>
            <w:vAlign w:val="center"/>
          </w:tcPr>
          <w:p w:rsidR="00791684" w:rsidRPr="00253907" w:rsidRDefault="00791684" w:rsidP="006B0B4C">
            <w:pPr>
              <w:jc w:val="center"/>
              <w:rPr>
                <w:sz w:val="16"/>
              </w:rPr>
            </w:pPr>
            <w:proofErr w:type="spellStart"/>
            <w:r w:rsidRPr="00253907">
              <w:rPr>
                <w:sz w:val="16"/>
              </w:rPr>
              <w:t>CstAve</w:t>
            </w:r>
            <w:proofErr w:type="spellEnd"/>
          </w:p>
          <w:p w:rsidR="00791684" w:rsidRPr="00253907" w:rsidRDefault="00AD378B" w:rsidP="006B0B4C">
            <w:pPr>
              <w:jc w:val="center"/>
              <w:rPr>
                <w:sz w:val="16"/>
              </w:rPr>
            </w:pPr>
            <w:r>
              <w:rPr>
                <w:sz w:val="16"/>
              </w:rPr>
              <w:t>Watts</w:t>
            </w:r>
          </w:p>
        </w:tc>
        <w:tc>
          <w:tcPr>
            <w:tcW w:w="630" w:type="dxa"/>
            <w:vAlign w:val="center"/>
          </w:tcPr>
          <w:p w:rsidR="00791684" w:rsidRPr="00253907" w:rsidRDefault="00AD378B" w:rsidP="006B0B4C">
            <w:pPr>
              <w:jc w:val="center"/>
              <w:rPr>
                <w:sz w:val="16"/>
              </w:rPr>
            </w:pPr>
            <w:r>
              <w:rPr>
                <w:sz w:val="16"/>
              </w:rPr>
              <w:t>Code Watt</w:t>
            </w:r>
          </w:p>
        </w:tc>
        <w:tc>
          <w:tcPr>
            <w:tcW w:w="630" w:type="dxa"/>
            <w:vAlign w:val="center"/>
          </w:tcPr>
          <w:p w:rsidR="00791684" w:rsidRPr="00253907" w:rsidRDefault="00AD378B" w:rsidP="006B0B4C">
            <w:pPr>
              <w:jc w:val="center"/>
              <w:rPr>
                <w:sz w:val="16"/>
              </w:rPr>
            </w:pPr>
            <w:proofErr w:type="spellStart"/>
            <w:r>
              <w:rPr>
                <w:sz w:val="16"/>
              </w:rPr>
              <w:t>Meas</w:t>
            </w:r>
            <w:proofErr w:type="spellEnd"/>
            <w:r>
              <w:rPr>
                <w:sz w:val="16"/>
              </w:rPr>
              <w:t xml:space="preserve"> Watts</w:t>
            </w:r>
          </w:p>
        </w:tc>
        <w:tc>
          <w:tcPr>
            <w:tcW w:w="810" w:type="dxa"/>
            <w:vAlign w:val="center"/>
          </w:tcPr>
          <w:p w:rsidR="00791684" w:rsidRPr="00253907" w:rsidRDefault="00791684" w:rsidP="006B0B4C">
            <w:pPr>
              <w:jc w:val="center"/>
              <w:rPr>
                <w:sz w:val="16"/>
              </w:rPr>
            </w:pPr>
            <w:proofErr w:type="spellStart"/>
            <w:r w:rsidRPr="00253907">
              <w:rPr>
                <w:sz w:val="16"/>
              </w:rPr>
              <w:t>CstAve</w:t>
            </w:r>
            <w:proofErr w:type="spellEnd"/>
          </w:p>
          <w:p w:rsidR="00791684" w:rsidRPr="00253907" w:rsidRDefault="00AD378B" w:rsidP="006B0B4C">
            <w:pPr>
              <w:jc w:val="center"/>
              <w:rPr>
                <w:sz w:val="16"/>
              </w:rPr>
            </w:pPr>
            <w:r>
              <w:rPr>
                <w:sz w:val="16"/>
              </w:rPr>
              <w:t>Δ Watts</w:t>
            </w:r>
          </w:p>
        </w:tc>
        <w:tc>
          <w:tcPr>
            <w:tcW w:w="828" w:type="dxa"/>
            <w:vAlign w:val="center"/>
          </w:tcPr>
          <w:p w:rsidR="00791684" w:rsidRPr="00253907" w:rsidRDefault="00791684" w:rsidP="006B0B4C">
            <w:pPr>
              <w:jc w:val="center"/>
              <w:rPr>
                <w:sz w:val="16"/>
              </w:rPr>
            </w:pPr>
            <w:r w:rsidRPr="00253907">
              <w:rPr>
                <w:sz w:val="16"/>
              </w:rPr>
              <w:t>Code</w:t>
            </w:r>
          </w:p>
          <w:p w:rsidR="00791684" w:rsidRPr="00253907" w:rsidRDefault="00AD378B" w:rsidP="006B0B4C">
            <w:pPr>
              <w:jc w:val="center"/>
              <w:rPr>
                <w:sz w:val="16"/>
              </w:rPr>
            </w:pPr>
            <w:r>
              <w:rPr>
                <w:sz w:val="16"/>
              </w:rPr>
              <w:t>Δ Watts</w:t>
            </w:r>
          </w:p>
        </w:tc>
      </w:tr>
      <w:tr w:rsidR="00AD378B" w:rsidTr="00B32F0E">
        <w:trPr>
          <w:cnfStyle w:val="000000100000" w:firstRow="0" w:lastRow="0" w:firstColumn="0" w:lastColumn="0" w:oddVBand="0" w:evenVBand="0" w:oddHBand="1" w:evenHBand="0" w:firstRowFirstColumn="0" w:firstRowLastColumn="0" w:lastRowFirstColumn="0" w:lastRowLastColumn="0"/>
        </w:trPr>
        <w:tc>
          <w:tcPr>
            <w:tcW w:w="833" w:type="dxa"/>
            <w:vAlign w:val="center"/>
          </w:tcPr>
          <w:p w:rsidR="00AD378B" w:rsidRPr="00AD378B" w:rsidRDefault="00AD378B" w:rsidP="00B32F0E">
            <w:pPr>
              <w:jc w:val="center"/>
              <w:rPr>
                <w:rFonts w:asciiTheme="minorHAnsi" w:hAnsiTheme="minorHAnsi" w:cstheme="minorHAnsi"/>
                <w:sz w:val="20"/>
                <w:szCs w:val="20"/>
              </w:rPr>
            </w:pPr>
            <w:r w:rsidRPr="00AD378B">
              <w:rPr>
                <w:rFonts w:asciiTheme="minorHAnsi" w:hAnsiTheme="minorHAnsi" w:cstheme="minorHAnsi"/>
                <w:sz w:val="20"/>
                <w:szCs w:val="20"/>
              </w:rPr>
              <w:t>L-H11</w:t>
            </w:r>
          </w:p>
        </w:tc>
        <w:tc>
          <w:tcPr>
            <w:tcW w:w="1517" w:type="dxa"/>
            <w:vAlign w:val="center"/>
          </w:tcPr>
          <w:p w:rsidR="00AD378B" w:rsidRPr="00AD378B" w:rsidRDefault="00AD378B" w:rsidP="00B32F0E">
            <w:pPr>
              <w:jc w:val="center"/>
              <w:rPr>
                <w:rFonts w:asciiTheme="minorHAnsi" w:hAnsiTheme="minorHAnsi" w:cstheme="minorHAnsi"/>
                <w:sz w:val="20"/>
                <w:szCs w:val="20"/>
              </w:rPr>
            </w:pPr>
            <w:r w:rsidRPr="00AD378B">
              <w:rPr>
                <w:rFonts w:asciiTheme="minorHAnsi" w:hAnsiTheme="minorHAnsi" w:cstheme="minorHAnsi"/>
                <w:sz w:val="20"/>
                <w:szCs w:val="20"/>
              </w:rPr>
              <w:t>&gt;400 Watt lamp base case, up to 600 Watt replacement fixture</w:t>
            </w:r>
          </w:p>
        </w:tc>
        <w:tc>
          <w:tcPr>
            <w:tcW w:w="1262" w:type="dxa"/>
            <w:vAlign w:val="center"/>
          </w:tcPr>
          <w:p w:rsidR="00AD378B" w:rsidRPr="00AD378B" w:rsidRDefault="00AD378B" w:rsidP="00B32F0E">
            <w:pPr>
              <w:jc w:val="center"/>
              <w:rPr>
                <w:rFonts w:asciiTheme="minorHAnsi" w:hAnsiTheme="minorHAnsi" w:cstheme="minorHAnsi"/>
                <w:sz w:val="20"/>
                <w:szCs w:val="20"/>
              </w:rPr>
            </w:pPr>
            <w:r w:rsidRPr="00AD378B">
              <w:rPr>
                <w:rFonts w:asciiTheme="minorHAnsi" w:hAnsiTheme="minorHAnsi" w:cstheme="minorHAnsi"/>
                <w:sz w:val="20"/>
                <w:szCs w:val="20"/>
              </w:rPr>
              <w:t>HIDfixt-MH-458w</w:t>
            </w:r>
          </w:p>
        </w:tc>
        <w:tc>
          <w:tcPr>
            <w:tcW w:w="1086" w:type="dxa"/>
            <w:vAlign w:val="center"/>
          </w:tcPr>
          <w:p w:rsidR="00AD378B" w:rsidRPr="00AD378B" w:rsidRDefault="00AD378B" w:rsidP="00B32F0E">
            <w:pPr>
              <w:jc w:val="center"/>
              <w:rPr>
                <w:rFonts w:asciiTheme="minorHAnsi" w:hAnsiTheme="minorHAnsi" w:cstheme="minorHAnsi"/>
                <w:sz w:val="20"/>
                <w:szCs w:val="20"/>
              </w:rPr>
            </w:pPr>
            <w:r w:rsidRPr="00AD378B">
              <w:rPr>
                <w:rFonts w:asciiTheme="minorHAnsi" w:hAnsiTheme="minorHAnsi" w:cstheme="minorHAnsi"/>
                <w:sz w:val="20"/>
                <w:szCs w:val="20"/>
              </w:rPr>
              <w:t>HIDfixt-MH-458w</w:t>
            </w:r>
          </w:p>
        </w:tc>
        <w:tc>
          <w:tcPr>
            <w:tcW w:w="1260" w:type="dxa"/>
            <w:vAlign w:val="center"/>
          </w:tcPr>
          <w:p w:rsidR="00AD378B" w:rsidRPr="00AD378B" w:rsidRDefault="00AD378B" w:rsidP="00B32F0E">
            <w:pPr>
              <w:jc w:val="center"/>
              <w:rPr>
                <w:rFonts w:asciiTheme="minorHAnsi" w:hAnsiTheme="minorHAnsi" w:cstheme="minorHAnsi"/>
                <w:sz w:val="20"/>
                <w:szCs w:val="20"/>
              </w:rPr>
            </w:pPr>
            <w:r w:rsidRPr="00AD378B">
              <w:rPr>
                <w:rFonts w:asciiTheme="minorHAnsi" w:hAnsiTheme="minorHAnsi" w:cstheme="minorHAnsi"/>
                <w:sz w:val="20"/>
                <w:szCs w:val="20"/>
              </w:rPr>
              <w:t>LFFixt-T5-46in-54w-El-PS-HLO(585w)</w:t>
            </w:r>
          </w:p>
        </w:tc>
        <w:tc>
          <w:tcPr>
            <w:tcW w:w="720" w:type="dxa"/>
            <w:vAlign w:val="center"/>
          </w:tcPr>
          <w:p w:rsidR="00AD378B" w:rsidRPr="00AD378B" w:rsidRDefault="00AD378B" w:rsidP="00B32F0E">
            <w:pPr>
              <w:jc w:val="center"/>
              <w:rPr>
                <w:rFonts w:asciiTheme="minorHAnsi" w:hAnsiTheme="minorHAnsi" w:cstheme="minorHAnsi"/>
                <w:sz w:val="20"/>
                <w:szCs w:val="20"/>
              </w:rPr>
            </w:pPr>
            <w:r w:rsidRPr="00AD378B">
              <w:rPr>
                <w:rFonts w:asciiTheme="minorHAnsi" w:hAnsiTheme="minorHAnsi" w:cstheme="minorHAnsi"/>
                <w:sz w:val="20"/>
                <w:szCs w:val="20"/>
              </w:rPr>
              <w:t>458</w:t>
            </w:r>
          </w:p>
        </w:tc>
        <w:tc>
          <w:tcPr>
            <w:tcW w:w="630" w:type="dxa"/>
            <w:vAlign w:val="center"/>
          </w:tcPr>
          <w:p w:rsidR="00AD378B" w:rsidRPr="00AD378B" w:rsidRDefault="00AD378B" w:rsidP="00B32F0E">
            <w:pPr>
              <w:jc w:val="center"/>
              <w:rPr>
                <w:rFonts w:asciiTheme="minorHAnsi" w:hAnsiTheme="minorHAnsi" w:cstheme="minorHAnsi"/>
                <w:sz w:val="20"/>
                <w:szCs w:val="20"/>
              </w:rPr>
            </w:pPr>
            <w:r w:rsidRPr="00AD378B">
              <w:rPr>
                <w:rFonts w:asciiTheme="minorHAnsi" w:hAnsiTheme="minorHAnsi" w:cstheme="minorHAnsi"/>
                <w:sz w:val="20"/>
                <w:szCs w:val="20"/>
              </w:rPr>
              <w:t>458</w:t>
            </w:r>
          </w:p>
        </w:tc>
        <w:tc>
          <w:tcPr>
            <w:tcW w:w="630" w:type="dxa"/>
            <w:vAlign w:val="center"/>
          </w:tcPr>
          <w:p w:rsidR="00AD378B" w:rsidRPr="00AD378B" w:rsidRDefault="00AD378B" w:rsidP="00B32F0E">
            <w:pPr>
              <w:jc w:val="center"/>
              <w:rPr>
                <w:rFonts w:asciiTheme="minorHAnsi" w:hAnsiTheme="minorHAnsi" w:cstheme="minorHAnsi"/>
                <w:sz w:val="20"/>
                <w:szCs w:val="20"/>
              </w:rPr>
            </w:pPr>
            <w:r w:rsidRPr="00AD378B">
              <w:rPr>
                <w:rFonts w:asciiTheme="minorHAnsi" w:hAnsiTheme="minorHAnsi" w:cstheme="minorHAnsi"/>
                <w:sz w:val="20"/>
                <w:szCs w:val="20"/>
              </w:rPr>
              <w:t>585</w:t>
            </w:r>
          </w:p>
        </w:tc>
        <w:tc>
          <w:tcPr>
            <w:tcW w:w="810" w:type="dxa"/>
            <w:vAlign w:val="center"/>
          </w:tcPr>
          <w:p w:rsidR="00AD378B" w:rsidRPr="00AD378B" w:rsidRDefault="00AD378B" w:rsidP="00B32F0E">
            <w:pPr>
              <w:jc w:val="center"/>
              <w:rPr>
                <w:rFonts w:asciiTheme="minorHAnsi" w:hAnsiTheme="minorHAnsi" w:cstheme="minorHAnsi"/>
                <w:sz w:val="20"/>
                <w:szCs w:val="20"/>
              </w:rPr>
            </w:pPr>
            <w:r w:rsidRPr="00AD378B">
              <w:rPr>
                <w:rFonts w:asciiTheme="minorHAnsi" w:hAnsiTheme="minorHAnsi" w:cstheme="minorHAnsi"/>
                <w:sz w:val="20"/>
                <w:szCs w:val="20"/>
              </w:rPr>
              <w:t>-127</w:t>
            </w:r>
          </w:p>
        </w:tc>
        <w:tc>
          <w:tcPr>
            <w:tcW w:w="828" w:type="dxa"/>
            <w:vAlign w:val="center"/>
          </w:tcPr>
          <w:p w:rsidR="00AD378B" w:rsidRPr="00AD378B" w:rsidRDefault="00AD378B" w:rsidP="00B32F0E">
            <w:pPr>
              <w:jc w:val="center"/>
              <w:rPr>
                <w:rFonts w:asciiTheme="minorHAnsi" w:hAnsiTheme="minorHAnsi" w:cstheme="minorHAnsi"/>
                <w:sz w:val="20"/>
                <w:szCs w:val="20"/>
              </w:rPr>
            </w:pPr>
            <w:r w:rsidRPr="00AD378B">
              <w:rPr>
                <w:rFonts w:asciiTheme="minorHAnsi" w:hAnsiTheme="minorHAnsi" w:cstheme="minorHAnsi"/>
                <w:sz w:val="20"/>
                <w:szCs w:val="20"/>
              </w:rPr>
              <w:t>-127</w:t>
            </w:r>
          </w:p>
        </w:tc>
      </w:tr>
      <w:tr w:rsidR="00CE2809" w:rsidTr="00B32F0E">
        <w:trPr>
          <w:cnfStyle w:val="000000010000" w:firstRow="0" w:lastRow="0" w:firstColumn="0" w:lastColumn="0" w:oddVBand="0" w:evenVBand="0" w:oddHBand="0" w:evenHBand="1" w:firstRowFirstColumn="0" w:firstRowLastColumn="0" w:lastRowFirstColumn="0" w:lastRowLastColumn="0"/>
        </w:trPr>
        <w:tc>
          <w:tcPr>
            <w:tcW w:w="833"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L-H21</w:t>
            </w:r>
          </w:p>
        </w:tc>
        <w:tc>
          <w:tcPr>
            <w:tcW w:w="1517"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 xml:space="preserve">400 Watt lamp </w:t>
            </w:r>
            <w:proofErr w:type="spellStart"/>
            <w:r w:rsidRPr="00AD378B">
              <w:rPr>
                <w:rFonts w:asciiTheme="minorHAnsi" w:hAnsiTheme="minorHAnsi" w:cstheme="minorHAnsi"/>
                <w:sz w:val="20"/>
                <w:szCs w:val="20"/>
              </w:rPr>
              <w:t>basecase</w:t>
            </w:r>
            <w:proofErr w:type="spellEnd"/>
            <w:r w:rsidRPr="00AD378B">
              <w:rPr>
                <w:rFonts w:asciiTheme="minorHAnsi" w:hAnsiTheme="minorHAnsi" w:cstheme="minorHAnsi"/>
                <w:sz w:val="20"/>
                <w:szCs w:val="20"/>
              </w:rPr>
              <w:t>, up to 244 Watt replacement fixture (Tier 1)</w:t>
            </w:r>
          </w:p>
        </w:tc>
        <w:tc>
          <w:tcPr>
            <w:tcW w:w="1262"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HIDfixt-MH-458w</w:t>
            </w:r>
          </w:p>
        </w:tc>
        <w:tc>
          <w:tcPr>
            <w:tcW w:w="1086"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HIDfixt-PSMH-400w</w:t>
            </w:r>
          </w:p>
        </w:tc>
        <w:tc>
          <w:tcPr>
            <w:tcW w:w="1260"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LFFixt-T5-46in-54w-El-PS-HLO(234w)</w:t>
            </w:r>
          </w:p>
        </w:tc>
        <w:tc>
          <w:tcPr>
            <w:tcW w:w="720"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458</w:t>
            </w:r>
          </w:p>
        </w:tc>
        <w:tc>
          <w:tcPr>
            <w:tcW w:w="630"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400</w:t>
            </w:r>
          </w:p>
        </w:tc>
        <w:tc>
          <w:tcPr>
            <w:tcW w:w="630"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234</w:t>
            </w:r>
          </w:p>
        </w:tc>
        <w:tc>
          <w:tcPr>
            <w:tcW w:w="810"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224</w:t>
            </w:r>
          </w:p>
        </w:tc>
        <w:tc>
          <w:tcPr>
            <w:tcW w:w="828"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166</w:t>
            </w:r>
          </w:p>
        </w:tc>
      </w:tr>
      <w:tr w:rsidR="00CE2809" w:rsidTr="00B32F0E">
        <w:trPr>
          <w:cnfStyle w:val="000000100000" w:firstRow="0" w:lastRow="0" w:firstColumn="0" w:lastColumn="0" w:oddVBand="0" w:evenVBand="0" w:oddHBand="1" w:evenHBand="0" w:firstRowFirstColumn="0" w:firstRowLastColumn="0" w:lastRowFirstColumn="0" w:lastRowLastColumn="0"/>
        </w:trPr>
        <w:tc>
          <w:tcPr>
            <w:tcW w:w="833"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L-H31</w:t>
            </w:r>
          </w:p>
        </w:tc>
        <w:tc>
          <w:tcPr>
            <w:tcW w:w="1517"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 xml:space="preserve">400 Watt lamp </w:t>
            </w:r>
            <w:proofErr w:type="spellStart"/>
            <w:r w:rsidRPr="00AD378B">
              <w:rPr>
                <w:rFonts w:asciiTheme="minorHAnsi" w:hAnsiTheme="minorHAnsi" w:cstheme="minorHAnsi"/>
                <w:sz w:val="20"/>
                <w:szCs w:val="20"/>
              </w:rPr>
              <w:t>basecase</w:t>
            </w:r>
            <w:proofErr w:type="spellEnd"/>
            <w:r w:rsidRPr="00AD378B">
              <w:rPr>
                <w:rFonts w:asciiTheme="minorHAnsi" w:hAnsiTheme="minorHAnsi" w:cstheme="minorHAnsi"/>
                <w:sz w:val="20"/>
                <w:szCs w:val="20"/>
              </w:rPr>
              <w:t>, 245 to 360 Watt replacement fixture (Tier 2)</w:t>
            </w:r>
          </w:p>
        </w:tc>
        <w:tc>
          <w:tcPr>
            <w:tcW w:w="1262"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HIDfixt-MH-458w</w:t>
            </w:r>
          </w:p>
        </w:tc>
        <w:tc>
          <w:tcPr>
            <w:tcW w:w="1086"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HIDfixt-MH-458w</w:t>
            </w:r>
          </w:p>
        </w:tc>
        <w:tc>
          <w:tcPr>
            <w:tcW w:w="1260"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LFFixt-T5-46in-54w-El-PS-HLO(351w)</w:t>
            </w:r>
          </w:p>
        </w:tc>
        <w:tc>
          <w:tcPr>
            <w:tcW w:w="720"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458</w:t>
            </w:r>
          </w:p>
        </w:tc>
        <w:tc>
          <w:tcPr>
            <w:tcW w:w="630"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458</w:t>
            </w:r>
          </w:p>
        </w:tc>
        <w:tc>
          <w:tcPr>
            <w:tcW w:w="630"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351</w:t>
            </w:r>
          </w:p>
        </w:tc>
        <w:tc>
          <w:tcPr>
            <w:tcW w:w="810"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107</w:t>
            </w:r>
          </w:p>
        </w:tc>
        <w:tc>
          <w:tcPr>
            <w:tcW w:w="828"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107</w:t>
            </w:r>
          </w:p>
        </w:tc>
      </w:tr>
      <w:tr w:rsidR="00CE2809" w:rsidTr="00B32F0E">
        <w:trPr>
          <w:cnfStyle w:val="000000010000" w:firstRow="0" w:lastRow="0" w:firstColumn="0" w:lastColumn="0" w:oddVBand="0" w:evenVBand="0" w:oddHBand="0" w:evenHBand="1" w:firstRowFirstColumn="0" w:firstRowLastColumn="0" w:lastRowFirstColumn="0" w:lastRowLastColumn="0"/>
        </w:trPr>
        <w:tc>
          <w:tcPr>
            <w:tcW w:w="833"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L-H41</w:t>
            </w:r>
          </w:p>
        </w:tc>
        <w:tc>
          <w:tcPr>
            <w:tcW w:w="1517"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 xml:space="preserve">176-399 Watt lamp </w:t>
            </w:r>
            <w:proofErr w:type="spellStart"/>
            <w:r w:rsidRPr="00AD378B">
              <w:rPr>
                <w:rFonts w:asciiTheme="minorHAnsi" w:hAnsiTheme="minorHAnsi" w:cstheme="minorHAnsi"/>
                <w:sz w:val="20"/>
                <w:szCs w:val="20"/>
              </w:rPr>
              <w:t>basecase</w:t>
            </w:r>
            <w:proofErr w:type="spellEnd"/>
            <w:r w:rsidRPr="00AD378B">
              <w:rPr>
                <w:rFonts w:asciiTheme="minorHAnsi" w:hAnsiTheme="minorHAnsi" w:cstheme="minorHAnsi"/>
                <w:sz w:val="20"/>
                <w:szCs w:val="20"/>
              </w:rPr>
              <w:t>, up to 192 Watt replacement fixture</w:t>
            </w:r>
          </w:p>
        </w:tc>
        <w:tc>
          <w:tcPr>
            <w:tcW w:w="1262"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HIDfixt-MH-295w</w:t>
            </w:r>
          </w:p>
        </w:tc>
        <w:tc>
          <w:tcPr>
            <w:tcW w:w="1086"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HIDfixt-PSMH-288w</w:t>
            </w:r>
          </w:p>
        </w:tc>
        <w:tc>
          <w:tcPr>
            <w:tcW w:w="1260"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LFFixt-T5-46in-54w-El-PS-HLO(179w)</w:t>
            </w:r>
          </w:p>
        </w:tc>
        <w:tc>
          <w:tcPr>
            <w:tcW w:w="720"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295</w:t>
            </w:r>
          </w:p>
        </w:tc>
        <w:tc>
          <w:tcPr>
            <w:tcW w:w="630"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288</w:t>
            </w:r>
          </w:p>
        </w:tc>
        <w:tc>
          <w:tcPr>
            <w:tcW w:w="630"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179</w:t>
            </w:r>
          </w:p>
        </w:tc>
        <w:tc>
          <w:tcPr>
            <w:tcW w:w="810"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116</w:t>
            </w:r>
          </w:p>
        </w:tc>
        <w:tc>
          <w:tcPr>
            <w:tcW w:w="828"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109</w:t>
            </w:r>
          </w:p>
        </w:tc>
      </w:tr>
      <w:tr w:rsidR="00B32F0E" w:rsidTr="00B32F0E">
        <w:trPr>
          <w:cnfStyle w:val="000000100000" w:firstRow="0" w:lastRow="0" w:firstColumn="0" w:lastColumn="0" w:oddVBand="0" w:evenVBand="0" w:oddHBand="1" w:evenHBand="0" w:firstRowFirstColumn="0" w:firstRowLastColumn="0" w:lastRowFirstColumn="0" w:lastRowLastColumn="0"/>
        </w:trPr>
        <w:tc>
          <w:tcPr>
            <w:tcW w:w="833" w:type="dxa"/>
            <w:vAlign w:val="center"/>
          </w:tcPr>
          <w:p w:rsidR="00B32F0E" w:rsidRPr="00AD378B" w:rsidRDefault="00B32F0E" w:rsidP="00B32F0E">
            <w:pPr>
              <w:jc w:val="center"/>
              <w:rPr>
                <w:rFonts w:asciiTheme="minorHAnsi" w:hAnsiTheme="minorHAnsi" w:cstheme="minorHAnsi"/>
                <w:sz w:val="20"/>
                <w:szCs w:val="20"/>
              </w:rPr>
            </w:pPr>
          </w:p>
        </w:tc>
        <w:tc>
          <w:tcPr>
            <w:tcW w:w="1517" w:type="dxa"/>
            <w:vAlign w:val="center"/>
          </w:tcPr>
          <w:p w:rsidR="00B32F0E" w:rsidRPr="00AD378B" w:rsidRDefault="00B32F0E" w:rsidP="00B32F0E">
            <w:pPr>
              <w:jc w:val="center"/>
              <w:rPr>
                <w:rFonts w:asciiTheme="minorHAnsi" w:hAnsiTheme="minorHAnsi" w:cstheme="minorHAnsi"/>
                <w:sz w:val="20"/>
                <w:szCs w:val="20"/>
              </w:rPr>
            </w:pPr>
          </w:p>
        </w:tc>
        <w:tc>
          <w:tcPr>
            <w:tcW w:w="1262" w:type="dxa"/>
            <w:vAlign w:val="center"/>
          </w:tcPr>
          <w:p w:rsidR="00B32F0E" w:rsidRPr="00AD378B" w:rsidRDefault="00B32F0E" w:rsidP="00B32F0E">
            <w:pPr>
              <w:jc w:val="center"/>
              <w:rPr>
                <w:rFonts w:asciiTheme="minorHAnsi" w:hAnsiTheme="minorHAnsi" w:cstheme="minorHAnsi"/>
                <w:sz w:val="20"/>
                <w:szCs w:val="20"/>
              </w:rPr>
            </w:pPr>
          </w:p>
        </w:tc>
        <w:tc>
          <w:tcPr>
            <w:tcW w:w="1086" w:type="dxa"/>
            <w:vAlign w:val="center"/>
          </w:tcPr>
          <w:p w:rsidR="00B32F0E" w:rsidRPr="00AD378B" w:rsidRDefault="00B32F0E" w:rsidP="00B32F0E">
            <w:pPr>
              <w:jc w:val="center"/>
              <w:rPr>
                <w:rFonts w:asciiTheme="minorHAnsi" w:hAnsiTheme="minorHAnsi" w:cstheme="minorHAnsi"/>
                <w:sz w:val="20"/>
                <w:szCs w:val="20"/>
              </w:rPr>
            </w:pPr>
          </w:p>
        </w:tc>
        <w:tc>
          <w:tcPr>
            <w:tcW w:w="1260" w:type="dxa"/>
            <w:vAlign w:val="center"/>
          </w:tcPr>
          <w:p w:rsidR="00B32F0E" w:rsidRPr="00AD378B" w:rsidRDefault="00B32F0E" w:rsidP="00B32F0E">
            <w:pPr>
              <w:jc w:val="center"/>
              <w:rPr>
                <w:rFonts w:asciiTheme="minorHAnsi" w:hAnsiTheme="minorHAnsi" w:cstheme="minorHAnsi"/>
                <w:sz w:val="20"/>
                <w:szCs w:val="20"/>
              </w:rPr>
            </w:pPr>
          </w:p>
        </w:tc>
        <w:tc>
          <w:tcPr>
            <w:tcW w:w="720" w:type="dxa"/>
            <w:vAlign w:val="center"/>
          </w:tcPr>
          <w:p w:rsidR="00B32F0E" w:rsidRPr="00AD378B" w:rsidRDefault="00B32F0E" w:rsidP="00B32F0E">
            <w:pPr>
              <w:jc w:val="center"/>
              <w:rPr>
                <w:rFonts w:asciiTheme="minorHAnsi" w:hAnsiTheme="minorHAnsi" w:cstheme="minorHAnsi"/>
                <w:sz w:val="20"/>
                <w:szCs w:val="20"/>
              </w:rPr>
            </w:pPr>
          </w:p>
        </w:tc>
        <w:tc>
          <w:tcPr>
            <w:tcW w:w="630" w:type="dxa"/>
            <w:vAlign w:val="center"/>
          </w:tcPr>
          <w:p w:rsidR="00B32F0E" w:rsidRPr="00AD378B" w:rsidRDefault="00B32F0E" w:rsidP="00B32F0E">
            <w:pPr>
              <w:jc w:val="center"/>
              <w:rPr>
                <w:rFonts w:asciiTheme="minorHAnsi" w:hAnsiTheme="minorHAnsi" w:cstheme="minorHAnsi"/>
                <w:sz w:val="20"/>
                <w:szCs w:val="20"/>
              </w:rPr>
            </w:pPr>
          </w:p>
        </w:tc>
        <w:tc>
          <w:tcPr>
            <w:tcW w:w="630" w:type="dxa"/>
            <w:vAlign w:val="center"/>
          </w:tcPr>
          <w:p w:rsidR="00B32F0E" w:rsidRPr="00AD378B" w:rsidRDefault="00B32F0E" w:rsidP="00B32F0E">
            <w:pPr>
              <w:jc w:val="center"/>
              <w:rPr>
                <w:rFonts w:asciiTheme="minorHAnsi" w:hAnsiTheme="minorHAnsi" w:cstheme="minorHAnsi"/>
                <w:sz w:val="20"/>
                <w:szCs w:val="20"/>
              </w:rPr>
            </w:pPr>
          </w:p>
        </w:tc>
        <w:tc>
          <w:tcPr>
            <w:tcW w:w="810" w:type="dxa"/>
            <w:vAlign w:val="center"/>
          </w:tcPr>
          <w:p w:rsidR="00B32F0E" w:rsidRPr="00AD378B" w:rsidRDefault="00B32F0E" w:rsidP="00B32F0E">
            <w:pPr>
              <w:jc w:val="center"/>
              <w:rPr>
                <w:rFonts w:asciiTheme="minorHAnsi" w:hAnsiTheme="minorHAnsi" w:cstheme="minorHAnsi"/>
                <w:sz w:val="20"/>
                <w:szCs w:val="20"/>
              </w:rPr>
            </w:pPr>
          </w:p>
        </w:tc>
        <w:tc>
          <w:tcPr>
            <w:tcW w:w="828" w:type="dxa"/>
            <w:vAlign w:val="center"/>
          </w:tcPr>
          <w:p w:rsidR="00B32F0E" w:rsidRPr="00AD378B" w:rsidRDefault="00B32F0E" w:rsidP="00B32F0E">
            <w:pPr>
              <w:jc w:val="center"/>
              <w:rPr>
                <w:rFonts w:asciiTheme="minorHAnsi" w:hAnsiTheme="minorHAnsi" w:cstheme="minorHAnsi"/>
                <w:sz w:val="20"/>
                <w:szCs w:val="20"/>
              </w:rPr>
            </w:pPr>
          </w:p>
        </w:tc>
      </w:tr>
      <w:tr w:rsidR="00CE2809" w:rsidTr="00B32F0E">
        <w:trPr>
          <w:cnfStyle w:val="000000010000" w:firstRow="0" w:lastRow="0" w:firstColumn="0" w:lastColumn="0" w:oddVBand="0" w:evenVBand="0" w:oddHBand="0" w:evenHBand="1" w:firstRowFirstColumn="0" w:firstRowLastColumn="0" w:lastRowFirstColumn="0" w:lastRowLastColumn="0"/>
        </w:trPr>
        <w:tc>
          <w:tcPr>
            <w:tcW w:w="833"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L-H51</w:t>
            </w:r>
          </w:p>
        </w:tc>
        <w:tc>
          <w:tcPr>
            <w:tcW w:w="1517"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 xml:space="preserve">101-175 Watt lamp </w:t>
            </w:r>
            <w:proofErr w:type="spellStart"/>
            <w:r w:rsidRPr="00AD378B">
              <w:rPr>
                <w:rFonts w:asciiTheme="minorHAnsi" w:hAnsiTheme="minorHAnsi" w:cstheme="minorHAnsi"/>
                <w:sz w:val="20"/>
                <w:szCs w:val="20"/>
              </w:rPr>
              <w:t>basecase</w:t>
            </w:r>
            <w:proofErr w:type="spellEnd"/>
            <w:r w:rsidRPr="00AD378B">
              <w:rPr>
                <w:rFonts w:asciiTheme="minorHAnsi" w:hAnsiTheme="minorHAnsi" w:cstheme="minorHAnsi"/>
                <w:sz w:val="20"/>
                <w:szCs w:val="20"/>
              </w:rPr>
              <w:t>, up to 128 Watt replacement fixture</w:t>
            </w:r>
          </w:p>
        </w:tc>
        <w:tc>
          <w:tcPr>
            <w:tcW w:w="1262"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HIDfixt-MH-190w</w:t>
            </w:r>
          </w:p>
        </w:tc>
        <w:tc>
          <w:tcPr>
            <w:tcW w:w="1086"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HIDfixt-MH-190w</w:t>
            </w:r>
          </w:p>
        </w:tc>
        <w:tc>
          <w:tcPr>
            <w:tcW w:w="1260"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LFFixt-T5-46in-54w-El-PS-HLO(117w)</w:t>
            </w:r>
          </w:p>
        </w:tc>
        <w:tc>
          <w:tcPr>
            <w:tcW w:w="720"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190</w:t>
            </w:r>
          </w:p>
        </w:tc>
        <w:tc>
          <w:tcPr>
            <w:tcW w:w="630"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190</w:t>
            </w:r>
          </w:p>
        </w:tc>
        <w:tc>
          <w:tcPr>
            <w:tcW w:w="630"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117</w:t>
            </w:r>
          </w:p>
        </w:tc>
        <w:tc>
          <w:tcPr>
            <w:tcW w:w="810"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73</w:t>
            </w:r>
          </w:p>
        </w:tc>
        <w:tc>
          <w:tcPr>
            <w:tcW w:w="828" w:type="dxa"/>
            <w:vAlign w:val="center"/>
          </w:tcPr>
          <w:p w:rsidR="00CE2809" w:rsidRPr="00AD378B" w:rsidRDefault="00CE2809" w:rsidP="006A5945">
            <w:pPr>
              <w:jc w:val="center"/>
              <w:rPr>
                <w:rFonts w:asciiTheme="minorHAnsi" w:hAnsiTheme="minorHAnsi" w:cstheme="minorHAnsi"/>
                <w:sz w:val="20"/>
                <w:szCs w:val="20"/>
              </w:rPr>
            </w:pPr>
            <w:r w:rsidRPr="00AD378B">
              <w:rPr>
                <w:rFonts w:asciiTheme="minorHAnsi" w:hAnsiTheme="minorHAnsi" w:cstheme="minorHAnsi"/>
                <w:sz w:val="20"/>
                <w:szCs w:val="20"/>
              </w:rPr>
              <w:t>73</w:t>
            </w:r>
          </w:p>
        </w:tc>
      </w:tr>
      <w:tr w:rsidR="00CE2809" w:rsidTr="00B32F0E">
        <w:trPr>
          <w:cnfStyle w:val="000000100000" w:firstRow="0" w:lastRow="0" w:firstColumn="0" w:lastColumn="0" w:oddVBand="0" w:evenVBand="0" w:oddHBand="1" w:evenHBand="0" w:firstRowFirstColumn="0" w:firstRowLastColumn="0" w:lastRowFirstColumn="0" w:lastRowLastColumn="0"/>
        </w:trPr>
        <w:tc>
          <w:tcPr>
            <w:tcW w:w="833" w:type="dxa"/>
            <w:vAlign w:val="center"/>
          </w:tcPr>
          <w:p w:rsidR="00AD378B" w:rsidRPr="00AD378B" w:rsidRDefault="00AD378B" w:rsidP="00B32F0E">
            <w:pPr>
              <w:jc w:val="center"/>
              <w:rPr>
                <w:rFonts w:asciiTheme="minorHAnsi" w:hAnsiTheme="minorHAnsi" w:cstheme="minorHAnsi"/>
                <w:sz w:val="20"/>
                <w:szCs w:val="20"/>
              </w:rPr>
            </w:pPr>
            <w:r w:rsidRPr="00AD378B">
              <w:rPr>
                <w:rFonts w:asciiTheme="minorHAnsi" w:hAnsiTheme="minorHAnsi" w:cstheme="minorHAnsi"/>
                <w:sz w:val="20"/>
                <w:szCs w:val="20"/>
              </w:rPr>
              <w:t>L-H61</w:t>
            </w:r>
          </w:p>
        </w:tc>
        <w:tc>
          <w:tcPr>
            <w:tcW w:w="1517" w:type="dxa"/>
            <w:vAlign w:val="center"/>
          </w:tcPr>
          <w:p w:rsidR="00AD378B" w:rsidRPr="00AD378B" w:rsidRDefault="00AD378B" w:rsidP="00B32F0E">
            <w:pPr>
              <w:jc w:val="center"/>
              <w:rPr>
                <w:rFonts w:asciiTheme="minorHAnsi" w:hAnsiTheme="minorHAnsi" w:cstheme="minorHAnsi"/>
                <w:sz w:val="20"/>
                <w:szCs w:val="20"/>
              </w:rPr>
            </w:pPr>
            <w:r w:rsidRPr="00AD378B">
              <w:rPr>
                <w:rFonts w:asciiTheme="minorHAnsi" w:hAnsiTheme="minorHAnsi" w:cstheme="minorHAnsi"/>
                <w:sz w:val="20"/>
                <w:szCs w:val="20"/>
              </w:rPr>
              <w:t xml:space="preserve">≤100 Watt lamp </w:t>
            </w:r>
            <w:proofErr w:type="spellStart"/>
            <w:r w:rsidRPr="00AD378B">
              <w:rPr>
                <w:rFonts w:asciiTheme="minorHAnsi" w:hAnsiTheme="minorHAnsi" w:cstheme="minorHAnsi"/>
                <w:sz w:val="20"/>
                <w:szCs w:val="20"/>
              </w:rPr>
              <w:t>basecase</w:t>
            </w:r>
            <w:proofErr w:type="spellEnd"/>
            <w:r w:rsidRPr="00AD378B">
              <w:rPr>
                <w:rFonts w:asciiTheme="minorHAnsi" w:hAnsiTheme="minorHAnsi" w:cstheme="minorHAnsi"/>
                <w:sz w:val="20"/>
                <w:szCs w:val="20"/>
              </w:rPr>
              <w:t>, up to 64 Watt replacement fixture</w:t>
            </w:r>
          </w:p>
        </w:tc>
        <w:tc>
          <w:tcPr>
            <w:tcW w:w="1262" w:type="dxa"/>
            <w:vAlign w:val="center"/>
          </w:tcPr>
          <w:p w:rsidR="00AD378B" w:rsidRPr="00AD378B" w:rsidRDefault="00AD378B" w:rsidP="00B32F0E">
            <w:pPr>
              <w:jc w:val="center"/>
              <w:rPr>
                <w:rFonts w:asciiTheme="minorHAnsi" w:hAnsiTheme="minorHAnsi" w:cstheme="minorHAnsi"/>
                <w:sz w:val="20"/>
                <w:szCs w:val="20"/>
              </w:rPr>
            </w:pPr>
            <w:r w:rsidRPr="00AD378B">
              <w:rPr>
                <w:rFonts w:asciiTheme="minorHAnsi" w:hAnsiTheme="minorHAnsi" w:cstheme="minorHAnsi"/>
                <w:sz w:val="20"/>
                <w:szCs w:val="20"/>
              </w:rPr>
              <w:t>HIDfixt-MH-95w</w:t>
            </w:r>
          </w:p>
        </w:tc>
        <w:tc>
          <w:tcPr>
            <w:tcW w:w="1086" w:type="dxa"/>
            <w:vAlign w:val="center"/>
          </w:tcPr>
          <w:p w:rsidR="00AD378B" w:rsidRPr="00AD378B" w:rsidRDefault="00AD378B" w:rsidP="00B32F0E">
            <w:pPr>
              <w:jc w:val="center"/>
              <w:rPr>
                <w:rFonts w:asciiTheme="minorHAnsi" w:hAnsiTheme="minorHAnsi" w:cstheme="minorHAnsi"/>
                <w:sz w:val="20"/>
                <w:szCs w:val="20"/>
              </w:rPr>
            </w:pPr>
            <w:r w:rsidRPr="00AD378B">
              <w:rPr>
                <w:rFonts w:asciiTheme="minorHAnsi" w:hAnsiTheme="minorHAnsi" w:cstheme="minorHAnsi"/>
                <w:sz w:val="20"/>
                <w:szCs w:val="20"/>
              </w:rPr>
              <w:t>HIDfixt-MH-95w</w:t>
            </w:r>
          </w:p>
        </w:tc>
        <w:tc>
          <w:tcPr>
            <w:tcW w:w="1260" w:type="dxa"/>
            <w:vAlign w:val="center"/>
          </w:tcPr>
          <w:p w:rsidR="00AD378B" w:rsidRPr="00AD378B" w:rsidRDefault="00AD378B" w:rsidP="00B32F0E">
            <w:pPr>
              <w:jc w:val="center"/>
              <w:rPr>
                <w:rFonts w:asciiTheme="minorHAnsi" w:hAnsiTheme="minorHAnsi" w:cstheme="minorHAnsi"/>
                <w:sz w:val="20"/>
                <w:szCs w:val="20"/>
              </w:rPr>
            </w:pPr>
            <w:r w:rsidRPr="00AD378B">
              <w:rPr>
                <w:rFonts w:asciiTheme="minorHAnsi" w:hAnsiTheme="minorHAnsi" w:cstheme="minorHAnsi"/>
                <w:sz w:val="20"/>
                <w:szCs w:val="20"/>
              </w:rPr>
              <w:t>LFFixt-T5-46in-54w-El-PS-HLO(62w)</w:t>
            </w:r>
          </w:p>
        </w:tc>
        <w:tc>
          <w:tcPr>
            <w:tcW w:w="720" w:type="dxa"/>
            <w:vAlign w:val="center"/>
          </w:tcPr>
          <w:p w:rsidR="00AD378B" w:rsidRPr="00AD378B" w:rsidRDefault="00AD378B" w:rsidP="00B32F0E">
            <w:pPr>
              <w:jc w:val="center"/>
              <w:rPr>
                <w:rFonts w:asciiTheme="minorHAnsi" w:hAnsiTheme="minorHAnsi" w:cstheme="minorHAnsi"/>
                <w:sz w:val="20"/>
                <w:szCs w:val="20"/>
              </w:rPr>
            </w:pPr>
            <w:r w:rsidRPr="00AD378B">
              <w:rPr>
                <w:rFonts w:asciiTheme="minorHAnsi" w:hAnsiTheme="minorHAnsi" w:cstheme="minorHAnsi"/>
                <w:sz w:val="20"/>
                <w:szCs w:val="20"/>
              </w:rPr>
              <w:t>95</w:t>
            </w:r>
          </w:p>
        </w:tc>
        <w:tc>
          <w:tcPr>
            <w:tcW w:w="630" w:type="dxa"/>
            <w:vAlign w:val="center"/>
          </w:tcPr>
          <w:p w:rsidR="00AD378B" w:rsidRPr="00AD378B" w:rsidRDefault="00AD378B" w:rsidP="00B32F0E">
            <w:pPr>
              <w:jc w:val="center"/>
              <w:rPr>
                <w:rFonts w:asciiTheme="minorHAnsi" w:hAnsiTheme="minorHAnsi" w:cstheme="minorHAnsi"/>
                <w:sz w:val="20"/>
                <w:szCs w:val="20"/>
              </w:rPr>
            </w:pPr>
            <w:r w:rsidRPr="00AD378B">
              <w:rPr>
                <w:rFonts w:asciiTheme="minorHAnsi" w:hAnsiTheme="minorHAnsi" w:cstheme="minorHAnsi"/>
                <w:sz w:val="20"/>
                <w:szCs w:val="20"/>
              </w:rPr>
              <w:t>95</w:t>
            </w:r>
          </w:p>
        </w:tc>
        <w:tc>
          <w:tcPr>
            <w:tcW w:w="630" w:type="dxa"/>
            <w:vAlign w:val="center"/>
          </w:tcPr>
          <w:p w:rsidR="00AD378B" w:rsidRPr="00AD378B" w:rsidRDefault="00AD378B" w:rsidP="00B32F0E">
            <w:pPr>
              <w:jc w:val="center"/>
              <w:rPr>
                <w:rFonts w:asciiTheme="minorHAnsi" w:hAnsiTheme="minorHAnsi" w:cstheme="minorHAnsi"/>
                <w:sz w:val="20"/>
                <w:szCs w:val="20"/>
              </w:rPr>
            </w:pPr>
            <w:r w:rsidRPr="00AD378B">
              <w:rPr>
                <w:rFonts w:asciiTheme="minorHAnsi" w:hAnsiTheme="minorHAnsi" w:cstheme="minorHAnsi"/>
                <w:sz w:val="20"/>
                <w:szCs w:val="20"/>
              </w:rPr>
              <w:t>62</w:t>
            </w:r>
          </w:p>
        </w:tc>
        <w:tc>
          <w:tcPr>
            <w:tcW w:w="810" w:type="dxa"/>
            <w:vAlign w:val="center"/>
          </w:tcPr>
          <w:p w:rsidR="00AD378B" w:rsidRPr="00AD378B" w:rsidRDefault="00AD378B" w:rsidP="00B32F0E">
            <w:pPr>
              <w:jc w:val="center"/>
              <w:rPr>
                <w:rFonts w:asciiTheme="minorHAnsi" w:hAnsiTheme="minorHAnsi" w:cstheme="minorHAnsi"/>
                <w:sz w:val="20"/>
                <w:szCs w:val="20"/>
              </w:rPr>
            </w:pPr>
            <w:r w:rsidRPr="00AD378B">
              <w:rPr>
                <w:rFonts w:asciiTheme="minorHAnsi" w:hAnsiTheme="minorHAnsi" w:cstheme="minorHAnsi"/>
                <w:sz w:val="20"/>
                <w:szCs w:val="20"/>
              </w:rPr>
              <w:t>33</w:t>
            </w:r>
          </w:p>
        </w:tc>
        <w:tc>
          <w:tcPr>
            <w:tcW w:w="828" w:type="dxa"/>
            <w:vAlign w:val="center"/>
          </w:tcPr>
          <w:p w:rsidR="00AD378B" w:rsidRPr="00AD378B" w:rsidRDefault="00AD378B" w:rsidP="00B32F0E">
            <w:pPr>
              <w:jc w:val="center"/>
              <w:rPr>
                <w:rFonts w:asciiTheme="minorHAnsi" w:hAnsiTheme="minorHAnsi" w:cstheme="minorHAnsi"/>
                <w:sz w:val="20"/>
                <w:szCs w:val="20"/>
              </w:rPr>
            </w:pPr>
            <w:r w:rsidRPr="00AD378B">
              <w:rPr>
                <w:rFonts w:asciiTheme="minorHAnsi" w:hAnsiTheme="minorHAnsi" w:cstheme="minorHAnsi"/>
                <w:sz w:val="20"/>
                <w:szCs w:val="20"/>
              </w:rPr>
              <w:t>33</w:t>
            </w:r>
          </w:p>
        </w:tc>
      </w:tr>
    </w:tbl>
    <w:p w:rsidR="00B476AC" w:rsidRDefault="00B476AC" w:rsidP="003F43F7">
      <w:pPr>
        <w:rPr>
          <w:rFonts w:asciiTheme="minorHAnsi" w:hAnsiTheme="minorHAnsi" w:cstheme="minorHAnsi"/>
          <w:sz w:val="22"/>
          <w:szCs w:val="22"/>
        </w:rPr>
      </w:pPr>
    </w:p>
    <w:p w:rsidR="00B476AC" w:rsidRDefault="00B476AC" w:rsidP="003F43F7">
      <w:pPr>
        <w:rPr>
          <w:rFonts w:asciiTheme="minorHAnsi" w:hAnsiTheme="minorHAnsi" w:cstheme="minorHAnsi"/>
          <w:sz w:val="22"/>
          <w:szCs w:val="22"/>
        </w:rPr>
      </w:pPr>
    </w:p>
    <w:p w:rsidR="003F43F7" w:rsidRDefault="003F43F7" w:rsidP="003F43F7">
      <w:pPr>
        <w:rPr>
          <w:rFonts w:asciiTheme="minorHAnsi" w:hAnsiTheme="minorHAnsi" w:cstheme="minorHAnsi"/>
          <w:sz w:val="22"/>
          <w:szCs w:val="22"/>
        </w:rPr>
      </w:pPr>
      <w:r w:rsidRPr="006A56A2">
        <w:rPr>
          <w:rFonts w:asciiTheme="minorHAnsi" w:hAnsiTheme="minorHAnsi" w:cstheme="minorHAnsi"/>
          <w:sz w:val="22"/>
          <w:szCs w:val="22"/>
        </w:rPr>
        <w:t xml:space="preserve">Equation </w:t>
      </w:r>
      <w:r w:rsidR="00532290">
        <w:rPr>
          <w:rFonts w:asciiTheme="minorHAnsi" w:hAnsiTheme="minorHAnsi" w:cstheme="minorHAnsi"/>
          <w:sz w:val="22"/>
          <w:szCs w:val="22"/>
        </w:rPr>
        <w:t>3</w:t>
      </w:r>
      <w:r w:rsidR="00532290" w:rsidRPr="006A56A2">
        <w:rPr>
          <w:rFonts w:asciiTheme="minorHAnsi" w:hAnsiTheme="minorHAnsi" w:cstheme="minorHAnsi"/>
          <w:sz w:val="22"/>
          <w:szCs w:val="22"/>
        </w:rPr>
        <w:t xml:space="preserve"> </w:t>
      </w:r>
      <w:r w:rsidRPr="006A56A2">
        <w:rPr>
          <w:rFonts w:asciiTheme="minorHAnsi" w:hAnsiTheme="minorHAnsi" w:cstheme="minorHAnsi"/>
          <w:sz w:val="22"/>
          <w:szCs w:val="22"/>
        </w:rPr>
        <w:t xml:space="preserve">illustrates </w:t>
      </w:r>
      <w:r w:rsidR="00532290" w:rsidRPr="00532290">
        <w:rPr>
          <w:rFonts w:asciiTheme="minorHAnsi" w:hAnsiTheme="minorHAnsi" w:cstheme="minorHAnsi"/>
          <w:sz w:val="22"/>
          <w:szCs w:val="22"/>
        </w:rPr>
        <w:t xml:space="preserve">losses in Gas savings associated with these measures. Refer to </w:t>
      </w:r>
      <w:proofErr w:type="spellStart"/>
      <w:r w:rsidR="00532290" w:rsidRPr="00532290">
        <w:rPr>
          <w:rFonts w:asciiTheme="minorHAnsi" w:hAnsiTheme="minorHAnsi" w:cstheme="minorHAnsi"/>
          <w:sz w:val="22"/>
          <w:szCs w:val="22"/>
        </w:rPr>
        <w:t>workpaper</w:t>
      </w:r>
      <w:proofErr w:type="spellEnd"/>
      <w:r w:rsidR="00532290" w:rsidRPr="00532290">
        <w:rPr>
          <w:rFonts w:asciiTheme="minorHAnsi" w:hAnsiTheme="minorHAnsi" w:cstheme="minorHAnsi"/>
          <w:sz w:val="22"/>
          <w:szCs w:val="22"/>
        </w:rPr>
        <w:t xml:space="preserve"> WPSDGENRLG0999</w:t>
      </w:r>
      <w:r w:rsidR="003A3A88">
        <w:rPr>
          <w:rFonts w:asciiTheme="minorHAnsi" w:hAnsiTheme="minorHAnsi" w:cstheme="minorHAnsi"/>
          <w:sz w:val="22"/>
          <w:szCs w:val="22"/>
        </w:rPr>
        <w:t xml:space="preserve"> [B]</w:t>
      </w:r>
      <w:r w:rsidR="00532290" w:rsidRPr="00532290">
        <w:rPr>
          <w:rFonts w:asciiTheme="minorHAnsi" w:hAnsiTheme="minorHAnsi" w:cstheme="minorHAnsi"/>
          <w:sz w:val="22"/>
          <w:szCs w:val="22"/>
        </w:rPr>
        <w:t xml:space="preserve"> for the detailed lighting calculations.  </w:t>
      </w:r>
    </w:p>
    <w:p w:rsidR="004705BE" w:rsidRPr="006A56A2" w:rsidRDefault="004705BE" w:rsidP="003F43F7">
      <w:pPr>
        <w:rPr>
          <w:rFonts w:asciiTheme="minorHAnsi" w:hAnsiTheme="minorHAnsi" w:cstheme="minorHAnsi"/>
          <w:sz w:val="22"/>
          <w:szCs w:val="22"/>
        </w:rPr>
      </w:pPr>
    </w:p>
    <w:p w:rsidR="003F43F7" w:rsidRPr="006A56A2" w:rsidRDefault="00532290" w:rsidP="004705BE">
      <w:pPr>
        <w:rPr>
          <w:rFonts w:asciiTheme="minorHAnsi" w:hAnsiTheme="minorHAnsi" w:cstheme="minorHAnsi"/>
          <w:b/>
          <w:bCs/>
          <w:i/>
          <w:sz w:val="22"/>
          <w:szCs w:val="22"/>
        </w:rPr>
      </w:pPr>
      <m:oMath>
        <m:r>
          <w:rPr>
            <w:rFonts w:ascii="Cambria Math" w:hAnsi="Cambria Math" w:cstheme="minorHAnsi"/>
            <w:sz w:val="22"/>
            <w:szCs w:val="22"/>
          </w:rPr>
          <m:t xml:space="preserve">Gas Savings  </m:t>
        </m:r>
        <m:r>
          <m:rPr>
            <m:sty m:val="p"/>
          </m:rPr>
          <w:rPr>
            <w:rFonts w:ascii="Cambria Math" w:hAnsi="Cambria Math" w:cstheme="minorHAnsi"/>
            <w:position w:val="-32"/>
            <w:sz w:val="22"/>
            <w:szCs w:val="22"/>
          </w:rPr>
          <w:object w:dxaOrig="1219" w:dyaOrig="760">
            <v:shape id="_x0000_i1027" type="#_x0000_t75" style="width:61.05pt;height:38.6pt" o:ole="">
              <v:imagedata r:id="rId17" o:title=""/>
            </v:shape>
            <o:OLEObject Type="Embed" ProgID="Equation.3" ShapeID="_x0000_i1027" DrawAspect="Content" ObjectID="_1452720477" r:id="rId18"/>
          </w:object>
        </m:r>
        <m:r>
          <w:rPr>
            <w:rFonts w:ascii="Cambria Math" w:hAnsi="Cambria Math" w:cstheme="minorHAnsi"/>
            <w:sz w:val="22"/>
            <w:szCs w:val="22"/>
          </w:rPr>
          <m:t xml:space="preserve">= (∆Watts/unit) x (Interactive Effects)   </m:t>
        </m:r>
      </m:oMath>
      <w:r w:rsidR="004705BE">
        <w:rPr>
          <w:rFonts w:asciiTheme="minorHAnsi" w:hAnsiTheme="minorHAnsi" w:cstheme="minorHAnsi"/>
          <w:sz w:val="22"/>
          <w:szCs w:val="22"/>
        </w:rPr>
        <w:tab/>
      </w:r>
      <w:r w:rsidR="004705BE">
        <w:rPr>
          <w:rFonts w:asciiTheme="minorHAnsi" w:hAnsiTheme="minorHAnsi" w:cstheme="minorHAnsi"/>
          <w:sz w:val="22"/>
          <w:szCs w:val="22"/>
        </w:rPr>
        <w:tab/>
        <w:t xml:space="preserve">         </w:t>
      </w:r>
      <w:r w:rsidR="0099488B" w:rsidRPr="004705BE">
        <w:rPr>
          <w:rFonts w:asciiTheme="minorHAnsi" w:hAnsiTheme="minorHAnsi" w:cstheme="minorHAnsi"/>
          <w:b/>
          <w:sz w:val="22"/>
          <w:szCs w:val="22"/>
        </w:rPr>
        <w:t>Equation</w:t>
      </w:r>
      <w:r w:rsidR="0099488B" w:rsidRPr="004705BE">
        <w:rPr>
          <w:b/>
        </w:rPr>
        <w:t xml:space="preserve"> </w:t>
      </w:r>
      <w:r w:rsidR="009743FA">
        <w:rPr>
          <w:rFonts w:asciiTheme="minorHAnsi" w:hAnsiTheme="minorHAnsi" w:cstheme="minorHAnsi"/>
          <w:b/>
          <w:sz w:val="22"/>
          <w:szCs w:val="22"/>
        </w:rPr>
        <w:t>3</w:t>
      </w:r>
    </w:p>
    <w:p w:rsidR="00E16609" w:rsidRPr="000F130A" w:rsidRDefault="00E16609" w:rsidP="00E16609">
      <w:pPr>
        <w:pStyle w:val="Heading1"/>
        <w:keepNext w:val="0"/>
        <w:rPr>
          <w:rFonts w:asciiTheme="minorHAnsi" w:hAnsiTheme="minorHAnsi" w:cstheme="minorHAnsi"/>
        </w:rPr>
      </w:pPr>
      <w:bookmarkStart w:id="13" w:name="_Toc214003093"/>
      <w:proofErr w:type="gramStart"/>
      <w:r w:rsidRPr="000F130A">
        <w:rPr>
          <w:rFonts w:asciiTheme="minorHAnsi" w:hAnsiTheme="minorHAnsi" w:cstheme="minorHAnsi"/>
        </w:rPr>
        <w:t>Section 3.</w:t>
      </w:r>
      <w:proofErr w:type="gramEnd"/>
      <w:r w:rsidRPr="000F130A">
        <w:rPr>
          <w:rFonts w:asciiTheme="minorHAnsi" w:hAnsiTheme="minorHAnsi" w:cstheme="minorHAnsi"/>
        </w:rPr>
        <w:t xml:space="preserve"> Load Shape</w:t>
      </w:r>
      <w:bookmarkEnd w:id="13"/>
      <w:r w:rsidRPr="000F130A">
        <w:rPr>
          <w:rFonts w:asciiTheme="minorHAnsi" w:hAnsiTheme="minorHAnsi" w:cstheme="minorHAnsi"/>
        </w:rPr>
        <w:t>s</w:t>
      </w:r>
    </w:p>
    <w:p w:rsidR="00431064" w:rsidRDefault="00431064" w:rsidP="00431064">
      <w:pPr>
        <w:rPr>
          <w:rFonts w:asciiTheme="minorHAnsi" w:hAnsiTheme="minorHAnsi" w:cstheme="minorHAnsi"/>
          <w:sz w:val="22"/>
          <w:szCs w:val="22"/>
        </w:rPr>
      </w:pPr>
      <w:r w:rsidRPr="00443D32">
        <w:rPr>
          <w:rFonts w:asciiTheme="minorHAnsi" w:hAnsiTheme="minorHAnsi" w:cstheme="minorHAnsi"/>
          <w:sz w:val="22"/>
          <w:szCs w:val="22"/>
        </w:rPr>
        <w:t xml:space="preserve">The difference between the base case load shape and the measure load shape would be the most appropriate load shape; however, only end-use profiles are available.  Therefore, </w:t>
      </w:r>
      <w:r w:rsidRPr="00443D32">
        <w:rPr>
          <w:rFonts w:asciiTheme="minorHAnsi" w:hAnsiTheme="minorHAnsi" w:cstheme="minorHAnsi"/>
          <w:sz w:val="22"/>
          <w:szCs w:val="22"/>
        </w:rPr>
        <w:fldChar w:fldCharType="begin"/>
      </w:r>
      <w:r w:rsidRPr="00443D32">
        <w:rPr>
          <w:rFonts w:asciiTheme="minorHAnsi" w:hAnsiTheme="minorHAnsi" w:cstheme="minorHAnsi"/>
          <w:sz w:val="22"/>
          <w:szCs w:val="22"/>
        </w:rPr>
        <w:instrText xml:space="preserve"> XE "load shape" </w:instrText>
      </w:r>
      <w:r w:rsidRPr="00443D32">
        <w:rPr>
          <w:rFonts w:asciiTheme="minorHAnsi" w:hAnsiTheme="minorHAnsi" w:cstheme="minorHAnsi"/>
          <w:sz w:val="22"/>
          <w:szCs w:val="22"/>
        </w:rPr>
        <w:fldChar w:fldCharType="end"/>
      </w:r>
      <w:r w:rsidRPr="00443D32">
        <w:rPr>
          <w:rFonts w:asciiTheme="minorHAnsi" w:hAnsiTheme="minorHAnsi" w:cstheme="minorHAnsi"/>
          <w:sz w:val="22"/>
          <w:szCs w:val="22"/>
        </w:rPr>
        <w:t xml:space="preserve">the closest load shape chosen for this measure is the </w:t>
      </w:r>
      <w:proofErr w:type="spellStart"/>
      <w:r w:rsidRPr="00E84B8E">
        <w:rPr>
          <w:rFonts w:asciiTheme="minorHAnsi" w:hAnsiTheme="minorHAnsi" w:cstheme="minorHAnsi"/>
          <w:sz w:val="22"/>
          <w:szCs w:val="22"/>
        </w:rPr>
        <w:t>DEER</w:t>
      </w:r>
      <w:proofErr w:type="gramStart"/>
      <w:r w:rsidRPr="00E84B8E">
        <w:rPr>
          <w:rFonts w:asciiTheme="minorHAnsi" w:hAnsiTheme="minorHAnsi" w:cstheme="minorHAnsi"/>
          <w:sz w:val="22"/>
          <w:szCs w:val="22"/>
        </w:rPr>
        <w:t>:Indoor</w:t>
      </w:r>
      <w:proofErr w:type="gramEnd"/>
      <w:r w:rsidRPr="00E84B8E">
        <w:rPr>
          <w:rFonts w:asciiTheme="minorHAnsi" w:hAnsiTheme="minorHAnsi" w:cstheme="minorHAnsi"/>
          <w:sz w:val="22"/>
          <w:szCs w:val="22"/>
        </w:rPr>
        <w:t>_Non-CFL_Ltg</w:t>
      </w:r>
      <w:proofErr w:type="spellEnd"/>
      <w:r w:rsidRPr="00443D32">
        <w:rPr>
          <w:rFonts w:asciiTheme="minorHAnsi" w:hAnsiTheme="minorHAnsi" w:cstheme="minorHAnsi"/>
          <w:sz w:val="22"/>
          <w:szCs w:val="22"/>
        </w:rPr>
        <w:t xml:space="preserve"> load shape.  See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_Ref322954276 \h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2300FD">
        <w:rPr>
          <w:rFonts w:asciiTheme="minorHAnsi" w:hAnsiTheme="minorHAnsi" w:cstheme="minorHAnsi"/>
          <w:sz w:val="22"/>
          <w:szCs w:val="22"/>
        </w:rPr>
        <w:t xml:space="preserve">Table </w:t>
      </w:r>
      <w:r>
        <w:rPr>
          <w:rFonts w:asciiTheme="minorHAnsi" w:hAnsiTheme="minorHAnsi" w:cstheme="minorHAnsi"/>
          <w:noProof/>
          <w:sz w:val="22"/>
          <w:szCs w:val="22"/>
        </w:rPr>
        <w:t>10</w:t>
      </w:r>
      <w:r>
        <w:rPr>
          <w:rFonts w:asciiTheme="minorHAnsi" w:hAnsiTheme="minorHAnsi" w:cstheme="minorHAnsi"/>
          <w:sz w:val="22"/>
          <w:szCs w:val="22"/>
        </w:rPr>
        <w:fldChar w:fldCharType="end"/>
      </w:r>
      <w:r>
        <w:rPr>
          <w:rFonts w:asciiTheme="minorHAnsi" w:hAnsiTheme="minorHAnsi" w:cstheme="minorHAnsi"/>
          <w:sz w:val="22"/>
          <w:szCs w:val="22"/>
        </w:rPr>
        <w:t xml:space="preserve"> </w:t>
      </w:r>
      <w:r w:rsidRPr="00443D32">
        <w:rPr>
          <w:rFonts w:asciiTheme="minorHAnsi" w:hAnsiTheme="minorHAnsi" w:cstheme="minorHAnsi"/>
          <w:sz w:val="22"/>
          <w:szCs w:val="22"/>
        </w:rPr>
        <w:t>for a list of all Building Types and Load Shapes.  See the KEMA report [31] for a more thorough discussion regarding the load shapes for this measure.</w:t>
      </w:r>
      <w:r>
        <w:rPr>
          <w:rFonts w:asciiTheme="minorHAnsi" w:hAnsiTheme="minorHAnsi" w:cstheme="minorHAnsi"/>
          <w:sz w:val="22"/>
          <w:szCs w:val="22"/>
        </w:rPr>
        <w:t xml:space="preserve"> </w:t>
      </w:r>
    </w:p>
    <w:p w:rsidR="00431064" w:rsidRPr="00443D32" w:rsidRDefault="00431064" w:rsidP="00431064">
      <w:pPr>
        <w:rPr>
          <w:rFonts w:asciiTheme="minorHAnsi" w:hAnsiTheme="minorHAnsi" w:cstheme="minorHAnsi"/>
          <w:sz w:val="22"/>
          <w:szCs w:val="22"/>
        </w:rPr>
      </w:pPr>
    </w:p>
    <w:p w:rsidR="00431064" w:rsidRPr="00F4752B" w:rsidRDefault="00431064" w:rsidP="00431064">
      <w:pPr>
        <w:pStyle w:val="Caption"/>
        <w:jc w:val="center"/>
        <w:rPr>
          <w:rFonts w:asciiTheme="minorHAnsi" w:hAnsiTheme="minorHAnsi" w:cstheme="minorHAnsi"/>
          <w:b w:val="0"/>
          <w:sz w:val="22"/>
          <w:szCs w:val="22"/>
        </w:rPr>
      </w:pPr>
      <w:r w:rsidRPr="002300FD">
        <w:rPr>
          <w:rFonts w:asciiTheme="minorHAnsi" w:hAnsiTheme="minorHAnsi" w:cstheme="minorHAnsi"/>
          <w:sz w:val="22"/>
          <w:szCs w:val="22"/>
        </w:rPr>
        <w:t xml:space="preserve">Table </w:t>
      </w:r>
      <w:r w:rsidRPr="002300FD">
        <w:rPr>
          <w:rFonts w:asciiTheme="minorHAnsi" w:hAnsiTheme="minorHAnsi" w:cstheme="minorHAnsi"/>
          <w:sz w:val="22"/>
          <w:szCs w:val="22"/>
        </w:rPr>
        <w:fldChar w:fldCharType="begin"/>
      </w:r>
      <w:r w:rsidRPr="002300FD">
        <w:rPr>
          <w:rFonts w:asciiTheme="minorHAnsi" w:hAnsiTheme="minorHAnsi" w:cstheme="minorHAnsi"/>
          <w:sz w:val="22"/>
          <w:szCs w:val="22"/>
        </w:rPr>
        <w:instrText xml:space="preserve"> SEQ Table \* ARABIC </w:instrText>
      </w:r>
      <w:r w:rsidRPr="002300FD">
        <w:rPr>
          <w:rFonts w:asciiTheme="minorHAnsi" w:hAnsiTheme="minorHAnsi" w:cstheme="minorHAnsi"/>
          <w:sz w:val="22"/>
          <w:szCs w:val="22"/>
        </w:rPr>
        <w:fldChar w:fldCharType="separate"/>
      </w:r>
      <w:r w:rsidR="00743E5A">
        <w:rPr>
          <w:rFonts w:asciiTheme="minorHAnsi" w:hAnsiTheme="minorHAnsi" w:cstheme="minorHAnsi"/>
          <w:noProof/>
          <w:sz w:val="22"/>
          <w:szCs w:val="22"/>
        </w:rPr>
        <w:t>9</w:t>
      </w:r>
      <w:r w:rsidRPr="002300FD">
        <w:rPr>
          <w:rFonts w:asciiTheme="minorHAnsi" w:hAnsiTheme="minorHAnsi" w:cstheme="minorHAnsi"/>
          <w:sz w:val="22"/>
          <w:szCs w:val="22"/>
        </w:rPr>
        <w:fldChar w:fldCharType="end"/>
      </w:r>
      <w:r>
        <w:t xml:space="preserve"> </w:t>
      </w:r>
      <w:r w:rsidRPr="00F4752B">
        <w:rPr>
          <w:rFonts w:asciiTheme="minorHAnsi" w:hAnsiTheme="minorHAnsi" w:cstheme="minorHAnsi"/>
          <w:sz w:val="22"/>
          <w:szCs w:val="22"/>
        </w:rPr>
        <w:t>Building Types and Load Shapes</w:t>
      </w:r>
    </w:p>
    <w:tbl>
      <w:tblPr>
        <w:tblStyle w:val="TableContemporary"/>
        <w:tblW w:w="4433" w:type="pct"/>
        <w:jc w:val="center"/>
        <w:tblInd w:w="108" w:type="dxa"/>
        <w:tblLook w:val="01E0" w:firstRow="1" w:lastRow="1" w:firstColumn="1" w:lastColumn="1" w:noHBand="0" w:noVBand="0"/>
      </w:tblPr>
      <w:tblGrid>
        <w:gridCol w:w="2988"/>
        <w:gridCol w:w="2936"/>
        <w:gridCol w:w="2566"/>
      </w:tblGrid>
      <w:tr w:rsidR="00431064" w:rsidRPr="000F130A" w:rsidTr="003F0E12">
        <w:trPr>
          <w:cnfStyle w:val="100000000000" w:firstRow="1" w:lastRow="0" w:firstColumn="0" w:lastColumn="0" w:oddVBand="0" w:evenVBand="0" w:oddHBand="0" w:evenHBand="0" w:firstRowFirstColumn="0" w:firstRowLastColumn="0" w:lastRowFirstColumn="0" w:lastRowLastColumn="0"/>
          <w:jc w:val="center"/>
        </w:trPr>
        <w:tc>
          <w:tcPr>
            <w:tcW w:w="1760" w:type="pct"/>
          </w:tcPr>
          <w:p w:rsidR="00431064" w:rsidRPr="002A3D26" w:rsidRDefault="00431064" w:rsidP="003F0E12">
            <w:pPr>
              <w:jc w:val="center"/>
              <w:rPr>
                <w:rFonts w:asciiTheme="minorHAnsi" w:hAnsiTheme="minorHAnsi" w:cstheme="minorHAnsi"/>
                <w:sz w:val="20"/>
                <w:szCs w:val="20"/>
                <w:highlight w:val="yellow"/>
              </w:rPr>
            </w:pPr>
            <w:r w:rsidRPr="002A3D26">
              <w:rPr>
                <w:rFonts w:asciiTheme="minorHAnsi" w:hAnsiTheme="minorHAnsi" w:cstheme="minorHAnsi"/>
                <w:sz w:val="20"/>
                <w:szCs w:val="20"/>
              </w:rPr>
              <w:t>Building Type</w:t>
            </w:r>
          </w:p>
        </w:tc>
        <w:tc>
          <w:tcPr>
            <w:tcW w:w="1729" w:type="pct"/>
          </w:tcPr>
          <w:p w:rsidR="00431064" w:rsidRPr="002A3D26" w:rsidRDefault="00431064" w:rsidP="003F0E12">
            <w:pPr>
              <w:jc w:val="center"/>
              <w:rPr>
                <w:rFonts w:asciiTheme="minorHAnsi" w:hAnsiTheme="minorHAnsi" w:cstheme="minorHAnsi"/>
                <w:sz w:val="20"/>
                <w:szCs w:val="20"/>
                <w:highlight w:val="yellow"/>
              </w:rPr>
            </w:pPr>
            <w:r w:rsidRPr="002A3D26">
              <w:rPr>
                <w:rFonts w:asciiTheme="minorHAnsi" w:hAnsiTheme="minorHAnsi" w:cstheme="minorHAnsi"/>
                <w:sz w:val="20"/>
                <w:szCs w:val="20"/>
              </w:rPr>
              <w:t>E3 Alt. Building Type</w:t>
            </w:r>
          </w:p>
        </w:tc>
        <w:tc>
          <w:tcPr>
            <w:tcW w:w="1511" w:type="pct"/>
          </w:tcPr>
          <w:p w:rsidR="00431064" w:rsidRPr="002A3D26" w:rsidRDefault="00431064" w:rsidP="003F0E12">
            <w:pPr>
              <w:jc w:val="center"/>
              <w:rPr>
                <w:rFonts w:asciiTheme="minorHAnsi" w:hAnsiTheme="minorHAnsi" w:cstheme="minorHAnsi"/>
                <w:sz w:val="20"/>
                <w:szCs w:val="20"/>
              </w:rPr>
            </w:pPr>
            <w:r w:rsidRPr="002A3D26">
              <w:rPr>
                <w:rFonts w:asciiTheme="minorHAnsi" w:hAnsiTheme="minorHAnsi" w:cstheme="minorHAnsi"/>
                <w:sz w:val="20"/>
                <w:szCs w:val="20"/>
              </w:rPr>
              <w:t>Load Shape</w:t>
            </w:r>
          </w:p>
        </w:tc>
      </w:tr>
      <w:tr w:rsidR="00431064" w:rsidRPr="002A3D26" w:rsidTr="003F0E12">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Agricultural</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Assembly</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Education - Primary School</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Education - Secondary School</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Pr>
                <w:rFonts w:asciiTheme="minorHAnsi" w:hAnsiTheme="minorHAnsi" w:cstheme="minorHAnsi"/>
                <w:sz w:val="20"/>
                <w:szCs w:val="20"/>
              </w:rPr>
              <w:t xml:space="preserve">Education - </w:t>
            </w:r>
            <w:proofErr w:type="spellStart"/>
            <w:r>
              <w:rPr>
                <w:rFonts w:asciiTheme="minorHAnsi" w:hAnsiTheme="minorHAnsi" w:cstheme="minorHAnsi"/>
                <w:sz w:val="20"/>
                <w:szCs w:val="20"/>
              </w:rPr>
              <w:t>Relocata</w:t>
            </w:r>
            <w:r w:rsidRPr="004327B2">
              <w:rPr>
                <w:rFonts w:asciiTheme="minorHAnsi" w:hAnsiTheme="minorHAnsi" w:cstheme="minorHAnsi"/>
                <w:sz w:val="20"/>
                <w:szCs w:val="20"/>
              </w:rPr>
              <w:t>ble</w:t>
            </w:r>
            <w:proofErr w:type="spellEnd"/>
            <w:r w:rsidRPr="004327B2">
              <w:rPr>
                <w:rFonts w:asciiTheme="minorHAnsi" w:hAnsiTheme="minorHAnsi" w:cstheme="minorHAnsi"/>
                <w:sz w:val="20"/>
                <w:szCs w:val="20"/>
              </w:rPr>
              <w:t xml:space="preserve"> Classroom</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Education - Community College</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Education - University</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Grocery</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Food Store</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Health/Medical - Hospital</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Health/Medical - Nursing Home</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Health/Medical - Clinic</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Lodging - Hotel</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Lodging - Guest Rooms</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Lodging - Motel</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Manufacturing - Bio/Tech</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lastRenderedPageBreak/>
              <w:t>Manufacturing - Light Industrial</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Industrial</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proofErr w:type="spellStart"/>
            <w:r w:rsidRPr="004327B2">
              <w:rPr>
                <w:rFonts w:asciiTheme="minorHAnsi" w:hAnsiTheme="minorHAnsi" w:cstheme="minorHAnsi"/>
                <w:sz w:val="20"/>
                <w:szCs w:val="20"/>
              </w:rPr>
              <w:t>Misc</w:t>
            </w:r>
            <w:proofErr w:type="spellEnd"/>
            <w:r w:rsidRPr="004327B2">
              <w:rPr>
                <w:rFonts w:asciiTheme="minorHAnsi" w:hAnsiTheme="minorHAnsi" w:cstheme="minorHAnsi"/>
                <w:sz w:val="20"/>
                <w:szCs w:val="20"/>
              </w:rPr>
              <w:t xml:space="preserve"> - Commercial</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Office - Large</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Office - Small</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Restaurant - Fast-Food</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Restaurant - Sit-Down</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Retail - Multistory Large</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Retail - Single-Story Large</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Retail - Small</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Storage - Conditioned</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2A3D26" w:rsidTr="003F0E12">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Storage - Unconditioned</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r w:rsidR="00431064" w:rsidRPr="000F130A" w:rsidTr="003F0E12">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431064" w:rsidRPr="004327B2" w:rsidRDefault="00431064" w:rsidP="003F0E12">
            <w:pPr>
              <w:rPr>
                <w:rFonts w:asciiTheme="minorHAnsi" w:hAnsiTheme="minorHAnsi" w:cstheme="minorHAnsi"/>
                <w:sz w:val="20"/>
                <w:szCs w:val="20"/>
              </w:rPr>
            </w:pPr>
            <w:r w:rsidRPr="004327B2">
              <w:rPr>
                <w:rFonts w:asciiTheme="minorHAnsi" w:hAnsiTheme="minorHAnsi" w:cstheme="minorHAnsi"/>
                <w:sz w:val="20"/>
                <w:szCs w:val="20"/>
              </w:rPr>
              <w:t>Transportation - Communication - Utilities</w:t>
            </w:r>
          </w:p>
        </w:tc>
        <w:tc>
          <w:tcPr>
            <w:tcW w:w="1729" w:type="pct"/>
            <w:vAlign w:val="center"/>
          </w:tcPr>
          <w:p w:rsidR="00431064" w:rsidRPr="004327B2" w:rsidRDefault="00431064" w:rsidP="003F0E12">
            <w:pPr>
              <w:jc w:val="center"/>
              <w:rPr>
                <w:rFonts w:asciiTheme="minorHAnsi" w:hAnsiTheme="minorHAnsi" w:cstheme="minorHAnsi"/>
                <w:sz w:val="20"/>
                <w:szCs w:val="20"/>
              </w:rPr>
            </w:pPr>
            <w:r w:rsidRPr="004327B2">
              <w:rPr>
                <w:rFonts w:asciiTheme="minorHAnsi" w:hAnsiTheme="minorHAnsi" w:cstheme="minorHAnsi"/>
                <w:sz w:val="20"/>
                <w:szCs w:val="20"/>
              </w:rPr>
              <w:t>NON_RES</w:t>
            </w:r>
          </w:p>
        </w:tc>
        <w:tc>
          <w:tcPr>
            <w:tcW w:w="1511" w:type="pct"/>
            <w:vAlign w:val="center"/>
          </w:tcPr>
          <w:p w:rsidR="00431064" w:rsidRPr="004327B2" w:rsidRDefault="00431064" w:rsidP="003F0E12">
            <w:pPr>
              <w:jc w:val="center"/>
              <w:rPr>
                <w:rFonts w:asciiTheme="minorHAnsi" w:hAnsiTheme="minorHAnsi" w:cstheme="minorHAnsi"/>
                <w:sz w:val="20"/>
                <w:szCs w:val="20"/>
              </w:rPr>
            </w:pPr>
            <w:proofErr w:type="spellStart"/>
            <w:r w:rsidRPr="004327B2">
              <w:rPr>
                <w:rFonts w:asciiTheme="minorHAnsi" w:hAnsiTheme="minorHAnsi" w:cstheme="minorHAnsi"/>
                <w:sz w:val="20"/>
                <w:szCs w:val="20"/>
              </w:rPr>
              <w:t>DEER:Indoor_Non-CFL_Ltg</w:t>
            </w:r>
            <w:proofErr w:type="spellEnd"/>
          </w:p>
        </w:tc>
      </w:tr>
    </w:tbl>
    <w:p w:rsidR="00E16609" w:rsidRDefault="00E16609" w:rsidP="00E16609">
      <w:pPr>
        <w:pStyle w:val="Heading1"/>
        <w:keepNext w:val="0"/>
        <w:rPr>
          <w:rFonts w:asciiTheme="minorHAnsi" w:hAnsiTheme="minorHAnsi" w:cstheme="minorHAnsi"/>
        </w:rPr>
      </w:pPr>
      <w:bookmarkStart w:id="14" w:name="_Toc214003096"/>
      <w:proofErr w:type="gramStart"/>
      <w:r w:rsidRPr="000F130A">
        <w:rPr>
          <w:rFonts w:asciiTheme="minorHAnsi" w:hAnsiTheme="minorHAnsi" w:cstheme="minorHAnsi"/>
        </w:rPr>
        <w:t>Section 4.</w:t>
      </w:r>
      <w:proofErr w:type="gramEnd"/>
      <w:r w:rsidRPr="000F130A">
        <w:rPr>
          <w:rFonts w:asciiTheme="minorHAnsi" w:hAnsiTheme="minorHAnsi" w:cstheme="minorHAnsi"/>
        </w:rPr>
        <w:t xml:space="preserve"> Base Case &amp; Measure Costs</w:t>
      </w:r>
      <w:bookmarkEnd w:id="14"/>
      <w:r w:rsidR="00DE3B75">
        <w:rPr>
          <w:rFonts w:asciiTheme="minorHAnsi" w:hAnsiTheme="minorHAnsi" w:cstheme="minorHAnsi"/>
        </w:rPr>
        <w:t xml:space="preserve"> </w:t>
      </w:r>
    </w:p>
    <w:p w:rsidR="00E16609" w:rsidRPr="000F130A" w:rsidRDefault="00E16609" w:rsidP="00824F1C">
      <w:pPr>
        <w:pStyle w:val="Heading2"/>
        <w:rPr>
          <w:rFonts w:asciiTheme="minorHAnsi" w:hAnsiTheme="minorHAnsi" w:cstheme="minorHAnsi"/>
        </w:rPr>
      </w:pPr>
      <w:bookmarkStart w:id="15" w:name="_Toc214003097"/>
      <w:r w:rsidRPr="000F130A">
        <w:rPr>
          <w:rFonts w:asciiTheme="minorHAnsi" w:hAnsiTheme="minorHAnsi" w:cstheme="minorHAnsi"/>
        </w:rPr>
        <w:t>4.1 Base Case Cost</w:t>
      </w:r>
      <w:bookmarkEnd w:id="15"/>
    </w:p>
    <w:p w:rsidR="00E16609" w:rsidRPr="00A45E01" w:rsidRDefault="00CB1973" w:rsidP="004A4DC3">
      <w:pPr>
        <w:rPr>
          <w:rFonts w:asciiTheme="minorHAnsi" w:hAnsiTheme="minorHAnsi" w:cstheme="minorHAnsi"/>
          <w:sz w:val="22"/>
          <w:szCs w:val="22"/>
        </w:rPr>
      </w:pPr>
      <w:r w:rsidRPr="00A45E01">
        <w:rPr>
          <w:rFonts w:asciiTheme="minorHAnsi" w:hAnsiTheme="minorHAnsi" w:cstheme="minorHAnsi"/>
          <w:sz w:val="22"/>
          <w:szCs w:val="22"/>
        </w:rPr>
        <w:t>The</w:t>
      </w:r>
      <w:r w:rsidR="004A4DC3" w:rsidRPr="00A45E01">
        <w:rPr>
          <w:rFonts w:asciiTheme="minorHAnsi" w:hAnsiTheme="minorHAnsi" w:cstheme="minorHAnsi"/>
          <w:sz w:val="22"/>
          <w:szCs w:val="22"/>
        </w:rPr>
        <w:t xml:space="preserve"> base case</w:t>
      </w:r>
      <w:r w:rsidRPr="00A45E01">
        <w:rPr>
          <w:rFonts w:asciiTheme="minorHAnsi" w:hAnsiTheme="minorHAnsi" w:cstheme="minorHAnsi"/>
          <w:sz w:val="22"/>
          <w:szCs w:val="22"/>
        </w:rPr>
        <w:t xml:space="preserve"> and code base case</w:t>
      </w:r>
      <w:r w:rsidR="004A4DC3" w:rsidRPr="00A45E01">
        <w:rPr>
          <w:rFonts w:asciiTheme="minorHAnsi" w:hAnsiTheme="minorHAnsi" w:cstheme="minorHAnsi"/>
          <w:sz w:val="22"/>
          <w:szCs w:val="22"/>
        </w:rPr>
        <w:t xml:space="preserve"> cost</w:t>
      </w:r>
      <w:r w:rsidRPr="00A45E01">
        <w:rPr>
          <w:rFonts w:asciiTheme="minorHAnsi" w:hAnsiTheme="minorHAnsi" w:cstheme="minorHAnsi"/>
          <w:sz w:val="22"/>
          <w:szCs w:val="22"/>
        </w:rPr>
        <w:t>s</w:t>
      </w:r>
      <w:r w:rsidR="004A4DC3" w:rsidRPr="00A45E01">
        <w:rPr>
          <w:rFonts w:asciiTheme="minorHAnsi" w:hAnsiTheme="minorHAnsi" w:cstheme="minorHAnsi"/>
          <w:sz w:val="22"/>
          <w:szCs w:val="22"/>
        </w:rPr>
        <w:t xml:space="preserve"> </w:t>
      </w:r>
      <w:r w:rsidRPr="00A45E01">
        <w:rPr>
          <w:rFonts w:asciiTheme="minorHAnsi" w:hAnsiTheme="minorHAnsi" w:cstheme="minorHAnsi"/>
          <w:sz w:val="22"/>
          <w:szCs w:val="22"/>
        </w:rPr>
        <w:t>are taken from</w:t>
      </w:r>
      <w:r w:rsidR="00A45E01" w:rsidRPr="00A45E01">
        <w:rPr>
          <w:rFonts w:asciiTheme="minorHAnsi" w:hAnsiTheme="minorHAnsi" w:cstheme="minorHAnsi"/>
          <w:sz w:val="22"/>
          <w:szCs w:val="22"/>
        </w:rPr>
        <w:t xml:space="preserve"> the</w:t>
      </w:r>
      <w:r w:rsidRPr="00A45E01">
        <w:rPr>
          <w:rFonts w:asciiTheme="minorHAnsi" w:hAnsiTheme="minorHAnsi" w:cstheme="minorHAnsi"/>
          <w:sz w:val="22"/>
          <w:szCs w:val="22"/>
        </w:rPr>
        <w:t xml:space="preserve"> DEER 2008 Cost Summary </w:t>
      </w:r>
      <w:r w:rsidR="00A45E01">
        <w:rPr>
          <w:rFonts w:asciiTheme="minorHAnsi" w:hAnsiTheme="minorHAnsi" w:cstheme="minorHAnsi"/>
          <w:sz w:val="22"/>
          <w:szCs w:val="22"/>
        </w:rPr>
        <w:t>Spreadsheet [D]</w:t>
      </w:r>
      <w:r w:rsidR="004A4DC3" w:rsidRPr="00A45E01">
        <w:rPr>
          <w:rFonts w:asciiTheme="minorHAnsi" w:hAnsiTheme="minorHAnsi" w:cstheme="minorHAnsi"/>
          <w:sz w:val="22"/>
          <w:szCs w:val="22"/>
        </w:rPr>
        <w:t>.</w:t>
      </w:r>
      <w:r w:rsidR="00E16609" w:rsidRPr="00A45E01">
        <w:rPr>
          <w:rFonts w:asciiTheme="minorHAnsi" w:hAnsiTheme="minorHAnsi" w:cstheme="minorHAnsi"/>
          <w:sz w:val="22"/>
          <w:szCs w:val="22"/>
        </w:rPr>
        <w:t xml:space="preserve"> </w:t>
      </w:r>
      <w:proofErr w:type="gramStart"/>
      <w:r w:rsidR="006907EE" w:rsidRPr="006907EE">
        <w:rPr>
          <w:rFonts w:asciiTheme="minorHAnsi" w:hAnsiTheme="minorHAnsi" w:cstheme="minorHAnsi"/>
          <w:sz w:val="22"/>
          <w:szCs w:val="22"/>
        </w:rPr>
        <w:t xml:space="preserve">See </w:t>
      </w:r>
      <w:proofErr w:type="spellStart"/>
      <w:r w:rsidR="006907EE" w:rsidRPr="006907EE">
        <w:rPr>
          <w:rFonts w:asciiTheme="minorHAnsi" w:hAnsiTheme="minorHAnsi" w:cstheme="minorHAnsi"/>
          <w:sz w:val="22"/>
          <w:szCs w:val="22"/>
        </w:rPr>
        <w:t>workpaper</w:t>
      </w:r>
      <w:proofErr w:type="spellEnd"/>
      <w:r w:rsidR="006907EE" w:rsidRPr="006907EE">
        <w:rPr>
          <w:rFonts w:asciiTheme="minorHAnsi" w:hAnsiTheme="minorHAnsi" w:cstheme="minorHAnsi"/>
          <w:sz w:val="22"/>
          <w:szCs w:val="22"/>
        </w:rPr>
        <w:t xml:space="preserve"> WPSDGENRLG0999 </w:t>
      </w:r>
      <w:r w:rsidR="00DE3B75">
        <w:rPr>
          <w:rFonts w:asciiTheme="minorHAnsi" w:hAnsiTheme="minorHAnsi" w:cstheme="minorHAnsi"/>
          <w:sz w:val="22"/>
          <w:szCs w:val="22"/>
        </w:rPr>
        <w:t xml:space="preserve">[C] </w:t>
      </w:r>
      <w:r w:rsidR="006907EE" w:rsidRPr="006907EE">
        <w:rPr>
          <w:rFonts w:asciiTheme="minorHAnsi" w:hAnsiTheme="minorHAnsi" w:cstheme="minorHAnsi"/>
          <w:sz w:val="22"/>
          <w:szCs w:val="22"/>
        </w:rPr>
        <w:t xml:space="preserve">for actual base case costs used in this </w:t>
      </w:r>
      <w:proofErr w:type="spellStart"/>
      <w:r w:rsidR="006907EE" w:rsidRPr="006907EE">
        <w:rPr>
          <w:rFonts w:asciiTheme="minorHAnsi" w:hAnsiTheme="minorHAnsi" w:cstheme="minorHAnsi"/>
          <w:sz w:val="22"/>
          <w:szCs w:val="22"/>
        </w:rPr>
        <w:t>workpaper</w:t>
      </w:r>
      <w:proofErr w:type="spellEnd"/>
      <w:r w:rsidR="006907EE" w:rsidRPr="006907EE">
        <w:rPr>
          <w:rFonts w:asciiTheme="minorHAnsi" w:hAnsiTheme="minorHAnsi" w:cstheme="minorHAnsi"/>
          <w:sz w:val="22"/>
          <w:szCs w:val="22"/>
        </w:rPr>
        <w:t>.</w:t>
      </w:r>
      <w:proofErr w:type="gramEnd"/>
    </w:p>
    <w:p w:rsidR="00A51D04" w:rsidRPr="005A0798" w:rsidRDefault="00A51D04" w:rsidP="005A0798">
      <w:bookmarkStart w:id="16" w:name="_Toc214003098"/>
      <w:r>
        <w:rPr>
          <w:rFonts w:asciiTheme="minorHAnsi" w:hAnsiTheme="minorHAnsi" w:cstheme="minorHAnsi"/>
          <w:b/>
          <w:bCs/>
          <w:iCs/>
          <w:smallCaps/>
          <w:vanish/>
          <w:sz w:val="28"/>
          <w:szCs w:val="28"/>
        </w:rPr>
        <w:cr/>
        <w:t>4umed Measure HO T5/T8 Replacement Wattage, Including Ballast</w:t>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r>
        <w:rPr>
          <w:rFonts w:asciiTheme="minorHAnsi" w:hAnsiTheme="minorHAnsi" w:cstheme="minorHAnsi"/>
          <w:b/>
          <w:bCs/>
          <w:iCs/>
          <w:smallCaps/>
          <w:vanish/>
          <w:sz w:val="28"/>
          <w:szCs w:val="28"/>
        </w:rPr>
        <w:pgNum/>
      </w:r>
    </w:p>
    <w:p w:rsidR="00E16609" w:rsidRPr="000F130A" w:rsidRDefault="00E16609" w:rsidP="00E16609">
      <w:pPr>
        <w:pStyle w:val="Heading2"/>
        <w:keepNext w:val="0"/>
        <w:rPr>
          <w:rFonts w:asciiTheme="minorHAnsi" w:hAnsiTheme="minorHAnsi" w:cstheme="minorHAnsi"/>
        </w:rPr>
      </w:pPr>
      <w:r w:rsidRPr="000F130A">
        <w:rPr>
          <w:rFonts w:asciiTheme="minorHAnsi" w:hAnsiTheme="minorHAnsi" w:cstheme="minorHAnsi"/>
        </w:rPr>
        <w:t>4.2 Gross Measure Cost</w:t>
      </w:r>
      <w:bookmarkEnd w:id="16"/>
    </w:p>
    <w:p w:rsidR="00434650" w:rsidRDefault="00434650" w:rsidP="00153CBE">
      <w:pPr>
        <w:rPr>
          <w:rFonts w:asciiTheme="minorHAnsi" w:hAnsiTheme="minorHAnsi" w:cstheme="minorHAnsi"/>
          <w:bCs/>
          <w:sz w:val="22"/>
          <w:szCs w:val="22"/>
        </w:rPr>
      </w:pPr>
      <w:bookmarkStart w:id="17" w:name="_Toc214003099"/>
      <w:r w:rsidRPr="00A45E01">
        <w:rPr>
          <w:rFonts w:asciiTheme="minorHAnsi" w:hAnsiTheme="minorHAnsi" w:cstheme="minorHAnsi"/>
          <w:sz w:val="22"/>
          <w:szCs w:val="22"/>
        </w:rPr>
        <w:t xml:space="preserve">The </w:t>
      </w:r>
      <w:r>
        <w:rPr>
          <w:rFonts w:asciiTheme="minorHAnsi" w:hAnsiTheme="minorHAnsi" w:cstheme="minorHAnsi"/>
          <w:sz w:val="22"/>
          <w:szCs w:val="22"/>
        </w:rPr>
        <w:t>measure</w:t>
      </w:r>
      <w:r w:rsidRPr="00A45E01">
        <w:rPr>
          <w:rFonts w:asciiTheme="minorHAnsi" w:hAnsiTheme="minorHAnsi" w:cstheme="minorHAnsi"/>
          <w:sz w:val="22"/>
          <w:szCs w:val="22"/>
        </w:rPr>
        <w:t xml:space="preserve"> case costs are taken from the DEER 2008 Cost Summary </w:t>
      </w:r>
      <w:r>
        <w:rPr>
          <w:rFonts w:asciiTheme="minorHAnsi" w:hAnsiTheme="minorHAnsi" w:cstheme="minorHAnsi"/>
          <w:sz w:val="22"/>
          <w:szCs w:val="22"/>
        </w:rPr>
        <w:t>Spreadsheet [D]</w:t>
      </w:r>
      <w:r w:rsidRPr="00A45E01">
        <w:rPr>
          <w:rFonts w:asciiTheme="minorHAnsi" w:hAnsiTheme="minorHAnsi" w:cstheme="minorHAnsi"/>
          <w:sz w:val="22"/>
          <w:szCs w:val="22"/>
        </w:rPr>
        <w:t xml:space="preserve">. </w:t>
      </w:r>
      <w:proofErr w:type="gramStart"/>
      <w:r w:rsidR="006907EE" w:rsidRPr="006907EE">
        <w:rPr>
          <w:rFonts w:asciiTheme="minorHAnsi" w:hAnsiTheme="minorHAnsi" w:cstheme="minorHAnsi"/>
          <w:bCs/>
          <w:sz w:val="22"/>
          <w:szCs w:val="22"/>
        </w:rPr>
        <w:t xml:space="preserve">See </w:t>
      </w:r>
      <w:proofErr w:type="spellStart"/>
      <w:r w:rsidR="006907EE" w:rsidRPr="006907EE">
        <w:rPr>
          <w:rFonts w:asciiTheme="minorHAnsi" w:hAnsiTheme="minorHAnsi" w:cstheme="minorHAnsi"/>
          <w:bCs/>
          <w:sz w:val="22"/>
          <w:szCs w:val="22"/>
        </w:rPr>
        <w:t>workpaper</w:t>
      </w:r>
      <w:proofErr w:type="spellEnd"/>
      <w:r w:rsidR="006907EE" w:rsidRPr="006907EE">
        <w:rPr>
          <w:rFonts w:asciiTheme="minorHAnsi" w:hAnsiTheme="minorHAnsi" w:cstheme="minorHAnsi"/>
          <w:bCs/>
          <w:sz w:val="22"/>
          <w:szCs w:val="22"/>
        </w:rPr>
        <w:t xml:space="preserve"> WPSDGENRLG0999 </w:t>
      </w:r>
      <w:r w:rsidR="00DE3B75">
        <w:rPr>
          <w:rFonts w:asciiTheme="minorHAnsi" w:hAnsiTheme="minorHAnsi" w:cstheme="minorHAnsi"/>
          <w:bCs/>
          <w:sz w:val="22"/>
          <w:szCs w:val="22"/>
        </w:rPr>
        <w:t xml:space="preserve">[C] </w:t>
      </w:r>
      <w:r w:rsidR="006907EE" w:rsidRPr="006907EE">
        <w:rPr>
          <w:rFonts w:asciiTheme="minorHAnsi" w:hAnsiTheme="minorHAnsi" w:cstheme="minorHAnsi"/>
          <w:bCs/>
          <w:sz w:val="22"/>
          <w:szCs w:val="22"/>
        </w:rPr>
        <w:t xml:space="preserve">for actual </w:t>
      </w:r>
      <w:r w:rsidR="00CE2809">
        <w:rPr>
          <w:rFonts w:asciiTheme="minorHAnsi" w:hAnsiTheme="minorHAnsi" w:cstheme="minorHAnsi"/>
          <w:bCs/>
          <w:sz w:val="22"/>
          <w:szCs w:val="22"/>
        </w:rPr>
        <w:t>gross measure</w:t>
      </w:r>
      <w:r w:rsidR="006907EE" w:rsidRPr="006907EE">
        <w:rPr>
          <w:rFonts w:asciiTheme="minorHAnsi" w:hAnsiTheme="minorHAnsi" w:cstheme="minorHAnsi"/>
          <w:bCs/>
          <w:sz w:val="22"/>
          <w:szCs w:val="22"/>
        </w:rPr>
        <w:t xml:space="preserve"> costs used in this </w:t>
      </w:r>
      <w:proofErr w:type="spellStart"/>
      <w:r w:rsidR="006907EE" w:rsidRPr="006907EE">
        <w:rPr>
          <w:rFonts w:asciiTheme="minorHAnsi" w:hAnsiTheme="minorHAnsi" w:cstheme="minorHAnsi"/>
          <w:bCs/>
          <w:sz w:val="22"/>
          <w:szCs w:val="22"/>
        </w:rPr>
        <w:t>workpaper</w:t>
      </w:r>
      <w:proofErr w:type="spellEnd"/>
      <w:r w:rsidR="006907EE" w:rsidRPr="006907EE">
        <w:rPr>
          <w:rFonts w:asciiTheme="minorHAnsi" w:hAnsiTheme="minorHAnsi" w:cstheme="minorHAnsi"/>
          <w:bCs/>
          <w:sz w:val="22"/>
          <w:szCs w:val="22"/>
        </w:rPr>
        <w:t>.</w:t>
      </w:r>
      <w:proofErr w:type="gramEnd"/>
    </w:p>
    <w:p w:rsidR="00153CBE" w:rsidRPr="00311369" w:rsidRDefault="00153CBE" w:rsidP="00153CBE">
      <w:pPr>
        <w:pStyle w:val="Caption"/>
        <w:rPr>
          <w:rFonts w:asciiTheme="minorHAnsi" w:hAnsiTheme="minorHAnsi" w:cstheme="minorHAnsi"/>
          <w:b w:val="0"/>
          <w:bCs w:val="0"/>
          <w:sz w:val="22"/>
          <w:szCs w:val="22"/>
        </w:rPr>
      </w:pPr>
    </w:p>
    <w:p w:rsidR="00524AC3" w:rsidRDefault="00524AC3" w:rsidP="00524AC3">
      <w:pPr>
        <w:rPr>
          <w:rFonts w:asciiTheme="minorHAnsi" w:hAnsiTheme="minorHAnsi" w:cstheme="minorHAnsi"/>
          <w:sz w:val="22"/>
          <w:szCs w:val="22"/>
        </w:rPr>
      </w:pPr>
      <w:r w:rsidRPr="001231F4">
        <w:rPr>
          <w:rFonts w:asciiTheme="minorHAnsi" w:hAnsiTheme="minorHAnsi" w:cstheme="minorHAnsi"/>
          <w:sz w:val="22"/>
          <w:szCs w:val="22"/>
        </w:rPr>
        <w:t xml:space="preserve">For </w:t>
      </w:r>
      <w:r>
        <w:rPr>
          <w:rFonts w:asciiTheme="minorHAnsi" w:hAnsiTheme="minorHAnsi" w:cstheme="minorHAnsi"/>
          <w:sz w:val="22"/>
          <w:szCs w:val="22"/>
        </w:rPr>
        <w:t>RET (</w:t>
      </w:r>
      <w:r w:rsidR="00AA5A61">
        <w:rPr>
          <w:rFonts w:asciiTheme="minorHAnsi" w:hAnsiTheme="minorHAnsi" w:cstheme="minorHAnsi"/>
          <w:sz w:val="22"/>
          <w:szCs w:val="22"/>
        </w:rPr>
        <w:t>1</w:t>
      </w:r>
      <w:r w:rsidR="00AA5A61" w:rsidRPr="001F3F31">
        <w:rPr>
          <w:rFonts w:asciiTheme="minorHAnsi" w:hAnsiTheme="minorHAnsi" w:cstheme="minorHAnsi"/>
          <w:sz w:val="22"/>
          <w:szCs w:val="22"/>
          <w:vertAlign w:val="superscript"/>
        </w:rPr>
        <w:t>st</w:t>
      </w:r>
      <w:r w:rsidR="00AA5A61">
        <w:rPr>
          <w:rFonts w:asciiTheme="minorHAnsi" w:hAnsiTheme="minorHAnsi" w:cstheme="minorHAnsi"/>
          <w:sz w:val="22"/>
          <w:szCs w:val="22"/>
        </w:rPr>
        <w:t xml:space="preserve"> Baseline</w:t>
      </w:r>
      <w:r>
        <w:rPr>
          <w:rFonts w:asciiTheme="minorHAnsi" w:hAnsiTheme="minorHAnsi" w:cstheme="minorHAnsi"/>
          <w:sz w:val="22"/>
          <w:szCs w:val="22"/>
        </w:rPr>
        <w:t>)</w:t>
      </w:r>
      <w:r w:rsidRPr="001231F4">
        <w:rPr>
          <w:rFonts w:asciiTheme="minorHAnsi" w:hAnsiTheme="minorHAnsi" w:cstheme="minorHAnsi"/>
          <w:sz w:val="22"/>
          <w:szCs w:val="22"/>
        </w:rPr>
        <w:t>, the gross measure cost</w:t>
      </w:r>
      <w:r>
        <w:rPr>
          <w:rFonts w:asciiTheme="minorHAnsi" w:hAnsiTheme="minorHAnsi" w:cstheme="minorHAnsi"/>
          <w:sz w:val="22"/>
          <w:szCs w:val="22"/>
        </w:rPr>
        <w:t xml:space="preserve"> is the full measure cost:</w:t>
      </w:r>
    </w:p>
    <w:p w:rsidR="00524AC3" w:rsidRDefault="00524AC3" w:rsidP="00524AC3">
      <w:pPr>
        <w:ind w:firstLine="720"/>
        <w:rPr>
          <w:rFonts w:asciiTheme="minorHAnsi" w:hAnsiTheme="minorHAnsi" w:cstheme="minorHAnsi"/>
          <w:sz w:val="22"/>
          <w:szCs w:val="22"/>
        </w:rPr>
      </w:pPr>
    </w:p>
    <w:p w:rsidR="00524AC3" w:rsidRDefault="00524AC3" w:rsidP="00524AC3">
      <w:pPr>
        <w:ind w:firstLine="720"/>
        <w:rPr>
          <w:rFonts w:asciiTheme="minorHAnsi" w:hAnsiTheme="minorHAnsi" w:cstheme="minorHAnsi"/>
          <w:sz w:val="22"/>
          <w:szCs w:val="22"/>
        </w:rPr>
      </w:pPr>
      <w:r w:rsidRPr="006323F0">
        <w:rPr>
          <w:rFonts w:asciiTheme="minorHAnsi" w:hAnsiTheme="minorHAnsi" w:cstheme="minorHAnsi"/>
          <w:sz w:val="22"/>
          <w:szCs w:val="22"/>
        </w:rPr>
        <w:t xml:space="preserve">GMC </w:t>
      </w:r>
      <w:r w:rsidRPr="006323F0">
        <w:rPr>
          <w:rFonts w:asciiTheme="minorHAnsi" w:hAnsiTheme="minorHAnsi" w:cstheme="minorHAnsi"/>
          <w:sz w:val="22"/>
          <w:szCs w:val="22"/>
        </w:rPr>
        <w:tab/>
        <w:t>= (</w:t>
      </w:r>
      <w:bookmarkStart w:id="18" w:name="OLE_LINK2"/>
      <w:bookmarkStart w:id="19" w:name="OLE_LINK3"/>
      <w:r w:rsidRPr="006323F0">
        <w:rPr>
          <w:rFonts w:asciiTheme="minorHAnsi" w:hAnsiTheme="minorHAnsi" w:cstheme="minorHAnsi"/>
          <w:sz w:val="22"/>
          <w:szCs w:val="22"/>
        </w:rPr>
        <w:t>Measure Equipment Cost + Measure Labor Cost</w:t>
      </w:r>
      <w:bookmarkEnd w:id="18"/>
      <w:bookmarkEnd w:id="19"/>
      <w:r w:rsidRPr="006323F0">
        <w:rPr>
          <w:rFonts w:asciiTheme="minorHAnsi" w:hAnsiTheme="minorHAnsi" w:cstheme="minorHAnsi"/>
          <w:sz w:val="22"/>
          <w:szCs w:val="22"/>
        </w:rPr>
        <w:t>)</w:t>
      </w:r>
    </w:p>
    <w:p w:rsidR="00524AC3" w:rsidRDefault="00524AC3" w:rsidP="00524AC3">
      <w:pPr>
        <w:ind w:firstLine="720"/>
        <w:rPr>
          <w:rFonts w:asciiTheme="minorHAnsi" w:hAnsiTheme="minorHAnsi" w:cstheme="minorHAnsi"/>
          <w:sz w:val="22"/>
          <w:szCs w:val="22"/>
        </w:rPr>
      </w:pPr>
    </w:p>
    <w:p w:rsidR="00524AC3" w:rsidRDefault="00524AC3" w:rsidP="00524AC3">
      <w:pPr>
        <w:rPr>
          <w:rFonts w:asciiTheme="minorHAnsi" w:hAnsiTheme="minorHAnsi" w:cstheme="minorHAnsi"/>
          <w:sz w:val="22"/>
          <w:szCs w:val="22"/>
        </w:rPr>
      </w:pPr>
      <w:r w:rsidRPr="001231F4">
        <w:rPr>
          <w:rFonts w:asciiTheme="minorHAnsi" w:hAnsiTheme="minorHAnsi" w:cstheme="minorHAnsi"/>
          <w:sz w:val="22"/>
          <w:szCs w:val="22"/>
        </w:rPr>
        <w:t xml:space="preserve">For </w:t>
      </w:r>
      <w:r>
        <w:rPr>
          <w:rFonts w:asciiTheme="minorHAnsi" w:hAnsiTheme="minorHAnsi" w:cstheme="minorHAnsi"/>
          <w:sz w:val="22"/>
          <w:szCs w:val="22"/>
        </w:rPr>
        <w:t>RET (</w:t>
      </w:r>
      <w:r w:rsidR="00AA5A61">
        <w:rPr>
          <w:rFonts w:asciiTheme="minorHAnsi" w:hAnsiTheme="minorHAnsi" w:cstheme="minorHAnsi"/>
          <w:sz w:val="22"/>
          <w:szCs w:val="22"/>
        </w:rPr>
        <w:t>2</w:t>
      </w:r>
      <w:r w:rsidR="00AA5A61" w:rsidRPr="001F3F31">
        <w:rPr>
          <w:rFonts w:asciiTheme="minorHAnsi" w:hAnsiTheme="minorHAnsi" w:cstheme="minorHAnsi"/>
          <w:sz w:val="22"/>
          <w:szCs w:val="22"/>
          <w:vertAlign w:val="superscript"/>
        </w:rPr>
        <w:t>nd</w:t>
      </w:r>
      <w:r w:rsidR="00AA5A61">
        <w:rPr>
          <w:rFonts w:asciiTheme="minorHAnsi" w:hAnsiTheme="minorHAnsi" w:cstheme="minorHAnsi"/>
          <w:sz w:val="22"/>
          <w:szCs w:val="22"/>
        </w:rPr>
        <w:t xml:space="preserve"> Baseline</w:t>
      </w:r>
      <w:r>
        <w:rPr>
          <w:rFonts w:asciiTheme="minorHAnsi" w:hAnsiTheme="minorHAnsi" w:cstheme="minorHAnsi"/>
          <w:sz w:val="22"/>
          <w:szCs w:val="22"/>
        </w:rPr>
        <w:t>)</w:t>
      </w:r>
      <w:r w:rsidRPr="001231F4">
        <w:rPr>
          <w:rFonts w:asciiTheme="minorHAnsi" w:hAnsiTheme="minorHAnsi" w:cstheme="minorHAnsi"/>
          <w:sz w:val="22"/>
          <w:szCs w:val="22"/>
        </w:rPr>
        <w:t>, the gross measure cost</w:t>
      </w:r>
      <w:r>
        <w:rPr>
          <w:rFonts w:asciiTheme="minorHAnsi" w:hAnsiTheme="minorHAnsi" w:cstheme="minorHAnsi"/>
          <w:sz w:val="22"/>
          <w:szCs w:val="22"/>
        </w:rPr>
        <w:t xml:space="preserve"> is:</w:t>
      </w:r>
    </w:p>
    <w:p w:rsidR="00524AC3" w:rsidRDefault="00524AC3" w:rsidP="00524AC3">
      <w:pPr>
        <w:ind w:firstLine="720"/>
        <w:rPr>
          <w:rFonts w:asciiTheme="minorHAnsi" w:hAnsiTheme="minorHAnsi" w:cstheme="minorHAnsi"/>
          <w:sz w:val="22"/>
          <w:szCs w:val="22"/>
        </w:rPr>
      </w:pPr>
    </w:p>
    <w:p w:rsidR="00524AC3" w:rsidRDefault="00524AC3" w:rsidP="00524AC3">
      <w:pPr>
        <w:ind w:firstLine="720"/>
        <w:rPr>
          <w:rFonts w:asciiTheme="minorHAnsi" w:hAnsiTheme="minorHAnsi" w:cstheme="minorHAnsi"/>
          <w:sz w:val="22"/>
          <w:szCs w:val="22"/>
        </w:rPr>
      </w:pPr>
      <w:r w:rsidRPr="006323F0">
        <w:rPr>
          <w:rFonts w:asciiTheme="minorHAnsi" w:hAnsiTheme="minorHAnsi" w:cstheme="minorHAnsi"/>
          <w:sz w:val="22"/>
          <w:szCs w:val="22"/>
        </w:rPr>
        <w:t xml:space="preserve">GMC </w:t>
      </w:r>
      <w:r w:rsidRPr="006323F0">
        <w:rPr>
          <w:rFonts w:asciiTheme="minorHAnsi" w:hAnsiTheme="minorHAnsi" w:cstheme="minorHAnsi"/>
          <w:sz w:val="22"/>
          <w:szCs w:val="22"/>
        </w:rPr>
        <w:tab/>
        <w:t>= (</w:t>
      </w:r>
      <w:r w:rsidR="00AA5A61">
        <w:rPr>
          <w:rFonts w:asciiTheme="minorHAnsi" w:hAnsiTheme="minorHAnsi" w:cstheme="minorHAnsi"/>
          <w:sz w:val="22"/>
          <w:szCs w:val="22"/>
        </w:rPr>
        <w:t>Measure Equipment Cost – Code Equipment Cost</w:t>
      </w:r>
      <w:r w:rsidRPr="006323F0">
        <w:rPr>
          <w:rFonts w:asciiTheme="minorHAnsi" w:hAnsiTheme="minorHAnsi" w:cstheme="minorHAnsi"/>
          <w:sz w:val="22"/>
          <w:szCs w:val="22"/>
        </w:rPr>
        <w:t>)</w:t>
      </w:r>
    </w:p>
    <w:p w:rsidR="00524AC3" w:rsidRDefault="00524AC3" w:rsidP="00524AC3">
      <w:pPr>
        <w:rPr>
          <w:rFonts w:asciiTheme="minorHAnsi" w:hAnsiTheme="minorHAnsi" w:cstheme="minorHAnsi"/>
          <w:sz w:val="22"/>
          <w:szCs w:val="22"/>
        </w:rPr>
      </w:pPr>
    </w:p>
    <w:p w:rsidR="00524AC3" w:rsidRPr="006323F0" w:rsidRDefault="00524AC3" w:rsidP="00524AC3">
      <w:pPr>
        <w:rPr>
          <w:rFonts w:asciiTheme="minorHAnsi" w:hAnsiTheme="minorHAnsi" w:cstheme="minorHAnsi"/>
          <w:sz w:val="22"/>
          <w:szCs w:val="22"/>
        </w:rPr>
      </w:pPr>
      <w:r>
        <w:rPr>
          <w:rFonts w:asciiTheme="minorHAnsi" w:hAnsiTheme="minorHAnsi" w:cstheme="minorHAnsi"/>
          <w:sz w:val="22"/>
          <w:szCs w:val="22"/>
        </w:rPr>
        <w:t>For</w:t>
      </w:r>
      <w:r w:rsidRPr="006323F0">
        <w:rPr>
          <w:rFonts w:asciiTheme="minorHAnsi" w:hAnsiTheme="minorHAnsi" w:cstheme="minorHAnsi"/>
          <w:sz w:val="22"/>
          <w:szCs w:val="22"/>
        </w:rPr>
        <w:t xml:space="preserve"> ROB, the equipment being replaced is assumed to have failed in place or is past its useful life. The customer is faced with either purchasing standard efficiency or code baseline equipment versus energy efficient equipment.  Therefore, gross measure cost (GMC) means the cost premium required to install the energy efficient measure over a less efficient piece of equipment. GMC is represented by the equation below:</w:t>
      </w:r>
    </w:p>
    <w:p w:rsidR="00524AC3" w:rsidRPr="006323F0" w:rsidRDefault="00524AC3" w:rsidP="00524AC3">
      <w:pPr>
        <w:rPr>
          <w:rFonts w:asciiTheme="minorHAnsi" w:hAnsiTheme="minorHAnsi" w:cstheme="minorHAnsi"/>
          <w:sz w:val="22"/>
          <w:szCs w:val="22"/>
        </w:rPr>
      </w:pPr>
    </w:p>
    <w:p w:rsidR="00524AC3" w:rsidRPr="006323F0" w:rsidRDefault="00524AC3" w:rsidP="00524AC3">
      <w:pPr>
        <w:ind w:firstLine="720"/>
        <w:rPr>
          <w:rFonts w:asciiTheme="minorHAnsi" w:hAnsiTheme="minorHAnsi" w:cstheme="minorHAnsi"/>
          <w:sz w:val="22"/>
          <w:szCs w:val="22"/>
        </w:rPr>
      </w:pPr>
      <w:r w:rsidRPr="006323F0">
        <w:rPr>
          <w:rFonts w:asciiTheme="minorHAnsi" w:hAnsiTheme="minorHAnsi" w:cstheme="minorHAnsi"/>
          <w:sz w:val="22"/>
          <w:szCs w:val="22"/>
        </w:rPr>
        <w:t xml:space="preserve">GMC </w:t>
      </w:r>
      <w:r w:rsidRPr="006323F0">
        <w:rPr>
          <w:rFonts w:asciiTheme="minorHAnsi" w:hAnsiTheme="minorHAnsi" w:cstheme="minorHAnsi"/>
          <w:sz w:val="22"/>
          <w:szCs w:val="22"/>
        </w:rPr>
        <w:tab/>
        <w:t>= (Measure Equipment Cost + Measure Labor Cost) –</w:t>
      </w:r>
    </w:p>
    <w:p w:rsidR="00524AC3" w:rsidRDefault="00524AC3" w:rsidP="00524AC3">
      <w:pPr>
        <w:ind w:left="720" w:firstLine="720"/>
        <w:rPr>
          <w:rFonts w:asciiTheme="minorHAnsi" w:hAnsiTheme="minorHAnsi" w:cstheme="minorHAnsi"/>
          <w:sz w:val="22"/>
          <w:szCs w:val="22"/>
        </w:rPr>
      </w:pPr>
      <w:r w:rsidRPr="006323F0">
        <w:rPr>
          <w:rFonts w:asciiTheme="minorHAnsi" w:hAnsiTheme="minorHAnsi" w:cstheme="minorHAnsi"/>
          <w:sz w:val="22"/>
          <w:szCs w:val="22"/>
        </w:rPr>
        <w:t xml:space="preserve">    (Base Case Equipment Cost + Base Case Labor Cost)</w:t>
      </w:r>
    </w:p>
    <w:p w:rsidR="00524AC3" w:rsidRDefault="00524AC3" w:rsidP="00524AC3">
      <w:pPr>
        <w:ind w:left="720" w:firstLine="720"/>
        <w:rPr>
          <w:rFonts w:asciiTheme="minorHAnsi" w:hAnsiTheme="minorHAnsi" w:cstheme="minorHAnsi"/>
          <w:sz w:val="22"/>
          <w:szCs w:val="22"/>
        </w:rPr>
      </w:pPr>
    </w:p>
    <w:p w:rsidR="00524AC3" w:rsidRPr="006323F0" w:rsidRDefault="00524AC3" w:rsidP="00524AC3">
      <w:pPr>
        <w:ind w:left="720" w:firstLine="720"/>
        <w:rPr>
          <w:rFonts w:asciiTheme="minorHAnsi" w:hAnsiTheme="minorHAnsi" w:cstheme="minorHAnsi"/>
          <w:sz w:val="22"/>
          <w:szCs w:val="22"/>
        </w:rPr>
      </w:pPr>
      <w:r w:rsidRPr="006323F0">
        <w:rPr>
          <w:rFonts w:asciiTheme="minorHAnsi" w:hAnsiTheme="minorHAnsi" w:cstheme="minorHAnsi"/>
          <w:sz w:val="22"/>
          <w:szCs w:val="22"/>
        </w:rPr>
        <w:t>= (Measure Equ</w:t>
      </w:r>
      <w:r>
        <w:rPr>
          <w:rFonts w:asciiTheme="minorHAnsi" w:hAnsiTheme="minorHAnsi" w:cstheme="minorHAnsi"/>
          <w:sz w:val="22"/>
          <w:szCs w:val="22"/>
        </w:rPr>
        <w:t xml:space="preserve">ipment Cost – </w:t>
      </w:r>
      <w:r w:rsidR="007A7D21">
        <w:rPr>
          <w:rFonts w:asciiTheme="minorHAnsi" w:hAnsiTheme="minorHAnsi" w:cstheme="minorHAnsi"/>
          <w:sz w:val="22"/>
          <w:szCs w:val="22"/>
        </w:rPr>
        <w:t>Code</w:t>
      </w:r>
      <w:r>
        <w:rPr>
          <w:rFonts w:asciiTheme="minorHAnsi" w:hAnsiTheme="minorHAnsi" w:cstheme="minorHAnsi"/>
          <w:sz w:val="22"/>
          <w:szCs w:val="22"/>
        </w:rPr>
        <w:t xml:space="preserve"> Equipment Cost</w:t>
      </w:r>
      <w:r w:rsidRPr="006323F0">
        <w:rPr>
          <w:rFonts w:asciiTheme="minorHAnsi" w:hAnsiTheme="minorHAnsi" w:cstheme="minorHAnsi"/>
          <w:sz w:val="22"/>
          <w:szCs w:val="22"/>
        </w:rPr>
        <w:t>)</w:t>
      </w:r>
    </w:p>
    <w:p w:rsidR="00524AC3" w:rsidRPr="006323F0" w:rsidRDefault="00524AC3" w:rsidP="00524AC3">
      <w:pPr>
        <w:ind w:left="720" w:right="720"/>
        <w:rPr>
          <w:rFonts w:asciiTheme="minorHAnsi" w:hAnsiTheme="minorHAnsi" w:cstheme="minorHAnsi"/>
          <w:sz w:val="22"/>
          <w:szCs w:val="22"/>
        </w:rPr>
      </w:pPr>
    </w:p>
    <w:p w:rsidR="00524AC3" w:rsidRDefault="00524AC3" w:rsidP="00524AC3">
      <w:pPr>
        <w:ind w:left="720" w:right="720"/>
        <w:rPr>
          <w:rFonts w:asciiTheme="minorHAnsi" w:hAnsiTheme="minorHAnsi" w:cstheme="minorHAnsi"/>
          <w:sz w:val="22"/>
          <w:szCs w:val="22"/>
        </w:rPr>
      </w:pPr>
      <w:r w:rsidRPr="006323F0">
        <w:rPr>
          <w:rFonts w:asciiTheme="minorHAnsi" w:hAnsiTheme="minorHAnsi" w:cstheme="minorHAnsi"/>
          <w:sz w:val="22"/>
          <w:szCs w:val="22"/>
        </w:rPr>
        <w:lastRenderedPageBreak/>
        <w:t>*Note: Unless stated otherwise the measure case labor and base case labor are assumed to be the same value.</w:t>
      </w:r>
      <w:r w:rsidR="0007090F">
        <w:rPr>
          <w:rFonts w:asciiTheme="minorHAnsi" w:hAnsiTheme="minorHAnsi" w:cstheme="minorHAnsi"/>
          <w:sz w:val="22"/>
          <w:szCs w:val="22"/>
        </w:rPr>
        <w:t xml:space="preserve"> For this work paper, the measure and base case (code base case) costs are different.</w:t>
      </w:r>
    </w:p>
    <w:p w:rsidR="00E16609" w:rsidRPr="000F130A" w:rsidRDefault="00E16609" w:rsidP="00E16609">
      <w:pPr>
        <w:pStyle w:val="Heading2"/>
        <w:keepNext w:val="0"/>
        <w:rPr>
          <w:rFonts w:asciiTheme="minorHAnsi" w:hAnsiTheme="minorHAnsi" w:cstheme="minorHAnsi"/>
        </w:rPr>
      </w:pPr>
      <w:r w:rsidRPr="000F130A">
        <w:rPr>
          <w:rFonts w:asciiTheme="minorHAnsi" w:hAnsiTheme="minorHAnsi" w:cstheme="minorHAnsi"/>
        </w:rPr>
        <w:t>4.3 Incremental Measure Cost</w:t>
      </w:r>
    </w:p>
    <w:p w:rsidR="0065393A" w:rsidRPr="0065393A" w:rsidRDefault="0065393A" w:rsidP="005A0798">
      <w:pPr>
        <w:pStyle w:val="Heading2"/>
        <w:spacing w:after="120"/>
        <w:rPr>
          <w:rFonts w:asciiTheme="minorHAnsi" w:hAnsiTheme="minorHAnsi" w:cstheme="minorHAnsi"/>
          <w:b w:val="0"/>
          <w:bCs w:val="0"/>
          <w:iCs w:val="0"/>
          <w:smallCaps w:val="0"/>
          <w:sz w:val="22"/>
          <w:szCs w:val="22"/>
        </w:rPr>
      </w:pPr>
      <w:r w:rsidRPr="0065393A">
        <w:rPr>
          <w:rFonts w:asciiTheme="minorHAnsi" w:hAnsiTheme="minorHAnsi" w:cstheme="minorHAnsi"/>
          <w:b w:val="0"/>
          <w:bCs w:val="0"/>
          <w:iCs w:val="0"/>
          <w:smallCaps w:val="0"/>
          <w:sz w:val="22"/>
          <w:szCs w:val="22"/>
        </w:rPr>
        <w:t>For Measures L-H1, L-H5, and L-H6 Me</w:t>
      </w:r>
      <w:r>
        <w:rPr>
          <w:rFonts w:asciiTheme="minorHAnsi" w:hAnsiTheme="minorHAnsi" w:cstheme="minorHAnsi"/>
          <w:b w:val="0"/>
          <w:bCs w:val="0"/>
          <w:iCs w:val="0"/>
          <w:smallCaps w:val="0"/>
          <w:sz w:val="22"/>
          <w:szCs w:val="22"/>
        </w:rPr>
        <w:t>asure cost is incremental cost.</w:t>
      </w:r>
    </w:p>
    <w:p w:rsidR="00CE2809" w:rsidRDefault="0065393A" w:rsidP="00CE2809">
      <w:pPr>
        <w:rPr>
          <w:rFonts w:asciiTheme="minorHAnsi" w:hAnsiTheme="minorHAnsi" w:cstheme="minorHAnsi"/>
          <w:bCs/>
          <w:sz w:val="22"/>
          <w:szCs w:val="22"/>
        </w:rPr>
      </w:pPr>
      <w:r w:rsidRPr="0065393A">
        <w:rPr>
          <w:rFonts w:asciiTheme="minorHAnsi" w:hAnsiTheme="minorHAnsi" w:cstheme="minorHAnsi"/>
          <w:sz w:val="22"/>
          <w:szCs w:val="22"/>
        </w:rPr>
        <w:t xml:space="preserve">For Measures L-H2, L-H3, and L-H4 Measure costs are as follows: For RUL Measure cost is full cost of retrofit fluorescent fixture. For (EUL-RUL) Code baseline, Measure cost is Measure cost – Code Baseline. </w:t>
      </w:r>
      <w:bookmarkEnd w:id="17"/>
      <w:proofErr w:type="gramStart"/>
      <w:r w:rsidR="00CE2809" w:rsidRPr="006907EE">
        <w:rPr>
          <w:rFonts w:asciiTheme="minorHAnsi" w:hAnsiTheme="minorHAnsi" w:cstheme="minorHAnsi"/>
          <w:bCs/>
          <w:sz w:val="22"/>
          <w:szCs w:val="22"/>
        </w:rPr>
        <w:t xml:space="preserve">See </w:t>
      </w:r>
      <w:proofErr w:type="spellStart"/>
      <w:r w:rsidR="00CE2809" w:rsidRPr="006907EE">
        <w:rPr>
          <w:rFonts w:asciiTheme="minorHAnsi" w:hAnsiTheme="minorHAnsi" w:cstheme="minorHAnsi"/>
          <w:bCs/>
          <w:sz w:val="22"/>
          <w:szCs w:val="22"/>
        </w:rPr>
        <w:t>workpaper</w:t>
      </w:r>
      <w:proofErr w:type="spellEnd"/>
      <w:r w:rsidR="00CE2809" w:rsidRPr="006907EE">
        <w:rPr>
          <w:rFonts w:asciiTheme="minorHAnsi" w:hAnsiTheme="minorHAnsi" w:cstheme="minorHAnsi"/>
          <w:bCs/>
          <w:sz w:val="22"/>
          <w:szCs w:val="22"/>
        </w:rPr>
        <w:t xml:space="preserve"> WPSDGENRLG0999 </w:t>
      </w:r>
      <w:r w:rsidR="00CE2809">
        <w:rPr>
          <w:rFonts w:asciiTheme="minorHAnsi" w:hAnsiTheme="minorHAnsi" w:cstheme="minorHAnsi"/>
          <w:bCs/>
          <w:sz w:val="22"/>
          <w:szCs w:val="22"/>
        </w:rPr>
        <w:t xml:space="preserve">[C] </w:t>
      </w:r>
      <w:r w:rsidR="00CE2809" w:rsidRPr="006907EE">
        <w:rPr>
          <w:rFonts w:asciiTheme="minorHAnsi" w:hAnsiTheme="minorHAnsi" w:cstheme="minorHAnsi"/>
          <w:bCs/>
          <w:sz w:val="22"/>
          <w:szCs w:val="22"/>
        </w:rPr>
        <w:t xml:space="preserve">for actual </w:t>
      </w:r>
      <w:r w:rsidR="00CE2809">
        <w:rPr>
          <w:rFonts w:asciiTheme="minorHAnsi" w:hAnsiTheme="minorHAnsi" w:cstheme="minorHAnsi"/>
          <w:bCs/>
          <w:sz w:val="22"/>
          <w:szCs w:val="22"/>
        </w:rPr>
        <w:t>incremental</w:t>
      </w:r>
      <w:r w:rsidR="00CE2809">
        <w:rPr>
          <w:rFonts w:asciiTheme="minorHAnsi" w:hAnsiTheme="minorHAnsi" w:cstheme="minorHAnsi"/>
          <w:bCs/>
          <w:sz w:val="22"/>
          <w:szCs w:val="22"/>
        </w:rPr>
        <w:t xml:space="preserve"> measure</w:t>
      </w:r>
      <w:r w:rsidR="00CE2809" w:rsidRPr="006907EE">
        <w:rPr>
          <w:rFonts w:asciiTheme="minorHAnsi" w:hAnsiTheme="minorHAnsi" w:cstheme="minorHAnsi"/>
          <w:bCs/>
          <w:sz w:val="22"/>
          <w:szCs w:val="22"/>
        </w:rPr>
        <w:t xml:space="preserve"> costs used in this </w:t>
      </w:r>
      <w:proofErr w:type="spellStart"/>
      <w:r w:rsidR="00CE2809" w:rsidRPr="006907EE">
        <w:rPr>
          <w:rFonts w:asciiTheme="minorHAnsi" w:hAnsiTheme="minorHAnsi" w:cstheme="minorHAnsi"/>
          <w:bCs/>
          <w:sz w:val="22"/>
          <w:szCs w:val="22"/>
        </w:rPr>
        <w:t>workpaper</w:t>
      </w:r>
      <w:proofErr w:type="spellEnd"/>
      <w:r w:rsidR="00CE2809" w:rsidRPr="006907EE">
        <w:rPr>
          <w:rFonts w:asciiTheme="minorHAnsi" w:hAnsiTheme="minorHAnsi" w:cstheme="minorHAnsi"/>
          <w:bCs/>
          <w:sz w:val="22"/>
          <w:szCs w:val="22"/>
        </w:rPr>
        <w:t>.</w:t>
      </w:r>
      <w:proofErr w:type="gramEnd"/>
    </w:p>
    <w:p w:rsidR="00524AC3" w:rsidRDefault="00524AC3" w:rsidP="005A0798">
      <w:pPr>
        <w:spacing w:after="120" w:line="276" w:lineRule="auto"/>
        <w:rPr>
          <w:rFonts w:asciiTheme="minorHAnsi" w:hAnsiTheme="minorHAnsi" w:cstheme="minorHAnsi"/>
          <w:b/>
          <w:bCs/>
          <w:smallCaps/>
          <w:kern w:val="32"/>
          <w:sz w:val="36"/>
          <w:szCs w:val="32"/>
        </w:rPr>
      </w:pPr>
      <w:r>
        <w:rPr>
          <w:rFonts w:asciiTheme="minorHAnsi" w:hAnsiTheme="minorHAnsi" w:cstheme="minorHAnsi"/>
        </w:rPr>
        <w:br w:type="page"/>
      </w:r>
    </w:p>
    <w:p w:rsidR="00A500D6" w:rsidRDefault="00E16609" w:rsidP="00B5705B">
      <w:pPr>
        <w:pStyle w:val="Heading1"/>
        <w:rPr>
          <w:rFonts w:asciiTheme="minorHAnsi" w:hAnsiTheme="minorHAnsi" w:cstheme="minorHAnsi"/>
        </w:rPr>
      </w:pPr>
      <w:r w:rsidRPr="000F130A">
        <w:rPr>
          <w:rFonts w:asciiTheme="minorHAnsi" w:hAnsiTheme="minorHAnsi" w:cstheme="minorHAnsi"/>
        </w:rPr>
        <w:lastRenderedPageBreak/>
        <w:t>Attachments</w:t>
      </w:r>
    </w:p>
    <w:p w:rsidR="003A3A88" w:rsidRDefault="003A3A88" w:rsidP="003A3A88">
      <w:pPr>
        <w:rPr>
          <w:rFonts w:asciiTheme="minorHAnsi" w:hAnsiTheme="minorHAnsi" w:cstheme="minorHAnsi"/>
        </w:rPr>
      </w:pPr>
      <w:bookmarkStart w:id="20" w:name="_MON_1400505147"/>
      <w:bookmarkStart w:id="21" w:name="_MON_1400507396"/>
      <w:bookmarkStart w:id="22" w:name="_MON_1400508583"/>
      <w:bookmarkStart w:id="23" w:name="_MON_1400510394"/>
      <w:bookmarkStart w:id="24" w:name="_MON_1396266328"/>
      <w:bookmarkStart w:id="25" w:name="_MON_1400557616"/>
      <w:bookmarkStart w:id="26" w:name="_MON_1396766533"/>
      <w:bookmarkStart w:id="27" w:name="_MON_1396767732"/>
      <w:bookmarkStart w:id="28" w:name="_MON_1400668291"/>
      <w:bookmarkStart w:id="29" w:name="_MON_1396418353"/>
      <w:bookmarkStart w:id="30" w:name="_MON_1401707532"/>
      <w:bookmarkStart w:id="31" w:name="_MON_1397030949"/>
      <w:bookmarkStart w:id="32" w:name="_MON_1401718153"/>
      <w:bookmarkStart w:id="33" w:name="_MON_1396270594"/>
      <w:bookmarkStart w:id="34" w:name="_MON_1402144995"/>
      <w:bookmarkStart w:id="35" w:name="_MON_1400095050"/>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rsidR="00DE3B75" w:rsidRPr="00DE3B75" w:rsidRDefault="00CE2809" w:rsidP="003A3A88">
      <w:pPr>
        <w:pStyle w:val="ListParagraph"/>
        <w:numPr>
          <w:ilvl w:val="0"/>
          <w:numId w:val="23"/>
        </w:numPr>
        <w:rPr>
          <w:rFonts w:asciiTheme="minorHAnsi" w:hAnsiTheme="minorHAnsi" w:cstheme="minorHAnsi"/>
          <w:b/>
          <w:bCs/>
          <w:smallCaps/>
          <w:kern w:val="32"/>
          <w:sz w:val="36"/>
          <w:szCs w:val="32"/>
        </w:rPr>
      </w:pPr>
      <w:r w:rsidRPr="00153A85">
        <w:object w:dxaOrig="1454" w:dyaOrig="941">
          <v:shape id="_x0000_i1029" type="#_x0000_t75" style="width:77.75pt;height:49.55pt" o:ole="">
            <v:imagedata r:id="rId19" o:title=""/>
          </v:shape>
          <o:OLEObject Type="Embed" ProgID="AcroExch.Document.11" ShapeID="_x0000_i1029" DrawAspect="Icon" ObjectID="_1452720478" r:id="rId20"/>
        </w:object>
      </w:r>
      <w:bookmarkStart w:id="36" w:name="_GoBack"/>
      <w:bookmarkEnd w:id="36"/>
    </w:p>
    <w:p w:rsidR="00DE3B75" w:rsidRDefault="00DE3B75" w:rsidP="00DE3B75">
      <w:pPr>
        <w:rPr>
          <w:rFonts w:asciiTheme="minorHAnsi" w:hAnsiTheme="minorHAnsi" w:cstheme="minorHAnsi"/>
        </w:rPr>
      </w:pPr>
    </w:p>
    <w:p w:rsidR="005A0798" w:rsidRPr="00DE3B75" w:rsidRDefault="005A0798" w:rsidP="00DE3B75">
      <w:pPr>
        <w:pStyle w:val="ListParagraph"/>
        <w:numPr>
          <w:ilvl w:val="0"/>
          <w:numId w:val="23"/>
        </w:numPr>
        <w:rPr>
          <w:rFonts w:asciiTheme="minorHAnsi" w:hAnsiTheme="minorHAnsi" w:cstheme="minorHAnsi"/>
          <w:b/>
          <w:bCs/>
          <w:smallCaps/>
          <w:kern w:val="32"/>
          <w:sz w:val="36"/>
          <w:szCs w:val="32"/>
        </w:rPr>
      </w:pPr>
      <w:r w:rsidRPr="00DE3B75">
        <w:rPr>
          <w:rFonts w:asciiTheme="minorHAnsi" w:hAnsiTheme="minorHAnsi" w:cstheme="minorHAnsi"/>
        </w:rPr>
        <w:br w:type="page"/>
      </w:r>
    </w:p>
    <w:p w:rsidR="00C54EFF" w:rsidRPr="00C54EFF" w:rsidRDefault="00C54EFF" w:rsidP="00C54EFF">
      <w:pPr>
        <w:pStyle w:val="Heading1"/>
        <w:rPr>
          <w:rFonts w:asciiTheme="minorHAnsi" w:hAnsiTheme="minorHAnsi" w:cstheme="minorHAnsi"/>
        </w:rPr>
      </w:pPr>
      <w:r w:rsidRPr="00560ECC">
        <w:rPr>
          <w:rFonts w:asciiTheme="minorHAnsi" w:hAnsiTheme="minorHAnsi" w:cstheme="minorHAnsi"/>
        </w:rPr>
        <w:lastRenderedPageBreak/>
        <w:t>References</w:t>
      </w:r>
    </w:p>
    <w:bookmarkStart w:id="37" w:name="_MON_1396760566"/>
    <w:bookmarkEnd w:id="37"/>
    <w:p w:rsidR="00C54EFF" w:rsidRDefault="00EC210E" w:rsidP="00E16609">
      <w:pPr>
        <w:rPr>
          <w:rFonts w:asciiTheme="minorHAnsi" w:hAnsiTheme="minorHAnsi" w:cstheme="minorHAnsi"/>
        </w:rPr>
      </w:pPr>
      <w:r>
        <w:rPr>
          <w:rFonts w:asciiTheme="minorHAnsi" w:hAnsiTheme="minorHAnsi" w:cstheme="minorHAnsi"/>
        </w:rPr>
        <w:object w:dxaOrig="966" w:dyaOrig="625">
          <v:shape id="_x0000_i1028" type="#_x0000_t75" style="width:82.95pt;height:57pt" o:ole="">
            <v:imagedata r:id="rId21" o:title=""/>
          </v:shape>
          <o:OLEObject Type="Embed" ProgID="Excel.Sheet.8" ShapeID="_x0000_i1028" DrawAspect="Icon" ObjectID="_1452720479" r:id="rId22"/>
        </w:object>
      </w:r>
    </w:p>
    <w:p w:rsidR="00B5705B" w:rsidRPr="002471F7" w:rsidRDefault="00B5705B" w:rsidP="00B5705B">
      <w:pPr>
        <w:rPr>
          <w:rFonts w:asciiTheme="minorHAnsi" w:hAnsiTheme="minorHAnsi" w:cstheme="minorHAnsi"/>
          <w:sz w:val="22"/>
          <w:szCs w:val="22"/>
        </w:rPr>
      </w:pPr>
      <w:r w:rsidRPr="002471F7">
        <w:rPr>
          <w:rFonts w:asciiTheme="minorHAnsi" w:hAnsiTheme="minorHAnsi" w:cstheme="minorHAnsi"/>
          <w:sz w:val="22"/>
          <w:szCs w:val="22"/>
        </w:rPr>
        <w:t>[31]</w:t>
      </w:r>
      <w:r w:rsidR="00193CFF">
        <w:rPr>
          <w:rFonts w:asciiTheme="minorHAnsi" w:hAnsiTheme="minorHAnsi" w:cstheme="minorHAnsi"/>
          <w:sz w:val="22"/>
          <w:szCs w:val="22"/>
        </w:rPr>
        <w:t xml:space="preserve"> </w:t>
      </w:r>
    </w:p>
    <w:p w:rsidR="00B5705B" w:rsidRPr="002471F7" w:rsidRDefault="00B5705B" w:rsidP="00B5705B">
      <w:pPr>
        <w:rPr>
          <w:rFonts w:asciiTheme="minorHAnsi" w:hAnsiTheme="minorHAnsi" w:cstheme="minorHAnsi"/>
          <w:sz w:val="22"/>
          <w:szCs w:val="22"/>
        </w:rPr>
      </w:pPr>
      <w:r w:rsidRPr="002471F7">
        <w:rPr>
          <w:rFonts w:asciiTheme="minorHAnsi" w:hAnsiTheme="minorHAnsi" w:cstheme="minorHAnsi"/>
          <w:sz w:val="22"/>
          <w:szCs w:val="22"/>
        </w:rPr>
        <w:t>[6</w:t>
      </w:r>
      <w:r>
        <w:rPr>
          <w:rFonts w:asciiTheme="minorHAnsi" w:hAnsiTheme="minorHAnsi" w:cstheme="minorHAnsi"/>
          <w:sz w:val="22"/>
          <w:szCs w:val="22"/>
        </w:rPr>
        <w:t>5</w:t>
      </w:r>
      <w:r w:rsidRPr="002471F7">
        <w:rPr>
          <w:rFonts w:asciiTheme="minorHAnsi" w:hAnsiTheme="minorHAnsi" w:cstheme="minorHAnsi"/>
          <w:sz w:val="22"/>
          <w:szCs w:val="22"/>
        </w:rPr>
        <w:t>]</w:t>
      </w:r>
    </w:p>
    <w:p w:rsidR="00B5705B" w:rsidRDefault="00B5705B" w:rsidP="00B5705B">
      <w:pPr>
        <w:rPr>
          <w:rFonts w:asciiTheme="minorHAnsi" w:hAnsiTheme="minorHAnsi" w:cstheme="minorHAnsi"/>
          <w:sz w:val="22"/>
          <w:szCs w:val="22"/>
        </w:rPr>
      </w:pPr>
      <w:r w:rsidRPr="002471F7">
        <w:rPr>
          <w:rFonts w:asciiTheme="minorHAnsi" w:hAnsiTheme="minorHAnsi" w:cstheme="minorHAnsi"/>
          <w:sz w:val="22"/>
          <w:szCs w:val="22"/>
        </w:rPr>
        <w:t>[132]</w:t>
      </w:r>
    </w:p>
    <w:p w:rsidR="00B5705B" w:rsidRDefault="00B5705B" w:rsidP="00B5705B">
      <w:pPr>
        <w:rPr>
          <w:rFonts w:asciiTheme="minorHAnsi" w:hAnsiTheme="minorHAnsi" w:cstheme="minorHAnsi"/>
          <w:sz w:val="22"/>
          <w:szCs w:val="22"/>
        </w:rPr>
      </w:pPr>
    </w:p>
    <w:p w:rsidR="00096965" w:rsidRPr="00B35581" w:rsidRDefault="003A3A88" w:rsidP="00D106D9">
      <w:pPr>
        <w:rPr>
          <w:rFonts w:asciiTheme="minorHAnsi" w:hAnsiTheme="minorHAnsi" w:cstheme="minorHAnsi"/>
          <w:sz w:val="22"/>
        </w:rPr>
      </w:pPr>
      <w:r>
        <w:rPr>
          <w:rFonts w:asciiTheme="minorHAnsi" w:hAnsiTheme="minorHAnsi" w:cstheme="minorHAnsi"/>
          <w:sz w:val="22"/>
        </w:rPr>
        <w:t>[A]</w:t>
      </w:r>
      <w:r w:rsidR="00096965">
        <w:rPr>
          <w:rFonts w:asciiTheme="minorHAnsi" w:hAnsiTheme="minorHAnsi" w:cstheme="minorHAnsi"/>
          <w:sz w:val="22"/>
        </w:rPr>
        <w:t xml:space="preserve"> </w:t>
      </w:r>
      <w:r w:rsidR="00096965" w:rsidRPr="00096965">
        <w:rPr>
          <w:rFonts w:asciiTheme="minorHAnsi" w:hAnsiTheme="minorHAnsi" w:cstheme="minorHAnsi"/>
          <w:sz w:val="22"/>
        </w:rPr>
        <w:t xml:space="preserve">CPUC ED </w:t>
      </w:r>
      <w:proofErr w:type="spellStart"/>
      <w:r w:rsidR="00096965" w:rsidRPr="00096965">
        <w:rPr>
          <w:rFonts w:asciiTheme="minorHAnsi" w:hAnsiTheme="minorHAnsi" w:cstheme="minorHAnsi"/>
          <w:sz w:val="22"/>
        </w:rPr>
        <w:t>Workpaper</w:t>
      </w:r>
      <w:proofErr w:type="spellEnd"/>
      <w:r w:rsidR="00096965" w:rsidRPr="00096965">
        <w:rPr>
          <w:rFonts w:asciiTheme="minorHAnsi" w:hAnsiTheme="minorHAnsi" w:cstheme="minorHAnsi"/>
          <w:sz w:val="22"/>
        </w:rPr>
        <w:t xml:space="preserve"> Disposition for Lighting Retrofits documentation issued on November 12, 2013</w:t>
      </w:r>
      <w:r w:rsidR="00096965">
        <w:rPr>
          <w:rFonts w:asciiTheme="minorHAnsi" w:hAnsiTheme="minorHAnsi" w:cstheme="minorHAnsi"/>
          <w:sz w:val="22"/>
        </w:rPr>
        <w:t>, “</w:t>
      </w:r>
      <w:r w:rsidR="00096965" w:rsidRPr="00096965">
        <w:rPr>
          <w:rFonts w:asciiTheme="minorHAnsi" w:hAnsiTheme="minorHAnsi" w:cstheme="minorHAnsi"/>
          <w:sz w:val="22"/>
        </w:rPr>
        <w:t>2013-2014_LightingRetrofit_Disposition-12November2013.xlsx</w:t>
      </w:r>
      <w:r w:rsidR="00096965">
        <w:rPr>
          <w:rFonts w:asciiTheme="minorHAnsi" w:hAnsiTheme="minorHAnsi" w:cstheme="minorHAnsi"/>
          <w:sz w:val="22"/>
        </w:rPr>
        <w:t>”</w:t>
      </w:r>
    </w:p>
    <w:p w:rsidR="00B35581" w:rsidRDefault="00B35581" w:rsidP="00D106D9"/>
    <w:p w:rsidR="00193CFF" w:rsidRDefault="003A3A88" w:rsidP="00D106D9">
      <w:pPr>
        <w:rPr>
          <w:rFonts w:asciiTheme="minorHAnsi" w:hAnsiTheme="minorHAnsi" w:cstheme="minorHAnsi"/>
          <w:sz w:val="22"/>
          <w:szCs w:val="22"/>
        </w:rPr>
      </w:pPr>
      <w:r>
        <w:rPr>
          <w:rFonts w:asciiTheme="minorHAnsi" w:hAnsiTheme="minorHAnsi" w:cstheme="minorHAnsi"/>
          <w:sz w:val="22"/>
          <w:szCs w:val="22"/>
        </w:rPr>
        <w:t>[B]</w:t>
      </w:r>
      <w:r w:rsidR="00193CFF">
        <w:rPr>
          <w:rFonts w:asciiTheme="minorHAnsi" w:hAnsiTheme="minorHAnsi" w:cstheme="minorHAnsi"/>
          <w:sz w:val="22"/>
          <w:szCs w:val="22"/>
        </w:rPr>
        <w:t xml:space="preserve"> SDG&amp;E </w:t>
      </w:r>
      <w:proofErr w:type="spellStart"/>
      <w:r w:rsidR="00193CFF">
        <w:rPr>
          <w:rFonts w:asciiTheme="minorHAnsi" w:hAnsiTheme="minorHAnsi" w:cstheme="minorHAnsi"/>
          <w:sz w:val="22"/>
          <w:szCs w:val="22"/>
        </w:rPr>
        <w:t>W</w:t>
      </w:r>
      <w:r w:rsidR="00193CFF" w:rsidRPr="000F2F89">
        <w:rPr>
          <w:rFonts w:asciiTheme="minorHAnsi" w:hAnsiTheme="minorHAnsi" w:cstheme="minorHAnsi"/>
          <w:sz w:val="22"/>
          <w:szCs w:val="22"/>
        </w:rPr>
        <w:t>orkpaper</w:t>
      </w:r>
      <w:proofErr w:type="spellEnd"/>
      <w:r w:rsidR="00193CFF" w:rsidRPr="000F2F89">
        <w:rPr>
          <w:rFonts w:asciiTheme="minorHAnsi" w:hAnsiTheme="minorHAnsi" w:cstheme="minorHAnsi"/>
          <w:sz w:val="22"/>
          <w:szCs w:val="22"/>
        </w:rPr>
        <w:t xml:space="preserve"> WPSDGENRLG</w:t>
      </w:r>
      <w:r w:rsidR="00193CFF">
        <w:rPr>
          <w:rFonts w:asciiTheme="minorHAnsi" w:hAnsiTheme="minorHAnsi" w:cstheme="minorHAnsi"/>
          <w:sz w:val="22"/>
          <w:szCs w:val="22"/>
        </w:rPr>
        <w:t>0999</w:t>
      </w:r>
    </w:p>
    <w:p w:rsidR="003A3A88" w:rsidRDefault="003A3A88" w:rsidP="00D106D9">
      <w:pPr>
        <w:rPr>
          <w:rFonts w:asciiTheme="minorHAnsi" w:hAnsiTheme="minorHAnsi" w:cstheme="minorHAnsi"/>
          <w:sz w:val="22"/>
          <w:szCs w:val="22"/>
        </w:rPr>
      </w:pPr>
    </w:p>
    <w:p w:rsidR="003A3A88" w:rsidRDefault="003A3A88" w:rsidP="00D106D9">
      <w:pPr>
        <w:rPr>
          <w:rFonts w:asciiTheme="minorHAnsi" w:hAnsiTheme="minorHAnsi" w:cstheme="minorHAnsi"/>
          <w:sz w:val="22"/>
          <w:szCs w:val="22"/>
        </w:rPr>
      </w:pPr>
      <w:r>
        <w:rPr>
          <w:rFonts w:asciiTheme="minorHAnsi" w:hAnsiTheme="minorHAnsi" w:cstheme="minorHAnsi"/>
          <w:sz w:val="22"/>
          <w:szCs w:val="22"/>
        </w:rPr>
        <w:t xml:space="preserve">[C] Attachment #1 - </w:t>
      </w:r>
      <w:r w:rsidRPr="003A3A88">
        <w:rPr>
          <w:rFonts w:asciiTheme="minorHAnsi" w:hAnsiTheme="minorHAnsi" w:cstheme="minorHAnsi"/>
          <w:sz w:val="22"/>
          <w:szCs w:val="22"/>
        </w:rPr>
        <w:t>Appendix B: Table of Standard Fixture Wattages</w:t>
      </w:r>
    </w:p>
    <w:p w:rsidR="00DE3B75" w:rsidRDefault="00DE3B75" w:rsidP="00D106D9">
      <w:pPr>
        <w:rPr>
          <w:rFonts w:asciiTheme="minorHAnsi" w:hAnsiTheme="minorHAnsi" w:cstheme="minorHAnsi"/>
          <w:sz w:val="22"/>
          <w:szCs w:val="22"/>
        </w:rPr>
      </w:pPr>
    </w:p>
    <w:p w:rsidR="00DE3B75" w:rsidRDefault="00DE3B75" w:rsidP="00DE3B75">
      <w:pPr>
        <w:rPr>
          <w:rFonts w:asciiTheme="minorHAnsi" w:hAnsiTheme="minorHAnsi" w:cstheme="minorHAnsi"/>
          <w:sz w:val="22"/>
          <w:szCs w:val="22"/>
        </w:rPr>
      </w:pPr>
      <w:r>
        <w:rPr>
          <w:rFonts w:asciiTheme="minorHAnsi" w:hAnsiTheme="minorHAnsi" w:cstheme="minorHAnsi"/>
          <w:sz w:val="22"/>
          <w:szCs w:val="22"/>
        </w:rPr>
        <w:t>[D] Attachment #2 – DEER08 Cost Values and Documentation</w:t>
      </w:r>
    </w:p>
    <w:p w:rsidR="00193CFF" w:rsidRPr="00287994" w:rsidRDefault="00193CFF" w:rsidP="00287994">
      <w:pPr>
        <w:spacing w:after="120"/>
        <w:rPr>
          <w:rFonts w:asciiTheme="minorHAnsi" w:hAnsiTheme="minorHAnsi" w:cstheme="minorHAnsi"/>
          <w:sz w:val="22"/>
          <w:szCs w:val="22"/>
        </w:rPr>
      </w:pPr>
    </w:p>
    <w:p w:rsidR="00193CFF" w:rsidRPr="00946CA8" w:rsidRDefault="00193CFF" w:rsidP="00193CFF">
      <w:pPr>
        <w:pStyle w:val="Caption"/>
        <w:rPr>
          <w:rFonts w:asciiTheme="minorHAnsi" w:hAnsiTheme="minorHAnsi"/>
        </w:rPr>
      </w:pPr>
      <w:r w:rsidRPr="00946CA8">
        <w:rPr>
          <w:rFonts w:asciiTheme="minorHAnsi" w:hAnsiTheme="minorHAnsi"/>
        </w:rPr>
        <w:t>Lookup Table ID Summary</w:t>
      </w:r>
    </w:p>
    <w:p w:rsidR="00193CFF" w:rsidRPr="00946CA8" w:rsidRDefault="00193CFF" w:rsidP="00193CFF">
      <w:pPr>
        <w:rPr>
          <w:rFonts w:asciiTheme="minorHAnsi" w:hAnsiTheme="minorHAnsi"/>
        </w:rPr>
      </w:pPr>
      <w:r w:rsidRPr="00946CA8">
        <w:rPr>
          <w:rFonts w:asciiTheme="minorHAnsi" w:hAnsiTheme="minorHAnsi"/>
        </w:rPr>
        <w:t>EUL</w:t>
      </w:r>
    </w:p>
    <w:tbl>
      <w:tblPr>
        <w:tblStyle w:val="TableContemporary"/>
        <w:tblW w:w="2407" w:type="pct"/>
        <w:tblLook w:val="01E0" w:firstRow="1" w:lastRow="1" w:firstColumn="1" w:lastColumn="1" w:noHBand="0" w:noVBand="0"/>
      </w:tblPr>
      <w:tblGrid>
        <w:gridCol w:w="1549"/>
        <w:gridCol w:w="2071"/>
        <w:gridCol w:w="990"/>
      </w:tblGrid>
      <w:tr w:rsidR="00193CFF" w:rsidRPr="000F130A" w:rsidTr="00B476AC">
        <w:trPr>
          <w:cnfStyle w:val="100000000000" w:firstRow="1" w:lastRow="0" w:firstColumn="0" w:lastColumn="0" w:oddVBand="0" w:evenVBand="0" w:oddHBand="0" w:evenHBand="0" w:firstRowFirstColumn="0" w:firstRowLastColumn="0" w:lastRowFirstColumn="0" w:lastRowLastColumn="0"/>
        </w:trPr>
        <w:tc>
          <w:tcPr>
            <w:tcW w:w="1680" w:type="pct"/>
            <w:vAlign w:val="center"/>
          </w:tcPr>
          <w:p w:rsidR="00193CFF" w:rsidRPr="004E76CA" w:rsidRDefault="00193CFF" w:rsidP="00B476AC">
            <w:pPr>
              <w:jc w:val="center"/>
              <w:rPr>
                <w:rFonts w:asciiTheme="minorHAnsi" w:hAnsiTheme="minorHAnsi" w:cstheme="minorHAnsi"/>
                <w:sz w:val="20"/>
                <w:szCs w:val="20"/>
              </w:rPr>
            </w:pPr>
            <w:r>
              <w:rPr>
                <w:rFonts w:asciiTheme="minorHAnsi" w:hAnsiTheme="minorHAnsi" w:cstheme="minorHAnsi"/>
                <w:sz w:val="20"/>
                <w:szCs w:val="20"/>
              </w:rPr>
              <w:t>EUL</w:t>
            </w:r>
            <w:r w:rsidRPr="0066252B">
              <w:rPr>
                <w:rFonts w:asciiTheme="minorHAnsi" w:hAnsiTheme="minorHAnsi" w:cstheme="minorHAnsi"/>
                <w:sz w:val="20"/>
                <w:szCs w:val="20"/>
              </w:rPr>
              <w:t>_ID</w:t>
            </w:r>
          </w:p>
        </w:tc>
        <w:tc>
          <w:tcPr>
            <w:tcW w:w="2246" w:type="pct"/>
            <w:vAlign w:val="center"/>
          </w:tcPr>
          <w:p w:rsidR="00193CFF" w:rsidRPr="004E76CA" w:rsidRDefault="00193CFF" w:rsidP="00B476AC">
            <w:pPr>
              <w:jc w:val="center"/>
              <w:rPr>
                <w:rFonts w:asciiTheme="minorHAnsi" w:hAnsiTheme="minorHAnsi" w:cstheme="minorHAnsi"/>
                <w:sz w:val="20"/>
                <w:szCs w:val="20"/>
              </w:rPr>
            </w:pPr>
            <w:r w:rsidRPr="0066252B">
              <w:rPr>
                <w:rFonts w:asciiTheme="minorHAnsi" w:hAnsiTheme="minorHAnsi" w:cstheme="minorHAnsi"/>
                <w:sz w:val="20"/>
                <w:szCs w:val="20"/>
              </w:rPr>
              <w:t>Description</w:t>
            </w:r>
          </w:p>
        </w:tc>
        <w:tc>
          <w:tcPr>
            <w:tcW w:w="1074" w:type="pct"/>
            <w:vAlign w:val="center"/>
          </w:tcPr>
          <w:p w:rsidR="00193CFF" w:rsidRPr="004E76CA" w:rsidRDefault="00193CFF" w:rsidP="00B476AC">
            <w:pPr>
              <w:jc w:val="center"/>
              <w:rPr>
                <w:rFonts w:asciiTheme="minorHAnsi" w:hAnsiTheme="minorHAnsi" w:cstheme="minorHAnsi"/>
                <w:sz w:val="20"/>
                <w:szCs w:val="20"/>
              </w:rPr>
            </w:pPr>
            <w:r w:rsidRPr="0066252B">
              <w:rPr>
                <w:rFonts w:asciiTheme="minorHAnsi" w:hAnsiTheme="minorHAnsi" w:cstheme="minorHAnsi"/>
                <w:sz w:val="20"/>
                <w:szCs w:val="20"/>
              </w:rPr>
              <w:t>Sector</w:t>
            </w:r>
          </w:p>
        </w:tc>
      </w:tr>
      <w:tr w:rsidR="00193CFF" w:rsidRPr="000F130A" w:rsidTr="00B476AC">
        <w:trPr>
          <w:cnfStyle w:val="000000100000" w:firstRow="0" w:lastRow="0" w:firstColumn="0" w:lastColumn="0" w:oddVBand="0" w:evenVBand="0" w:oddHBand="1" w:evenHBand="0" w:firstRowFirstColumn="0" w:firstRowLastColumn="0" w:lastRowFirstColumn="0" w:lastRowLastColumn="0"/>
        </w:trPr>
        <w:tc>
          <w:tcPr>
            <w:tcW w:w="1680" w:type="pct"/>
            <w:vAlign w:val="center"/>
          </w:tcPr>
          <w:p w:rsidR="00193CFF" w:rsidRPr="004E76CA" w:rsidRDefault="00193CFF" w:rsidP="00B476AC">
            <w:pPr>
              <w:jc w:val="center"/>
              <w:rPr>
                <w:rFonts w:asciiTheme="minorHAnsi" w:hAnsiTheme="minorHAnsi" w:cstheme="minorHAnsi"/>
                <w:sz w:val="20"/>
                <w:szCs w:val="20"/>
              </w:rPr>
            </w:pPr>
            <w:proofErr w:type="spellStart"/>
            <w:r w:rsidRPr="00A12BD5">
              <w:rPr>
                <w:rFonts w:asciiTheme="minorHAnsi" w:hAnsiTheme="minorHAnsi" w:cstheme="minorHAnsi"/>
                <w:sz w:val="20"/>
                <w:szCs w:val="20"/>
              </w:rPr>
              <w:t>ILtg-Lfluor-Elec</w:t>
            </w:r>
            <w:proofErr w:type="spellEnd"/>
          </w:p>
        </w:tc>
        <w:tc>
          <w:tcPr>
            <w:tcW w:w="2246" w:type="pct"/>
            <w:vAlign w:val="center"/>
          </w:tcPr>
          <w:p w:rsidR="00193CFF" w:rsidRPr="004E76CA" w:rsidRDefault="00193CFF" w:rsidP="00B476AC">
            <w:pPr>
              <w:jc w:val="center"/>
              <w:rPr>
                <w:rFonts w:asciiTheme="minorHAnsi" w:hAnsiTheme="minorHAnsi" w:cstheme="minorHAnsi"/>
                <w:sz w:val="20"/>
                <w:szCs w:val="20"/>
              </w:rPr>
            </w:pPr>
            <w:r w:rsidRPr="00A12BD5">
              <w:rPr>
                <w:rFonts w:asciiTheme="minorHAnsi" w:hAnsiTheme="minorHAnsi" w:cstheme="minorHAnsi"/>
                <w:sz w:val="20"/>
                <w:szCs w:val="20"/>
              </w:rPr>
              <w:t>Linear Fluorescent with Electronic Ballast</w:t>
            </w:r>
          </w:p>
        </w:tc>
        <w:tc>
          <w:tcPr>
            <w:tcW w:w="1074" w:type="pct"/>
            <w:vAlign w:val="center"/>
          </w:tcPr>
          <w:p w:rsidR="00193CFF" w:rsidRPr="004E76CA" w:rsidRDefault="00193CFF" w:rsidP="00B476AC">
            <w:pPr>
              <w:jc w:val="center"/>
              <w:rPr>
                <w:rFonts w:asciiTheme="minorHAnsi" w:hAnsiTheme="minorHAnsi" w:cstheme="minorHAnsi"/>
                <w:sz w:val="20"/>
                <w:szCs w:val="20"/>
              </w:rPr>
            </w:pPr>
            <w:r w:rsidRPr="00C74F63">
              <w:rPr>
                <w:rFonts w:asciiTheme="minorHAnsi" w:hAnsiTheme="minorHAnsi" w:cstheme="minorHAnsi"/>
                <w:sz w:val="20"/>
                <w:szCs w:val="20"/>
              </w:rPr>
              <w:t>Com</w:t>
            </w:r>
          </w:p>
        </w:tc>
      </w:tr>
    </w:tbl>
    <w:p w:rsidR="00193CFF" w:rsidRDefault="00193CFF" w:rsidP="00193CFF">
      <w:pPr>
        <w:rPr>
          <w:rFonts w:asciiTheme="minorHAnsi" w:hAnsiTheme="minorHAnsi" w:cstheme="minorHAnsi"/>
        </w:rPr>
      </w:pPr>
    </w:p>
    <w:p w:rsidR="00193CFF" w:rsidRPr="00946CA8" w:rsidRDefault="00193CFF" w:rsidP="00193CFF">
      <w:pPr>
        <w:rPr>
          <w:rFonts w:asciiTheme="minorHAnsi" w:hAnsiTheme="minorHAnsi" w:cstheme="minorHAnsi"/>
        </w:rPr>
      </w:pPr>
      <w:r w:rsidRPr="00946CA8">
        <w:rPr>
          <w:rFonts w:asciiTheme="minorHAnsi" w:hAnsiTheme="minorHAnsi" w:cstheme="minorHAnsi"/>
        </w:rPr>
        <w:t>NTGR</w:t>
      </w:r>
    </w:p>
    <w:tbl>
      <w:tblPr>
        <w:tblStyle w:val="TableContemporary"/>
        <w:tblW w:w="4756" w:type="pct"/>
        <w:tblLook w:val="01E0" w:firstRow="1" w:lastRow="1" w:firstColumn="1" w:lastColumn="1" w:noHBand="0" w:noVBand="0"/>
      </w:tblPr>
      <w:tblGrid>
        <w:gridCol w:w="2173"/>
        <w:gridCol w:w="1776"/>
        <w:gridCol w:w="929"/>
        <w:gridCol w:w="1170"/>
        <w:gridCol w:w="1549"/>
        <w:gridCol w:w="1512"/>
      </w:tblGrid>
      <w:tr w:rsidR="00193CFF" w:rsidRPr="000F130A" w:rsidTr="00B476AC">
        <w:trPr>
          <w:cnfStyle w:val="100000000000" w:firstRow="1" w:lastRow="0" w:firstColumn="0" w:lastColumn="0" w:oddVBand="0" w:evenVBand="0" w:oddHBand="0" w:evenHBand="0" w:firstRowFirstColumn="0" w:firstRowLastColumn="0" w:lastRowFirstColumn="0" w:lastRowLastColumn="0"/>
        </w:trPr>
        <w:tc>
          <w:tcPr>
            <w:tcW w:w="1193" w:type="pct"/>
            <w:vAlign w:val="center"/>
          </w:tcPr>
          <w:p w:rsidR="00193CFF" w:rsidRPr="004E76CA" w:rsidRDefault="00193CFF" w:rsidP="00B476AC">
            <w:pPr>
              <w:jc w:val="center"/>
              <w:rPr>
                <w:rFonts w:asciiTheme="minorHAnsi" w:hAnsiTheme="minorHAnsi" w:cstheme="minorHAnsi"/>
                <w:sz w:val="20"/>
                <w:szCs w:val="20"/>
              </w:rPr>
            </w:pPr>
            <w:r w:rsidRPr="0066252B">
              <w:rPr>
                <w:rFonts w:asciiTheme="minorHAnsi" w:hAnsiTheme="minorHAnsi" w:cstheme="minorHAnsi"/>
                <w:sz w:val="20"/>
                <w:szCs w:val="20"/>
              </w:rPr>
              <w:t>NTGR_ID</w:t>
            </w:r>
          </w:p>
        </w:tc>
        <w:tc>
          <w:tcPr>
            <w:tcW w:w="975" w:type="pct"/>
            <w:vAlign w:val="center"/>
          </w:tcPr>
          <w:p w:rsidR="00193CFF" w:rsidRPr="004E76CA" w:rsidRDefault="00193CFF" w:rsidP="00B476AC">
            <w:pPr>
              <w:jc w:val="center"/>
              <w:rPr>
                <w:rFonts w:asciiTheme="minorHAnsi" w:hAnsiTheme="minorHAnsi" w:cstheme="minorHAnsi"/>
                <w:sz w:val="20"/>
                <w:szCs w:val="20"/>
              </w:rPr>
            </w:pPr>
            <w:r w:rsidRPr="0066252B">
              <w:rPr>
                <w:rFonts w:asciiTheme="minorHAnsi" w:hAnsiTheme="minorHAnsi" w:cstheme="minorHAnsi"/>
                <w:sz w:val="20"/>
                <w:szCs w:val="20"/>
              </w:rPr>
              <w:t>Description</w:t>
            </w:r>
          </w:p>
        </w:tc>
        <w:tc>
          <w:tcPr>
            <w:tcW w:w="510" w:type="pct"/>
            <w:vAlign w:val="center"/>
          </w:tcPr>
          <w:p w:rsidR="00193CFF" w:rsidRPr="004E76CA" w:rsidRDefault="00193CFF" w:rsidP="00B476AC">
            <w:pPr>
              <w:jc w:val="center"/>
              <w:rPr>
                <w:rFonts w:asciiTheme="minorHAnsi" w:hAnsiTheme="minorHAnsi" w:cstheme="minorHAnsi"/>
                <w:sz w:val="20"/>
                <w:szCs w:val="20"/>
              </w:rPr>
            </w:pPr>
            <w:r w:rsidRPr="0066252B">
              <w:rPr>
                <w:rFonts w:asciiTheme="minorHAnsi" w:hAnsiTheme="minorHAnsi" w:cstheme="minorHAnsi"/>
                <w:sz w:val="20"/>
                <w:szCs w:val="20"/>
              </w:rPr>
              <w:t>Sector</w:t>
            </w:r>
          </w:p>
        </w:tc>
        <w:tc>
          <w:tcPr>
            <w:tcW w:w="642" w:type="pct"/>
            <w:vAlign w:val="center"/>
          </w:tcPr>
          <w:p w:rsidR="00193CFF" w:rsidRPr="004E76CA" w:rsidRDefault="00193CFF" w:rsidP="00B476AC">
            <w:pPr>
              <w:jc w:val="center"/>
              <w:rPr>
                <w:rFonts w:asciiTheme="minorHAnsi" w:hAnsiTheme="minorHAnsi" w:cstheme="minorHAnsi"/>
                <w:sz w:val="20"/>
                <w:szCs w:val="20"/>
              </w:rPr>
            </w:pPr>
            <w:proofErr w:type="spellStart"/>
            <w:r w:rsidRPr="0066252B">
              <w:rPr>
                <w:rFonts w:asciiTheme="minorHAnsi" w:hAnsiTheme="minorHAnsi" w:cstheme="minorHAnsi"/>
                <w:sz w:val="20"/>
                <w:szCs w:val="20"/>
              </w:rPr>
              <w:t>BldgType</w:t>
            </w:r>
            <w:proofErr w:type="spellEnd"/>
          </w:p>
        </w:tc>
        <w:tc>
          <w:tcPr>
            <w:tcW w:w="850" w:type="pct"/>
          </w:tcPr>
          <w:p w:rsidR="00193CFF" w:rsidRPr="004E76CA" w:rsidRDefault="00193CFF" w:rsidP="00B476AC">
            <w:pPr>
              <w:jc w:val="center"/>
              <w:rPr>
                <w:rFonts w:asciiTheme="minorHAnsi" w:hAnsiTheme="minorHAnsi" w:cstheme="minorHAnsi"/>
                <w:sz w:val="20"/>
                <w:szCs w:val="20"/>
              </w:rPr>
            </w:pPr>
            <w:proofErr w:type="spellStart"/>
            <w:r w:rsidRPr="00C74F63">
              <w:rPr>
                <w:rFonts w:asciiTheme="minorHAnsi" w:hAnsiTheme="minorHAnsi" w:cstheme="minorHAnsi"/>
                <w:sz w:val="20"/>
                <w:szCs w:val="20"/>
              </w:rPr>
              <w:t>ProgDelivID</w:t>
            </w:r>
            <w:proofErr w:type="spellEnd"/>
          </w:p>
        </w:tc>
        <w:tc>
          <w:tcPr>
            <w:tcW w:w="830" w:type="pct"/>
            <w:vAlign w:val="center"/>
          </w:tcPr>
          <w:p w:rsidR="00193CFF" w:rsidRPr="004E76CA" w:rsidRDefault="00193CFF" w:rsidP="00B476AC">
            <w:pPr>
              <w:jc w:val="center"/>
              <w:rPr>
                <w:rFonts w:asciiTheme="minorHAnsi" w:hAnsiTheme="minorHAnsi" w:cstheme="minorHAnsi"/>
                <w:sz w:val="20"/>
                <w:szCs w:val="20"/>
              </w:rPr>
            </w:pPr>
            <w:r w:rsidRPr="004E76CA">
              <w:rPr>
                <w:rFonts w:asciiTheme="minorHAnsi" w:hAnsiTheme="minorHAnsi" w:cstheme="minorHAnsi"/>
                <w:sz w:val="20"/>
                <w:szCs w:val="20"/>
              </w:rPr>
              <w:t>NTG</w:t>
            </w:r>
          </w:p>
        </w:tc>
      </w:tr>
      <w:tr w:rsidR="00193CFF" w:rsidRPr="000F130A" w:rsidTr="00B476AC">
        <w:trPr>
          <w:cnfStyle w:val="000000100000" w:firstRow="0" w:lastRow="0" w:firstColumn="0" w:lastColumn="0" w:oddVBand="0" w:evenVBand="0" w:oddHBand="1" w:evenHBand="0" w:firstRowFirstColumn="0" w:firstRowLastColumn="0" w:lastRowFirstColumn="0" w:lastRowLastColumn="0"/>
        </w:trPr>
        <w:tc>
          <w:tcPr>
            <w:tcW w:w="1193" w:type="pct"/>
            <w:vAlign w:val="center"/>
          </w:tcPr>
          <w:p w:rsidR="00193CFF" w:rsidRPr="004E76CA" w:rsidRDefault="00193CFF" w:rsidP="00B476AC">
            <w:pPr>
              <w:jc w:val="center"/>
              <w:rPr>
                <w:rFonts w:asciiTheme="minorHAnsi" w:hAnsiTheme="minorHAnsi" w:cstheme="minorHAnsi"/>
                <w:sz w:val="20"/>
                <w:szCs w:val="20"/>
              </w:rPr>
            </w:pPr>
            <w:r w:rsidRPr="008A2500">
              <w:rPr>
                <w:rFonts w:asciiTheme="minorHAnsi" w:hAnsiTheme="minorHAnsi" w:cstheme="minorHAnsi"/>
                <w:sz w:val="20"/>
                <w:szCs w:val="20"/>
              </w:rPr>
              <w:t>NonRes-sAll-mT5T8-dn</w:t>
            </w:r>
          </w:p>
        </w:tc>
        <w:tc>
          <w:tcPr>
            <w:tcW w:w="975" w:type="pct"/>
            <w:vAlign w:val="center"/>
          </w:tcPr>
          <w:p w:rsidR="00193CFF" w:rsidRPr="004E76CA" w:rsidRDefault="00193CFF" w:rsidP="00B476AC">
            <w:pPr>
              <w:jc w:val="center"/>
              <w:rPr>
                <w:rFonts w:asciiTheme="minorHAnsi" w:hAnsiTheme="minorHAnsi" w:cstheme="minorHAnsi"/>
                <w:sz w:val="20"/>
                <w:szCs w:val="20"/>
              </w:rPr>
            </w:pPr>
            <w:r w:rsidRPr="005D23D6">
              <w:rPr>
                <w:rFonts w:asciiTheme="minorHAnsi" w:hAnsiTheme="minorHAnsi" w:cstheme="minorHAnsi"/>
                <w:sz w:val="20"/>
                <w:szCs w:val="20"/>
              </w:rPr>
              <w:t>T5 and T8 lamps</w:t>
            </w:r>
          </w:p>
        </w:tc>
        <w:tc>
          <w:tcPr>
            <w:tcW w:w="510" w:type="pct"/>
            <w:vAlign w:val="center"/>
          </w:tcPr>
          <w:p w:rsidR="00193CFF" w:rsidRPr="004E76CA" w:rsidRDefault="00193CFF" w:rsidP="00B476AC">
            <w:pPr>
              <w:jc w:val="center"/>
              <w:rPr>
                <w:rFonts w:asciiTheme="minorHAnsi" w:hAnsiTheme="minorHAnsi" w:cstheme="minorHAnsi"/>
                <w:sz w:val="20"/>
                <w:szCs w:val="20"/>
              </w:rPr>
            </w:pPr>
            <w:r w:rsidRPr="00C74F63">
              <w:rPr>
                <w:rFonts w:asciiTheme="minorHAnsi" w:hAnsiTheme="minorHAnsi" w:cstheme="minorHAnsi"/>
                <w:sz w:val="20"/>
                <w:szCs w:val="20"/>
              </w:rPr>
              <w:t>Com</w:t>
            </w:r>
          </w:p>
        </w:tc>
        <w:tc>
          <w:tcPr>
            <w:tcW w:w="642" w:type="pct"/>
            <w:vAlign w:val="center"/>
          </w:tcPr>
          <w:p w:rsidR="00193CFF" w:rsidRPr="004E76CA" w:rsidRDefault="00193CFF" w:rsidP="00B476AC">
            <w:pPr>
              <w:jc w:val="center"/>
              <w:rPr>
                <w:rFonts w:asciiTheme="minorHAnsi" w:hAnsiTheme="minorHAnsi" w:cstheme="minorHAnsi"/>
                <w:sz w:val="20"/>
                <w:szCs w:val="20"/>
              </w:rPr>
            </w:pPr>
            <w:r w:rsidRPr="00C74F63">
              <w:rPr>
                <w:rFonts w:asciiTheme="minorHAnsi" w:hAnsiTheme="minorHAnsi" w:cstheme="minorHAnsi"/>
                <w:sz w:val="20"/>
                <w:szCs w:val="20"/>
              </w:rPr>
              <w:t>Any</w:t>
            </w:r>
          </w:p>
        </w:tc>
        <w:tc>
          <w:tcPr>
            <w:tcW w:w="850" w:type="pct"/>
            <w:vAlign w:val="center"/>
          </w:tcPr>
          <w:p w:rsidR="00193CFF" w:rsidRDefault="00193CFF" w:rsidP="00B476AC">
            <w:pPr>
              <w:jc w:val="center"/>
              <w:rPr>
                <w:rFonts w:asciiTheme="minorHAnsi" w:hAnsiTheme="minorHAnsi" w:cstheme="minorHAnsi"/>
                <w:sz w:val="20"/>
                <w:szCs w:val="20"/>
              </w:rPr>
            </w:pPr>
            <w:proofErr w:type="spellStart"/>
            <w:r w:rsidRPr="005D23D6">
              <w:rPr>
                <w:rFonts w:asciiTheme="minorHAnsi" w:hAnsiTheme="minorHAnsi" w:cstheme="minorHAnsi"/>
                <w:sz w:val="20"/>
                <w:szCs w:val="20"/>
              </w:rPr>
              <w:t>PreRebDown</w:t>
            </w:r>
            <w:proofErr w:type="spellEnd"/>
          </w:p>
        </w:tc>
        <w:tc>
          <w:tcPr>
            <w:tcW w:w="830" w:type="pct"/>
            <w:vAlign w:val="center"/>
          </w:tcPr>
          <w:p w:rsidR="00193CFF" w:rsidRPr="004E76CA" w:rsidRDefault="00193CFF" w:rsidP="00B476AC">
            <w:pPr>
              <w:jc w:val="center"/>
              <w:rPr>
                <w:rFonts w:asciiTheme="minorHAnsi" w:hAnsiTheme="minorHAnsi" w:cstheme="minorHAnsi"/>
                <w:sz w:val="20"/>
                <w:szCs w:val="20"/>
              </w:rPr>
            </w:pPr>
            <w:r>
              <w:rPr>
                <w:rFonts w:asciiTheme="minorHAnsi" w:hAnsiTheme="minorHAnsi" w:cstheme="minorHAnsi"/>
                <w:sz w:val="20"/>
                <w:szCs w:val="20"/>
              </w:rPr>
              <w:t>0.7</w:t>
            </w:r>
          </w:p>
        </w:tc>
      </w:tr>
      <w:tr w:rsidR="00193CFF" w:rsidRPr="000F130A" w:rsidTr="00B476AC">
        <w:trPr>
          <w:cnfStyle w:val="000000010000" w:firstRow="0" w:lastRow="0" w:firstColumn="0" w:lastColumn="0" w:oddVBand="0" w:evenVBand="0" w:oddHBand="0" w:evenHBand="1" w:firstRowFirstColumn="0" w:firstRowLastColumn="0" w:lastRowFirstColumn="0" w:lastRowLastColumn="0"/>
        </w:trPr>
        <w:tc>
          <w:tcPr>
            <w:tcW w:w="1193" w:type="pct"/>
            <w:vAlign w:val="center"/>
          </w:tcPr>
          <w:p w:rsidR="00193CFF" w:rsidRPr="00F03472" w:rsidRDefault="00193CFF" w:rsidP="00B476AC">
            <w:pPr>
              <w:jc w:val="center"/>
              <w:rPr>
                <w:rFonts w:ascii="Calibri" w:hAnsi="Calibri" w:cs="Calibri"/>
                <w:color w:val="000000"/>
                <w:sz w:val="22"/>
                <w:szCs w:val="22"/>
              </w:rPr>
            </w:pPr>
            <w:r>
              <w:rPr>
                <w:rFonts w:ascii="Calibri" w:hAnsi="Calibri" w:cs="Calibri"/>
                <w:color w:val="000000"/>
                <w:sz w:val="22"/>
                <w:szCs w:val="22"/>
              </w:rPr>
              <w:t>Com-Default&gt;2yrs</w:t>
            </w:r>
          </w:p>
        </w:tc>
        <w:tc>
          <w:tcPr>
            <w:tcW w:w="975" w:type="pct"/>
            <w:vAlign w:val="center"/>
          </w:tcPr>
          <w:p w:rsidR="00193CFF" w:rsidRPr="005D23D6" w:rsidRDefault="00193CFF" w:rsidP="00B476AC">
            <w:pPr>
              <w:jc w:val="center"/>
              <w:rPr>
                <w:rFonts w:asciiTheme="minorHAnsi" w:hAnsiTheme="minorHAnsi" w:cstheme="minorHAnsi"/>
                <w:sz w:val="20"/>
                <w:szCs w:val="20"/>
              </w:rPr>
            </w:pPr>
            <w:r>
              <w:rPr>
                <w:rFonts w:asciiTheme="minorHAnsi" w:hAnsiTheme="minorHAnsi" w:cstheme="minorHAnsi"/>
                <w:sz w:val="20"/>
                <w:szCs w:val="20"/>
              </w:rPr>
              <w:t>T5 &amp; T8 lamps</w:t>
            </w:r>
          </w:p>
        </w:tc>
        <w:tc>
          <w:tcPr>
            <w:tcW w:w="510" w:type="pct"/>
            <w:vAlign w:val="center"/>
          </w:tcPr>
          <w:p w:rsidR="00193CFF" w:rsidRPr="00C74F63" w:rsidRDefault="00193CFF" w:rsidP="00B476AC">
            <w:pPr>
              <w:jc w:val="center"/>
              <w:rPr>
                <w:rFonts w:asciiTheme="minorHAnsi" w:hAnsiTheme="minorHAnsi" w:cstheme="minorHAnsi"/>
                <w:sz w:val="20"/>
                <w:szCs w:val="20"/>
              </w:rPr>
            </w:pPr>
            <w:r>
              <w:rPr>
                <w:rFonts w:asciiTheme="minorHAnsi" w:hAnsiTheme="minorHAnsi" w:cstheme="minorHAnsi"/>
                <w:sz w:val="20"/>
                <w:szCs w:val="20"/>
              </w:rPr>
              <w:t>Com</w:t>
            </w:r>
          </w:p>
        </w:tc>
        <w:tc>
          <w:tcPr>
            <w:tcW w:w="642" w:type="pct"/>
            <w:vAlign w:val="center"/>
          </w:tcPr>
          <w:p w:rsidR="00193CFF" w:rsidRPr="00C74F63" w:rsidRDefault="00193CFF" w:rsidP="00B476AC">
            <w:pPr>
              <w:jc w:val="center"/>
              <w:rPr>
                <w:rFonts w:asciiTheme="minorHAnsi" w:hAnsiTheme="minorHAnsi" w:cstheme="minorHAnsi"/>
                <w:sz w:val="20"/>
                <w:szCs w:val="20"/>
              </w:rPr>
            </w:pPr>
            <w:r>
              <w:rPr>
                <w:rFonts w:asciiTheme="minorHAnsi" w:hAnsiTheme="minorHAnsi" w:cstheme="minorHAnsi"/>
                <w:sz w:val="20"/>
                <w:szCs w:val="20"/>
              </w:rPr>
              <w:t>Any</w:t>
            </w:r>
          </w:p>
        </w:tc>
        <w:tc>
          <w:tcPr>
            <w:tcW w:w="850" w:type="pct"/>
            <w:vAlign w:val="center"/>
          </w:tcPr>
          <w:p w:rsidR="00193CFF" w:rsidRPr="005D23D6" w:rsidRDefault="00193CFF" w:rsidP="00B476AC">
            <w:pPr>
              <w:jc w:val="center"/>
              <w:rPr>
                <w:rFonts w:asciiTheme="minorHAnsi" w:hAnsiTheme="minorHAnsi" w:cstheme="minorHAnsi"/>
                <w:sz w:val="20"/>
                <w:szCs w:val="20"/>
              </w:rPr>
            </w:pPr>
            <w:r>
              <w:rPr>
                <w:rFonts w:asciiTheme="minorHAnsi" w:hAnsiTheme="minorHAnsi" w:cstheme="minorHAnsi"/>
                <w:sz w:val="20"/>
                <w:szCs w:val="20"/>
              </w:rPr>
              <w:t>All</w:t>
            </w:r>
          </w:p>
        </w:tc>
        <w:tc>
          <w:tcPr>
            <w:tcW w:w="830" w:type="pct"/>
            <w:vAlign w:val="center"/>
          </w:tcPr>
          <w:p w:rsidR="00193CFF" w:rsidRDefault="00193CFF" w:rsidP="00B476AC">
            <w:pPr>
              <w:jc w:val="center"/>
              <w:rPr>
                <w:rFonts w:asciiTheme="minorHAnsi" w:hAnsiTheme="minorHAnsi" w:cstheme="minorHAnsi"/>
                <w:sz w:val="20"/>
                <w:szCs w:val="20"/>
              </w:rPr>
            </w:pPr>
            <w:r>
              <w:rPr>
                <w:rFonts w:asciiTheme="minorHAnsi" w:hAnsiTheme="minorHAnsi" w:cstheme="minorHAnsi"/>
                <w:sz w:val="20"/>
                <w:szCs w:val="20"/>
              </w:rPr>
              <w:t>0.6</w:t>
            </w:r>
          </w:p>
        </w:tc>
      </w:tr>
    </w:tbl>
    <w:p w:rsidR="00193CFF" w:rsidRDefault="00193CFF" w:rsidP="00193CFF">
      <w:pPr>
        <w:rPr>
          <w:rFonts w:asciiTheme="minorHAnsi" w:hAnsiTheme="minorHAnsi" w:cstheme="minorHAnsi"/>
        </w:rPr>
      </w:pPr>
    </w:p>
    <w:p w:rsidR="00193CFF" w:rsidRPr="00946CA8" w:rsidRDefault="00193CFF" w:rsidP="00193CFF">
      <w:pPr>
        <w:rPr>
          <w:rFonts w:asciiTheme="minorHAnsi" w:hAnsiTheme="minorHAnsi" w:cstheme="minorHAnsi"/>
        </w:rPr>
      </w:pPr>
      <w:r>
        <w:rPr>
          <w:rFonts w:asciiTheme="minorHAnsi" w:hAnsiTheme="minorHAnsi" w:cstheme="minorHAnsi"/>
        </w:rPr>
        <w:t>GSIA</w:t>
      </w:r>
    </w:p>
    <w:tbl>
      <w:tblPr>
        <w:tblStyle w:val="TableContemporary"/>
        <w:tblW w:w="4756" w:type="pct"/>
        <w:tblLayout w:type="fixed"/>
        <w:tblLook w:val="01E0" w:firstRow="1" w:lastRow="1" w:firstColumn="1" w:lastColumn="1" w:noHBand="0" w:noVBand="0"/>
      </w:tblPr>
      <w:tblGrid>
        <w:gridCol w:w="1279"/>
        <w:gridCol w:w="2795"/>
        <w:gridCol w:w="896"/>
        <w:gridCol w:w="1080"/>
        <w:gridCol w:w="1439"/>
        <w:gridCol w:w="1620"/>
      </w:tblGrid>
      <w:tr w:rsidR="00193CFF" w:rsidRPr="000F130A" w:rsidTr="00B476AC">
        <w:trPr>
          <w:cnfStyle w:val="100000000000" w:firstRow="1" w:lastRow="0" w:firstColumn="0" w:lastColumn="0" w:oddVBand="0" w:evenVBand="0" w:oddHBand="0" w:evenHBand="0" w:firstRowFirstColumn="0" w:firstRowLastColumn="0" w:lastRowFirstColumn="0" w:lastRowLastColumn="0"/>
        </w:trPr>
        <w:tc>
          <w:tcPr>
            <w:tcW w:w="702" w:type="pct"/>
            <w:vAlign w:val="center"/>
          </w:tcPr>
          <w:p w:rsidR="00193CFF" w:rsidRPr="004E76CA" w:rsidRDefault="00193CFF" w:rsidP="00B476AC">
            <w:pPr>
              <w:jc w:val="center"/>
              <w:rPr>
                <w:rFonts w:asciiTheme="minorHAnsi" w:hAnsiTheme="minorHAnsi" w:cstheme="minorHAnsi"/>
                <w:sz w:val="20"/>
                <w:szCs w:val="20"/>
              </w:rPr>
            </w:pPr>
            <w:r>
              <w:rPr>
                <w:rFonts w:asciiTheme="minorHAnsi" w:hAnsiTheme="minorHAnsi" w:cstheme="minorHAnsi"/>
                <w:sz w:val="20"/>
                <w:szCs w:val="20"/>
              </w:rPr>
              <w:t>GSIA</w:t>
            </w:r>
            <w:r w:rsidRPr="0066252B">
              <w:rPr>
                <w:rFonts w:asciiTheme="minorHAnsi" w:hAnsiTheme="minorHAnsi" w:cstheme="minorHAnsi"/>
                <w:sz w:val="20"/>
                <w:szCs w:val="20"/>
              </w:rPr>
              <w:t>_ID</w:t>
            </w:r>
          </w:p>
        </w:tc>
        <w:tc>
          <w:tcPr>
            <w:tcW w:w="1534" w:type="pct"/>
            <w:vAlign w:val="center"/>
          </w:tcPr>
          <w:p w:rsidR="00193CFF" w:rsidRPr="004E76CA" w:rsidRDefault="00193CFF" w:rsidP="00B476AC">
            <w:pPr>
              <w:jc w:val="center"/>
              <w:rPr>
                <w:rFonts w:asciiTheme="minorHAnsi" w:hAnsiTheme="minorHAnsi" w:cstheme="minorHAnsi"/>
                <w:sz w:val="20"/>
                <w:szCs w:val="20"/>
              </w:rPr>
            </w:pPr>
            <w:r w:rsidRPr="0066252B">
              <w:rPr>
                <w:rFonts w:asciiTheme="minorHAnsi" w:hAnsiTheme="minorHAnsi" w:cstheme="minorHAnsi"/>
                <w:sz w:val="20"/>
                <w:szCs w:val="20"/>
              </w:rPr>
              <w:t>Description</w:t>
            </w:r>
          </w:p>
        </w:tc>
        <w:tc>
          <w:tcPr>
            <w:tcW w:w="492" w:type="pct"/>
            <w:vAlign w:val="center"/>
          </w:tcPr>
          <w:p w:rsidR="00193CFF" w:rsidRPr="004E76CA" w:rsidRDefault="00193CFF" w:rsidP="00B476AC">
            <w:pPr>
              <w:jc w:val="center"/>
              <w:rPr>
                <w:rFonts w:asciiTheme="minorHAnsi" w:hAnsiTheme="minorHAnsi" w:cstheme="minorHAnsi"/>
                <w:sz w:val="20"/>
                <w:szCs w:val="20"/>
              </w:rPr>
            </w:pPr>
            <w:r w:rsidRPr="0066252B">
              <w:rPr>
                <w:rFonts w:asciiTheme="minorHAnsi" w:hAnsiTheme="minorHAnsi" w:cstheme="minorHAnsi"/>
                <w:sz w:val="20"/>
                <w:szCs w:val="20"/>
              </w:rPr>
              <w:t>Sector</w:t>
            </w:r>
          </w:p>
        </w:tc>
        <w:tc>
          <w:tcPr>
            <w:tcW w:w="593" w:type="pct"/>
            <w:vAlign w:val="center"/>
          </w:tcPr>
          <w:p w:rsidR="00193CFF" w:rsidRPr="004E76CA" w:rsidRDefault="00193CFF" w:rsidP="00B476AC">
            <w:pPr>
              <w:jc w:val="center"/>
              <w:rPr>
                <w:rFonts w:asciiTheme="minorHAnsi" w:hAnsiTheme="minorHAnsi" w:cstheme="minorHAnsi"/>
                <w:sz w:val="20"/>
                <w:szCs w:val="20"/>
              </w:rPr>
            </w:pPr>
            <w:proofErr w:type="spellStart"/>
            <w:r w:rsidRPr="0066252B">
              <w:rPr>
                <w:rFonts w:asciiTheme="minorHAnsi" w:hAnsiTheme="minorHAnsi" w:cstheme="minorHAnsi"/>
                <w:sz w:val="20"/>
                <w:szCs w:val="20"/>
              </w:rPr>
              <w:t>BldgType</w:t>
            </w:r>
            <w:proofErr w:type="spellEnd"/>
          </w:p>
        </w:tc>
        <w:tc>
          <w:tcPr>
            <w:tcW w:w="790" w:type="pct"/>
            <w:vAlign w:val="center"/>
          </w:tcPr>
          <w:p w:rsidR="00193CFF" w:rsidRPr="004E76CA" w:rsidRDefault="00193CFF" w:rsidP="00B476AC">
            <w:pPr>
              <w:jc w:val="center"/>
              <w:rPr>
                <w:rFonts w:asciiTheme="minorHAnsi" w:hAnsiTheme="minorHAnsi" w:cstheme="minorHAnsi"/>
                <w:sz w:val="20"/>
                <w:szCs w:val="20"/>
              </w:rPr>
            </w:pPr>
            <w:proofErr w:type="spellStart"/>
            <w:r>
              <w:rPr>
                <w:rFonts w:asciiTheme="minorHAnsi" w:hAnsiTheme="minorHAnsi" w:cstheme="minorHAnsi"/>
                <w:sz w:val="20"/>
                <w:szCs w:val="20"/>
              </w:rPr>
              <w:t>UseCategory</w:t>
            </w:r>
            <w:proofErr w:type="spellEnd"/>
          </w:p>
        </w:tc>
        <w:tc>
          <w:tcPr>
            <w:tcW w:w="889" w:type="pct"/>
            <w:vAlign w:val="center"/>
          </w:tcPr>
          <w:p w:rsidR="00193CFF" w:rsidRDefault="00193CFF" w:rsidP="00B476AC">
            <w:pPr>
              <w:jc w:val="center"/>
              <w:rPr>
                <w:rFonts w:asciiTheme="minorHAnsi" w:hAnsiTheme="minorHAnsi" w:cstheme="minorHAnsi"/>
                <w:sz w:val="20"/>
                <w:szCs w:val="20"/>
              </w:rPr>
            </w:pPr>
            <w:proofErr w:type="spellStart"/>
            <w:r>
              <w:rPr>
                <w:rFonts w:asciiTheme="minorHAnsi" w:hAnsiTheme="minorHAnsi" w:cstheme="minorHAnsi"/>
                <w:sz w:val="20"/>
                <w:szCs w:val="20"/>
              </w:rPr>
              <w:t>TechType</w:t>
            </w:r>
            <w:proofErr w:type="spellEnd"/>
          </w:p>
        </w:tc>
      </w:tr>
      <w:tr w:rsidR="00193CFF" w:rsidRPr="000F130A" w:rsidTr="00B476AC">
        <w:trPr>
          <w:cnfStyle w:val="000000100000" w:firstRow="0" w:lastRow="0" w:firstColumn="0" w:lastColumn="0" w:oddVBand="0" w:evenVBand="0" w:oddHBand="1" w:evenHBand="0" w:firstRowFirstColumn="0" w:firstRowLastColumn="0" w:lastRowFirstColumn="0" w:lastRowLastColumn="0"/>
        </w:trPr>
        <w:tc>
          <w:tcPr>
            <w:tcW w:w="702" w:type="pct"/>
            <w:vAlign w:val="center"/>
          </w:tcPr>
          <w:p w:rsidR="00193CFF" w:rsidRPr="009040B7" w:rsidRDefault="00193CFF" w:rsidP="00B476AC">
            <w:pPr>
              <w:jc w:val="center"/>
              <w:rPr>
                <w:rFonts w:asciiTheme="minorHAnsi" w:hAnsiTheme="minorHAnsi" w:cstheme="minorHAnsi"/>
                <w:sz w:val="20"/>
                <w:szCs w:val="20"/>
              </w:rPr>
            </w:pPr>
            <w:r w:rsidRPr="009040B7">
              <w:rPr>
                <w:rFonts w:asciiTheme="minorHAnsi" w:hAnsiTheme="minorHAnsi" w:cstheme="minorHAnsi"/>
                <w:sz w:val="20"/>
                <w:szCs w:val="20"/>
              </w:rPr>
              <w:t>Com-LF-SDG</w:t>
            </w:r>
          </w:p>
        </w:tc>
        <w:tc>
          <w:tcPr>
            <w:tcW w:w="1534" w:type="pct"/>
            <w:vAlign w:val="center"/>
          </w:tcPr>
          <w:p w:rsidR="00193CFF" w:rsidRPr="009040B7" w:rsidRDefault="00193CFF" w:rsidP="00B476AC">
            <w:pPr>
              <w:jc w:val="center"/>
              <w:rPr>
                <w:rFonts w:asciiTheme="minorHAnsi" w:hAnsiTheme="minorHAnsi" w:cstheme="minorHAnsi"/>
                <w:sz w:val="20"/>
                <w:szCs w:val="20"/>
              </w:rPr>
            </w:pPr>
            <w:r w:rsidRPr="009040B7">
              <w:rPr>
                <w:rFonts w:asciiTheme="minorHAnsi" w:hAnsiTheme="minorHAnsi" w:cstheme="minorHAnsi"/>
                <w:sz w:val="20"/>
                <w:szCs w:val="20"/>
              </w:rPr>
              <w:t>Non-Res Linear Fluorescent fixture; Annual Installation Rate</w:t>
            </w:r>
          </w:p>
        </w:tc>
        <w:tc>
          <w:tcPr>
            <w:tcW w:w="492" w:type="pct"/>
            <w:vAlign w:val="center"/>
          </w:tcPr>
          <w:p w:rsidR="00193CFF" w:rsidRPr="00C74F63" w:rsidRDefault="00193CFF" w:rsidP="00B476AC">
            <w:pPr>
              <w:jc w:val="center"/>
              <w:rPr>
                <w:rFonts w:asciiTheme="minorHAnsi" w:hAnsiTheme="minorHAnsi" w:cstheme="minorHAnsi"/>
                <w:sz w:val="20"/>
                <w:szCs w:val="20"/>
              </w:rPr>
            </w:pPr>
            <w:r w:rsidRPr="00C74F63">
              <w:rPr>
                <w:rFonts w:asciiTheme="minorHAnsi" w:hAnsiTheme="minorHAnsi" w:cstheme="minorHAnsi"/>
                <w:sz w:val="20"/>
                <w:szCs w:val="20"/>
              </w:rPr>
              <w:t>Com</w:t>
            </w:r>
          </w:p>
        </w:tc>
        <w:tc>
          <w:tcPr>
            <w:tcW w:w="593" w:type="pct"/>
            <w:vAlign w:val="center"/>
          </w:tcPr>
          <w:p w:rsidR="00193CFF" w:rsidRPr="00C74F63" w:rsidRDefault="00193CFF" w:rsidP="00B476AC">
            <w:pPr>
              <w:jc w:val="center"/>
              <w:rPr>
                <w:rFonts w:asciiTheme="minorHAnsi" w:hAnsiTheme="minorHAnsi" w:cstheme="minorHAnsi"/>
                <w:sz w:val="20"/>
                <w:szCs w:val="20"/>
              </w:rPr>
            </w:pPr>
            <w:r w:rsidRPr="00C74F63">
              <w:rPr>
                <w:rFonts w:asciiTheme="minorHAnsi" w:hAnsiTheme="minorHAnsi" w:cstheme="minorHAnsi"/>
                <w:sz w:val="20"/>
                <w:szCs w:val="20"/>
              </w:rPr>
              <w:t>Any</w:t>
            </w:r>
          </w:p>
        </w:tc>
        <w:tc>
          <w:tcPr>
            <w:tcW w:w="790" w:type="pct"/>
            <w:vAlign w:val="center"/>
          </w:tcPr>
          <w:p w:rsidR="00193CFF" w:rsidRDefault="00193CFF" w:rsidP="00B476AC">
            <w:pPr>
              <w:jc w:val="center"/>
              <w:rPr>
                <w:rFonts w:asciiTheme="minorHAnsi" w:hAnsiTheme="minorHAnsi" w:cstheme="minorHAnsi"/>
                <w:sz w:val="20"/>
                <w:szCs w:val="20"/>
              </w:rPr>
            </w:pPr>
            <w:r>
              <w:rPr>
                <w:rFonts w:asciiTheme="minorHAnsi" w:hAnsiTheme="minorHAnsi" w:cstheme="minorHAnsi"/>
                <w:sz w:val="20"/>
                <w:szCs w:val="20"/>
              </w:rPr>
              <w:t>Lighting</w:t>
            </w:r>
          </w:p>
        </w:tc>
        <w:tc>
          <w:tcPr>
            <w:tcW w:w="890" w:type="pct"/>
            <w:vAlign w:val="center"/>
          </w:tcPr>
          <w:p w:rsidR="00193CFF" w:rsidRPr="009040B7" w:rsidRDefault="00193CFF" w:rsidP="00B476AC">
            <w:pPr>
              <w:jc w:val="center"/>
              <w:rPr>
                <w:rFonts w:asciiTheme="minorHAnsi" w:hAnsiTheme="minorHAnsi" w:cstheme="minorHAnsi"/>
                <w:sz w:val="20"/>
                <w:szCs w:val="20"/>
              </w:rPr>
            </w:pPr>
            <w:proofErr w:type="spellStart"/>
            <w:r w:rsidRPr="009040B7">
              <w:rPr>
                <w:rFonts w:asciiTheme="minorHAnsi" w:hAnsiTheme="minorHAnsi" w:cstheme="minorHAnsi"/>
                <w:sz w:val="20"/>
                <w:szCs w:val="20"/>
              </w:rPr>
              <w:t>LinFluor_fixt</w:t>
            </w:r>
            <w:proofErr w:type="spellEnd"/>
          </w:p>
        </w:tc>
      </w:tr>
    </w:tbl>
    <w:p w:rsidR="00193CFF" w:rsidRDefault="00193CFF" w:rsidP="00193CFF">
      <w:pPr>
        <w:rPr>
          <w:rFonts w:asciiTheme="minorHAnsi" w:hAnsiTheme="minorHAnsi" w:cstheme="minorHAnsi"/>
        </w:rPr>
      </w:pPr>
    </w:p>
    <w:p w:rsidR="00193CFF" w:rsidRDefault="00193CFF" w:rsidP="00193CFF">
      <w:pPr>
        <w:rPr>
          <w:rFonts w:asciiTheme="minorHAnsi" w:hAnsiTheme="minorHAnsi" w:cstheme="minorHAnsi"/>
        </w:rPr>
      </w:pPr>
      <w:r>
        <w:rPr>
          <w:rFonts w:asciiTheme="minorHAnsi" w:hAnsiTheme="minorHAnsi" w:cstheme="minorHAnsi"/>
        </w:rPr>
        <w:t>BUILDING TYPE &amp; LOAD SHAPE</w:t>
      </w:r>
    </w:p>
    <w:tbl>
      <w:tblPr>
        <w:tblStyle w:val="TableContemporary"/>
        <w:tblW w:w="3534" w:type="pct"/>
        <w:tblLook w:val="01E0" w:firstRow="1" w:lastRow="1" w:firstColumn="1" w:lastColumn="1" w:noHBand="0" w:noVBand="0"/>
      </w:tblPr>
      <w:tblGrid>
        <w:gridCol w:w="1782"/>
        <w:gridCol w:w="2166"/>
        <w:gridCol w:w="2820"/>
      </w:tblGrid>
      <w:tr w:rsidR="00193CFF" w:rsidRPr="00181968" w:rsidTr="00B476AC">
        <w:trPr>
          <w:cnfStyle w:val="100000000000" w:firstRow="1" w:lastRow="0" w:firstColumn="0" w:lastColumn="0" w:oddVBand="0" w:evenVBand="0" w:oddHBand="0" w:evenHBand="0" w:firstRowFirstColumn="0" w:firstRowLastColumn="0" w:lastRowFirstColumn="0" w:lastRowLastColumn="0"/>
        </w:trPr>
        <w:tc>
          <w:tcPr>
            <w:tcW w:w="1316" w:type="pct"/>
            <w:vAlign w:val="center"/>
          </w:tcPr>
          <w:p w:rsidR="00193CFF" w:rsidRPr="00181968" w:rsidRDefault="00193CFF" w:rsidP="00B476AC">
            <w:pPr>
              <w:jc w:val="center"/>
              <w:rPr>
                <w:rFonts w:asciiTheme="minorHAnsi" w:hAnsiTheme="minorHAnsi" w:cstheme="minorHAnsi"/>
                <w:sz w:val="20"/>
                <w:szCs w:val="20"/>
                <w:highlight w:val="yellow"/>
              </w:rPr>
            </w:pPr>
            <w:r w:rsidRPr="00181968">
              <w:rPr>
                <w:rFonts w:asciiTheme="minorHAnsi" w:hAnsiTheme="minorHAnsi" w:cstheme="minorHAnsi"/>
                <w:sz w:val="20"/>
                <w:szCs w:val="20"/>
              </w:rPr>
              <w:t>Building Type</w:t>
            </w:r>
          </w:p>
        </w:tc>
        <w:tc>
          <w:tcPr>
            <w:tcW w:w="1600" w:type="pct"/>
            <w:vAlign w:val="center"/>
          </w:tcPr>
          <w:p w:rsidR="00193CFF" w:rsidRPr="00181968" w:rsidRDefault="00193CFF" w:rsidP="00B476AC">
            <w:pPr>
              <w:jc w:val="center"/>
              <w:rPr>
                <w:rFonts w:asciiTheme="minorHAnsi" w:hAnsiTheme="minorHAnsi" w:cstheme="minorHAnsi"/>
                <w:sz w:val="20"/>
                <w:szCs w:val="20"/>
                <w:highlight w:val="yellow"/>
              </w:rPr>
            </w:pPr>
            <w:r w:rsidRPr="00181968">
              <w:rPr>
                <w:rFonts w:asciiTheme="minorHAnsi" w:hAnsiTheme="minorHAnsi" w:cstheme="minorHAnsi"/>
                <w:sz w:val="20"/>
                <w:szCs w:val="20"/>
              </w:rPr>
              <w:t>E3 Alt. Building Type</w:t>
            </w:r>
          </w:p>
        </w:tc>
        <w:tc>
          <w:tcPr>
            <w:tcW w:w="2083" w:type="pct"/>
            <w:vAlign w:val="center"/>
          </w:tcPr>
          <w:p w:rsidR="00193CFF" w:rsidRPr="00181968" w:rsidRDefault="00193CFF" w:rsidP="00B476AC">
            <w:pPr>
              <w:jc w:val="center"/>
              <w:rPr>
                <w:rFonts w:asciiTheme="minorHAnsi" w:hAnsiTheme="minorHAnsi" w:cstheme="minorHAnsi"/>
                <w:sz w:val="20"/>
                <w:szCs w:val="20"/>
              </w:rPr>
            </w:pPr>
            <w:r w:rsidRPr="00181968">
              <w:rPr>
                <w:rFonts w:asciiTheme="minorHAnsi" w:hAnsiTheme="minorHAnsi" w:cstheme="minorHAnsi"/>
                <w:sz w:val="20"/>
                <w:szCs w:val="20"/>
              </w:rPr>
              <w:t>Load Shape</w:t>
            </w:r>
          </w:p>
        </w:tc>
      </w:tr>
      <w:tr w:rsidR="00193CFF" w:rsidRPr="00181968" w:rsidTr="00B476AC">
        <w:trPr>
          <w:cnfStyle w:val="000000100000" w:firstRow="0" w:lastRow="0" w:firstColumn="0" w:lastColumn="0" w:oddVBand="0" w:evenVBand="0" w:oddHBand="1" w:evenHBand="0" w:firstRowFirstColumn="0" w:firstRowLastColumn="0" w:lastRowFirstColumn="0" w:lastRowLastColumn="0"/>
        </w:trPr>
        <w:tc>
          <w:tcPr>
            <w:tcW w:w="1316" w:type="pct"/>
            <w:vAlign w:val="center"/>
          </w:tcPr>
          <w:p w:rsidR="00193CFF" w:rsidRPr="00181968" w:rsidRDefault="00193CFF" w:rsidP="00B476AC">
            <w:pPr>
              <w:jc w:val="center"/>
              <w:rPr>
                <w:rFonts w:asciiTheme="minorHAnsi" w:hAnsiTheme="minorHAnsi" w:cstheme="minorHAnsi"/>
                <w:sz w:val="20"/>
                <w:szCs w:val="20"/>
              </w:rPr>
            </w:pPr>
            <w:r>
              <w:rPr>
                <w:rFonts w:asciiTheme="minorHAnsi" w:hAnsiTheme="minorHAnsi" w:cstheme="minorHAnsi"/>
                <w:sz w:val="20"/>
                <w:szCs w:val="20"/>
              </w:rPr>
              <w:t>Any</w:t>
            </w:r>
          </w:p>
        </w:tc>
        <w:tc>
          <w:tcPr>
            <w:tcW w:w="1600" w:type="pct"/>
            <w:vAlign w:val="center"/>
          </w:tcPr>
          <w:p w:rsidR="00193CFF" w:rsidRPr="00181968" w:rsidRDefault="00193CFF" w:rsidP="00B476AC">
            <w:pPr>
              <w:jc w:val="center"/>
              <w:rPr>
                <w:rFonts w:asciiTheme="minorHAnsi" w:hAnsiTheme="minorHAnsi" w:cstheme="minorHAnsi"/>
                <w:sz w:val="20"/>
                <w:szCs w:val="20"/>
              </w:rPr>
            </w:pPr>
            <w:r w:rsidRPr="00181968">
              <w:rPr>
                <w:rFonts w:asciiTheme="minorHAnsi" w:hAnsiTheme="minorHAnsi" w:cstheme="minorHAnsi"/>
                <w:sz w:val="20"/>
                <w:szCs w:val="20"/>
              </w:rPr>
              <w:t>NON_RES</w:t>
            </w:r>
          </w:p>
        </w:tc>
        <w:tc>
          <w:tcPr>
            <w:tcW w:w="2083" w:type="pct"/>
            <w:vAlign w:val="center"/>
          </w:tcPr>
          <w:p w:rsidR="00193CFF" w:rsidRPr="00181968" w:rsidRDefault="00193CFF" w:rsidP="00B476AC">
            <w:pPr>
              <w:jc w:val="center"/>
              <w:rPr>
                <w:rFonts w:asciiTheme="minorHAnsi" w:hAnsiTheme="minorHAnsi" w:cstheme="minorHAnsi"/>
                <w:sz w:val="20"/>
                <w:szCs w:val="20"/>
              </w:rPr>
            </w:pPr>
            <w:proofErr w:type="spellStart"/>
            <w:r w:rsidRPr="00181968">
              <w:rPr>
                <w:rFonts w:asciiTheme="minorHAnsi" w:hAnsiTheme="minorHAnsi" w:cstheme="minorHAnsi"/>
                <w:sz w:val="20"/>
                <w:szCs w:val="20"/>
              </w:rPr>
              <w:t>DEER:Indoor_Non-CFL_Ltg</w:t>
            </w:r>
            <w:proofErr w:type="spellEnd"/>
          </w:p>
        </w:tc>
      </w:tr>
    </w:tbl>
    <w:p w:rsidR="00193CFF" w:rsidRPr="00185824" w:rsidRDefault="00193CFF" w:rsidP="00D106D9">
      <w:pPr>
        <w:pStyle w:val="ListParagraph"/>
        <w:spacing w:after="120"/>
        <w:ind w:left="360"/>
        <w:contextualSpacing w:val="0"/>
        <w:rPr>
          <w:rFonts w:asciiTheme="minorHAnsi" w:hAnsiTheme="minorHAnsi" w:cstheme="minorHAnsi"/>
        </w:rPr>
      </w:pPr>
    </w:p>
    <w:sectPr w:rsidR="00193CFF" w:rsidRPr="00185824" w:rsidSect="00CE69E9">
      <w:pgSz w:w="12240" w:h="15840"/>
      <w:pgMar w:top="1440" w:right="1440" w:bottom="155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0C5" w:rsidRDefault="009E30C5" w:rsidP="00447D6E">
      <w:r>
        <w:separator/>
      </w:r>
    </w:p>
  </w:endnote>
  <w:endnote w:type="continuationSeparator" w:id="0">
    <w:p w:rsidR="009E30C5" w:rsidRDefault="009E30C5"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B4C" w:rsidRPr="009500DC" w:rsidRDefault="006B0B4C" w:rsidP="00345DB6">
    <w:pPr>
      <w:pStyle w:val="Footer"/>
      <w:jc w:val="right"/>
      <w:rPr>
        <w:rFonts w:asciiTheme="minorHAnsi" w:hAnsiTheme="minorHAnsi" w:cstheme="minorHAnsi"/>
      </w:rPr>
    </w:pPr>
    <w:r>
      <w:rPr>
        <w:rFonts w:asciiTheme="minorHAnsi" w:hAnsiTheme="minorHAnsi" w:cstheme="minorHAnsi"/>
        <w:b/>
        <w:sz w:val="36"/>
        <w:szCs w:val="36"/>
      </w:rPr>
      <w:t>January 31,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B4C" w:rsidRPr="009500DC" w:rsidRDefault="006B0B4C" w:rsidP="009500DC">
    <w:pPr>
      <w:pStyle w:val="Footer"/>
      <w:pBdr>
        <w:top w:val="single" w:sz="4" w:space="1" w:color="auto"/>
      </w:pBdr>
      <w:tabs>
        <w:tab w:val="clear" w:pos="4680"/>
        <w:tab w:val="clear" w:pos="9360"/>
        <w:tab w:val="center" w:pos="10800"/>
        <w:tab w:val="right" w:pos="21600"/>
        <w:tab w:val="right" w:pos="23580"/>
      </w:tabs>
      <w:rPr>
        <w:rFonts w:asciiTheme="minorHAnsi" w:hAnsiTheme="minorHAnsi" w:cstheme="minorHAnsi"/>
        <w:b/>
        <w:sz w:val="20"/>
        <w:szCs w:val="20"/>
      </w:rPr>
    </w:pPr>
    <w:r>
      <w:rPr>
        <w:rFonts w:asciiTheme="minorHAnsi" w:hAnsiTheme="minorHAnsi" w:cstheme="minorHAnsi"/>
        <w:b/>
        <w:sz w:val="20"/>
        <w:szCs w:val="20"/>
      </w:rPr>
      <w:t>WPSDGENRLG0044</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4</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CE2809">
      <w:rPr>
        <w:rFonts w:asciiTheme="minorHAnsi" w:hAnsiTheme="minorHAnsi" w:cstheme="minorHAnsi"/>
        <w:b/>
        <w:noProof/>
        <w:sz w:val="20"/>
        <w:szCs w:val="20"/>
      </w:rPr>
      <w:t>i</w:t>
    </w:r>
    <w:r w:rsidRPr="009500DC">
      <w:rPr>
        <w:rFonts w:asciiTheme="minorHAnsi" w:hAnsiTheme="minorHAnsi" w:cstheme="minorHAnsi"/>
        <w:b/>
        <w:noProof/>
        <w:sz w:val="20"/>
        <w:szCs w:val="20"/>
      </w:rPr>
      <w:fldChar w:fldCharType="end"/>
    </w:r>
    <w:r w:rsidRPr="009500DC">
      <w:rPr>
        <w:rFonts w:asciiTheme="minorHAnsi" w:hAnsiTheme="minorHAnsi" w:cstheme="minorHAnsi"/>
        <w:b/>
        <w:color w:val="FF0000"/>
        <w:sz w:val="20"/>
        <w:szCs w:val="20"/>
      </w:rPr>
      <w:tab/>
    </w:r>
    <w:r>
      <w:rPr>
        <w:rFonts w:asciiTheme="minorHAnsi" w:hAnsiTheme="minorHAnsi" w:cstheme="minorHAnsi"/>
        <w:b/>
        <w:sz w:val="20"/>
        <w:szCs w:val="20"/>
      </w:rPr>
      <w:t>January 31, 2014</w:t>
    </w:r>
  </w:p>
  <w:p w:rsidR="006B0B4C" w:rsidRPr="009500DC" w:rsidRDefault="006B0B4C" w:rsidP="009500DC">
    <w:pPr>
      <w:pStyle w:val="Footer"/>
      <w:pBdr>
        <w:top w:val="single" w:sz="4" w:space="1" w:color="auto"/>
      </w:pBdr>
      <w:tabs>
        <w:tab w:val="clear" w:pos="4680"/>
        <w:tab w:val="clear" w:pos="9360"/>
        <w:tab w:val="right" w:pos="21600"/>
      </w:tabs>
      <w:rPr>
        <w:rFonts w:asciiTheme="minorHAnsi" w:hAnsiTheme="minorHAnsi" w:cstheme="minorHAnsi"/>
      </w:rPr>
    </w:pPr>
    <w:r w:rsidRPr="009500DC">
      <w:rPr>
        <w:rFonts w:asciiTheme="minorHAnsi" w:hAnsiTheme="minorHAnsi" w:cstheme="minorHAnsi"/>
        <w:b/>
        <w:sz w:val="20"/>
        <w:szCs w:val="20"/>
      </w:rPr>
      <w:t>S</w:t>
    </w:r>
    <w:r>
      <w:rPr>
        <w:rFonts w:asciiTheme="minorHAnsi" w:hAnsiTheme="minorHAnsi" w:cstheme="minorHAnsi"/>
        <w:b/>
        <w:sz w:val="20"/>
        <w:szCs w:val="20"/>
      </w:rPr>
      <w:t>an Diego Gas &amp; Electric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B4C" w:rsidRPr="009500DC" w:rsidRDefault="006B0B4C"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WPSDGENRLG0044</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4</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CE2809">
      <w:rPr>
        <w:rFonts w:asciiTheme="minorHAnsi" w:hAnsiTheme="minorHAnsi" w:cstheme="minorHAnsi"/>
        <w:b/>
        <w:noProof/>
        <w:sz w:val="20"/>
        <w:szCs w:val="20"/>
      </w:rPr>
      <w:t>iii</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January 31, 2014</w:t>
    </w:r>
  </w:p>
  <w:p w:rsidR="006B0B4C" w:rsidRPr="009500DC" w:rsidRDefault="006B0B4C" w:rsidP="005A0798">
    <w:pPr>
      <w:pStyle w:val="Footer"/>
      <w:pBdr>
        <w:top w:val="single" w:sz="4" w:space="1" w:color="auto"/>
      </w:pBdr>
      <w:tabs>
        <w:tab w:val="clear" w:pos="4680"/>
        <w:tab w:val="clear" w:pos="9360"/>
        <w:tab w:val="right" w:pos="21600"/>
      </w:tabs>
      <w:rPr>
        <w:rFonts w:asciiTheme="minorHAnsi" w:hAnsiTheme="minorHAnsi" w:cstheme="minorHAnsi"/>
      </w:rPr>
    </w:pPr>
    <w:r w:rsidRPr="009500DC">
      <w:rPr>
        <w:rFonts w:asciiTheme="minorHAnsi" w:hAnsiTheme="minorHAnsi" w:cstheme="minorHAnsi"/>
        <w:b/>
        <w:sz w:val="20"/>
        <w:szCs w:val="20"/>
      </w:rPr>
      <w:t>S</w:t>
    </w:r>
    <w:r>
      <w:rPr>
        <w:rFonts w:asciiTheme="minorHAnsi" w:hAnsiTheme="minorHAnsi" w:cstheme="minorHAnsi"/>
        <w:b/>
        <w:sz w:val="20"/>
        <w:szCs w:val="20"/>
      </w:rPr>
      <w:t>an Diego Gas &amp; Electric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0C5" w:rsidRDefault="009E30C5" w:rsidP="00447D6E">
      <w:r>
        <w:separator/>
      </w:r>
    </w:p>
  </w:footnote>
  <w:footnote w:type="continuationSeparator" w:id="0">
    <w:p w:rsidR="009E30C5" w:rsidRDefault="009E30C5"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4EC68C1"/>
    <w:multiLevelType w:val="hybridMultilevel"/>
    <w:tmpl w:val="1A0699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46D2DDB"/>
    <w:multiLevelType w:val="hybridMultilevel"/>
    <w:tmpl w:val="40821204"/>
    <w:lvl w:ilvl="0" w:tplc="0409000F">
      <w:start w:val="1"/>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BF50111"/>
    <w:multiLevelType w:val="hybridMultilevel"/>
    <w:tmpl w:val="5D20EEDA"/>
    <w:lvl w:ilvl="0" w:tplc="DA8CB4BC">
      <w:start w:val="1"/>
      <w:numFmt w:val="decimal"/>
      <w:lvlText w:val="%1."/>
      <w:lvlJc w:val="left"/>
      <w:pPr>
        <w:ind w:left="360" w:hanging="360"/>
      </w:pPr>
      <w:rPr>
        <w:b w:val="0"/>
        <w:sz w:val="22"/>
      </w:rPr>
    </w:lvl>
    <w:lvl w:ilvl="1" w:tplc="BECA01C8">
      <w:start w:val="1"/>
      <w:numFmt w:val="decimal"/>
      <w:lvlText w:val="%2."/>
      <w:lvlJc w:val="left"/>
      <w:pPr>
        <w:ind w:left="1080" w:hanging="360"/>
      </w:pPr>
      <w:rPr>
        <w:b w:val="0"/>
        <w:sz w:val="22"/>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6">
    <w:nsid w:val="301E34C2"/>
    <w:multiLevelType w:val="hybridMultilevel"/>
    <w:tmpl w:val="AE160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5CD4736"/>
    <w:multiLevelType w:val="hybridMultilevel"/>
    <w:tmpl w:val="4368643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AD714D4"/>
    <w:multiLevelType w:val="hybridMultilevel"/>
    <w:tmpl w:val="8AEACB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EB97105"/>
    <w:multiLevelType w:val="hybridMultilevel"/>
    <w:tmpl w:val="AA7E15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48F5767"/>
    <w:multiLevelType w:val="multilevel"/>
    <w:tmpl w:val="CB4A7368"/>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690184E"/>
    <w:multiLevelType w:val="hybridMultilevel"/>
    <w:tmpl w:val="2CBE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5C57B5"/>
    <w:multiLevelType w:val="hybridMultilevel"/>
    <w:tmpl w:val="FF5037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0A32524"/>
    <w:multiLevelType w:val="hybridMultilevel"/>
    <w:tmpl w:val="3EE08506"/>
    <w:lvl w:ilvl="0" w:tplc="655C0D44">
      <w:start w:val="1"/>
      <w:numFmt w:val="upperRoman"/>
      <w:lvlText w:val="%1."/>
      <w:lvlJc w:val="left"/>
      <w:pPr>
        <w:ind w:left="1080" w:hanging="720"/>
      </w:pPr>
      <w:rPr>
        <w:rFonts w:hint="default"/>
      </w:rPr>
    </w:lvl>
    <w:lvl w:ilvl="1" w:tplc="8CCC0D82">
      <w:start w:val="1"/>
      <w:numFmt w:val="decimal"/>
      <w:lvlText w:val="%2."/>
      <w:lvlJc w:val="left"/>
      <w:pPr>
        <w:ind w:left="1440" w:hanging="360"/>
      </w:pPr>
      <w:rPr>
        <w:rFonts w:hint="default"/>
      </w:rPr>
    </w:lvl>
    <w:lvl w:ilvl="2" w:tplc="BB72B94E">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C44495"/>
    <w:multiLevelType w:val="hybridMultilevel"/>
    <w:tmpl w:val="45B0F1DC"/>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7A4C4D"/>
    <w:multiLevelType w:val="hybridMultilevel"/>
    <w:tmpl w:val="B694BD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0BF22FD"/>
    <w:multiLevelType w:val="hybridMultilevel"/>
    <w:tmpl w:val="90660562"/>
    <w:lvl w:ilvl="0" w:tplc="04090013">
      <w:start w:val="1"/>
      <w:numFmt w:val="upperRoman"/>
      <w:lvlText w:val="%1."/>
      <w:lvlJc w:val="right"/>
      <w:pPr>
        <w:ind w:left="720" w:hanging="360"/>
      </w:pPr>
    </w:lvl>
    <w:lvl w:ilvl="1" w:tplc="BECA01C8">
      <w:start w:val="1"/>
      <w:numFmt w:val="decimal"/>
      <w:lvlText w:val="%2."/>
      <w:lvlJc w:val="left"/>
      <w:pPr>
        <w:ind w:left="1440" w:hanging="360"/>
      </w:pPr>
      <w:rPr>
        <w:b w:val="0"/>
        <w:sz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276C2C"/>
    <w:multiLevelType w:val="hybridMultilevel"/>
    <w:tmpl w:val="4ABC77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8"/>
  </w:num>
  <w:num w:numId="3">
    <w:abstractNumId w:val="7"/>
  </w:num>
  <w:num w:numId="4">
    <w:abstractNumId w:val="3"/>
  </w:num>
  <w:num w:numId="5">
    <w:abstractNumId w:val="3"/>
  </w:num>
  <w:num w:numId="6">
    <w:abstractNumId w:val="0"/>
  </w:num>
  <w:num w:numId="7">
    <w:abstractNumId w:val="9"/>
  </w:num>
  <w:num w:numId="8">
    <w:abstractNumId w:val="5"/>
  </w:num>
  <w:num w:numId="9">
    <w:abstractNumId w:val="13"/>
  </w:num>
  <w:num w:numId="10">
    <w:abstractNumId w:val="11"/>
  </w:num>
  <w:num w:numId="11">
    <w:abstractNumId w:val="6"/>
  </w:num>
  <w:num w:numId="12">
    <w:abstractNumId w:val="14"/>
  </w:num>
  <w:num w:numId="13">
    <w:abstractNumId w:val="20"/>
  </w:num>
  <w:num w:numId="14">
    <w:abstractNumId w:val="15"/>
  </w:num>
  <w:num w:numId="15">
    <w:abstractNumId w:val="1"/>
  </w:num>
  <w:num w:numId="16">
    <w:abstractNumId w:val="17"/>
  </w:num>
  <w:num w:numId="17">
    <w:abstractNumId w:val="16"/>
  </w:num>
  <w:num w:numId="18">
    <w:abstractNumId w:val="18"/>
  </w:num>
  <w:num w:numId="19">
    <w:abstractNumId w:val="2"/>
  </w:num>
  <w:num w:numId="20">
    <w:abstractNumId w:val="19"/>
  </w:num>
  <w:num w:numId="21">
    <w:abstractNumId w:val="12"/>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902"/>
    <w:rsid w:val="000249B4"/>
    <w:rsid w:val="00027183"/>
    <w:rsid w:val="00033EA1"/>
    <w:rsid w:val="00044307"/>
    <w:rsid w:val="00056947"/>
    <w:rsid w:val="00064AE0"/>
    <w:rsid w:val="0007090F"/>
    <w:rsid w:val="00076DF4"/>
    <w:rsid w:val="0009074D"/>
    <w:rsid w:val="00096965"/>
    <w:rsid w:val="000A63C9"/>
    <w:rsid w:val="000A647B"/>
    <w:rsid w:val="000B3AA0"/>
    <w:rsid w:val="000B5886"/>
    <w:rsid w:val="000C0000"/>
    <w:rsid w:val="000C18CC"/>
    <w:rsid w:val="000C7CE8"/>
    <w:rsid w:val="000E00F7"/>
    <w:rsid w:val="000F130A"/>
    <w:rsid w:val="000F2F89"/>
    <w:rsid w:val="00120BFA"/>
    <w:rsid w:val="00147155"/>
    <w:rsid w:val="00153A85"/>
    <w:rsid w:val="00153CB3"/>
    <w:rsid w:val="00153CBE"/>
    <w:rsid w:val="00156B70"/>
    <w:rsid w:val="00163E65"/>
    <w:rsid w:val="00165357"/>
    <w:rsid w:val="00173812"/>
    <w:rsid w:val="00185824"/>
    <w:rsid w:val="00193CFF"/>
    <w:rsid w:val="001A0EB4"/>
    <w:rsid w:val="001A35DF"/>
    <w:rsid w:val="001B2CBF"/>
    <w:rsid w:val="001C3446"/>
    <w:rsid w:val="001C4140"/>
    <w:rsid w:val="001D61B9"/>
    <w:rsid w:val="001E0829"/>
    <w:rsid w:val="001E62E1"/>
    <w:rsid w:val="001E7BB1"/>
    <w:rsid w:val="001F3F31"/>
    <w:rsid w:val="002300FD"/>
    <w:rsid w:val="00235A56"/>
    <w:rsid w:val="00241BB2"/>
    <w:rsid w:val="002460F2"/>
    <w:rsid w:val="0025329C"/>
    <w:rsid w:val="002762E1"/>
    <w:rsid w:val="00283DE8"/>
    <w:rsid w:val="00284608"/>
    <w:rsid w:val="00285966"/>
    <w:rsid w:val="00286FC8"/>
    <w:rsid w:val="00287994"/>
    <w:rsid w:val="002A3D26"/>
    <w:rsid w:val="002B1ADF"/>
    <w:rsid w:val="002B3D2E"/>
    <w:rsid w:val="002C0FA9"/>
    <w:rsid w:val="002C444C"/>
    <w:rsid w:val="002C6C7A"/>
    <w:rsid w:val="002E4EBE"/>
    <w:rsid w:val="002E64C2"/>
    <w:rsid w:val="002F1437"/>
    <w:rsid w:val="002F1B45"/>
    <w:rsid w:val="002F3943"/>
    <w:rsid w:val="00301531"/>
    <w:rsid w:val="003278F5"/>
    <w:rsid w:val="003306A8"/>
    <w:rsid w:val="00332633"/>
    <w:rsid w:val="00332700"/>
    <w:rsid w:val="003328A4"/>
    <w:rsid w:val="00345DB6"/>
    <w:rsid w:val="003560BA"/>
    <w:rsid w:val="00364100"/>
    <w:rsid w:val="0038237F"/>
    <w:rsid w:val="003A3A88"/>
    <w:rsid w:val="003D2871"/>
    <w:rsid w:val="003E3E8A"/>
    <w:rsid w:val="003E6E47"/>
    <w:rsid w:val="003F0623"/>
    <w:rsid w:val="003F0E12"/>
    <w:rsid w:val="003F43F7"/>
    <w:rsid w:val="00401833"/>
    <w:rsid w:val="00401E1F"/>
    <w:rsid w:val="004200FE"/>
    <w:rsid w:val="004252D5"/>
    <w:rsid w:val="00431064"/>
    <w:rsid w:val="00434650"/>
    <w:rsid w:val="00443D32"/>
    <w:rsid w:val="00447CE5"/>
    <w:rsid w:val="00447D6E"/>
    <w:rsid w:val="0046286E"/>
    <w:rsid w:val="00462AFC"/>
    <w:rsid w:val="004705BE"/>
    <w:rsid w:val="00477522"/>
    <w:rsid w:val="00493457"/>
    <w:rsid w:val="00494628"/>
    <w:rsid w:val="004A4DC3"/>
    <w:rsid w:val="004B4A3A"/>
    <w:rsid w:val="004D0290"/>
    <w:rsid w:val="004E76CA"/>
    <w:rsid w:val="004F0A89"/>
    <w:rsid w:val="004F12B6"/>
    <w:rsid w:val="0051020F"/>
    <w:rsid w:val="00524AC3"/>
    <w:rsid w:val="0052595F"/>
    <w:rsid w:val="00532290"/>
    <w:rsid w:val="005347D4"/>
    <w:rsid w:val="00542B6C"/>
    <w:rsid w:val="0054570B"/>
    <w:rsid w:val="00554B63"/>
    <w:rsid w:val="0055766E"/>
    <w:rsid w:val="00562744"/>
    <w:rsid w:val="00570218"/>
    <w:rsid w:val="005734A4"/>
    <w:rsid w:val="005A0798"/>
    <w:rsid w:val="005A1078"/>
    <w:rsid w:val="005B28C1"/>
    <w:rsid w:val="005C12A3"/>
    <w:rsid w:val="005C2E48"/>
    <w:rsid w:val="005D4DD7"/>
    <w:rsid w:val="005E020A"/>
    <w:rsid w:val="005E54A6"/>
    <w:rsid w:val="005F0E62"/>
    <w:rsid w:val="005F254C"/>
    <w:rsid w:val="0060057F"/>
    <w:rsid w:val="00602799"/>
    <w:rsid w:val="00606DBF"/>
    <w:rsid w:val="00612041"/>
    <w:rsid w:val="00616E76"/>
    <w:rsid w:val="006404E6"/>
    <w:rsid w:val="00640DA1"/>
    <w:rsid w:val="00641C96"/>
    <w:rsid w:val="00647ABE"/>
    <w:rsid w:val="00650B9E"/>
    <w:rsid w:val="0065393A"/>
    <w:rsid w:val="00663C82"/>
    <w:rsid w:val="00664B05"/>
    <w:rsid w:val="006723DB"/>
    <w:rsid w:val="00675726"/>
    <w:rsid w:val="006907EE"/>
    <w:rsid w:val="00696FEF"/>
    <w:rsid w:val="006B0B4C"/>
    <w:rsid w:val="006B0DF3"/>
    <w:rsid w:val="006B721C"/>
    <w:rsid w:val="006C430A"/>
    <w:rsid w:val="006D2809"/>
    <w:rsid w:val="006E58EF"/>
    <w:rsid w:val="007048AC"/>
    <w:rsid w:val="00740761"/>
    <w:rsid w:val="00743E5A"/>
    <w:rsid w:val="00744DDC"/>
    <w:rsid w:val="00764D0D"/>
    <w:rsid w:val="007750D4"/>
    <w:rsid w:val="007771E3"/>
    <w:rsid w:val="00791684"/>
    <w:rsid w:val="007933F1"/>
    <w:rsid w:val="007A5039"/>
    <w:rsid w:val="007A7A9D"/>
    <w:rsid w:val="007A7D21"/>
    <w:rsid w:val="007B7920"/>
    <w:rsid w:val="007C54D3"/>
    <w:rsid w:val="007E43F8"/>
    <w:rsid w:val="007E656B"/>
    <w:rsid w:val="007F50E8"/>
    <w:rsid w:val="00800319"/>
    <w:rsid w:val="00801F7F"/>
    <w:rsid w:val="00824A37"/>
    <w:rsid w:val="00824F1C"/>
    <w:rsid w:val="008337BE"/>
    <w:rsid w:val="00840C3E"/>
    <w:rsid w:val="00881A42"/>
    <w:rsid w:val="00885E0A"/>
    <w:rsid w:val="0088603B"/>
    <w:rsid w:val="00886F8B"/>
    <w:rsid w:val="0089097F"/>
    <w:rsid w:val="00893FC3"/>
    <w:rsid w:val="00894096"/>
    <w:rsid w:val="0089577B"/>
    <w:rsid w:val="008A6097"/>
    <w:rsid w:val="008A616F"/>
    <w:rsid w:val="008C7393"/>
    <w:rsid w:val="008E17CC"/>
    <w:rsid w:val="008E4E59"/>
    <w:rsid w:val="008F33B4"/>
    <w:rsid w:val="008F4A63"/>
    <w:rsid w:val="00922B85"/>
    <w:rsid w:val="00926612"/>
    <w:rsid w:val="00927D58"/>
    <w:rsid w:val="00932121"/>
    <w:rsid w:val="009441C9"/>
    <w:rsid w:val="009500DC"/>
    <w:rsid w:val="00951923"/>
    <w:rsid w:val="009540AD"/>
    <w:rsid w:val="00972C81"/>
    <w:rsid w:val="00973A13"/>
    <w:rsid w:val="009743FA"/>
    <w:rsid w:val="0097715E"/>
    <w:rsid w:val="00990344"/>
    <w:rsid w:val="0099488B"/>
    <w:rsid w:val="00995CB0"/>
    <w:rsid w:val="00997E77"/>
    <w:rsid w:val="009A3328"/>
    <w:rsid w:val="009B4EC6"/>
    <w:rsid w:val="009C1777"/>
    <w:rsid w:val="009C2C86"/>
    <w:rsid w:val="009D0A67"/>
    <w:rsid w:val="009E1802"/>
    <w:rsid w:val="009E1CDE"/>
    <w:rsid w:val="009E30C5"/>
    <w:rsid w:val="009E51E2"/>
    <w:rsid w:val="009F0F72"/>
    <w:rsid w:val="009F4E9B"/>
    <w:rsid w:val="009F7A61"/>
    <w:rsid w:val="00A1423E"/>
    <w:rsid w:val="00A26AFD"/>
    <w:rsid w:val="00A337AF"/>
    <w:rsid w:val="00A45E01"/>
    <w:rsid w:val="00A500D6"/>
    <w:rsid w:val="00A51D04"/>
    <w:rsid w:val="00A52F04"/>
    <w:rsid w:val="00A71B9F"/>
    <w:rsid w:val="00A86DA2"/>
    <w:rsid w:val="00AA5A61"/>
    <w:rsid w:val="00AA7744"/>
    <w:rsid w:val="00AB3386"/>
    <w:rsid w:val="00AB4961"/>
    <w:rsid w:val="00AC0F6B"/>
    <w:rsid w:val="00AD378B"/>
    <w:rsid w:val="00AD4DD0"/>
    <w:rsid w:val="00AD7008"/>
    <w:rsid w:val="00AF6342"/>
    <w:rsid w:val="00B03C66"/>
    <w:rsid w:val="00B07EE5"/>
    <w:rsid w:val="00B1063E"/>
    <w:rsid w:val="00B16F56"/>
    <w:rsid w:val="00B26B83"/>
    <w:rsid w:val="00B32479"/>
    <w:rsid w:val="00B32F0E"/>
    <w:rsid w:val="00B35581"/>
    <w:rsid w:val="00B423FC"/>
    <w:rsid w:val="00B476AC"/>
    <w:rsid w:val="00B5705B"/>
    <w:rsid w:val="00B6398E"/>
    <w:rsid w:val="00B6688A"/>
    <w:rsid w:val="00B76FC9"/>
    <w:rsid w:val="00B81000"/>
    <w:rsid w:val="00B820B8"/>
    <w:rsid w:val="00B8361A"/>
    <w:rsid w:val="00B866B4"/>
    <w:rsid w:val="00BB0B39"/>
    <w:rsid w:val="00BB3F36"/>
    <w:rsid w:val="00BB46D0"/>
    <w:rsid w:val="00BB5F75"/>
    <w:rsid w:val="00BD5B88"/>
    <w:rsid w:val="00BF6AEC"/>
    <w:rsid w:val="00C24D03"/>
    <w:rsid w:val="00C25E61"/>
    <w:rsid w:val="00C45D1D"/>
    <w:rsid w:val="00C501F5"/>
    <w:rsid w:val="00C50C38"/>
    <w:rsid w:val="00C53EC3"/>
    <w:rsid w:val="00C54EFF"/>
    <w:rsid w:val="00C72B8B"/>
    <w:rsid w:val="00C77D43"/>
    <w:rsid w:val="00C82E52"/>
    <w:rsid w:val="00C9066A"/>
    <w:rsid w:val="00C908A3"/>
    <w:rsid w:val="00C94DD5"/>
    <w:rsid w:val="00CA2AB4"/>
    <w:rsid w:val="00CB0100"/>
    <w:rsid w:val="00CB1973"/>
    <w:rsid w:val="00CB3576"/>
    <w:rsid w:val="00CD3D02"/>
    <w:rsid w:val="00CE2809"/>
    <w:rsid w:val="00CE5BEB"/>
    <w:rsid w:val="00CE69E9"/>
    <w:rsid w:val="00D04454"/>
    <w:rsid w:val="00D106D9"/>
    <w:rsid w:val="00D219AF"/>
    <w:rsid w:val="00D25074"/>
    <w:rsid w:val="00D33F9E"/>
    <w:rsid w:val="00D34FE0"/>
    <w:rsid w:val="00D356D9"/>
    <w:rsid w:val="00D3697D"/>
    <w:rsid w:val="00D56C49"/>
    <w:rsid w:val="00D75D77"/>
    <w:rsid w:val="00D81287"/>
    <w:rsid w:val="00D90745"/>
    <w:rsid w:val="00D915E8"/>
    <w:rsid w:val="00D96844"/>
    <w:rsid w:val="00D968BF"/>
    <w:rsid w:val="00DA11A0"/>
    <w:rsid w:val="00DA690B"/>
    <w:rsid w:val="00DC2770"/>
    <w:rsid w:val="00DD44C5"/>
    <w:rsid w:val="00DE3B75"/>
    <w:rsid w:val="00DE601A"/>
    <w:rsid w:val="00DE6A9B"/>
    <w:rsid w:val="00DE77CF"/>
    <w:rsid w:val="00DF2EE9"/>
    <w:rsid w:val="00E07752"/>
    <w:rsid w:val="00E16609"/>
    <w:rsid w:val="00E172CE"/>
    <w:rsid w:val="00E233F3"/>
    <w:rsid w:val="00E71AF7"/>
    <w:rsid w:val="00E81F3E"/>
    <w:rsid w:val="00E84B8E"/>
    <w:rsid w:val="00E859BD"/>
    <w:rsid w:val="00E914FB"/>
    <w:rsid w:val="00E96759"/>
    <w:rsid w:val="00EB34FC"/>
    <w:rsid w:val="00EB567D"/>
    <w:rsid w:val="00EB76E1"/>
    <w:rsid w:val="00EC210E"/>
    <w:rsid w:val="00EC765E"/>
    <w:rsid w:val="00EE49C6"/>
    <w:rsid w:val="00F17FDC"/>
    <w:rsid w:val="00F20DCF"/>
    <w:rsid w:val="00F23425"/>
    <w:rsid w:val="00F249BA"/>
    <w:rsid w:val="00F31A00"/>
    <w:rsid w:val="00F348C6"/>
    <w:rsid w:val="00F45D83"/>
    <w:rsid w:val="00F46527"/>
    <w:rsid w:val="00F4752B"/>
    <w:rsid w:val="00F56792"/>
    <w:rsid w:val="00F7242E"/>
    <w:rsid w:val="00F76CE8"/>
    <w:rsid w:val="00FA157E"/>
    <w:rsid w:val="00FB5090"/>
    <w:rsid w:val="00FD5A8C"/>
    <w:rsid w:val="00FD626F"/>
    <w:rsid w:val="00FE3233"/>
    <w:rsid w:val="00FF4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paragraph" w:customStyle="1" w:styleId="Normal2">
    <w:name w:val="Normal2"/>
    <w:basedOn w:val="Normal"/>
    <w:next w:val="Normal"/>
    <w:link w:val="Normal2Char"/>
    <w:rsid w:val="003F43F7"/>
    <w:pPr>
      <w:spacing w:line="280" w:lineRule="atLeast"/>
    </w:pPr>
  </w:style>
  <w:style w:type="character" w:customStyle="1" w:styleId="Normal2Char">
    <w:name w:val="Normal2 Char"/>
    <w:basedOn w:val="DefaultParagraphFont"/>
    <w:link w:val="Normal2"/>
    <w:rsid w:val="003F43F7"/>
    <w:rPr>
      <w:rFonts w:ascii="Times New Roman" w:eastAsia="Times New Roman" w:hAnsi="Times New Roman" w:cs="Times New Roman"/>
      <w:sz w:val="24"/>
      <w:szCs w:val="24"/>
    </w:rPr>
  </w:style>
  <w:style w:type="paragraph" w:customStyle="1" w:styleId="pF">
    <w:name w:val="pF"/>
    <w:next w:val="Normal2"/>
    <w:rsid w:val="003F43F7"/>
    <w:pPr>
      <w:spacing w:after="0" w:line="320" w:lineRule="atLeast"/>
    </w:pPr>
    <w:rPr>
      <w:rFonts w:ascii="Times New Roman" w:eastAsia="Times New Roman" w:hAnsi="Times New Roman" w:cs="Times New Roman"/>
      <w:sz w:val="24"/>
      <w:szCs w:val="20"/>
    </w:rPr>
  </w:style>
  <w:style w:type="paragraph" w:styleId="ListParagraph">
    <w:name w:val="List Paragraph"/>
    <w:basedOn w:val="Normal"/>
    <w:uiPriority w:val="34"/>
    <w:qFormat/>
    <w:rsid w:val="007A7A9D"/>
    <w:pPr>
      <w:ind w:left="720"/>
      <w:contextualSpacing/>
    </w:pPr>
  </w:style>
  <w:style w:type="character" w:styleId="PlaceholderText">
    <w:name w:val="Placeholder Text"/>
    <w:basedOn w:val="DefaultParagraphFont"/>
    <w:uiPriority w:val="99"/>
    <w:semiHidden/>
    <w:rsid w:val="00542B6C"/>
    <w:rPr>
      <w:color w:val="808080"/>
    </w:rPr>
  </w:style>
  <w:style w:type="table" w:styleId="LightShading">
    <w:name w:val="Light Shading"/>
    <w:basedOn w:val="TableNormal"/>
    <w:uiPriority w:val="60"/>
    <w:rsid w:val="0043465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evision">
    <w:name w:val="Revision"/>
    <w:hidden/>
    <w:uiPriority w:val="99"/>
    <w:semiHidden/>
    <w:rsid w:val="00462AFC"/>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paragraph" w:customStyle="1" w:styleId="Normal2">
    <w:name w:val="Normal2"/>
    <w:basedOn w:val="Normal"/>
    <w:next w:val="Normal"/>
    <w:link w:val="Normal2Char"/>
    <w:rsid w:val="003F43F7"/>
    <w:pPr>
      <w:spacing w:line="280" w:lineRule="atLeast"/>
    </w:pPr>
  </w:style>
  <w:style w:type="character" w:customStyle="1" w:styleId="Normal2Char">
    <w:name w:val="Normal2 Char"/>
    <w:basedOn w:val="DefaultParagraphFont"/>
    <w:link w:val="Normal2"/>
    <w:rsid w:val="003F43F7"/>
    <w:rPr>
      <w:rFonts w:ascii="Times New Roman" w:eastAsia="Times New Roman" w:hAnsi="Times New Roman" w:cs="Times New Roman"/>
      <w:sz w:val="24"/>
      <w:szCs w:val="24"/>
    </w:rPr>
  </w:style>
  <w:style w:type="paragraph" w:customStyle="1" w:styleId="pF">
    <w:name w:val="pF"/>
    <w:next w:val="Normal2"/>
    <w:rsid w:val="003F43F7"/>
    <w:pPr>
      <w:spacing w:after="0" w:line="320" w:lineRule="atLeast"/>
    </w:pPr>
    <w:rPr>
      <w:rFonts w:ascii="Times New Roman" w:eastAsia="Times New Roman" w:hAnsi="Times New Roman" w:cs="Times New Roman"/>
      <w:sz w:val="24"/>
      <w:szCs w:val="20"/>
    </w:rPr>
  </w:style>
  <w:style w:type="paragraph" w:styleId="ListParagraph">
    <w:name w:val="List Paragraph"/>
    <w:basedOn w:val="Normal"/>
    <w:uiPriority w:val="34"/>
    <w:qFormat/>
    <w:rsid w:val="007A7A9D"/>
    <w:pPr>
      <w:ind w:left="720"/>
      <w:contextualSpacing/>
    </w:pPr>
  </w:style>
  <w:style w:type="character" w:styleId="PlaceholderText">
    <w:name w:val="Placeholder Text"/>
    <w:basedOn w:val="DefaultParagraphFont"/>
    <w:uiPriority w:val="99"/>
    <w:semiHidden/>
    <w:rsid w:val="00542B6C"/>
    <w:rPr>
      <w:color w:val="808080"/>
    </w:rPr>
  </w:style>
  <w:style w:type="table" w:styleId="LightShading">
    <w:name w:val="Light Shading"/>
    <w:basedOn w:val="TableNormal"/>
    <w:uiPriority w:val="60"/>
    <w:rsid w:val="0043465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evision">
    <w:name w:val="Revision"/>
    <w:hidden/>
    <w:uiPriority w:val="99"/>
    <w:semiHidden/>
    <w:rsid w:val="00462AFC"/>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07278916">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64416097">
      <w:bodyDiv w:val="1"/>
      <w:marLeft w:val="0"/>
      <w:marRight w:val="0"/>
      <w:marTop w:val="0"/>
      <w:marBottom w:val="0"/>
      <w:divBdr>
        <w:top w:val="none" w:sz="0" w:space="0" w:color="auto"/>
        <w:left w:val="none" w:sz="0" w:space="0" w:color="auto"/>
        <w:bottom w:val="none" w:sz="0" w:space="0" w:color="auto"/>
        <w:right w:val="none" w:sz="0" w:space="0" w:color="auto"/>
      </w:divBdr>
    </w:div>
    <w:div w:id="194178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footnotes" Target="footnotes.xml"/><Relationship Id="rId12" Type="http://schemas.openxmlformats.org/officeDocument/2006/relationships/hyperlink" Target="http://www.deeresources.com" TargetMode="External"/><Relationship Id="rId17"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4.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oleObject" Target="embeddings/Microsoft_Excel_97-2003_Worksheet1.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48475-4B32-4259-8BD9-50A1C0A36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3047</Words>
  <Characters>17369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20376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Martin Vu</cp:lastModifiedBy>
  <cp:revision>2</cp:revision>
  <cp:lastPrinted>2012-06-07T15:25:00Z</cp:lastPrinted>
  <dcterms:created xsi:type="dcterms:W3CDTF">2014-02-01T08:41:00Z</dcterms:created>
  <dcterms:modified xsi:type="dcterms:W3CDTF">2014-02-01T08:41:00Z</dcterms:modified>
</cp:coreProperties>
</file>