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FA3359" w:rsidRPr="00FA3359">
        <w:t>WPSDGENR</w:t>
      </w:r>
      <w:r w:rsidR="00C75814">
        <w:t>LG0028</w:t>
      </w:r>
    </w:p>
    <w:p w:rsidR="00E6385A" w:rsidRPr="00500C4E" w:rsidRDefault="00E6385A" w:rsidP="00F117C6">
      <w:pPr>
        <w:pStyle w:val="WPnumber"/>
      </w:pPr>
      <w:r>
        <w:tab/>
      </w:r>
      <w:r w:rsidR="000E19CA">
        <w:rPr>
          <w:rStyle w:val="CaptionChar"/>
          <w:b/>
          <w:bCs w:val="0"/>
        </w:rPr>
        <w:t xml:space="preserve">Revision </w:t>
      </w:r>
      <w:r w:rsidR="00C75814">
        <w:rPr>
          <w:rStyle w:val="CaptionChar"/>
          <w:b/>
          <w:bCs w:val="0"/>
        </w:rPr>
        <w:t>1</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C75814" w:rsidP="00884B9C">
      <w:pPr>
        <w:rPr>
          <w:rFonts w:cstheme="minorHAnsi"/>
          <w:b/>
          <w:sz w:val="28"/>
          <w:szCs w:val="28"/>
        </w:rPr>
      </w:pPr>
      <w:r>
        <w:rPr>
          <w:rFonts w:ascii="Arial" w:hAnsi="Arial" w:cs="Arial"/>
          <w:b/>
          <w:sz w:val="72"/>
          <w:szCs w:val="72"/>
        </w:rPr>
        <w:t>LED Pool and Spa Lighting</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8C01F7" w:rsidP="00241A1F">
      <w:pPr>
        <w:jc w:val="right"/>
        <w:rPr>
          <w:rFonts w:cstheme="minorHAnsi"/>
          <w:b/>
          <w:sz w:val="28"/>
          <w:szCs w:val="28"/>
        </w:rPr>
      </w:pPr>
      <w:r>
        <w:rPr>
          <w:rFonts w:cstheme="minorHAnsi"/>
          <w:b/>
          <w:sz w:val="28"/>
          <w:szCs w:val="28"/>
        </w:rPr>
        <w:t>October</w:t>
      </w:r>
      <w:r w:rsidR="003E6E57">
        <w:rPr>
          <w:rFonts w:cstheme="minorHAnsi"/>
          <w:b/>
          <w:sz w:val="28"/>
          <w:szCs w:val="28"/>
        </w:rPr>
        <w:t xml:space="preserve"> </w:t>
      </w:r>
      <w:r>
        <w:rPr>
          <w:rFonts w:cstheme="minorHAnsi"/>
          <w:b/>
          <w:sz w:val="28"/>
          <w:szCs w:val="28"/>
        </w:rPr>
        <w:t>12</w:t>
      </w:r>
      <w:r w:rsidR="00C75814">
        <w:rPr>
          <w:rFonts w:cstheme="minorHAnsi"/>
          <w:b/>
          <w:sz w:val="28"/>
          <w:szCs w:val="28"/>
        </w:rPr>
        <w:t>, 2017</w:t>
      </w:r>
    </w:p>
    <w:p w:rsidR="00E372B8" w:rsidRPr="000F72EF" w:rsidRDefault="00E372B8" w:rsidP="00241A1F">
      <w:pPr>
        <w:jc w:val="right"/>
        <w:rPr>
          <w:rFonts w:cstheme="minorHAnsi"/>
          <w:b/>
          <w:sz w:val="72"/>
          <w:szCs w:val="72"/>
        </w:rPr>
        <w:sectPr w:rsidR="00E372B8" w:rsidRPr="000F72EF" w:rsidSect="00241A1F">
          <w:headerReference w:type="default" r:id="rId9"/>
          <w:footerReference w:type="default" r:id="rId10"/>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C75814">
        <w:t>LED Pool and Spa Lighting</w:t>
      </w:r>
      <w:r w:rsidR="00884B9C">
        <w:t xml:space="preserve"> </w:t>
      </w:r>
    </w:p>
    <w:p w:rsidR="00413EF4" w:rsidRDefault="00413EF4" w:rsidP="00413EF4">
      <w:pPr>
        <w:pStyle w:val="Heading2"/>
      </w:pPr>
      <w:r>
        <w:t>Introduction</w:t>
      </w:r>
    </w:p>
    <w:p w:rsidR="005E18A1" w:rsidRDefault="00C23CAB" w:rsidP="00555671">
      <w:pPr>
        <w:jc w:val="both"/>
      </w:pPr>
      <w:r>
        <w:t>Thi</w:t>
      </w:r>
      <w:r w:rsidR="00AE4353">
        <w:t>s short form workpaper</w:t>
      </w:r>
      <w:r>
        <w:t xml:space="preserve"> (</w:t>
      </w:r>
      <w:r w:rsidR="008E5CD5">
        <w:t>WP</w:t>
      </w:r>
      <w:r w:rsidR="00C75814">
        <w:t>)</w:t>
      </w:r>
      <w:r w:rsidR="00AE4353">
        <w:t xml:space="preserve"> documents</w:t>
      </w:r>
      <w:r w:rsidR="00C75814">
        <w:t xml:space="preserve"> the values adopted from SC</w:t>
      </w:r>
      <w:r>
        <w:t xml:space="preserve">E’s </w:t>
      </w:r>
      <w:r w:rsidR="008E5CD5">
        <w:t>WP</w:t>
      </w:r>
      <w:r>
        <w:t xml:space="preserve"> entitled “</w:t>
      </w:r>
      <w:r w:rsidR="00AE4353">
        <w:t>LED Pool and Spa Lighting</w:t>
      </w:r>
      <w:r w:rsidR="005E18A1">
        <w:t>” (</w:t>
      </w:r>
      <w:r w:rsidR="00AE4353" w:rsidRPr="00AE4353">
        <w:t>SCE17LG071.0 - LED Pool and Spa Lighting_Final_Revised_2_3_17</w:t>
      </w:r>
      <w:r w:rsidR="00DC42DE">
        <w:t>.docx</w:t>
      </w:r>
      <w:r w:rsidR="006875B3">
        <w:t>)</w:t>
      </w:r>
      <w:r w:rsidR="005E18A1">
        <w:t xml:space="preserve">.  SDG&amp;E </w:t>
      </w:r>
      <w:r w:rsidR="00555671">
        <w:t>a</w:t>
      </w:r>
      <w:r w:rsidR="005E18A1">
        <w:t>d</w:t>
      </w:r>
      <w:r w:rsidR="00555671">
        <w:t>op</w:t>
      </w:r>
      <w:r w:rsidR="005E18A1">
        <w:t xml:space="preserve">ts </w:t>
      </w:r>
      <w:r w:rsidR="00EC34A0">
        <w:t>all</w:t>
      </w:r>
      <w:r w:rsidR="005E18A1">
        <w:t xml:space="preserve"> the values in </w:t>
      </w:r>
      <w:r w:rsidR="009618BA" w:rsidRPr="009618BA">
        <w:t>SCE17LG071.0 - LED Pool and Spa Lighting_Final_Revised_2_3_17</w:t>
      </w:r>
      <w:r w:rsidR="005E18A1">
        <w:t xml:space="preserve">, with </w:t>
      </w:r>
      <w:r w:rsidR="001046CB">
        <w:t>the following exception</w:t>
      </w:r>
      <w:r w:rsidR="005E18A1">
        <w:t>:</w:t>
      </w:r>
    </w:p>
    <w:p w:rsidR="005E18A1" w:rsidRDefault="005E18A1" w:rsidP="00555671">
      <w:pPr>
        <w:jc w:val="both"/>
      </w:pPr>
    </w:p>
    <w:p w:rsidR="00555671" w:rsidRDefault="00555671" w:rsidP="008C01F7">
      <w:pPr>
        <w:pStyle w:val="ListParagraph"/>
        <w:numPr>
          <w:ilvl w:val="0"/>
          <w:numId w:val="18"/>
        </w:numPr>
        <w:jc w:val="both"/>
      </w:pPr>
      <w:r>
        <w:t>SDG</w:t>
      </w:r>
      <w:r w:rsidR="005E18A1">
        <w:t xml:space="preserve">&amp;E </w:t>
      </w:r>
      <w:r w:rsidR="001046CB">
        <w:t>will only reference Replace on Burn-out(ROB) installation type</w:t>
      </w:r>
    </w:p>
    <w:p w:rsidR="008C01F7" w:rsidRDefault="008C01F7" w:rsidP="008C01F7">
      <w:pPr>
        <w:pStyle w:val="ListParagraph"/>
        <w:numPr>
          <w:ilvl w:val="0"/>
          <w:numId w:val="18"/>
        </w:numPr>
        <w:jc w:val="both"/>
      </w:pPr>
      <w:r>
        <w:t xml:space="preserve">SCE have implementations for lamp and fixture replacements.  Fixtures are referred to “light” in their documentation.  To provide better clarity, SDG&amp;E will change “light” to “fixture” in their implementation descriptions. </w:t>
      </w:r>
    </w:p>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rsidTr="00C131CB">
        <w:trPr>
          <w:trHeight w:val="20"/>
        </w:trPr>
        <w:tc>
          <w:tcPr>
            <w:tcW w:w="280"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77"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938"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105"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C131CB">
        <w:trPr>
          <w:trHeight w:val="20"/>
        </w:trPr>
        <w:tc>
          <w:tcPr>
            <w:tcW w:w="280" w:type="pct"/>
          </w:tcPr>
          <w:p w:rsidR="00884B9C" w:rsidRPr="000E2B6B" w:rsidRDefault="00762D81">
            <w:pPr>
              <w:jc w:val="center"/>
              <w:rPr>
                <w:rFonts w:cstheme="minorHAnsi"/>
                <w:szCs w:val="20"/>
              </w:rPr>
            </w:pPr>
            <w:r>
              <w:t>0</w:t>
            </w:r>
          </w:p>
        </w:tc>
        <w:tc>
          <w:tcPr>
            <w:tcW w:w="677" w:type="pct"/>
          </w:tcPr>
          <w:p w:rsidR="00884B9C" w:rsidRPr="000E2B6B" w:rsidRDefault="00C131CB" w:rsidP="00393EC8">
            <w:pPr>
              <w:jc w:val="center"/>
              <w:rPr>
                <w:rFonts w:cstheme="minorHAnsi"/>
                <w:szCs w:val="20"/>
              </w:rPr>
            </w:pPr>
            <w:r>
              <w:rPr>
                <w:szCs w:val="20"/>
              </w:rPr>
              <w:t>04/05/12</w:t>
            </w:r>
          </w:p>
        </w:tc>
        <w:tc>
          <w:tcPr>
            <w:tcW w:w="938" w:type="pct"/>
          </w:tcPr>
          <w:p w:rsidR="00884B9C" w:rsidRPr="000E2B6B" w:rsidRDefault="00C131CB" w:rsidP="00393EC8">
            <w:pPr>
              <w:rPr>
                <w:rFonts w:cstheme="minorHAnsi"/>
                <w:szCs w:val="20"/>
              </w:rPr>
            </w:pPr>
            <w:r w:rsidRPr="00C131CB">
              <w:rPr>
                <w:rFonts w:cstheme="minorHAnsi"/>
                <w:szCs w:val="20"/>
              </w:rPr>
              <w:t>Yun Han/SCE</w:t>
            </w:r>
          </w:p>
        </w:tc>
        <w:tc>
          <w:tcPr>
            <w:tcW w:w="3105" w:type="pct"/>
          </w:tcPr>
          <w:p w:rsidR="00C131CB" w:rsidRPr="00C131CB" w:rsidRDefault="00C131CB" w:rsidP="00C131CB">
            <w:pPr>
              <w:numPr>
                <w:ilvl w:val="0"/>
                <w:numId w:val="17"/>
              </w:numPr>
              <w:rPr>
                <w:bCs/>
                <w:szCs w:val="20"/>
              </w:rPr>
            </w:pPr>
            <w:r w:rsidRPr="00C131CB">
              <w:rPr>
                <w:bCs/>
                <w:szCs w:val="20"/>
              </w:rPr>
              <w:t>Original WP from WPSCRELG0071.1</w:t>
            </w:r>
          </w:p>
          <w:p w:rsidR="00C131CB" w:rsidRPr="00C131CB" w:rsidRDefault="00C131CB" w:rsidP="00C131CB">
            <w:pPr>
              <w:numPr>
                <w:ilvl w:val="0"/>
                <w:numId w:val="17"/>
              </w:numPr>
              <w:rPr>
                <w:bCs/>
                <w:szCs w:val="20"/>
              </w:rPr>
            </w:pPr>
            <w:r w:rsidRPr="00C131CB">
              <w:rPr>
                <w:bCs/>
                <w:szCs w:val="20"/>
              </w:rPr>
              <w:t>Updated to new WP template v0.1 w/v2.2 worksheet</w:t>
            </w:r>
          </w:p>
          <w:p w:rsidR="00C131CB" w:rsidRPr="00C131CB" w:rsidRDefault="00C131CB" w:rsidP="00C131CB">
            <w:pPr>
              <w:numPr>
                <w:ilvl w:val="0"/>
                <w:numId w:val="17"/>
              </w:numPr>
              <w:rPr>
                <w:bCs/>
                <w:szCs w:val="20"/>
              </w:rPr>
            </w:pPr>
            <w:r w:rsidRPr="00C131CB">
              <w:rPr>
                <w:bCs/>
                <w:szCs w:val="20"/>
              </w:rPr>
              <w:t>Added Article 680 reference</w:t>
            </w:r>
          </w:p>
          <w:p w:rsidR="00C131CB" w:rsidRPr="00C131CB" w:rsidRDefault="00C131CB" w:rsidP="00C131CB">
            <w:pPr>
              <w:numPr>
                <w:ilvl w:val="0"/>
                <w:numId w:val="17"/>
              </w:numPr>
              <w:rPr>
                <w:bCs/>
                <w:szCs w:val="20"/>
              </w:rPr>
            </w:pPr>
            <w:r w:rsidRPr="00C131CB">
              <w:rPr>
                <w:bCs/>
                <w:szCs w:val="20"/>
              </w:rPr>
              <w:t>Updated Residential operating hours to 48 and Dusk to Dawn to 4100</w:t>
            </w:r>
          </w:p>
          <w:p w:rsidR="00C131CB" w:rsidRDefault="00C131CB" w:rsidP="00C131CB">
            <w:pPr>
              <w:numPr>
                <w:ilvl w:val="0"/>
                <w:numId w:val="17"/>
              </w:numPr>
              <w:rPr>
                <w:bCs/>
                <w:szCs w:val="20"/>
              </w:rPr>
            </w:pPr>
            <w:r w:rsidRPr="00C131CB">
              <w:rPr>
                <w:bCs/>
                <w:szCs w:val="20"/>
              </w:rPr>
              <w:t>Changed Mobile Home savings to Single Family savings</w:t>
            </w:r>
          </w:p>
          <w:p w:rsidR="00C131CB" w:rsidRPr="00C131CB" w:rsidRDefault="00C131CB" w:rsidP="00C131CB">
            <w:pPr>
              <w:numPr>
                <w:ilvl w:val="0"/>
                <w:numId w:val="17"/>
              </w:numPr>
              <w:rPr>
                <w:bCs/>
                <w:szCs w:val="20"/>
              </w:rPr>
            </w:pPr>
            <w:r w:rsidRPr="00C131CB">
              <w:rPr>
                <w:bCs/>
                <w:szCs w:val="20"/>
              </w:rPr>
              <w:t>Updated with 2011 NTG values</w:t>
            </w:r>
          </w:p>
          <w:p w:rsidR="00884B9C" w:rsidRPr="005734A4" w:rsidRDefault="00884B9C" w:rsidP="00C131CB">
            <w:pPr>
              <w:rPr>
                <w:rFonts w:cstheme="minorHAnsi"/>
                <w:szCs w:val="20"/>
              </w:rPr>
            </w:pPr>
          </w:p>
        </w:tc>
      </w:tr>
      <w:tr w:rsidR="00884B9C" w:rsidRPr="00500C4E" w:rsidTr="00C131CB">
        <w:trPr>
          <w:trHeight w:val="20"/>
        </w:trPr>
        <w:tc>
          <w:tcPr>
            <w:tcW w:w="280" w:type="pct"/>
          </w:tcPr>
          <w:p w:rsidR="00884B9C" w:rsidRPr="000E2B6B" w:rsidRDefault="00762D81">
            <w:pPr>
              <w:jc w:val="center"/>
              <w:rPr>
                <w:rStyle w:val="Strong"/>
                <w:b w:val="0"/>
              </w:rPr>
            </w:pPr>
            <w:r>
              <w:t>1</w:t>
            </w:r>
          </w:p>
        </w:tc>
        <w:tc>
          <w:tcPr>
            <w:tcW w:w="677" w:type="pct"/>
          </w:tcPr>
          <w:p w:rsidR="00884B9C" w:rsidRPr="000E2B6B" w:rsidRDefault="00C131CB" w:rsidP="00393EC8">
            <w:pPr>
              <w:jc w:val="center"/>
              <w:rPr>
                <w:rStyle w:val="Strong"/>
                <w:b w:val="0"/>
              </w:rPr>
            </w:pPr>
            <w:r w:rsidRPr="00C131CB">
              <w:rPr>
                <w:bCs/>
              </w:rPr>
              <w:t>3/29/13</w:t>
            </w:r>
          </w:p>
        </w:tc>
        <w:tc>
          <w:tcPr>
            <w:tcW w:w="938" w:type="pct"/>
          </w:tcPr>
          <w:p w:rsidR="00884B9C" w:rsidRPr="000E2B6B" w:rsidRDefault="00C131CB" w:rsidP="00393EC8">
            <w:pPr>
              <w:rPr>
                <w:rStyle w:val="Strong"/>
                <w:b w:val="0"/>
              </w:rPr>
            </w:pPr>
            <w:r w:rsidRPr="00C131CB">
              <w:rPr>
                <w:bCs/>
                <w:szCs w:val="20"/>
              </w:rPr>
              <w:t>Charles Harmstead /SDGE</w:t>
            </w:r>
          </w:p>
        </w:tc>
        <w:tc>
          <w:tcPr>
            <w:tcW w:w="3105" w:type="pct"/>
          </w:tcPr>
          <w:p w:rsidR="00762D81" w:rsidRPr="00762D81" w:rsidRDefault="00C131CB" w:rsidP="00762D81">
            <w:pPr>
              <w:rPr>
                <w:rStyle w:val="Strong"/>
                <w:b w:val="0"/>
                <w:szCs w:val="20"/>
              </w:rPr>
            </w:pPr>
            <w:r w:rsidRPr="00C131CB">
              <w:rPr>
                <w:bCs/>
                <w:szCs w:val="20"/>
              </w:rPr>
              <w:t>Adopted SCE workpaper SCE13LG071, Revision 0 with no changes</w:t>
            </w:r>
          </w:p>
        </w:tc>
      </w:tr>
      <w:tr w:rsidR="00DB544A" w:rsidRPr="00500C4E" w:rsidTr="00C131CB">
        <w:trPr>
          <w:trHeight w:val="20"/>
        </w:trPr>
        <w:tc>
          <w:tcPr>
            <w:tcW w:w="280" w:type="pct"/>
          </w:tcPr>
          <w:p w:rsidR="00DB544A" w:rsidRPr="00F2079F" w:rsidRDefault="00DB544A" w:rsidP="008C2C8A">
            <w:pPr>
              <w:jc w:val="center"/>
            </w:pPr>
            <w:r>
              <w:t>2</w:t>
            </w:r>
          </w:p>
        </w:tc>
        <w:tc>
          <w:tcPr>
            <w:tcW w:w="677" w:type="pct"/>
          </w:tcPr>
          <w:p w:rsidR="00DB544A" w:rsidRDefault="008C01F7" w:rsidP="00393EC8">
            <w:pPr>
              <w:jc w:val="center"/>
              <w:rPr>
                <w:szCs w:val="20"/>
              </w:rPr>
            </w:pPr>
            <w:r>
              <w:rPr>
                <w:szCs w:val="20"/>
              </w:rPr>
              <w:t>10/12</w:t>
            </w:r>
            <w:r w:rsidR="00AE4353">
              <w:rPr>
                <w:szCs w:val="20"/>
              </w:rPr>
              <w:t>/17</w:t>
            </w:r>
          </w:p>
        </w:tc>
        <w:tc>
          <w:tcPr>
            <w:tcW w:w="938" w:type="pct"/>
          </w:tcPr>
          <w:p w:rsidR="00DB544A" w:rsidRDefault="00C131CB" w:rsidP="00393EC8">
            <w:pPr>
              <w:rPr>
                <w:szCs w:val="20"/>
              </w:rPr>
            </w:pPr>
            <w:r w:rsidRPr="00C131CB">
              <w:rPr>
                <w:bCs/>
                <w:szCs w:val="20"/>
              </w:rPr>
              <w:t xml:space="preserve">Kelvin </w:t>
            </w:r>
            <w:r w:rsidR="002D0BD6">
              <w:rPr>
                <w:bCs/>
                <w:szCs w:val="20"/>
              </w:rPr>
              <w:t>Valenzuela/SDG</w:t>
            </w:r>
            <w:r w:rsidRPr="00C131CB">
              <w:rPr>
                <w:bCs/>
                <w:szCs w:val="20"/>
              </w:rPr>
              <w:t>E</w:t>
            </w:r>
          </w:p>
        </w:tc>
        <w:tc>
          <w:tcPr>
            <w:tcW w:w="3105" w:type="pct"/>
          </w:tcPr>
          <w:p w:rsidR="00762D81" w:rsidRPr="006A478E" w:rsidRDefault="00C131CB" w:rsidP="00C131CB">
            <w:pPr>
              <w:rPr>
                <w:bCs/>
                <w:szCs w:val="20"/>
              </w:rPr>
            </w:pPr>
            <w:r>
              <w:rPr>
                <w:bCs/>
                <w:szCs w:val="20"/>
              </w:rPr>
              <w:t>Adopted SCE workpaper SCE17L</w:t>
            </w:r>
            <w:r w:rsidR="00F22251">
              <w:rPr>
                <w:bCs/>
                <w:szCs w:val="20"/>
              </w:rPr>
              <w:t>G071, Revision 0, only referencing Replace On-Burnout (ROB) impacts</w:t>
            </w:r>
            <w:r w:rsidR="008C01F7">
              <w:rPr>
                <w:bCs/>
                <w:szCs w:val="20"/>
              </w:rPr>
              <w:t>.  Changed “light” to “fixture” to help distinguish from “lamp” implementation IDs.</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0" w:type="auto"/>
        <w:tblLook w:val="04A0" w:firstRow="1" w:lastRow="0" w:firstColumn="1" w:lastColumn="0" w:noHBand="0" w:noVBand="1"/>
      </w:tblPr>
      <w:tblGrid>
        <w:gridCol w:w="1222"/>
        <w:gridCol w:w="8128"/>
      </w:tblGrid>
      <w:tr w:rsidR="00DB71F1" w:rsidTr="00BD4AFD">
        <w:trPr>
          <w:cantSplit/>
          <w:tblHeader/>
        </w:trPr>
        <w:tc>
          <w:tcPr>
            <w:tcW w:w="1222" w:type="dxa"/>
          </w:tcPr>
          <w:p w:rsidR="00DB71F1" w:rsidRPr="00D86243" w:rsidRDefault="00DB71F1" w:rsidP="00393EC8">
            <w:pPr>
              <w:jc w:val="center"/>
              <w:rPr>
                <w:b/>
              </w:rPr>
            </w:pPr>
            <w:r w:rsidRPr="00D86243">
              <w:rPr>
                <w:b/>
              </w:rPr>
              <w:t>Section</w:t>
            </w:r>
          </w:p>
        </w:tc>
        <w:tc>
          <w:tcPr>
            <w:tcW w:w="8128" w:type="dxa"/>
          </w:tcPr>
          <w:p w:rsidR="00DB71F1" w:rsidRPr="00D86243" w:rsidRDefault="00DB71F1" w:rsidP="00393EC8">
            <w:pPr>
              <w:jc w:val="center"/>
              <w:rPr>
                <w:b/>
              </w:rPr>
            </w:pPr>
            <w:r w:rsidRPr="00D86243">
              <w:rPr>
                <w:b/>
              </w:rPr>
              <w:t>Value</w:t>
            </w:r>
          </w:p>
        </w:tc>
      </w:tr>
      <w:tr w:rsidR="00DB71F1" w:rsidTr="00BD4AFD">
        <w:trPr>
          <w:cantSplit/>
        </w:trPr>
        <w:tc>
          <w:tcPr>
            <w:tcW w:w="1222" w:type="dxa"/>
            <w:vAlign w:val="center"/>
          </w:tcPr>
          <w:p w:rsidR="00DB71F1" w:rsidRPr="001D77F7" w:rsidRDefault="00DB71F1" w:rsidP="00393EC8">
            <w:pPr>
              <w:rPr>
                <w:b/>
              </w:rPr>
            </w:pPr>
            <w:r>
              <w:rPr>
                <w:b/>
              </w:rPr>
              <w:t>Summary &amp; Purpose</w:t>
            </w:r>
          </w:p>
        </w:tc>
        <w:tc>
          <w:tcPr>
            <w:tcW w:w="8128" w:type="dxa"/>
          </w:tcPr>
          <w:p w:rsidR="00DE364E" w:rsidRDefault="00DB71F1" w:rsidP="008E0850">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201A3F">
              <w:rPr>
                <w:rFonts w:cs="Arial"/>
                <w:sz w:val="20"/>
                <w:szCs w:val="20"/>
              </w:rPr>
              <w:t>LED Pool and Spa Lighting</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w:t>
            </w:r>
            <w:r w:rsidR="00201A3F">
              <w:rPr>
                <w:rFonts w:cs="Arial"/>
                <w:sz w:val="20"/>
                <w:szCs w:val="20"/>
              </w:rPr>
              <w:t>om SCE</w:t>
            </w:r>
            <w:r w:rsidR="00E33C12">
              <w:rPr>
                <w:rFonts w:cs="Arial"/>
                <w:sz w:val="20"/>
                <w:szCs w:val="20"/>
              </w:rPr>
              <w:t xml:space="preserve">’s workpaper, </w:t>
            </w:r>
            <w:r w:rsidR="00201A3F">
              <w:rPr>
                <w:rFonts w:cs="Arial"/>
                <w:sz w:val="20"/>
                <w:szCs w:val="20"/>
              </w:rPr>
              <w:t>SCE17LG071, Revision 0</w:t>
            </w:r>
            <w:r w:rsidR="00895D80">
              <w:rPr>
                <w:rFonts w:cs="Arial"/>
                <w:sz w:val="20"/>
                <w:szCs w:val="20"/>
              </w:rPr>
              <w:t>.</w:t>
            </w:r>
          </w:p>
          <w:p w:rsidR="00A21710" w:rsidRDefault="00A21710" w:rsidP="008E0850">
            <w:pPr>
              <w:jc w:val="both"/>
              <w:rPr>
                <w:rFonts w:cs="Arial"/>
                <w:sz w:val="20"/>
                <w:szCs w:val="20"/>
              </w:rPr>
            </w:pPr>
          </w:p>
          <w:p w:rsidR="00A21710" w:rsidRPr="00A21710" w:rsidRDefault="00A21710" w:rsidP="00A21710">
            <w:pPr>
              <w:jc w:val="both"/>
              <w:rPr>
                <w:rFonts w:cs="Arial"/>
                <w:sz w:val="20"/>
                <w:szCs w:val="20"/>
              </w:rPr>
            </w:pPr>
            <w:r>
              <w:rPr>
                <w:rFonts w:cs="Arial"/>
                <w:sz w:val="20"/>
                <w:szCs w:val="20"/>
              </w:rPr>
              <w:t>SCE’s work</w:t>
            </w:r>
            <w:r w:rsidRPr="00A21710">
              <w:rPr>
                <w:rFonts w:cs="Arial"/>
                <w:sz w:val="20"/>
                <w:szCs w:val="20"/>
              </w:rPr>
              <w:t xml:space="preserve">paper details the replacement of incandescent pool lamps or luminaires with LED pool lighting in commercial and residential swimming pools and spas.  Individual measure codes refer to either full luminaire replacements, or just lamp replacements.  The pool and spa lighting fixtures addressed in this work paper refers to the underwater pool lighting used to provide safety and aesthetics to the area. </w:t>
            </w:r>
          </w:p>
          <w:p w:rsidR="00A21710" w:rsidRPr="00A21710" w:rsidRDefault="00A21710" w:rsidP="00A21710">
            <w:pPr>
              <w:jc w:val="both"/>
              <w:rPr>
                <w:rFonts w:cs="Arial"/>
                <w:sz w:val="20"/>
                <w:szCs w:val="20"/>
              </w:rPr>
            </w:pPr>
          </w:p>
          <w:p w:rsidR="00A21710" w:rsidRDefault="00A21710" w:rsidP="00A21710">
            <w:pPr>
              <w:jc w:val="both"/>
              <w:rPr>
                <w:rFonts w:cs="Arial"/>
                <w:sz w:val="20"/>
                <w:szCs w:val="20"/>
              </w:rPr>
            </w:pPr>
            <w:r>
              <w:rPr>
                <w:rFonts w:cs="Arial"/>
                <w:sz w:val="20"/>
                <w:szCs w:val="20"/>
              </w:rPr>
              <w:t>The data used in this work</w:t>
            </w:r>
            <w:r w:rsidRPr="00A21710">
              <w:rPr>
                <w:rFonts w:cs="Arial"/>
                <w:sz w:val="20"/>
                <w:szCs w:val="20"/>
              </w:rPr>
              <w:t>paper are from SCE’s Emerging Technology study conducted in 2010, ET10SCE1130 [A] unless noted otherwise.  The energy savings in this wor</w:t>
            </w:r>
            <w:r>
              <w:rPr>
                <w:rFonts w:cs="Arial"/>
                <w:sz w:val="20"/>
                <w:szCs w:val="20"/>
              </w:rPr>
              <w:t>k</w:t>
            </w:r>
            <w:r w:rsidRPr="00A21710">
              <w:rPr>
                <w:rFonts w:cs="Arial"/>
                <w:sz w:val="20"/>
                <w:szCs w:val="20"/>
              </w:rPr>
              <w:t>paper include</w:t>
            </w:r>
            <w:r>
              <w:rPr>
                <w:rFonts w:cs="Arial"/>
                <w:sz w:val="20"/>
                <w:szCs w:val="20"/>
              </w:rPr>
              <w:t>d</w:t>
            </w:r>
            <w:r w:rsidRPr="00A21710">
              <w:rPr>
                <w:rFonts w:cs="Arial"/>
                <w:sz w:val="20"/>
                <w:szCs w:val="20"/>
              </w:rPr>
              <w:t xml:space="preserve"> baseline incandescent wattages ranging from 100 to 500 Watts.</w:t>
            </w:r>
          </w:p>
          <w:p w:rsidR="00BD4AFD" w:rsidRDefault="00BD4AFD" w:rsidP="00A21710">
            <w:pPr>
              <w:jc w:val="both"/>
              <w:rPr>
                <w:rFonts w:cs="Arial"/>
                <w:sz w:val="20"/>
                <w:szCs w:val="20"/>
              </w:rPr>
            </w:pPr>
          </w:p>
          <w:p w:rsidR="00BD4AFD" w:rsidRPr="00A21710" w:rsidRDefault="00BD4AFD" w:rsidP="00A21710">
            <w:pPr>
              <w:jc w:val="both"/>
              <w:rPr>
                <w:rFonts w:cs="Arial"/>
                <w:sz w:val="20"/>
                <w:szCs w:val="20"/>
              </w:rPr>
            </w:pPr>
          </w:p>
          <w:p w:rsidR="00A21710" w:rsidRPr="00DE364E" w:rsidRDefault="00A21710" w:rsidP="008E0850">
            <w:pPr>
              <w:jc w:val="both"/>
              <w:rPr>
                <w:rFonts w:cs="Arial"/>
                <w:sz w:val="20"/>
                <w:szCs w:val="20"/>
              </w:rPr>
            </w:pPr>
          </w:p>
          <w:p w:rsidR="00DB71F1" w:rsidRPr="00D86243" w:rsidRDefault="00DB71F1" w:rsidP="00555671">
            <w:pPr>
              <w:jc w:val="both"/>
              <w:rPr>
                <w:rFonts w:cs="Arial"/>
                <w:sz w:val="20"/>
                <w:szCs w:val="20"/>
              </w:rPr>
            </w:pPr>
          </w:p>
        </w:tc>
      </w:tr>
      <w:tr w:rsidR="00DB71F1" w:rsidTr="00BD4AFD">
        <w:trPr>
          <w:cantSplit/>
        </w:trPr>
        <w:tc>
          <w:tcPr>
            <w:tcW w:w="1222" w:type="dxa"/>
            <w:vAlign w:val="center"/>
          </w:tcPr>
          <w:p w:rsidR="00DB71F1" w:rsidRPr="001D77F7" w:rsidRDefault="00DB71F1" w:rsidP="00393EC8">
            <w:pPr>
              <w:rPr>
                <w:b/>
              </w:rPr>
            </w:pPr>
            <w:r w:rsidRPr="001D77F7">
              <w:rPr>
                <w:b/>
              </w:rPr>
              <w:lastRenderedPageBreak/>
              <w:t>1.1 Measure &amp; Baseline Data</w:t>
            </w:r>
          </w:p>
        </w:tc>
        <w:tc>
          <w:tcPr>
            <w:tcW w:w="8128" w:type="dxa"/>
          </w:tcPr>
          <w:p w:rsidR="008C2C8A" w:rsidRPr="00555671" w:rsidRDefault="00EE6CFE" w:rsidP="001D57D7">
            <w:pPr>
              <w:rPr>
                <w:rFonts w:cs="Arial"/>
                <w:sz w:val="20"/>
                <w:szCs w:val="20"/>
              </w:rPr>
            </w:pPr>
            <w:r w:rsidRPr="00555671">
              <w:rPr>
                <w:rFonts w:cs="Arial"/>
                <w:sz w:val="20"/>
                <w:szCs w:val="20"/>
              </w:rPr>
              <w:t xml:space="preserve">Measure: </w:t>
            </w:r>
          </w:p>
          <w:p w:rsidR="006D2B70" w:rsidRDefault="008137B0" w:rsidP="00C131CB">
            <w:pPr>
              <w:rPr>
                <w:rFonts w:cs="Arial"/>
                <w:sz w:val="20"/>
                <w:szCs w:val="20"/>
              </w:rPr>
            </w:pPr>
            <w:r>
              <w:rPr>
                <w:rFonts w:cs="Arial"/>
                <w:sz w:val="20"/>
                <w:szCs w:val="20"/>
              </w:rPr>
              <w:t>464011</w:t>
            </w:r>
            <w:r w:rsidR="00E159C8" w:rsidRPr="00555671">
              <w:rPr>
                <w:rFonts w:cs="Arial"/>
                <w:sz w:val="20"/>
                <w:szCs w:val="20"/>
              </w:rPr>
              <w:t xml:space="preserve"> </w:t>
            </w:r>
            <w:r w:rsidR="00711B58">
              <w:rPr>
                <w:rFonts w:cs="Arial"/>
                <w:sz w:val="20"/>
                <w:szCs w:val="20"/>
              </w:rPr>
              <w:t>–</w:t>
            </w:r>
            <w:r w:rsidR="00E159C8" w:rsidRPr="00555671">
              <w:rPr>
                <w:rFonts w:cs="Arial"/>
                <w:sz w:val="20"/>
                <w:szCs w:val="20"/>
              </w:rPr>
              <w:t xml:space="preserve"> </w:t>
            </w:r>
            <w:r w:rsidR="008C01F7">
              <w:rPr>
                <w:rFonts w:cs="Arial"/>
                <w:sz w:val="20"/>
                <w:szCs w:val="20"/>
              </w:rPr>
              <w:t>15.5 Watt Pool Fixture</w:t>
            </w:r>
            <w:r w:rsidR="00C131CB" w:rsidRPr="00C131CB">
              <w:rPr>
                <w:rFonts w:cs="Arial"/>
                <w:sz w:val="20"/>
                <w:szCs w:val="20"/>
              </w:rPr>
              <w:t xml:space="preserve"> (Dusk to Close) LED replacing 100 Watt Incandescent</w:t>
            </w:r>
          </w:p>
          <w:p w:rsidR="00C131CB" w:rsidRDefault="008137B0" w:rsidP="00C131CB">
            <w:pPr>
              <w:rPr>
                <w:rFonts w:cs="Arial"/>
                <w:sz w:val="20"/>
                <w:szCs w:val="20"/>
              </w:rPr>
            </w:pPr>
            <w:r>
              <w:rPr>
                <w:rFonts w:cs="Arial"/>
                <w:sz w:val="20"/>
                <w:szCs w:val="20"/>
              </w:rPr>
              <w:t>464012</w:t>
            </w:r>
            <w:r w:rsidR="00C131CB">
              <w:rPr>
                <w:rFonts w:cs="Arial"/>
                <w:sz w:val="20"/>
                <w:szCs w:val="20"/>
              </w:rPr>
              <w:t xml:space="preserve"> - </w:t>
            </w:r>
            <w:r w:rsidR="008C01F7">
              <w:rPr>
                <w:rFonts w:cs="Arial"/>
                <w:sz w:val="20"/>
                <w:szCs w:val="20"/>
              </w:rPr>
              <w:t>15.5 Watt Pool Fixture</w:t>
            </w:r>
            <w:r w:rsidR="00C131CB" w:rsidRPr="00C131CB">
              <w:rPr>
                <w:rFonts w:cs="Arial"/>
                <w:sz w:val="20"/>
                <w:szCs w:val="20"/>
              </w:rPr>
              <w:t xml:space="preserve"> (Dusk to Dawn) LED replacing 100 Watt Incandescent</w:t>
            </w:r>
          </w:p>
          <w:p w:rsidR="00C131CB" w:rsidRDefault="008137B0" w:rsidP="00C131CB">
            <w:pPr>
              <w:rPr>
                <w:rFonts w:cs="Arial"/>
                <w:sz w:val="20"/>
                <w:szCs w:val="20"/>
              </w:rPr>
            </w:pPr>
            <w:r>
              <w:rPr>
                <w:rFonts w:cs="Arial"/>
                <w:sz w:val="20"/>
                <w:szCs w:val="20"/>
              </w:rPr>
              <w:t>464001</w:t>
            </w:r>
            <w:r w:rsidR="00C131CB">
              <w:rPr>
                <w:rFonts w:cs="Arial"/>
                <w:sz w:val="20"/>
                <w:szCs w:val="20"/>
              </w:rPr>
              <w:t xml:space="preserve"> - </w:t>
            </w:r>
            <w:r w:rsidR="008C01F7">
              <w:rPr>
                <w:rFonts w:cs="Arial"/>
                <w:sz w:val="20"/>
                <w:szCs w:val="20"/>
              </w:rPr>
              <w:t>15.5 Watt Pool Fixture</w:t>
            </w:r>
            <w:r w:rsidR="00C131CB" w:rsidRPr="00C131CB">
              <w:rPr>
                <w:rFonts w:cs="Arial"/>
                <w:sz w:val="20"/>
                <w:szCs w:val="20"/>
              </w:rPr>
              <w:t xml:space="preserve"> (Res) LED replacing 100 Watt Incandescent</w:t>
            </w:r>
          </w:p>
          <w:p w:rsidR="00C131CB" w:rsidRDefault="008137B0" w:rsidP="00C131CB">
            <w:pPr>
              <w:rPr>
                <w:rFonts w:cs="Arial"/>
                <w:sz w:val="20"/>
                <w:szCs w:val="20"/>
              </w:rPr>
            </w:pPr>
            <w:r>
              <w:rPr>
                <w:rFonts w:cs="Arial"/>
                <w:sz w:val="20"/>
                <w:szCs w:val="20"/>
              </w:rPr>
              <w:t>464002</w:t>
            </w:r>
            <w:r w:rsidR="00C131CB">
              <w:rPr>
                <w:rFonts w:cs="Arial"/>
                <w:sz w:val="20"/>
                <w:szCs w:val="20"/>
              </w:rPr>
              <w:t xml:space="preserve"> - </w:t>
            </w:r>
            <w:r w:rsidR="008C01F7">
              <w:rPr>
                <w:rFonts w:cs="Arial"/>
                <w:sz w:val="20"/>
                <w:szCs w:val="20"/>
              </w:rPr>
              <w:t>15.5 Watt Spa Fixture</w:t>
            </w:r>
            <w:r w:rsidR="00C131CB" w:rsidRPr="00C131CB">
              <w:rPr>
                <w:rFonts w:cs="Arial"/>
                <w:sz w:val="20"/>
                <w:szCs w:val="20"/>
              </w:rPr>
              <w:t xml:space="preserve"> (Res) LED replacing 100 Watt Incandescent</w:t>
            </w:r>
          </w:p>
          <w:p w:rsidR="00C131CB" w:rsidRDefault="008137B0" w:rsidP="00C131CB">
            <w:pPr>
              <w:rPr>
                <w:rFonts w:cs="Arial"/>
                <w:sz w:val="20"/>
                <w:szCs w:val="20"/>
              </w:rPr>
            </w:pPr>
            <w:r>
              <w:rPr>
                <w:rFonts w:cs="Arial"/>
                <w:sz w:val="20"/>
                <w:szCs w:val="20"/>
              </w:rPr>
              <w:t>464013</w:t>
            </w:r>
            <w:r w:rsidR="00C131CB">
              <w:rPr>
                <w:rFonts w:cs="Arial"/>
                <w:sz w:val="20"/>
                <w:szCs w:val="20"/>
              </w:rPr>
              <w:t xml:space="preserve"> - </w:t>
            </w:r>
            <w:r w:rsidR="008C01F7">
              <w:rPr>
                <w:rFonts w:cs="Arial"/>
                <w:sz w:val="20"/>
                <w:szCs w:val="20"/>
              </w:rPr>
              <w:t>45.8 Watt Pool Fixture</w:t>
            </w:r>
            <w:r w:rsidR="00C131CB" w:rsidRPr="00C131CB">
              <w:rPr>
                <w:rFonts w:cs="Arial"/>
                <w:sz w:val="20"/>
                <w:szCs w:val="20"/>
              </w:rPr>
              <w:t xml:space="preserve"> (Dusk to Close) LED replacing 300 Watt Incandescent</w:t>
            </w:r>
          </w:p>
          <w:p w:rsidR="00C131CB" w:rsidRDefault="008137B0" w:rsidP="00C131CB">
            <w:pPr>
              <w:rPr>
                <w:rFonts w:cs="Arial"/>
                <w:sz w:val="20"/>
                <w:szCs w:val="20"/>
              </w:rPr>
            </w:pPr>
            <w:r>
              <w:rPr>
                <w:rFonts w:cs="Arial"/>
                <w:sz w:val="20"/>
                <w:szCs w:val="20"/>
              </w:rPr>
              <w:t>464014</w:t>
            </w:r>
            <w:r w:rsidR="00C131CB">
              <w:rPr>
                <w:rFonts w:cs="Arial"/>
                <w:sz w:val="20"/>
                <w:szCs w:val="20"/>
              </w:rPr>
              <w:t xml:space="preserve"> - </w:t>
            </w:r>
            <w:r w:rsidR="008C01F7">
              <w:rPr>
                <w:rFonts w:cs="Arial"/>
                <w:sz w:val="20"/>
                <w:szCs w:val="20"/>
              </w:rPr>
              <w:t>45.8 Watt Pool Fixture</w:t>
            </w:r>
            <w:r w:rsidR="00C131CB" w:rsidRPr="00C131CB">
              <w:rPr>
                <w:rFonts w:cs="Arial"/>
                <w:sz w:val="20"/>
                <w:szCs w:val="20"/>
              </w:rPr>
              <w:t xml:space="preserve"> (Dusk to Dawn) LED replacing 300 Watt Incandescent</w:t>
            </w:r>
          </w:p>
          <w:p w:rsidR="00C131CB" w:rsidRDefault="008137B0" w:rsidP="00C131CB">
            <w:pPr>
              <w:rPr>
                <w:rFonts w:cs="Arial"/>
                <w:sz w:val="20"/>
                <w:szCs w:val="20"/>
              </w:rPr>
            </w:pPr>
            <w:r>
              <w:rPr>
                <w:rFonts w:cs="Arial"/>
                <w:sz w:val="20"/>
                <w:szCs w:val="20"/>
              </w:rPr>
              <w:t xml:space="preserve">464003 </w:t>
            </w:r>
            <w:r w:rsidR="00C131CB">
              <w:rPr>
                <w:rFonts w:cs="Arial"/>
                <w:sz w:val="20"/>
                <w:szCs w:val="20"/>
              </w:rPr>
              <w:t xml:space="preserve">- </w:t>
            </w:r>
            <w:r w:rsidR="008C01F7">
              <w:rPr>
                <w:rFonts w:cs="Arial"/>
                <w:sz w:val="20"/>
                <w:szCs w:val="20"/>
              </w:rPr>
              <w:t>45.8 Watt Pool Fixture</w:t>
            </w:r>
            <w:r w:rsidR="00C131CB" w:rsidRPr="00C131CB">
              <w:rPr>
                <w:rFonts w:cs="Arial"/>
                <w:sz w:val="20"/>
                <w:szCs w:val="20"/>
              </w:rPr>
              <w:t xml:space="preserve"> (Res) LED replacing 300 Watt Incandescent</w:t>
            </w:r>
          </w:p>
          <w:p w:rsidR="00C131CB" w:rsidRDefault="00F4328B" w:rsidP="00C131CB">
            <w:pPr>
              <w:rPr>
                <w:rFonts w:cs="Arial"/>
                <w:sz w:val="20"/>
                <w:szCs w:val="20"/>
              </w:rPr>
            </w:pPr>
            <w:r>
              <w:rPr>
                <w:rFonts w:cs="Arial"/>
                <w:sz w:val="20"/>
                <w:szCs w:val="20"/>
              </w:rPr>
              <w:t>464004</w:t>
            </w:r>
            <w:r w:rsidR="00C131CB">
              <w:rPr>
                <w:rFonts w:cs="Arial"/>
                <w:sz w:val="20"/>
                <w:szCs w:val="20"/>
              </w:rPr>
              <w:t xml:space="preserve"> - </w:t>
            </w:r>
            <w:r w:rsidR="008C01F7">
              <w:rPr>
                <w:rFonts w:cs="Arial"/>
                <w:sz w:val="20"/>
                <w:szCs w:val="20"/>
              </w:rPr>
              <w:t>45.8 Watt Spa Fixture</w:t>
            </w:r>
            <w:r w:rsidR="00C131CB" w:rsidRPr="00C131CB">
              <w:rPr>
                <w:rFonts w:cs="Arial"/>
                <w:sz w:val="20"/>
                <w:szCs w:val="20"/>
              </w:rPr>
              <w:t xml:space="preserve"> (Res) LED replacing 300 Watt Incandescent</w:t>
            </w:r>
          </w:p>
          <w:p w:rsidR="00C131CB" w:rsidRDefault="00F4328B" w:rsidP="00C131CB">
            <w:pPr>
              <w:rPr>
                <w:rFonts w:cs="Arial"/>
                <w:sz w:val="20"/>
                <w:szCs w:val="20"/>
              </w:rPr>
            </w:pPr>
            <w:r>
              <w:rPr>
                <w:rFonts w:cs="Arial"/>
                <w:sz w:val="20"/>
                <w:szCs w:val="20"/>
              </w:rPr>
              <w:t>464015</w:t>
            </w:r>
            <w:r w:rsidR="00C131CB">
              <w:rPr>
                <w:rFonts w:cs="Arial"/>
                <w:sz w:val="20"/>
                <w:szCs w:val="20"/>
              </w:rPr>
              <w:t xml:space="preserve"> - </w:t>
            </w:r>
            <w:r w:rsidR="00C131CB" w:rsidRPr="00C131CB">
              <w:rPr>
                <w:rFonts w:cs="Arial"/>
                <w:sz w:val="20"/>
                <w:szCs w:val="20"/>
              </w:rPr>
              <w:t xml:space="preserve">52.4 </w:t>
            </w:r>
            <w:r w:rsidR="008C01F7">
              <w:rPr>
                <w:rFonts w:cs="Arial"/>
                <w:sz w:val="20"/>
                <w:szCs w:val="20"/>
              </w:rPr>
              <w:t>Watt Pool Fixture</w:t>
            </w:r>
            <w:r w:rsidR="00C131CB" w:rsidRPr="00C131CB">
              <w:rPr>
                <w:rFonts w:cs="Arial"/>
                <w:sz w:val="20"/>
                <w:szCs w:val="20"/>
              </w:rPr>
              <w:t xml:space="preserve"> (Dusk to Close) LED replacing 400 Watt Incandescent</w:t>
            </w:r>
          </w:p>
          <w:p w:rsidR="00C131CB" w:rsidRDefault="00F4328B" w:rsidP="00C131CB">
            <w:pPr>
              <w:rPr>
                <w:rFonts w:cs="Arial"/>
                <w:sz w:val="20"/>
                <w:szCs w:val="20"/>
              </w:rPr>
            </w:pPr>
            <w:r>
              <w:rPr>
                <w:rFonts w:cs="Arial"/>
                <w:sz w:val="20"/>
                <w:szCs w:val="20"/>
              </w:rPr>
              <w:t>464016</w:t>
            </w:r>
            <w:r w:rsidR="00C131CB">
              <w:rPr>
                <w:rFonts w:cs="Arial"/>
                <w:sz w:val="20"/>
                <w:szCs w:val="20"/>
              </w:rPr>
              <w:t xml:space="preserve"> - </w:t>
            </w:r>
            <w:r w:rsidR="008C01F7">
              <w:rPr>
                <w:rFonts w:cs="Arial"/>
                <w:sz w:val="20"/>
                <w:szCs w:val="20"/>
              </w:rPr>
              <w:t>52.4 Watt Pool Fixture</w:t>
            </w:r>
            <w:r w:rsidR="00C131CB" w:rsidRPr="00C131CB">
              <w:rPr>
                <w:rFonts w:cs="Arial"/>
                <w:sz w:val="20"/>
                <w:szCs w:val="20"/>
              </w:rPr>
              <w:t xml:space="preserve"> (Dusk to Dawn) LED replacing 400 Watt Incandescent</w:t>
            </w:r>
          </w:p>
          <w:p w:rsidR="00C131CB" w:rsidRDefault="00F4328B" w:rsidP="00C131CB">
            <w:pPr>
              <w:rPr>
                <w:rFonts w:cs="Arial"/>
                <w:sz w:val="20"/>
                <w:szCs w:val="20"/>
              </w:rPr>
            </w:pPr>
            <w:r>
              <w:rPr>
                <w:rFonts w:cs="Arial"/>
                <w:sz w:val="20"/>
                <w:szCs w:val="20"/>
              </w:rPr>
              <w:t>464005</w:t>
            </w:r>
            <w:r w:rsidR="00C131CB">
              <w:rPr>
                <w:rFonts w:cs="Arial"/>
                <w:sz w:val="20"/>
                <w:szCs w:val="20"/>
              </w:rPr>
              <w:t xml:space="preserve"> - </w:t>
            </w:r>
            <w:r w:rsidR="008C01F7">
              <w:rPr>
                <w:rFonts w:cs="Arial"/>
                <w:sz w:val="20"/>
                <w:szCs w:val="20"/>
              </w:rPr>
              <w:t>52.4 Watt Pool Fixture</w:t>
            </w:r>
            <w:r w:rsidR="00C131CB" w:rsidRPr="00C131CB">
              <w:rPr>
                <w:rFonts w:cs="Arial"/>
                <w:sz w:val="20"/>
                <w:szCs w:val="20"/>
              </w:rPr>
              <w:t xml:space="preserve"> (Res) LED replacing 400 Watt Incandescent</w:t>
            </w:r>
          </w:p>
          <w:p w:rsidR="00C131CB" w:rsidRDefault="00F4328B" w:rsidP="00C131CB">
            <w:pPr>
              <w:rPr>
                <w:rFonts w:cs="Arial"/>
                <w:sz w:val="20"/>
                <w:szCs w:val="20"/>
              </w:rPr>
            </w:pPr>
            <w:r>
              <w:rPr>
                <w:rFonts w:cs="Arial"/>
                <w:sz w:val="20"/>
                <w:szCs w:val="20"/>
              </w:rPr>
              <w:t>464006</w:t>
            </w:r>
            <w:r w:rsidR="00C131CB">
              <w:rPr>
                <w:rFonts w:cs="Arial"/>
                <w:sz w:val="20"/>
                <w:szCs w:val="20"/>
              </w:rPr>
              <w:t xml:space="preserve"> - </w:t>
            </w:r>
            <w:r w:rsidR="008C01F7">
              <w:rPr>
                <w:rFonts w:cs="Arial"/>
                <w:sz w:val="20"/>
                <w:szCs w:val="20"/>
              </w:rPr>
              <w:t>52.4 Watt Spa Fixture</w:t>
            </w:r>
            <w:r w:rsidR="00C131CB" w:rsidRPr="00C131CB">
              <w:rPr>
                <w:rFonts w:cs="Arial"/>
                <w:sz w:val="20"/>
                <w:szCs w:val="20"/>
              </w:rPr>
              <w:t xml:space="preserve"> (Res) LED replacing 400 Watt Incandescent</w:t>
            </w:r>
          </w:p>
          <w:p w:rsidR="00C131CB" w:rsidRDefault="00F4328B" w:rsidP="00C131CB">
            <w:pPr>
              <w:rPr>
                <w:rFonts w:cs="Arial"/>
                <w:sz w:val="20"/>
                <w:szCs w:val="20"/>
              </w:rPr>
            </w:pPr>
            <w:r>
              <w:rPr>
                <w:rFonts w:cs="Arial"/>
                <w:sz w:val="20"/>
                <w:szCs w:val="20"/>
              </w:rPr>
              <w:t>464017</w:t>
            </w:r>
            <w:r w:rsidR="00C131CB">
              <w:rPr>
                <w:rFonts w:cs="Arial"/>
                <w:sz w:val="20"/>
                <w:szCs w:val="20"/>
              </w:rPr>
              <w:t xml:space="preserve"> - </w:t>
            </w:r>
            <w:r w:rsidR="008C01F7">
              <w:rPr>
                <w:rFonts w:cs="Arial"/>
                <w:sz w:val="20"/>
                <w:szCs w:val="20"/>
              </w:rPr>
              <w:t>67.4 Watt Pool Fixture</w:t>
            </w:r>
            <w:r w:rsidR="00C131CB" w:rsidRPr="00C131CB">
              <w:rPr>
                <w:rFonts w:cs="Arial"/>
                <w:sz w:val="20"/>
                <w:szCs w:val="20"/>
              </w:rPr>
              <w:t xml:space="preserve"> (Dusk to Close) LED replacing 500 Watt Incandescent</w:t>
            </w:r>
          </w:p>
          <w:p w:rsidR="00C131CB" w:rsidRDefault="00F4328B" w:rsidP="00C131CB">
            <w:pPr>
              <w:rPr>
                <w:rFonts w:cs="Arial"/>
                <w:sz w:val="20"/>
                <w:szCs w:val="20"/>
              </w:rPr>
            </w:pPr>
            <w:r>
              <w:rPr>
                <w:rFonts w:cs="Arial"/>
                <w:sz w:val="20"/>
                <w:szCs w:val="20"/>
              </w:rPr>
              <w:t>464018</w:t>
            </w:r>
            <w:r w:rsidR="00C131CB">
              <w:rPr>
                <w:rFonts w:cs="Arial"/>
                <w:sz w:val="20"/>
                <w:szCs w:val="20"/>
              </w:rPr>
              <w:t xml:space="preserve"> - </w:t>
            </w:r>
            <w:r w:rsidR="008C01F7">
              <w:rPr>
                <w:rFonts w:cs="Arial"/>
                <w:sz w:val="20"/>
                <w:szCs w:val="20"/>
              </w:rPr>
              <w:t>67.4 Watt Pool Fixture</w:t>
            </w:r>
            <w:r w:rsidR="00C131CB" w:rsidRPr="00C131CB">
              <w:rPr>
                <w:rFonts w:cs="Arial"/>
                <w:sz w:val="20"/>
                <w:szCs w:val="20"/>
              </w:rPr>
              <w:t xml:space="preserve"> (Dusk to Dawn) LED replacing 500 Watt Incandescent</w:t>
            </w:r>
          </w:p>
          <w:p w:rsidR="00C131CB" w:rsidRDefault="00F4328B" w:rsidP="00C131CB">
            <w:pPr>
              <w:rPr>
                <w:rFonts w:cs="Arial"/>
                <w:sz w:val="20"/>
                <w:szCs w:val="20"/>
              </w:rPr>
            </w:pPr>
            <w:r>
              <w:rPr>
                <w:rFonts w:cs="Arial"/>
                <w:sz w:val="20"/>
                <w:szCs w:val="20"/>
              </w:rPr>
              <w:t>464007</w:t>
            </w:r>
            <w:r w:rsidR="00C131CB">
              <w:rPr>
                <w:rFonts w:cs="Arial"/>
                <w:sz w:val="20"/>
                <w:szCs w:val="20"/>
              </w:rPr>
              <w:t xml:space="preserve"> - </w:t>
            </w:r>
            <w:r w:rsidR="008C01F7">
              <w:rPr>
                <w:rFonts w:cs="Arial"/>
                <w:sz w:val="20"/>
                <w:szCs w:val="20"/>
              </w:rPr>
              <w:t>67.4 Watt Pool Fixture</w:t>
            </w:r>
            <w:r w:rsidR="00C131CB" w:rsidRPr="00C131CB">
              <w:rPr>
                <w:rFonts w:cs="Arial"/>
                <w:sz w:val="20"/>
                <w:szCs w:val="20"/>
              </w:rPr>
              <w:t xml:space="preserve"> (Res) LED replacing 500 Watt Incandescent</w:t>
            </w:r>
          </w:p>
          <w:p w:rsidR="00C131CB" w:rsidRDefault="00F4328B" w:rsidP="00C131CB">
            <w:pPr>
              <w:rPr>
                <w:rFonts w:cs="Arial"/>
                <w:sz w:val="20"/>
                <w:szCs w:val="20"/>
              </w:rPr>
            </w:pPr>
            <w:r>
              <w:rPr>
                <w:rFonts w:cs="Arial"/>
                <w:sz w:val="20"/>
                <w:szCs w:val="20"/>
              </w:rPr>
              <w:t>464008</w:t>
            </w:r>
            <w:r w:rsidR="00C131CB">
              <w:rPr>
                <w:rFonts w:cs="Arial"/>
                <w:sz w:val="20"/>
                <w:szCs w:val="20"/>
              </w:rPr>
              <w:t xml:space="preserve"> - </w:t>
            </w:r>
            <w:r w:rsidR="008C01F7">
              <w:rPr>
                <w:rFonts w:cs="Arial"/>
                <w:sz w:val="20"/>
                <w:szCs w:val="20"/>
              </w:rPr>
              <w:t>67.4 Watt Spa Fixture</w:t>
            </w:r>
            <w:r w:rsidR="00C131CB" w:rsidRPr="00C131CB">
              <w:rPr>
                <w:rFonts w:cs="Arial"/>
                <w:sz w:val="20"/>
                <w:szCs w:val="20"/>
              </w:rPr>
              <w:t xml:space="preserve"> (Res) LED replacing 500 Watt Incandescent</w:t>
            </w:r>
          </w:p>
          <w:p w:rsidR="00C131CB" w:rsidRDefault="00F4328B" w:rsidP="00C131CB">
            <w:pPr>
              <w:rPr>
                <w:rFonts w:cs="Arial"/>
                <w:sz w:val="20"/>
                <w:szCs w:val="20"/>
              </w:rPr>
            </w:pPr>
            <w:r>
              <w:rPr>
                <w:rFonts w:cs="Arial"/>
                <w:sz w:val="20"/>
                <w:szCs w:val="20"/>
              </w:rPr>
              <w:t>463999</w:t>
            </w:r>
            <w:r w:rsidR="00C131CB">
              <w:rPr>
                <w:rFonts w:cs="Arial"/>
                <w:sz w:val="20"/>
                <w:szCs w:val="20"/>
              </w:rPr>
              <w:t xml:space="preserve"> - </w:t>
            </w:r>
            <w:r w:rsidR="00C131CB" w:rsidRPr="00C131CB">
              <w:rPr>
                <w:rFonts w:cs="Arial"/>
                <w:sz w:val="20"/>
                <w:szCs w:val="20"/>
              </w:rPr>
              <w:t>15.5 Watt Pool Lamp (Res) LED replacing 100 Watt Incandescent</w:t>
            </w:r>
          </w:p>
          <w:p w:rsidR="00C131CB" w:rsidRDefault="00F4328B" w:rsidP="00C131CB">
            <w:pPr>
              <w:rPr>
                <w:rFonts w:cs="Arial"/>
                <w:sz w:val="20"/>
                <w:szCs w:val="20"/>
              </w:rPr>
            </w:pPr>
            <w:r>
              <w:rPr>
                <w:rFonts w:cs="Arial"/>
                <w:sz w:val="20"/>
                <w:szCs w:val="20"/>
              </w:rPr>
              <w:t>464020</w:t>
            </w:r>
            <w:r w:rsidR="00C131CB">
              <w:rPr>
                <w:rFonts w:cs="Arial"/>
                <w:sz w:val="20"/>
                <w:szCs w:val="20"/>
              </w:rPr>
              <w:t xml:space="preserve"> - </w:t>
            </w:r>
            <w:r w:rsidR="00C131CB" w:rsidRPr="00C131CB">
              <w:rPr>
                <w:rFonts w:cs="Arial"/>
                <w:sz w:val="20"/>
                <w:szCs w:val="20"/>
              </w:rPr>
              <w:t>15.5 Watt Pool Lamp (Dusk to Dawn) LED replacing 100 Watt Incandescent</w:t>
            </w:r>
          </w:p>
          <w:p w:rsidR="00C131CB" w:rsidRDefault="00F4328B" w:rsidP="00C131CB">
            <w:pPr>
              <w:rPr>
                <w:rFonts w:cs="Arial"/>
                <w:sz w:val="20"/>
                <w:szCs w:val="20"/>
              </w:rPr>
            </w:pPr>
            <w:r>
              <w:rPr>
                <w:rFonts w:cs="Arial"/>
                <w:sz w:val="20"/>
                <w:szCs w:val="20"/>
              </w:rPr>
              <w:t>464000</w:t>
            </w:r>
            <w:r w:rsidR="00C131CB">
              <w:rPr>
                <w:rFonts w:cs="Arial"/>
                <w:sz w:val="20"/>
                <w:szCs w:val="20"/>
              </w:rPr>
              <w:t xml:space="preserve"> - </w:t>
            </w:r>
            <w:r w:rsidR="00C131CB" w:rsidRPr="00C131CB">
              <w:rPr>
                <w:rFonts w:cs="Arial"/>
                <w:sz w:val="20"/>
                <w:szCs w:val="20"/>
              </w:rPr>
              <w:t>15.5 Watt Spa Lamp (Res) LED replacing 100 Watt Incandescent</w:t>
            </w:r>
          </w:p>
          <w:p w:rsidR="00C131CB" w:rsidRDefault="00F4328B" w:rsidP="00C131CB">
            <w:pPr>
              <w:rPr>
                <w:rFonts w:cs="Arial"/>
                <w:sz w:val="20"/>
                <w:szCs w:val="20"/>
              </w:rPr>
            </w:pPr>
            <w:r>
              <w:rPr>
                <w:rFonts w:cs="Arial"/>
                <w:sz w:val="20"/>
                <w:szCs w:val="20"/>
              </w:rPr>
              <w:t>464019</w:t>
            </w:r>
            <w:r w:rsidR="00C131CB">
              <w:rPr>
                <w:rFonts w:cs="Arial"/>
                <w:sz w:val="20"/>
                <w:szCs w:val="20"/>
              </w:rPr>
              <w:t xml:space="preserve"> - </w:t>
            </w:r>
            <w:r w:rsidR="00C131CB" w:rsidRPr="00C131CB">
              <w:rPr>
                <w:rFonts w:cs="Arial"/>
                <w:sz w:val="20"/>
                <w:szCs w:val="20"/>
              </w:rPr>
              <w:t>15.5 Watt Pool Lamp (Dusk to Close) LED replacing 100 Watt Incandescent</w:t>
            </w:r>
          </w:p>
          <w:p w:rsidR="00C131CB" w:rsidRDefault="00F4328B" w:rsidP="00C131CB">
            <w:pPr>
              <w:rPr>
                <w:rFonts w:cs="Arial"/>
                <w:sz w:val="20"/>
                <w:szCs w:val="20"/>
              </w:rPr>
            </w:pPr>
            <w:r>
              <w:rPr>
                <w:rFonts w:cs="Arial"/>
                <w:sz w:val="20"/>
                <w:szCs w:val="20"/>
              </w:rPr>
              <w:t>464021</w:t>
            </w:r>
            <w:r w:rsidR="00C131CB">
              <w:rPr>
                <w:rFonts w:cs="Arial"/>
                <w:sz w:val="20"/>
                <w:szCs w:val="20"/>
              </w:rPr>
              <w:t xml:space="preserve"> - </w:t>
            </w:r>
            <w:r w:rsidR="00C131CB" w:rsidRPr="00C131CB">
              <w:rPr>
                <w:rFonts w:cs="Arial"/>
                <w:sz w:val="20"/>
                <w:szCs w:val="20"/>
              </w:rPr>
              <w:t>45.8 Watt Pool Lamp (Dusk to Close) LED replacing 300 Watt Incandescent</w:t>
            </w:r>
          </w:p>
          <w:p w:rsidR="00C131CB" w:rsidRDefault="00F4328B" w:rsidP="00C131CB">
            <w:pPr>
              <w:rPr>
                <w:rFonts w:cs="Arial"/>
                <w:sz w:val="20"/>
                <w:szCs w:val="20"/>
              </w:rPr>
            </w:pPr>
            <w:r>
              <w:rPr>
                <w:rFonts w:cs="Arial"/>
                <w:sz w:val="20"/>
                <w:szCs w:val="20"/>
              </w:rPr>
              <w:t>464022</w:t>
            </w:r>
            <w:r w:rsidR="00C131CB">
              <w:rPr>
                <w:rFonts w:cs="Arial"/>
                <w:sz w:val="20"/>
                <w:szCs w:val="20"/>
              </w:rPr>
              <w:t xml:space="preserve"> - </w:t>
            </w:r>
            <w:r w:rsidR="00C131CB" w:rsidRPr="00C131CB">
              <w:rPr>
                <w:rFonts w:cs="Arial"/>
                <w:sz w:val="20"/>
                <w:szCs w:val="20"/>
              </w:rPr>
              <w:t>45.8 Watt Pool Lamp (Dusk to Dawn) LED replacing 300 Watt Incandescent</w:t>
            </w:r>
          </w:p>
          <w:p w:rsidR="00C131CB" w:rsidRDefault="00C131CB" w:rsidP="00C131CB">
            <w:pPr>
              <w:rPr>
                <w:rFonts w:cs="Arial"/>
                <w:sz w:val="20"/>
                <w:szCs w:val="20"/>
              </w:rPr>
            </w:pPr>
            <w:r>
              <w:rPr>
                <w:rFonts w:cs="Arial"/>
                <w:sz w:val="20"/>
                <w:szCs w:val="20"/>
              </w:rPr>
              <w:t xml:space="preserve">463805 - </w:t>
            </w:r>
            <w:r w:rsidRPr="00C131CB">
              <w:rPr>
                <w:rFonts w:cs="Arial"/>
                <w:sz w:val="20"/>
                <w:szCs w:val="20"/>
              </w:rPr>
              <w:t>45.8 Watt Pool Lamp (Res) LED replacing 300 Watt Incandescent</w:t>
            </w:r>
          </w:p>
          <w:p w:rsidR="00C131CB" w:rsidRDefault="00C131CB" w:rsidP="00C131CB">
            <w:pPr>
              <w:rPr>
                <w:rFonts w:cs="Arial"/>
                <w:sz w:val="20"/>
                <w:szCs w:val="20"/>
              </w:rPr>
            </w:pPr>
            <w:r>
              <w:rPr>
                <w:rFonts w:cs="Arial"/>
                <w:sz w:val="20"/>
                <w:szCs w:val="20"/>
              </w:rPr>
              <w:t xml:space="preserve">463806 - </w:t>
            </w:r>
            <w:r w:rsidRPr="00C131CB">
              <w:rPr>
                <w:rFonts w:cs="Arial"/>
                <w:sz w:val="20"/>
                <w:szCs w:val="20"/>
              </w:rPr>
              <w:t>45.8 Watt Spa Lamp (Res) LED replacing 300 Watt Incandescent</w:t>
            </w:r>
          </w:p>
          <w:p w:rsidR="00C131CB" w:rsidRDefault="001979FF" w:rsidP="00C131CB">
            <w:pPr>
              <w:rPr>
                <w:rFonts w:cs="Arial"/>
                <w:sz w:val="20"/>
                <w:szCs w:val="20"/>
              </w:rPr>
            </w:pPr>
            <w:r>
              <w:rPr>
                <w:rFonts w:cs="Arial"/>
                <w:sz w:val="20"/>
                <w:szCs w:val="20"/>
              </w:rPr>
              <w:t>464023</w:t>
            </w:r>
            <w:r w:rsidR="00C131CB">
              <w:rPr>
                <w:rFonts w:cs="Arial"/>
                <w:sz w:val="20"/>
                <w:szCs w:val="20"/>
              </w:rPr>
              <w:t xml:space="preserve"> - </w:t>
            </w:r>
            <w:r w:rsidR="00C131CB" w:rsidRPr="00C131CB">
              <w:rPr>
                <w:rFonts w:cs="Arial"/>
                <w:sz w:val="20"/>
                <w:szCs w:val="20"/>
              </w:rPr>
              <w:t>52.4 Watt Pool Lamp (Dusk to Close) LED replacing 400 Watt Incandescent</w:t>
            </w:r>
          </w:p>
          <w:p w:rsidR="00C131CB" w:rsidRDefault="00C131CB" w:rsidP="00C131CB">
            <w:pPr>
              <w:rPr>
                <w:rFonts w:cs="Arial"/>
                <w:sz w:val="20"/>
                <w:szCs w:val="20"/>
              </w:rPr>
            </w:pPr>
            <w:r>
              <w:rPr>
                <w:rFonts w:cs="Arial"/>
                <w:sz w:val="20"/>
                <w:szCs w:val="20"/>
              </w:rPr>
              <w:t xml:space="preserve">463807 - </w:t>
            </w:r>
            <w:r w:rsidRPr="00C131CB">
              <w:rPr>
                <w:rFonts w:cs="Arial"/>
                <w:sz w:val="20"/>
                <w:szCs w:val="20"/>
              </w:rPr>
              <w:t>52.4 Watt Spa Lamp (Res) LED replacing 400 Watt Incandescent</w:t>
            </w:r>
          </w:p>
          <w:p w:rsidR="00C131CB" w:rsidRDefault="00C131CB" w:rsidP="00C131CB">
            <w:pPr>
              <w:rPr>
                <w:rFonts w:cs="Arial"/>
                <w:sz w:val="20"/>
                <w:szCs w:val="20"/>
              </w:rPr>
            </w:pPr>
            <w:r>
              <w:rPr>
                <w:rFonts w:cs="Arial"/>
                <w:sz w:val="20"/>
                <w:szCs w:val="20"/>
              </w:rPr>
              <w:t xml:space="preserve">463808 - </w:t>
            </w:r>
            <w:r w:rsidRPr="00C131CB">
              <w:rPr>
                <w:rFonts w:cs="Arial"/>
                <w:sz w:val="20"/>
                <w:szCs w:val="20"/>
              </w:rPr>
              <w:t>52.4 Watt Pool Lamp (Res) LED replacing 400 Watt Incandescent</w:t>
            </w:r>
          </w:p>
          <w:p w:rsidR="00C131CB" w:rsidRDefault="001979FF" w:rsidP="00C131CB">
            <w:pPr>
              <w:rPr>
                <w:rFonts w:cs="Arial"/>
                <w:sz w:val="20"/>
                <w:szCs w:val="20"/>
              </w:rPr>
            </w:pPr>
            <w:r>
              <w:rPr>
                <w:rFonts w:cs="Arial"/>
                <w:sz w:val="20"/>
                <w:szCs w:val="20"/>
              </w:rPr>
              <w:t>464024</w:t>
            </w:r>
            <w:r w:rsidR="00C131CB">
              <w:rPr>
                <w:rFonts w:cs="Arial"/>
                <w:sz w:val="20"/>
                <w:szCs w:val="20"/>
              </w:rPr>
              <w:t xml:space="preserve"> - </w:t>
            </w:r>
            <w:r w:rsidR="00C131CB" w:rsidRPr="00C131CB">
              <w:rPr>
                <w:rFonts w:cs="Arial"/>
                <w:sz w:val="20"/>
                <w:szCs w:val="20"/>
              </w:rPr>
              <w:t>52.4 Watt Pool Lamp (Dusk to Dawn) LED replacing 400 Watt Incandescent</w:t>
            </w:r>
          </w:p>
          <w:p w:rsidR="00C131CB" w:rsidRDefault="001979FF" w:rsidP="00C131CB">
            <w:pPr>
              <w:rPr>
                <w:rFonts w:cs="Arial"/>
                <w:sz w:val="20"/>
                <w:szCs w:val="20"/>
              </w:rPr>
            </w:pPr>
            <w:r>
              <w:rPr>
                <w:rFonts w:cs="Arial"/>
                <w:sz w:val="20"/>
                <w:szCs w:val="20"/>
              </w:rPr>
              <w:t>464025</w:t>
            </w:r>
            <w:r w:rsidR="00C131CB">
              <w:rPr>
                <w:rFonts w:cs="Arial"/>
                <w:sz w:val="20"/>
                <w:szCs w:val="20"/>
              </w:rPr>
              <w:t xml:space="preserve"> - </w:t>
            </w:r>
            <w:r w:rsidR="00C131CB" w:rsidRPr="00C131CB">
              <w:rPr>
                <w:rFonts w:cs="Arial"/>
                <w:sz w:val="20"/>
                <w:szCs w:val="20"/>
              </w:rPr>
              <w:t>67.4 Watt Pool Lamp (Dusk to Close) LED replacing 500 Watt Incandescent</w:t>
            </w:r>
          </w:p>
          <w:p w:rsidR="00C131CB" w:rsidRDefault="001505DA" w:rsidP="00C131CB">
            <w:pPr>
              <w:rPr>
                <w:rFonts w:cs="Arial"/>
                <w:sz w:val="20"/>
                <w:szCs w:val="20"/>
              </w:rPr>
            </w:pPr>
            <w:r>
              <w:rPr>
                <w:rFonts w:cs="Arial"/>
                <w:sz w:val="20"/>
                <w:szCs w:val="20"/>
              </w:rPr>
              <w:t>464010</w:t>
            </w:r>
            <w:r w:rsidR="00C131CB">
              <w:rPr>
                <w:rFonts w:cs="Arial"/>
                <w:sz w:val="20"/>
                <w:szCs w:val="20"/>
              </w:rPr>
              <w:t xml:space="preserve"> - </w:t>
            </w:r>
            <w:r w:rsidR="00C131CB" w:rsidRPr="00C131CB">
              <w:rPr>
                <w:rFonts w:cs="Arial"/>
                <w:sz w:val="20"/>
                <w:szCs w:val="20"/>
              </w:rPr>
              <w:t>67.4 Watt Spa Lamp (Res) LED replacing 500 Watt Incandescent</w:t>
            </w:r>
          </w:p>
          <w:p w:rsidR="00C131CB" w:rsidRDefault="001979FF" w:rsidP="00C131CB">
            <w:pPr>
              <w:rPr>
                <w:rFonts w:cs="Arial"/>
                <w:sz w:val="20"/>
                <w:szCs w:val="20"/>
              </w:rPr>
            </w:pPr>
            <w:r>
              <w:rPr>
                <w:rFonts w:cs="Arial"/>
                <w:sz w:val="20"/>
                <w:szCs w:val="20"/>
              </w:rPr>
              <w:t>464026</w:t>
            </w:r>
            <w:r w:rsidR="00C131CB">
              <w:rPr>
                <w:rFonts w:cs="Arial"/>
                <w:sz w:val="20"/>
                <w:szCs w:val="20"/>
              </w:rPr>
              <w:t xml:space="preserve"> - </w:t>
            </w:r>
            <w:r w:rsidR="00C131CB" w:rsidRPr="00C131CB">
              <w:rPr>
                <w:rFonts w:cs="Arial"/>
                <w:sz w:val="20"/>
                <w:szCs w:val="20"/>
              </w:rPr>
              <w:t>67.4 Watt Pool Lamp (Dusk to Dawn) LED replacing 500 Watt Incandescent</w:t>
            </w:r>
          </w:p>
          <w:p w:rsidR="00C131CB" w:rsidRDefault="001505DA" w:rsidP="00C131CB">
            <w:pPr>
              <w:rPr>
                <w:rFonts w:cs="Arial"/>
                <w:sz w:val="20"/>
                <w:szCs w:val="20"/>
              </w:rPr>
            </w:pPr>
            <w:r>
              <w:rPr>
                <w:rFonts w:cs="Arial"/>
                <w:sz w:val="20"/>
                <w:szCs w:val="20"/>
              </w:rPr>
              <w:t>464009</w:t>
            </w:r>
            <w:r w:rsidR="00C131CB">
              <w:rPr>
                <w:rFonts w:cs="Arial"/>
                <w:sz w:val="20"/>
                <w:szCs w:val="20"/>
              </w:rPr>
              <w:t xml:space="preserve"> - </w:t>
            </w:r>
            <w:r w:rsidR="00C131CB" w:rsidRPr="00C131CB">
              <w:rPr>
                <w:rFonts w:cs="Arial"/>
                <w:sz w:val="20"/>
                <w:szCs w:val="20"/>
              </w:rPr>
              <w:t>67.4 Watt Pool Lamp (Res) LED replacing 500 Watt Incandescent</w:t>
            </w:r>
          </w:p>
          <w:p w:rsidR="00C131CB" w:rsidRPr="00241A1F" w:rsidRDefault="00C131CB" w:rsidP="00C131CB">
            <w:pPr>
              <w:rPr>
                <w:rFonts w:cs="Arial"/>
                <w:sz w:val="20"/>
                <w:szCs w:val="20"/>
              </w:rPr>
            </w:pPr>
          </w:p>
        </w:tc>
      </w:tr>
      <w:tr w:rsidR="00DB71F1" w:rsidTr="00BD4AFD">
        <w:trPr>
          <w:cantSplit/>
        </w:trPr>
        <w:tc>
          <w:tcPr>
            <w:tcW w:w="1222" w:type="dxa"/>
            <w:vAlign w:val="center"/>
          </w:tcPr>
          <w:p w:rsidR="00DB71F1" w:rsidRPr="001D77F7" w:rsidRDefault="00DB71F1" w:rsidP="00393EC8">
            <w:pPr>
              <w:rPr>
                <w:b/>
              </w:rPr>
            </w:pPr>
            <w:r w:rsidRPr="001D77F7">
              <w:rPr>
                <w:b/>
              </w:rPr>
              <w:lastRenderedPageBreak/>
              <w:t xml:space="preserve">1.2 Technical Description </w:t>
            </w:r>
          </w:p>
        </w:tc>
        <w:tc>
          <w:tcPr>
            <w:tcW w:w="8128" w:type="dxa"/>
          </w:tcPr>
          <w:p w:rsidR="00A21710" w:rsidRPr="00A21710" w:rsidRDefault="00A21710" w:rsidP="00A21710">
            <w:pPr>
              <w:rPr>
                <w:rFonts w:cs="Arial"/>
                <w:sz w:val="20"/>
                <w:szCs w:val="20"/>
              </w:rPr>
            </w:pPr>
            <w:r w:rsidRPr="00A21710">
              <w:rPr>
                <w:rFonts w:cs="Arial"/>
                <w:sz w:val="20"/>
                <w:szCs w:val="20"/>
              </w:rPr>
              <w:t xml:space="preserve">Per ET10SCE1130 study [A], “A Light Emitting Diode (LED) pool lamp is an underwater lighting luminaire used to illuminate swimming pools for safety, security, and aesthetics. The LED replaces the incandescent pool lamp traditionally screwed into an airtight fixture that submerges under water. It comes in two different variations: as a fixture replacement and as a screw-in replacement. The fixture replacement requires an entire fixture replacement along with the wiring that runs through an underground conduit, while the screw-in replacement only replaces the incandescent lamp with an LED lamp within the same/existing fixture.” </w:t>
            </w:r>
          </w:p>
          <w:p w:rsidR="00A21710" w:rsidRPr="00A21710" w:rsidRDefault="00A21710" w:rsidP="00A21710">
            <w:pPr>
              <w:rPr>
                <w:rFonts w:cs="Arial"/>
                <w:sz w:val="20"/>
                <w:szCs w:val="20"/>
              </w:rPr>
            </w:pPr>
          </w:p>
          <w:p w:rsidR="00A21710" w:rsidRPr="00A21710" w:rsidRDefault="00A21710" w:rsidP="00A21710">
            <w:pPr>
              <w:rPr>
                <w:rFonts w:cs="Arial"/>
                <w:sz w:val="20"/>
                <w:szCs w:val="20"/>
              </w:rPr>
            </w:pPr>
            <w:r w:rsidRPr="00A21710">
              <w:rPr>
                <w:rFonts w:cs="Arial"/>
                <w:sz w:val="20"/>
                <w:szCs w:val="20"/>
              </w:rPr>
              <w:t>“Whether LED or incandescent, the LED pool lamp works by cooling itself with water. The fixture fits inside a niche that is typically three feet below the water level. Although screwed into the niche with one screw, the fixture has holes around the face to let water pass through.”</w:t>
            </w:r>
          </w:p>
          <w:p w:rsidR="00A21710" w:rsidRPr="00A21710" w:rsidRDefault="00A21710" w:rsidP="00A21710">
            <w:pPr>
              <w:rPr>
                <w:rFonts w:cs="Arial"/>
                <w:sz w:val="20"/>
                <w:szCs w:val="20"/>
              </w:rPr>
            </w:pPr>
          </w:p>
          <w:p w:rsidR="00DB71F1" w:rsidRPr="00241A1F" w:rsidRDefault="00A21710">
            <w:pPr>
              <w:rPr>
                <w:rFonts w:cs="Arial"/>
                <w:sz w:val="20"/>
                <w:szCs w:val="20"/>
              </w:rPr>
            </w:pPr>
            <w:r w:rsidRPr="00A21710">
              <w:rPr>
                <w:rFonts w:cs="Arial"/>
                <w:sz w:val="20"/>
                <w:szCs w:val="20"/>
              </w:rPr>
              <w:t>“A LED is a semiconductor completely covered in epoxy. It emits light when there is a proper amount of current in the LED. Often used as indicator lights, the small, low-output LED is a mature technology. However, advances in LED technology have made them brighter and more efficient, thereby expanding the application of LEDs to other markets. The operation of the LED pool lamp is the same as that of the incandescent pool lamp from the perspective of the end-user”.</w:t>
            </w:r>
          </w:p>
        </w:tc>
      </w:tr>
      <w:tr w:rsidR="008775D7" w:rsidRPr="008775D7" w:rsidTr="00BD4AFD">
        <w:trPr>
          <w:cantSplit/>
        </w:trPr>
        <w:tc>
          <w:tcPr>
            <w:tcW w:w="1222" w:type="dxa"/>
          </w:tcPr>
          <w:p w:rsidR="008775D7" w:rsidRPr="00241A1F" w:rsidRDefault="008775D7" w:rsidP="00241A1F">
            <w:pPr>
              <w:jc w:val="right"/>
              <w:rPr>
                <w:sz w:val="20"/>
                <w:szCs w:val="20"/>
              </w:rPr>
            </w:pPr>
            <w:r w:rsidRPr="00241A1F">
              <w:rPr>
                <w:sz w:val="20"/>
                <w:szCs w:val="20"/>
              </w:rPr>
              <w:t>Measures</w:t>
            </w:r>
          </w:p>
        </w:tc>
        <w:tc>
          <w:tcPr>
            <w:tcW w:w="8128" w:type="dxa"/>
          </w:tcPr>
          <w:p w:rsidR="008775D7" w:rsidRPr="00E733C7" w:rsidRDefault="008D0B3C">
            <w:pPr>
              <w:rPr>
                <w:rFonts w:cs="Arial"/>
                <w:sz w:val="20"/>
                <w:szCs w:val="20"/>
              </w:rPr>
            </w:pPr>
            <w:r>
              <w:rPr>
                <w:rFonts w:cs="Arial"/>
                <w:sz w:val="20"/>
                <w:szCs w:val="20"/>
              </w:rPr>
              <w:t>See Requirements</w:t>
            </w:r>
          </w:p>
        </w:tc>
      </w:tr>
      <w:tr w:rsidR="008775D7" w:rsidRPr="008775D7" w:rsidTr="00BD4AFD">
        <w:trPr>
          <w:cantSplit/>
        </w:trPr>
        <w:tc>
          <w:tcPr>
            <w:tcW w:w="1222" w:type="dxa"/>
          </w:tcPr>
          <w:p w:rsidR="008775D7" w:rsidRPr="00653C4B" w:rsidRDefault="008775D7" w:rsidP="00241A1F">
            <w:pPr>
              <w:jc w:val="right"/>
              <w:rPr>
                <w:sz w:val="20"/>
                <w:szCs w:val="20"/>
              </w:rPr>
            </w:pPr>
            <w:r w:rsidRPr="00653C4B">
              <w:rPr>
                <w:sz w:val="20"/>
                <w:szCs w:val="20"/>
              </w:rPr>
              <w:t>Code for All Measures</w:t>
            </w:r>
          </w:p>
        </w:tc>
        <w:tc>
          <w:tcPr>
            <w:tcW w:w="8128" w:type="dxa"/>
          </w:tcPr>
          <w:p w:rsidR="000B6542" w:rsidRPr="000B6542" w:rsidRDefault="000B6542" w:rsidP="000B6542">
            <w:pPr>
              <w:jc w:val="both"/>
              <w:rPr>
                <w:rFonts w:cs="Arial"/>
                <w:bCs/>
                <w:sz w:val="20"/>
                <w:szCs w:val="20"/>
              </w:rPr>
            </w:pPr>
            <w:r w:rsidRPr="000B6542">
              <w:rPr>
                <w:rFonts w:cs="Arial"/>
                <w:bCs/>
                <w:sz w:val="20"/>
                <w:szCs w:val="20"/>
              </w:rPr>
              <w:t>There are no applicable codes in Title 24 Building Energy Efficiency Standards [496]. Title 20 [422] contains an applicable code that requires a minimum average lamp efficacy of incandescent reflector lamps. California Electrical Code [461] Article 680 contains restrictive installation and equipment requirements necessary to prevent severe shock to human bodies around swimming pools, spas, hot tubs, and fountains.</w:t>
            </w:r>
          </w:p>
          <w:tbl>
            <w:tblPr>
              <w:tblStyle w:val="TableGrid1"/>
              <w:tblW w:w="5000" w:type="pct"/>
              <w:tblLook w:val="04A0" w:firstRow="1" w:lastRow="0" w:firstColumn="1" w:lastColumn="0" w:noHBand="0" w:noVBand="1"/>
            </w:tblPr>
            <w:tblGrid>
              <w:gridCol w:w="1826"/>
              <w:gridCol w:w="4284"/>
              <w:gridCol w:w="1792"/>
            </w:tblGrid>
            <w:tr w:rsidR="000B6542" w:rsidRPr="00CC7B12" w:rsidTr="00A713A3">
              <w:tc>
                <w:tcPr>
                  <w:tcW w:w="1155" w:type="pct"/>
                  <w:shd w:val="clear" w:color="auto" w:fill="D9D9D9" w:themeFill="background1" w:themeFillShade="D9"/>
                </w:tcPr>
                <w:p w:rsidR="000B6542" w:rsidRPr="00CC7B12" w:rsidRDefault="000B6542" w:rsidP="000B6542">
                  <w:pPr>
                    <w:rPr>
                      <w:rFonts w:cstheme="minorHAnsi"/>
                      <w:b/>
                      <w:szCs w:val="20"/>
                    </w:rPr>
                  </w:pPr>
                  <w:r w:rsidRPr="00CC7B12">
                    <w:rPr>
                      <w:rFonts w:cstheme="minorHAnsi"/>
                      <w:b/>
                      <w:szCs w:val="20"/>
                    </w:rPr>
                    <w:t>Code</w:t>
                  </w:r>
                </w:p>
              </w:tc>
              <w:tc>
                <w:tcPr>
                  <w:tcW w:w="2711" w:type="pct"/>
                  <w:shd w:val="clear" w:color="auto" w:fill="D9D9D9" w:themeFill="background1" w:themeFillShade="D9"/>
                </w:tcPr>
                <w:p w:rsidR="000B6542" w:rsidRPr="00CC7B12" w:rsidRDefault="000B6542" w:rsidP="000B6542">
                  <w:pPr>
                    <w:rPr>
                      <w:rFonts w:cstheme="minorHAnsi"/>
                      <w:b/>
                      <w:szCs w:val="20"/>
                    </w:rPr>
                  </w:pPr>
                  <w:r w:rsidRPr="00CC7B12">
                    <w:rPr>
                      <w:rFonts w:cstheme="minorHAnsi"/>
                      <w:b/>
                      <w:szCs w:val="20"/>
                    </w:rPr>
                    <w:t>Reference</w:t>
                  </w:r>
                </w:p>
              </w:tc>
              <w:tc>
                <w:tcPr>
                  <w:tcW w:w="1134" w:type="pct"/>
                  <w:shd w:val="clear" w:color="auto" w:fill="D9D9D9" w:themeFill="background1" w:themeFillShade="D9"/>
                </w:tcPr>
                <w:p w:rsidR="000B6542" w:rsidRPr="00CC7B12" w:rsidRDefault="000B6542" w:rsidP="000B6542">
                  <w:pPr>
                    <w:rPr>
                      <w:rFonts w:cstheme="minorHAnsi"/>
                      <w:b/>
                      <w:szCs w:val="20"/>
                    </w:rPr>
                  </w:pPr>
                  <w:r w:rsidRPr="00CC7B12">
                    <w:rPr>
                      <w:rFonts w:cstheme="minorHAnsi"/>
                      <w:b/>
                      <w:szCs w:val="20"/>
                    </w:rPr>
                    <w:t>Effective Dates</w:t>
                  </w:r>
                </w:p>
              </w:tc>
            </w:tr>
            <w:tr w:rsidR="000B6542" w:rsidRPr="00CC7B12" w:rsidTr="00A713A3">
              <w:trPr>
                <w:trHeight w:val="243"/>
              </w:trPr>
              <w:tc>
                <w:tcPr>
                  <w:tcW w:w="1155" w:type="pct"/>
                  <w:vAlign w:val="center"/>
                </w:tcPr>
                <w:p w:rsidR="000B6542" w:rsidRPr="00CC7B12" w:rsidRDefault="000B6542" w:rsidP="000B6542">
                  <w:pPr>
                    <w:rPr>
                      <w:rFonts w:cstheme="minorHAnsi"/>
                      <w:szCs w:val="20"/>
                    </w:rPr>
                  </w:pPr>
                  <w:r w:rsidRPr="00CC7B12">
                    <w:rPr>
                      <w:rFonts w:cstheme="minorHAnsi"/>
                      <w:szCs w:val="20"/>
                    </w:rPr>
                    <w:t>Title 20 (201</w:t>
                  </w:r>
                  <w:r>
                    <w:rPr>
                      <w:rFonts w:cstheme="minorHAnsi"/>
                      <w:szCs w:val="20"/>
                    </w:rPr>
                    <w:t>5</w:t>
                  </w:r>
                  <w:r w:rsidRPr="00CC7B12">
                    <w:rPr>
                      <w:rFonts w:cstheme="minorHAnsi"/>
                      <w:szCs w:val="20"/>
                    </w:rPr>
                    <w:t>)</w:t>
                  </w:r>
                </w:p>
              </w:tc>
              <w:tc>
                <w:tcPr>
                  <w:tcW w:w="2711" w:type="pct"/>
                  <w:vAlign w:val="center"/>
                </w:tcPr>
                <w:p w:rsidR="000B6542" w:rsidRPr="00CC7B12" w:rsidRDefault="000B6542" w:rsidP="000B6542">
                  <w:pPr>
                    <w:rPr>
                      <w:rFonts w:cstheme="minorHAnsi"/>
                      <w:szCs w:val="20"/>
                    </w:rPr>
                  </w:pPr>
                  <w:r w:rsidRPr="00CC7B12">
                    <w:rPr>
                      <w:rFonts w:cstheme="minorHAnsi"/>
                      <w:szCs w:val="20"/>
                    </w:rPr>
                    <w:t>Section 1605.3(k)</w:t>
                  </w:r>
                  <w:r>
                    <w:rPr>
                      <w:rFonts w:cstheme="minorHAnsi"/>
                      <w:szCs w:val="20"/>
                    </w:rPr>
                    <w:t>1</w:t>
                  </w:r>
                  <w:r w:rsidRPr="00CC7B12">
                    <w:rPr>
                      <w:rFonts w:cstheme="minorHAnsi"/>
                      <w:szCs w:val="20"/>
                    </w:rPr>
                    <w:t xml:space="preserve"> Table K-</w:t>
                  </w:r>
                  <w:r>
                    <w:rPr>
                      <w:rFonts w:cstheme="minorHAnsi"/>
                      <w:szCs w:val="20"/>
                    </w:rPr>
                    <w:t>9</w:t>
                  </w:r>
                </w:p>
              </w:tc>
              <w:tc>
                <w:tcPr>
                  <w:tcW w:w="1134" w:type="pct"/>
                </w:tcPr>
                <w:p w:rsidR="000B6542" w:rsidRPr="00CC7B12" w:rsidRDefault="000B6542" w:rsidP="000B6542">
                  <w:pPr>
                    <w:rPr>
                      <w:rFonts w:cstheme="minorHAnsi"/>
                      <w:szCs w:val="20"/>
                    </w:rPr>
                  </w:pPr>
                  <w:r w:rsidRPr="00CC7B12">
                    <w:rPr>
                      <w:rFonts w:cstheme="minorHAnsi"/>
                      <w:szCs w:val="20"/>
                    </w:rPr>
                    <w:t>July 1, 201</w:t>
                  </w:r>
                  <w:r>
                    <w:rPr>
                      <w:rFonts w:cstheme="minorHAnsi"/>
                      <w:szCs w:val="20"/>
                    </w:rPr>
                    <w:t>5</w:t>
                  </w:r>
                </w:p>
              </w:tc>
            </w:tr>
            <w:tr w:rsidR="000B6542" w:rsidRPr="00CC7B12" w:rsidTr="00A713A3">
              <w:trPr>
                <w:trHeight w:val="243"/>
              </w:trPr>
              <w:tc>
                <w:tcPr>
                  <w:tcW w:w="1155" w:type="pct"/>
                  <w:vAlign w:val="center"/>
                </w:tcPr>
                <w:p w:rsidR="000B6542" w:rsidRPr="00CC7B12" w:rsidRDefault="000B6542" w:rsidP="000B6542">
                  <w:pPr>
                    <w:rPr>
                      <w:rFonts w:cstheme="minorHAnsi"/>
                      <w:szCs w:val="20"/>
                    </w:rPr>
                  </w:pPr>
                  <w:r w:rsidRPr="00CC7B12">
                    <w:rPr>
                      <w:rFonts w:cstheme="minorHAnsi"/>
                      <w:szCs w:val="20"/>
                    </w:rPr>
                    <w:t>T24 California Electrical Code</w:t>
                  </w:r>
                </w:p>
              </w:tc>
              <w:tc>
                <w:tcPr>
                  <w:tcW w:w="2711" w:type="pct"/>
                  <w:vAlign w:val="center"/>
                </w:tcPr>
                <w:p w:rsidR="000B6542" w:rsidRPr="00CC7B12" w:rsidRDefault="000B6542" w:rsidP="000B6542">
                  <w:pPr>
                    <w:rPr>
                      <w:rFonts w:cstheme="minorHAnsi"/>
                      <w:szCs w:val="20"/>
                    </w:rPr>
                  </w:pPr>
                  <w:r w:rsidRPr="00CC7B12">
                    <w:rPr>
                      <w:rFonts w:cstheme="minorHAnsi"/>
                      <w:szCs w:val="20"/>
                    </w:rPr>
                    <w:t>Article 680</w:t>
                  </w:r>
                </w:p>
              </w:tc>
              <w:tc>
                <w:tcPr>
                  <w:tcW w:w="1134" w:type="pct"/>
                </w:tcPr>
                <w:p w:rsidR="000B6542" w:rsidRPr="00CC7B12" w:rsidRDefault="000B6542" w:rsidP="000B6542">
                  <w:pPr>
                    <w:rPr>
                      <w:rFonts w:cstheme="minorHAnsi"/>
                      <w:szCs w:val="20"/>
                    </w:rPr>
                  </w:pPr>
                  <w:r>
                    <w:rPr>
                      <w:rFonts w:cstheme="minorHAnsi"/>
                      <w:szCs w:val="20"/>
                    </w:rPr>
                    <w:t>January 1, 2014</w:t>
                  </w:r>
                </w:p>
              </w:tc>
            </w:tr>
          </w:tbl>
          <w:p w:rsidR="005C1518" w:rsidRPr="00653C4B" w:rsidRDefault="005C1518" w:rsidP="005C1518">
            <w:pPr>
              <w:jc w:val="both"/>
              <w:rPr>
                <w:rFonts w:cs="Arial"/>
                <w:sz w:val="20"/>
                <w:szCs w:val="20"/>
              </w:rPr>
            </w:pPr>
          </w:p>
        </w:tc>
      </w:tr>
      <w:tr w:rsidR="00E84938" w:rsidTr="00BD4AFD">
        <w:trPr>
          <w:cantSplit/>
        </w:trPr>
        <w:tc>
          <w:tcPr>
            <w:tcW w:w="1222" w:type="dxa"/>
          </w:tcPr>
          <w:p w:rsidR="00E84938" w:rsidRPr="001D77F7" w:rsidRDefault="00E84938" w:rsidP="008724D6">
            <w:pPr>
              <w:jc w:val="right"/>
              <w:rPr>
                <w:b/>
              </w:rPr>
            </w:pPr>
            <w:r w:rsidRPr="00197677">
              <w:rPr>
                <w:rFonts w:cs="Arial"/>
                <w:sz w:val="20"/>
                <w:szCs w:val="20"/>
              </w:rPr>
              <w:lastRenderedPageBreak/>
              <w:t>Requirements</w:t>
            </w:r>
          </w:p>
        </w:tc>
        <w:tc>
          <w:tcPr>
            <w:tcW w:w="8128" w:type="dxa"/>
          </w:tcPr>
          <w:p w:rsidR="000B6542" w:rsidRPr="000B6542" w:rsidRDefault="000B6542" w:rsidP="000B6542">
            <w:pPr>
              <w:jc w:val="both"/>
              <w:rPr>
                <w:sz w:val="20"/>
                <w:szCs w:val="20"/>
              </w:rPr>
            </w:pPr>
            <w:r w:rsidRPr="000B6542">
              <w:rPr>
                <w:sz w:val="20"/>
                <w:szCs w:val="20"/>
              </w:rPr>
              <w:t>Use of LED pool lighting does not preclude user’s responsibility for compliance with all code requirements and lighting performance recommendations where applicable to pool lighting applications. Illuminating Engineering Society Handbook 9</w:t>
            </w:r>
            <w:r w:rsidRPr="000B6542">
              <w:rPr>
                <w:sz w:val="20"/>
                <w:szCs w:val="20"/>
                <w:vertAlign w:val="superscript"/>
              </w:rPr>
              <w:t>th</w:t>
            </w:r>
            <w:r w:rsidRPr="000B6542">
              <w:rPr>
                <w:sz w:val="20"/>
                <w:szCs w:val="20"/>
              </w:rPr>
              <w:t xml:space="preserve"> edition recommends luminance of the pool surface from underwater lights differentiated by 4 different classes of pools.  The IES Handbook also </w:t>
            </w:r>
            <w:r w:rsidR="00EC34A0" w:rsidRPr="000B6542">
              <w:rPr>
                <w:sz w:val="20"/>
                <w:szCs w:val="20"/>
              </w:rPr>
              <w:t>states,</w:t>
            </w:r>
            <w:r w:rsidRPr="000B6542">
              <w:rPr>
                <w:sz w:val="20"/>
                <w:szCs w:val="20"/>
              </w:rPr>
              <w:t xml:space="preserve"> “As a general rule, unit power density (UPD) required for underwater lights varies between 5 to 30 watts per square meter (0.5 to 3 watts per square foot) of water surface depending on the class of facility and efficacy of light sources.” IES recommendations refer to incandescent lighting.</w:t>
            </w:r>
          </w:p>
          <w:p w:rsidR="000B6542" w:rsidRPr="000B6542" w:rsidRDefault="000B6542" w:rsidP="000B6542">
            <w:pPr>
              <w:jc w:val="both"/>
              <w:rPr>
                <w:sz w:val="20"/>
                <w:szCs w:val="20"/>
              </w:rPr>
            </w:pPr>
          </w:p>
          <w:p w:rsidR="000B6542" w:rsidRPr="000B6542" w:rsidRDefault="000B6542" w:rsidP="000B6542">
            <w:pPr>
              <w:jc w:val="both"/>
              <w:rPr>
                <w:sz w:val="20"/>
                <w:szCs w:val="20"/>
              </w:rPr>
            </w:pPr>
            <w:r w:rsidRPr="000B6542">
              <w:rPr>
                <w:sz w:val="20"/>
                <w:szCs w:val="20"/>
              </w:rPr>
              <w:t>For LED pool lights that match the color temperature of the incandescent, it must meet the minimum light levels of the incandescent lamps as shown in the table below. This information can also be found in Table 5 of the ET report [</w:t>
            </w:r>
            <w:r w:rsidRPr="000B6542">
              <w:rPr>
                <w:sz w:val="20"/>
                <w:szCs w:val="20"/>
              </w:rPr>
              <w:fldChar w:fldCharType="begin"/>
            </w:r>
            <w:r w:rsidRPr="000B6542">
              <w:rPr>
                <w:sz w:val="20"/>
                <w:szCs w:val="20"/>
              </w:rPr>
              <w:instrText xml:space="preserve"> NOTEREF _Ref321496239 \h  \* MERGEFORMAT </w:instrText>
            </w:r>
            <w:r w:rsidRPr="000B6542">
              <w:rPr>
                <w:sz w:val="20"/>
                <w:szCs w:val="20"/>
              </w:rPr>
            </w:r>
            <w:r w:rsidRPr="000B6542">
              <w:rPr>
                <w:sz w:val="20"/>
                <w:szCs w:val="20"/>
              </w:rPr>
              <w:fldChar w:fldCharType="separate"/>
            </w:r>
            <w:r w:rsidRPr="000B6542">
              <w:rPr>
                <w:sz w:val="20"/>
                <w:szCs w:val="20"/>
              </w:rPr>
              <w:t>A</w:t>
            </w:r>
            <w:r w:rsidRPr="000B6542">
              <w:rPr>
                <w:sz w:val="20"/>
                <w:szCs w:val="20"/>
              </w:rPr>
              <w:fldChar w:fldCharType="end"/>
            </w:r>
            <w:r w:rsidRPr="000B6542">
              <w:rPr>
                <w:sz w:val="20"/>
                <w:szCs w:val="20"/>
              </w:rPr>
              <w:t>].</w:t>
            </w:r>
          </w:p>
          <w:p w:rsidR="000B6542" w:rsidRPr="000B6542" w:rsidRDefault="000B6542" w:rsidP="000B6542">
            <w:pPr>
              <w:jc w:val="both"/>
              <w:rPr>
                <w:b/>
                <w:sz w:val="20"/>
                <w:szCs w:val="20"/>
              </w:rPr>
            </w:pPr>
          </w:p>
          <w:p w:rsidR="000B6542" w:rsidRPr="000B6542" w:rsidRDefault="000B6542" w:rsidP="000B6542">
            <w:pPr>
              <w:jc w:val="center"/>
              <w:rPr>
                <w:b/>
                <w:bCs/>
                <w:sz w:val="20"/>
                <w:szCs w:val="20"/>
              </w:rPr>
            </w:pPr>
            <w:r w:rsidRPr="000B6542">
              <w:rPr>
                <w:b/>
                <w:bCs/>
                <w:sz w:val="20"/>
                <w:szCs w:val="20"/>
              </w:rPr>
              <w:t>LED Minimum Lumens at 3000K Color Temperature</w:t>
            </w:r>
          </w:p>
          <w:tbl>
            <w:tblPr>
              <w:tblW w:w="3090" w:type="pct"/>
              <w:jc w:val="center"/>
              <w:tblBorders>
                <w:top w:val="nil"/>
                <w:left w:val="nil"/>
                <w:bottom w:val="nil"/>
                <w:right w:val="nil"/>
                <w:insideH w:val="single" w:sz="18" w:space="0" w:color="FFFFFF"/>
                <w:insideV w:val="single" w:sz="18" w:space="0" w:color="FFFFFF"/>
              </w:tblBorders>
              <w:tblLook w:val="00A0" w:firstRow="1" w:lastRow="0" w:firstColumn="1" w:lastColumn="0" w:noHBand="0" w:noVBand="0"/>
            </w:tblPr>
            <w:tblGrid>
              <w:gridCol w:w="2720"/>
              <w:gridCol w:w="2170"/>
            </w:tblGrid>
            <w:tr w:rsidR="000B6542" w:rsidRPr="00694CD7" w:rsidTr="000B6542">
              <w:trPr>
                <w:jc w:val="center"/>
              </w:trPr>
              <w:tc>
                <w:tcPr>
                  <w:tcW w:w="2781" w:type="pct"/>
                  <w:shd w:val="pct20" w:color="000000" w:fill="FFFFFF"/>
                  <w:vAlign w:val="center"/>
                </w:tcPr>
                <w:p w:rsidR="000B6542" w:rsidRPr="00694CD7" w:rsidRDefault="000B6542" w:rsidP="00A713A3">
                  <w:pPr>
                    <w:jc w:val="center"/>
                    <w:rPr>
                      <w:rFonts w:cstheme="minorHAnsi"/>
                      <w:b/>
                      <w:bCs/>
                      <w:sz w:val="20"/>
                      <w:szCs w:val="20"/>
                    </w:rPr>
                  </w:pPr>
                  <w:r w:rsidRPr="00694CD7">
                    <w:rPr>
                      <w:rFonts w:cstheme="minorHAnsi"/>
                      <w:b/>
                      <w:bCs/>
                      <w:sz w:val="20"/>
                      <w:szCs w:val="20"/>
                    </w:rPr>
                    <w:t>Incandescent Lamp Replaced</w:t>
                  </w:r>
                </w:p>
              </w:tc>
              <w:tc>
                <w:tcPr>
                  <w:tcW w:w="2219" w:type="pct"/>
                  <w:shd w:val="pct20" w:color="000000" w:fill="FFFFFF"/>
                  <w:vAlign w:val="center"/>
                </w:tcPr>
                <w:p w:rsidR="000B6542" w:rsidRPr="00694CD7" w:rsidRDefault="000B6542" w:rsidP="00A713A3">
                  <w:pPr>
                    <w:jc w:val="center"/>
                    <w:rPr>
                      <w:rFonts w:cstheme="minorHAnsi"/>
                      <w:b/>
                      <w:bCs/>
                      <w:sz w:val="20"/>
                      <w:szCs w:val="20"/>
                    </w:rPr>
                  </w:pPr>
                  <w:r w:rsidRPr="00694CD7">
                    <w:rPr>
                      <w:rFonts w:cstheme="minorHAnsi"/>
                      <w:b/>
                      <w:bCs/>
                      <w:sz w:val="20"/>
                      <w:szCs w:val="20"/>
                    </w:rPr>
                    <w:t>LED Minimum Lumens</w:t>
                  </w:r>
                </w:p>
              </w:tc>
            </w:tr>
            <w:tr w:rsidR="000B6542" w:rsidRPr="00694CD7" w:rsidTr="000B6542">
              <w:trPr>
                <w:jc w:val="center"/>
              </w:trPr>
              <w:tc>
                <w:tcPr>
                  <w:tcW w:w="2781" w:type="pct"/>
                  <w:shd w:val="pct5" w:color="000000" w:fill="FFFFFF"/>
                  <w:vAlign w:val="center"/>
                </w:tcPr>
                <w:p w:rsidR="000B6542" w:rsidRPr="00694CD7" w:rsidRDefault="000B6542" w:rsidP="00A713A3">
                  <w:pPr>
                    <w:jc w:val="center"/>
                    <w:rPr>
                      <w:rFonts w:cstheme="minorHAnsi"/>
                      <w:sz w:val="20"/>
                      <w:szCs w:val="20"/>
                    </w:rPr>
                  </w:pPr>
                  <w:r>
                    <w:rPr>
                      <w:rFonts w:cstheme="minorHAnsi"/>
                      <w:sz w:val="20"/>
                      <w:szCs w:val="20"/>
                    </w:rPr>
                    <w:t xml:space="preserve"> </w:t>
                  </w:r>
                  <w:r w:rsidRPr="00694CD7">
                    <w:rPr>
                      <w:rFonts w:cstheme="minorHAnsi"/>
                      <w:sz w:val="20"/>
                      <w:szCs w:val="20"/>
                    </w:rPr>
                    <w:t>100W*</w:t>
                  </w:r>
                </w:p>
              </w:tc>
              <w:tc>
                <w:tcPr>
                  <w:tcW w:w="2219" w:type="pct"/>
                  <w:shd w:val="pct5" w:color="000000" w:fill="FFFFFF"/>
                  <w:vAlign w:val="center"/>
                </w:tcPr>
                <w:p w:rsidR="000B6542" w:rsidRPr="00694CD7" w:rsidRDefault="000B6542" w:rsidP="00A713A3">
                  <w:pPr>
                    <w:jc w:val="center"/>
                    <w:rPr>
                      <w:rFonts w:cstheme="minorHAnsi"/>
                      <w:sz w:val="20"/>
                      <w:szCs w:val="20"/>
                    </w:rPr>
                  </w:pPr>
                  <w:r w:rsidRPr="00694CD7">
                    <w:rPr>
                      <w:rFonts w:cstheme="minorHAnsi"/>
                      <w:sz w:val="20"/>
                      <w:szCs w:val="20"/>
                    </w:rPr>
                    <w:t>475</w:t>
                  </w:r>
                </w:p>
              </w:tc>
            </w:tr>
            <w:tr w:rsidR="000B6542" w:rsidRPr="00694CD7" w:rsidTr="000B6542">
              <w:trPr>
                <w:jc w:val="center"/>
              </w:trPr>
              <w:tc>
                <w:tcPr>
                  <w:tcW w:w="2781" w:type="pct"/>
                  <w:shd w:val="pct20" w:color="000000" w:fill="FFFFFF"/>
                  <w:vAlign w:val="center"/>
                </w:tcPr>
                <w:p w:rsidR="000B6542" w:rsidRPr="00694CD7" w:rsidRDefault="000B6542" w:rsidP="00A713A3">
                  <w:pPr>
                    <w:jc w:val="center"/>
                    <w:rPr>
                      <w:rFonts w:cstheme="minorHAnsi"/>
                      <w:sz w:val="20"/>
                      <w:szCs w:val="20"/>
                    </w:rPr>
                  </w:pPr>
                  <w:r w:rsidRPr="00694CD7">
                    <w:rPr>
                      <w:rFonts w:cstheme="minorHAnsi"/>
                      <w:sz w:val="20"/>
                      <w:szCs w:val="20"/>
                    </w:rPr>
                    <w:t xml:space="preserve">300W </w:t>
                  </w:r>
                </w:p>
              </w:tc>
              <w:tc>
                <w:tcPr>
                  <w:tcW w:w="2219" w:type="pct"/>
                  <w:shd w:val="pct20" w:color="000000" w:fill="FFFFFF"/>
                  <w:vAlign w:val="center"/>
                </w:tcPr>
                <w:p w:rsidR="000B6542" w:rsidRPr="00694CD7" w:rsidRDefault="000B6542" w:rsidP="00A713A3">
                  <w:pPr>
                    <w:jc w:val="center"/>
                    <w:rPr>
                      <w:rFonts w:cstheme="minorHAnsi"/>
                      <w:sz w:val="20"/>
                      <w:szCs w:val="20"/>
                    </w:rPr>
                  </w:pPr>
                  <w:r w:rsidRPr="00694CD7">
                    <w:rPr>
                      <w:rFonts w:cstheme="minorHAnsi"/>
                      <w:sz w:val="20"/>
                      <w:szCs w:val="20"/>
                    </w:rPr>
                    <w:t>2,092</w:t>
                  </w:r>
                </w:p>
              </w:tc>
            </w:tr>
            <w:tr w:rsidR="000B6542" w:rsidRPr="00694CD7" w:rsidTr="000B6542">
              <w:trPr>
                <w:jc w:val="center"/>
              </w:trPr>
              <w:tc>
                <w:tcPr>
                  <w:tcW w:w="2781" w:type="pct"/>
                  <w:shd w:val="pct5" w:color="000000" w:fill="FFFFFF"/>
                  <w:vAlign w:val="center"/>
                </w:tcPr>
                <w:p w:rsidR="000B6542" w:rsidRPr="00694CD7" w:rsidRDefault="000B6542" w:rsidP="00A713A3">
                  <w:pPr>
                    <w:jc w:val="center"/>
                    <w:rPr>
                      <w:rFonts w:cstheme="minorHAnsi"/>
                      <w:sz w:val="20"/>
                      <w:szCs w:val="20"/>
                    </w:rPr>
                  </w:pPr>
                  <w:r w:rsidRPr="00694CD7">
                    <w:rPr>
                      <w:rFonts w:cstheme="minorHAnsi"/>
                      <w:sz w:val="20"/>
                      <w:szCs w:val="20"/>
                    </w:rPr>
                    <w:t xml:space="preserve">400W </w:t>
                  </w:r>
                </w:p>
              </w:tc>
              <w:tc>
                <w:tcPr>
                  <w:tcW w:w="2219" w:type="pct"/>
                  <w:shd w:val="pct5" w:color="000000" w:fill="FFFFFF"/>
                  <w:vAlign w:val="center"/>
                </w:tcPr>
                <w:p w:rsidR="000B6542" w:rsidRPr="00694CD7" w:rsidRDefault="000B6542" w:rsidP="00A713A3">
                  <w:pPr>
                    <w:jc w:val="center"/>
                    <w:rPr>
                      <w:rFonts w:cstheme="minorHAnsi"/>
                      <w:sz w:val="20"/>
                      <w:szCs w:val="20"/>
                    </w:rPr>
                  </w:pPr>
                  <w:r w:rsidRPr="00694CD7">
                    <w:rPr>
                      <w:rFonts w:cstheme="minorHAnsi"/>
                      <w:sz w:val="20"/>
                      <w:szCs w:val="20"/>
                    </w:rPr>
                    <w:t>3,201</w:t>
                  </w:r>
                </w:p>
              </w:tc>
            </w:tr>
            <w:tr w:rsidR="000B6542" w:rsidRPr="00694CD7" w:rsidTr="000B6542">
              <w:trPr>
                <w:jc w:val="center"/>
              </w:trPr>
              <w:tc>
                <w:tcPr>
                  <w:tcW w:w="2781" w:type="pct"/>
                  <w:shd w:val="pct20" w:color="000000" w:fill="FFFFFF"/>
                  <w:vAlign w:val="center"/>
                </w:tcPr>
                <w:p w:rsidR="000B6542" w:rsidRPr="00694CD7" w:rsidRDefault="000B6542" w:rsidP="00A713A3">
                  <w:pPr>
                    <w:jc w:val="center"/>
                    <w:rPr>
                      <w:rFonts w:cstheme="minorHAnsi"/>
                      <w:sz w:val="20"/>
                      <w:szCs w:val="20"/>
                    </w:rPr>
                  </w:pPr>
                  <w:r w:rsidRPr="00694CD7">
                    <w:rPr>
                      <w:rFonts w:cstheme="minorHAnsi"/>
                      <w:sz w:val="20"/>
                      <w:szCs w:val="20"/>
                    </w:rPr>
                    <w:t xml:space="preserve">500W </w:t>
                  </w:r>
                </w:p>
              </w:tc>
              <w:tc>
                <w:tcPr>
                  <w:tcW w:w="2219" w:type="pct"/>
                  <w:shd w:val="pct20" w:color="000000" w:fill="FFFFFF"/>
                  <w:vAlign w:val="center"/>
                </w:tcPr>
                <w:p w:rsidR="000B6542" w:rsidRPr="00694CD7" w:rsidRDefault="000B6542" w:rsidP="00A713A3">
                  <w:pPr>
                    <w:jc w:val="center"/>
                    <w:rPr>
                      <w:rFonts w:cstheme="minorHAnsi"/>
                      <w:sz w:val="20"/>
                      <w:szCs w:val="20"/>
                    </w:rPr>
                  </w:pPr>
                  <w:r w:rsidRPr="00694CD7">
                    <w:rPr>
                      <w:rFonts w:cstheme="minorHAnsi"/>
                      <w:sz w:val="20"/>
                      <w:szCs w:val="20"/>
                    </w:rPr>
                    <w:t>4,573</w:t>
                  </w:r>
                </w:p>
              </w:tc>
            </w:tr>
          </w:tbl>
          <w:p w:rsidR="000B6542" w:rsidRPr="000B6542" w:rsidRDefault="000B6542" w:rsidP="000B6542">
            <w:pPr>
              <w:jc w:val="center"/>
              <w:rPr>
                <w:b/>
                <w:sz w:val="20"/>
                <w:szCs w:val="20"/>
              </w:rPr>
            </w:pPr>
            <w:r w:rsidRPr="000B6542">
              <w:rPr>
                <w:b/>
                <w:sz w:val="20"/>
                <w:szCs w:val="20"/>
              </w:rPr>
              <w:t>*100W lumens was calculated based on 300-500W lamps [Attachment 2]</w:t>
            </w:r>
          </w:p>
          <w:p w:rsidR="000B6542" w:rsidRPr="000B6542" w:rsidRDefault="000B6542" w:rsidP="000B6542">
            <w:pPr>
              <w:jc w:val="both"/>
              <w:rPr>
                <w:b/>
                <w:sz w:val="20"/>
                <w:szCs w:val="20"/>
              </w:rPr>
            </w:pPr>
          </w:p>
          <w:p w:rsidR="000B6542" w:rsidRPr="000B6542" w:rsidRDefault="000B6542" w:rsidP="000B6542">
            <w:pPr>
              <w:jc w:val="both"/>
              <w:rPr>
                <w:sz w:val="20"/>
                <w:szCs w:val="20"/>
              </w:rPr>
            </w:pPr>
            <w:r w:rsidRPr="000B6542">
              <w:rPr>
                <w:sz w:val="20"/>
                <w:szCs w:val="20"/>
              </w:rPr>
              <w:t>Study from ET10SCE1130 [</w:t>
            </w:r>
            <w:r w:rsidRPr="000B6542">
              <w:rPr>
                <w:sz w:val="20"/>
                <w:szCs w:val="20"/>
              </w:rPr>
              <w:fldChar w:fldCharType="begin"/>
            </w:r>
            <w:r w:rsidRPr="000B6542">
              <w:rPr>
                <w:sz w:val="20"/>
                <w:szCs w:val="20"/>
              </w:rPr>
              <w:instrText xml:space="preserve"> NOTEREF _Ref321496239 \h  \* MERGEFORMAT </w:instrText>
            </w:r>
            <w:r w:rsidRPr="000B6542">
              <w:rPr>
                <w:sz w:val="20"/>
                <w:szCs w:val="20"/>
              </w:rPr>
            </w:r>
            <w:r w:rsidRPr="000B6542">
              <w:rPr>
                <w:sz w:val="20"/>
                <w:szCs w:val="20"/>
              </w:rPr>
              <w:fldChar w:fldCharType="separate"/>
            </w:r>
            <w:r w:rsidRPr="000B6542">
              <w:rPr>
                <w:sz w:val="20"/>
                <w:szCs w:val="20"/>
              </w:rPr>
              <w:t>A</w:t>
            </w:r>
            <w:r w:rsidRPr="000B6542">
              <w:rPr>
                <w:sz w:val="20"/>
                <w:szCs w:val="20"/>
              </w:rPr>
              <w:fldChar w:fldCharType="end"/>
            </w:r>
            <w:r w:rsidRPr="000B6542">
              <w:rPr>
                <w:sz w:val="20"/>
                <w:szCs w:val="20"/>
              </w:rPr>
              <w:t xml:space="preserve">] has shown that LEDs with cooler color temperatures exhibit higher illumination levels from fewer lumens. This is due to the blue light traveling farther in water as it acts as a “blue filter”. </w:t>
            </w:r>
            <w:r w:rsidRPr="000B6542">
              <w:rPr>
                <w:sz w:val="20"/>
                <w:szCs w:val="20"/>
              </w:rPr>
              <w:fldChar w:fldCharType="begin"/>
            </w:r>
            <w:r w:rsidRPr="000B6542">
              <w:rPr>
                <w:sz w:val="20"/>
                <w:szCs w:val="20"/>
              </w:rPr>
              <w:instrText xml:space="preserve"> REF _Ref287274826 \h  \* MERGEFORMAT </w:instrText>
            </w:r>
            <w:r w:rsidRPr="000B6542">
              <w:rPr>
                <w:sz w:val="20"/>
                <w:szCs w:val="20"/>
              </w:rPr>
            </w:r>
            <w:r w:rsidRPr="000B6542">
              <w:rPr>
                <w:sz w:val="20"/>
                <w:szCs w:val="20"/>
              </w:rPr>
              <w:fldChar w:fldCharType="end"/>
            </w:r>
            <w:r w:rsidRPr="000B6542">
              <w:rPr>
                <w:sz w:val="20"/>
                <w:szCs w:val="20"/>
              </w:rPr>
              <w:t xml:space="preserve">The table below shows the minimum lumen output for LED pool lights above 6000K. This information can also be found in Table 5 of the ET report. </w:t>
            </w:r>
          </w:p>
          <w:p w:rsidR="000B6542" w:rsidRPr="000B6542" w:rsidRDefault="000B6542" w:rsidP="000B6542">
            <w:pPr>
              <w:jc w:val="both"/>
              <w:rPr>
                <w:b/>
                <w:sz w:val="20"/>
                <w:szCs w:val="20"/>
              </w:rPr>
            </w:pPr>
          </w:p>
          <w:p w:rsidR="000B6542" w:rsidRPr="000B6542" w:rsidRDefault="000B6542" w:rsidP="000B6542">
            <w:pPr>
              <w:jc w:val="center"/>
              <w:rPr>
                <w:b/>
                <w:bCs/>
                <w:sz w:val="20"/>
                <w:szCs w:val="20"/>
              </w:rPr>
            </w:pPr>
            <w:r w:rsidRPr="000B6542">
              <w:rPr>
                <w:b/>
                <w:bCs/>
                <w:sz w:val="20"/>
                <w:szCs w:val="20"/>
              </w:rPr>
              <w:t>LED Minimum Lumens at &gt;6000K Color Temperature</w:t>
            </w:r>
          </w:p>
          <w:tbl>
            <w:tblPr>
              <w:tblStyle w:val="TableContemporary"/>
              <w:tblW w:w="2830" w:type="pct"/>
              <w:jc w:val="center"/>
              <w:tblLook w:val="01E0" w:firstRow="1" w:lastRow="1" w:firstColumn="1" w:lastColumn="1" w:noHBand="0" w:noVBand="0"/>
            </w:tblPr>
            <w:tblGrid>
              <w:gridCol w:w="2497"/>
              <w:gridCol w:w="1981"/>
            </w:tblGrid>
            <w:tr w:rsidR="000B6542" w:rsidRPr="009179F3" w:rsidTr="000B6542">
              <w:trPr>
                <w:cnfStyle w:val="100000000000" w:firstRow="1" w:lastRow="0" w:firstColumn="0" w:lastColumn="0" w:oddVBand="0" w:evenVBand="0" w:oddHBand="0" w:evenHBand="0" w:firstRowFirstColumn="0" w:firstRowLastColumn="0" w:lastRowFirstColumn="0" w:lastRowLastColumn="0"/>
                <w:jc w:val="center"/>
              </w:trPr>
              <w:tc>
                <w:tcPr>
                  <w:tcW w:w="2788" w:type="pct"/>
                </w:tcPr>
                <w:p w:rsidR="000B6542" w:rsidRPr="009179F3" w:rsidRDefault="000B6542" w:rsidP="00A713A3">
                  <w:pPr>
                    <w:jc w:val="center"/>
                    <w:rPr>
                      <w:rFonts w:cstheme="minorHAnsi"/>
                      <w:b w:val="0"/>
                      <w:bCs w:val="0"/>
                      <w:szCs w:val="20"/>
                    </w:rPr>
                  </w:pPr>
                  <w:r w:rsidRPr="009179F3">
                    <w:rPr>
                      <w:rFonts w:cstheme="minorHAnsi"/>
                      <w:szCs w:val="20"/>
                    </w:rPr>
                    <w:t>Watts</w:t>
                  </w:r>
                </w:p>
              </w:tc>
              <w:tc>
                <w:tcPr>
                  <w:tcW w:w="2212" w:type="pct"/>
                </w:tcPr>
                <w:p w:rsidR="000B6542" w:rsidRPr="009179F3" w:rsidRDefault="000B6542" w:rsidP="00A713A3">
                  <w:pPr>
                    <w:jc w:val="center"/>
                    <w:rPr>
                      <w:rFonts w:cstheme="minorHAnsi"/>
                      <w:b w:val="0"/>
                      <w:bCs w:val="0"/>
                      <w:szCs w:val="20"/>
                    </w:rPr>
                  </w:pPr>
                  <w:r w:rsidRPr="009179F3">
                    <w:rPr>
                      <w:rFonts w:cstheme="minorHAnsi"/>
                      <w:szCs w:val="20"/>
                    </w:rPr>
                    <w:t>Lumens</w:t>
                  </w:r>
                </w:p>
              </w:tc>
            </w:tr>
            <w:tr w:rsidR="000B6542" w:rsidRPr="00694CD7" w:rsidTr="000B6542">
              <w:trPr>
                <w:cnfStyle w:val="000000100000" w:firstRow="0" w:lastRow="0" w:firstColumn="0" w:lastColumn="0" w:oddVBand="0" w:evenVBand="0" w:oddHBand="1" w:evenHBand="0" w:firstRowFirstColumn="0" w:firstRowLastColumn="0" w:lastRowFirstColumn="0" w:lastRowLastColumn="0"/>
                <w:jc w:val="center"/>
              </w:trPr>
              <w:tc>
                <w:tcPr>
                  <w:tcW w:w="2788" w:type="pct"/>
                </w:tcPr>
                <w:p w:rsidR="000B6542" w:rsidRPr="00694CD7" w:rsidRDefault="000B6542" w:rsidP="00A713A3">
                  <w:pPr>
                    <w:jc w:val="center"/>
                    <w:rPr>
                      <w:rFonts w:cstheme="minorHAnsi"/>
                      <w:szCs w:val="20"/>
                    </w:rPr>
                  </w:pPr>
                  <w:r w:rsidRPr="00694CD7">
                    <w:rPr>
                      <w:rFonts w:cstheme="minorHAnsi"/>
                      <w:szCs w:val="20"/>
                    </w:rPr>
                    <w:t>100W Replacement*</w:t>
                  </w:r>
                </w:p>
              </w:tc>
              <w:tc>
                <w:tcPr>
                  <w:tcW w:w="2212" w:type="pct"/>
                </w:tcPr>
                <w:p w:rsidR="000B6542" w:rsidRPr="00694CD7" w:rsidRDefault="000B6542" w:rsidP="00A713A3">
                  <w:pPr>
                    <w:jc w:val="center"/>
                    <w:rPr>
                      <w:rFonts w:cstheme="minorHAnsi"/>
                      <w:szCs w:val="20"/>
                    </w:rPr>
                  </w:pPr>
                  <w:r w:rsidRPr="00694CD7">
                    <w:rPr>
                      <w:rFonts w:cstheme="minorHAnsi"/>
                      <w:szCs w:val="20"/>
                    </w:rPr>
                    <w:t>475</w:t>
                  </w:r>
                </w:p>
              </w:tc>
            </w:tr>
            <w:tr w:rsidR="000B6542" w:rsidRPr="00694CD7" w:rsidTr="000B6542">
              <w:trPr>
                <w:cnfStyle w:val="000000010000" w:firstRow="0" w:lastRow="0" w:firstColumn="0" w:lastColumn="0" w:oddVBand="0" w:evenVBand="0" w:oddHBand="0" w:evenHBand="1" w:firstRowFirstColumn="0" w:firstRowLastColumn="0" w:lastRowFirstColumn="0" w:lastRowLastColumn="0"/>
                <w:jc w:val="center"/>
              </w:trPr>
              <w:tc>
                <w:tcPr>
                  <w:tcW w:w="2788" w:type="pct"/>
                </w:tcPr>
                <w:p w:rsidR="000B6542" w:rsidRPr="00694CD7" w:rsidRDefault="000B6542" w:rsidP="00A713A3">
                  <w:pPr>
                    <w:jc w:val="center"/>
                    <w:rPr>
                      <w:rFonts w:cstheme="minorHAnsi"/>
                      <w:szCs w:val="20"/>
                    </w:rPr>
                  </w:pPr>
                  <w:r w:rsidRPr="00694CD7">
                    <w:rPr>
                      <w:rFonts w:cstheme="minorHAnsi"/>
                      <w:szCs w:val="20"/>
                    </w:rPr>
                    <w:t>300W Replacement</w:t>
                  </w:r>
                </w:p>
              </w:tc>
              <w:tc>
                <w:tcPr>
                  <w:tcW w:w="2212" w:type="pct"/>
                </w:tcPr>
                <w:p w:rsidR="000B6542" w:rsidRPr="00694CD7" w:rsidRDefault="000B6542" w:rsidP="00A713A3">
                  <w:pPr>
                    <w:jc w:val="center"/>
                    <w:rPr>
                      <w:rFonts w:cstheme="minorHAnsi"/>
                      <w:szCs w:val="20"/>
                    </w:rPr>
                  </w:pPr>
                  <w:r w:rsidRPr="00694CD7">
                    <w:rPr>
                      <w:rFonts w:cstheme="minorHAnsi"/>
                      <w:szCs w:val="20"/>
                    </w:rPr>
                    <w:t>2,000</w:t>
                  </w:r>
                </w:p>
              </w:tc>
            </w:tr>
            <w:tr w:rsidR="000B6542" w:rsidRPr="00694CD7" w:rsidTr="000B6542">
              <w:trPr>
                <w:cnfStyle w:val="000000100000" w:firstRow="0" w:lastRow="0" w:firstColumn="0" w:lastColumn="0" w:oddVBand="0" w:evenVBand="0" w:oddHBand="1" w:evenHBand="0" w:firstRowFirstColumn="0" w:firstRowLastColumn="0" w:lastRowFirstColumn="0" w:lastRowLastColumn="0"/>
                <w:jc w:val="center"/>
              </w:trPr>
              <w:tc>
                <w:tcPr>
                  <w:tcW w:w="2788" w:type="pct"/>
                </w:tcPr>
                <w:p w:rsidR="000B6542" w:rsidRPr="00694CD7" w:rsidRDefault="000B6542" w:rsidP="00A713A3">
                  <w:pPr>
                    <w:jc w:val="center"/>
                    <w:rPr>
                      <w:rFonts w:cstheme="minorHAnsi"/>
                      <w:szCs w:val="20"/>
                    </w:rPr>
                  </w:pPr>
                  <w:r w:rsidRPr="00694CD7">
                    <w:rPr>
                      <w:rFonts w:cstheme="minorHAnsi"/>
                      <w:szCs w:val="20"/>
                    </w:rPr>
                    <w:t>400W Replacement</w:t>
                  </w:r>
                </w:p>
              </w:tc>
              <w:tc>
                <w:tcPr>
                  <w:tcW w:w="2212" w:type="pct"/>
                </w:tcPr>
                <w:p w:rsidR="000B6542" w:rsidRPr="00694CD7" w:rsidRDefault="000B6542" w:rsidP="00A713A3">
                  <w:pPr>
                    <w:jc w:val="center"/>
                    <w:rPr>
                      <w:rFonts w:cstheme="minorHAnsi"/>
                      <w:szCs w:val="20"/>
                    </w:rPr>
                  </w:pPr>
                  <w:r w:rsidRPr="00694CD7">
                    <w:rPr>
                      <w:rFonts w:cstheme="minorHAnsi"/>
                      <w:szCs w:val="20"/>
                    </w:rPr>
                    <w:t>2,732</w:t>
                  </w:r>
                </w:p>
              </w:tc>
            </w:tr>
            <w:tr w:rsidR="000B6542" w:rsidRPr="00694CD7" w:rsidTr="000B6542">
              <w:trPr>
                <w:cnfStyle w:val="000000010000" w:firstRow="0" w:lastRow="0" w:firstColumn="0" w:lastColumn="0" w:oddVBand="0" w:evenVBand="0" w:oddHBand="0" w:evenHBand="1" w:firstRowFirstColumn="0" w:firstRowLastColumn="0" w:lastRowFirstColumn="0" w:lastRowLastColumn="0"/>
                <w:jc w:val="center"/>
              </w:trPr>
              <w:tc>
                <w:tcPr>
                  <w:tcW w:w="2788" w:type="pct"/>
                </w:tcPr>
                <w:p w:rsidR="000B6542" w:rsidRPr="00694CD7" w:rsidRDefault="000B6542" w:rsidP="00A713A3">
                  <w:pPr>
                    <w:jc w:val="center"/>
                    <w:rPr>
                      <w:rFonts w:cstheme="minorHAnsi"/>
                      <w:szCs w:val="20"/>
                    </w:rPr>
                  </w:pPr>
                  <w:r w:rsidRPr="00694CD7">
                    <w:rPr>
                      <w:rFonts w:cstheme="minorHAnsi"/>
                      <w:szCs w:val="20"/>
                    </w:rPr>
                    <w:t>500W Replacement</w:t>
                  </w:r>
                </w:p>
              </w:tc>
              <w:tc>
                <w:tcPr>
                  <w:tcW w:w="2212" w:type="pct"/>
                </w:tcPr>
                <w:p w:rsidR="000B6542" w:rsidRPr="00694CD7" w:rsidRDefault="000B6542" w:rsidP="00A713A3">
                  <w:pPr>
                    <w:jc w:val="center"/>
                    <w:rPr>
                      <w:rFonts w:cstheme="minorHAnsi"/>
                      <w:szCs w:val="20"/>
                    </w:rPr>
                  </w:pPr>
                  <w:r w:rsidRPr="00694CD7">
                    <w:rPr>
                      <w:rFonts w:cstheme="minorHAnsi"/>
                      <w:szCs w:val="20"/>
                    </w:rPr>
                    <w:t>3,039</w:t>
                  </w:r>
                </w:p>
              </w:tc>
            </w:tr>
          </w:tbl>
          <w:p w:rsidR="000B6542" w:rsidRPr="000B6542" w:rsidRDefault="000B6542" w:rsidP="000B6542">
            <w:pPr>
              <w:jc w:val="center"/>
              <w:rPr>
                <w:b/>
                <w:sz w:val="20"/>
                <w:szCs w:val="20"/>
              </w:rPr>
            </w:pPr>
            <w:r w:rsidRPr="000B6542">
              <w:rPr>
                <w:b/>
                <w:sz w:val="20"/>
                <w:szCs w:val="20"/>
              </w:rPr>
              <w:t>*100W replacement lumens was calculated</w:t>
            </w:r>
          </w:p>
          <w:p w:rsidR="000B6542" w:rsidRPr="000B6542" w:rsidRDefault="000B6542" w:rsidP="000B6542">
            <w:pPr>
              <w:jc w:val="center"/>
              <w:rPr>
                <w:b/>
                <w:sz w:val="20"/>
                <w:szCs w:val="20"/>
              </w:rPr>
            </w:pPr>
            <w:r w:rsidRPr="000B6542">
              <w:rPr>
                <w:b/>
                <w:sz w:val="20"/>
                <w:szCs w:val="20"/>
              </w:rPr>
              <w:t>based on screw-in 300W replacement [Attachment 2]</w:t>
            </w:r>
          </w:p>
          <w:p w:rsidR="000B6542" w:rsidRPr="000B6542" w:rsidRDefault="000B6542" w:rsidP="000B6542">
            <w:pPr>
              <w:jc w:val="both"/>
              <w:rPr>
                <w:b/>
                <w:sz w:val="20"/>
                <w:szCs w:val="20"/>
              </w:rPr>
            </w:pPr>
          </w:p>
          <w:p w:rsidR="000B6542" w:rsidRPr="000B6542" w:rsidRDefault="000B6542" w:rsidP="000B6542">
            <w:pPr>
              <w:jc w:val="both"/>
              <w:rPr>
                <w:sz w:val="20"/>
                <w:szCs w:val="20"/>
              </w:rPr>
            </w:pPr>
            <w:r w:rsidRPr="000B6542">
              <w:rPr>
                <w:sz w:val="20"/>
                <w:szCs w:val="20"/>
              </w:rPr>
              <w:t>A separate document was created to address the minimum qualifying criteria for LED pool/spa lights which is a recommended minimal requirement, but not currently required. Therefore, data from ET10SCE1130 study [</w:t>
            </w:r>
            <w:r w:rsidRPr="000B6542">
              <w:rPr>
                <w:sz w:val="20"/>
                <w:szCs w:val="20"/>
              </w:rPr>
              <w:fldChar w:fldCharType="begin"/>
            </w:r>
            <w:r w:rsidRPr="000B6542">
              <w:rPr>
                <w:sz w:val="20"/>
                <w:szCs w:val="20"/>
              </w:rPr>
              <w:instrText xml:space="preserve"> NOTEREF _Ref321496239 \h  \* MERGEFORMAT </w:instrText>
            </w:r>
            <w:r w:rsidRPr="000B6542">
              <w:rPr>
                <w:sz w:val="20"/>
                <w:szCs w:val="20"/>
              </w:rPr>
            </w:r>
            <w:r w:rsidRPr="000B6542">
              <w:rPr>
                <w:sz w:val="20"/>
                <w:szCs w:val="20"/>
              </w:rPr>
              <w:fldChar w:fldCharType="separate"/>
            </w:r>
            <w:r w:rsidRPr="000B6542">
              <w:rPr>
                <w:sz w:val="20"/>
                <w:szCs w:val="20"/>
              </w:rPr>
              <w:t>A</w:t>
            </w:r>
            <w:r w:rsidRPr="000B6542">
              <w:rPr>
                <w:sz w:val="20"/>
                <w:szCs w:val="20"/>
              </w:rPr>
              <w:fldChar w:fldCharType="end"/>
            </w:r>
            <w:r w:rsidRPr="000B6542">
              <w:rPr>
                <w:sz w:val="20"/>
                <w:szCs w:val="20"/>
              </w:rPr>
              <w:t xml:space="preserve">] is used for this work paper. </w:t>
            </w:r>
          </w:p>
          <w:p w:rsidR="007E7E00" w:rsidRDefault="007E7E00" w:rsidP="001D6A64">
            <w:pPr>
              <w:jc w:val="both"/>
              <w:rPr>
                <w:sz w:val="20"/>
                <w:szCs w:val="20"/>
              </w:rPr>
            </w:pPr>
          </w:p>
          <w:p w:rsidR="007E7E00" w:rsidRPr="00555671" w:rsidRDefault="007E7E00" w:rsidP="001D6A64">
            <w:pPr>
              <w:jc w:val="both"/>
              <w:rPr>
                <w:sz w:val="20"/>
                <w:szCs w:val="20"/>
              </w:rPr>
            </w:pPr>
          </w:p>
        </w:tc>
      </w:tr>
      <w:tr w:rsidR="00DB71F1" w:rsidTr="00BD4AFD">
        <w:trPr>
          <w:cantSplit/>
        </w:trPr>
        <w:tc>
          <w:tcPr>
            <w:tcW w:w="1222" w:type="dxa"/>
          </w:tcPr>
          <w:p w:rsidR="00DB71F1" w:rsidRPr="001D77F7" w:rsidRDefault="00DB71F1" w:rsidP="00393EC8">
            <w:pPr>
              <w:rPr>
                <w:b/>
              </w:rPr>
            </w:pPr>
            <w:r w:rsidRPr="001D77F7">
              <w:rPr>
                <w:b/>
              </w:rPr>
              <w:t>1.3 Installation Type and Delivery Mechanisms</w:t>
            </w:r>
          </w:p>
        </w:tc>
        <w:tc>
          <w:tcPr>
            <w:tcW w:w="8128" w:type="dxa"/>
          </w:tcPr>
          <w:p w:rsidR="00DB71F1" w:rsidRPr="00D86243" w:rsidRDefault="00DB71F1" w:rsidP="00393EC8">
            <w:pPr>
              <w:rPr>
                <w:rFonts w:cs="Arial"/>
                <w:sz w:val="20"/>
                <w:szCs w:val="20"/>
              </w:rPr>
            </w:pPr>
          </w:p>
        </w:tc>
      </w:tr>
      <w:tr w:rsidR="00DB71F1" w:rsidTr="00BD4AFD">
        <w:trPr>
          <w:cantSplit/>
        </w:trPr>
        <w:tc>
          <w:tcPr>
            <w:tcW w:w="1222" w:type="dxa"/>
            <w:vAlign w:val="center"/>
          </w:tcPr>
          <w:p w:rsidR="00DB71F1" w:rsidRPr="00822B6F" w:rsidRDefault="00DB71F1" w:rsidP="00393EC8">
            <w:pPr>
              <w:jc w:val="right"/>
              <w:rPr>
                <w:sz w:val="20"/>
                <w:szCs w:val="20"/>
              </w:rPr>
            </w:pPr>
            <w:r w:rsidRPr="00822B6F">
              <w:rPr>
                <w:sz w:val="20"/>
                <w:szCs w:val="20"/>
              </w:rPr>
              <w:t>Installation Type</w:t>
            </w:r>
          </w:p>
        </w:tc>
        <w:tc>
          <w:tcPr>
            <w:tcW w:w="8128" w:type="dxa"/>
          </w:tcPr>
          <w:p w:rsidR="00CF2ABA" w:rsidRPr="00393EC8" w:rsidRDefault="008C2C8A" w:rsidP="00FE636E">
            <w:pPr>
              <w:rPr>
                <w:rFonts w:cs="Arial"/>
                <w:sz w:val="20"/>
                <w:szCs w:val="20"/>
              </w:rPr>
            </w:pPr>
            <w:r w:rsidRPr="00FE636E">
              <w:rPr>
                <w:rFonts w:cs="Arial"/>
                <w:sz w:val="20"/>
                <w:szCs w:val="20"/>
              </w:rPr>
              <w:t>Replace on Burn-out (ROB)</w:t>
            </w:r>
            <w:r w:rsidR="00CF2ABA" w:rsidRPr="00FE636E">
              <w:rPr>
                <w:rFonts w:cs="Arial"/>
                <w:sz w:val="20"/>
                <w:szCs w:val="20"/>
              </w:rPr>
              <w:t xml:space="preserve"> </w:t>
            </w:r>
          </w:p>
        </w:tc>
      </w:tr>
      <w:tr w:rsidR="00DB71F1" w:rsidTr="00BD4AFD">
        <w:trPr>
          <w:cantSplit/>
        </w:trPr>
        <w:tc>
          <w:tcPr>
            <w:tcW w:w="1222" w:type="dxa"/>
            <w:vAlign w:val="center"/>
          </w:tcPr>
          <w:p w:rsidR="00DB71F1" w:rsidRPr="00822B6F" w:rsidRDefault="00DB71F1" w:rsidP="00393EC8">
            <w:pPr>
              <w:jc w:val="right"/>
              <w:rPr>
                <w:sz w:val="20"/>
                <w:szCs w:val="20"/>
              </w:rPr>
            </w:pPr>
            <w:r w:rsidRPr="00822B6F">
              <w:rPr>
                <w:sz w:val="20"/>
                <w:szCs w:val="20"/>
              </w:rPr>
              <w:lastRenderedPageBreak/>
              <w:t>Delivery Mechanisms</w:t>
            </w:r>
          </w:p>
        </w:tc>
        <w:tc>
          <w:tcPr>
            <w:tcW w:w="8128" w:type="dxa"/>
          </w:tcPr>
          <w:p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rsidR="00B9551F" w:rsidRPr="00FE636E" w:rsidRDefault="001046CB" w:rsidP="00FE636E">
            <w:pPr>
              <w:rPr>
                <w:rFonts w:cs="Arial"/>
                <w:sz w:val="20"/>
                <w:szCs w:val="20"/>
              </w:rPr>
            </w:pPr>
            <w:r>
              <w:rPr>
                <w:rFonts w:cs="Arial"/>
                <w:sz w:val="20"/>
                <w:szCs w:val="20"/>
              </w:rPr>
              <w:t>Direct Install</w:t>
            </w:r>
          </w:p>
        </w:tc>
      </w:tr>
      <w:tr w:rsidR="00DB71F1" w:rsidTr="00BD4AFD">
        <w:trPr>
          <w:cantSplit/>
        </w:trPr>
        <w:tc>
          <w:tcPr>
            <w:tcW w:w="1222" w:type="dxa"/>
          </w:tcPr>
          <w:p w:rsidR="00DB71F1" w:rsidRPr="001D77F7" w:rsidRDefault="00DB71F1" w:rsidP="00393EC8">
            <w:pPr>
              <w:rPr>
                <w:b/>
              </w:rPr>
            </w:pPr>
            <w:r w:rsidRPr="001D77F7">
              <w:rPr>
                <w:b/>
              </w:rPr>
              <w:t>1.4.1 DEER Data</w:t>
            </w:r>
          </w:p>
        </w:tc>
        <w:tc>
          <w:tcPr>
            <w:tcW w:w="8128" w:type="dxa"/>
          </w:tcPr>
          <w:p w:rsidR="00DB71F1" w:rsidRDefault="00DB71F1" w:rsidP="00393EC8"/>
        </w:tc>
      </w:tr>
      <w:tr w:rsidR="00A61271" w:rsidTr="00BD4AFD">
        <w:trPr>
          <w:cantSplit/>
        </w:trPr>
        <w:tc>
          <w:tcPr>
            <w:tcW w:w="1222" w:type="dxa"/>
            <w:vAlign w:val="center"/>
          </w:tcPr>
          <w:p w:rsidR="00A61271" w:rsidRPr="00822B6F" w:rsidRDefault="00A61271" w:rsidP="00393EC8">
            <w:pPr>
              <w:jc w:val="right"/>
              <w:rPr>
                <w:sz w:val="20"/>
                <w:szCs w:val="20"/>
              </w:rPr>
            </w:pPr>
            <w:r w:rsidRPr="00822B6F">
              <w:rPr>
                <w:sz w:val="20"/>
                <w:szCs w:val="20"/>
              </w:rPr>
              <w:t>Net-to-Gross Ratio</w:t>
            </w:r>
          </w:p>
        </w:tc>
        <w:tc>
          <w:tcPr>
            <w:tcW w:w="8128" w:type="dxa"/>
          </w:tcPr>
          <w:p w:rsidR="00A61271" w:rsidRDefault="001046CB" w:rsidP="00393EC8">
            <w:pPr>
              <w:tabs>
                <w:tab w:val="right" w:pos="6732"/>
              </w:tabs>
              <w:rPr>
                <w:rFonts w:cs="Arial"/>
                <w:sz w:val="20"/>
                <w:szCs w:val="20"/>
              </w:rPr>
            </w:pPr>
            <w:r w:rsidRPr="001046CB">
              <w:rPr>
                <w:rFonts w:cs="Arial"/>
                <w:sz w:val="20"/>
                <w:szCs w:val="20"/>
              </w:rPr>
              <w:t>Res-Default-HTR-di</w:t>
            </w:r>
            <w:r>
              <w:rPr>
                <w:rFonts w:cs="Arial"/>
                <w:sz w:val="20"/>
                <w:szCs w:val="20"/>
              </w:rPr>
              <w:br/>
            </w:r>
            <w:r w:rsidRPr="001046CB">
              <w:rPr>
                <w:rFonts w:cs="Arial"/>
                <w:sz w:val="20"/>
                <w:szCs w:val="20"/>
              </w:rPr>
              <w:t>Com-Default-HTR-di</w:t>
            </w:r>
          </w:p>
          <w:p w:rsidR="0090016E" w:rsidRDefault="0090016E" w:rsidP="00393EC8">
            <w:pPr>
              <w:tabs>
                <w:tab w:val="right" w:pos="6732"/>
              </w:tabs>
              <w:rPr>
                <w:rFonts w:cs="Arial"/>
                <w:sz w:val="20"/>
                <w:szCs w:val="20"/>
              </w:rPr>
            </w:pPr>
            <w:r w:rsidRPr="0090016E">
              <w:rPr>
                <w:rFonts w:cs="Arial"/>
                <w:sz w:val="20"/>
                <w:szCs w:val="20"/>
              </w:rPr>
              <w:t>Res-Default&gt;2yrs</w:t>
            </w:r>
          </w:p>
          <w:p w:rsidR="0090016E" w:rsidRPr="00D86243" w:rsidRDefault="0090016E" w:rsidP="00393EC8">
            <w:pPr>
              <w:tabs>
                <w:tab w:val="right" w:pos="6732"/>
              </w:tabs>
              <w:rPr>
                <w:rFonts w:cs="Arial"/>
                <w:sz w:val="20"/>
                <w:szCs w:val="20"/>
              </w:rPr>
            </w:pPr>
            <w:r w:rsidRPr="0090016E">
              <w:rPr>
                <w:rFonts w:cs="Arial"/>
                <w:sz w:val="20"/>
                <w:szCs w:val="20"/>
              </w:rPr>
              <w:t>Com-Default&gt;2yrs</w:t>
            </w:r>
          </w:p>
        </w:tc>
      </w:tr>
      <w:tr w:rsidR="00A61271" w:rsidTr="00BD4AFD">
        <w:trPr>
          <w:cantSplit/>
        </w:trPr>
        <w:tc>
          <w:tcPr>
            <w:tcW w:w="1222"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8128" w:type="dxa"/>
          </w:tcPr>
          <w:p w:rsidR="007D1A21" w:rsidRDefault="0090016E">
            <w:pPr>
              <w:tabs>
                <w:tab w:val="right" w:pos="6732"/>
              </w:tabs>
              <w:rPr>
                <w:rFonts w:cs="Arial"/>
                <w:sz w:val="20"/>
                <w:szCs w:val="20"/>
              </w:rPr>
            </w:pPr>
            <w:r>
              <w:rPr>
                <w:rFonts w:cs="Arial"/>
                <w:sz w:val="20"/>
                <w:szCs w:val="20"/>
              </w:rPr>
              <w:t>OLtg-Res-LED-20000hr</w:t>
            </w:r>
          </w:p>
          <w:p w:rsidR="00402B3D" w:rsidRPr="00D86243" w:rsidRDefault="0090016E">
            <w:pPr>
              <w:tabs>
                <w:tab w:val="right" w:pos="6732"/>
              </w:tabs>
              <w:rPr>
                <w:rFonts w:cs="Arial"/>
                <w:sz w:val="20"/>
                <w:szCs w:val="20"/>
              </w:rPr>
            </w:pPr>
            <w:r>
              <w:rPr>
                <w:rFonts w:cs="Arial"/>
                <w:sz w:val="20"/>
                <w:szCs w:val="20"/>
              </w:rPr>
              <w:t>OLtg-Com-LED-50000hr</w:t>
            </w:r>
          </w:p>
        </w:tc>
      </w:tr>
      <w:tr w:rsidR="00A61271" w:rsidTr="00BD4AFD">
        <w:trPr>
          <w:cantSplit/>
        </w:trPr>
        <w:tc>
          <w:tcPr>
            <w:tcW w:w="1222" w:type="dxa"/>
            <w:vAlign w:val="center"/>
          </w:tcPr>
          <w:p w:rsidR="00A61271" w:rsidRPr="001D77F7" w:rsidRDefault="00A61271" w:rsidP="00393EC8">
            <w:pPr>
              <w:rPr>
                <w:b/>
              </w:rPr>
            </w:pPr>
            <w:r w:rsidRPr="001D77F7">
              <w:rPr>
                <w:b/>
              </w:rPr>
              <w:t>Section 2. Calculation Methodology</w:t>
            </w:r>
          </w:p>
        </w:tc>
        <w:tc>
          <w:tcPr>
            <w:tcW w:w="8128" w:type="dxa"/>
            <w:vAlign w:val="center"/>
          </w:tcPr>
          <w:p w:rsidR="00A61271" w:rsidRDefault="008D0B3C">
            <w:pPr>
              <w:rPr>
                <w:rFonts w:cs="Arial"/>
                <w:sz w:val="20"/>
                <w:szCs w:val="20"/>
              </w:rPr>
            </w:pPr>
            <w:r>
              <w:rPr>
                <w:rFonts w:cs="Arial"/>
                <w:sz w:val="20"/>
                <w:szCs w:val="20"/>
              </w:rPr>
              <w:t>DEER</w:t>
            </w:r>
            <w:r w:rsidR="000B6542">
              <w:rPr>
                <w:rFonts w:cs="Arial"/>
                <w:sz w:val="20"/>
                <w:szCs w:val="20"/>
              </w:rPr>
              <w:t xml:space="preserve"> Operating hours were referenced for Commercial Applications.  Hours in the residential space referenced SCE’s ET study.</w:t>
            </w:r>
          </w:p>
          <w:p w:rsidR="00BD4AFD" w:rsidRDefault="00BD4AFD">
            <w:pPr>
              <w:rPr>
                <w:rFonts w:cs="Arial"/>
                <w:sz w:val="20"/>
                <w:szCs w:val="20"/>
              </w:rPr>
            </w:pPr>
          </w:p>
          <w:p w:rsidR="00BD4AFD" w:rsidRDefault="00BD4AFD">
            <w:pPr>
              <w:rPr>
                <w:rFonts w:cs="Arial"/>
                <w:sz w:val="20"/>
                <w:szCs w:val="20"/>
              </w:rPr>
            </w:pPr>
            <w:r>
              <w:rPr>
                <w:rFonts w:cs="Arial"/>
                <w:sz w:val="20"/>
                <w:szCs w:val="20"/>
              </w:rPr>
              <w:t xml:space="preserve">Measure Description - </w:t>
            </w:r>
            <w:r w:rsidRPr="00BD4AFD">
              <w:rPr>
                <w:rFonts w:cs="Arial"/>
                <w:sz w:val="20"/>
                <w:szCs w:val="20"/>
              </w:rPr>
              <w:t>LED Pool Luminaire, LED Spa Luminaire, LED Pool Lamp, or LED Spa Lamp</w:t>
            </w:r>
          </w:p>
          <w:p w:rsidR="00BD4AFD" w:rsidRPr="00241A1F" w:rsidRDefault="00BD4AFD">
            <w:pPr>
              <w:rPr>
                <w:rFonts w:cs="Arial"/>
                <w:sz w:val="20"/>
                <w:szCs w:val="20"/>
              </w:rPr>
            </w:pPr>
            <w:r>
              <w:rPr>
                <w:rFonts w:cs="Arial"/>
                <w:sz w:val="20"/>
                <w:szCs w:val="20"/>
              </w:rPr>
              <w:t xml:space="preserve">Base Case Description - </w:t>
            </w:r>
            <w:r w:rsidRPr="00BD4AFD">
              <w:rPr>
                <w:rFonts w:cs="Arial"/>
                <w:sz w:val="20"/>
                <w:szCs w:val="20"/>
              </w:rPr>
              <w:t>Incandescent Pool Luminaire, Incandescent Pool Lamp, Incandescent Spa Luminaire, or Incandescent Spa Lamp</w:t>
            </w:r>
          </w:p>
        </w:tc>
      </w:tr>
      <w:tr w:rsidR="00A61271" w:rsidTr="00BD4AFD">
        <w:trPr>
          <w:cantSplit/>
        </w:trPr>
        <w:tc>
          <w:tcPr>
            <w:tcW w:w="1222" w:type="dxa"/>
            <w:vAlign w:val="center"/>
          </w:tcPr>
          <w:p w:rsidR="00A61271" w:rsidRDefault="00A61271" w:rsidP="00787D7C">
            <w:pPr>
              <w:jc w:val="right"/>
            </w:pPr>
            <w:r>
              <w:rPr>
                <w:rFonts w:cs="Arial"/>
                <w:sz w:val="20"/>
                <w:szCs w:val="20"/>
              </w:rPr>
              <w:lastRenderedPageBreak/>
              <w:t>Energy Savings/Peak Demand Reduction – All Measures</w:t>
            </w:r>
          </w:p>
        </w:tc>
        <w:tc>
          <w:tcPr>
            <w:tcW w:w="8128" w:type="dxa"/>
          </w:tcPr>
          <w:p w:rsidR="007B18FE" w:rsidRPr="000B6542" w:rsidRDefault="007B18FE" w:rsidP="007B18FE">
            <w:pPr>
              <w:tabs>
                <w:tab w:val="right" w:pos="6732"/>
              </w:tabs>
              <w:jc w:val="both"/>
              <w:rPr>
                <w:rFonts w:cs="Arial"/>
                <w:sz w:val="20"/>
                <w:szCs w:val="20"/>
              </w:rPr>
            </w:pPr>
            <w:r w:rsidRPr="000B6542">
              <w:rPr>
                <w:rFonts w:cs="Arial"/>
                <w:sz w:val="20"/>
                <w:szCs w:val="20"/>
              </w:rPr>
              <w:t xml:space="preserve">The LED pool lamps or luminaires replace incandescent lamps or luminaires ranging from 100-500 Watts for pools and spas.  The wattages, listed in the table below, were determined by tests conducted in the field with various wattages for the ET10SCE1130 study [A, Table 5].  The wattage of the 300W equivalent LED was determined from an average of 2 different LED pool lights. Spa lights use the same wattages as the pool lights.  Base case and measures wattages are the same for both lamps and luminaires.  </w:t>
            </w:r>
          </w:p>
          <w:p w:rsidR="007B18FE" w:rsidRDefault="007B18FE" w:rsidP="000B6542">
            <w:pPr>
              <w:tabs>
                <w:tab w:val="right" w:pos="6732"/>
              </w:tabs>
              <w:jc w:val="center"/>
              <w:rPr>
                <w:rFonts w:cs="Arial"/>
                <w:b/>
                <w:bCs/>
                <w:sz w:val="20"/>
                <w:szCs w:val="20"/>
              </w:rPr>
            </w:pPr>
            <w:r w:rsidRPr="007B18FE">
              <w:rPr>
                <w:rFonts w:cs="Arial"/>
                <w:b/>
                <w:bCs/>
                <w:sz w:val="20"/>
                <w:szCs w:val="20"/>
              </w:rPr>
              <w:t>Base and Measure Wattages</w:t>
            </w:r>
          </w:p>
          <w:tbl>
            <w:tblPr>
              <w:tblW w:w="7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6"/>
              <w:gridCol w:w="2484"/>
              <w:gridCol w:w="2438"/>
            </w:tblGrid>
            <w:tr w:rsidR="000B6542" w:rsidRPr="007E4BED" w:rsidTr="00A713A3">
              <w:trPr>
                <w:trHeight w:val="255"/>
                <w:jc w:val="center"/>
              </w:trPr>
              <w:tc>
                <w:tcPr>
                  <w:tcW w:w="3006" w:type="dxa"/>
                  <w:shd w:val="pct20" w:color="000000" w:fill="FFFFFF"/>
                  <w:noWrap/>
                  <w:vAlign w:val="center"/>
                </w:tcPr>
                <w:p w:rsidR="000B6542" w:rsidRPr="007E4BED" w:rsidRDefault="000B6542" w:rsidP="000B6542">
                  <w:pPr>
                    <w:jc w:val="center"/>
                    <w:rPr>
                      <w:rFonts w:cstheme="minorHAnsi"/>
                      <w:b/>
                      <w:bCs/>
                      <w:sz w:val="20"/>
                      <w:szCs w:val="20"/>
                    </w:rPr>
                  </w:pPr>
                  <w:r>
                    <w:rPr>
                      <w:rFonts w:cstheme="minorHAnsi"/>
                      <w:b/>
                      <w:bCs/>
                      <w:sz w:val="20"/>
                      <w:szCs w:val="20"/>
                    </w:rPr>
                    <w:t>Measures</w:t>
                  </w:r>
                </w:p>
              </w:tc>
              <w:tc>
                <w:tcPr>
                  <w:tcW w:w="2484" w:type="dxa"/>
                  <w:shd w:val="pct20" w:color="000000" w:fill="FFFFFF"/>
                  <w:vAlign w:val="center"/>
                </w:tcPr>
                <w:p w:rsidR="000B6542" w:rsidRPr="007E4BED" w:rsidRDefault="000B6542" w:rsidP="000B6542">
                  <w:pPr>
                    <w:jc w:val="center"/>
                    <w:rPr>
                      <w:rFonts w:cstheme="minorHAnsi"/>
                      <w:b/>
                      <w:bCs/>
                      <w:sz w:val="20"/>
                      <w:szCs w:val="20"/>
                    </w:rPr>
                  </w:pPr>
                  <w:r w:rsidRPr="007E4BED">
                    <w:rPr>
                      <w:rFonts w:cstheme="minorHAnsi"/>
                      <w:b/>
                      <w:bCs/>
                      <w:sz w:val="20"/>
                      <w:szCs w:val="20"/>
                    </w:rPr>
                    <w:t>Basecase – Incandescent Watts (W)</w:t>
                  </w:r>
                </w:p>
              </w:tc>
              <w:tc>
                <w:tcPr>
                  <w:tcW w:w="2438" w:type="dxa"/>
                  <w:shd w:val="pct20" w:color="000000" w:fill="FFFFFF"/>
                  <w:noWrap/>
                  <w:vAlign w:val="center"/>
                </w:tcPr>
                <w:p w:rsidR="000B6542" w:rsidRPr="007E4BED" w:rsidRDefault="000B6542" w:rsidP="000B6542">
                  <w:pPr>
                    <w:jc w:val="center"/>
                    <w:rPr>
                      <w:rFonts w:cstheme="minorHAnsi"/>
                      <w:b/>
                      <w:bCs/>
                      <w:sz w:val="20"/>
                      <w:szCs w:val="20"/>
                    </w:rPr>
                  </w:pPr>
                  <w:r w:rsidRPr="007E4BED">
                    <w:rPr>
                      <w:rFonts w:cstheme="minorHAnsi"/>
                      <w:b/>
                      <w:bCs/>
                      <w:sz w:val="20"/>
                      <w:szCs w:val="20"/>
                    </w:rPr>
                    <w:t>Measure - LED Watts (W)</w:t>
                  </w:r>
                </w:p>
              </w:tc>
            </w:tr>
            <w:tr w:rsidR="000B6542" w:rsidRPr="007E4BED" w:rsidTr="00A713A3">
              <w:trPr>
                <w:trHeight w:val="255"/>
                <w:jc w:val="center"/>
              </w:trPr>
              <w:tc>
                <w:tcPr>
                  <w:tcW w:w="3006" w:type="dxa"/>
                  <w:shd w:val="clear" w:color="auto" w:fill="FFFFFF" w:themeFill="background1"/>
                  <w:noWrap/>
                </w:tcPr>
                <w:p w:rsidR="000B6542" w:rsidRPr="007E4BED" w:rsidRDefault="000B6542" w:rsidP="000B6542">
                  <w:pPr>
                    <w:rPr>
                      <w:rFonts w:cstheme="minorHAnsi"/>
                      <w:sz w:val="20"/>
                      <w:szCs w:val="20"/>
                    </w:rPr>
                  </w:pPr>
                  <w:r w:rsidRPr="007E4BED">
                    <w:rPr>
                      <w:rFonts w:cstheme="minorHAnsi"/>
                      <w:sz w:val="20"/>
                      <w:szCs w:val="20"/>
                    </w:rPr>
                    <w:t xml:space="preserve">LED Pool Lights Replacing </w:t>
                  </w:r>
                  <w:r>
                    <w:rPr>
                      <w:rFonts w:cstheme="minorHAnsi"/>
                      <w:sz w:val="20"/>
                      <w:szCs w:val="20"/>
                    </w:rPr>
                    <w:t>10</w:t>
                  </w:r>
                  <w:r w:rsidRPr="007E4BED">
                    <w:rPr>
                      <w:rFonts w:cstheme="minorHAnsi"/>
                      <w:sz w:val="20"/>
                      <w:szCs w:val="20"/>
                    </w:rPr>
                    <w:t>0W</w:t>
                  </w:r>
                  <w:r>
                    <w:rPr>
                      <w:rFonts w:cstheme="minorHAnsi"/>
                      <w:sz w:val="20"/>
                      <w:szCs w:val="20"/>
                    </w:rPr>
                    <w:t>*</w:t>
                  </w:r>
                </w:p>
              </w:tc>
              <w:tc>
                <w:tcPr>
                  <w:tcW w:w="2484" w:type="dxa"/>
                  <w:shd w:val="clear" w:color="auto" w:fill="FFFFFF" w:themeFill="background1"/>
                  <w:vAlign w:val="center"/>
                </w:tcPr>
                <w:p w:rsidR="000B6542" w:rsidRPr="007E4BED" w:rsidRDefault="000B6542" w:rsidP="000B6542">
                  <w:pPr>
                    <w:jc w:val="center"/>
                    <w:rPr>
                      <w:rFonts w:cstheme="minorHAnsi"/>
                      <w:sz w:val="20"/>
                      <w:szCs w:val="20"/>
                    </w:rPr>
                  </w:pPr>
                  <w:r>
                    <w:rPr>
                      <w:rFonts w:cstheme="minorHAnsi"/>
                      <w:sz w:val="20"/>
                      <w:szCs w:val="20"/>
                    </w:rPr>
                    <w:t>100</w:t>
                  </w:r>
                </w:p>
              </w:tc>
              <w:tc>
                <w:tcPr>
                  <w:tcW w:w="2438" w:type="dxa"/>
                  <w:shd w:val="clear" w:color="auto" w:fill="FFFFFF" w:themeFill="background1"/>
                  <w:noWrap/>
                  <w:vAlign w:val="center"/>
                </w:tcPr>
                <w:p w:rsidR="000B6542" w:rsidRPr="007E4BED" w:rsidRDefault="000B6542" w:rsidP="000B6542">
                  <w:pPr>
                    <w:jc w:val="center"/>
                    <w:rPr>
                      <w:rFonts w:cstheme="minorHAnsi"/>
                      <w:sz w:val="20"/>
                      <w:szCs w:val="20"/>
                    </w:rPr>
                  </w:pPr>
                  <w:r>
                    <w:rPr>
                      <w:rFonts w:cstheme="minorHAnsi"/>
                      <w:sz w:val="20"/>
                      <w:szCs w:val="20"/>
                    </w:rPr>
                    <w:t>15.5</w:t>
                  </w:r>
                </w:p>
              </w:tc>
            </w:tr>
            <w:tr w:rsidR="000B6542" w:rsidRPr="007E4BED" w:rsidTr="00A713A3">
              <w:trPr>
                <w:trHeight w:val="255"/>
                <w:jc w:val="center"/>
              </w:trPr>
              <w:tc>
                <w:tcPr>
                  <w:tcW w:w="3006" w:type="dxa"/>
                  <w:shd w:val="clear" w:color="auto" w:fill="FFFFFF" w:themeFill="background1"/>
                  <w:noWrap/>
                </w:tcPr>
                <w:p w:rsidR="000B6542" w:rsidRPr="007E4BED" w:rsidRDefault="000B6542" w:rsidP="000B6542">
                  <w:pPr>
                    <w:rPr>
                      <w:rFonts w:cstheme="minorHAnsi"/>
                      <w:sz w:val="20"/>
                      <w:szCs w:val="20"/>
                    </w:rPr>
                  </w:pPr>
                  <w:r w:rsidRPr="007E4BED">
                    <w:rPr>
                      <w:rFonts w:cstheme="minorHAnsi"/>
                      <w:sz w:val="20"/>
                      <w:szCs w:val="20"/>
                    </w:rPr>
                    <w:t>LED Pool Lights Replacing 300W</w:t>
                  </w:r>
                </w:p>
              </w:tc>
              <w:tc>
                <w:tcPr>
                  <w:tcW w:w="2484" w:type="dxa"/>
                  <w:shd w:val="clear" w:color="auto" w:fill="FFFFFF" w:themeFill="background1"/>
                  <w:vAlign w:val="center"/>
                </w:tcPr>
                <w:p w:rsidR="000B6542" w:rsidRPr="007E4BED" w:rsidRDefault="000B6542" w:rsidP="000B6542">
                  <w:pPr>
                    <w:jc w:val="center"/>
                    <w:rPr>
                      <w:rFonts w:cstheme="minorHAnsi"/>
                      <w:sz w:val="20"/>
                      <w:szCs w:val="20"/>
                    </w:rPr>
                  </w:pPr>
                  <w:r w:rsidRPr="007E4BED">
                    <w:rPr>
                      <w:rFonts w:cstheme="minorHAnsi"/>
                      <w:sz w:val="20"/>
                      <w:szCs w:val="20"/>
                    </w:rPr>
                    <w:t>300</w:t>
                  </w:r>
                </w:p>
              </w:tc>
              <w:tc>
                <w:tcPr>
                  <w:tcW w:w="2438" w:type="dxa"/>
                  <w:shd w:val="clear" w:color="auto" w:fill="FFFFFF" w:themeFill="background1"/>
                  <w:noWrap/>
                  <w:vAlign w:val="center"/>
                </w:tcPr>
                <w:p w:rsidR="000B6542" w:rsidRPr="007E4BED" w:rsidRDefault="000B6542" w:rsidP="000B6542">
                  <w:pPr>
                    <w:jc w:val="center"/>
                    <w:rPr>
                      <w:rFonts w:cstheme="minorHAnsi"/>
                      <w:sz w:val="20"/>
                      <w:szCs w:val="20"/>
                    </w:rPr>
                  </w:pPr>
                  <w:r w:rsidRPr="007E4BED">
                    <w:rPr>
                      <w:rFonts w:cstheme="minorHAnsi"/>
                      <w:sz w:val="20"/>
                      <w:szCs w:val="20"/>
                    </w:rPr>
                    <w:t>45.8</w:t>
                  </w:r>
                </w:p>
              </w:tc>
            </w:tr>
            <w:tr w:rsidR="000B6542" w:rsidRPr="007E4BED" w:rsidTr="00A713A3">
              <w:trPr>
                <w:trHeight w:val="255"/>
                <w:jc w:val="center"/>
              </w:trPr>
              <w:tc>
                <w:tcPr>
                  <w:tcW w:w="3006" w:type="dxa"/>
                  <w:shd w:val="clear" w:color="auto" w:fill="FFFFFF" w:themeFill="background1"/>
                  <w:noWrap/>
                </w:tcPr>
                <w:p w:rsidR="000B6542" w:rsidRPr="007E4BED" w:rsidRDefault="000B6542" w:rsidP="000B6542">
                  <w:pPr>
                    <w:rPr>
                      <w:rFonts w:cstheme="minorHAnsi"/>
                      <w:sz w:val="20"/>
                      <w:szCs w:val="20"/>
                    </w:rPr>
                  </w:pPr>
                  <w:r w:rsidRPr="007E4BED">
                    <w:rPr>
                      <w:rFonts w:cstheme="minorHAnsi"/>
                      <w:sz w:val="20"/>
                      <w:szCs w:val="20"/>
                    </w:rPr>
                    <w:t>LED Pool Lights Replacing 400W</w:t>
                  </w:r>
                </w:p>
              </w:tc>
              <w:tc>
                <w:tcPr>
                  <w:tcW w:w="2484" w:type="dxa"/>
                  <w:shd w:val="clear" w:color="auto" w:fill="FFFFFF" w:themeFill="background1"/>
                  <w:vAlign w:val="center"/>
                </w:tcPr>
                <w:p w:rsidR="000B6542" w:rsidRPr="007E4BED" w:rsidRDefault="000B6542" w:rsidP="000B6542">
                  <w:pPr>
                    <w:jc w:val="center"/>
                    <w:rPr>
                      <w:rFonts w:cstheme="minorHAnsi"/>
                      <w:sz w:val="20"/>
                      <w:szCs w:val="20"/>
                    </w:rPr>
                  </w:pPr>
                  <w:r w:rsidRPr="007E4BED">
                    <w:rPr>
                      <w:rFonts w:cstheme="minorHAnsi"/>
                      <w:sz w:val="20"/>
                      <w:szCs w:val="20"/>
                    </w:rPr>
                    <w:t>400</w:t>
                  </w:r>
                </w:p>
              </w:tc>
              <w:tc>
                <w:tcPr>
                  <w:tcW w:w="2438" w:type="dxa"/>
                  <w:shd w:val="clear" w:color="auto" w:fill="FFFFFF" w:themeFill="background1"/>
                  <w:noWrap/>
                  <w:vAlign w:val="center"/>
                </w:tcPr>
                <w:p w:rsidR="000B6542" w:rsidRPr="007E4BED" w:rsidRDefault="000B6542" w:rsidP="000B6542">
                  <w:pPr>
                    <w:jc w:val="center"/>
                    <w:rPr>
                      <w:rFonts w:cstheme="minorHAnsi"/>
                      <w:sz w:val="20"/>
                      <w:szCs w:val="20"/>
                    </w:rPr>
                  </w:pPr>
                  <w:r w:rsidRPr="007E4BED">
                    <w:rPr>
                      <w:rFonts w:cstheme="minorHAnsi"/>
                      <w:sz w:val="20"/>
                      <w:szCs w:val="20"/>
                    </w:rPr>
                    <w:t>52.4</w:t>
                  </w:r>
                </w:p>
              </w:tc>
            </w:tr>
            <w:tr w:rsidR="000B6542" w:rsidRPr="007E4BED" w:rsidTr="00A713A3">
              <w:trPr>
                <w:trHeight w:val="255"/>
                <w:jc w:val="center"/>
              </w:trPr>
              <w:tc>
                <w:tcPr>
                  <w:tcW w:w="3006" w:type="dxa"/>
                  <w:shd w:val="clear" w:color="auto" w:fill="FFFFFF" w:themeFill="background1"/>
                  <w:noWrap/>
                </w:tcPr>
                <w:p w:rsidR="000B6542" w:rsidRPr="007E4BED" w:rsidRDefault="000B6542" w:rsidP="000B6542">
                  <w:pPr>
                    <w:rPr>
                      <w:rFonts w:cstheme="minorHAnsi"/>
                      <w:sz w:val="20"/>
                      <w:szCs w:val="20"/>
                    </w:rPr>
                  </w:pPr>
                  <w:r w:rsidRPr="007E4BED">
                    <w:rPr>
                      <w:rFonts w:cstheme="minorHAnsi"/>
                      <w:sz w:val="20"/>
                      <w:szCs w:val="20"/>
                    </w:rPr>
                    <w:t>LED Pool Lights Replacing 500W</w:t>
                  </w:r>
                </w:p>
              </w:tc>
              <w:tc>
                <w:tcPr>
                  <w:tcW w:w="2484" w:type="dxa"/>
                  <w:shd w:val="clear" w:color="auto" w:fill="FFFFFF" w:themeFill="background1"/>
                  <w:vAlign w:val="center"/>
                </w:tcPr>
                <w:p w:rsidR="000B6542" w:rsidRPr="007E4BED" w:rsidRDefault="000B6542" w:rsidP="000B6542">
                  <w:pPr>
                    <w:jc w:val="center"/>
                    <w:rPr>
                      <w:rFonts w:cstheme="minorHAnsi"/>
                      <w:sz w:val="20"/>
                      <w:szCs w:val="20"/>
                    </w:rPr>
                  </w:pPr>
                  <w:r w:rsidRPr="007E4BED">
                    <w:rPr>
                      <w:rFonts w:cstheme="minorHAnsi"/>
                      <w:sz w:val="20"/>
                      <w:szCs w:val="20"/>
                    </w:rPr>
                    <w:t>500</w:t>
                  </w:r>
                </w:p>
              </w:tc>
              <w:tc>
                <w:tcPr>
                  <w:tcW w:w="2438" w:type="dxa"/>
                  <w:shd w:val="clear" w:color="auto" w:fill="FFFFFF" w:themeFill="background1"/>
                  <w:noWrap/>
                  <w:vAlign w:val="center"/>
                </w:tcPr>
                <w:p w:rsidR="000B6542" w:rsidRPr="007E4BED" w:rsidRDefault="000B6542" w:rsidP="000B6542">
                  <w:pPr>
                    <w:jc w:val="center"/>
                    <w:rPr>
                      <w:rFonts w:cstheme="minorHAnsi"/>
                      <w:sz w:val="20"/>
                      <w:szCs w:val="20"/>
                    </w:rPr>
                  </w:pPr>
                  <w:r w:rsidRPr="007E4BED">
                    <w:rPr>
                      <w:rFonts w:cstheme="minorHAnsi"/>
                      <w:sz w:val="20"/>
                      <w:szCs w:val="20"/>
                    </w:rPr>
                    <w:t>67.4</w:t>
                  </w:r>
                </w:p>
              </w:tc>
            </w:tr>
          </w:tbl>
          <w:p w:rsidR="007B18FE" w:rsidRPr="000B6542" w:rsidRDefault="007B18FE" w:rsidP="007B18FE">
            <w:pPr>
              <w:tabs>
                <w:tab w:val="right" w:pos="6732"/>
              </w:tabs>
              <w:jc w:val="both"/>
              <w:rPr>
                <w:rFonts w:cs="Arial"/>
                <w:sz w:val="20"/>
                <w:szCs w:val="20"/>
              </w:rPr>
            </w:pPr>
            <w:r w:rsidRPr="000B6542">
              <w:rPr>
                <w:rFonts w:cs="Arial"/>
                <w:sz w:val="20"/>
                <w:szCs w:val="20"/>
              </w:rPr>
              <w:t>*Information from pool light manufacturers</w:t>
            </w:r>
          </w:p>
          <w:p w:rsidR="007B18FE" w:rsidRPr="007B18FE" w:rsidRDefault="007B18FE" w:rsidP="007B18FE">
            <w:pPr>
              <w:tabs>
                <w:tab w:val="right" w:pos="6732"/>
              </w:tabs>
              <w:jc w:val="both"/>
              <w:rPr>
                <w:rFonts w:cs="Arial"/>
                <w:b/>
                <w:sz w:val="20"/>
                <w:szCs w:val="20"/>
              </w:rPr>
            </w:pPr>
          </w:p>
          <w:p w:rsidR="007B18FE" w:rsidRPr="000B6542" w:rsidRDefault="007B18FE" w:rsidP="007B18FE">
            <w:pPr>
              <w:tabs>
                <w:tab w:val="right" w:pos="6732"/>
              </w:tabs>
              <w:jc w:val="both"/>
              <w:rPr>
                <w:rFonts w:cs="Arial"/>
                <w:sz w:val="20"/>
                <w:szCs w:val="20"/>
              </w:rPr>
            </w:pPr>
            <w:r w:rsidRPr="000B6542">
              <w:rPr>
                <w:rFonts w:cs="Arial"/>
                <w:sz w:val="20"/>
                <w:szCs w:val="20"/>
              </w:rPr>
              <w:t>For non-residential applications, the pool lights either operate 4 hours/day for dusk to close operation (1460 hrs/year) or 4380 hours/year for dusk to dawn operation. The dusk to close and dusk to dawn operation data was logged from the ET10SCE1130 study [</w:t>
            </w:r>
            <w:r w:rsidRPr="000B6542">
              <w:rPr>
                <w:rFonts w:cs="Arial"/>
                <w:sz w:val="20"/>
                <w:szCs w:val="20"/>
              </w:rPr>
              <w:fldChar w:fldCharType="begin"/>
            </w:r>
            <w:r w:rsidRPr="000B6542">
              <w:rPr>
                <w:rFonts w:cs="Arial"/>
                <w:sz w:val="20"/>
                <w:szCs w:val="20"/>
              </w:rPr>
              <w:instrText xml:space="preserve"> NOTEREF _Ref321496239 \h </w:instrText>
            </w:r>
            <w:r w:rsidR="000B6542">
              <w:rPr>
                <w:rFonts w:cs="Arial"/>
                <w:sz w:val="20"/>
                <w:szCs w:val="20"/>
              </w:rPr>
              <w:instrText xml:space="preserve"> \* MERGEFORMAT </w:instrText>
            </w:r>
            <w:r w:rsidRPr="000B6542">
              <w:rPr>
                <w:rFonts w:cs="Arial"/>
                <w:sz w:val="20"/>
                <w:szCs w:val="20"/>
              </w:rPr>
            </w:r>
            <w:r w:rsidRPr="000B6542">
              <w:rPr>
                <w:rFonts w:cs="Arial"/>
                <w:sz w:val="20"/>
                <w:szCs w:val="20"/>
              </w:rPr>
              <w:fldChar w:fldCharType="separate"/>
            </w:r>
            <w:r w:rsidRPr="000B6542">
              <w:rPr>
                <w:rFonts w:cs="Arial"/>
                <w:sz w:val="20"/>
                <w:szCs w:val="20"/>
              </w:rPr>
              <w:t>A</w:t>
            </w:r>
            <w:r w:rsidRPr="000B6542">
              <w:rPr>
                <w:rFonts w:cs="Arial"/>
                <w:sz w:val="20"/>
                <w:szCs w:val="20"/>
              </w:rPr>
              <w:fldChar w:fldCharType="end"/>
            </w:r>
            <w:r w:rsidRPr="000B6542">
              <w:rPr>
                <w:rFonts w:cs="Arial"/>
                <w:sz w:val="20"/>
                <w:szCs w:val="20"/>
              </w:rPr>
              <w:t>]. Although dusk to dawn was logged at 13 hours, DEER-defined 4380 hours was used for energy savings calculations.</w:t>
            </w:r>
          </w:p>
          <w:p w:rsidR="007B18FE" w:rsidRPr="000B6542" w:rsidRDefault="007B18FE" w:rsidP="007B18FE">
            <w:pPr>
              <w:tabs>
                <w:tab w:val="right" w:pos="6732"/>
              </w:tabs>
              <w:jc w:val="both"/>
              <w:rPr>
                <w:rFonts w:cs="Arial"/>
                <w:sz w:val="20"/>
                <w:szCs w:val="20"/>
              </w:rPr>
            </w:pPr>
          </w:p>
          <w:p w:rsidR="007B18FE" w:rsidRPr="000B6542" w:rsidRDefault="007B18FE" w:rsidP="007B18FE">
            <w:pPr>
              <w:tabs>
                <w:tab w:val="right" w:pos="6732"/>
              </w:tabs>
              <w:jc w:val="both"/>
              <w:rPr>
                <w:rFonts w:cs="Arial"/>
                <w:sz w:val="20"/>
                <w:szCs w:val="20"/>
              </w:rPr>
            </w:pPr>
            <w:r w:rsidRPr="000B6542">
              <w:rPr>
                <w:rFonts w:cs="Arial"/>
                <w:sz w:val="20"/>
                <w:szCs w:val="20"/>
              </w:rPr>
              <w:fldChar w:fldCharType="begin"/>
            </w:r>
            <w:r w:rsidRPr="000B6542">
              <w:rPr>
                <w:rFonts w:cs="Arial"/>
                <w:sz w:val="20"/>
                <w:szCs w:val="20"/>
              </w:rPr>
              <w:instrText xml:space="preserve"> REF _Ref257632001 \h  \* MERGEFORMAT </w:instrText>
            </w:r>
            <w:r w:rsidRPr="000B6542">
              <w:rPr>
                <w:rFonts w:cs="Arial"/>
                <w:sz w:val="20"/>
                <w:szCs w:val="20"/>
              </w:rPr>
            </w:r>
            <w:r w:rsidRPr="000B6542">
              <w:rPr>
                <w:rFonts w:cs="Arial"/>
                <w:sz w:val="20"/>
                <w:szCs w:val="20"/>
              </w:rPr>
              <w:fldChar w:fldCharType="separate"/>
            </w:r>
            <w:r w:rsidRPr="000B6542">
              <w:rPr>
                <w:rFonts w:cs="Arial"/>
                <w:sz w:val="20"/>
                <w:szCs w:val="20"/>
              </w:rPr>
              <w:t>Equation 1</w:t>
            </w:r>
            <w:r w:rsidRPr="000B6542">
              <w:rPr>
                <w:rFonts w:cs="Arial"/>
                <w:sz w:val="20"/>
                <w:szCs w:val="20"/>
              </w:rPr>
              <w:fldChar w:fldCharType="end"/>
            </w:r>
            <w:r w:rsidRPr="000B6542">
              <w:rPr>
                <w:rFonts w:cs="Arial"/>
                <w:sz w:val="20"/>
                <w:szCs w:val="20"/>
              </w:rPr>
              <w:t xml:space="preserve"> illustrates the methodology used to calculate annual energy savings.  </w:t>
            </w:r>
            <w:r w:rsidRPr="000B6542">
              <w:rPr>
                <w:rFonts w:cs="Arial"/>
                <w:sz w:val="20"/>
                <w:szCs w:val="20"/>
              </w:rPr>
              <w:fldChar w:fldCharType="begin"/>
            </w:r>
            <w:r w:rsidRPr="000B6542">
              <w:rPr>
                <w:rFonts w:cs="Arial"/>
                <w:sz w:val="20"/>
                <w:szCs w:val="20"/>
              </w:rPr>
              <w:instrText xml:space="preserve"> REF _Ref321725973 \h </w:instrText>
            </w:r>
            <w:r w:rsidR="000B6542">
              <w:rPr>
                <w:rFonts w:cs="Arial"/>
                <w:sz w:val="20"/>
                <w:szCs w:val="20"/>
              </w:rPr>
              <w:instrText xml:space="preserve"> \* MERGEFORMAT </w:instrText>
            </w:r>
            <w:r w:rsidRPr="000B6542">
              <w:rPr>
                <w:rFonts w:cs="Arial"/>
                <w:sz w:val="20"/>
                <w:szCs w:val="20"/>
              </w:rPr>
            </w:r>
            <w:r w:rsidRPr="000B6542">
              <w:rPr>
                <w:rFonts w:cs="Arial"/>
                <w:sz w:val="20"/>
                <w:szCs w:val="20"/>
              </w:rPr>
              <w:fldChar w:fldCharType="separate"/>
            </w:r>
            <w:r w:rsidRPr="000B6542">
              <w:rPr>
                <w:rFonts w:cs="Arial"/>
                <w:sz w:val="20"/>
                <w:szCs w:val="20"/>
              </w:rPr>
              <w:t>Equation 2</w:t>
            </w:r>
            <w:r w:rsidRPr="000B6542">
              <w:rPr>
                <w:rFonts w:cs="Arial"/>
                <w:sz w:val="20"/>
                <w:szCs w:val="20"/>
              </w:rPr>
              <w:fldChar w:fldCharType="end"/>
            </w:r>
            <w:r w:rsidRPr="000B6542">
              <w:rPr>
                <w:rFonts w:cs="Arial"/>
                <w:sz w:val="20"/>
                <w:szCs w:val="20"/>
              </w:rPr>
              <w:t xml:space="preserve"> shows a 45.8W LED pool light replacing a 300W incandescent operating 12 hours/day (dusk to dawn).  </w:t>
            </w:r>
          </w:p>
          <w:p w:rsidR="007B18FE" w:rsidRPr="007B18FE" w:rsidRDefault="007B18FE" w:rsidP="007B18FE">
            <w:pPr>
              <w:tabs>
                <w:tab w:val="right" w:pos="6732"/>
              </w:tabs>
              <w:jc w:val="both"/>
              <w:rPr>
                <w:rFonts w:cs="Arial"/>
                <w:b/>
                <w:sz w:val="20"/>
                <w:szCs w:val="20"/>
              </w:rPr>
            </w:pPr>
          </w:p>
          <w:p w:rsidR="007B18FE" w:rsidRPr="007B18FE" w:rsidRDefault="007B18FE" w:rsidP="007B18FE">
            <w:pPr>
              <w:tabs>
                <w:tab w:val="right" w:pos="6732"/>
              </w:tabs>
              <w:jc w:val="both"/>
              <w:rPr>
                <w:rFonts w:cs="Arial"/>
                <w:b/>
                <w:bCs/>
                <w:sz w:val="20"/>
                <w:szCs w:val="20"/>
              </w:rPr>
            </w:pPr>
            <w:bookmarkStart w:id="1" w:name="_Ref257632001"/>
            <w:r w:rsidRPr="007B18FE">
              <w:rPr>
                <w:rFonts w:cs="Arial"/>
                <w:b/>
                <w:bCs/>
                <w:sz w:val="20"/>
                <w:szCs w:val="20"/>
              </w:rPr>
              <w:t xml:space="preserve">Equation </w:t>
            </w:r>
            <w:r w:rsidRPr="007B18FE">
              <w:rPr>
                <w:rFonts w:cs="Arial"/>
                <w:b/>
                <w:bCs/>
                <w:sz w:val="20"/>
                <w:szCs w:val="20"/>
              </w:rPr>
              <w:fldChar w:fldCharType="begin"/>
            </w:r>
            <w:r w:rsidRPr="007B18FE">
              <w:rPr>
                <w:rFonts w:cs="Arial"/>
                <w:b/>
                <w:bCs/>
                <w:sz w:val="20"/>
                <w:szCs w:val="20"/>
              </w:rPr>
              <w:instrText xml:space="preserve"> SEQ Equation \* ARABIC </w:instrText>
            </w:r>
            <w:r w:rsidRPr="007B18FE">
              <w:rPr>
                <w:rFonts w:cs="Arial"/>
                <w:b/>
                <w:bCs/>
                <w:sz w:val="20"/>
                <w:szCs w:val="20"/>
              </w:rPr>
              <w:fldChar w:fldCharType="separate"/>
            </w:r>
            <w:r w:rsidRPr="007B18FE">
              <w:rPr>
                <w:rFonts w:cs="Arial"/>
                <w:b/>
                <w:bCs/>
                <w:sz w:val="20"/>
                <w:szCs w:val="20"/>
              </w:rPr>
              <w:t>1</w:t>
            </w:r>
            <w:r w:rsidRPr="007B18FE">
              <w:rPr>
                <w:rFonts w:cs="Arial"/>
                <w:b/>
                <w:sz w:val="20"/>
                <w:szCs w:val="20"/>
              </w:rPr>
              <w:fldChar w:fldCharType="end"/>
            </w:r>
            <w:bookmarkEnd w:id="1"/>
          </w:p>
          <w:p w:rsidR="007B18FE" w:rsidRPr="007B18FE" w:rsidRDefault="007B18FE" w:rsidP="007B18FE">
            <w:pPr>
              <w:tabs>
                <w:tab w:val="right" w:pos="6732"/>
              </w:tabs>
              <w:jc w:val="both"/>
              <w:rPr>
                <w:rFonts w:cs="Arial"/>
                <w:b/>
                <w:sz w:val="20"/>
                <w:szCs w:val="20"/>
              </w:rPr>
            </w:pPr>
            <w:r w:rsidRPr="007B18FE">
              <w:rPr>
                <w:rFonts w:cs="Arial"/>
                <w:b/>
                <w:sz w:val="20"/>
                <w:szCs w:val="20"/>
              </w:rPr>
              <w:object w:dxaOrig="75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85pt;height:36pt" o:ole="">
                  <v:imagedata r:id="rId11" o:title=""/>
                </v:shape>
                <o:OLEObject Type="Embed" ProgID="Equation.3" ShapeID="_x0000_i1025" DrawAspect="Content" ObjectID="_1569333517" r:id="rId12"/>
              </w:object>
            </w:r>
            <w:r w:rsidRPr="007B18FE">
              <w:rPr>
                <w:rFonts w:cs="Arial"/>
                <w:b/>
                <w:sz w:val="20"/>
                <w:szCs w:val="20"/>
              </w:rPr>
              <w:t xml:space="preserve">  </w:t>
            </w:r>
          </w:p>
          <w:p w:rsidR="007B18FE" w:rsidRPr="007B18FE" w:rsidRDefault="007B18FE" w:rsidP="007B18FE">
            <w:pPr>
              <w:tabs>
                <w:tab w:val="right" w:pos="6732"/>
              </w:tabs>
              <w:jc w:val="both"/>
              <w:rPr>
                <w:rFonts w:cs="Arial"/>
                <w:b/>
                <w:sz w:val="20"/>
                <w:szCs w:val="20"/>
              </w:rPr>
            </w:pPr>
          </w:p>
          <w:p w:rsidR="007B18FE" w:rsidRPr="007B18FE" w:rsidRDefault="007B18FE" w:rsidP="007B18FE">
            <w:pPr>
              <w:tabs>
                <w:tab w:val="right" w:pos="6732"/>
              </w:tabs>
              <w:jc w:val="both"/>
              <w:rPr>
                <w:rFonts w:cs="Arial"/>
                <w:b/>
                <w:sz w:val="20"/>
                <w:szCs w:val="20"/>
              </w:rPr>
            </w:pPr>
          </w:p>
          <w:p w:rsidR="007B18FE" w:rsidRPr="007B18FE" w:rsidRDefault="007B18FE" w:rsidP="007B18FE">
            <w:pPr>
              <w:tabs>
                <w:tab w:val="right" w:pos="6732"/>
              </w:tabs>
              <w:jc w:val="both"/>
              <w:rPr>
                <w:rFonts w:cs="Arial"/>
                <w:b/>
                <w:bCs/>
                <w:sz w:val="20"/>
                <w:szCs w:val="20"/>
              </w:rPr>
            </w:pPr>
            <w:bookmarkStart w:id="2" w:name="_Ref321725973"/>
          </w:p>
          <w:p w:rsidR="007B18FE" w:rsidRPr="007B18FE" w:rsidRDefault="007B18FE" w:rsidP="007B18FE">
            <w:pPr>
              <w:tabs>
                <w:tab w:val="right" w:pos="6732"/>
              </w:tabs>
              <w:jc w:val="both"/>
              <w:rPr>
                <w:rFonts w:cs="Arial"/>
                <w:b/>
                <w:bCs/>
                <w:sz w:val="20"/>
                <w:szCs w:val="20"/>
              </w:rPr>
            </w:pPr>
          </w:p>
          <w:p w:rsidR="007B18FE" w:rsidRPr="007B18FE" w:rsidRDefault="007B18FE" w:rsidP="007B18FE">
            <w:pPr>
              <w:tabs>
                <w:tab w:val="right" w:pos="6732"/>
              </w:tabs>
              <w:jc w:val="both"/>
              <w:rPr>
                <w:rFonts w:cs="Arial"/>
                <w:b/>
                <w:bCs/>
                <w:sz w:val="20"/>
                <w:szCs w:val="20"/>
              </w:rPr>
            </w:pPr>
            <w:r w:rsidRPr="007B18FE">
              <w:rPr>
                <w:rFonts w:cs="Arial"/>
                <w:b/>
                <w:bCs/>
                <w:sz w:val="20"/>
                <w:szCs w:val="20"/>
              </w:rPr>
              <w:t xml:space="preserve">Equation </w:t>
            </w:r>
            <w:r w:rsidRPr="007B18FE">
              <w:rPr>
                <w:rFonts w:cs="Arial"/>
                <w:b/>
                <w:bCs/>
                <w:sz w:val="20"/>
                <w:szCs w:val="20"/>
              </w:rPr>
              <w:fldChar w:fldCharType="begin"/>
            </w:r>
            <w:r w:rsidRPr="007B18FE">
              <w:rPr>
                <w:rFonts w:cs="Arial"/>
                <w:b/>
                <w:bCs/>
                <w:sz w:val="20"/>
                <w:szCs w:val="20"/>
              </w:rPr>
              <w:instrText xml:space="preserve"> SEQ Equation \* ARABIC </w:instrText>
            </w:r>
            <w:r w:rsidRPr="007B18FE">
              <w:rPr>
                <w:rFonts w:cs="Arial"/>
                <w:b/>
                <w:bCs/>
                <w:sz w:val="20"/>
                <w:szCs w:val="20"/>
              </w:rPr>
              <w:fldChar w:fldCharType="separate"/>
            </w:r>
            <w:r w:rsidRPr="007B18FE">
              <w:rPr>
                <w:rFonts w:cs="Arial"/>
                <w:b/>
                <w:bCs/>
                <w:sz w:val="20"/>
                <w:szCs w:val="20"/>
              </w:rPr>
              <w:t>2</w:t>
            </w:r>
            <w:r w:rsidRPr="007B18FE">
              <w:rPr>
                <w:rFonts w:cs="Arial"/>
                <w:b/>
                <w:sz w:val="20"/>
                <w:szCs w:val="20"/>
              </w:rPr>
              <w:fldChar w:fldCharType="end"/>
            </w:r>
            <w:bookmarkEnd w:id="2"/>
          </w:p>
          <w:p w:rsidR="007B18FE" w:rsidRPr="007B18FE" w:rsidRDefault="007B18FE" w:rsidP="007B18FE">
            <w:pPr>
              <w:tabs>
                <w:tab w:val="right" w:pos="6732"/>
              </w:tabs>
              <w:jc w:val="both"/>
              <w:rPr>
                <w:rFonts w:cs="Arial"/>
                <w:b/>
                <w:sz w:val="20"/>
                <w:szCs w:val="20"/>
              </w:rPr>
            </w:pPr>
            <w:r w:rsidRPr="007B18FE">
              <w:rPr>
                <w:rFonts w:cs="Arial"/>
                <w:b/>
                <w:sz w:val="20"/>
                <w:szCs w:val="20"/>
              </w:rPr>
              <w:object w:dxaOrig="5500" w:dyaOrig="720">
                <v:shape id="_x0000_i1026" type="#_x0000_t75" style="width:274.3pt;height:36pt" o:ole="">
                  <v:imagedata r:id="rId13" o:title=""/>
                </v:shape>
                <o:OLEObject Type="Embed" ProgID="Equation.3" ShapeID="_x0000_i1026" DrawAspect="Content" ObjectID="_1569333518" r:id="rId14"/>
              </w:object>
            </w:r>
          </w:p>
          <w:p w:rsidR="007B18FE" w:rsidRPr="007B18FE" w:rsidRDefault="007B18FE" w:rsidP="007B18FE">
            <w:pPr>
              <w:tabs>
                <w:tab w:val="right" w:pos="6732"/>
              </w:tabs>
              <w:jc w:val="both"/>
              <w:rPr>
                <w:rFonts w:cs="Arial"/>
                <w:b/>
                <w:sz w:val="20"/>
                <w:szCs w:val="20"/>
              </w:rPr>
            </w:pPr>
          </w:p>
          <w:p w:rsidR="007B18FE" w:rsidRPr="000B6542" w:rsidRDefault="007B18FE" w:rsidP="007B18FE">
            <w:pPr>
              <w:tabs>
                <w:tab w:val="right" w:pos="6732"/>
              </w:tabs>
              <w:jc w:val="both"/>
              <w:rPr>
                <w:rFonts w:cs="Arial"/>
                <w:sz w:val="20"/>
                <w:szCs w:val="20"/>
              </w:rPr>
            </w:pPr>
            <w:r w:rsidRPr="000B6542">
              <w:rPr>
                <w:rFonts w:cs="Arial"/>
                <w:sz w:val="20"/>
                <w:szCs w:val="20"/>
              </w:rPr>
              <w:t xml:space="preserve">For residential applications, the pool lights are used 48 hours/year and spa lights are used 66 hours/year based on the Emerging Technology - Market Behavior Study (ET11SCE4050) that surveyed 189 customers on how long they operate their pools/spas at home [B]. Therefore, pool and spa savings for residential applications will have different operating hours. </w:t>
            </w:r>
            <w:r w:rsidRPr="000B6542">
              <w:rPr>
                <w:rFonts w:cs="Arial"/>
                <w:sz w:val="20"/>
                <w:szCs w:val="20"/>
              </w:rPr>
              <w:fldChar w:fldCharType="begin"/>
            </w:r>
            <w:r w:rsidRPr="000B6542">
              <w:rPr>
                <w:rFonts w:cs="Arial"/>
                <w:sz w:val="20"/>
                <w:szCs w:val="20"/>
              </w:rPr>
              <w:instrText xml:space="preserve"> REF _Ref321726226 \h  \* MERGEFORMAT </w:instrText>
            </w:r>
            <w:r w:rsidRPr="000B6542">
              <w:rPr>
                <w:rFonts w:cs="Arial"/>
                <w:sz w:val="20"/>
                <w:szCs w:val="20"/>
              </w:rPr>
            </w:r>
            <w:r w:rsidRPr="000B6542">
              <w:rPr>
                <w:rFonts w:cs="Arial"/>
                <w:sz w:val="20"/>
                <w:szCs w:val="20"/>
              </w:rPr>
              <w:fldChar w:fldCharType="separate"/>
            </w:r>
            <w:r w:rsidRPr="000B6542">
              <w:rPr>
                <w:rFonts w:cs="Arial"/>
                <w:sz w:val="20"/>
                <w:szCs w:val="20"/>
              </w:rPr>
              <w:t>Equation 3</w:t>
            </w:r>
            <w:r w:rsidRPr="000B6542">
              <w:rPr>
                <w:rFonts w:cs="Arial"/>
                <w:sz w:val="20"/>
                <w:szCs w:val="20"/>
              </w:rPr>
              <w:fldChar w:fldCharType="end"/>
            </w:r>
            <w:r w:rsidRPr="000B6542">
              <w:rPr>
                <w:rFonts w:cs="Arial"/>
                <w:sz w:val="20"/>
                <w:szCs w:val="20"/>
              </w:rPr>
              <w:t xml:space="preserve"> shows a 45.8W LED pool light replacing a 300W incandescent in a residential pool.</w:t>
            </w:r>
          </w:p>
          <w:p w:rsidR="007B18FE" w:rsidRPr="007B18FE" w:rsidRDefault="007B18FE" w:rsidP="007B18FE">
            <w:pPr>
              <w:tabs>
                <w:tab w:val="right" w:pos="6732"/>
              </w:tabs>
              <w:jc w:val="both"/>
              <w:rPr>
                <w:rFonts w:cs="Arial"/>
                <w:b/>
                <w:sz w:val="20"/>
                <w:szCs w:val="20"/>
              </w:rPr>
            </w:pPr>
          </w:p>
          <w:p w:rsidR="007B18FE" w:rsidRPr="007B18FE" w:rsidRDefault="007B18FE" w:rsidP="007B18FE">
            <w:pPr>
              <w:tabs>
                <w:tab w:val="right" w:pos="6732"/>
              </w:tabs>
              <w:jc w:val="both"/>
              <w:rPr>
                <w:rFonts w:cs="Arial"/>
                <w:b/>
                <w:bCs/>
                <w:sz w:val="20"/>
                <w:szCs w:val="20"/>
              </w:rPr>
            </w:pPr>
            <w:bookmarkStart w:id="3" w:name="_Ref321726226"/>
            <w:r w:rsidRPr="007B18FE">
              <w:rPr>
                <w:rFonts w:cs="Arial"/>
                <w:b/>
                <w:bCs/>
                <w:sz w:val="20"/>
                <w:szCs w:val="20"/>
              </w:rPr>
              <w:t xml:space="preserve">Equation </w:t>
            </w:r>
            <w:r w:rsidRPr="007B18FE">
              <w:rPr>
                <w:rFonts w:cs="Arial"/>
                <w:b/>
                <w:bCs/>
                <w:sz w:val="20"/>
                <w:szCs w:val="20"/>
              </w:rPr>
              <w:fldChar w:fldCharType="begin"/>
            </w:r>
            <w:r w:rsidRPr="007B18FE">
              <w:rPr>
                <w:rFonts w:cs="Arial"/>
                <w:b/>
                <w:bCs/>
                <w:sz w:val="20"/>
                <w:szCs w:val="20"/>
              </w:rPr>
              <w:instrText xml:space="preserve"> SEQ Equation \* ARABIC </w:instrText>
            </w:r>
            <w:r w:rsidRPr="007B18FE">
              <w:rPr>
                <w:rFonts w:cs="Arial"/>
                <w:b/>
                <w:bCs/>
                <w:sz w:val="20"/>
                <w:szCs w:val="20"/>
              </w:rPr>
              <w:fldChar w:fldCharType="separate"/>
            </w:r>
            <w:r w:rsidRPr="007B18FE">
              <w:rPr>
                <w:rFonts w:cs="Arial"/>
                <w:b/>
                <w:bCs/>
                <w:sz w:val="20"/>
                <w:szCs w:val="20"/>
              </w:rPr>
              <w:t>3</w:t>
            </w:r>
            <w:r w:rsidRPr="007B18FE">
              <w:rPr>
                <w:rFonts w:cs="Arial"/>
                <w:b/>
                <w:sz w:val="20"/>
                <w:szCs w:val="20"/>
              </w:rPr>
              <w:fldChar w:fldCharType="end"/>
            </w:r>
            <w:bookmarkEnd w:id="3"/>
          </w:p>
          <w:p w:rsidR="007B18FE" w:rsidRPr="007B18FE" w:rsidRDefault="007B18FE" w:rsidP="007B18FE">
            <w:pPr>
              <w:tabs>
                <w:tab w:val="right" w:pos="6732"/>
              </w:tabs>
              <w:jc w:val="both"/>
              <w:rPr>
                <w:rFonts w:cs="Arial"/>
                <w:b/>
                <w:sz w:val="20"/>
                <w:szCs w:val="20"/>
              </w:rPr>
            </w:pPr>
            <w:r w:rsidRPr="007B18FE">
              <w:rPr>
                <w:rFonts w:cs="Arial"/>
                <w:b/>
                <w:sz w:val="20"/>
                <w:szCs w:val="20"/>
              </w:rPr>
              <w:object w:dxaOrig="5020" w:dyaOrig="720">
                <v:shape id="_x0000_i1027" type="#_x0000_t75" style="width:251.55pt;height:36pt" o:ole="">
                  <v:imagedata r:id="rId15" o:title=""/>
                </v:shape>
                <o:OLEObject Type="Embed" ProgID="Equation.3" ShapeID="_x0000_i1027" DrawAspect="Content" ObjectID="_1569333519" r:id="rId16"/>
              </w:object>
            </w:r>
          </w:p>
          <w:p w:rsidR="007B18FE" w:rsidRPr="007B18FE" w:rsidRDefault="007B18FE" w:rsidP="007B18FE">
            <w:pPr>
              <w:tabs>
                <w:tab w:val="right" w:pos="6732"/>
              </w:tabs>
              <w:jc w:val="both"/>
              <w:rPr>
                <w:rFonts w:cs="Arial"/>
                <w:b/>
                <w:sz w:val="20"/>
                <w:szCs w:val="20"/>
              </w:rPr>
            </w:pPr>
          </w:p>
          <w:p w:rsidR="007B18FE" w:rsidRPr="00BD4AFD" w:rsidRDefault="007B18FE" w:rsidP="007B18FE">
            <w:pPr>
              <w:tabs>
                <w:tab w:val="right" w:pos="6732"/>
              </w:tabs>
              <w:jc w:val="both"/>
              <w:rPr>
                <w:rFonts w:cs="Arial"/>
                <w:sz w:val="20"/>
                <w:szCs w:val="20"/>
              </w:rPr>
            </w:pPr>
            <w:r w:rsidRPr="00BD4AFD">
              <w:rPr>
                <w:rFonts w:cs="Arial"/>
                <w:sz w:val="20"/>
                <w:szCs w:val="20"/>
              </w:rPr>
              <w:t>The demand reduction for exterior installations is zero as they have a Peak Coincidence Factor of 0.</w:t>
            </w:r>
            <w:r w:rsidRPr="00BD4AFD">
              <w:rPr>
                <w:rFonts w:cs="Arial"/>
                <w:sz w:val="20"/>
                <w:szCs w:val="20"/>
                <w:vertAlign w:val="superscript"/>
              </w:rPr>
              <w:t xml:space="preserve"> </w:t>
            </w:r>
          </w:p>
          <w:p w:rsidR="007B18FE" w:rsidRPr="00BD4AFD" w:rsidRDefault="007B18FE" w:rsidP="007B18FE">
            <w:pPr>
              <w:tabs>
                <w:tab w:val="right" w:pos="6732"/>
              </w:tabs>
              <w:jc w:val="both"/>
              <w:rPr>
                <w:rFonts w:cs="Arial"/>
                <w:sz w:val="20"/>
                <w:szCs w:val="20"/>
              </w:rPr>
            </w:pPr>
          </w:p>
          <w:p w:rsidR="007B18FE" w:rsidRPr="00BD4AFD" w:rsidRDefault="007B18FE" w:rsidP="007B18FE">
            <w:pPr>
              <w:tabs>
                <w:tab w:val="right" w:pos="6732"/>
              </w:tabs>
              <w:jc w:val="both"/>
              <w:rPr>
                <w:rFonts w:cs="Arial"/>
                <w:sz w:val="20"/>
                <w:szCs w:val="20"/>
              </w:rPr>
            </w:pPr>
            <w:r w:rsidRPr="00BD4AFD">
              <w:rPr>
                <w:rFonts w:cs="Arial"/>
                <w:sz w:val="20"/>
                <w:szCs w:val="20"/>
              </w:rPr>
              <w:t xml:space="preserve">The table below lists the energy savings and demand </w:t>
            </w:r>
            <w:r w:rsidR="00C52867">
              <w:rPr>
                <w:rFonts w:cs="Arial"/>
                <w:sz w:val="20"/>
                <w:szCs w:val="20"/>
              </w:rPr>
              <w:t xml:space="preserve">reduction for LED Pool lights.  </w:t>
            </w:r>
            <w:bookmarkStart w:id="4" w:name="_GoBack"/>
            <w:bookmarkEnd w:id="4"/>
          </w:p>
          <w:p w:rsidR="007B18FE" w:rsidRPr="007B18FE" w:rsidRDefault="007B18FE" w:rsidP="007B18FE">
            <w:pPr>
              <w:tabs>
                <w:tab w:val="right" w:pos="6732"/>
              </w:tabs>
              <w:jc w:val="both"/>
              <w:rPr>
                <w:rFonts w:cs="Arial"/>
                <w:b/>
                <w:sz w:val="20"/>
                <w:szCs w:val="20"/>
              </w:rPr>
            </w:pPr>
          </w:p>
          <w:p w:rsidR="007B18FE" w:rsidRPr="007B18FE" w:rsidRDefault="007B18FE" w:rsidP="00BD4AFD">
            <w:pPr>
              <w:tabs>
                <w:tab w:val="right" w:pos="6732"/>
              </w:tabs>
              <w:jc w:val="center"/>
              <w:rPr>
                <w:rFonts w:cs="Arial"/>
                <w:b/>
                <w:bCs/>
                <w:sz w:val="20"/>
                <w:szCs w:val="20"/>
              </w:rPr>
            </w:pPr>
            <w:bookmarkStart w:id="5" w:name="_Ref257646292"/>
            <w:bookmarkStart w:id="6" w:name="_Ref321492930"/>
            <w:r w:rsidRPr="007B18FE">
              <w:rPr>
                <w:rFonts w:cs="Arial"/>
                <w:b/>
                <w:bCs/>
                <w:sz w:val="20"/>
                <w:szCs w:val="20"/>
              </w:rPr>
              <w:lastRenderedPageBreak/>
              <w:t xml:space="preserve">Table </w:t>
            </w:r>
            <w:r w:rsidRPr="007B18FE">
              <w:rPr>
                <w:rFonts w:cs="Arial"/>
                <w:b/>
                <w:bCs/>
                <w:sz w:val="20"/>
                <w:szCs w:val="20"/>
              </w:rPr>
              <w:fldChar w:fldCharType="begin"/>
            </w:r>
            <w:r w:rsidRPr="007B18FE">
              <w:rPr>
                <w:rFonts w:cs="Arial"/>
                <w:b/>
                <w:bCs/>
                <w:sz w:val="20"/>
                <w:szCs w:val="20"/>
              </w:rPr>
              <w:instrText xml:space="preserve"> SEQ Table \* ARABIC </w:instrText>
            </w:r>
            <w:r w:rsidRPr="007B18FE">
              <w:rPr>
                <w:rFonts w:cs="Arial"/>
                <w:b/>
                <w:bCs/>
                <w:sz w:val="20"/>
                <w:szCs w:val="20"/>
              </w:rPr>
              <w:fldChar w:fldCharType="separate"/>
            </w:r>
            <w:r w:rsidRPr="007B18FE">
              <w:rPr>
                <w:rFonts w:cs="Arial"/>
                <w:b/>
                <w:bCs/>
                <w:sz w:val="20"/>
                <w:szCs w:val="20"/>
              </w:rPr>
              <w:t>10</w:t>
            </w:r>
            <w:r w:rsidRPr="007B18FE">
              <w:rPr>
                <w:rFonts w:cs="Arial"/>
                <w:b/>
                <w:sz w:val="20"/>
                <w:szCs w:val="20"/>
              </w:rPr>
              <w:fldChar w:fldCharType="end"/>
            </w:r>
            <w:bookmarkEnd w:id="5"/>
            <w:bookmarkEnd w:id="6"/>
            <w:r w:rsidRPr="007B18FE">
              <w:rPr>
                <w:rFonts w:cs="Arial"/>
                <w:b/>
                <w:bCs/>
                <w:sz w:val="20"/>
                <w:szCs w:val="20"/>
              </w:rPr>
              <w:t xml:space="preserve"> Energy Savings and Demand Reduction</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879"/>
              <w:gridCol w:w="919"/>
              <w:gridCol w:w="907"/>
              <w:gridCol w:w="1066"/>
              <w:gridCol w:w="1156"/>
            </w:tblGrid>
            <w:tr w:rsidR="007B18FE" w:rsidRPr="007B18FE" w:rsidTr="00A713A3">
              <w:trPr>
                <w:trHeight w:val="255"/>
                <w:jc w:val="center"/>
              </w:trPr>
              <w:tc>
                <w:tcPr>
                  <w:tcW w:w="3597" w:type="dxa"/>
                  <w:shd w:val="pct20" w:color="000000" w:fill="FFFFFF"/>
                  <w:noWrap/>
                  <w:vAlign w:val="bottom"/>
                </w:tcPr>
                <w:p w:rsidR="007B18FE" w:rsidRPr="007B18FE" w:rsidRDefault="007B18FE" w:rsidP="007B18FE">
                  <w:pPr>
                    <w:tabs>
                      <w:tab w:val="right" w:pos="6732"/>
                    </w:tabs>
                    <w:jc w:val="both"/>
                    <w:rPr>
                      <w:rFonts w:cs="Arial"/>
                      <w:b/>
                      <w:bCs/>
                      <w:sz w:val="20"/>
                      <w:szCs w:val="20"/>
                    </w:rPr>
                  </w:pPr>
                  <w:r w:rsidRPr="007B18FE">
                    <w:rPr>
                      <w:rFonts w:cs="Arial"/>
                      <w:b/>
                      <w:bCs/>
                      <w:sz w:val="20"/>
                      <w:szCs w:val="20"/>
                    </w:rPr>
                    <w:t>Measures</w:t>
                  </w:r>
                </w:p>
              </w:tc>
              <w:tc>
                <w:tcPr>
                  <w:tcW w:w="1028" w:type="dxa"/>
                  <w:shd w:val="pct20" w:color="000000" w:fill="FFFFFF"/>
                  <w:noWrap/>
                  <w:vAlign w:val="bottom"/>
                </w:tcPr>
                <w:p w:rsidR="007B18FE" w:rsidRPr="007B18FE" w:rsidRDefault="007B18FE" w:rsidP="007B18FE">
                  <w:pPr>
                    <w:tabs>
                      <w:tab w:val="right" w:pos="6732"/>
                    </w:tabs>
                    <w:jc w:val="both"/>
                    <w:rPr>
                      <w:rFonts w:cs="Arial"/>
                      <w:b/>
                      <w:bCs/>
                      <w:sz w:val="20"/>
                      <w:szCs w:val="20"/>
                    </w:rPr>
                  </w:pPr>
                  <w:r w:rsidRPr="007B18FE">
                    <w:rPr>
                      <w:rFonts w:cs="Arial"/>
                      <w:b/>
                      <w:bCs/>
                      <w:sz w:val="20"/>
                      <w:szCs w:val="20"/>
                    </w:rPr>
                    <w:t>Base Case (kW)</w:t>
                  </w:r>
                </w:p>
              </w:tc>
              <w:tc>
                <w:tcPr>
                  <w:tcW w:w="1078" w:type="dxa"/>
                  <w:shd w:val="pct20" w:color="000000" w:fill="FFFFFF"/>
                  <w:noWrap/>
                  <w:vAlign w:val="bottom"/>
                </w:tcPr>
                <w:p w:rsidR="007B18FE" w:rsidRPr="007B18FE" w:rsidRDefault="007B18FE" w:rsidP="007B18FE">
                  <w:pPr>
                    <w:tabs>
                      <w:tab w:val="right" w:pos="6732"/>
                    </w:tabs>
                    <w:jc w:val="both"/>
                    <w:rPr>
                      <w:rFonts w:cs="Arial"/>
                      <w:b/>
                      <w:bCs/>
                      <w:sz w:val="20"/>
                      <w:szCs w:val="20"/>
                    </w:rPr>
                  </w:pPr>
                  <w:r w:rsidRPr="007B18FE">
                    <w:rPr>
                      <w:rFonts w:cs="Arial"/>
                      <w:b/>
                      <w:bCs/>
                      <w:sz w:val="20"/>
                      <w:szCs w:val="20"/>
                    </w:rPr>
                    <w:t>Measure (kW)</w:t>
                  </w:r>
                </w:p>
              </w:tc>
              <w:tc>
                <w:tcPr>
                  <w:tcW w:w="1063" w:type="dxa"/>
                  <w:shd w:val="pct20" w:color="000000" w:fill="FFFFFF"/>
                  <w:noWrap/>
                  <w:vAlign w:val="bottom"/>
                </w:tcPr>
                <w:p w:rsidR="007B18FE" w:rsidRPr="007B18FE" w:rsidRDefault="007B18FE" w:rsidP="007B18FE">
                  <w:pPr>
                    <w:tabs>
                      <w:tab w:val="right" w:pos="6732"/>
                    </w:tabs>
                    <w:jc w:val="both"/>
                    <w:rPr>
                      <w:rFonts w:cs="Arial"/>
                      <w:b/>
                      <w:bCs/>
                      <w:sz w:val="20"/>
                      <w:szCs w:val="20"/>
                    </w:rPr>
                  </w:pPr>
                  <w:r w:rsidRPr="007B18FE">
                    <w:rPr>
                      <w:rFonts w:cs="Arial"/>
                      <w:b/>
                      <w:bCs/>
                      <w:sz w:val="20"/>
                      <w:szCs w:val="20"/>
                    </w:rPr>
                    <w:t>Delta Watts (kW)</w:t>
                  </w:r>
                </w:p>
              </w:tc>
              <w:tc>
                <w:tcPr>
                  <w:tcW w:w="1258" w:type="dxa"/>
                  <w:shd w:val="pct20" w:color="000000" w:fill="FFFFFF"/>
                  <w:noWrap/>
                  <w:vAlign w:val="bottom"/>
                </w:tcPr>
                <w:p w:rsidR="007B18FE" w:rsidRPr="007B18FE" w:rsidRDefault="007B18FE" w:rsidP="007B18FE">
                  <w:pPr>
                    <w:tabs>
                      <w:tab w:val="right" w:pos="6732"/>
                    </w:tabs>
                    <w:jc w:val="both"/>
                    <w:rPr>
                      <w:rFonts w:cs="Arial"/>
                      <w:b/>
                      <w:bCs/>
                      <w:sz w:val="20"/>
                      <w:szCs w:val="20"/>
                    </w:rPr>
                  </w:pPr>
                  <w:r w:rsidRPr="007B18FE">
                    <w:rPr>
                      <w:rFonts w:cs="Arial"/>
                      <w:b/>
                      <w:bCs/>
                      <w:sz w:val="20"/>
                      <w:szCs w:val="20"/>
                    </w:rPr>
                    <w:t>Energy Savings (kWh)</w:t>
                  </w:r>
                </w:p>
              </w:tc>
              <w:tc>
                <w:tcPr>
                  <w:tcW w:w="1368" w:type="dxa"/>
                  <w:shd w:val="pct20" w:color="000000" w:fill="FFFFFF"/>
                  <w:noWrap/>
                  <w:vAlign w:val="bottom"/>
                </w:tcPr>
                <w:p w:rsidR="007B18FE" w:rsidRPr="007B18FE" w:rsidRDefault="007B18FE" w:rsidP="007B18FE">
                  <w:pPr>
                    <w:tabs>
                      <w:tab w:val="right" w:pos="6732"/>
                    </w:tabs>
                    <w:jc w:val="both"/>
                    <w:rPr>
                      <w:rFonts w:cs="Arial"/>
                      <w:b/>
                      <w:bCs/>
                      <w:sz w:val="20"/>
                      <w:szCs w:val="20"/>
                    </w:rPr>
                  </w:pPr>
                  <w:r w:rsidRPr="007B18FE">
                    <w:rPr>
                      <w:rFonts w:cs="Arial"/>
                      <w:b/>
                      <w:bCs/>
                      <w:sz w:val="20"/>
                      <w:szCs w:val="20"/>
                    </w:rPr>
                    <w:t>Peak Demand Reduction (kW)</w:t>
                  </w:r>
                </w:p>
              </w:tc>
            </w:tr>
            <w:tr w:rsidR="007B18FE" w:rsidRPr="007B18FE" w:rsidTr="00A713A3">
              <w:trPr>
                <w:trHeight w:val="255"/>
                <w:jc w:val="center"/>
              </w:trPr>
              <w:tc>
                <w:tcPr>
                  <w:tcW w:w="3597" w:type="dxa"/>
                  <w:shd w:val="clear" w:color="auto" w:fill="FFFFFF" w:themeFill="background1"/>
                  <w:noWrap/>
                  <w:vAlign w:val="center"/>
                </w:tcPr>
                <w:p w:rsidR="007B18FE" w:rsidRPr="00BD4AFD" w:rsidRDefault="00C52867" w:rsidP="007B18FE">
                  <w:pPr>
                    <w:tabs>
                      <w:tab w:val="right" w:pos="6732"/>
                    </w:tabs>
                    <w:jc w:val="both"/>
                    <w:rPr>
                      <w:rFonts w:cs="Arial"/>
                      <w:sz w:val="20"/>
                      <w:szCs w:val="20"/>
                    </w:rPr>
                  </w:pPr>
                  <w:r>
                    <w:rPr>
                      <w:rFonts w:cs="Arial"/>
                      <w:sz w:val="20"/>
                      <w:szCs w:val="20"/>
                    </w:rPr>
                    <w:t>45.8 Watt Pool Fixture</w:t>
                  </w:r>
                  <w:r w:rsidR="007B18FE" w:rsidRPr="00BD4AFD">
                    <w:rPr>
                      <w:rFonts w:cs="Arial"/>
                      <w:sz w:val="20"/>
                      <w:szCs w:val="20"/>
                    </w:rPr>
                    <w:t xml:space="preserve"> (Dusk to Close) LED replacing 300 Watt Incandescent</w:t>
                  </w:r>
                </w:p>
              </w:tc>
              <w:tc>
                <w:tcPr>
                  <w:tcW w:w="102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0.300</w:t>
                  </w:r>
                </w:p>
              </w:tc>
              <w:tc>
                <w:tcPr>
                  <w:tcW w:w="107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0.046</w:t>
                  </w:r>
                </w:p>
              </w:tc>
              <w:tc>
                <w:tcPr>
                  <w:tcW w:w="1063"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0.254</w:t>
                  </w:r>
                </w:p>
              </w:tc>
              <w:tc>
                <w:tcPr>
                  <w:tcW w:w="125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371.13</w:t>
                  </w:r>
                </w:p>
              </w:tc>
              <w:tc>
                <w:tcPr>
                  <w:tcW w:w="136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w:t>
                  </w:r>
                </w:p>
              </w:tc>
            </w:tr>
            <w:tr w:rsidR="007B18FE" w:rsidRPr="007B18FE" w:rsidTr="00A713A3">
              <w:trPr>
                <w:trHeight w:val="255"/>
                <w:jc w:val="center"/>
              </w:trPr>
              <w:tc>
                <w:tcPr>
                  <w:tcW w:w="3597" w:type="dxa"/>
                  <w:shd w:val="clear" w:color="auto" w:fill="FFFFFF" w:themeFill="background1"/>
                  <w:noWrap/>
                  <w:vAlign w:val="center"/>
                </w:tcPr>
                <w:p w:rsidR="007B18FE" w:rsidRPr="00BD4AFD" w:rsidRDefault="00C52867" w:rsidP="007B18FE">
                  <w:pPr>
                    <w:tabs>
                      <w:tab w:val="right" w:pos="6732"/>
                    </w:tabs>
                    <w:jc w:val="both"/>
                    <w:rPr>
                      <w:rFonts w:cs="Arial"/>
                      <w:sz w:val="20"/>
                      <w:szCs w:val="20"/>
                    </w:rPr>
                  </w:pPr>
                  <w:r>
                    <w:rPr>
                      <w:rFonts w:cs="Arial"/>
                      <w:sz w:val="20"/>
                      <w:szCs w:val="20"/>
                    </w:rPr>
                    <w:t>52.4 Watt Pool Fixture</w:t>
                  </w:r>
                  <w:r w:rsidR="007B18FE" w:rsidRPr="00BD4AFD">
                    <w:rPr>
                      <w:rFonts w:cs="Arial"/>
                      <w:sz w:val="20"/>
                      <w:szCs w:val="20"/>
                    </w:rPr>
                    <w:t xml:space="preserve"> (Dusk to Close) LED replacing 400 Watt Incandescent</w:t>
                  </w:r>
                </w:p>
              </w:tc>
              <w:tc>
                <w:tcPr>
                  <w:tcW w:w="102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0.400</w:t>
                  </w:r>
                </w:p>
              </w:tc>
              <w:tc>
                <w:tcPr>
                  <w:tcW w:w="107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0.052</w:t>
                  </w:r>
                </w:p>
              </w:tc>
              <w:tc>
                <w:tcPr>
                  <w:tcW w:w="1063"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0.348</w:t>
                  </w:r>
                </w:p>
              </w:tc>
              <w:tc>
                <w:tcPr>
                  <w:tcW w:w="125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507.50</w:t>
                  </w:r>
                </w:p>
              </w:tc>
              <w:tc>
                <w:tcPr>
                  <w:tcW w:w="136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w:t>
                  </w:r>
                </w:p>
              </w:tc>
            </w:tr>
            <w:tr w:rsidR="007B18FE" w:rsidRPr="007B18FE" w:rsidTr="00A713A3">
              <w:trPr>
                <w:trHeight w:val="255"/>
                <w:jc w:val="center"/>
              </w:trPr>
              <w:tc>
                <w:tcPr>
                  <w:tcW w:w="3597" w:type="dxa"/>
                  <w:shd w:val="clear" w:color="auto" w:fill="FFFFFF" w:themeFill="background1"/>
                  <w:noWrap/>
                  <w:vAlign w:val="center"/>
                </w:tcPr>
                <w:p w:rsidR="007B18FE" w:rsidRPr="00BD4AFD" w:rsidRDefault="00C52867" w:rsidP="007B18FE">
                  <w:pPr>
                    <w:tabs>
                      <w:tab w:val="right" w:pos="6732"/>
                    </w:tabs>
                    <w:jc w:val="both"/>
                    <w:rPr>
                      <w:rFonts w:cs="Arial"/>
                      <w:sz w:val="20"/>
                      <w:szCs w:val="20"/>
                    </w:rPr>
                  </w:pPr>
                  <w:r>
                    <w:rPr>
                      <w:rFonts w:cs="Arial"/>
                      <w:sz w:val="20"/>
                      <w:szCs w:val="20"/>
                    </w:rPr>
                    <w:t>67.4 Watt Pool Fixture</w:t>
                  </w:r>
                  <w:r w:rsidR="007B18FE" w:rsidRPr="00BD4AFD">
                    <w:rPr>
                      <w:rFonts w:cs="Arial"/>
                      <w:sz w:val="20"/>
                      <w:szCs w:val="20"/>
                    </w:rPr>
                    <w:t xml:space="preserve"> (Dusk to Close) LED replacing 500 Watt Incandescent</w:t>
                  </w:r>
                </w:p>
              </w:tc>
              <w:tc>
                <w:tcPr>
                  <w:tcW w:w="102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0.500</w:t>
                  </w:r>
                </w:p>
              </w:tc>
              <w:tc>
                <w:tcPr>
                  <w:tcW w:w="107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0.067</w:t>
                  </w:r>
                </w:p>
              </w:tc>
              <w:tc>
                <w:tcPr>
                  <w:tcW w:w="1063"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0.433</w:t>
                  </w:r>
                </w:p>
              </w:tc>
              <w:tc>
                <w:tcPr>
                  <w:tcW w:w="125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631.60</w:t>
                  </w:r>
                </w:p>
              </w:tc>
              <w:tc>
                <w:tcPr>
                  <w:tcW w:w="136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w:t>
                  </w:r>
                </w:p>
              </w:tc>
            </w:tr>
            <w:tr w:rsidR="007B18FE" w:rsidRPr="007B18FE" w:rsidTr="00A713A3">
              <w:trPr>
                <w:trHeight w:val="255"/>
                <w:jc w:val="center"/>
              </w:trPr>
              <w:tc>
                <w:tcPr>
                  <w:tcW w:w="3597" w:type="dxa"/>
                  <w:shd w:val="clear" w:color="auto" w:fill="FFFFFF" w:themeFill="background1"/>
                  <w:noWrap/>
                  <w:vAlign w:val="center"/>
                </w:tcPr>
                <w:p w:rsidR="007B18FE" w:rsidRPr="00BD4AFD" w:rsidRDefault="00C52867" w:rsidP="007B18FE">
                  <w:pPr>
                    <w:tabs>
                      <w:tab w:val="right" w:pos="6732"/>
                    </w:tabs>
                    <w:jc w:val="both"/>
                    <w:rPr>
                      <w:rFonts w:cs="Arial"/>
                      <w:sz w:val="20"/>
                      <w:szCs w:val="20"/>
                    </w:rPr>
                  </w:pPr>
                  <w:r>
                    <w:rPr>
                      <w:rFonts w:cs="Arial"/>
                      <w:sz w:val="20"/>
                      <w:szCs w:val="20"/>
                    </w:rPr>
                    <w:t>15.5 Watt Pool Fixture</w:t>
                  </w:r>
                  <w:r w:rsidR="007B18FE" w:rsidRPr="00BD4AFD">
                    <w:rPr>
                      <w:rFonts w:cs="Arial"/>
                      <w:sz w:val="20"/>
                      <w:szCs w:val="20"/>
                    </w:rPr>
                    <w:t xml:space="preserve"> (Dusk to Close) LED replacing 100 Watt Incandescent</w:t>
                  </w:r>
                </w:p>
              </w:tc>
              <w:tc>
                <w:tcPr>
                  <w:tcW w:w="102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0.100</w:t>
                  </w:r>
                </w:p>
              </w:tc>
              <w:tc>
                <w:tcPr>
                  <w:tcW w:w="107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0.0155</w:t>
                  </w:r>
                </w:p>
              </w:tc>
              <w:tc>
                <w:tcPr>
                  <w:tcW w:w="1063"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0.085</w:t>
                  </w:r>
                </w:p>
              </w:tc>
              <w:tc>
                <w:tcPr>
                  <w:tcW w:w="125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123.37</w:t>
                  </w:r>
                </w:p>
              </w:tc>
              <w:tc>
                <w:tcPr>
                  <w:tcW w:w="1368" w:type="dxa"/>
                  <w:shd w:val="clear" w:color="auto" w:fill="FFFFFF" w:themeFill="background1"/>
                  <w:noWrap/>
                  <w:vAlign w:val="center"/>
                </w:tcPr>
                <w:p w:rsidR="007B18FE" w:rsidRPr="00BD4AFD" w:rsidRDefault="007B18FE" w:rsidP="007B18FE">
                  <w:pPr>
                    <w:tabs>
                      <w:tab w:val="right" w:pos="6732"/>
                    </w:tabs>
                    <w:jc w:val="both"/>
                    <w:rPr>
                      <w:rFonts w:cs="Arial"/>
                      <w:sz w:val="20"/>
                      <w:szCs w:val="20"/>
                    </w:rPr>
                  </w:pPr>
                  <w:r w:rsidRPr="00BD4AFD">
                    <w:rPr>
                      <w:rFonts w:cs="Arial"/>
                      <w:sz w:val="20"/>
                      <w:szCs w:val="20"/>
                    </w:rPr>
                    <w:t>0</w:t>
                  </w:r>
                </w:p>
              </w:tc>
            </w:tr>
          </w:tbl>
          <w:p w:rsidR="00F915C5" w:rsidRPr="00C62A00" w:rsidRDefault="00F915C5" w:rsidP="00C62A00">
            <w:pPr>
              <w:tabs>
                <w:tab w:val="right" w:pos="6732"/>
              </w:tabs>
              <w:jc w:val="both"/>
              <w:rPr>
                <w:rFonts w:cs="Arial"/>
                <w:sz w:val="20"/>
                <w:szCs w:val="20"/>
              </w:rPr>
            </w:pPr>
          </w:p>
          <w:p w:rsidR="00CA48A0" w:rsidRPr="00555671" w:rsidRDefault="00CA48A0" w:rsidP="00CA48A0">
            <w:pPr>
              <w:tabs>
                <w:tab w:val="right" w:pos="6732"/>
              </w:tabs>
              <w:jc w:val="both"/>
              <w:rPr>
                <w:rFonts w:cs="Arial"/>
                <w:sz w:val="20"/>
                <w:szCs w:val="20"/>
              </w:rPr>
            </w:pPr>
          </w:p>
        </w:tc>
      </w:tr>
      <w:tr w:rsidR="00A61271" w:rsidTr="00BD4AFD">
        <w:trPr>
          <w:cantSplit/>
        </w:trPr>
        <w:tc>
          <w:tcPr>
            <w:tcW w:w="1222" w:type="dxa"/>
            <w:vAlign w:val="center"/>
          </w:tcPr>
          <w:p w:rsidR="00A61271" w:rsidRPr="001D77F7" w:rsidRDefault="00A61271" w:rsidP="00393EC8">
            <w:pPr>
              <w:rPr>
                <w:b/>
              </w:rPr>
            </w:pPr>
            <w:r w:rsidRPr="001D77F7">
              <w:rPr>
                <w:b/>
              </w:rPr>
              <w:lastRenderedPageBreak/>
              <w:t>Section 3. Load Shapes</w:t>
            </w:r>
          </w:p>
        </w:tc>
        <w:tc>
          <w:tcPr>
            <w:tcW w:w="8128" w:type="dxa"/>
          </w:tcPr>
          <w:p w:rsidR="004519B4" w:rsidRPr="00476F40" w:rsidRDefault="00BD4AFD">
            <w:pPr>
              <w:tabs>
                <w:tab w:val="right" w:pos="6732"/>
              </w:tabs>
              <w:rPr>
                <w:rFonts w:cs="Arial"/>
                <w:sz w:val="20"/>
                <w:szCs w:val="20"/>
              </w:rPr>
            </w:pPr>
            <w:r>
              <w:rPr>
                <w:rFonts w:cstheme="minorHAnsi"/>
                <w:bCs/>
                <w:sz w:val="20"/>
              </w:rPr>
              <w:t>SDGE:03-BCR-BothResidentialandCommercial-LIT_EXT</w:t>
            </w:r>
            <w:r>
              <w:rPr>
                <w:rFonts w:cstheme="minorHAnsi"/>
                <w:bCs/>
                <w:sz w:val="20"/>
              </w:rPr>
              <w:br/>
              <w:t>WinterOnly</w:t>
            </w:r>
          </w:p>
        </w:tc>
      </w:tr>
      <w:tr w:rsidR="00A61271" w:rsidTr="00BD4AFD">
        <w:trPr>
          <w:cantSplit/>
        </w:trPr>
        <w:tc>
          <w:tcPr>
            <w:tcW w:w="1222" w:type="dxa"/>
            <w:vAlign w:val="center"/>
          </w:tcPr>
          <w:p w:rsidR="00A61271" w:rsidRPr="001D77F7" w:rsidRDefault="00A61271" w:rsidP="00393EC8">
            <w:pPr>
              <w:rPr>
                <w:b/>
              </w:rPr>
            </w:pPr>
            <w:r w:rsidRPr="001D77F7">
              <w:rPr>
                <w:b/>
              </w:rPr>
              <w:t>Section 4. Costs</w:t>
            </w:r>
          </w:p>
        </w:tc>
        <w:tc>
          <w:tcPr>
            <w:tcW w:w="8128" w:type="dxa"/>
          </w:tcPr>
          <w:p w:rsidR="00A61271" w:rsidRPr="00476F40" w:rsidRDefault="00A61271" w:rsidP="00C048F4">
            <w:pPr>
              <w:rPr>
                <w:rFonts w:cs="Arial"/>
                <w:sz w:val="20"/>
                <w:szCs w:val="20"/>
              </w:rPr>
            </w:pPr>
          </w:p>
        </w:tc>
      </w:tr>
      <w:tr w:rsidR="00A61271" w:rsidRPr="00393EC8" w:rsidTr="00BD4AFD">
        <w:trPr>
          <w:cantSplit/>
        </w:trPr>
        <w:tc>
          <w:tcPr>
            <w:tcW w:w="1222" w:type="dxa"/>
          </w:tcPr>
          <w:p w:rsidR="00A61271" w:rsidRPr="00393EC8" w:rsidRDefault="00A61271">
            <w:pPr>
              <w:rPr>
                <w:b/>
              </w:rPr>
            </w:pPr>
            <w:r w:rsidRPr="00393EC8">
              <w:rPr>
                <w:b/>
              </w:rPr>
              <w:t xml:space="preserve">Section 4.1 </w:t>
            </w:r>
            <w:r w:rsidR="00695478">
              <w:rPr>
                <w:b/>
              </w:rPr>
              <w:t>Base and Measure Costs</w:t>
            </w:r>
          </w:p>
        </w:tc>
        <w:tc>
          <w:tcPr>
            <w:tcW w:w="8128" w:type="dxa"/>
          </w:tcPr>
          <w:p w:rsidR="00A61271" w:rsidRPr="00BD4AFD" w:rsidRDefault="00A61271" w:rsidP="00393EC8"/>
        </w:tc>
      </w:tr>
      <w:tr w:rsidR="00E05871" w:rsidTr="00BD4AFD">
        <w:trPr>
          <w:cantSplit/>
        </w:trPr>
        <w:tc>
          <w:tcPr>
            <w:tcW w:w="1222" w:type="dxa"/>
          </w:tcPr>
          <w:p w:rsidR="00E05871" w:rsidRPr="00822B6F" w:rsidRDefault="00E05871" w:rsidP="00E05871">
            <w:pPr>
              <w:jc w:val="right"/>
              <w:rPr>
                <w:sz w:val="20"/>
                <w:szCs w:val="20"/>
              </w:rPr>
            </w:pPr>
            <w:r w:rsidRPr="00822B6F">
              <w:rPr>
                <w:sz w:val="20"/>
                <w:szCs w:val="20"/>
              </w:rPr>
              <w:t>Base Cost</w:t>
            </w:r>
          </w:p>
        </w:tc>
        <w:tc>
          <w:tcPr>
            <w:tcW w:w="8128" w:type="dxa"/>
          </w:tcPr>
          <w:p w:rsidR="00E05871" w:rsidRDefault="00BD4AFD" w:rsidP="00E05871">
            <w:pPr>
              <w:tabs>
                <w:tab w:val="right" w:pos="6732"/>
              </w:tabs>
              <w:rPr>
                <w:rFonts w:cs="Arial"/>
                <w:sz w:val="20"/>
                <w:szCs w:val="20"/>
              </w:rPr>
            </w:pPr>
            <w:r>
              <w:rPr>
                <w:rFonts w:cs="Arial"/>
                <w:sz w:val="20"/>
                <w:szCs w:val="20"/>
              </w:rPr>
              <w:t>See ex ante tables</w:t>
            </w:r>
          </w:p>
        </w:tc>
      </w:tr>
      <w:tr w:rsidR="00A61271" w:rsidTr="00BD4AFD">
        <w:trPr>
          <w:cantSplit/>
        </w:trPr>
        <w:tc>
          <w:tcPr>
            <w:tcW w:w="1222" w:type="dxa"/>
          </w:tcPr>
          <w:p w:rsidR="00A61271" w:rsidRPr="00822B6F" w:rsidRDefault="00A61271">
            <w:pPr>
              <w:jc w:val="right"/>
              <w:rPr>
                <w:sz w:val="20"/>
                <w:szCs w:val="20"/>
              </w:rPr>
            </w:pPr>
            <w:r w:rsidRPr="00822B6F">
              <w:rPr>
                <w:sz w:val="20"/>
                <w:szCs w:val="20"/>
              </w:rPr>
              <w:t xml:space="preserve">Measure Cost </w:t>
            </w:r>
          </w:p>
        </w:tc>
        <w:tc>
          <w:tcPr>
            <w:tcW w:w="8128" w:type="dxa"/>
          </w:tcPr>
          <w:p w:rsidR="00A61271" w:rsidRPr="00476F40" w:rsidRDefault="00BD4AFD">
            <w:pPr>
              <w:tabs>
                <w:tab w:val="right" w:pos="6732"/>
              </w:tabs>
              <w:rPr>
                <w:rFonts w:cs="Arial"/>
                <w:sz w:val="20"/>
                <w:szCs w:val="20"/>
              </w:rPr>
            </w:pPr>
            <w:r>
              <w:rPr>
                <w:rFonts w:cs="Arial"/>
                <w:sz w:val="20"/>
                <w:szCs w:val="20"/>
              </w:rPr>
              <w:t>See ex ante tables</w:t>
            </w:r>
            <w:r w:rsidR="00A61271">
              <w:rPr>
                <w:rFonts w:cs="Arial"/>
                <w:sz w:val="20"/>
                <w:szCs w:val="20"/>
              </w:rPr>
              <w:tab/>
            </w: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8F7" w:rsidRDefault="00A578F7" w:rsidP="00FE520B">
      <w:r>
        <w:separator/>
      </w:r>
    </w:p>
  </w:endnote>
  <w:endnote w:type="continuationSeparator" w:id="0">
    <w:p w:rsidR="00A578F7" w:rsidRDefault="00A578F7"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E00" w:rsidRPr="00241A1F" w:rsidRDefault="00B57F32" w:rsidP="00241A1F">
    <w:pPr>
      <w:pStyle w:val="Footer"/>
      <w:rPr>
        <w:rFonts w:cstheme="minorHAnsi"/>
        <w:b/>
        <w:szCs w:val="22"/>
      </w:rPr>
    </w:pPr>
    <w:r>
      <w:rPr>
        <w:b/>
      </w:rPr>
      <w:t xml:space="preserve">Workpaper </w:t>
    </w:r>
    <w:r w:rsidR="00AE4353">
      <w:rPr>
        <w:b/>
      </w:rPr>
      <w:t>WPSDGENRLG0028</w:t>
    </w:r>
    <w:r>
      <w:rPr>
        <w:b/>
      </w:rPr>
      <w:t xml:space="preserve">, Revision </w:t>
    </w:r>
    <w:r w:rsidR="00AE4353">
      <w:rPr>
        <w:b/>
      </w:rPr>
      <w:t>1</w:t>
    </w:r>
    <w:r w:rsidR="00E372B8">
      <w:rPr>
        <w:b/>
      </w:rPr>
      <w:tab/>
    </w:r>
    <w:r w:rsidR="00E372B8">
      <w:rPr>
        <w:b/>
      </w:rPr>
      <w:tab/>
    </w:r>
    <w:r w:rsidR="008C01F7">
      <w:rPr>
        <w:rFonts w:cstheme="minorHAnsi"/>
        <w:b/>
        <w:szCs w:val="22"/>
      </w:rPr>
      <w:t>October 12</w:t>
    </w:r>
    <w:r w:rsidR="00AE4353">
      <w:rPr>
        <w:rFonts w:cstheme="minorHAnsi"/>
        <w:b/>
        <w:szCs w:val="22"/>
      </w:rPr>
      <w:t>, 2017</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EC34A0">
      <w:rPr>
        <w:b/>
        <w:noProof/>
      </w:rPr>
      <w:t>8</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8F7" w:rsidRDefault="00A578F7" w:rsidP="00FE520B">
      <w:r>
        <w:separator/>
      </w:r>
    </w:p>
  </w:footnote>
  <w:footnote w:type="continuationSeparator" w:id="0">
    <w:p w:rsidR="00A578F7" w:rsidRDefault="00A578F7"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8BA" w:rsidRDefault="009618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6"/>
  </w:num>
  <w:num w:numId="5">
    <w:abstractNumId w:val="11"/>
  </w:num>
  <w:num w:numId="6">
    <w:abstractNumId w:val="4"/>
  </w:num>
  <w:num w:numId="7">
    <w:abstractNumId w:val="16"/>
  </w:num>
  <w:num w:numId="8">
    <w:abstractNumId w:val="13"/>
  </w:num>
  <w:num w:numId="9">
    <w:abstractNumId w:val="5"/>
  </w:num>
  <w:num w:numId="10">
    <w:abstractNumId w:val="14"/>
  </w:num>
  <w:num w:numId="11">
    <w:abstractNumId w:val="15"/>
  </w:num>
  <w:num w:numId="12">
    <w:abstractNumId w:val="9"/>
  </w:num>
  <w:num w:numId="13">
    <w:abstractNumId w:val="17"/>
  </w:num>
  <w:num w:numId="14">
    <w:abstractNumId w:val="8"/>
  </w:num>
  <w:num w:numId="15">
    <w:abstractNumId w:val="10"/>
  </w:num>
  <w:num w:numId="16">
    <w:abstractNumId w:val="12"/>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23C32"/>
    <w:rsid w:val="00031221"/>
    <w:rsid w:val="00031BA0"/>
    <w:rsid w:val="00052743"/>
    <w:rsid w:val="00052CE4"/>
    <w:rsid w:val="00067315"/>
    <w:rsid w:val="00067AF1"/>
    <w:rsid w:val="000719BF"/>
    <w:rsid w:val="000B6542"/>
    <w:rsid w:val="000C13AE"/>
    <w:rsid w:val="000C441A"/>
    <w:rsid w:val="000D243C"/>
    <w:rsid w:val="000E19CA"/>
    <w:rsid w:val="000E2CA6"/>
    <w:rsid w:val="000F6BA3"/>
    <w:rsid w:val="000F72EF"/>
    <w:rsid w:val="001046CB"/>
    <w:rsid w:val="00121B4E"/>
    <w:rsid w:val="0012271D"/>
    <w:rsid w:val="00131C78"/>
    <w:rsid w:val="00143843"/>
    <w:rsid w:val="001505DA"/>
    <w:rsid w:val="0016189C"/>
    <w:rsid w:val="001752E5"/>
    <w:rsid w:val="00183A2F"/>
    <w:rsid w:val="00194466"/>
    <w:rsid w:val="001979FF"/>
    <w:rsid w:val="001A11C1"/>
    <w:rsid w:val="001A4875"/>
    <w:rsid w:val="001B1C8A"/>
    <w:rsid w:val="001B5D6C"/>
    <w:rsid w:val="001C3663"/>
    <w:rsid w:val="001D0AB9"/>
    <w:rsid w:val="001D57D7"/>
    <w:rsid w:val="001D6A64"/>
    <w:rsid w:val="00200310"/>
    <w:rsid w:val="00201A3F"/>
    <w:rsid w:val="00215828"/>
    <w:rsid w:val="00231DE1"/>
    <w:rsid w:val="00241A1F"/>
    <w:rsid w:val="00244447"/>
    <w:rsid w:val="00291B2B"/>
    <w:rsid w:val="002C1030"/>
    <w:rsid w:val="002C15E6"/>
    <w:rsid w:val="002D0BD6"/>
    <w:rsid w:val="002D7B3E"/>
    <w:rsid w:val="002E0948"/>
    <w:rsid w:val="002E24BE"/>
    <w:rsid w:val="00323C28"/>
    <w:rsid w:val="0032761E"/>
    <w:rsid w:val="00360CFA"/>
    <w:rsid w:val="003A0D2B"/>
    <w:rsid w:val="003A4277"/>
    <w:rsid w:val="003A7B4E"/>
    <w:rsid w:val="003B5DCF"/>
    <w:rsid w:val="003C2EE4"/>
    <w:rsid w:val="003D1C21"/>
    <w:rsid w:val="003E0DC8"/>
    <w:rsid w:val="003E122A"/>
    <w:rsid w:val="003E6E57"/>
    <w:rsid w:val="003E6FA5"/>
    <w:rsid w:val="003F1F0D"/>
    <w:rsid w:val="00402B3D"/>
    <w:rsid w:val="00413EF4"/>
    <w:rsid w:val="00431763"/>
    <w:rsid w:val="004402EE"/>
    <w:rsid w:val="0044686E"/>
    <w:rsid w:val="004519B4"/>
    <w:rsid w:val="00467DB3"/>
    <w:rsid w:val="00492365"/>
    <w:rsid w:val="004A6215"/>
    <w:rsid w:val="004D0326"/>
    <w:rsid w:val="004D5D19"/>
    <w:rsid w:val="004E13B2"/>
    <w:rsid w:val="00513723"/>
    <w:rsid w:val="005428E1"/>
    <w:rsid w:val="00543687"/>
    <w:rsid w:val="00555671"/>
    <w:rsid w:val="005613FC"/>
    <w:rsid w:val="00567FEF"/>
    <w:rsid w:val="00580664"/>
    <w:rsid w:val="0059117D"/>
    <w:rsid w:val="00591D85"/>
    <w:rsid w:val="0059663B"/>
    <w:rsid w:val="005B5614"/>
    <w:rsid w:val="005C1518"/>
    <w:rsid w:val="005D5D5A"/>
    <w:rsid w:val="005E18A1"/>
    <w:rsid w:val="00636490"/>
    <w:rsid w:val="00650C31"/>
    <w:rsid w:val="00650F0D"/>
    <w:rsid w:val="00653C4B"/>
    <w:rsid w:val="00666CDA"/>
    <w:rsid w:val="00682E19"/>
    <w:rsid w:val="00684ABA"/>
    <w:rsid w:val="00686789"/>
    <w:rsid w:val="006875B3"/>
    <w:rsid w:val="00695478"/>
    <w:rsid w:val="006A3E63"/>
    <w:rsid w:val="006B0D5C"/>
    <w:rsid w:val="006D03F9"/>
    <w:rsid w:val="006D2B70"/>
    <w:rsid w:val="00707736"/>
    <w:rsid w:val="00711B58"/>
    <w:rsid w:val="00727839"/>
    <w:rsid w:val="00762D81"/>
    <w:rsid w:val="00785AC8"/>
    <w:rsid w:val="00786E32"/>
    <w:rsid w:val="00787D7C"/>
    <w:rsid w:val="00792928"/>
    <w:rsid w:val="00797B54"/>
    <w:rsid w:val="007B18FE"/>
    <w:rsid w:val="007D1A21"/>
    <w:rsid w:val="007D1F1E"/>
    <w:rsid w:val="007D3A21"/>
    <w:rsid w:val="007D4F8E"/>
    <w:rsid w:val="007D6FF1"/>
    <w:rsid w:val="007E7E00"/>
    <w:rsid w:val="008137B0"/>
    <w:rsid w:val="0081521B"/>
    <w:rsid w:val="00856FA4"/>
    <w:rsid w:val="00862113"/>
    <w:rsid w:val="008724D6"/>
    <w:rsid w:val="008775D7"/>
    <w:rsid w:val="00884B9C"/>
    <w:rsid w:val="00895D80"/>
    <w:rsid w:val="008A1557"/>
    <w:rsid w:val="008A1D1C"/>
    <w:rsid w:val="008A4224"/>
    <w:rsid w:val="008B5184"/>
    <w:rsid w:val="008C01F7"/>
    <w:rsid w:val="008C2C8A"/>
    <w:rsid w:val="008D0B3C"/>
    <w:rsid w:val="008E0850"/>
    <w:rsid w:val="008E5CD5"/>
    <w:rsid w:val="0090016E"/>
    <w:rsid w:val="00910D54"/>
    <w:rsid w:val="0093657B"/>
    <w:rsid w:val="0094267E"/>
    <w:rsid w:val="00950249"/>
    <w:rsid w:val="00957C01"/>
    <w:rsid w:val="009618BA"/>
    <w:rsid w:val="00986A83"/>
    <w:rsid w:val="009C3F2D"/>
    <w:rsid w:val="009C6AE8"/>
    <w:rsid w:val="009E1662"/>
    <w:rsid w:val="009F3770"/>
    <w:rsid w:val="00A051D9"/>
    <w:rsid w:val="00A21710"/>
    <w:rsid w:val="00A3401B"/>
    <w:rsid w:val="00A578F7"/>
    <w:rsid w:val="00A61271"/>
    <w:rsid w:val="00A75EDC"/>
    <w:rsid w:val="00A90F14"/>
    <w:rsid w:val="00A9441E"/>
    <w:rsid w:val="00AA43C4"/>
    <w:rsid w:val="00AD74B2"/>
    <w:rsid w:val="00AE4353"/>
    <w:rsid w:val="00B16652"/>
    <w:rsid w:val="00B471CC"/>
    <w:rsid w:val="00B47B58"/>
    <w:rsid w:val="00B57F32"/>
    <w:rsid w:val="00B61FCD"/>
    <w:rsid w:val="00B75260"/>
    <w:rsid w:val="00B9234D"/>
    <w:rsid w:val="00B9551F"/>
    <w:rsid w:val="00BB2D80"/>
    <w:rsid w:val="00BC6454"/>
    <w:rsid w:val="00BD4AFD"/>
    <w:rsid w:val="00BD5433"/>
    <w:rsid w:val="00C048F4"/>
    <w:rsid w:val="00C05E32"/>
    <w:rsid w:val="00C06B9E"/>
    <w:rsid w:val="00C131CB"/>
    <w:rsid w:val="00C15F66"/>
    <w:rsid w:val="00C228B0"/>
    <w:rsid w:val="00C23CAB"/>
    <w:rsid w:val="00C414A6"/>
    <w:rsid w:val="00C44E5A"/>
    <w:rsid w:val="00C462C1"/>
    <w:rsid w:val="00C52867"/>
    <w:rsid w:val="00C54AC6"/>
    <w:rsid w:val="00C62A00"/>
    <w:rsid w:val="00C7215A"/>
    <w:rsid w:val="00C75814"/>
    <w:rsid w:val="00CA48A0"/>
    <w:rsid w:val="00CB10BC"/>
    <w:rsid w:val="00CF295D"/>
    <w:rsid w:val="00CF2ABA"/>
    <w:rsid w:val="00D60240"/>
    <w:rsid w:val="00D645DB"/>
    <w:rsid w:val="00D73600"/>
    <w:rsid w:val="00D73723"/>
    <w:rsid w:val="00DA5D17"/>
    <w:rsid w:val="00DB544A"/>
    <w:rsid w:val="00DB71F1"/>
    <w:rsid w:val="00DC42DE"/>
    <w:rsid w:val="00DC7243"/>
    <w:rsid w:val="00DE1C5D"/>
    <w:rsid w:val="00DE364E"/>
    <w:rsid w:val="00E048EA"/>
    <w:rsid w:val="00E05871"/>
    <w:rsid w:val="00E05B9C"/>
    <w:rsid w:val="00E159C8"/>
    <w:rsid w:val="00E165FC"/>
    <w:rsid w:val="00E33C12"/>
    <w:rsid w:val="00E372B8"/>
    <w:rsid w:val="00E408A9"/>
    <w:rsid w:val="00E56CE7"/>
    <w:rsid w:val="00E6385A"/>
    <w:rsid w:val="00E6631C"/>
    <w:rsid w:val="00E733C7"/>
    <w:rsid w:val="00E76853"/>
    <w:rsid w:val="00E84938"/>
    <w:rsid w:val="00E859F0"/>
    <w:rsid w:val="00EC34A0"/>
    <w:rsid w:val="00EC38B0"/>
    <w:rsid w:val="00ED3B34"/>
    <w:rsid w:val="00ED65C0"/>
    <w:rsid w:val="00EE38DA"/>
    <w:rsid w:val="00EE6CFE"/>
    <w:rsid w:val="00F117C6"/>
    <w:rsid w:val="00F22251"/>
    <w:rsid w:val="00F3167F"/>
    <w:rsid w:val="00F4328B"/>
    <w:rsid w:val="00F77C08"/>
    <w:rsid w:val="00F855DD"/>
    <w:rsid w:val="00F915C5"/>
    <w:rsid w:val="00FA3359"/>
    <w:rsid w:val="00FB4B16"/>
    <w:rsid w:val="00FC1793"/>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7769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5DB"/>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uiPriority w:val="99"/>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image" Target="media/image3.wmf"/><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57F5BC-F327-4837-B759-3DDDBD150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1964</Words>
  <Characters>11200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2017-10-13T00:09:00Z</dcterms:created>
  <dcterms:modified xsi:type="dcterms:W3CDTF">2017-10-13T00:11:00Z</dcterms:modified>
</cp:coreProperties>
</file>