
<file path=[Content_Types].xml><?xml version="1.0" encoding="utf-8"?>
<Types xmlns="http://schemas.openxmlformats.org/package/2006/content-types">
  <Default Extension="bin" ContentType="application/vnd.openxmlformats-officedocument.oleObject"/>
  <Default Extension="xlsm" ContentType="application/vnd.ms-excel.sheet.macroEnabled.12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139D" w:rsidRDefault="006D139D" w:rsidP="006D139D">
      <w:pPr>
        <w:jc w:val="right"/>
        <w:rPr>
          <w:rFonts w:asciiTheme="minorHAnsi" w:hAnsiTheme="minorHAnsi" w:cstheme="minorHAnsi"/>
          <w:b/>
          <w:sz w:val="48"/>
          <w:szCs w:val="48"/>
        </w:rPr>
      </w:pPr>
      <w:bookmarkStart w:id="0" w:name="_Toc153189647"/>
      <w:bookmarkStart w:id="1" w:name="_Toc214003082"/>
      <w:r>
        <w:rPr>
          <w:rFonts w:asciiTheme="minorHAnsi" w:hAnsiTheme="minorHAnsi" w:cstheme="minorHAnsi"/>
          <w:b/>
          <w:sz w:val="48"/>
          <w:szCs w:val="48"/>
        </w:rPr>
        <w:t xml:space="preserve">Work Paper </w:t>
      </w:r>
      <w:r w:rsidR="00F20FE8">
        <w:rPr>
          <w:rFonts w:asciiTheme="minorHAnsi" w:hAnsiTheme="minorHAnsi" w:cstheme="minorHAnsi"/>
          <w:b/>
          <w:sz w:val="48"/>
          <w:szCs w:val="48"/>
        </w:rPr>
        <w:t>WPSDGENRLG0025</w:t>
      </w:r>
    </w:p>
    <w:p w:rsidR="00DA690B" w:rsidRPr="00EB34FC" w:rsidRDefault="00DA690B" w:rsidP="006D139D">
      <w:pPr>
        <w:jc w:val="right"/>
        <w:rPr>
          <w:rFonts w:asciiTheme="minorHAnsi" w:hAnsiTheme="minorHAnsi" w:cstheme="minorHAnsi"/>
          <w:b/>
          <w:sz w:val="48"/>
          <w:szCs w:val="48"/>
        </w:rPr>
      </w:pPr>
      <w:r w:rsidRPr="00EB34FC">
        <w:rPr>
          <w:rFonts w:asciiTheme="minorHAnsi" w:hAnsiTheme="minorHAnsi" w:cstheme="minorHAnsi"/>
          <w:b/>
          <w:sz w:val="48"/>
          <w:szCs w:val="48"/>
        </w:rPr>
        <w:t>Revision</w:t>
      </w:r>
      <w:bookmarkEnd w:id="0"/>
      <w:r w:rsidRPr="00EB34FC">
        <w:rPr>
          <w:rFonts w:asciiTheme="minorHAnsi" w:hAnsiTheme="minorHAnsi" w:cstheme="minorHAnsi"/>
          <w:b/>
          <w:sz w:val="48"/>
          <w:szCs w:val="48"/>
        </w:rPr>
        <w:t xml:space="preserve"> </w:t>
      </w:r>
      <w:r w:rsidR="00E82854">
        <w:rPr>
          <w:rFonts w:asciiTheme="minorHAnsi" w:hAnsiTheme="minorHAnsi" w:cstheme="minorHAnsi"/>
          <w:b/>
          <w:sz w:val="48"/>
          <w:szCs w:val="48"/>
        </w:rPr>
        <w:t>0</w:t>
      </w:r>
    </w:p>
    <w:p w:rsidR="00DA690B" w:rsidRPr="00EB34FC" w:rsidRDefault="00DA690B" w:rsidP="00DA690B">
      <w:pPr>
        <w:rPr>
          <w:rFonts w:asciiTheme="minorHAnsi" w:hAnsiTheme="minorHAnsi" w:cstheme="minorHAnsi"/>
        </w:rPr>
      </w:pPr>
    </w:p>
    <w:p w:rsidR="00DA690B" w:rsidRPr="00EB34FC" w:rsidRDefault="00DA690B" w:rsidP="00DA690B">
      <w:pPr>
        <w:rPr>
          <w:rFonts w:asciiTheme="minorHAnsi" w:hAnsiTheme="minorHAnsi" w:cstheme="minorHAnsi"/>
        </w:rPr>
      </w:pPr>
    </w:p>
    <w:p w:rsidR="00DA690B" w:rsidRPr="00EB34FC" w:rsidRDefault="00DA690B" w:rsidP="00DA690B">
      <w:pPr>
        <w:rPr>
          <w:rFonts w:asciiTheme="minorHAnsi" w:hAnsiTheme="minorHAnsi" w:cstheme="minorHAnsi"/>
        </w:rPr>
      </w:pPr>
    </w:p>
    <w:p w:rsidR="00DA690B" w:rsidRPr="00EB34FC" w:rsidRDefault="00DA690B" w:rsidP="00DA690B">
      <w:pPr>
        <w:rPr>
          <w:rFonts w:asciiTheme="minorHAnsi" w:hAnsiTheme="minorHAnsi" w:cstheme="minorHAnsi"/>
        </w:rPr>
      </w:pPr>
    </w:p>
    <w:p w:rsidR="00DA690B" w:rsidRPr="00EB34FC" w:rsidRDefault="00F20FE8" w:rsidP="00DA690B">
      <w:pPr>
        <w:pBdr>
          <w:bottom w:val="single" w:sz="4" w:space="1" w:color="auto"/>
        </w:pBdr>
        <w:rPr>
          <w:rFonts w:asciiTheme="minorHAnsi" w:hAnsiTheme="minorHAnsi" w:cstheme="minorHAnsi"/>
          <w:b/>
          <w:sz w:val="36"/>
          <w:szCs w:val="36"/>
        </w:rPr>
      </w:pPr>
      <w:r>
        <w:rPr>
          <w:rFonts w:asciiTheme="minorHAnsi" w:hAnsiTheme="minorHAnsi" w:cstheme="minorHAnsi"/>
          <w:b/>
          <w:sz w:val="36"/>
          <w:szCs w:val="36"/>
        </w:rPr>
        <w:t>San Diego Gas &amp; Electric</w:t>
      </w:r>
    </w:p>
    <w:p w:rsidR="00DA690B" w:rsidRPr="00EB34FC" w:rsidRDefault="00F20FE8" w:rsidP="00DA690B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Energy Efficiency Engineering</w:t>
      </w:r>
    </w:p>
    <w:p w:rsidR="00DA690B" w:rsidRPr="00EB34FC" w:rsidRDefault="00DA690B" w:rsidP="00DA690B">
      <w:pPr>
        <w:rPr>
          <w:rFonts w:asciiTheme="minorHAnsi" w:hAnsiTheme="minorHAnsi" w:cstheme="minorHAnsi"/>
        </w:rPr>
      </w:pPr>
    </w:p>
    <w:p w:rsidR="00DA690B" w:rsidRPr="00EB34FC" w:rsidRDefault="00DA690B" w:rsidP="00DA690B">
      <w:pPr>
        <w:rPr>
          <w:rFonts w:asciiTheme="minorHAnsi" w:hAnsiTheme="minorHAnsi" w:cstheme="minorHAnsi"/>
        </w:rPr>
      </w:pPr>
    </w:p>
    <w:p w:rsidR="00DA690B" w:rsidRPr="00EB34FC" w:rsidRDefault="00DA690B" w:rsidP="00DA690B">
      <w:pPr>
        <w:rPr>
          <w:rFonts w:asciiTheme="minorHAnsi" w:hAnsiTheme="minorHAnsi" w:cstheme="minorHAnsi"/>
        </w:rPr>
      </w:pPr>
    </w:p>
    <w:p w:rsidR="00DA690B" w:rsidRPr="00EB34FC" w:rsidRDefault="00DA690B" w:rsidP="00DA690B">
      <w:pPr>
        <w:rPr>
          <w:rFonts w:asciiTheme="minorHAnsi" w:hAnsiTheme="minorHAnsi" w:cstheme="minorHAnsi"/>
        </w:rPr>
      </w:pPr>
    </w:p>
    <w:p w:rsidR="00DA690B" w:rsidRPr="00EB34FC" w:rsidRDefault="00DA690B" w:rsidP="00DA690B">
      <w:pPr>
        <w:rPr>
          <w:rFonts w:asciiTheme="minorHAnsi" w:hAnsiTheme="minorHAnsi" w:cstheme="minorHAnsi"/>
        </w:rPr>
      </w:pPr>
    </w:p>
    <w:p w:rsidR="00DA690B" w:rsidRPr="00EB34FC" w:rsidRDefault="00DA690B" w:rsidP="00DA690B">
      <w:pPr>
        <w:rPr>
          <w:rFonts w:asciiTheme="minorHAnsi" w:hAnsiTheme="minorHAnsi" w:cstheme="minorHAnsi"/>
        </w:rPr>
      </w:pPr>
    </w:p>
    <w:p w:rsidR="00DA690B" w:rsidRPr="00EB34FC" w:rsidRDefault="00DA690B" w:rsidP="00DA690B">
      <w:pPr>
        <w:rPr>
          <w:rFonts w:asciiTheme="minorHAnsi" w:hAnsiTheme="minorHAnsi" w:cstheme="minorHAnsi"/>
        </w:rPr>
      </w:pPr>
    </w:p>
    <w:p w:rsidR="00DA690B" w:rsidRPr="00EB34FC" w:rsidRDefault="00635043" w:rsidP="00DA690B">
      <w:pPr>
        <w:rPr>
          <w:rFonts w:asciiTheme="minorHAnsi" w:hAnsiTheme="minorHAnsi" w:cstheme="minorHAnsi"/>
          <w:b/>
          <w:sz w:val="72"/>
          <w:szCs w:val="72"/>
        </w:rPr>
      </w:pPr>
      <w:r>
        <w:rPr>
          <w:rFonts w:asciiTheme="minorHAnsi" w:hAnsiTheme="minorHAnsi" w:cstheme="minorHAnsi"/>
          <w:b/>
          <w:sz w:val="72"/>
          <w:szCs w:val="72"/>
        </w:rPr>
        <w:t xml:space="preserve">Linear Fluorescent </w:t>
      </w:r>
      <w:r w:rsidR="00E82854">
        <w:rPr>
          <w:rFonts w:asciiTheme="minorHAnsi" w:hAnsiTheme="minorHAnsi" w:cstheme="minorHAnsi"/>
          <w:b/>
          <w:sz w:val="72"/>
          <w:szCs w:val="72"/>
        </w:rPr>
        <w:t>Dimming Ballasts</w:t>
      </w:r>
    </w:p>
    <w:p w:rsidR="00EB34FC" w:rsidRPr="00EB34FC" w:rsidRDefault="00EB34FC" w:rsidP="00EB34FC"/>
    <w:p w:rsidR="00EB34FC" w:rsidRDefault="00EB34FC" w:rsidP="00DA690B">
      <w:pPr>
        <w:rPr>
          <w:rFonts w:asciiTheme="minorHAnsi" w:hAnsiTheme="minorHAnsi" w:cstheme="minorHAnsi"/>
        </w:rPr>
        <w:sectPr w:rsidR="00EB34FC">
          <w:footerReference w:type="default" r:id="rId9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EB34FC" w:rsidRPr="005734A4" w:rsidRDefault="00EB34FC" w:rsidP="00EB34FC">
      <w:pPr>
        <w:pStyle w:val="Heading3"/>
        <w:ind w:left="-630"/>
        <w:rPr>
          <w:rFonts w:asciiTheme="minorHAnsi" w:hAnsiTheme="minorHAnsi" w:cstheme="minorHAnsi"/>
        </w:rPr>
      </w:pPr>
      <w:r w:rsidRPr="005734A4">
        <w:rPr>
          <w:rFonts w:asciiTheme="minorHAnsi" w:hAnsiTheme="minorHAnsi" w:cstheme="minorHAnsi"/>
        </w:rPr>
        <w:lastRenderedPageBreak/>
        <w:t>Core Measure Summary Table</w:t>
      </w:r>
    </w:p>
    <w:tbl>
      <w:tblPr>
        <w:tblW w:w="22500" w:type="dxa"/>
        <w:tblInd w:w="-522" w:type="dxa"/>
        <w:tblLayout w:type="fixed"/>
        <w:tblLook w:val="04A0" w:firstRow="1" w:lastRow="0" w:firstColumn="1" w:lastColumn="0" w:noHBand="0" w:noVBand="1"/>
      </w:tblPr>
      <w:tblGrid>
        <w:gridCol w:w="2790"/>
        <w:gridCol w:w="2520"/>
        <w:gridCol w:w="1170"/>
        <w:gridCol w:w="720"/>
        <w:gridCol w:w="2520"/>
        <w:gridCol w:w="1620"/>
        <w:gridCol w:w="540"/>
        <w:gridCol w:w="990"/>
        <w:gridCol w:w="900"/>
        <w:gridCol w:w="810"/>
        <w:gridCol w:w="990"/>
        <w:gridCol w:w="990"/>
        <w:gridCol w:w="810"/>
        <w:gridCol w:w="720"/>
        <w:gridCol w:w="990"/>
        <w:gridCol w:w="990"/>
        <w:gridCol w:w="810"/>
        <w:gridCol w:w="720"/>
        <w:gridCol w:w="900"/>
      </w:tblGrid>
      <w:tr w:rsidR="006404E6" w:rsidRPr="002F3943" w:rsidTr="00447CE5">
        <w:trPr>
          <w:trHeight w:val="540"/>
        </w:trPr>
        <w:tc>
          <w:tcPr>
            <w:tcW w:w="12870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BFBFBF" w:themeFill="background1" w:themeFillShade="BF"/>
            <w:noWrap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28"/>
                <w:szCs w:val="28"/>
              </w:rPr>
            </w:pPr>
            <w:r w:rsidRPr="002F3943">
              <w:rPr>
                <w:rFonts w:ascii="Calibri" w:hAnsi="Calibri" w:cs="Calibri"/>
                <w:sz w:val="28"/>
                <w:szCs w:val="28"/>
              </w:rPr>
              <w:t>General Measure Information</w:t>
            </w:r>
          </w:p>
        </w:tc>
        <w:tc>
          <w:tcPr>
            <w:tcW w:w="1710" w:type="dxa"/>
            <w:gridSpan w:val="2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BFBFBF" w:themeFill="background1" w:themeFillShade="BF"/>
            <w:noWrap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28"/>
                <w:szCs w:val="28"/>
              </w:rPr>
            </w:pPr>
            <w:r w:rsidRPr="002F3943">
              <w:rPr>
                <w:rFonts w:ascii="Calibri" w:hAnsi="Calibri" w:cs="Calibri"/>
                <w:sz w:val="28"/>
                <w:szCs w:val="28"/>
              </w:rPr>
              <w:t>PT</w:t>
            </w:r>
          </w:p>
        </w:tc>
        <w:tc>
          <w:tcPr>
            <w:tcW w:w="3510" w:type="dxa"/>
            <w:gridSpan w:val="4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000000"/>
            </w:tcBorders>
            <w:shd w:val="clear" w:color="000000" w:fill="BFBFBF" w:themeFill="background1" w:themeFillShade="BF"/>
            <w:noWrap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28"/>
                <w:szCs w:val="28"/>
              </w:rPr>
            </w:pPr>
            <w:r w:rsidRPr="002F3943">
              <w:rPr>
                <w:rFonts w:ascii="Calibri" w:hAnsi="Calibri" w:cs="Calibri"/>
                <w:sz w:val="28"/>
                <w:szCs w:val="28"/>
              </w:rPr>
              <w:t>1st Baseline Period</w:t>
            </w:r>
          </w:p>
        </w:tc>
        <w:tc>
          <w:tcPr>
            <w:tcW w:w="3510" w:type="dxa"/>
            <w:gridSpan w:val="4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000000" w:fill="BFBFBF" w:themeFill="background1" w:themeFillShade="BF"/>
            <w:noWrap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28"/>
                <w:szCs w:val="28"/>
              </w:rPr>
            </w:pPr>
            <w:r w:rsidRPr="002F3943">
              <w:rPr>
                <w:rFonts w:ascii="Calibri" w:hAnsi="Calibri" w:cs="Calibri"/>
                <w:sz w:val="28"/>
                <w:szCs w:val="28"/>
              </w:rPr>
              <w:t>2nd Baseline Period</w:t>
            </w:r>
          </w:p>
        </w:tc>
        <w:tc>
          <w:tcPr>
            <w:tcW w:w="9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BFBFBF" w:themeFill="background1" w:themeFillShade="BF"/>
            <w:noWrap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28"/>
                <w:szCs w:val="28"/>
              </w:rPr>
            </w:pPr>
            <w:r w:rsidRPr="002F3943">
              <w:rPr>
                <w:rFonts w:ascii="Calibri" w:hAnsi="Calibri" w:cs="Calibri"/>
                <w:sz w:val="28"/>
                <w:szCs w:val="28"/>
              </w:rPr>
              <w:t>TOU</w:t>
            </w:r>
          </w:p>
        </w:tc>
      </w:tr>
      <w:tr w:rsidR="006404E6" w:rsidRPr="002F3943" w:rsidTr="002E30B0">
        <w:trPr>
          <w:trHeight w:val="1290"/>
        </w:trPr>
        <w:tc>
          <w:tcPr>
            <w:tcW w:w="279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 w:rsidRPr="002F3943">
              <w:rPr>
                <w:rFonts w:ascii="Calibri" w:hAnsi="Calibri" w:cs="Calibri"/>
                <w:sz w:val="14"/>
                <w:szCs w:val="14"/>
              </w:rPr>
              <w:t>Measure Name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 w:rsidRPr="002F3943">
              <w:rPr>
                <w:rFonts w:ascii="Calibri" w:hAnsi="Calibri" w:cs="Calibri"/>
                <w:sz w:val="14"/>
                <w:szCs w:val="14"/>
              </w:rPr>
              <w:t>Measure RunID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 w:rsidRPr="002F3943">
              <w:rPr>
                <w:rFonts w:ascii="Calibri" w:hAnsi="Calibri" w:cs="Calibri"/>
                <w:sz w:val="14"/>
                <w:szCs w:val="14"/>
              </w:rPr>
              <w:t>Solution Code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 w:rsidRPr="002F3943">
              <w:rPr>
                <w:rFonts w:ascii="Calibri" w:hAnsi="Calibri" w:cs="Calibri"/>
                <w:sz w:val="14"/>
                <w:szCs w:val="14"/>
              </w:rPr>
              <w:t>CZ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 w:rsidRPr="002F3943">
              <w:rPr>
                <w:rFonts w:ascii="Calibri" w:hAnsi="Calibri" w:cs="Calibri"/>
                <w:sz w:val="14"/>
                <w:szCs w:val="14"/>
              </w:rPr>
              <w:t>Building Type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 w:rsidRPr="002F3943">
              <w:rPr>
                <w:rFonts w:ascii="Calibri" w:hAnsi="Calibri" w:cs="Calibri"/>
                <w:sz w:val="14"/>
                <w:szCs w:val="14"/>
              </w:rPr>
              <w:t>Load Shape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 w:rsidRPr="002F3943">
              <w:rPr>
                <w:rFonts w:ascii="Calibri" w:hAnsi="Calibri" w:cs="Calibri"/>
                <w:sz w:val="14"/>
                <w:szCs w:val="14"/>
              </w:rPr>
              <w:t>EUL</w:t>
            </w:r>
          </w:p>
        </w:tc>
        <w:tc>
          <w:tcPr>
            <w:tcW w:w="99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0C0C0"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 w:rsidRPr="002F3943">
              <w:rPr>
                <w:rFonts w:ascii="Calibri" w:hAnsi="Calibri" w:cs="Calibri"/>
                <w:sz w:val="14"/>
                <w:szCs w:val="14"/>
              </w:rPr>
              <w:t>Unit Definition</w:t>
            </w:r>
          </w:p>
        </w:tc>
        <w:tc>
          <w:tcPr>
            <w:tcW w:w="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 w:rsidRPr="002F3943">
              <w:rPr>
                <w:rFonts w:ascii="Calibri" w:hAnsi="Calibri" w:cs="Calibri"/>
                <w:sz w:val="14"/>
                <w:szCs w:val="14"/>
              </w:rPr>
              <w:t>Program Type (NEW, ROB, RET)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 w:themeFill="background1" w:themeFillShade="BF"/>
            <w:vAlign w:val="center"/>
          </w:tcPr>
          <w:p w:rsidR="006404E6" w:rsidRPr="002F3943" w:rsidRDefault="006404E6" w:rsidP="006404E6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>
              <w:rPr>
                <w:rFonts w:ascii="Calibri" w:hAnsi="Calibri" w:cs="Calibri"/>
                <w:sz w:val="14"/>
                <w:szCs w:val="14"/>
              </w:rPr>
              <w:t>Applicable Code</w:t>
            </w:r>
          </w:p>
        </w:tc>
        <w:tc>
          <w:tcPr>
            <w:tcW w:w="99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 w:rsidRPr="002F3943">
              <w:rPr>
                <w:rFonts w:ascii="Calibri" w:hAnsi="Calibri" w:cs="Calibri"/>
                <w:sz w:val="14"/>
                <w:szCs w:val="14"/>
              </w:rPr>
              <w:t>Gross Unit Annual Electricity Savings (kWh/unit)</w:t>
            </w:r>
          </w:p>
        </w:tc>
        <w:tc>
          <w:tcPr>
            <w:tcW w:w="99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 w:rsidRPr="002F3943">
              <w:rPr>
                <w:rFonts w:ascii="Calibri" w:hAnsi="Calibri" w:cs="Calibri"/>
                <w:sz w:val="14"/>
                <w:szCs w:val="14"/>
              </w:rPr>
              <w:t>User Entered kW Savings per unit (kW/unit)</w:t>
            </w:r>
          </w:p>
        </w:tc>
        <w:tc>
          <w:tcPr>
            <w:tcW w:w="81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 w:rsidRPr="002F3943">
              <w:rPr>
                <w:rFonts w:ascii="Calibri" w:hAnsi="Calibri" w:cs="Calibri"/>
                <w:sz w:val="14"/>
                <w:szCs w:val="14"/>
              </w:rPr>
              <w:t>Gas      Savings   (Therms)</w:t>
            </w: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8E4BC"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 w:rsidRPr="002F3943">
              <w:rPr>
                <w:rFonts w:ascii="Calibri" w:hAnsi="Calibri" w:cs="Calibri"/>
                <w:sz w:val="14"/>
                <w:szCs w:val="14"/>
              </w:rPr>
              <w:t>1st Baseline Useful Life</w:t>
            </w:r>
          </w:p>
        </w:tc>
        <w:tc>
          <w:tcPr>
            <w:tcW w:w="99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:rsidR="006404E6" w:rsidRPr="002F3943" w:rsidRDefault="006404E6" w:rsidP="007048AC">
            <w:pPr>
              <w:jc w:val="center"/>
              <w:rPr>
                <w:rFonts w:asciiTheme="minorHAnsi" w:hAnsiTheme="minorHAnsi" w:cstheme="minorHAnsi"/>
                <w:sz w:val="14"/>
                <w:szCs w:val="14"/>
              </w:rPr>
            </w:pPr>
            <w:r w:rsidRPr="002F3943">
              <w:rPr>
                <w:rFonts w:asciiTheme="minorHAnsi" w:hAnsiTheme="minorHAnsi" w:cstheme="minorHAnsi"/>
                <w:sz w:val="14"/>
                <w:szCs w:val="14"/>
              </w:rPr>
              <w:t>kWh Saving per unit (kWh/unit)</w:t>
            </w:r>
          </w:p>
        </w:tc>
        <w:tc>
          <w:tcPr>
            <w:tcW w:w="99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:rsidR="006404E6" w:rsidRPr="002F3943" w:rsidRDefault="006404E6" w:rsidP="007048AC">
            <w:pPr>
              <w:jc w:val="center"/>
              <w:rPr>
                <w:rFonts w:asciiTheme="minorHAnsi" w:hAnsiTheme="minorHAnsi" w:cstheme="minorHAnsi"/>
                <w:sz w:val="14"/>
                <w:szCs w:val="14"/>
              </w:rPr>
            </w:pPr>
            <w:r w:rsidRPr="002F3943">
              <w:rPr>
                <w:rFonts w:asciiTheme="minorHAnsi" w:hAnsiTheme="minorHAnsi" w:cstheme="minorHAnsi"/>
                <w:sz w:val="14"/>
                <w:szCs w:val="14"/>
              </w:rPr>
              <w:t>kW Savings per unit (kW/unit)</w:t>
            </w:r>
          </w:p>
        </w:tc>
        <w:tc>
          <w:tcPr>
            <w:tcW w:w="81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:rsidR="006404E6" w:rsidRPr="002F3943" w:rsidRDefault="006404E6" w:rsidP="007048AC">
            <w:pPr>
              <w:jc w:val="center"/>
              <w:rPr>
                <w:rFonts w:asciiTheme="minorHAnsi" w:hAnsiTheme="minorHAnsi" w:cstheme="minorHAnsi"/>
                <w:sz w:val="14"/>
                <w:szCs w:val="14"/>
              </w:rPr>
            </w:pPr>
            <w:r w:rsidRPr="002F3943">
              <w:rPr>
                <w:rFonts w:asciiTheme="minorHAnsi" w:hAnsiTheme="minorHAnsi" w:cstheme="minorHAnsi"/>
                <w:sz w:val="14"/>
                <w:szCs w:val="14"/>
              </w:rPr>
              <w:t>Gas Savings   (Therms)</w:t>
            </w: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:rsidR="006404E6" w:rsidRPr="002F3943" w:rsidRDefault="006404E6" w:rsidP="007048AC">
            <w:pPr>
              <w:jc w:val="center"/>
              <w:rPr>
                <w:rFonts w:asciiTheme="minorHAnsi" w:hAnsiTheme="minorHAnsi" w:cstheme="minorHAnsi"/>
                <w:sz w:val="14"/>
                <w:szCs w:val="14"/>
              </w:rPr>
            </w:pPr>
            <w:r w:rsidRPr="002F3943">
              <w:rPr>
                <w:rFonts w:asciiTheme="minorHAnsi" w:hAnsiTheme="minorHAnsi" w:cstheme="minorHAnsi"/>
                <w:sz w:val="14"/>
                <w:szCs w:val="14"/>
              </w:rPr>
              <w:t>2nd Baseline Useful Life</w:t>
            </w:r>
          </w:p>
        </w:tc>
        <w:tc>
          <w:tcPr>
            <w:tcW w:w="9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0C0C0"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 w:rsidRPr="002F3943">
              <w:rPr>
                <w:rFonts w:ascii="Calibri" w:hAnsi="Calibri" w:cs="Calibri"/>
                <w:sz w:val="14"/>
                <w:szCs w:val="14"/>
              </w:rPr>
              <w:t>% TOU</w:t>
            </w:r>
          </w:p>
        </w:tc>
      </w:tr>
      <w:tr w:rsidR="00AA0C22" w:rsidRPr="002F3943" w:rsidTr="00573438">
        <w:trPr>
          <w:trHeight w:val="286"/>
        </w:trPr>
        <w:tc>
          <w:tcPr>
            <w:tcW w:w="279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Dimming Ballasts – 20% Tuning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To be exported by MMDB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06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Education - Primary School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DayLt &amp; Controls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8.0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Ballast</w:t>
            </w:r>
          </w:p>
        </w:tc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RET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No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29.52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0.00020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-0.094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2.7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29.52</w:t>
            </w:r>
          </w:p>
        </w:tc>
        <w:tc>
          <w:tcPr>
            <w:tcW w:w="99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0.00020</w:t>
            </w:r>
          </w:p>
        </w:tc>
        <w:tc>
          <w:tcPr>
            <w:tcW w:w="8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-0.094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5.3</w:t>
            </w:r>
          </w:p>
        </w:tc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0.00</w:t>
            </w:r>
          </w:p>
        </w:tc>
      </w:tr>
      <w:tr w:rsidR="00AA0C22" w:rsidRPr="002F3943" w:rsidTr="002E30B0">
        <w:trPr>
          <w:trHeight w:val="255"/>
        </w:trPr>
        <w:tc>
          <w:tcPr>
            <w:tcW w:w="279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Dimming Ballasts – 20% Tuning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To be exported by MMDB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08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Education - Primary School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DayLt &amp; Controls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8.0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Ballast</w:t>
            </w:r>
          </w:p>
        </w:tc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RET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No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29.82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0.00805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-0.085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2.7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29.82</w:t>
            </w:r>
          </w:p>
        </w:tc>
        <w:tc>
          <w:tcPr>
            <w:tcW w:w="99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0.00805</w:t>
            </w:r>
          </w:p>
        </w:tc>
        <w:tc>
          <w:tcPr>
            <w:tcW w:w="8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-0.085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5.3</w:t>
            </w:r>
          </w:p>
        </w:tc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0.00</w:t>
            </w:r>
          </w:p>
        </w:tc>
      </w:tr>
      <w:tr w:rsidR="00AA0C22" w:rsidRPr="002F3943" w:rsidTr="002E30B0">
        <w:trPr>
          <w:trHeight w:val="255"/>
        </w:trPr>
        <w:tc>
          <w:tcPr>
            <w:tcW w:w="279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Dimming Ballasts – 20% Tuning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To be exported by MMDB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09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Education - Primary School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DayLt &amp; Controls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8.0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Ballast</w:t>
            </w:r>
          </w:p>
        </w:tc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RET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No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29.88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0.00020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-0.083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2.7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29.88</w:t>
            </w:r>
          </w:p>
        </w:tc>
        <w:tc>
          <w:tcPr>
            <w:tcW w:w="99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0.00020</w:t>
            </w:r>
          </w:p>
        </w:tc>
        <w:tc>
          <w:tcPr>
            <w:tcW w:w="8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-0.083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5.3</w:t>
            </w:r>
          </w:p>
        </w:tc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0.00</w:t>
            </w:r>
          </w:p>
        </w:tc>
      </w:tr>
      <w:tr w:rsidR="00AA0C22" w:rsidRPr="002F3943" w:rsidTr="002E30B0">
        <w:trPr>
          <w:trHeight w:val="255"/>
        </w:trPr>
        <w:tc>
          <w:tcPr>
            <w:tcW w:w="279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Dimming Ballasts – 20% Tuning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To be exported by MMDB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10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Education - Primary School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DayLt &amp; Controls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8.0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Ballast</w:t>
            </w:r>
          </w:p>
        </w:tc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RET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No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28.75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0.00020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-0.103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2.7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28.75</w:t>
            </w:r>
          </w:p>
        </w:tc>
        <w:tc>
          <w:tcPr>
            <w:tcW w:w="99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0.00020</w:t>
            </w:r>
          </w:p>
        </w:tc>
        <w:tc>
          <w:tcPr>
            <w:tcW w:w="8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-0.103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5.3</w:t>
            </w:r>
          </w:p>
        </w:tc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0.00</w:t>
            </w:r>
          </w:p>
        </w:tc>
      </w:tr>
      <w:tr w:rsidR="00AA0C22" w:rsidRPr="002F3943" w:rsidTr="00573438">
        <w:trPr>
          <w:trHeight w:val="255"/>
        </w:trPr>
        <w:tc>
          <w:tcPr>
            <w:tcW w:w="279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Dimming Ballasts – 20% Tuning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To be exported by MMDB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13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Education - Primary School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DayLt &amp; Controls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8.0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Ballast</w:t>
            </w:r>
          </w:p>
        </w:tc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RET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No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28.38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0.00020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-0.167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2.7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28.38</w:t>
            </w:r>
          </w:p>
        </w:tc>
        <w:tc>
          <w:tcPr>
            <w:tcW w:w="99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0.00020</w:t>
            </w:r>
          </w:p>
        </w:tc>
        <w:tc>
          <w:tcPr>
            <w:tcW w:w="8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-0.167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5.3</w:t>
            </w:r>
          </w:p>
        </w:tc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0.00</w:t>
            </w:r>
          </w:p>
        </w:tc>
      </w:tr>
      <w:tr w:rsidR="00AA0C22" w:rsidRPr="002F3943" w:rsidTr="00573438">
        <w:trPr>
          <w:trHeight w:val="255"/>
        </w:trPr>
        <w:tc>
          <w:tcPr>
            <w:tcW w:w="279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Dimming Ballasts – 20% Tuning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To be exported by MMDB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14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Education - Primary School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DayLt &amp; Controls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8.0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Ballast</w:t>
            </w:r>
          </w:p>
        </w:tc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RET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No</w:t>
            </w:r>
          </w:p>
        </w:tc>
        <w:tc>
          <w:tcPr>
            <w:tcW w:w="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27.52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0.00020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-0.207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2.7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27.52</w:t>
            </w:r>
          </w:p>
        </w:tc>
        <w:tc>
          <w:tcPr>
            <w:tcW w:w="99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0.00020</w:t>
            </w:r>
          </w:p>
        </w:tc>
        <w:tc>
          <w:tcPr>
            <w:tcW w:w="81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-0.207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5.3</w:t>
            </w:r>
          </w:p>
        </w:tc>
        <w:tc>
          <w:tcPr>
            <w:tcW w:w="9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0.00</w:t>
            </w:r>
          </w:p>
        </w:tc>
      </w:tr>
      <w:tr w:rsidR="00AA0C22" w:rsidRPr="002F3943" w:rsidTr="00573438">
        <w:trPr>
          <w:trHeight w:val="255"/>
        </w:trPr>
        <w:tc>
          <w:tcPr>
            <w:tcW w:w="279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Dimming Ballasts – 20% Tuning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To be exported by MMDB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15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Education - Primary School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DayLt &amp; Controls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8.0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Ballast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RET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No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30.46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0.00020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-0.036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2.7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30.46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0.00020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-0.036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5.3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0.00</w:t>
            </w:r>
          </w:p>
        </w:tc>
      </w:tr>
      <w:tr w:rsidR="00AA0C22" w:rsidRPr="002F3943" w:rsidTr="00573438">
        <w:trPr>
          <w:trHeight w:val="255"/>
        </w:trPr>
        <w:tc>
          <w:tcPr>
            <w:tcW w:w="279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Dimming Ballasts – 20% Tuning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To be exported by MMDB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16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Education - Primary School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DayLt &amp; Controls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8.0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Ballast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RET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A0C22" w:rsidRDefault="00AA0C22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No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24.42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0.00020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-0.447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2.7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24.42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0.00020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-0.447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5.3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AA0C22" w:rsidRDefault="00AA0C22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0.00</w:t>
            </w:r>
          </w:p>
        </w:tc>
      </w:tr>
    </w:tbl>
    <w:p w:rsidR="00EB34FC" w:rsidRPr="005734A4" w:rsidRDefault="00EB34FC" w:rsidP="00EB34FC">
      <w:pPr>
        <w:pStyle w:val="Reminder"/>
        <w:ind w:left="-630"/>
        <w:rPr>
          <w:rFonts w:asciiTheme="minorHAnsi" w:hAnsiTheme="minorHAnsi" w:cstheme="minorHAnsi"/>
          <w:color w:val="auto"/>
        </w:rPr>
      </w:pPr>
      <w:r w:rsidRPr="005734A4">
        <w:rPr>
          <w:rFonts w:asciiTheme="minorHAnsi" w:hAnsiTheme="minorHAnsi" w:cstheme="minorHAnsi"/>
          <w:color w:val="auto"/>
        </w:rPr>
        <w:t>Note:</w:t>
      </w:r>
      <w:r w:rsidRPr="005734A4">
        <w:rPr>
          <w:rFonts w:asciiTheme="minorHAnsi" w:hAnsiTheme="minorHAnsi" w:cstheme="minorHAnsi"/>
          <w:b/>
          <w:color w:val="auto"/>
        </w:rPr>
        <w:t xml:space="preserve"> For the comp</w:t>
      </w:r>
      <w:r w:rsidR="00FD6B8B">
        <w:rPr>
          <w:rFonts w:asciiTheme="minorHAnsi" w:hAnsiTheme="minorHAnsi" w:cstheme="minorHAnsi"/>
          <w:b/>
          <w:color w:val="auto"/>
        </w:rPr>
        <w:t>lete list of Measures, refer to Attachment 5 “Dimmable Ballast Worksheet.xlsx” for San Diego Climate zones</w:t>
      </w:r>
      <w:r w:rsidR="008A5FDD">
        <w:rPr>
          <w:rFonts w:asciiTheme="minorHAnsi" w:hAnsiTheme="minorHAnsi" w:cstheme="minorHAnsi"/>
          <w:b/>
          <w:color w:val="auto"/>
        </w:rPr>
        <w:t xml:space="preserve"> and </w:t>
      </w:r>
      <w:r w:rsidR="008A5FDD">
        <w:rPr>
          <w:rFonts w:asciiTheme="minorHAnsi" w:hAnsiTheme="minorHAnsi" w:cstheme="minorHAnsi"/>
          <w:b/>
          <w:color w:val="auto"/>
        </w:rPr>
        <w:t xml:space="preserve">SDGE Workpaper WPSDGENRLG0999 </w:t>
      </w:r>
      <w:proofErr w:type="spellStart"/>
      <w:r w:rsidR="008A5FDD">
        <w:rPr>
          <w:rFonts w:asciiTheme="minorHAnsi" w:hAnsiTheme="minorHAnsi" w:cstheme="minorHAnsi"/>
          <w:b/>
          <w:color w:val="auto"/>
        </w:rPr>
        <w:t>NonRes</w:t>
      </w:r>
      <w:proofErr w:type="spellEnd"/>
      <w:r w:rsidR="008A5FDD">
        <w:rPr>
          <w:rFonts w:asciiTheme="minorHAnsi" w:hAnsiTheme="minorHAnsi" w:cstheme="minorHAnsi"/>
          <w:b/>
          <w:color w:val="auto"/>
        </w:rPr>
        <w:t xml:space="preserve"> Master Lighting Lookup Table</w:t>
      </w:r>
    </w:p>
    <w:p w:rsidR="00EB34FC" w:rsidRPr="005734A4" w:rsidRDefault="00EB34FC" w:rsidP="00EB34FC">
      <w:pPr>
        <w:pStyle w:val="Heading3"/>
        <w:ind w:left="-630"/>
        <w:rPr>
          <w:rFonts w:asciiTheme="minorHAnsi" w:hAnsiTheme="minorHAnsi" w:cstheme="minorHAnsi"/>
        </w:rPr>
      </w:pPr>
      <w:bookmarkStart w:id="2" w:name="_GoBack"/>
      <w:bookmarkEnd w:id="2"/>
      <w:r w:rsidRPr="005734A4">
        <w:rPr>
          <w:rFonts w:asciiTheme="minorHAnsi" w:hAnsiTheme="minorHAnsi" w:cstheme="minorHAnsi"/>
        </w:rPr>
        <w:br w:type="page"/>
      </w:r>
      <w:r w:rsidRPr="005734A4">
        <w:rPr>
          <w:rFonts w:asciiTheme="minorHAnsi" w:hAnsiTheme="minorHAnsi" w:cstheme="minorHAnsi"/>
        </w:rPr>
        <w:lastRenderedPageBreak/>
        <w:t>Costing and NTG Summary Table</w:t>
      </w:r>
    </w:p>
    <w:tbl>
      <w:tblPr>
        <w:tblW w:w="21556" w:type="dxa"/>
        <w:tblInd w:w="-522" w:type="dxa"/>
        <w:tblLook w:val="04A0" w:firstRow="1" w:lastRow="0" w:firstColumn="1" w:lastColumn="0" w:noHBand="0" w:noVBand="1"/>
      </w:tblPr>
      <w:tblGrid>
        <w:gridCol w:w="4320"/>
        <w:gridCol w:w="1260"/>
        <w:gridCol w:w="900"/>
        <w:gridCol w:w="900"/>
        <w:gridCol w:w="900"/>
        <w:gridCol w:w="900"/>
        <w:gridCol w:w="900"/>
        <w:gridCol w:w="900"/>
        <w:gridCol w:w="900"/>
        <w:gridCol w:w="946"/>
        <w:gridCol w:w="1260"/>
        <w:gridCol w:w="1530"/>
        <w:gridCol w:w="1080"/>
        <w:gridCol w:w="4860"/>
      </w:tblGrid>
      <w:tr w:rsidR="006404E6" w:rsidRPr="002F3943" w:rsidTr="00447CE5">
        <w:trPr>
          <w:trHeight w:val="690"/>
        </w:trPr>
        <w:tc>
          <w:tcPr>
            <w:tcW w:w="7380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BFBFBF" w:themeFill="background1" w:themeFillShade="BF"/>
            <w:noWrap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28"/>
                <w:szCs w:val="28"/>
              </w:rPr>
            </w:pPr>
            <w:r w:rsidRPr="002F3943">
              <w:rPr>
                <w:rFonts w:ascii="Calibri" w:hAnsi="Calibri" w:cs="Calibri"/>
                <w:sz w:val="28"/>
                <w:szCs w:val="28"/>
              </w:rPr>
              <w:t>General Measure Information</w:t>
            </w:r>
          </w:p>
        </w:tc>
        <w:tc>
          <w:tcPr>
            <w:tcW w:w="18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BFBFBF" w:themeFill="background1" w:themeFillShade="BF"/>
            <w:noWrap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28"/>
                <w:szCs w:val="28"/>
              </w:rPr>
            </w:pPr>
            <w:r w:rsidRPr="002F3943">
              <w:rPr>
                <w:rFonts w:ascii="Calibri" w:hAnsi="Calibri" w:cs="Calibri"/>
                <w:sz w:val="28"/>
                <w:szCs w:val="28"/>
              </w:rPr>
              <w:t>PT</w:t>
            </w:r>
          </w:p>
        </w:tc>
        <w:tc>
          <w:tcPr>
            <w:tcW w:w="2700" w:type="dxa"/>
            <w:gridSpan w:val="3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BFBFBF" w:themeFill="background1" w:themeFillShade="BF"/>
            <w:noWrap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28"/>
                <w:szCs w:val="28"/>
              </w:rPr>
            </w:pPr>
            <w:r w:rsidRPr="002F3943">
              <w:rPr>
                <w:rFonts w:ascii="Calibri" w:hAnsi="Calibri" w:cs="Calibri"/>
                <w:sz w:val="28"/>
                <w:szCs w:val="28"/>
              </w:rPr>
              <w:t>NTG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 w:themeFill="background1" w:themeFillShade="BF"/>
            <w:vAlign w:val="center"/>
          </w:tcPr>
          <w:p w:rsidR="006404E6" w:rsidRPr="002F3943" w:rsidRDefault="006404E6" w:rsidP="0088603B">
            <w:pPr>
              <w:jc w:val="center"/>
              <w:rPr>
                <w:rFonts w:ascii="Calibri" w:hAnsi="Calibri" w:cs="Calibri"/>
                <w:sz w:val="28"/>
                <w:szCs w:val="28"/>
              </w:rPr>
            </w:pPr>
            <w:r>
              <w:rPr>
                <w:rFonts w:ascii="Calibri" w:hAnsi="Calibri" w:cs="Calibri"/>
                <w:sz w:val="28"/>
                <w:szCs w:val="28"/>
              </w:rPr>
              <w:t>IR</w:t>
            </w:r>
          </w:p>
        </w:tc>
        <w:tc>
          <w:tcPr>
            <w:tcW w:w="126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000000" w:fill="BFBFBF" w:themeFill="background1" w:themeFillShade="BF"/>
            <w:noWrap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28"/>
                <w:szCs w:val="28"/>
              </w:rPr>
            </w:pPr>
            <w:r w:rsidRPr="002F3943">
              <w:rPr>
                <w:rFonts w:ascii="Calibri" w:hAnsi="Calibri" w:cs="Calibri"/>
                <w:sz w:val="28"/>
                <w:szCs w:val="28"/>
              </w:rPr>
              <w:t>1st Baseline Period</w:t>
            </w:r>
          </w:p>
        </w:tc>
        <w:tc>
          <w:tcPr>
            <w:tcW w:w="15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 w:themeFill="background1" w:themeFillShade="BF"/>
            <w:noWrap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28"/>
                <w:szCs w:val="28"/>
              </w:rPr>
            </w:pPr>
            <w:r w:rsidRPr="002F3943">
              <w:rPr>
                <w:rFonts w:ascii="Calibri" w:hAnsi="Calibri" w:cs="Calibri"/>
                <w:sz w:val="28"/>
                <w:szCs w:val="28"/>
              </w:rPr>
              <w:t xml:space="preserve"> 2nd Baseline Period 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 w:themeFill="background1" w:themeFillShade="BF"/>
            <w:noWrap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28"/>
                <w:szCs w:val="28"/>
              </w:rPr>
            </w:pPr>
            <w:r w:rsidRPr="002F3943">
              <w:rPr>
                <w:rFonts w:ascii="Calibri" w:hAnsi="Calibri" w:cs="Calibri"/>
                <w:sz w:val="28"/>
                <w:szCs w:val="28"/>
              </w:rPr>
              <w:t xml:space="preserve"> IMC </w:t>
            </w:r>
          </w:p>
        </w:tc>
        <w:tc>
          <w:tcPr>
            <w:tcW w:w="48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 w:themeFill="background1" w:themeFillShade="BF"/>
            <w:noWrap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28"/>
                <w:szCs w:val="28"/>
              </w:rPr>
            </w:pPr>
            <w:r w:rsidRPr="002F3943">
              <w:rPr>
                <w:rFonts w:ascii="Calibri" w:hAnsi="Calibri" w:cs="Calibri"/>
                <w:sz w:val="28"/>
                <w:szCs w:val="28"/>
              </w:rPr>
              <w:t>DIM</w:t>
            </w:r>
          </w:p>
        </w:tc>
      </w:tr>
      <w:tr w:rsidR="006404E6" w:rsidRPr="007048AC" w:rsidTr="006404E6">
        <w:trPr>
          <w:trHeight w:val="690"/>
        </w:trPr>
        <w:tc>
          <w:tcPr>
            <w:tcW w:w="43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 w:rsidRPr="002F3943">
              <w:rPr>
                <w:rFonts w:ascii="Calibri" w:hAnsi="Calibri" w:cs="Calibri"/>
                <w:sz w:val="14"/>
                <w:szCs w:val="14"/>
              </w:rPr>
              <w:t>Measure Name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 w:rsidRPr="002F3943">
              <w:rPr>
                <w:rFonts w:ascii="Calibri" w:hAnsi="Calibri" w:cs="Calibri"/>
                <w:sz w:val="14"/>
                <w:szCs w:val="14"/>
              </w:rPr>
              <w:t>Solution Code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 w:rsidRPr="002F3943">
              <w:rPr>
                <w:rFonts w:ascii="Calibri" w:hAnsi="Calibri" w:cs="Calibri"/>
                <w:sz w:val="14"/>
                <w:szCs w:val="14"/>
              </w:rPr>
              <w:t>CZ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0C0C0"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 w:rsidRPr="002F3943">
              <w:rPr>
                <w:rFonts w:ascii="Calibri" w:hAnsi="Calibri" w:cs="Calibri"/>
                <w:sz w:val="14"/>
                <w:szCs w:val="14"/>
              </w:rPr>
              <w:t>Unit Definition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 w:rsidRPr="002F3943">
              <w:rPr>
                <w:rFonts w:ascii="Calibri" w:hAnsi="Calibri" w:cs="Calibri"/>
                <w:sz w:val="14"/>
                <w:szCs w:val="14"/>
              </w:rPr>
              <w:t>Program Type (NEW, ROB, RET)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</w:tcPr>
          <w:p w:rsidR="006404E6" w:rsidRDefault="006404E6" w:rsidP="002F3943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</w:p>
          <w:p w:rsidR="006404E6" w:rsidRPr="006404E6" w:rsidRDefault="006404E6" w:rsidP="006404E6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>
              <w:rPr>
                <w:rFonts w:ascii="Calibri" w:hAnsi="Calibri" w:cs="Calibri"/>
                <w:sz w:val="14"/>
                <w:szCs w:val="14"/>
              </w:rPr>
              <w:t>Applicable Code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 w:rsidRPr="002F3943">
              <w:rPr>
                <w:rFonts w:ascii="Calibri" w:hAnsi="Calibri" w:cs="Calibri"/>
                <w:sz w:val="14"/>
                <w:szCs w:val="14"/>
              </w:rPr>
              <w:t>NTG Non-Res.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 w:rsidRPr="002F3943">
              <w:rPr>
                <w:rFonts w:ascii="Calibri" w:hAnsi="Calibri" w:cs="Calibri"/>
                <w:sz w:val="14"/>
                <w:szCs w:val="14"/>
              </w:rPr>
              <w:t>NTG Res.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 w:rsidRPr="002F3943">
              <w:rPr>
                <w:rFonts w:ascii="Calibri" w:hAnsi="Calibri" w:cs="Calibri"/>
                <w:sz w:val="14"/>
                <w:szCs w:val="14"/>
              </w:rPr>
              <w:t>NTG Multi Family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 w:themeFill="background1" w:themeFillShade="BF"/>
            <w:vAlign w:val="center"/>
          </w:tcPr>
          <w:p w:rsidR="006404E6" w:rsidRPr="002F3943" w:rsidRDefault="006404E6" w:rsidP="0088603B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 w:rsidRPr="002F3943">
              <w:rPr>
                <w:rFonts w:ascii="Calibri" w:hAnsi="Calibri" w:cs="Calibri"/>
                <w:sz w:val="14"/>
                <w:szCs w:val="14"/>
              </w:rPr>
              <w:t>NTG Non-Res.</w:t>
            </w: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000000" w:fill="C4D79B"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 w:rsidRPr="002F3943">
              <w:rPr>
                <w:rFonts w:ascii="Calibri" w:hAnsi="Calibri" w:cs="Calibri"/>
                <w:sz w:val="14"/>
                <w:szCs w:val="14"/>
              </w:rPr>
              <w:t>Gross Measure Cost per unit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 w:rsidRPr="002F3943">
              <w:rPr>
                <w:rFonts w:ascii="Calibri" w:hAnsi="Calibri" w:cs="Calibri"/>
                <w:sz w:val="14"/>
                <w:szCs w:val="14"/>
              </w:rPr>
              <w:t>Gross Measure Cost per unit</w:t>
            </w:r>
          </w:p>
        </w:tc>
        <w:tc>
          <w:tcPr>
            <w:tcW w:w="108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C0C0C0"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 w:rsidRPr="002F3943">
              <w:rPr>
                <w:rFonts w:ascii="Calibri" w:hAnsi="Calibri" w:cs="Calibri"/>
                <w:sz w:val="14"/>
                <w:szCs w:val="14"/>
              </w:rPr>
              <w:t>Incremental Measure Cost per unit</w:t>
            </w:r>
          </w:p>
        </w:tc>
        <w:tc>
          <w:tcPr>
            <w:tcW w:w="48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0C0C0"/>
            <w:vAlign w:val="center"/>
            <w:hideMark/>
          </w:tcPr>
          <w:p w:rsidR="006404E6" w:rsidRPr="002F3943" w:rsidRDefault="006404E6" w:rsidP="002F3943">
            <w:pPr>
              <w:jc w:val="center"/>
              <w:rPr>
                <w:rFonts w:ascii="Calibri" w:hAnsi="Calibri" w:cs="Calibri"/>
                <w:sz w:val="14"/>
                <w:szCs w:val="14"/>
              </w:rPr>
            </w:pPr>
            <w:r w:rsidRPr="002F3943">
              <w:rPr>
                <w:rFonts w:ascii="Calibri" w:hAnsi="Calibri" w:cs="Calibri"/>
                <w:sz w:val="14"/>
                <w:szCs w:val="14"/>
              </w:rPr>
              <w:t>Delivery &amp; Incentive Method</w:t>
            </w:r>
          </w:p>
        </w:tc>
      </w:tr>
      <w:tr w:rsidR="00577A3B" w:rsidRPr="002F3943" w:rsidTr="00E8483E">
        <w:trPr>
          <w:trHeight w:val="255"/>
        </w:trPr>
        <w:tc>
          <w:tcPr>
            <w:tcW w:w="43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Dimming Ballasts – 20% Tuning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Ballast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RET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No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77A3B" w:rsidRDefault="00577A3B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0.60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N/A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N/A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77A3B" w:rsidRDefault="00577A3B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0.950</w:t>
            </w: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$61.02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$41.77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$41.77 </w:t>
            </w:r>
          </w:p>
        </w:tc>
        <w:tc>
          <w:tcPr>
            <w:tcW w:w="48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Financial Support / Down-Stream Incentive - Deemed</w:t>
            </w:r>
          </w:p>
        </w:tc>
      </w:tr>
      <w:tr w:rsidR="00577A3B" w:rsidRPr="002F3943" w:rsidTr="00E8483E">
        <w:trPr>
          <w:trHeight w:val="255"/>
        </w:trPr>
        <w:tc>
          <w:tcPr>
            <w:tcW w:w="43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Dimming Ballasts – 20% Tuning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Ballast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RET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No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77A3B" w:rsidRDefault="00577A3B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0.60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N/A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N/A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77A3B" w:rsidRDefault="00577A3B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0.950</w:t>
            </w: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$65.65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$44.94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$44.94 </w:t>
            </w:r>
          </w:p>
        </w:tc>
        <w:tc>
          <w:tcPr>
            <w:tcW w:w="48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Financial Support / Down-Stream Incentive - Deemed</w:t>
            </w:r>
          </w:p>
        </w:tc>
      </w:tr>
      <w:tr w:rsidR="00577A3B" w:rsidRPr="002F3943" w:rsidTr="00E8483E">
        <w:trPr>
          <w:trHeight w:val="255"/>
        </w:trPr>
        <w:tc>
          <w:tcPr>
            <w:tcW w:w="43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Dimming Ballasts – 20% Tuning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Ballast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RET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No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77A3B" w:rsidRDefault="00577A3B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0.60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N/A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N/A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77A3B" w:rsidRDefault="00577A3B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0.950</w:t>
            </w: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$67.54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$46.23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$46.23 </w:t>
            </w:r>
          </w:p>
        </w:tc>
        <w:tc>
          <w:tcPr>
            <w:tcW w:w="48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Financial Support / Down-Stream Incentive - Deemed</w:t>
            </w:r>
          </w:p>
        </w:tc>
      </w:tr>
      <w:tr w:rsidR="00577A3B" w:rsidRPr="002F3943" w:rsidTr="00D82C12">
        <w:trPr>
          <w:trHeight w:val="255"/>
        </w:trPr>
        <w:tc>
          <w:tcPr>
            <w:tcW w:w="43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Dimming Ballasts – 20% Tuning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10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Ballast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RET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No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77A3B" w:rsidRDefault="00577A3B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0.60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N/A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N/A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77A3B" w:rsidRDefault="00577A3B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0.950</w:t>
            </w: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$63.41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$43.40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$43.40 </w:t>
            </w:r>
          </w:p>
        </w:tc>
        <w:tc>
          <w:tcPr>
            <w:tcW w:w="48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Financial Support / Down-Stream Incentive - Deemed</w:t>
            </w:r>
          </w:p>
        </w:tc>
      </w:tr>
      <w:tr w:rsidR="00577A3B" w:rsidRPr="002F3943" w:rsidTr="00D82C12">
        <w:trPr>
          <w:trHeight w:val="255"/>
        </w:trPr>
        <w:tc>
          <w:tcPr>
            <w:tcW w:w="43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Dimming Ballasts – 20% Tuning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13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Ballast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RET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No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77A3B" w:rsidRDefault="00577A3B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0.60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N/A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N/A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77A3B" w:rsidRDefault="00577A3B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0.950</w:t>
            </w: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$62.71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$42.92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$42.92 </w:t>
            </w:r>
          </w:p>
        </w:tc>
        <w:tc>
          <w:tcPr>
            <w:tcW w:w="48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Financial Support / Down-Stream Incentive - Deemed</w:t>
            </w:r>
          </w:p>
        </w:tc>
      </w:tr>
      <w:tr w:rsidR="00577A3B" w:rsidRPr="002F3943" w:rsidTr="00D82C12">
        <w:trPr>
          <w:trHeight w:val="255"/>
        </w:trPr>
        <w:tc>
          <w:tcPr>
            <w:tcW w:w="43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Dimming Ballasts – 20% Tuning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14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Ballast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RET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No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77A3B" w:rsidRDefault="00577A3B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0.60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N/A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N/A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77A3B" w:rsidRDefault="00577A3B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0.950</w:t>
            </w: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$61.65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$42.20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$42.20 </w:t>
            </w:r>
          </w:p>
        </w:tc>
        <w:tc>
          <w:tcPr>
            <w:tcW w:w="48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Financial Support / Down-Stream Incentive - Deemed</w:t>
            </w:r>
          </w:p>
        </w:tc>
      </w:tr>
      <w:tr w:rsidR="00577A3B" w:rsidRPr="002F3943" w:rsidTr="00D82C12">
        <w:trPr>
          <w:trHeight w:val="255"/>
        </w:trPr>
        <w:tc>
          <w:tcPr>
            <w:tcW w:w="43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Dimming Ballasts – 20% Tuning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15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Ballast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RET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No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77A3B" w:rsidRDefault="00577A3B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0.60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N/A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N/A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77A3B" w:rsidRDefault="00577A3B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0.950</w:t>
            </w:r>
          </w:p>
        </w:tc>
        <w:tc>
          <w:tcPr>
            <w:tcW w:w="126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$65.65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$44.94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$44.94 </w:t>
            </w:r>
          </w:p>
        </w:tc>
        <w:tc>
          <w:tcPr>
            <w:tcW w:w="48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Financial Support / Down-Stream Incentive - Deemed</w:t>
            </w:r>
          </w:p>
        </w:tc>
      </w:tr>
      <w:tr w:rsidR="00577A3B" w:rsidRPr="002F3943" w:rsidTr="00D82C12">
        <w:trPr>
          <w:trHeight w:val="255"/>
        </w:trPr>
        <w:tc>
          <w:tcPr>
            <w:tcW w:w="432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Dimming Ballasts – 20% Tuning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16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Ballast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RET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No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77A3B" w:rsidRDefault="00577A3B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0.60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N/A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N/A</w:t>
            </w:r>
          </w:p>
        </w:tc>
        <w:tc>
          <w:tcPr>
            <w:tcW w:w="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77A3B" w:rsidRDefault="00577A3B">
            <w:pPr>
              <w:jc w:val="righ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0.950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$69.23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$47.39 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577A3B" w:rsidRDefault="00577A3B">
            <w:pPr>
              <w:jc w:val="right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 xml:space="preserve">$47.39 </w:t>
            </w:r>
          </w:p>
        </w:tc>
        <w:tc>
          <w:tcPr>
            <w:tcW w:w="486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577A3B" w:rsidRDefault="00577A3B">
            <w:pPr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Financial Support / Down-Stream Incentive - Deemed</w:t>
            </w:r>
          </w:p>
        </w:tc>
      </w:tr>
    </w:tbl>
    <w:p w:rsidR="00EB34FC" w:rsidRPr="005734A4" w:rsidRDefault="00EB34FC" w:rsidP="00EB34FC">
      <w:pPr>
        <w:pStyle w:val="Reminder"/>
        <w:ind w:left="-630"/>
        <w:rPr>
          <w:rFonts w:asciiTheme="minorHAnsi" w:hAnsiTheme="minorHAnsi" w:cstheme="minorHAnsi"/>
          <w:color w:val="auto"/>
        </w:rPr>
      </w:pPr>
      <w:r w:rsidRPr="005734A4">
        <w:rPr>
          <w:rFonts w:asciiTheme="minorHAnsi" w:hAnsiTheme="minorHAnsi" w:cstheme="minorHAnsi"/>
          <w:color w:val="auto"/>
        </w:rPr>
        <w:t>Note:</w:t>
      </w:r>
      <w:r w:rsidRPr="005734A4">
        <w:rPr>
          <w:rFonts w:asciiTheme="minorHAnsi" w:hAnsiTheme="minorHAnsi" w:cstheme="minorHAnsi"/>
          <w:b/>
          <w:color w:val="auto"/>
        </w:rPr>
        <w:t xml:space="preserve"> For the complete list of Measures, refer to the attached calculation spreadsheet</w:t>
      </w:r>
      <w:r w:rsidR="008A5FDD">
        <w:rPr>
          <w:rFonts w:asciiTheme="minorHAnsi" w:hAnsiTheme="minorHAnsi" w:cstheme="minorHAnsi"/>
          <w:b/>
          <w:color w:val="auto"/>
        </w:rPr>
        <w:t xml:space="preserve"> and SDGE Workpaper WPSDGENRLG0999 </w:t>
      </w:r>
      <w:proofErr w:type="spellStart"/>
      <w:r w:rsidR="008A5FDD">
        <w:rPr>
          <w:rFonts w:asciiTheme="minorHAnsi" w:hAnsiTheme="minorHAnsi" w:cstheme="minorHAnsi"/>
          <w:b/>
          <w:color w:val="auto"/>
        </w:rPr>
        <w:t>NonRes</w:t>
      </w:r>
      <w:proofErr w:type="spellEnd"/>
      <w:r w:rsidR="008A5FDD">
        <w:rPr>
          <w:rFonts w:asciiTheme="minorHAnsi" w:hAnsiTheme="minorHAnsi" w:cstheme="minorHAnsi"/>
          <w:b/>
          <w:color w:val="auto"/>
        </w:rPr>
        <w:t xml:space="preserve"> Master Lighting Lookup Table</w:t>
      </w:r>
    </w:p>
    <w:p w:rsidR="00EB34FC" w:rsidRPr="005734A4" w:rsidRDefault="00EB34FC" w:rsidP="00EB34FC">
      <w:pPr>
        <w:ind w:left="-630"/>
        <w:rPr>
          <w:rFonts w:asciiTheme="minorHAnsi" w:hAnsiTheme="minorHAnsi" w:cstheme="minorHAnsi"/>
        </w:rPr>
      </w:pPr>
    </w:p>
    <w:p w:rsidR="00EB34FC" w:rsidRPr="005734A4" w:rsidRDefault="00EB34FC" w:rsidP="00EB34FC">
      <w:pPr>
        <w:ind w:left="-630"/>
        <w:rPr>
          <w:rFonts w:asciiTheme="minorHAnsi" w:hAnsiTheme="minorHAnsi" w:cstheme="minorHAnsi"/>
        </w:rPr>
        <w:sectPr w:rsidR="00EB34FC" w:rsidRPr="005734A4" w:rsidSect="009500DC">
          <w:footerReference w:type="default" r:id="rId10"/>
          <w:pgSz w:w="24480" w:h="15840" w:orient="landscape" w:code="3"/>
          <w:pgMar w:top="1440" w:right="1440" w:bottom="1440" w:left="1440" w:header="720" w:footer="720" w:gutter="0"/>
          <w:pgNumType w:fmt="lowerRoman" w:start="1"/>
          <w:cols w:space="720"/>
          <w:docGrid w:linePitch="360"/>
        </w:sectPr>
      </w:pPr>
    </w:p>
    <w:p w:rsidR="00EB34FC" w:rsidRPr="005734A4" w:rsidRDefault="00EB34FC" w:rsidP="00EB34FC">
      <w:pPr>
        <w:pStyle w:val="Heading1"/>
        <w:rPr>
          <w:rFonts w:asciiTheme="minorHAnsi" w:hAnsiTheme="minorHAnsi" w:cstheme="minorHAnsi"/>
        </w:rPr>
      </w:pPr>
      <w:r w:rsidRPr="005734A4">
        <w:rPr>
          <w:rFonts w:asciiTheme="minorHAnsi" w:hAnsiTheme="minorHAnsi" w:cstheme="minorHAnsi"/>
        </w:rPr>
        <w:lastRenderedPageBreak/>
        <w:t>Document Revision History</w:t>
      </w:r>
    </w:p>
    <w:tbl>
      <w:tblPr>
        <w:tblStyle w:val="TableContemporary"/>
        <w:tblW w:w="4689" w:type="pct"/>
        <w:tblLayout w:type="fixed"/>
        <w:tblLook w:val="01E0" w:firstRow="1" w:lastRow="1" w:firstColumn="1" w:lastColumn="1" w:noHBand="0" w:noVBand="0"/>
      </w:tblPr>
      <w:tblGrid>
        <w:gridCol w:w="1430"/>
        <w:gridCol w:w="1440"/>
        <w:gridCol w:w="2161"/>
        <w:gridCol w:w="3949"/>
      </w:tblGrid>
      <w:tr w:rsidR="00EB34FC" w:rsidRPr="005734A4" w:rsidTr="006404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98"/>
        </w:trPr>
        <w:tc>
          <w:tcPr>
            <w:tcW w:w="796" w:type="pct"/>
          </w:tcPr>
          <w:p w:rsidR="00EB34FC" w:rsidRPr="005734A4" w:rsidRDefault="00EB34FC" w:rsidP="007048AC">
            <w:pPr>
              <w:rPr>
                <w:rFonts w:asciiTheme="minorHAnsi" w:hAnsiTheme="minorHAnsi" w:cstheme="minorHAnsi"/>
                <w:b w:val="0"/>
                <w:bCs w:val="0"/>
              </w:rPr>
            </w:pPr>
            <w:r w:rsidRPr="005734A4">
              <w:rPr>
                <w:rFonts w:asciiTheme="minorHAnsi" w:hAnsiTheme="minorHAnsi" w:cstheme="minorHAnsi"/>
              </w:rPr>
              <w:t>Revision #</w:t>
            </w:r>
          </w:p>
        </w:tc>
        <w:tc>
          <w:tcPr>
            <w:tcW w:w="802" w:type="pct"/>
          </w:tcPr>
          <w:p w:rsidR="00EB34FC" w:rsidRPr="005734A4" w:rsidRDefault="00EB34FC" w:rsidP="007048AC">
            <w:pPr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5734A4">
              <w:rPr>
                <w:rFonts w:asciiTheme="minorHAnsi" w:hAnsiTheme="minorHAnsi" w:cstheme="minorHAnsi"/>
                <w:sz w:val="20"/>
                <w:szCs w:val="20"/>
              </w:rPr>
              <w:t>MM/DD/YY</w:t>
            </w:r>
          </w:p>
        </w:tc>
        <w:tc>
          <w:tcPr>
            <w:tcW w:w="1203" w:type="pct"/>
          </w:tcPr>
          <w:p w:rsidR="00EB34FC" w:rsidRPr="005734A4" w:rsidRDefault="00EB34FC" w:rsidP="007048AC">
            <w:pPr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5734A4">
              <w:rPr>
                <w:rFonts w:asciiTheme="minorHAnsi" w:hAnsiTheme="minorHAnsi" w:cstheme="minorHAnsi"/>
                <w:sz w:val="20"/>
                <w:szCs w:val="20"/>
              </w:rPr>
              <w:t>Author/Affiliation</w:t>
            </w:r>
          </w:p>
        </w:tc>
        <w:tc>
          <w:tcPr>
            <w:tcW w:w="2199" w:type="pct"/>
          </w:tcPr>
          <w:p w:rsidR="00EB34FC" w:rsidRPr="005734A4" w:rsidRDefault="00EB34FC" w:rsidP="007048AC">
            <w:pPr>
              <w:rPr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5734A4">
              <w:rPr>
                <w:rFonts w:asciiTheme="minorHAnsi" w:hAnsiTheme="minorHAnsi" w:cstheme="minorHAnsi"/>
                <w:sz w:val="20"/>
                <w:szCs w:val="20"/>
              </w:rPr>
              <w:t>Summary of Changes</w:t>
            </w:r>
          </w:p>
        </w:tc>
      </w:tr>
      <w:tr w:rsidR="00E82854" w:rsidRPr="005734A4" w:rsidTr="006404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5"/>
        </w:trPr>
        <w:tc>
          <w:tcPr>
            <w:tcW w:w="796" w:type="pct"/>
          </w:tcPr>
          <w:p w:rsidR="00E82854" w:rsidRPr="005734A4" w:rsidRDefault="00E82854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5734A4">
              <w:rPr>
                <w:rFonts w:asciiTheme="minorHAnsi" w:hAnsiTheme="minorHAnsi" w:cstheme="minorHAnsi"/>
                <w:sz w:val="20"/>
                <w:szCs w:val="20"/>
              </w:rPr>
              <w:t>0</w:t>
            </w:r>
          </w:p>
        </w:tc>
        <w:tc>
          <w:tcPr>
            <w:tcW w:w="802" w:type="pct"/>
          </w:tcPr>
          <w:p w:rsidR="00E82854" w:rsidRPr="005734A4" w:rsidRDefault="00F20FE8" w:rsidP="00E81F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10/19</w:t>
            </w:r>
            <w:r w:rsidR="00E82854" w:rsidRPr="005734A4">
              <w:rPr>
                <w:rFonts w:asciiTheme="minorHAnsi" w:hAnsiTheme="minorHAnsi" w:cstheme="minorHAnsi"/>
                <w:sz w:val="20"/>
                <w:szCs w:val="20"/>
              </w:rPr>
              <w:t>/20</w:t>
            </w:r>
            <w:r w:rsidR="00E82854">
              <w:rPr>
                <w:rFonts w:asciiTheme="minorHAnsi" w:hAnsiTheme="minorHAnsi" w:cstheme="minorHAnsi"/>
                <w:sz w:val="20"/>
                <w:szCs w:val="20"/>
              </w:rPr>
              <w:t>12</w:t>
            </w:r>
          </w:p>
        </w:tc>
        <w:tc>
          <w:tcPr>
            <w:tcW w:w="1203" w:type="pct"/>
          </w:tcPr>
          <w:p w:rsidR="00E82854" w:rsidRPr="005734A4" w:rsidRDefault="00F20FE8" w:rsidP="00A7003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Charles Harmstead/SDGE</w:t>
            </w:r>
          </w:p>
        </w:tc>
        <w:tc>
          <w:tcPr>
            <w:tcW w:w="2199" w:type="pct"/>
          </w:tcPr>
          <w:p w:rsidR="00E82854" w:rsidRDefault="00F20FE8" w:rsidP="00A70030">
            <w:pPr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Adopted from Work Paper SCE13LG031 Revision 0, Linear Fluorescent Dimming Ballasts Dated April 11, 2012  by Jared Kruzek/AESC</w:t>
            </w:r>
            <w:r w:rsidR="00A12EF6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o</w:t>
            </w:r>
            <w:r w:rsidR="00E82854">
              <w:rPr>
                <w:rFonts w:asciiTheme="minorHAnsi" w:hAnsiTheme="minorHAnsi" w:cstheme="minorHAnsi"/>
                <w:bCs/>
                <w:sz w:val="20"/>
                <w:szCs w:val="20"/>
              </w:rPr>
              <w:t>riginal work paper for 2013 PC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.</w:t>
            </w:r>
          </w:p>
          <w:p w:rsidR="00F20FE8" w:rsidRPr="005734A4" w:rsidRDefault="00F20FE8" w:rsidP="00FD6B8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Cs/>
                <w:sz w:val="20"/>
                <w:szCs w:val="20"/>
              </w:rPr>
              <w:t>Revised  Work paper number.</w:t>
            </w:r>
            <w:r w:rsidR="00FD6B8B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Calculated  whole building savings for each measure using DEER 2011 LF lighting interactive </w:t>
            </w:r>
            <w:r w:rsidR="00A12EF6">
              <w:rPr>
                <w:rFonts w:asciiTheme="minorHAnsi" w:hAnsiTheme="minorHAnsi" w:cstheme="minorHAnsi"/>
                <w:bCs/>
                <w:sz w:val="20"/>
                <w:szCs w:val="20"/>
              </w:rPr>
              <w:t>effects. See</w:t>
            </w:r>
            <w:r w:rsidR="00FD6B8B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Attachment 5</w:t>
            </w:r>
          </w:p>
        </w:tc>
      </w:tr>
    </w:tbl>
    <w:p w:rsidR="009500DC" w:rsidRDefault="009500DC" w:rsidP="00DA690B">
      <w:pPr>
        <w:rPr>
          <w:rFonts w:asciiTheme="minorHAnsi" w:hAnsiTheme="minorHAnsi" w:cstheme="minorHAnsi"/>
        </w:rPr>
        <w:sectPr w:rsidR="009500DC" w:rsidSect="009500DC">
          <w:footerReference w:type="default" r:id="rId11"/>
          <w:pgSz w:w="12240" w:h="15840"/>
          <w:pgMar w:top="1440" w:right="1440" w:bottom="1440" w:left="1440" w:header="720" w:footer="720" w:gutter="0"/>
          <w:pgNumType w:fmt="lowerRoman"/>
          <w:cols w:space="720"/>
          <w:docGrid w:linePitch="360"/>
        </w:sectPr>
      </w:pPr>
    </w:p>
    <w:p w:rsidR="00E16609" w:rsidRPr="000F130A" w:rsidRDefault="00E16609" w:rsidP="00E16609">
      <w:pPr>
        <w:pStyle w:val="Heading1"/>
        <w:rPr>
          <w:rFonts w:asciiTheme="minorHAnsi" w:hAnsiTheme="minorHAnsi" w:cstheme="minorHAnsi"/>
        </w:rPr>
      </w:pPr>
      <w:proofErr w:type="gramStart"/>
      <w:r w:rsidRPr="000F130A">
        <w:rPr>
          <w:rFonts w:asciiTheme="minorHAnsi" w:hAnsiTheme="minorHAnsi" w:cstheme="minorHAnsi"/>
        </w:rPr>
        <w:lastRenderedPageBreak/>
        <w:t>Section 1.</w:t>
      </w:r>
      <w:proofErr w:type="gramEnd"/>
      <w:r w:rsidRPr="000F130A">
        <w:rPr>
          <w:rFonts w:asciiTheme="minorHAnsi" w:hAnsiTheme="minorHAnsi" w:cstheme="minorHAnsi"/>
        </w:rPr>
        <w:t xml:space="preserve"> General Measure &amp; Baseline Data</w:t>
      </w:r>
      <w:bookmarkEnd w:id="1"/>
    </w:p>
    <w:p w:rsidR="00E16609" w:rsidRPr="000F130A" w:rsidRDefault="00824F1C" w:rsidP="00824F1C">
      <w:pPr>
        <w:pStyle w:val="Heading2"/>
        <w:rPr>
          <w:rFonts w:asciiTheme="minorHAnsi" w:hAnsiTheme="minorHAnsi" w:cstheme="minorHAnsi"/>
        </w:rPr>
      </w:pPr>
      <w:bookmarkStart w:id="3" w:name="_Toc214003083"/>
      <w:r>
        <w:rPr>
          <w:rFonts w:asciiTheme="minorHAnsi" w:hAnsiTheme="minorHAnsi" w:cstheme="minorHAnsi"/>
        </w:rPr>
        <w:t xml:space="preserve">1.1  </w:t>
      </w:r>
      <w:r w:rsidR="00E16609" w:rsidRPr="000F130A">
        <w:rPr>
          <w:rFonts w:asciiTheme="minorHAnsi" w:hAnsiTheme="minorHAnsi" w:cstheme="minorHAnsi"/>
        </w:rPr>
        <w:t xml:space="preserve">Measure &amp; Delivery Description </w:t>
      </w:r>
      <w:bookmarkEnd w:id="3"/>
    </w:p>
    <w:p w:rsidR="00E16609" w:rsidRPr="000F130A" w:rsidRDefault="00E16609" w:rsidP="00E16609">
      <w:pPr>
        <w:pStyle w:val="Heading3"/>
        <w:rPr>
          <w:rFonts w:asciiTheme="minorHAnsi" w:hAnsiTheme="minorHAnsi" w:cstheme="minorHAnsi"/>
        </w:rPr>
      </w:pPr>
      <w:r w:rsidRPr="000F130A">
        <w:rPr>
          <w:rFonts w:asciiTheme="minorHAnsi" w:hAnsiTheme="minorHAnsi" w:cstheme="minorHAnsi"/>
        </w:rPr>
        <w:t>1.1a Measure Description</w:t>
      </w:r>
    </w:p>
    <w:p w:rsidR="00E82854" w:rsidRPr="00D90D11" w:rsidRDefault="00E5603B" w:rsidP="00E82854">
      <w:pPr>
        <w:pStyle w:val="NoSpacing"/>
        <w:rPr>
          <w:sz w:val="22"/>
          <w:szCs w:val="22"/>
        </w:rPr>
      </w:pPr>
      <w:r>
        <w:rPr>
          <w:sz w:val="22"/>
          <w:szCs w:val="22"/>
        </w:rPr>
        <w:t xml:space="preserve">This work paper documents the energy savings associated with </w:t>
      </w:r>
      <w:r w:rsidR="00E82854" w:rsidRPr="00E82854">
        <w:rPr>
          <w:sz w:val="22"/>
          <w:szCs w:val="22"/>
        </w:rPr>
        <w:t>retrofitting T8 and T5 linear fluorescent fixtures with dimming ballasts and various control strategies</w:t>
      </w:r>
      <w:r w:rsidR="00E82854">
        <w:rPr>
          <w:sz w:val="22"/>
          <w:szCs w:val="22"/>
        </w:rPr>
        <w:t>.</w:t>
      </w:r>
      <w:r w:rsidR="002150D8">
        <w:rPr>
          <w:sz w:val="22"/>
          <w:szCs w:val="22"/>
        </w:rPr>
        <w:t xml:space="preserve"> </w:t>
      </w:r>
      <w:r w:rsidR="002224E0">
        <w:rPr>
          <w:sz w:val="22"/>
          <w:szCs w:val="22"/>
        </w:rPr>
        <w:t xml:space="preserve">These </w:t>
      </w:r>
      <w:r w:rsidR="002150D8">
        <w:rPr>
          <w:sz w:val="22"/>
          <w:szCs w:val="22"/>
        </w:rPr>
        <w:t>measure</w:t>
      </w:r>
      <w:r w:rsidR="00D6145D">
        <w:rPr>
          <w:sz w:val="22"/>
          <w:szCs w:val="22"/>
        </w:rPr>
        <w:t>s</w:t>
      </w:r>
      <w:r w:rsidR="002150D8">
        <w:rPr>
          <w:sz w:val="22"/>
          <w:szCs w:val="22"/>
        </w:rPr>
        <w:t xml:space="preserve"> save energy and reduce electric demand by controlling the operating hours and power output of linear fluorescent fixtures.</w:t>
      </w:r>
    </w:p>
    <w:p w:rsidR="00E82854" w:rsidRDefault="00E82854" w:rsidP="00E82854">
      <w:pPr>
        <w:pStyle w:val="NoSpacing"/>
        <w:rPr>
          <w:sz w:val="22"/>
          <w:szCs w:val="22"/>
        </w:rPr>
      </w:pPr>
    </w:p>
    <w:p w:rsidR="00E82854" w:rsidRPr="00D90D11" w:rsidRDefault="00B51295" w:rsidP="00E82854">
      <w:pPr>
        <w:pStyle w:val="NoSpacing"/>
        <w:rPr>
          <w:rFonts w:ascii="Calibri" w:eastAsia="Times New Roman" w:hAnsi="Calibri" w:cs="Calibri"/>
          <w:color w:val="000000"/>
          <w:sz w:val="22"/>
          <w:szCs w:val="22"/>
        </w:rPr>
      </w:pPr>
      <w:r>
        <w:rPr>
          <w:sz w:val="22"/>
          <w:szCs w:val="22"/>
        </w:rPr>
        <w:t>The baseline for these</w:t>
      </w:r>
      <w:r w:rsidR="00E82854" w:rsidRPr="00E82854">
        <w:rPr>
          <w:sz w:val="22"/>
          <w:szCs w:val="22"/>
        </w:rPr>
        <w:t xml:space="preserve"> </w:t>
      </w:r>
      <w:r w:rsidR="002150D8">
        <w:rPr>
          <w:sz w:val="22"/>
          <w:szCs w:val="22"/>
        </w:rPr>
        <w:t>measure</w:t>
      </w:r>
      <w:r>
        <w:rPr>
          <w:sz w:val="22"/>
          <w:szCs w:val="22"/>
        </w:rPr>
        <w:t>s</w:t>
      </w:r>
      <w:r w:rsidR="00E82854" w:rsidRPr="00E82854">
        <w:rPr>
          <w:sz w:val="22"/>
          <w:szCs w:val="22"/>
        </w:rPr>
        <w:t xml:space="preserve"> will be set as T8 and T5 linear fluorescent fixtures with non-dimming ballasts and without automatic controls. </w:t>
      </w:r>
    </w:p>
    <w:p w:rsidR="005B28C1" w:rsidRDefault="005B28C1" w:rsidP="005B28C1">
      <w:pPr>
        <w:pStyle w:val="Reminders"/>
        <w:rPr>
          <w:rFonts w:asciiTheme="minorHAnsi" w:hAnsiTheme="minorHAnsi" w:cstheme="minorHAnsi"/>
        </w:rPr>
      </w:pPr>
    </w:p>
    <w:p w:rsidR="005B28C1" w:rsidRPr="00A67BF5" w:rsidRDefault="005B28C1" w:rsidP="005B28C1">
      <w:pPr>
        <w:pStyle w:val="Caption"/>
        <w:jc w:val="center"/>
        <w:rPr>
          <w:rFonts w:asciiTheme="minorHAnsi" w:hAnsiTheme="minorHAnsi" w:cstheme="minorHAnsi"/>
          <w:sz w:val="22"/>
          <w:szCs w:val="22"/>
        </w:rPr>
      </w:pPr>
      <w:r w:rsidRPr="00A67BF5">
        <w:rPr>
          <w:rFonts w:asciiTheme="minorHAnsi" w:hAnsiTheme="minorHAnsi" w:cstheme="minorHAnsi"/>
          <w:sz w:val="22"/>
          <w:szCs w:val="22"/>
        </w:rPr>
        <w:t xml:space="preserve">Table </w:t>
      </w:r>
      <w:r w:rsidR="006F70BE" w:rsidRPr="00A67BF5">
        <w:rPr>
          <w:rFonts w:asciiTheme="minorHAnsi" w:hAnsiTheme="minorHAnsi" w:cstheme="minorHAnsi"/>
          <w:sz w:val="22"/>
          <w:szCs w:val="22"/>
        </w:rPr>
        <w:fldChar w:fldCharType="begin"/>
      </w:r>
      <w:r w:rsidRPr="00A67BF5">
        <w:rPr>
          <w:rFonts w:asciiTheme="minorHAnsi" w:hAnsiTheme="minorHAnsi" w:cstheme="minorHAnsi"/>
          <w:sz w:val="22"/>
          <w:szCs w:val="22"/>
        </w:rPr>
        <w:instrText xml:space="preserve"> SEQ Table \* ARABIC </w:instrText>
      </w:r>
      <w:r w:rsidR="006F70BE" w:rsidRPr="00A67BF5">
        <w:rPr>
          <w:rFonts w:asciiTheme="minorHAnsi" w:hAnsiTheme="minorHAnsi" w:cstheme="minorHAnsi"/>
          <w:sz w:val="22"/>
          <w:szCs w:val="22"/>
        </w:rPr>
        <w:fldChar w:fldCharType="separate"/>
      </w:r>
      <w:r w:rsidR="004B3254">
        <w:rPr>
          <w:rFonts w:asciiTheme="minorHAnsi" w:hAnsiTheme="minorHAnsi" w:cstheme="minorHAnsi"/>
          <w:noProof/>
          <w:sz w:val="22"/>
          <w:szCs w:val="22"/>
        </w:rPr>
        <w:t>1</w:t>
      </w:r>
      <w:r w:rsidR="006F70BE" w:rsidRPr="00A67BF5">
        <w:rPr>
          <w:rFonts w:asciiTheme="minorHAnsi" w:hAnsiTheme="minorHAnsi" w:cstheme="minorHAnsi"/>
          <w:sz w:val="22"/>
          <w:szCs w:val="22"/>
        </w:rPr>
        <w:fldChar w:fldCharType="end"/>
      </w:r>
      <w:r w:rsidRPr="00A67BF5">
        <w:rPr>
          <w:rFonts w:asciiTheme="minorHAnsi" w:hAnsiTheme="minorHAnsi" w:cstheme="minorHAnsi"/>
          <w:sz w:val="22"/>
          <w:szCs w:val="22"/>
        </w:rPr>
        <w:t xml:space="preserve"> Measure Names</w:t>
      </w:r>
    </w:p>
    <w:tbl>
      <w:tblPr>
        <w:tblStyle w:val="TableContemporary"/>
        <w:tblW w:w="0" w:type="auto"/>
        <w:jc w:val="center"/>
        <w:tblLook w:val="04A0" w:firstRow="1" w:lastRow="0" w:firstColumn="1" w:lastColumn="0" w:noHBand="0" w:noVBand="1"/>
      </w:tblPr>
      <w:tblGrid>
        <w:gridCol w:w="2394"/>
        <w:gridCol w:w="4725"/>
      </w:tblGrid>
      <w:tr w:rsidR="005B28C1" w:rsidRPr="005B28C1" w:rsidTr="005B28C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tcW w:w="2394" w:type="dxa"/>
          </w:tcPr>
          <w:p w:rsidR="005B28C1" w:rsidRPr="005B28C1" w:rsidRDefault="000C0000" w:rsidP="007048AC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8C1">
              <w:rPr>
                <w:rFonts w:asciiTheme="minorHAnsi" w:hAnsiTheme="minorHAnsi" w:cstheme="minorHAnsi"/>
                <w:sz w:val="20"/>
                <w:szCs w:val="20"/>
              </w:rPr>
              <w:t>Solution</w:t>
            </w:r>
            <w:r w:rsidR="005B28C1" w:rsidRPr="005B28C1">
              <w:rPr>
                <w:rFonts w:asciiTheme="minorHAnsi" w:hAnsiTheme="minorHAnsi" w:cstheme="minorHAnsi"/>
                <w:sz w:val="20"/>
                <w:szCs w:val="20"/>
              </w:rPr>
              <w:t xml:space="preserve"> Code</w:t>
            </w:r>
          </w:p>
        </w:tc>
        <w:tc>
          <w:tcPr>
            <w:tcW w:w="4725" w:type="dxa"/>
          </w:tcPr>
          <w:p w:rsidR="005B28C1" w:rsidRPr="005B28C1" w:rsidRDefault="005B28C1" w:rsidP="007048AC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8C1">
              <w:rPr>
                <w:rFonts w:asciiTheme="minorHAnsi" w:hAnsiTheme="minorHAnsi" w:cstheme="minorHAnsi"/>
                <w:sz w:val="20"/>
                <w:szCs w:val="20"/>
              </w:rPr>
              <w:t>Measure name</w:t>
            </w:r>
          </w:p>
        </w:tc>
      </w:tr>
      <w:tr w:rsidR="00E82854" w:rsidRPr="005B28C1" w:rsidTr="005B28C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3"/>
          <w:jc w:val="center"/>
        </w:trPr>
        <w:tc>
          <w:tcPr>
            <w:tcW w:w="2394" w:type="dxa"/>
          </w:tcPr>
          <w:p w:rsidR="00E82854" w:rsidRPr="00D0619D" w:rsidRDefault="00E82854" w:rsidP="00A70030">
            <w:pPr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</w:p>
        </w:tc>
        <w:tc>
          <w:tcPr>
            <w:tcW w:w="4725" w:type="dxa"/>
          </w:tcPr>
          <w:p w:rsidR="00E82854" w:rsidRPr="005B28C1" w:rsidRDefault="00E82854" w:rsidP="003838A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Dimming Ballasts</w:t>
            </w:r>
            <w:r w:rsidR="00156708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3838AE">
              <w:rPr>
                <w:rFonts w:asciiTheme="minorHAnsi" w:hAnsiTheme="minorHAnsi" w:cstheme="minorHAnsi"/>
                <w:sz w:val="20"/>
                <w:szCs w:val="20"/>
              </w:rPr>
              <w:t>-</w:t>
            </w:r>
            <w:r w:rsidR="00156708">
              <w:rPr>
                <w:rFonts w:asciiTheme="minorHAnsi" w:hAnsiTheme="minorHAnsi" w:cstheme="minorHAnsi"/>
                <w:sz w:val="20"/>
                <w:szCs w:val="20"/>
              </w:rPr>
              <w:t xml:space="preserve"> 20% Tuning</w:t>
            </w:r>
          </w:p>
        </w:tc>
      </w:tr>
      <w:tr w:rsidR="00156708" w:rsidRPr="005B28C1" w:rsidTr="00BD3DB9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15"/>
          <w:jc w:val="center"/>
        </w:trPr>
        <w:tc>
          <w:tcPr>
            <w:tcW w:w="2394" w:type="dxa"/>
          </w:tcPr>
          <w:p w:rsidR="00156708" w:rsidRPr="00D0619D" w:rsidRDefault="00156708" w:rsidP="00A70030">
            <w:pPr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</w:p>
        </w:tc>
        <w:tc>
          <w:tcPr>
            <w:tcW w:w="4725" w:type="dxa"/>
          </w:tcPr>
          <w:p w:rsidR="00156708" w:rsidRDefault="00156708" w:rsidP="00A7003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D3DB9">
              <w:rPr>
                <w:rFonts w:asciiTheme="minorHAnsi" w:hAnsiTheme="minorHAnsi" w:cstheme="minorHAnsi"/>
                <w:sz w:val="20"/>
                <w:szCs w:val="20"/>
              </w:rPr>
              <w:t>Dimming Ballasts - 20% Tuning + Daylight Harvesting</w:t>
            </w:r>
          </w:p>
        </w:tc>
      </w:tr>
      <w:tr w:rsidR="00156708" w:rsidRPr="005B28C1" w:rsidTr="005B28C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3"/>
          <w:jc w:val="center"/>
        </w:trPr>
        <w:tc>
          <w:tcPr>
            <w:tcW w:w="2394" w:type="dxa"/>
          </w:tcPr>
          <w:p w:rsidR="00156708" w:rsidRPr="00D0619D" w:rsidRDefault="00156708" w:rsidP="00A70030">
            <w:pPr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</w:p>
        </w:tc>
        <w:tc>
          <w:tcPr>
            <w:tcW w:w="4725" w:type="dxa"/>
          </w:tcPr>
          <w:p w:rsidR="00156708" w:rsidRDefault="00BD3DB9" w:rsidP="00A7003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D3DB9">
              <w:rPr>
                <w:rFonts w:asciiTheme="minorHAnsi" w:hAnsiTheme="minorHAnsi" w:cstheme="minorHAnsi"/>
                <w:sz w:val="20"/>
                <w:szCs w:val="20"/>
              </w:rPr>
              <w:t>Dimming Ballasts - 20% Tuning + Occupancy Sensor</w:t>
            </w:r>
          </w:p>
        </w:tc>
      </w:tr>
      <w:tr w:rsidR="00156708" w:rsidRPr="005B28C1" w:rsidTr="005B28C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43"/>
          <w:jc w:val="center"/>
        </w:trPr>
        <w:tc>
          <w:tcPr>
            <w:tcW w:w="2394" w:type="dxa"/>
          </w:tcPr>
          <w:p w:rsidR="00156708" w:rsidRPr="00D0619D" w:rsidRDefault="00156708" w:rsidP="00A70030">
            <w:pPr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</w:p>
        </w:tc>
        <w:tc>
          <w:tcPr>
            <w:tcW w:w="4725" w:type="dxa"/>
          </w:tcPr>
          <w:p w:rsidR="00156708" w:rsidRDefault="00BD3DB9" w:rsidP="00A7003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D3DB9">
              <w:rPr>
                <w:rFonts w:asciiTheme="minorHAnsi" w:hAnsiTheme="minorHAnsi" w:cstheme="minorHAnsi"/>
                <w:sz w:val="20"/>
                <w:szCs w:val="20"/>
              </w:rPr>
              <w:t>Dimming Ballasts - 20% Tuning + Occupancy Sensor + Daylight Harvesting with Side Lighting Photo Controls</w:t>
            </w:r>
          </w:p>
        </w:tc>
      </w:tr>
    </w:tbl>
    <w:p w:rsidR="005B28C1" w:rsidRDefault="005B28C1" w:rsidP="005B28C1">
      <w:pPr>
        <w:pStyle w:val="Reminders"/>
        <w:rPr>
          <w:rFonts w:asciiTheme="minorHAnsi" w:hAnsiTheme="minorHAnsi" w:cstheme="minorHAnsi"/>
          <w:i w:val="0"/>
        </w:rPr>
      </w:pPr>
    </w:p>
    <w:p w:rsidR="00994CC9" w:rsidRDefault="00994CC9" w:rsidP="005B28C1">
      <w:pPr>
        <w:pStyle w:val="Reminders"/>
        <w:rPr>
          <w:rFonts w:asciiTheme="minorHAnsi" w:hAnsiTheme="minorHAnsi" w:cstheme="minorHAnsi"/>
          <w:i w:val="0"/>
          <w:color w:val="auto"/>
          <w:sz w:val="22"/>
          <w:szCs w:val="22"/>
        </w:rPr>
      </w:pPr>
      <w:r>
        <w:rPr>
          <w:rFonts w:asciiTheme="minorHAnsi" w:hAnsiTheme="minorHAnsi" w:cstheme="minorHAnsi"/>
          <w:i w:val="0"/>
          <w:color w:val="auto"/>
          <w:sz w:val="22"/>
          <w:szCs w:val="22"/>
        </w:rPr>
        <w:t>The definition of each control strategy is as follows:</w:t>
      </w:r>
    </w:p>
    <w:p w:rsidR="00994CC9" w:rsidRPr="00994CC9" w:rsidRDefault="00994CC9" w:rsidP="00994CC9">
      <w:pPr>
        <w:pStyle w:val="Reminders"/>
        <w:ind w:left="720"/>
        <w:rPr>
          <w:rFonts w:asciiTheme="minorHAnsi" w:hAnsiTheme="minorHAnsi" w:cstheme="minorHAnsi"/>
          <w:i w:val="0"/>
          <w:color w:val="auto"/>
          <w:sz w:val="22"/>
          <w:szCs w:val="22"/>
        </w:rPr>
      </w:pPr>
      <w:proofErr w:type="gramStart"/>
      <w:r>
        <w:rPr>
          <w:rFonts w:asciiTheme="minorHAnsi" w:hAnsiTheme="minorHAnsi" w:cstheme="minorHAnsi"/>
          <w:b/>
          <w:i w:val="0"/>
          <w:color w:val="auto"/>
          <w:sz w:val="22"/>
          <w:szCs w:val="22"/>
        </w:rPr>
        <w:t xml:space="preserve">Dimming Ballasts: </w:t>
      </w:r>
      <w:r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Controllable ballasts </w:t>
      </w:r>
      <w:r w:rsidR="00904B95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that </w:t>
      </w:r>
      <w:r>
        <w:rPr>
          <w:rFonts w:asciiTheme="minorHAnsi" w:hAnsiTheme="minorHAnsi" w:cstheme="minorHAnsi"/>
          <w:i w:val="0"/>
          <w:color w:val="auto"/>
          <w:sz w:val="22"/>
          <w:szCs w:val="22"/>
        </w:rPr>
        <w:t>allow the light level and power level of a lamp to be modulated based on area needs.</w:t>
      </w:r>
      <w:proofErr w:type="gramEnd"/>
      <w:r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</w:t>
      </w:r>
    </w:p>
    <w:p w:rsidR="00994CC9" w:rsidRPr="00994CC9" w:rsidRDefault="00994CC9" w:rsidP="00994CC9">
      <w:pPr>
        <w:pStyle w:val="Reminders"/>
        <w:ind w:left="720"/>
        <w:rPr>
          <w:rFonts w:asciiTheme="minorHAnsi" w:hAnsiTheme="minorHAnsi" w:cstheme="minorHAnsi"/>
          <w:i w:val="0"/>
          <w:color w:val="auto"/>
          <w:sz w:val="22"/>
          <w:szCs w:val="22"/>
        </w:rPr>
      </w:pPr>
      <w:r w:rsidRPr="00994CC9">
        <w:rPr>
          <w:rFonts w:asciiTheme="minorHAnsi" w:hAnsiTheme="minorHAnsi" w:cstheme="minorHAnsi"/>
          <w:b/>
          <w:i w:val="0"/>
          <w:color w:val="auto"/>
          <w:sz w:val="22"/>
          <w:szCs w:val="22"/>
        </w:rPr>
        <w:t>Tuning:</w:t>
      </w:r>
      <w:r w:rsidRPr="00994CC9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Either a permanent or time-varying reduction in light out</w:t>
      </w:r>
      <w:r>
        <w:rPr>
          <w:rFonts w:asciiTheme="minorHAnsi" w:hAnsiTheme="minorHAnsi" w:cstheme="minorHAnsi"/>
          <w:i w:val="0"/>
          <w:color w:val="auto"/>
          <w:sz w:val="22"/>
          <w:szCs w:val="22"/>
        </w:rPr>
        <w:t>put to avoid over-illumination which can be</w:t>
      </w:r>
      <w:r w:rsidRPr="00994CC9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achieved by:</w:t>
      </w:r>
    </w:p>
    <w:p w:rsidR="00C803CD" w:rsidRDefault="00994CC9">
      <w:pPr>
        <w:pStyle w:val="Reminders"/>
        <w:numPr>
          <w:ilvl w:val="0"/>
          <w:numId w:val="18"/>
        </w:numPr>
        <w:rPr>
          <w:rFonts w:asciiTheme="minorHAnsi" w:hAnsiTheme="minorHAnsi" w:cstheme="minorHAnsi"/>
          <w:i w:val="0"/>
          <w:color w:val="auto"/>
          <w:sz w:val="22"/>
          <w:szCs w:val="22"/>
        </w:rPr>
      </w:pPr>
      <w:r w:rsidRPr="00994CC9">
        <w:rPr>
          <w:rFonts w:asciiTheme="minorHAnsi" w:hAnsiTheme="minorHAnsi" w:cstheme="minorHAnsi"/>
          <w:i w:val="0"/>
          <w:color w:val="auto"/>
          <w:sz w:val="22"/>
          <w:szCs w:val="22"/>
        </w:rPr>
        <w:t>A factory preset reduction in output level</w:t>
      </w:r>
    </w:p>
    <w:p w:rsidR="00C803CD" w:rsidRDefault="00994CC9">
      <w:pPr>
        <w:pStyle w:val="Reminders"/>
        <w:numPr>
          <w:ilvl w:val="0"/>
          <w:numId w:val="18"/>
        </w:numPr>
        <w:rPr>
          <w:rFonts w:asciiTheme="minorHAnsi" w:hAnsiTheme="minorHAnsi" w:cstheme="minorHAnsi"/>
          <w:i w:val="0"/>
          <w:color w:val="auto"/>
          <w:sz w:val="22"/>
          <w:szCs w:val="22"/>
        </w:rPr>
      </w:pPr>
      <w:r w:rsidRPr="00994CC9">
        <w:rPr>
          <w:rFonts w:asciiTheme="minorHAnsi" w:hAnsiTheme="minorHAnsi" w:cstheme="minorHAnsi"/>
          <w:i w:val="0"/>
          <w:color w:val="auto"/>
          <w:sz w:val="22"/>
          <w:szCs w:val="22"/>
        </w:rPr>
        <w:t>A field set permanent reduction in output level</w:t>
      </w:r>
    </w:p>
    <w:p w:rsidR="00C803CD" w:rsidRDefault="00994CC9">
      <w:pPr>
        <w:pStyle w:val="Reminders"/>
        <w:numPr>
          <w:ilvl w:val="0"/>
          <w:numId w:val="18"/>
        </w:numPr>
        <w:rPr>
          <w:rFonts w:asciiTheme="minorHAnsi" w:hAnsiTheme="minorHAnsi" w:cstheme="minorHAnsi"/>
          <w:i w:val="0"/>
          <w:color w:val="auto"/>
          <w:sz w:val="22"/>
          <w:szCs w:val="22"/>
        </w:rPr>
      </w:pPr>
      <w:r w:rsidRPr="00994CC9">
        <w:rPr>
          <w:rFonts w:asciiTheme="minorHAnsi" w:hAnsiTheme="minorHAnsi" w:cstheme="minorHAnsi"/>
          <w:i w:val="0"/>
          <w:color w:val="auto"/>
          <w:sz w:val="22"/>
          <w:szCs w:val="22"/>
        </w:rPr>
        <w:t>Photo controls for luminance maintenance</w:t>
      </w:r>
    </w:p>
    <w:p w:rsidR="00994CC9" w:rsidRPr="00994CC9" w:rsidRDefault="00994CC9" w:rsidP="00994CC9">
      <w:pPr>
        <w:pStyle w:val="Reminders"/>
        <w:ind w:left="720"/>
        <w:rPr>
          <w:rFonts w:asciiTheme="minorHAnsi" w:hAnsiTheme="minorHAnsi" w:cstheme="minorHAnsi"/>
          <w:i w:val="0"/>
          <w:color w:val="auto"/>
          <w:sz w:val="22"/>
          <w:szCs w:val="22"/>
        </w:rPr>
      </w:pPr>
      <w:r w:rsidRPr="00994CC9">
        <w:rPr>
          <w:rFonts w:asciiTheme="minorHAnsi" w:hAnsiTheme="minorHAnsi" w:cstheme="minorHAnsi"/>
          <w:b/>
          <w:i w:val="0"/>
          <w:color w:val="auto"/>
          <w:sz w:val="22"/>
          <w:szCs w:val="22"/>
        </w:rPr>
        <w:t>Occupancy sensors (vacancy sensors):</w:t>
      </w:r>
      <w:r w:rsidRPr="00994CC9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Sensors are vacancy sensors complying with Title-24 section 119</w:t>
      </w:r>
      <w:r w:rsidR="008027E6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[A]</w:t>
      </w:r>
      <w:r w:rsidRPr="00994CC9">
        <w:rPr>
          <w:rFonts w:asciiTheme="minorHAnsi" w:hAnsiTheme="minorHAnsi" w:cstheme="minorHAnsi"/>
          <w:i w:val="0"/>
          <w:color w:val="auto"/>
          <w:sz w:val="22"/>
          <w:szCs w:val="22"/>
        </w:rPr>
        <w:t>. Assume individual vacancy sensors are located over each workstation, which control all the lighting over that workstation.  If the sensor controlled only a portion of the lighting, savings would have to be de-rated accordingly.</w:t>
      </w:r>
    </w:p>
    <w:p w:rsidR="00994CC9" w:rsidRPr="00F6704D" w:rsidRDefault="00994CC9" w:rsidP="00904B95">
      <w:pPr>
        <w:pStyle w:val="Reminders"/>
        <w:ind w:left="720"/>
        <w:rPr>
          <w:rFonts w:asciiTheme="minorHAnsi" w:hAnsiTheme="minorHAnsi"/>
          <w:i w:val="0"/>
          <w:color w:val="auto"/>
          <w:sz w:val="22"/>
          <w:szCs w:val="22"/>
        </w:rPr>
      </w:pPr>
      <w:r w:rsidRPr="00994CC9">
        <w:rPr>
          <w:rFonts w:asciiTheme="minorHAnsi" w:hAnsiTheme="minorHAnsi" w:cstheme="minorHAnsi"/>
          <w:b/>
          <w:i w:val="0"/>
          <w:color w:val="auto"/>
          <w:sz w:val="22"/>
          <w:szCs w:val="22"/>
        </w:rPr>
        <w:t>Daylight Harvesting</w:t>
      </w:r>
      <w:r w:rsidR="00904B95">
        <w:rPr>
          <w:rFonts w:asciiTheme="minorHAnsi" w:hAnsiTheme="minorHAnsi" w:cstheme="minorHAnsi"/>
          <w:b/>
          <w:i w:val="0"/>
          <w:color w:val="auto"/>
          <w:sz w:val="22"/>
          <w:szCs w:val="22"/>
        </w:rPr>
        <w:t xml:space="preserve"> and </w:t>
      </w:r>
      <w:r w:rsidR="00904B95">
        <w:rPr>
          <w:rFonts w:asciiTheme="minorHAnsi" w:hAnsiTheme="minorHAnsi"/>
          <w:b/>
          <w:i w:val="0"/>
          <w:color w:val="auto"/>
          <w:sz w:val="22"/>
          <w:szCs w:val="22"/>
        </w:rPr>
        <w:t>Daylight Harvesting with Side Lighting Photo Controls</w:t>
      </w:r>
      <w:r w:rsidRPr="00994CC9">
        <w:rPr>
          <w:rFonts w:asciiTheme="minorHAnsi" w:hAnsiTheme="minorHAnsi" w:cstheme="minorHAnsi"/>
          <w:b/>
          <w:i w:val="0"/>
          <w:color w:val="auto"/>
          <w:sz w:val="22"/>
          <w:szCs w:val="22"/>
        </w:rPr>
        <w:t>:</w:t>
      </w:r>
      <w:r w:rsidRPr="00994CC9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</w:t>
      </w:r>
      <w:r w:rsidR="00F6704D">
        <w:rPr>
          <w:rFonts w:asciiTheme="minorHAnsi" w:hAnsiTheme="minorHAnsi"/>
          <w:i w:val="0"/>
          <w:color w:val="auto"/>
          <w:sz w:val="22"/>
          <w:szCs w:val="22"/>
        </w:rPr>
        <w:t xml:space="preserve">Daylight harvesting uses photocells to sense natural sunlight in an area and to then shut down the area lights if enough daylight is present. </w:t>
      </w:r>
      <w:r w:rsidRPr="00994CC9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Savings value applies to entire day lit area, not just </w:t>
      </w:r>
      <w:proofErr w:type="gramStart"/>
      <w:r w:rsidRPr="00994CC9">
        <w:rPr>
          <w:rFonts w:asciiTheme="minorHAnsi" w:hAnsiTheme="minorHAnsi" w:cstheme="minorHAnsi"/>
          <w:i w:val="0"/>
          <w:color w:val="auto"/>
          <w:sz w:val="22"/>
          <w:szCs w:val="22"/>
        </w:rPr>
        <w:t>to</w:t>
      </w:r>
      <w:proofErr w:type="gramEnd"/>
      <w:r w:rsidRPr="00994CC9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primary side lit daylight area.  Savings estimate was based on Side lighting Photo controls Field Study</w:t>
      </w:r>
      <w:r w:rsidRPr="00994CC9">
        <w:rPr>
          <w:b/>
          <w:i w:val="0"/>
          <w:color w:val="auto"/>
        </w:rPr>
        <w:t>.</w:t>
      </w:r>
      <w:r w:rsidR="00F6704D">
        <w:rPr>
          <w:b/>
          <w:i w:val="0"/>
          <w:color w:val="auto"/>
        </w:rPr>
        <w:t xml:space="preserve"> </w:t>
      </w:r>
    </w:p>
    <w:p w:rsidR="00E16609" w:rsidRPr="000F130A" w:rsidRDefault="00E16609" w:rsidP="00E16609">
      <w:pPr>
        <w:pStyle w:val="Heading3"/>
        <w:rPr>
          <w:rFonts w:asciiTheme="minorHAnsi" w:hAnsiTheme="minorHAnsi" w:cstheme="minorHAnsi"/>
        </w:rPr>
      </w:pPr>
      <w:r w:rsidRPr="000F130A">
        <w:rPr>
          <w:rFonts w:asciiTheme="minorHAnsi" w:hAnsiTheme="minorHAnsi" w:cstheme="minorHAnsi"/>
        </w:rPr>
        <w:t>1.1b Delivery and Incentive Mechanism</w:t>
      </w:r>
    </w:p>
    <w:p w:rsidR="002E3997" w:rsidRPr="00EA2545" w:rsidRDefault="002E3997" w:rsidP="002E3997">
      <w:pPr>
        <w:rPr>
          <w:rFonts w:asciiTheme="minorHAnsi" w:hAnsiTheme="minorHAnsi"/>
          <w:sz w:val="22"/>
          <w:szCs w:val="22"/>
        </w:rPr>
      </w:pPr>
      <w:r w:rsidRPr="00EA2545">
        <w:rPr>
          <w:rFonts w:asciiTheme="minorHAnsi" w:hAnsiTheme="minorHAnsi"/>
          <w:sz w:val="22"/>
          <w:szCs w:val="22"/>
        </w:rPr>
        <w:t>The delivery methods that are available for these measures are:</w:t>
      </w:r>
    </w:p>
    <w:p w:rsidR="002E3997" w:rsidRPr="00AE6332" w:rsidRDefault="002E3997" w:rsidP="002E3997">
      <w:pPr>
        <w:numPr>
          <w:ilvl w:val="0"/>
          <w:numId w:val="9"/>
        </w:numPr>
        <w:rPr>
          <w:rFonts w:asciiTheme="minorHAnsi" w:hAnsiTheme="minorHAnsi"/>
          <w:b/>
          <w:sz w:val="22"/>
          <w:szCs w:val="22"/>
        </w:rPr>
      </w:pPr>
      <w:r w:rsidRPr="00EA2545">
        <w:rPr>
          <w:rFonts w:asciiTheme="minorHAnsi" w:hAnsiTheme="minorHAnsi"/>
          <w:sz w:val="22"/>
          <w:szCs w:val="22"/>
        </w:rPr>
        <w:t>Financial Support</w:t>
      </w:r>
      <w:r w:rsidR="007F5269">
        <w:rPr>
          <w:rFonts w:asciiTheme="minorHAnsi" w:hAnsiTheme="minorHAnsi"/>
          <w:sz w:val="22"/>
          <w:szCs w:val="22"/>
        </w:rPr>
        <w:t xml:space="preserve"> </w:t>
      </w:r>
      <w:r w:rsidRPr="00EA2545">
        <w:rPr>
          <w:rFonts w:asciiTheme="minorHAnsi" w:hAnsiTheme="minorHAnsi"/>
          <w:sz w:val="22"/>
          <w:szCs w:val="22"/>
        </w:rPr>
        <w:t xml:space="preserve"> / Down-Stream Incentive – Deemed </w:t>
      </w:r>
    </w:p>
    <w:p w:rsidR="00AE6332" w:rsidRPr="007F5269" w:rsidRDefault="00AE6332" w:rsidP="002E3997">
      <w:pPr>
        <w:numPr>
          <w:ilvl w:val="0"/>
          <w:numId w:val="9"/>
        </w:numPr>
        <w:rPr>
          <w:rFonts w:asciiTheme="minorHAnsi" w:hAnsiTheme="minorHAnsi"/>
          <w:b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Partnerships</w:t>
      </w:r>
      <w:r w:rsidR="007F5269">
        <w:rPr>
          <w:rFonts w:asciiTheme="minorHAnsi" w:hAnsiTheme="minorHAnsi"/>
          <w:sz w:val="22"/>
          <w:szCs w:val="22"/>
        </w:rPr>
        <w:t xml:space="preserve"> </w:t>
      </w:r>
      <w:r>
        <w:rPr>
          <w:rFonts w:asciiTheme="minorHAnsi" w:hAnsiTheme="minorHAnsi"/>
          <w:sz w:val="22"/>
          <w:szCs w:val="22"/>
        </w:rPr>
        <w:t xml:space="preserve">/ Down-Stream Incentive </w:t>
      </w:r>
      <w:r w:rsidR="002224E0">
        <w:rPr>
          <w:rFonts w:asciiTheme="minorHAnsi" w:hAnsiTheme="minorHAnsi"/>
          <w:sz w:val="22"/>
          <w:szCs w:val="22"/>
        </w:rPr>
        <w:t>–</w:t>
      </w:r>
      <w:r>
        <w:rPr>
          <w:rFonts w:asciiTheme="minorHAnsi" w:hAnsiTheme="minorHAnsi"/>
          <w:sz w:val="22"/>
          <w:szCs w:val="22"/>
        </w:rPr>
        <w:t xml:space="preserve"> Deemed</w:t>
      </w:r>
    </w:p>
    <w:p w:rsidR="007F5269" w:rsidRPr="007F5269" w:rsidRDefault="007F5269" w:rsidP="002E3997">
      <w:pPr>
        <w:numPr>
          <w:ilvl w:val="0"/>
          <w:numId w:val="9"/>
        </w:numPr>
        <w:rPr>
          <w:rFonts w:asciiTheme="minorHAnsi" w:hAnsiTheme="minorHAnsi"/>
          <w:b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lastRenderedPageBreak/>
        <w:t>Financial Support / Direct Install</w:t>
      </w:r>
    </w:p>
    <w:p w:rsidR="007F5269" w:rsidRPr="002224E0" w:rsidRDefault="007F5269" w:rsidP="002E3997">
      <w:pPr>
        <w:numPr>
          <w:ilvl w:val="0"/>
          <w:numId w:val="9"/>
        </w:numPr>
        <w:rPr>
          <w:rFonts w:asciiTheme="minorHAnsi" w:hAnsiTheme="minorHAnsi"/>
          <w:b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Partnership / Direct Install</w:t>
      </w:r>
    </w:p>
    <w:p w:rsidR="002224E0" w:rsidRPr="00EA2545" w:rsidRDefault="002224E0" w:rsidP="002E3997">
      <w:pPr>
        <w:numPr>
          <w:ilvl w:val="0"/>
          <w:numId w:val="9"/>
        </w:numPr>
        <w:rPr>
          <w:rFonts w:asciiTheme="minorHAnsi" w:hAnsiTheme="minorHAnsi"/>
          <w:b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 xml:space="preserve">Midstream </w:t>
      </w:r>
      <w:r w:rsidR="007F5269">
        <w:rPr>
          <w:rFonts w:asciiTheme="minorHAnsi" w:hAnsiTheme="minorHAnsi"/>
          <w:sz w:val="22"/>
          <w:szCs w:val="22"/>
        </w:rPr>
        <w:t xml:space="preserve">Programs / </w:t>
      </w:r>
      <w:r w:rsidR="00570F8E">
        <w:rPr>
          <w:rFonts w:asciiTheme="minorHAnsi" w:hAnsiTheme="minorHAnsi"/>
          <w:sz w:val="22"/>
          <w:szCs w:val="22"/>
        </w:rPr>
        <w:t>Mid-Stream Incentive</w:t>
      </w:r>
    </w:p>
    <w:p w:rsidR="002E3997" w:rsidRPr="00EA2545" w:rsidRDefault="002E3997" w:rsidP="002E3997">
      <w:pPr>
        <w:rPr>
          <w:rFonts w:asciiTheme="minorHAnsi" w:hAnsiTheme="minorHAnsi"/>
          <w:sz w:val="22"/>
          <w:szCs w:val="22"/>
        </w:rPr>
      </w:pPr>
    </w:p>
    <w:p w:rsidR="002E3997" w:rsidRPr="00EA2545" w:rsidRDefault="002E3997" w:rsidP="002E3997">
      <w:pPr>
        <w:rPr>
          <w:rFonts w:asciiTheme="minorHAnsi" w:hAnsiTheme="minorHAnsi"/>
          <w:sz w:val="22"/>
          <w:szCs w:val="22"/>
        </w:rPr>
      </w:pPr>
      <w:r w:rsidRPr="00EA2545">
        <w:rPr>
          <w:rFonts w:asciiTheme="minorHAnsi" w:hAnsiTheme="minorHAnsi"/>
          <w:sz w:val="22"/>
          <w:szCs w:val="22"/>
        </w:rPr>
        <w:t>The program/install type for the above measures is:</w:t>
      </w:r>
    </w:p>
    <w:p w:rsidR="002E3997" w:rsidRDefault="004365AD" w:rsidP="002E3997">
      <w:pPr>
        <w:pStyle w:val="ListParagraph"/>
        <w:numPr>
          <w:ilvl w:val="0"/>
          <w:numId w:val="10"/>
        </w:numPr>
        <w:rPr>
          <w:szCs w:val="22"/>
        </w:rPr>
      </w:pPr>
      <w:r>
        <w:rPr>
          <w:szCs w:val="22"/>
        </w:rPr>
        <w:t>Retrofit (RET)</w:t>
      </w:r>
    </w:p>
    <w:p w:rsidR="007F5269" w:rsidRPr="00EA2545" w:rsidRDefault="007F5269" w:rsidP="002E3997">
      <w:pPr>
        <w:pStyle w:val="ListParagraph"/>
        <w:numPr>
          <w:ilvl w:val="0"/>
          <w:numId w:val="10"/>
        </w:numPr>
        <w:rPr>
          <w:szCs w:val="22"/>
        </w:rPr>
      </w:pPr>
      <w:r>
        <w:rPr>
          <w:szCs w:val="22"/>
        </w:rPr>
        <w:t>Replace on Burn-out (ROB)</w:t>
      </w:r>
    </w:p>
    <w:p w:rsidR="00E16609" w:rsidRPr="000F130A" w:rsidRDefault="00E16609" w:rsidP="00E16609">
      <w:pPr>
        <w:pStyle w:val="Heading3"/>
        <w:rPr>
          <w:rFonts w:asciiTheme="minorHAnsi" w:hAnsiTheme="minorHAnsi" w:cstheme="minorHAnsi"/>
        </w:rPr>
      </w:pPr>
      <w:r w:rsidRPr="000F130A">
        <w:rPr>
          <w:rFonts w:asciiTheme="minorHAnsi" w:hAnsiTheme="minorHAnsi" w:cstheme="minorHAnsi"/>
        </w:rPr>
        <w:t>1.1c Measure Requirements</w:t>
      </w:r>
    </w:p>
    <w:p w:rsidR="001C2A74" w:rsidRPr="00CE56C9" w:rsidRDefault="00080D1E" w:rsidP="00775421">
      <w:pPr>
        <w:pStyle w:val="Reminders"/>
        <w:numPr>
          <w:ilvl w:val="0"/>
          <w:numId w:val="11"/>
        </w:numPr>
        <w:rPr>
          <w:rFonts w:asciiTheme="minorHAnsi" w:hAnsiTheme="minorHAnsi" w:cstheme="minorHAnsi"/>
          <w:i w:val="0"/>
          <w:color w:val="auto"/>
          <w:sz w:val="22"/>
          <w:szCs w:val="22"/>
        </w:rPr>
      </w:pPr>
      <w:bookmarkStart w:id="4" w:name="OLE_LINK2"/>
      <w:bookmarkStart w:id="5" w:name="OLE_LINK3"/>
      <w:r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The </w:t>
      </w:r>
      <w:r w:rsidRPr="00CE56C9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existing fixtures must be T8 or T5 linear fluorescent fixtures with non-dimming ballasts. </w:t>
      </w:r>
      <w:r w:rsidR="00CE56C9" w:rsidRPr="00CE56C9">
        <w:rPr>
          <w:rFonts w:asciiTheme="minorHAnsi" w:hAnsiTheme="minorHAnsi"/>
          <w:i w:val="0"/>
          <w:color w:val="auto"/>
          <w:sz w:val="22"/>
          <w:szCs w:val="22"/>
        </w:rPr>
        <w:t>Existing T12 fixtures do not qualify.</w:t>
      </w:r>
    </w:p>
    <w:p w:rsidR="00080D1E" w:rsidRDefault="00080D1E" w:rsidP="00775421">
      <w:pPr>
        <w:pStyle w:val="Reminders"/>
        <w:numPr>
          <w:ilvl w:val="0"/>
          <w:numId w:val="11"/>
        </w:numPr>
        <w:rPr>
          <w:rFonts w:asciiTheme="minorHAnsi" w:hAnsiTheme="minorHAnsi" w:cstheme="minorHAnsi"/>
          <w:i w:val="0"/>
          <w:color w:val="auto"/>
          <w:sz w:val="22"/>
          <w:szCs w:val="22"/>
        </w:rPr>
      </w:pPr>
      <w:r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Existing controls must be bi-level switching with no other controls. </w:t>
      </w:r>
    </w:p>
    <w:p w:rsidR="00775421" w:rsidRDefault="00775421" w:rsidP="00775421">
      <w:pPr>
        <w:pStyle w:val="Reminders"/>
        <w:numPr>
          <w:ilvl w:val="0"/>
          <w:numId w:val="11"/>
        </w:numPr>
        <w:rPr>
          <w:rFonts w:asciiTheme="minorHAnsi" w:hAnsiTheme="minorHAnsi" w:cstheme="minorHAnsi"/>
          <w:i w:val="0"/>
          <w:color w:val="auto"/>
          <w:sz w:val="22"/>
          <w:szCs w:val="22"/>
        </w:rPr>
      </w:pPr>
      <w:r>
        <w:rPr>
          <w:rFonts w:asciiTheme="minorHAnsi" w:hAnsiTheme="minorHAnsi" w:cstheme="minorHAnsi"/>
          <w:i w:val="0"/>
          <w:color w:val="auto"/>
          <w:sz w:val="22"/>
          <w:szCs w:val="22"/>
        </w:rPr>
        <w:t>The building type must fall into one of the categories</w:t>
      </w:r>
      <w:r w:rsidR="00167FEE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below. This work paper only address</w:t>
      </w:r>
      <w:r w:rsidR="00570F8E">
        <w:rPr>
          <w:rFonts w:asciiTheme="minorHAnsi" w:hAnsiTheme="minorHAnsi" w:cstheme="minorHAnsi"/>
          <w:i w:val="0"/>
          <w:color w:val="auto"/>
          <w:sz w:val="22"/>
          <w:szCs w:val="22"/>
        </w:rPr>
        <w:t>es</w:t>
      </w:r>
      <w:r w:rsidR="00167FEE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these building types as these are typical buildings types w</w:t>
      </w:r>
      <w:r w:rsidR="00570F8E">
        <w:rPr>
          <w:rFonts w:asciiTheme="minorHAnsi" w:hAnsiTheme="minorHAnsi" w:cstheme="minorHAnsi"/>
          <w:i w:val="0"/>
          <w:color w:val="auto"/>
          <w:sz w:val="22"/>
          <w:szCs w:val="22"/>
        </w:rPr>
        <w:t>h</w:t>
      </w:r>
      <w:r w:rsidR="00167FEE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ere dimming ballasts are implemented and </w:t>
      </w:r>
      <w:r w:rsidR="00A366E8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have </w:t>
      </w:r>
      <w:r w:rsidR="00570F8E">
        <w:rPr>
          <w:rFonts w:asciiTheme="minorHAnsi" w:hAnsiTheme="minorHAnsi" w:cstheme="minorHAnsi"/>
          <w:i w:val="0"/>
          <w:color w:val="auto"/>
          <w:sz w:val="22"/>
          <w:szCs w:val="22"/>
        </w:rPr>
        <w:t>been</w:t>
      </w:r>
      <w:r w:rsidR="00A366E8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effective in saving energy.</w:t>
      </w:r>
    </w:p>
    <w:p w:rsidR="00292ABA" w:rsidRPr="00292ABA" w:rsidRDefault="00292ABA" w:rsidP="00292ABA">
      <w:pPr>
        <w:numPr>
          <w:ilvl w:val="1"/>
          <w:numId w:val="11"/>
        </w:numPr>
        <w:spacing w:after="20"/>
        <w:rPr>
          <w:rFonts w:ascii="Calibri" w:hAnsi="Calibri" w:cs="Calibri"/>
          <w:sz w:val="22"/>
          <w:szCs w:val="22"/>
        </w:rPr>
      </w:pPr>
      <w:bookmarkStart w:id="6" w:name="_Toc214003084"/>
      <w:bookmarkEnd w:id="4"/>
      <w:bookmarkEnd w:id="5"/>
      <w:r w:rsidRPr="00292ABA">
        <w:rPr>
          <w:rFonts w:ascii="Calibri" w:hAnsi="Calibri" w:cs="Calibri"/>
          <w:sz w:val="22"/>
          <w:szCs w:val="22"/>
        </w:rPr>
        <w:t>Education – Primary: Elementary schools and religions education facilities</w:t>
      </w:r>
    </w:p>
    <w:p w:rsidR="00292ABA" w:rsidRPr="00292ABA" w:rsidRDefault="00292ABA" w:rsidP="00292ABA">
      <w:pPr>
        <w:numPr>
          <w:ilvl w:val="1"/>
          <w:numId w:val="11"/>
        </w:numPr>
        <w:spacing w:after="20"/>
        <w:rPr>
          <w:rFonts w:ascii="Calibri" w:hAnsi="Calibri" w:cs="Calibri"/>
          <w:sz w:val="22"/>
          <w:szCs w:val="22"/>
        </w:rPr>
      </w:pPr>
      <w:r w:rsidRPr="00292ABA">
        <w:rPr>
          <w:rFonts w:ascii="Calibri" w:hAnsi="Calibri" w:cs="Calibri"/>
          <w:sz w:val="22"/>
          <w:szCs w:val="22"/>
        </w:rPr>
        <w:t>Education – Secondary: Middle schools, junior high and high schools</w:t>
      </w:r>
    </w:p>
    <w:p w:rsidR="00292ABA" w:rsidRPr="00292ABA" w:rsidRDefault="00292ABA" w:rsidP="00292ABA">
      <w:pPr>
        <w:numPr>
          <w:ilvl w:val="1"/>
          <w:numId w:val="11"/>
        </w:numPr>
        <w:spacing w:after="20"/>
        <w:rPr>
          <w:rFonts w:ascii="Calibri" w:hAnsi="Calibri" w:cs="Calibri"/>
          <w:sz w:val="22"/>
          <w:szCs w:val="22"/>
        </w:rPr>
      </w:pPr>
      <w:r w:rsidRPr="00292ABA">
        <w:rPr>
          <w:rFonts w:ascii="Calibri" w:hAnsi="Calibri" w:cs="Calibri"/>
          <w:sz w:val="22"/>
          <w:szCs w:val="22"/>
        </w:rPr>
        <w:t xml:space="preserve">Education – </w:t>
      </w:r>
      <w:proofErr w:type="spellStart"/>
      <w:r w:rsidRPr="00292ABA">
        <w:rPr>
          <w:rFonts w:ascii="Calibri" w:hAnsi="Calibri" w:cs="Calibri"/>
          <w:sz w:val="22"/>
          <w:szCs w:val="22"/>
        </w:rPr>
        <w:t>Relocatable</w:t>
      </w:r>
      <w:proofErr w:type="spellEnd"/>
      <w:r w:rsidRPr="00292ABA">
        <w:rPr>
          <w:rFonts w:ascii="Calibri" w:hAnsi="Calibri" w:cs="Calibri"/>
          <w:sz w:val="22"/>
          <w:szCs w:val="22"/>
        </w:rPr>
        <w:t>: Mobile classroom</w:t>
      </w:r>
    </w:p>
    <w:p w:rsidR="00292ABA" w:rsidRPr="00292ABA" w:rsidRDefault="00292ABA" w:rsidP="00292ABA">
      <w:pPr>
        <w:numPr>
          <w:ilvl w:val="1"/>
          <w:numId w:val="11"/>
        </w:numPr>
        <w:spacing w:after="20"/>
        <w:rPr>
          <w:rFonts w:ascii="Calibri" w:hAnsi="Calibri" w:cs="Calibri"/>
          <w:sz w:val="22"/>
          <w:szCs w:val="22"/>
        </w:rPr>
      </w:pPr>
      <w:r w:rsidRPr="00292ABA">
        <w:rPr>
          <w:rFonts w:ascii="Calibri" w:hAnsi="Calibri" w:cs="Calibri"/>
          <w:sz w:val="22"/>
          <w:szCs w:val="22"/>
        </w:rPr>
        <w:t>Education – Community College: Community colleges, career or vocational training, adult education buildings used for classroom instruction</w:t>
      </w:r>
    </w:p>
    <w:p w:rsidR="00292ABA" w:rsidRPr="00292ABA" w:rsidRDefault="00292ABA" w:rsidP="00292ABA">
      <w:pPr>
        <w:numPr>
          <w:ilvl w:val="1"/>
          <w:numId w:val="11"/>
        </w:numPr>
        <w:spacing w:after="20"/>
        <w:rPr>
          <w:rFonts w:ascii="Calibri" w:hAnsi="Calibri" w:cs="Calibri"/>
          <w:sz w:val="22"/>
          <w:szCs w:val="22"/>
        </w:rPr>
      </w:pPr>
      <w:r w:rsidRPr="00292ABA">
        <w:rPr>
          <w:rFonts w:ascii="Calibri" w:hAnsi="Calibri" w:cs="Calibri"/>
          <w:sz w:val="22"/>
          <w:szCs w:val="22"/>
        </w:rPr>
        <w:t>Education – University: College and university buildings used for classroom instruction</w:t>
      </w:r>
    </w:p>
    <w:p w:rsidR="00292ABA" w:rsidRPr="00292ABA" w:rsidRDefault="00292ABA" w:rsidP="00292ABA">
      <w:pPr>
        <w:numPr>
          <w:ilvl w:val="1"/>
          <w:numId w:val="11"/>
        </w:numPr>
        <w:spacing w:after="20"/>
        <w:rPr>
          <w:rFonts w:ascii="Calibri" w:hAnsi="Calibri" w:cs="Calibri"/>
          <w:sz w:val="22"/>
          <w:szCs w:val="22"/>
        </w:rPr>
      </w:pPr>
      <w:r w:rsidRPr="00292ABA">
        <w:rPr>
          <w:rFonts w:ascii="Calibri" w:hAnsi="Calibri" w:cs="Calibri"/>
          <w:sz w:val="22"/>
          <w:szCs w:val="22"/>
        </w:rPr>
        <w:t>Office – Large: Government office, bank, city hall, social service, collectively over 100,000 square feet.</w:t>
      </w:r>
    </w:p>
    <w:p w:rsidR="00292ABA" w:rsidRPr="00292ABA" w:rsidRDefault="00292ABA" w:rsidP="00292ABA">
      <w:pPr>
        <w:numPr>
          <w:ilvl w:val="1"/>
          <w:numId w:val="11"/>
        </w:numPr>
        <w:spacing w:after="20"/>
        <w:rPr>
          <w:rFonts w:ascii="Calibri" w:hAnsi="Calibri" w:cs="Calibri"/>
          <w:sz w:val="22"/>
          <w:szCs w:val="22"/>
        </w:rPr>
      </w:pPr>
      <w:r w:rsidRPr="00292ABA">
        <w:rPr>
          <w:rFonts w:ascii="Calibri" w:hAnsi="Calibri" w:cs="Calibri"/>
          <w:sz w:val="22"/>
          <w:szCs w:val="22"/>
        </w:rPr>
        <w:t>Office – Small: Daycare or preschool, church, contractor or sales office, collectively under 100,000 square feet</w:t>
      </w:r>
    </w:p>
    <w:p w:rsidR="00292ABA" w:rsidRPr="00292ABA" w:rsidRDefault="00292ABA" w:rsidP="00292ABA">
      <w:pPr>
        <w:numPr>
          <w:ilvl w:val="1"/>
          <w:numId w:val="11"/>
        </w:numPr>
        <w:spacing w:after="20"/>
        <w:rPr>
          <w:rFonts w:ascii="Calibri" w:hAnsi="Calibri" w:cs="Calibri"/>
          <w:sz w:val="22"/>
          <w:szCs w:val="22"/>
        </w:rPr>
      </w:pPr>
      <w:r w:rsidRPr="00292ABA">
        <w:rPr>
          <w:rFonts w:ascii="Calibri" w:hAnsi="Calibri" w:cs="Calibri"/>
          <w:sz w:val="22"/>
          <w:szCs w:val="22"/>
        </w:rPr>
        <w:t>Retail – Multistory Large: Department stores</w:t>
      </w:r>
    </w:p>
    <w:p w:rsidR="00292ABA" w:rsidRPr="00292ABA" w:rsidRDefault="00292ABA" w:rsidP="00292ABA">
      <w:pPr>
        <w:numPr>
          <w:ilvl w:val="1"/>
          <w:numId w:val="11"/>
        </w:numPr>
        <w:spacing w:after="20"/>
        <w:rPr>
          <w:rFonts w:ascii="Calibri" w:hAnsi="Calibri" w:cs="Calibri"/>
          <w:sz w:val="22"/>
          <w:szCs w:val="22"/>
        </w:rPr>
      </w:pPr>
      <w:r w:rsidRPr="00292ABA">
        <w:rPr>
          <w:rFonts w:ascii="Calibri" w:hAnsi="Calibri" w:cs="Calibri"/>
          <w:sz w:val="22"/>
          <w:szCs w:val="22"/>
        </w:rPr>
        <w:t>Retail – Single-story Large: Big box retail stores, dealerships or showrooms, rental centers</w:t>
      </w:r>
    </w:p>
    <w:p w:rsidR="00292ABA" w:rsidRDefault="00292ABA" w:rsidP="00292ABA">
      <w:pPr>
        <w:numPr>
          <w:ilvl w:val="1"/>
          <w:numId w:val="11"/>
        </w:numPr>
        <w:spacing w:after="20"/>
        <w:rPr>
          <w:rFonts w:asciiTheme="minorHAnsi" w:hAnsiTheme="minorHAnsi" w:cstheme="minorHAnsi"/>
          <w:sz w:val="22"/>
          <w:szCs w:val="22"/>
        </w:rPr>
      </w:pPr>
      <w:r w:rsidRPr="00292ABA">
        <w:rPr>
          <w:rFonts w:ascii="Calibri" w:hAnsi="Calibri" w:cs="Calibri"/>
          <w:sz w:val="22"/>
          <w:szCs w:val="22"/>
        </w:rPr>
        <w:t>Retail – Small: Stores located in strip malls, studio, gallery</w:t>
      </w:r>
    </w:p>
    <w:p w:rsidR="00292ABA" w:rsidRPr="00292ABA" w:rsidRDefault="00292ABA" w:rsidP="00292ABA">
      <w:pPr>
        <w:numPr>
          <w:ilvl w:val="1"/>
          <w:numId w:val="11"/>
        </w:numPr>
        <w:spacing w:after="20"/>
        <w:rPr>
          <w:rFonts w:ascii="Calibri" w:hAnsi="Calibri" w:cs="Calibr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Miscellaneous</w:t>
      </w:r>
      <w:r w:rsidR="00CC64F7">
        <w:rPr>
          <w:rFonts w:asciiTheme="minorHAnsi" w:hAnsiTheme="minorHAnsi" w:cstheme="minorHAnsi"/>
          <w:sz w:val="22"/>
          <w:szCs w:val="22"/>
        </w:rPr>
        <w:t xml:space="preserve"> Commercial</w:t>
      </w:r>
    </w:p>
    <w:p w:rsidR="00E16609" w:rsidRPr="000F130A" w:rsidRDefault="00824F1C" w:rsidP="00824F1C">
      <w:pPr>
        <w:pStyle w:val="Heading2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1.2  </w:t>
      </w:r>
      <w:r w:rsidR="00E16609" w:rsidRPr="000F130A">
        <w:rPr>
          <w:rFonts w:asciiTheme="minorHAnsi" w:hAnsiTheme="minorHAnsi" w:cstheme="minorHAnsi"/>
        </w:rPr>
        <w:t>DEER Differences Analysis</w:t>
      </w:r>
      <w:bookmarkEnd w:id="6"/>
    </w:p>
    <w:p w:rsidR="00CA2AB4" w:rsidRPr="001C2A74" w:rsidRDefault="00CE56C9" w:rsidP="00E16609">
      <w:pPr>
        <w:pStyle w:val="Reminders"/>
        <w:rPr>
          <w:rFonts w:asciiTheme="minorHAnsi" w:hAnsiTheme="minorHAnsi" w:cstheme="minorHAnsi"/>
          <w:i w:val="0"/>
          <w:color w:val="auto"/>
          <w:sz w:val="22"/>
          <w:szCs w:val="22"/>
        </w:rPr>
      </w:pPr>
      <w:r w:rsidRPr="00CE56C9">
        <w:rPr>
          <w:rFonts w:asciiTheme="minorHAnsi" w:hAnsiTheme="minorHAnsi"/>
          <w:i w:val="0"/>
          <w:color w:val="auto"/>
          <w:sz w:val="22"/>
          <w:szCs w:val="22"/>
        </w:rPr>
        <w:t>The Database for Energy Efficient Resources (DEER</w:t>
      </w:r>
      <w:r w:rsidR="006F70BE" w:rsidRPr="00CE56C9">
        <w:rPr>
          <w:rFonts w:asciiTheme="minorHAnsi" w:hAnsiTheme="minorHAnsi"/>
          <w:i w:val="0"/>
          <w:color w:val="auto"/>
          <w:sz w:val="22"/>
          <w:szCs w:val="22"/>
        </w:rPr>
        <w:fldChar w:fldCharType="begin"/>
      </w:r>
      <w:r w:rsidRPr="00CE56C9">
        <w:rPr>
          <w:rFonts w:asciiTheme="minorHAnsi" w:hAnsiTheme="minorHAnsi"/>
          <w:i w:val="0"/>
          <w:color w:val="auto"/>
          <w:sz w:val="22"/>
          <w:szCs w:val="22"/>
        </w:rPr>
        <w:instrText>xe "DEER"</w:instrText>
      </w:r>
      <w:r w:rsidR="006F70BE" w:rsidRPr="00CE56C9">
        <w:rPr>
          <w:rFonts w:asciiTheme="minorHAnsi" w:hAnsiTheme="minorHAnsi"/>
          <w:i w:val="0"/>
          <w:color w:val="auto"/>
          <w:sz w:val="22"/>
          <w:szCs w:val="22"/>
        </w:rPr>
        <w:fldChar w:fldCharType="end"/>
      </w:r>
      <w:r w:rsidRPr="00CE56C9">
        <w:rPr>
          <w:rFonts w:asciiTheme="minorHAnsi" w:hAnsiTheme="minorHAnsi"/>
          <w:i w:val="0"/>
          <w:color w:val="auto"/>
          <w:sz w:val="22"/>
          <w:szCs w:val="22"/>
        </w:rPr>
        <w:t xml:space="preserve">) 2011 v4.0 [49] contains energy savings for </w:t>
      </w:r>
      <w:r w:rsidR="001C2A74" w:rsidRPr="00CE56C9">
        <w:rPr>
          <w:rFonts w:asciiTheme="minorHAnsi" w:hAnsiTheme="minorHAnsi" w:cstheme="minorHAnsi"/>
          <w:i w:val="0"/>
          <w:color w:val="auto"/>
          <w:sz w:val="22"/>
          <w:szCs w:val="22"/>
        </w:rPr>
        <w:t>occupancy</w:t>
      </w:r>
      <w:r w:rsidR="001C2A74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sensors but not </w:t>
      </w:r>
      <w:r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for </w:t>
      </w:r>
      <w:r w:rsidR="001C2A74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dimming ballasts or daylight harvesting. Since this measure is for dimming ballasts and </w:t>
      </w:r>
      <w:r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control strategies in combination with </w:t>
      </w:r>
      <w:r w:rsidR="001C2A74">
        <w:rPr>
          <w:rFonts w:asciiTheme="minorHAnsi" w:hAnsiTheme="minorHAnsi" w:cstheme="minorHAnsi"/>
          <w:i w:val="0"/>
          <w:color w:val="auto"/>
          <w:sz w:val="22"/>
          <w:szCs w:val="22"/>
        </w:rPr>
        <w:t>dimming ballasts</w:t>
      </w:r>
      <w:r>
        <w:rPr>
          <w:rFonts w:asciiTheme="minorHAnsi" w:hAnsiTheme="minorHAnsi" w:cstheme="minorHAnsi"/>
          <w:i w:val="0"/>
          <w:color w:val="auto"/>
          <w:sz w:val="22"/>
          <w:szCs w:val="22"/>
        </w:rPr>
        <w:t>,</w:t>
      </w:r>
      <w:r w:rsidR="001C2A74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the DEER measures are not applicable. </w:t>
      </w:r>
    </w:p>
    <w:p w:rsidR="009E1CDE" w:rsidRDefault="009E1CDE" w:rsidP="00E16609">
      <w:pPr>
        <w:rPr>
          <w:rFonts w:asciiTheme="minorHAnsi" w:hAnsiTheme="minorHAnsi" w:cstheme="minorHAnsi"/>
        </w:rPr>
      </w:pPr>
    </w:p>
    <w:p w:rsidR="009E1CDE" w:rsidRPr="00A67BF5" w:rsidRDefault="009E1CDE" w:rsidP="009E1CDE">
      <w:pPr>
        <w:pStyle w:val="Caption"/>
        <w:keepNext/>
        <w:jc w:val="center"/>
        <w:rPr>
          <w:rFonts w:asciiTheme="minorHAnsi" w:hAnsiTheme="minorHAnsi" w:cstheme="minorHAnsi"/>
          <w:sz w:val="22"/>
          <w:szCs w:val="22"/>
        </w:rPr>
      </w:pPr>
      <w:r w:rsidRPr="00A67BF5">
        <w:rPr>
          <w:rFonts w:asciiTheme="minorHAnsi" w:hAnsiTheme="minorHAnsi" w:cstheme="minorHAnsi"/>
          <w:sz w:val="22"/>
          <w:szCs w:val="22"/>
        </w:rPr>
        <w:t xml:space="preserve">Table </w:t>
      </w:r>
      <w:r w:rsidR="006F70BE" w:rsidRPr="00A67BF5">
        <w:rPr>
          <w:rFonts w:asciiTheme="minorHAnsi" w:hAnsiTheme="minorHAnsi" w:cstheme="minorHAnsi"/>
          <w:sz w:val="22"/>
          <w:szCs w:val="22"/>
        </w:rPr>
        <w:fldChar w:fldCharType="begin"/>
      </w:r>
      <w:r w:rsidRPr="00A67BF5">
        <w:rPr>
          <w:rFonts w:asciiTheme="minorHAnsi" w:hAnsiTheme="minorHAnsi" w:cstheme="minorHAnsi"/>
          <w:sz w:val="22"/>
          <w:szCs w:val="22"/>
        </w:rPr>
        <w:instrText xml:space="preserve"> SEQ Table \* ARABIC </w:instrText>
      </w:r>
      <w:r w:rsidR="006F70BE" w:rsidRPr="00A67BF5">
        <w:rPr>
          <w:rFonts w:asciiTheme="minorHAnsi" w:hAnsiTheme="minorHAnsi" w:cstheme="minorHAnsi"/>
          <w:sz w:val="22"/>
          <w:szCs w:val="22"/>
        </w:rPr>
        <w:fldChar w:fldCharType="separate"/>
      </w:r>
      <w:r w:rsidR="004B3254">
        <w:rPr>
          <w:rFonts w:asciiTheme="minorHAnsi" w:hAnsiTheme="minorHAnsi" w:cstheme="minorHAnsi"/>
          <w:noProof/>
          <w:sz w:val="22"/>
          <w:szCs w:val="22"/>
        </w:rPr>
        <w:t>2</w:t>
      </w:r>
      <w:r w:rsidR="006F70BE" w:rsidRPr="00A67BF5">
        <w:rPr>
          <w:rFonts w:asciiTheme="minorHAnsi" w:hAnsiTheme="minorHAnsi" w:cstheme="minorHAnsi"/>
          <w:sz w:val="22"/>
          <w:szCs w:val="22"/>
        </w:rPr>
        <w:fldChar w:fldCharType="end"/>
      </w:r>
      <w:r w:rsidRPr="00A67BF5">
        <w:rPr>
          <w:rFonts w:asciiTheme="minorHAnsi" w:hAnsiTheme="minorHAnsi" w:cstheme="minorHAnsi"/>
          <w:sz w:val="22"/>
          <w:szCs w:val="22"/>
        </w:rPr>
        <w:t xml:space="preserve"> DEER Difference </w:t>
      </w:r>
      <w:r w:rsidR="00E81F3E" w:rsidRPr="00A67BF5">
        <w:rPr>
          <w:rFonts w:asciiTheme="minorHAnsi" w:hAnsiTheme="minorHAnsi" w:cstheme="minorHAnsi"/>
          <w:sz w:val="22"/>
          <w:szCs w:val="22"/>
        </w:rPr>
        <w:t>Summary</w:t>
      </w:r>
    </w:p>
    <w:tbl>
      <w:tblPr>
        <w:tblStyle w:val="TableContemporary"/>
        <w:tblW w:w="0" w:type="auto"/>
        <w:jc w:val="center"/>
        <w:tblInd w:w="-4618" w:type="dxa"/>
        <w:tblLook w:val="04A0" w:firstRow="1" w:lastRow="0" w:firstColumn="1" w:lastColumn="0" w:noHBand="0" w:noVBand="1"/>
      </w:tblPr>
      <w:tblGrid>
        <w:gridCol w:w="3173"/>
        <w:gridCol w:w="5513"/>
      </w:tblGrid>
      <w:tr w:rsidR="006D2809" w:rsidRPr="005B28C1" w:rsidTr="0088603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tcW w:w="8686" w:type="dxa"/>
            <w:gridSpan w:val="2"/>
            <w:vAlign w:val="center"/>
          </w:tcPr>
          <w:p w:rsidR="006D2809" w:rsidRPr="006D2809" w:rsidRDefault="006D2809" w:rsidP="00602799">
            <w:pPr>
              <w:jc w:val="center"/>
              <w:rPr>
                <w:rFonts w:asciiTheme="minorHAnsi" w:hAnsiTheme="minorHAnsi" w:cstheme="minorHAnsi"/>
                <w:color w:val="FF0000"/>
                <w:sz w:val="20"/>
                <w:szCs w:val="20"/>
              </w:rPr>
            </w:pPr>
            <w:r w:rsidRPr="006D2809">
              <w:rPr>
                <w:rFonts w:asciiTheme="minorHAnsi" w:hAnsiTheme="minorHAnsi" w:cstheme="minorHAnsi"/>
                <w:sz w:val="20"/>
                <w:szCs w:val="20"/>
              </w:rPr>
              <w:t>DEER Difference Summary Table</w:t>
            </w:r>
          </w:p>
        </w:tc>
      </w:tr>
      <w:tr w:rsidR="0046286E" w:rsidRPr="005B28C1" w:rsidTr="00E81F3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3"/>
          <w:jc w:val="center"/>
        </w:trPr>
        <w:tc>
          <w:tcPr>
            <w:tcW w:w="3173" w:type="dxa"/>
            <w:vAlign w:val="center"/>
          </w:tcPr>
          <w:p w:rsidR="0046286E" w:rsidRPr="006D2809" w:rsidRDefault="0046286E" w:rsidP="00447CE5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6D2809">
              <w:rPr>
                <w:rFonts w:asciiTheme="minorHAnsi" w:hAnsiTheme="minorHAnsi" w:cstheme="minorHAnsi"/>
                <w:sz w:val="20"/>
                <w:szCs w:val="20"/>
              </w:rPr>
              <w:t xml:space="preserve">Modified DEER </w:t>
            </w:r>
            <w:r w:rsidR="001C2A74">
              <w:rPr>
                <w:rFonts w:asciiTheme="minorHAnsi" w:hAnsiTheme="minorHAnsi" w:cstheme="minorHAnsi"/>
                <w:sz w:val="20"/>
                <w:szCs w:val="20"/>
              </w:rPr>
              <w:t>Methodology</w:t>
            </w:r>
          </w:p>
        </w:tc>
        <w:tc>
          <w:tcPr>
            <w:tcW w:w="5513" w:type="dxa"/>
            <w:vAlign w:val="center"/>
          </w:tcPr>
          <w:p w:rsidR="0046286E" w:rsidRPr="001C2A74" w:rsidRDefault="0046286E" w:rsidP="0088603B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C2A74">
              <w:rPr>
                <w:rFonts w:asciiTheme="minorHAnsi" w:hAnsiTheme="minorHAnsi" w:cstheme="minorHAnsi"/>
                <w:sz w:val="20"/>
                <w:szCs w:val="20"/>
              </w:rPr>
              <w:t>No</w:t>
            </w:r>
          </w:p>
        </w:tc>
      </w:tr>
      <w:tr w:rsidR="00447CE5" w:rsidRPr="005B28C1" w:rsidTr="00E81F3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43"/>
          <w:jc w:val="center"/>
        </w:trPr>
        <w:tc>
          <w:tcPr>
            <w:tcW w:w="3173" w:type="dxa"/>
            <w:vAlign w:val="center"/>
          </w:tcPr>
          <w:p w:rsidR="00447CE5" w:rsidRPr="006D2809" w:rsidRDefault="00447CE5" w:rsidP="00E81F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Scaled DEER Measure</w:t>
            </w:r>
          </w:p>
        </w:tc>
        <w:tc>
          <w:tcPr>
            <w:tcW w:w="5513" w:type="dxa"/>
            <w:vAlign w:val="center"/>
          </w:tcPr>
          <w:p w:rsidR="00447CE5" w:rsidRPr="001C2A74" w:rsidRDefault="00447CE5" w:rsidP="00E81F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1C2A74">
              <w:rPr>
                <w:rFonts w:asciiTheme="minorHAnsi" w:hAnsiTheme="minorHAnsi" w:cstheme="minorHAnsi"/>
                <w:sz w:val="20"/>
                <w:szCs w:val="20"/>
              </w:rPr>
              <w:t>No</w:t>
            </w:r>
          </w:p>
        </w:tc>
      </w:tr>
      <w:tr w:rsidR="00E81F3E" w:rsidRPr="005B28C1" w:rsidTr="00E81F3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3"/>
          <w:jc w:val="center"/>
        </w:trPr>
        <w:tc>
          <w:tcPr>
            <w:tcW w:w="3173" w:type="dxa"/>
            <w:vAlign w:val="center"/>
          </w:tcPr>
          <w:p w:rsidR="00E81F3E" w:rsidRPr="006D2809" w:rsidRDefault="00E81F3E" w:rsidP="00E81F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6D2809">
              <w:rPr>
                <w:rFonts w:asciiTheme="minorHAnsi" w:hAnsiTheme="minorHAnsi" w:cstheme="minorHAnsi"/>
                <w:sz w:val="20"/>
                <w:szCs w:val="20"/>
              </w:rPr>
              <w:t xml:space="preserve">DEER Building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Protot</w:t>
            </w:r>
            <w:r w:rsidRPr="006D2809">
              <w:rPr>
                <w:rFonts w:asciiTheme="minorHAnsi" w:hAnsiTheme="minorHAnsi" w:cstheme="minorHAnsi"/>
                <w:sz w:val="20"/>
                <w:szCs w:val="20"/>
              </w:rPr>
              <w:t>ypes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Used</w:t>
            </w:r>
          </w:p>
        </w:tc>
        <w:tc>
          <w:tcPr>
            <w:tcW w:w="5513" w:type="dxa"/>
            <w:vAlign w:val="center"/>
          </w:tcPr>
          <w:p w:rsidR="00E81F3E" w:rsidRPr="001C2A74" w:rsidRDefault="00E81F3E" w:rsidP="00E81F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1C2A74">
              <w:rPr>
                <w:rFonts w:asciiTheme="minorHAnsi" w:hAnsiTheme="minorHAnsi" w:cstheme="minorHAnsi"/>
                <w:sz w:val="20"/>
                <w:szCs w:val="20"/>
              </w:rPr>
              <w:t>Yes</w:t>
            </w:r>
          </w:p>
        </w:tc>
      </w:tr>
      <w:tr w:rsidR="00E81F3E" w:rsidRPr="005B28C1" w:rsidTr="00E81F3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43"/>
          <w:jc w:val="center"/>
        </w:trPr>
        <w:tc>
          <w:tcPr>
            <w:tcW w:w="3173" w:type="dxa"/>
            <w:vAlign w:val="center"/>
          </w:tcPr>
          <w:p w:rsidR="00E81F3E" w:rsidRPr="006D2809" w:rsidRDefault="00E81F3E" w:rsidP="00E81F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Deviation from DEER</w:t>
            </w:r>
          </w:p>
        </w:tc>
        <w:tc>
          <w:tcPr>
            <w:tcW w:w="5513" w:type="dxa"/>
            <w:vAlign w:val="center"/>
          </w:tcPr>
          <w:p w:rsidR="00E81F3E" w:rsidRPr="001C2A74" w:rsidRDefault="00E81F3E" w:rsidP="00E81F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1C2A74">
              <w:rPr>
                <w:rFonts w:asciiTheme="minorHAnsi" w:hAnsiTheme="minorHAnsi" w:cstheme="minorHAnsi"/>
                <w:sz w:val="20"/>
                <w:szCs w:val="20"/>
              </w:rPr>
              <w:t>DEER does not contain this type of measure.</w:t>
            </w:r>
          </w:p>
        </w:tc>
      </w:tr>
      <w:tr w:rsidR="00E81F3E" w:rsidRPr="005B28C1" w:rsidTr="00E81F3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3"/>
          <w:jc w:val="center"/>
        </w:trPr>
        <w:tc>
          <w:tcPr>
            <w:tcW w:w="3173" w:type="dxa"/>
            <w:vAlign w:val="center"/>
          </w:tcPr>
          <w:p w:rsidR="00E81F3E" w:rsidRPr="006D2809" w:rsidRDefault="00E81F3E" w:rsidP="00E81F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6D2809">
              <w:rPr>
                <w:rFonts w:asciiTheme="minorHAnsi" w:hAnsiTheme="minorHAnsi" w:cstheme="minorHAnsi"/>
                <w:sz w:val="20"/>
                <w:szCs w:val="20"/>
              </w:rPr>
              <w:t>DEER Version</w:t>
            </w:r>
          </w:p>
        </w:tc>
        <w:tc>
          <w:tcPr>
            <w:tcW w:w="5513" w:type="dxa"/>
            <w:vAlign w:val="center"/>
          </w:tcPr>
          <w:p w:rsidR="00E81F3E" w:rsidRPr="001C2A74" w:rsidRDefault="00E81F3E" w:rsidP="00E81F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1C2A74">
              <w:rPr>
                <w:rFonts w:asciiTheme="minorHAnsi" w:hAnsiTheme="minorHAnsi" w:cstheme="minorHAnsi"/>
                <w:sz w:val="20"/>
                <w:szCs w:val="20"/>
              </w:rPr>
              <w:t>N/A</w:t>
            </w:r>
          </w:p>
        </w:tc>
      </w:tr>
      <w:tr w:rsidR="00E81F3E" w:rsidRPr="005B28C1" w:rsidTr="00E81F3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43"/>
          <w:jc w:val="center"/>
        </w:trPr>
        <w:tc>
          <w:tcPr>
            <w:tcW w:w="3173" w:type="dxa"/>
            <w:vAlign w:val="center"/>
          </w:tcPr>
          <w:p w:rsidR="00E81F3E" w:rsidRPr="006D2809" w:rsidRDefault="00E81F3E" w:rsidP="00AE633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6D2809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 xml:space="preserve">DEER Run ID and Measure Name </w:t>
            </w:r>
          </w:p>
        </w:tc>
        <w:tc>
          <w:tcPr>
            <w:tcW w:w="5513" w:type="dxa"/>
            <w:vAlign w:val="center"/>
          </w:tcPr>
          <w:p w:rsidR="00E81F3E" w:rsidRPr="001C2A74" w:rsidRDefault="001C2A74" w:rsidP="00E81F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N/A</w:t>
            </w:r>
          </w:p>
        </w:tc>
      </w:tr>
    </w:tbl>
    <w:p w:rsidR="00E16609" w:rsidRPr="000F130A" w:rsidRDefault="00824F1C" w:rsidP="00824F1C">
      <w:pPr>
        <w:pStyle w:val="Heading2"/>
        <w:rPr>
          <w:rFonts w:asciiTheme="minorHAnsi" w:hAnsiTheme="minorHAnsi" w:cstheme="minorHAnsi"/>
        </w:rPr>
      </w:pPr>
      <w:bookmarkStart w:id="7" w:name="_Toc214003087"/>
      <w:r>
        <w:rPr>
          <w:rFonts w:asciiTheme="minorHAnsi" w:hAnsiTheme="minorHAnsi" w:cstheme="minorHAnsi"/>
        </w:rPr>
        <w:t xml:space="preserve">1.3  </w:t>
      </w:r>
      <w:r w:rsidR="00E16609" w:rsidRPr="000F130A">
        <w:rPr>
          <w:rFonts w:asciiTheme="minorHAnsi" w:hAnsiTheme="minorHAnsi" w:cstheme="minorHAnsi"/>
        </w:rPr>
        <w:t xml:space="preserve">Code Analysis </w:t>
      </w:r>
      <w:bookmarkEnd w:id="7"/>
    </w:p>
    <w:p w:rsidR="003F2D40" w:rsidRDefault="003F2D40" w:rsidP="003F2D40">
      <w:pPr>
        <w:rPr>
          <w:rFonts w:asciiTheme="minorHAnsi" w:hAnsiTheme="minorHAnsi"/>
          <w:sz w:val="22"/>
          <w:szCs w:val="22"/>
        </w:rPr>
      </w:pPr>
      <w:r w:rsidRPr="003F2D40">
        <w:rPr>
          <w:rFonts w:asciiTheme="minorHAnsi" w:hAnsiTheme="minorHAnsi"/>
          <w:sz w:val="22"/>
          <w:szCs w:val="22"/>
        </w:rPr>
        <w:t>Effective July 14th, 2012, multiple T12 lamp types will be</w:t>
      </w:r>
      <w:r w:rsidRPr="003F2D40">
        <w:rPr>
          <w:rFonts w:asciiTheme="minorHAnsi" w:hAnsiTheme="minorHAnsi" w:cstheme="minorHAnsi"/>
          <w:sz w:val="22"/>
          <w:szCs w:val="22"/>
        </w:rPr>
        <w:t xml:space="preserve"> impacted by the new US Department of Energy standards set for general service fluorescent lamps</w:t>
      </w:r>
      <w:r w:rsidRPr="003F2D40">
        <w:rPr>
          <w:rFonts w:asciiTheme="minorHAnsi" w:hAnsiTheme="minorHAnsi"/>
          <w:sz w:val="22"/>
          <w:szCs w:val="22"/>
        </w:rPr>
        <w:t>. Accordingly, T12 fixtures are being phased out as an eligible baseline lighting technology for the purpose of calculating energy savings for lighting retrofit projects</w:t>
      </w:r>
      <w:r w:rsidRPr="003F2D40" w:rsidDel="00E0310D">
        <w:rPr>
          <w:rFonts w:asciiTheme="minorHAnsi" w:hAnsiTheme="minorHAnsi"/>
          <w:sz w:val="22"/>
          <w:szCs w:val="22"/>
        </w:rPr>
        <w:t xml:space="preserve"> </w:t>
      </w:r>
      <w:r w:rsidRPr="003F2D40">
        <w:rPr>
          <w:rFonts w:asciiTheme="minorHAnsi" w:hAnsiTheme="minorHAnsi"/>
          <w:sz w:val="22"/>
          <w:szCs w:val="22"/>
        </w:rPr>
        <w:t>[</w:t>
      </w:r>
      <w:r w:rsidR="00C92AC4">
        <w:rPr>
          <w:rStyle w:val="EndnoteReference"/>
          <w:rFonts w:asciiTheme="minorHAnsi" w:hAnsiTheme="minorHAnsi"/>
          <w:sz w:val="22"/>
          <w:szCs w:val="22"/>
          <w:vertAlign w:val="baseline"/>
        </w:rPr>
        <w:t>B</w:t>
      </w:r>
      <w:r>
        <w:rPr>
          <w:rStyle w:val="EndnoteReference"/>
          <w:rFonts w:asciiTheme="minorHAnsi" w:hAnsiTheme="minorHAnsi"/>
          <w:sz w:val="22"/>
          <w:szCs w:val="22"/>
          <w:vertAlign w:val="baseline"/>
        </w:rPr>
        <w:t>]</w:t>
      </w:r>
      <w:r w:rsidRPr="003F2D40">
        <w:rPr>
          <w:rFonts w:asciiTheme="minorHAnsi" w:hAnsiTheme="minorHAnsi"/>
          <w:sz w:val="22"/>
          <w:szCs w:val="22"/>
        </w:rPr>
        <w:t xml:space="preserve">. In accordance with the requirement, all T12 fixtures are not eligible as </w:t>
      </w:r>
      <w:r w:rsidR="009F04A4">
        <w:rPr>
          <w:rFonts w:asciiTheme="minorHAnsi" w:hAnsiTheme="minorHAnsi"/>
          <w:sz w:val="22"/>
          <w:szCs w:val="22"/>
        </w:rPr>
        <w:t xml:space="preserve">the </w:t>
      </w:r>
      <w:r w:rsidRPr="003F2D40">
        <w:rPr>
          <w:rFonts w:asciiTheme="minorHAnsi" w:hAnsiTheme="minorHAnsi"/>
          <w:sz w:val="22"/>
          <w:szCs w:val="22"/>
        </w:rPr>
        <w:t xml:space="preserve">Base Case for this measure.  </w:t>
      </w:r>
    </w:p>
    <w:p w:rsidR="00E800BD" w:rsidRDefault="00E800BD" w:rsidP="003F2D40">
      <w:pPr>
        <w:rPr>
          <w:rFonts w:asciiTheme="minorHAnsi" w:hAnsiTheme="minorHAnsi"/>
          <w:sz w:val="22"/>
          <w:szCs w:val="22"/>
        </w:rPr>
      </w:pPr>
    </w:p>
    <w:p w:rsidR="00E800BD" w:rsidRPr="003F2D40" w:rsidRDefault="00E800BD" w:rsidP="006651F7">
      <w:pPr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 xml:space="preserve">Additionally, Title 24 Section 119 lists requirements for Occupancy Sensors, Section 119(d), and for </w:t>
      </w:r>
      <w:proofErr w:type="spellStart"/>
      <w:r>
        <w:rPr>
          <w:rFonts w:asciiTheme="minorHAnsi" w:hAnsiTheme="minorHAnsi"/>
          <w:sz w:val="22"/>
          <w:szCs w:val="22"/>
        </w:rPr>
        <w:t>daylighting</w:t>
      </w:r>
      <w:proofErr w:type="spellEnd"/>
      <w:r>
        <w:rPr>
          <w:rFonts w:asciiTheme="minorHAnsi" w:hAnsiTheme="minorHAnsi"/>
          <w:sz w:val="22"/>
          <w:szCs w:val="22"/>
        </w:rPr>
        <w:t xml:space="preserve"> controls, Section 119(f) [A].</w:t>
      </w:r>
      <w:r w:rsidR="006651F7">
        <w:rPr>
          <w:rFonts w:asciiTheme="minorHAnsi" w:hAnsiTheme="minorHAnsi"/>
          <w:sz w:val="22"/>
          <w:szCs w:val="22"/>
        </w:rPr>
        <w:t xml:space="preserve"> These requirements, however, do not affect the savings calculations for a second baseline since according to Section 149(b)1 of Title 24, “</w:t>
      </w:r>
      <w:r w:rsidR="006651F7" w:rsidRPr="006651F7">
        <w:rPr>
          <w:rFonts w:asciiTheme="minorHAnsi" w:hAnsiTheme="minorHAnsi"/>
          <w:sz w:val="22"/>
          <w:szCs w:val="22"/>
        </w:rPr>
        <w:t>Replacement of parts of an existing luminaire, including installing a new ballast or new lamps, without replacing the entire luminaire is not an alteration subject to the requirements of Section 149(b)1</w:t>
      </w:r>
      <w:r w:rsidR="006651F7">
        <w:rPr>
          <w:rFonts w:asciiTheme="minorHAnsi" w:hAnsiTheme="minorHAnsi"/>
          <w:sz w:val="22"/>
          <w:szCs w:val="22"/>
        </w:rPr>
        <w:t>” [</w:t>
      </w:r>
      <w:r w:rsidR="0018726D">
        <w:rPr>
          <w:rFonts w:asciiTheme="minorHAnsi" w:hAnsiTheme="minorHAnsi"/>
          <w:sz w:val="22"/>
          <w:szCs w:val="22"/>
        </w:rPr>
        <w:t>C</w:t>
      </w:r>
      <w:r w:rsidR="006651F7">
        <w:rPr>
          <w:rFonts w:asciiTheme="minorHAnsi" w:hAnsiTheme="minorHAnsi"/>
          <w:sz w:val="22"/>
          <w:szCs w:val="22"/>
        </w:rPr>
        <w:t>]. Since the existing luminaires are not being replaced</w:t>
      </w:r>
      <w:r w:rsidR="000469A3">
        <w:rPr>
          <w:rFonts w:asciiTheme="minorHAnsi" w:hAnsiTheme="minorHAnsi"/>
          <w:sz w:val="22"/>
          <w:szCs w:val="22"/>
        </w:rPr>
        <w:t xml:space="preserve"> as part of this measure,</w:t>
      </w:r>
      <w:r w:rsidR="006651F7">
        <w:rPr>
          <w:rFonts w:asciiTheme="minorHAnsi" w:hAnsiTheme="minorHAnsi"/>
          <w:sz w:val="22"/>
          <w:szCs w:val="22"/>
        </w:rPr>
        <w:t xml:space="preserve"> Title 24 code is not triggered for savings calculations purposes.</w:t>
      </w:r>
    </w:p>
    <w:p w:rsidR="00B07EE5" w:rsidRPr="00A67BF5" w:rsidRDefault="00B07EE5" w:rsidP="00B07EE5">
      <w:pPr>
        <w:rPr>
          <w:rFonts w:asciiTheme="minorHAnsi" w:hAnsiTheme="minorHAnsi" w:cstheme="minorHAnsi"/>
          <w:sz w:val="22"/>
          <w:szCs w:val="22"/>
        </w:rPr>
      </w:pPr>
    </w:p>
    <w:p w:rsidR="00B07EE5" w:rsidRPr="00A67BF5" w:rsidRDefault="00B07EE5" w:rsidP="00B07EE5">
      <w:pPr>
        <w:pStyle w:val="Caption"/>
        <w:keepNext/>
        <w:jc w:val="center"/>
        <w:rPr>
          <w:rFonts w:asciiTheme="minorHAnsi" w:hAnsiTheme="minorHAnsi" w:cstheme="minorHAnsi"/>
          <w:sz w:val="22"/>
          <w:szCs w:val="22"/>
        </w:rPr>
      </w:pPr>
      <w:r w:rsidRPr="00A67BF5">
        <w:rPr>
          <w:rFonts w:asciiTheme="minorHAnsi" w:hAnsiTheme="minorHAnsi" w:cstheme="minorHAnsi"/>
          <w:sz w:val="22"/>
          <w:szCs w:val="22"/>
        </w:rPr>
        <w:t xml:space="preserve">Table </w:t>
      </w:r>
      <w:r w:rsidR="006F70BE" w:rsidRPr="00A67BF5">
        <w:rPr>
          <w:rFonts w:asciiTheme="minorHAnsi" w:hAnsiTheme="minorHAnsi" w:cstheme="minorHAnsi"/>
          <w:sz w:val="22"/>
          <w:szCs w:val="22"/>
        </w:rPr>
        <w:fldChar w:fldCharType="begin"/>
      </w:r>
      <w:r w:rsidRPr="00A67BF5">
        <w:rPr>
          <w:rFonts w:asciiTheme="minorHAnsi" w:hAnsiTheme="minorHAnsi" w:cstheme="minorHAnsi"/>
          <w:sz w:val="22"/>
          <w:szCs w:val="22"/>
        </w:rPr>
        <w:instrText xml:space="preserve"> SEQ Table \* ARABIC </w:instrText>
      </w:r>
      <w:r w:rsidR="006F70BE" w:rsidRPr="00A67BF5">
        <w:rPr>
          <w:rFonts w:asciiTheme="minorHAnsi" w:hAnsiTheme="minorHAnsi" w:cstheme="minorHAnsi"/>
          <w:sz w:val="22"/>
          <w:szCs w:val="22"/>
        </w:rPr>
        <w:fldChar w:fldCharType="separate"/>
      </w:r>
      <w:r w:rsidR="004B3254">
        <w:rPr>
          <w:rFonts w:asciiTheme="minorHAnsi" w:hAnsiTheme="minorHAnsi" w:cstheme="minorHAnsi"/>
          <w:noProof/>
          <w:sz w:val="22"/>
          <w:szCs w:val="22"/>
        </w:rPr>
        <w:t>3</w:t>
      </w:r>
      <w:r w:rsidR="006F70BE" w:rsidRPr="00A67BF5">
        <w:rPr>
          <w:rFonts w:asciiTheme="minorHAnsi" w:hAnsiTheme="minorHAnsi" w:cstheme="minorHAnsi"/>
          <w:sz w:val="22"/>
          <w:szCs w:val="22"/>
        </w:rPr>
        <w:fldChar w:fldCharType="end"/>
      </w:r>
      <w:r w:rsidRPr="00A67BF5">
        <w:rPr>
          <w:rFonts w:asciiTheme="minorHAnsi" w:hAnsiTheme="minorHAnsi" w:cstheme="minorHAnsi"/>
          <w:sz w:val="22"/>
          <w:szCs w:val="22"/>
        </w:rPr>
        <w:t xml:space="preserve"> </w:t>
      </w:r>
      <w:r w:rsidR="005A1078" w:rsidRPr="00A67BF5">
        <w:rPr>
          <w:rFonts w:asciiTheme="minorHAnsi" w:hAnsiTheme="minorHAnsi" w:cstheme="minorHAnsi"/>
          <w:sz w:val="22"/>
          <w:szCs w:val="22"/>
        </w:rPr>
        <w:t>Code Summary</w:t>
      </w:r>
    </w:p>
    <w:tbl>
      <w:tblPr>
        <w:tblStyle w:val="TableContemporary"/>
        <w:tblW w:w="8027" w:type="dxa"/>
        <w:jc w:val="center"/>
        <w:tblInd w:w="-4933" w:type="dxa"/>
        <w:tblLook w:val="04A0" w:firstRow="1" w:lastRow="0" w:firstColumn="1" w:lastColumn="0" w:noHBand="0" w:noVBand="1"/>
      </w:tblPr>
      <w:tblGrid>
        <w:gridCol w:w="1854"/>
        <w:gridCol w:w="4352"/>
        <w:gridCol w:w="1821"/>
      </w:tblGrid>
      <w:tr w:rsidR="00881A42" w:rsidRPr="005B28C1" w:rsidTr="00C25E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tcW w:w="1854" w:type="dxa"/>
          </w:tcPr>
          <w:p w:rsidR="00881A42" w:rsidRPr="009C1777" w:rsidRDefault="00881A42" w:rsidP="00283DE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9C1777">
              <w:rPr>
                <w:rFonts w:asciiTheme="minorHAnsi" w:hAnsiTheme="minorHAnsi" w:cstheme="minorHAnsi"/>
                <w:sz w:val="20"/>
                <w:szCs w:val="20"/>
              </w:rPr>
              <w:t>Code</w:t>
            </w:r>
          </w:p>
        </w:tc>
        <w:tc>
          <w:tcPr>
            <w:tcW w:w="4352" w:type="dxa"/>
          </w:tcPr>
          <w:p w:rsidR="00881A42" w:rsidRPr="009C1777" w:rsidRDefault="00CB0100" w:rsidP="00283DE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Applicable </w:t>
            </w:r>
            <w:r w:rsidR="00881A42">
              <w:rPr>
                <w:rFonts w:asciiTheme="minorHAnsi" w:hAnsiTheme="minorHAnsi" w:cstheme="minorHAnsi"/>
                <w:sz w:val="20"/>
                <w:szCs w:val="20"/>
              </w:rPr>
              <w:t>Code Reference</w:t>
            </w:r>
          </w:p>
        </w:tc>
        <w:tc>
          <w:tcPr>
            <w:tcW w:w="1821" w:type="dxa"/>
          </w:tcPr>
          <w:p w:rsidR="00881A42" w:rsidRDefault="00881A42" w:rsidP="00283DE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Effective Dates</w:t>
            </w:r>
          </w:p>
        </w:tc>
      </w:tr>
      <w:tr w:rsidR="002C6DDF" w:rsidRPr="005B28C1" w:rsidTr="00C25E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3"/>
          <w:jc w:val="center"/>
        </w:trPr>
        <w:tc>
          <w:tcPr>
            <w:tcW w:w="1854" w:type="dxa"/>
            <w:vAlign w:val="center"/>
          </w:tcPr>
          <w:p w:rsidR="002C6DDF" w:rsidRPr="002C6DDF" w:rsidRDefault="002C6DDF" w:rsidP="00535414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C6DDF">
              <w:rPr>
                <w:rFonts w:asciiTheme="minorHAnsi" w:hAnsiTheme="minorHAnsi" w:cstheme="minorHAnsi"/>
                <w:sz w:val="20"/>
                <w:szCs w:val="20"/>
              </w:rPr>
              <w:t>US DOE Standards (2009)</w:t>
            </w:r>
          </w:p>
        </w:tc>
        <w:tc>
          <w:tcPr>
            <w:tcW w:w="4352" w:type="dxa"/>
            <w:vAlign w:val="center"/>
          </w:tcPr>
          <w:p w:rsidR="002C6DDF" w:rsidRPr="002C6DDF" w:rsidRDefault="002C6DDF" w:rsidP="00535414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C6DDF">
              <w:rPr>
                <w:rFonts w:asciiTheme="minorHAnsi" w:hAnsiTheme="minorHAnsi" w:cstheme="minorHAnsi"/>
                <w:sz w:val="20"/>
                <w:szCs w:val="20"/>
              </w:rPr>
              <w:t>DOE 10 CFR Part 30</w:t>
            </w:r>
          </w:p>
        </w:tc>
        <w:tc>
          <w:tcPr>
            <w:tcW w:w="1821" w:type="dxa"/>
            <w:vAlign w:val="center"/>
          </w:tcPr>
          <w:p w:rsidR="002C6DDF" w:rsidRPr="002C6DDF" w:rsidRDefault="002C6DDF" w:rsidP="000469A3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C6DDF">
              <w:rPr>
                <w:rFonts w:asciiTheme="minorHAnsi" w:hAnsiTheme="minorHAnsi" w:cstheme="minorHAnsi"/>
                <w:sz w:val="20"/>
                <w:szCs w:val="20"/>
              </w:rPr>
              <w:t>July 14, 2012</w:t>
            </w:r>
          </w:p>
        </w:tc>
      </w:tr>
      <w:tr w:rsidR="006651F7" w:rsidRPr="005B28C1" w:rsidTr="00C25E6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43"/>
          <w:jc w:val="center"/>
        </w:trPr>
        <w:tc>
          <w:tcPr>
            <w:tcW w:w="1854" w:type="dxa"/>
            <w:vAlign w:val="center"/>
          </w:tcPr>
          <w:p w:rsidR="006651F7" w:rsidRPr="002C6DDF" w:rsidRDefault="006651F7" w:rsidP="00535414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Title 24</w:t>
            </w:r>
          </w:p>
        </w:tc>
        <w:tc>
          <w:tcPr>
            <w:tcW w:w="4352" w:type="dxa"/>
            <w:vAlign w:val="center"/>
          </w:tcPr>
          <w:p w:rsidR="006651F7" w:rsidRPr="002C6DDF" w:rsidRDefault="006651F7" w:rsidP="00535414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Section 119(d),(f)</w:t>
            </w:r>
          </w:p>
        </w:tc>
        <w:tc>
          <w:tcPr>
            <w:tcW w:w="1821" w:type="dxa"/>
            <w:vAlign w:val="center"/>
          </w:tcPr>
          <w:p w:rsidR="006651F7" w:rsidRPr="002C6DDF" w:rsidRDefault="006651F7" w:rsidP="00535414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January 1, 2010</w:t>
            </w:r>
          </w:p>
        </w:tc>
      </w:tr>
    </w:tbl>
    <w:p w:rsidR="00B07EE5" w:rsidRDefault="00B07EE5" w:rsidP="00E16609">
      <w:pPr>
        <w:pStyle w:val="Reminders"/>
        <w:rPr>
          <w:rFonts w:asciiTheme="minorHAnsi" w:hAnsiTheme="minorHAnsi" w:cstheme="minorHAnsi"/>
        </w:rPr>
      </w:pPr>
    </w:p>
    <w:p w:rsidR="00E16609" w:rsidRPr="00824F1C" w:rsidRDefault="00824F1C" w:rsidP="00824F1C">
      <w:pPr>
        <w:pStyle w:val="Heading2"/>
        <w:rPr>
          <w:rFonts w:asciiTheme="minorHAnsi" w:hAnsiTheme="minorHAnsi" w:cstheme="minorHAnsi"/>
        </w:rPr>
      </w:pPr>
      <w:bookmarkStart w:id="8" w:name="_Toc214003088"/>
      <w:r>
        <w:rPr>
          <w:rFonts w:asciiTheme="minorHAnsi" w:hAnsiTheme="minorHAnsi" w:cstheme="minorHAnsi"/>
        </w:rPr>
        <w:t xml:space="preserve">1.4  </w:t>
      </w:r>
      <w:r w:rsidR="00E16609" w:rsidRPr="00824F1C">
        <w:rPr>
          <w:rFonts w:asciiTheme="minorHAnsi" w:hAnsiTheme="minorHAnsi" w:cstheme="minorHAnsi"/>
        </w:rPr>
        <w:t>Measure Effective Useful Life</w:t>
      </w:r>
      <w:bookmarkEnd w:id="8"/>
    </w:p>
    <w:p w:rsidR="005B28C1" w:rsidRPr="00156708" w:rsidRDefault="00561E12" w:rsidP="000F130A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DEER11</w:t>
      </w:r>
      <w:r w:rsidR="000F130A" w:rsidRPr="00156708">
        <w:rPr>
          <w:rFonts w:asciiTheme="minorHAnsi" w:hAnsiTheme="minorHAnsi" w:cstheme="minorHAnsi"/>
          <w:sz w:val="22"/>
          <w:szCs w:val="22"/>
        </w:rPr>
        <w:t xml:space="preserve"> documentation provides EUL and RUL information to be used for the 1</w:t>
      </w:r>
      <w:r>
        <w:rPr>
          <w:rFonts w:asciiTheme="minorHAnsi" w:hAnsiTheme="minorHAnsi" w:cstheme="minorHAnsi"/>
          <w:sz w:val="22"/>
          <w:szCs w:val="22"/>
        </w:rPr>
        <w:t>3</w:t>
      </w:r>
      <w:r w:rsidR="000F130A" w:rsidRPr="00156708">
        <w:rPr>
          <w:rFonts w:asciiTheme="minorHAnsi" w:hAnsiTheme="minorHAnsi" w:cstheme="minorHAnsi"/>
          <w:sz w:val="22"/>
          <w:szCs w:val="22"/>
        </w:rPr>
        <w:t>-1</w:t>
      </w:r>
      <w:r>
        <w:rPr>
          <w:rFonts w:asciiTheme="minorHAnsi" w:hAnsiTheme="minorHAnsi" w:cstheme="minorHAnsi"/>
          <w:sz w:val="22"/>
          <w:szCs w:val="22"/>
        </w:rPr>
        <w:t>4</w:t>
      </w:r>
      <w:r w:rsidR="000F130A" w:rsidRPr="00156708">
        <w:rPr>
          <w:rFonts w:asciiTheme="minorHAnsi" w:hAnsiTheme="minorHAnsi" w:cstheme="minorHAnsi"/>
          <w:sz w:val="22"/>
          <w:szCs w:val="22"/>
        </w:rPr>
        <w:t xml:space="preserve"> program cycle on </w:t>
      </w:r>
      <w:hyperlink r:id="rId12" w:history="1">
        <w:r w:rsidR="000F130A" w:rsidRPr="00156708">
          <w:rPr>
            <w:rFonts w:asciiTheme="minorHAnsi" w:hAnsiTheme="minorHAnsi" w:cstheme="minorHAnsi"/>
            <w:sz w:val="22"/>
            <w:szCs w:val="22"/>
          </w:rPr>
          <w:t>www.deeresources.com</w:t>
        </w:r>
      </w:hyperlink>
      <w:r w:rsidR="00056947" w:rsidRPr="00156708">
        <w:rPr>
          <w:rFonts w:asciiTheme="minorHAnsi" w:hAnsiTheme="minorHAnsi" w:cstheme="minorHAnsi"/>
          <w:sz w:val="22"/>
          <w:szCs w:val="22"/>
        </w:rPr>
        <w:t xml:space="preserve">. </w:t>
      </w:r>
      <w:r w:rsidR="000F130A" w:rsidRPr="00156708">
        <w:rPr>
          <w:rFonts w:asciiTheme="minorHAnsi" w:hAnsiTheme="minorHAnsi" w:cstheme="minorHAnsi"/>
          <w:sz w:val="22"/>
          <w:szCs w:val="22"/>
        </w:rPr>
        <w:t>The DEER documentation “Summary of EUL-RUL Analysis for the April 2008 Update to DEER” provides the RUL value as a flat 1/3 of the EUL value.</w:t>
      </w:r>
    </w:p>
    <w:p w:rsidR="00056947" w:rsidRPr="00156708" w:rsidRDefault="00056947" w:rsidP="000F130A">
      <w:pPr>
        <w:rPr>
          <w:rFonts w:asciiTheme="minorHAnsi" w:hAnsiTheme="minorHAnsi" w:cstheme="minorHAnsi"/>
          <w:sz w:val="22"/>
          <w:szCs w:val="22"/>
        </w:rPr>
      </w:pPr>
    </w:p>
    <w:p w:rsidR="005B28C1" w:rsidRDefault="005B28C1" w:rsidP="000F130A">
      <w:pPr>
        <w:rPr>
          <w:rFonts w:asciiTheme="minorHAnsi" w:hAnsiTheme="minorHAnsi" w:cstheme="minorHAnsi"/>
          <w:sz w:val="22"/>
          <w:szCs w:val="22"/>
        </w:rPr>
      </w:pPr>
      <w:r w:rsidRPr="00156708">
        <w:rPr>
          <w:rFonts w:asciiTheme="minorHAnsi" w:hAnsiTheme="minorHAnsi" w:cstheme="minorHAnsi"/>
          <w:sz w:val="22"/>
          <w:szCs w:val="22"/>
        </w:rPr>
        <w:t>T</w:t>
      </w:r>
      <w:r w:rsidR="00561E12">
        <w:rPr>
          <w:rFonts w:asciiTheme="minorHAnsi" w:hAnsiTheme="minorHAnsi" w:cstheme="minorHAnsi"/>
          <w:sz w:val="22"/>
          <w:szCs w:val="22"/>
        </w:rPr>
        <w:t>o obtain the EUL value the DEER11</w:t>
      </w:r>
      <w:r w:rsidRPr="00156708">
        <w:rPr>
          <w:rFonts w:asciiTheme="minorHAnsi" w:hAnsiTheme="minorHAnsi" w:cstheme="minorHAnsi"/>
          <w:sz w:val="22"/>
          <w:szCs w:val="22"/>
        </w:rPr>
        <w:t xml:space="preserve"> documentation, EUL_Summary_10-1-08.xls</w:t>
      </w:r>
      <w:r w:rsidR="00E07752" w:rsidRPr="00156708">
        <w:rPr>
          <w:rFonts w:asciiTheme="minorHAnsi" w:hAnsiTheme="minorHAnsi" w:cstheme="minorHAnsi"/>
          <w:sz w:val="22"/>
          <w:szCs w:val="22"/>
        </w:rPr>
        <w:t xml:space="preserve"> [213]</w:t>
      </w:r>
      <w:r w:rsidR="00056947" w:rsidRPr="00156708">
        <w:rPr>
          <w:rFonts w:asciiTheme="minorHAnsi" w:hAnsiTheme="minorHAnsi" w:cstheme="minorHAnsi"/>
          <w:sz w:val="22"/>
          <w:szCs w:val="22"/>
        </w:rPr>
        <w:t>, was consulted.</w:t>
      </w:r>
      <w:r w:rsidRPr="00156708">
        <w:rPr>
          <w:rFonts w:asciiTheme="minorHAnsi" w:hAnsiTheme="minorHAnsi" w:cstheme="minorHAnsi"/>
          <w:sz w:val="22"/>
          <w:szCs w:val="22"/>
        </w:rPr>
        <w:t xml:space="preserve"> </w:t>
      </w:r>
      <w:r w:rsidR="009C7E0C">
        <w:rPr>
          <w:rFonts w:asciiTheme="minorHAnsi" w:hAnsiTheme="minorHAnsi" w:cstheme="minorHAnsi"/>
          <w:sz w:val="22"/>
          <w:szCs w:val="22"/>
        </w:rPr>
        <w:t xml:space="preserve">The EUL was taken from the </w:t>
      </w:r>
      <w:proofErr w:type="spellStart"/>
      <w:r w:rsidR="009C7E0C">
        <w:rPr>
          <w:rFonts w:asciiTheme="minorHAnsi" w:hAnsiTheme="minorHAnsi" w:cstheme="minorHAnsi"/>
          <w:sz w:val="22"/>
          <w:szCs w:val="22"/>
        </w:rPr>
        <w:t>Daylighting</w:t>
      </w:r>
      <w:proofErr w:type="spellEnd"/>
      <w:r w:rsidR="009C7E0C">
        <w:rPr>
          <w:rFonts w:asciiTheme="minorHAnsi" w:hAnsiTheme="minorHAnsi" w:cstheme="minorHAnsi"/>
          <w:sz w:val="22"/>
          <w:szCs w:val="22"/>
        </w:rPr>
        <w:t xml:space="preserve">-controls and Occupancy Sensors measures for non-residential indoor lighting in the table which both give </w:t>
      </w:r>
      <w:proofErr w:type="gramStart"/>
      <w:r w:rsidR="009C7E0C">
        <w:rPr>
          <w:rFonts w:asciiTheme="minorHAnsi" w:hAnsiTheme="minorHAnsi" w:cstheme="minorHAnsi"/>
          <w:sz w:val="22"/>
          <w:szCs w:val="22"/>
        </w:rPr>
        <w:t>an</w:t>
      </w:r>
      <w:proofErr w:type="gramEnd"/>
      <w:r w:rsidR="009C7E0C">
        <w:rPr>
          <w:rFonts w:asciiTheme="minorHAnsi" w:hAnsiTheme="minorHAnsi" w:cstheme="minorHAnsi"/>
          <w:sz w:val="22"/>
          <w:szCs w:val="22"/>
        </w:rPr>
        <w:t xml:space="preserve"> EUL of 8 years. </w:t>
      </w:r>
      <w:r w:rsidR="00D82C12">
        <w:fldChar w:fldCharType="begin"/>
      </w:r>
      <w:r w:rsidR="00D82C12">
        <w:instrText xml:space="preserve"> REF _Ref296591307 \h  \* MERGEFORMAT </w:instrText>
      </w:r>
      <w:r w:rsidR="00D82C12">
        <w:fldChar w:fldCharType="separate"/>
      </w:r>
      <w:r w:rsidR="004B3254" w:rsidRPr="00A67BF5">
        <w:rPr>
          <w:rFonts w:asciiTheme="minorHAnsi" w:hAnsiTheme="minorHAnsi" w:cstheme="minorHAnsi"/>
          <w:sz w:val="22"/>
          <w:szCs w:val="22"/>
        </w:rPr>
        <w:t xml:space="preserve">Table </w:t>
      </w:r>
      <w:r w:rsidR="004B3254">
        <w:rPr>
          <w:rFonts w:asciiTheme="minorHAnsi" w:hAnsiTheme="minorHAnsi" w:cstheme="minorHAnsi"/>
          <w:sz w:val="22"/>
          <w:szCs w:val="22"/>
        </w:rPr>
        <w:t>4</w:t>
      </w:r>
      <w:r w:rsidR="00D82C12">
        <w:fldChar w:fldCharType="end"/>
      </w:r>
      <w:r w:rsidRPr="00156708">
        <w:rPr>
          <w:rFonts w:asciiTheme="minorHAnsi" w:hAnsiTheme="minorHAnsi" w:cstheme="minorHAnsi"/>
          <w:sz w:val="22"/>
          <w:szCs w:val="22"/>
        </w:rPr>
        <w:t xml:space="preserve"> below identifies the value/methodology used for the measures in this work paper.</w:t>
      </w:r>
    </w:p>
    <w:p w:rsidR="004D593A" w:rsidRDefault="004D593A" w:rsidP="004D593A">
      <w:pPr>
        <w:rPr>
          <w:rFonts w:ascii="Calibri" w:hAnsi="Calibri" w:cs="Calibri"/>
          <w:szCs w:val="22"/>
        </w:rPr>
      </w:pPr>
    </w:p>
    <w:p w:rsidR="004D593A" w:rsidRPr="00B307AD" w:rsidRDefault="004D593A" w:rsidP="004D593A">
      <w:pPr>
        <w:rPr>
          <w:rFonts w:ascii="Calibri" w:hAnsi="Calibri" w:cs="Calibri"/>
          <w:szCs w:val="22"/>
        </w:rPr>
      </w:pPr>
      <w:r>
        <w:rPr>
          <w:rFonts w:ascii="Calibri" w:hAnsi="Calibri" w:cs="Calibri"/>
          <w:szCs w:val="22"/>
        </w:rPr>
        <w:t>This workpaper references DEER EUL_IDs</w:t>
      </w:r>
      <w:r w:rsidRPr="004D593A">
        <w:t xml:space="preserve"> </w:t>
      </w:r>
      <w:proofErr w:type="spellStart"/>
      <w:r w:rsidRPr="004D593A">
        <w:rPr>
          <w:rFonts w:ascii="Calibri" w:hAnsi="Calibri" w:cs="Calibri"/>
          <w:szCs w:val="22"/>
        </w:rPr>
        <w:t>ILtg-OccSens</w:t>
      </w:r>
      <w:proofErr w:type="spellEnd"/>
      <w:r>
        <w:rPr>
          <w:rFonts w:ascii="Calibri" w:hAnsi="Calibri" w:cs="Calibri"/>
          <w:szCs w:val="22"/>
        </w:rPr>
        <w:t xml:space="preserve"> and </w:t>
      </w:r>
      <w:proofErr w:type="spellStart"/>
      <w:r w:rsidRPr="004D593A">
        <w:rPr>
          <w:rFonts w:ascii="Calibri" w:hAnsi="Calibri" w:cs="Calibri"/>
          <w:szCs w:val="22"/>
        </w:rPr>
        <w:t>GlazDaylt-Dayltg</w:t>
      </w:r>
      <w:proofErr w:type="spellEnd"/>
      <w:r>
        <w:rPr>
          <w:rFonts w:ascii="Calibri" w:hAnsi="Calibri" w:cs="Calibri"/>
          <w:szCs w:val="22"/>
        </w:rPr>
        <w:t>.</w:t>
      </w:r>
    </w:p>
    <w:p w:rsidR="00BB5F1F" w:rsidRPr="00156708" w:rsidRDefault="00BB5F1F" w:rsidP="000F130A">
      <w:pPr>
        <w:rPr>
          <w:rFonts w:asciiTheme="minorHAnsi" w:hAnsiTheme="minorHAnsi" w:cstheme="minorHAnsi"/>
          <w:sz w:val="22"/>
          <w:szCs w:val="22"/>
        </w:rPr>
      </w:pPr>
    </w:p>
    <w:p w:rsidR="005B28C1" w:rsidRPr="00A67BF5" w:rsidRDefault="005B28C1" w:rsidP="005B28C1">
      <w:pPr>
        <w:pStyle w:val="Caption"/>
        <w:jc w:val="center"/>
        <w:rPr>
          <w:rFonts w:asciiTheme="minorHAnsi" w:hAnsiTheme="minorHAnsi" w:cstheme="minorHAnsi"/>
          <w:sz w:val="22"/>
          <w:szCs w:val="22"/>
        </w:rPr>
      </w:pPr>
      <w:bookmarkStart w:id="9" w:name="_Ref296591307"/>
      <w:r w:rsidRPr="00A67BF5">
        <w:rPr>
          <w:rFonts w:asciiTheme="minorHAnsi" w:hAnsiTheme="minorHAnsi" w:cstheme="minorHAnsi"/>
          <w:sz w:val="22"/>
          <w:szCs w:val="22"/>
        </w:rPr>
        <w:t xml:space="preserve">Table </w:t>
      </w:r>
      <w:r w:rsidR="006F70BE" w:rsidRPr="00A67BF5">
        <w:rPr>
          <w:rFonts w:asciiTheme="minorHAnsi" w:hAnsiTheme="minorHAnsi" w:cstheme="minorHAnsi"/>
          <w:sz w:val="22"/>
          <w:szCs w:val="22"/>
        </w:rPr>
        <w:fldChar w:fldCharType="begin"/>
      </w:r>
      <w:r w:rsidRPr="00A67BF5">
        <w:rPr>
          <w:rFonts w:asciiTheme="minorHAnsi" w:hAnsiTheme="minorHAnsi" w:cstheme="minorHAnsi"/>
          <w:sz w:val="22"/>
          <w:szCs w:val="22"/>
        </w:rPr>
        <w:instrText xml:space="preserve"> SEQ Table \* ARABIC </w:instrText>
      </w:r>
      <w:r w:rsidR="006F70BE" w:rsidRPr="00A67BF5">
        <w:rPr>
          <w:rFonts w:asciiTheme="minorHAnsi" w:hAnsiTheme="minorHAnsi" w:cstheme="minorHAnsi"/>
          <w:sz w:val="22"/>
          <w:szCs w:val="22"/>
        </w:rPr>
        <w:fldChar w:fldCharType="separate"/>
      </w:r>
      <w:r w:rsidR="004B3254">
        <w:rPr>
          <w:rFonts w:asciiTheme="minorHAnsi" w:hAnsiTheme="minorHAnsi" w:cstheme="minorHAnsi"/>
          <w:noProof/>
          <w:sz w:val="22"/>
          <w:szCs w:val="22"/>
        </w:rPr>
        <w:t>4</w:t>
      </w:r>
      <w:r w:rsidR="006F70BE" w:rsidRPr="00A67BF5">
        <w:rPr>
          <w:rFonts w:asciiTheme="minorHAnsi" w:hAnsiTheme="minorHAnsi" w:cstheme="minorHAnsi"/>
          <w:sz w:val="22"/>
          <w:szCs w:val="22"/>
        </w:rPr>
        <w:fldChar w:fldCharType="end"/>
      </w:r>
      <w:bookmarkEnd w:id="9"/>
      <w:r w:rsidRPr="00A67BF5">
        <w:rPr>
          <w:rFonts w:asciiTheme="minorHAnsi" w:hAnsiTheme="minorHAnsi" w:cstheme="minorHAnsi"/>
          <w:sz w:val="22"/>
          <w:szCs w:val="22"/>
        </w:rPr>
        <w:t xml:space="preserve"> DEER08 EUL Value/Methodology</w:t>
      </w:r>
    </w:p>
    <w:tbl>
      <w:tblPr>
        <w:tblStyle w:val="TableContemporary"/>
        <w:tblW w:w="0" w:type="auto"/>
        <w:jc w:val="center"/>
        <w:tblLook w:val="04A0" w:firstRow="1" w:lastRow="0" w:firstColumn="1" w:lastColumn="0" w:noHBand="0" w:noVBand="1"/>
      </w:tblPr>
      <w:tblGrid>
        <w:gridCol w:w="1761"/>
        <w:gridCol w:w="1228"/>
        <w:gridCol w:w="2186"/>
        <w:gridCol w:w="1233"/>
        <w:gridCol w:w="1170"/>
        <w:gridCol w:w="1998"/>
      </w:tblGrid>
      <w:tr w:rsidR="004D593A" w:rsidRPr="005B28C1" w:rsidTr="004D593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tcW w:w="1761" w:type="dxa"/>
          </w:tcPr>
          <w:p w:rsidR="004D593A" w:rsidRPr="005B28C1" w:rsidRDefault="004D593A" w:rsidP="000F130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8C1">
              <w:rPr>
                <w:rFonts w:asciiTheme="minorHAnsi" w:hAnsiTheme="minorHAnsi" w:cstheme="minorHAnsi"/>
                <w:sz w:val="20"/>
                <w:szCs w:val="20"/>
              </w:rPr>
              <w:t>Market</w:t>
            </w:r>
          </w:p>
        </w:tc>
        <w:tc>
          <w:tcPr>
            <w:tcW w:w="1228" w:type="dxa"/>
          </w:tcPr>
          <w:p w:rsidR="004D593A" w:rsidRPr="005B28C1" w:rsidRDefault="004D593A" w:rsidP="000F130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8C1">
              <w:rPr>
                <w:rFonts w:asciiTheme="minorHAnsi" w:hAnsiTheme="minorHAnsi" w:cstheme="minorHAnsi"/>
                <w:sz w:val="20"/>
                <w:szCs w:val="20"/>
              </w:rPr>
              <w:t>End-use</w:t>
            </w:r>
          </w:p>
        </w:tc>
        <w:tc>
          <w:tcPr>
            <w:tcW w:w="2186" w:type="dxa"/>
          </w:tcPr>
          <w:p w:rsidR="004D593A" w:rsidRPr="005B28C1" w:rsidRDefault="004D593A" w:rsidP="000F130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8C1">
              <w:rPr>
                <w:rFonts w:asciiTheme="minorHAnsi" w:hAnsiTheme="minorHAnsi" w:cstheme="minorHAnsi"/>
                <w:sz w:val="20"/>
                <w:szCs w:val="20"/>
              </w:rPr>
              <w:t>Measure</w:t>
            </w:r>
          </w:p>
        </w:tc>
        <w:tc>
          <w:tcPr>
            <w:tcW w:w="1233" w:type="dxa"/>
          </w:tcPr>
          <w:p w:rsidR="004D593A" w:rsidRPr="005B28C1" w:rsidRDefault="004D593A" w:rsidP="000F130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8C1">
              <w:rPr>
                <w:rFonts w:asciiTheme="minorHAnsi" w:hAnsiTheme="minorHAnsi" w:cstheme="minorHAnsi"/>
                <w:sz w:val="20"/>
                <w:szCs w:val="20"/>
              </w:rPr>
              <w:t>EUL (Years)</w:t>
            </w:r>
          </w:p>
        </w:tc>
        <w:tc>
          <w:tcPr>
            <w:tcW w:w="1170" w:type="dxa"/>
          </w:tcPr>
          <w:p w:rsidR="004D593A" w:rsidRPr="005B28C1" w:rsidRDefault="004D593A" w:rsidP="000F130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RUL (Years)</w:t>
            </w:r>
          </w:p>
        </w:tc>
        <w:tc>
          <w:tcPr>
            <w:tcW w:w="1998" w:type="dxa"/>
          </w:tcPr>
          <w:p w:rsidR="004D593A" w:rsidRDefault="004D593A" w:rsidP="000F130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07AD">
              <w:rPr>
                <w:rFonts w:ascii="Calibri" w:hAnsi="Calibri" w:cs="Calibri"/>
                <w:sz w:val="20"/>
                <w:szCs w:val="20"/>
              </w:rPr>
              <w:t>DEER EUL_ID</w:t>
            </w:r>
          </w:p>
        </w:tc>
      </w:tr>
      <w:tr w:rsidR="004D593A" w:rsidRPr="005B28C1" w:rsidTr="004D59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3"/>
          <w:jc w:val="center"/>
        </w:trPr>
        <w:tc>
          <w:tcPr>
            <w:tcW w:w="1761" w:type="dxa"/>
          </w:tcPr>
          <w:p w:rsidR="004D593A" w:rsidRPr="005B28C1" w:rsidRDefault="004D593A" w:rsidP="000F130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8C1">
              <w:rPr>
                <w:rFonts w:asciiTheme="minorHAnsi" w:hAnsiTheme="minorHAnsi" w:cstheme="minorHAnsi"/>
                <w:sz w:val="20"/>
                <w:szCs w:val="20"/>
              </w:rPr>
              <w:t>Non-Residential</w:t>
            </w:r>
          </w:p>
        </w:tc>
        <w:tc>
          <w:tcPr>
            <w:tcW w:w="1228" w:type="dxa"/>
          </w:tcPr>
          <w:p w:rsidR="004D593A" w:rsidRPr="005B28C1" w:rsidRDefault="004D593A" w:rsidP="000F130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Indoor Lighting</w:t>
            </w:r>
          </w:p>
        </w:tc>
        <w:tc>
          <w:tcPr>
            <w:tcW w:w="2186" w:type="dxa"/>
          </w:tcPr>
          <w:p w:rsidR="004D593A" w:rsidRPr="005B28C1" w:rsidRDefault="004D593A" w:rsidP="00A7003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Dimming Ballasts – 20% Tuning</w:t>
            </w:r>
          </w:p>
        </w:tc>
        <w:tc>
          <w:tcPr>
            <w:tcW w:w="1233" w:type="dxa"/>
          </w:tcPr>
          <w:p w:rsidR="004D593A" w:rsidRPr="005B28C1" w:rsidRDefault="004D593A" w:rsidP="000F130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8</w:t>
            </w:r>
          </w:p>
        </w:tc>
        <w:tc>
          <w:tcPr>
            <w:tcW w:w="1170" w:type="dxa"/>
          </w:tcPr>
          <w:p w:rsidR="004D593A" w:rsidRPr="005B28C1" w:rsidRDefault="004D593A" w:rsidP="000F130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2.7</w:t>
            </w:r>
          </w:p>
        </w:tc>
        <w:tc>
          <w:tcPr>
            <w:tcW w:w="1998" w:type="dxa"/>
          </w:tcPr>
          <w:p w:rsidR="004D593A" w:rsidRDefault="004D593A" w:rsidP="000F130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4D593A">
              <w:rPr>
                <w:rFonts w:asciiTheme="minorHAnsi" w:hAnsiTheme="minorHAnsi" w:cstheme="minorHAnsi"/>
                <w:sz w:val="20"/>
                <w:szCs w:val="20"/>
              </w:rPr>
              <w:t>ILtg-OccSens</w:t>
            </w:r>
            <w:proofErr w:type="spellEnd"/>
          </w:p>
          <w:p w:rsidR="004D593A" w:rsidRDefault="004D593A" w:rsidP="000F130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4D593A">
              <w:rPr>
                <w:rFonts w:asciiTheme="minorHAnsi" w:hAnsiTheme="minorHAnsi" w:cstheme="minorHAnsi"/>
                <w:sz w:val="20"/>
                <w:szCs w:val="20"/>
              </w:rPr>
              <w:t>GlazDaylt-Dayltg</w:t>
            </w:r>
            <w:proofErr w:type="spellEnd"/>
          </w:p>
        </w:tc>
      </w:tr>
      <w:tr w:rsidR="004D593A" w:rsidRPr="005B28C1" w:rsidTr="004D593A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43"/>
          <w:jc w:val="center"/>
        </w:trPr>
        <w:tc>
          <w:tcPr>
            <w:tcW w:w="1761" w:type="dxa"/>
          </w:tcPr>
          <w:p w:rsidR="004D593A" w:rsidRPr="005B28C1" w:rsidRDefault="004D593A" w:rsidP="00A7003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8C1">
              <w:rPr>
                <w:rFonts w:asciiTheme="minorHAnsi" w:hAnsiTheme="minorHAnsi" w:cstheme="minorHAnsi"/>
                <w:sz w:val="20"/>
                <w:szCs w:val="20"/>
              </w:rPr>
              <w:t>Non-Residential</w:t>
            </w:r>
          </w:p>
        </w:tc>
        <w:tc>
          <w:tcPr>
            <w:tcW w:w="1228" w:type="dxa"/>
          </w:tcPr>
          <w:p w:rsidR="004D593A" w:rsidRPr="005B28C1" w:rsidRDefault="004D593A" w:rsidP="00A7003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Indoor Lighting</w:t>
            </w:r>
          </w:p>
        </w:tc>
        <w:tc>
          <w:tcPr>
            <w:tcW w:w="2186" w:type="dxa"/>
          </w:tcPr>
          <w:p w:rsidR="004D593A" w:rsidRDefault="004D593A" w:rsidP="00A7003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D3DB9">
              <w:rPr>
                <w:rFonts w:asciiTheme="minorHAnsi" w:hAnsiTheme="minorHAnsi" w:cstheme="minorHAnsi"/>
                <w:sz w:val="20"/>
                <w:szCs w:val="20"/>
              </w:rPr>
              <w:t>Dimming Ballasts - 20% Tuning + Daylight Harvesting</w:t>
            </w:r>
          </w:p>
        </w:tc>
        <w:tc>
          <w:tcPr>
            <w:tcW w:w="1233" w:type="dxa"/>
          </w:tcPr>
          <w:p w:rsidR="004D593A" w:rsidRPr="005B28C1" w:rsidRDefault="004D593A" w:rsidP="000F130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8</w:t>
            </w:r>
          </w:p>
        </w:tc>
        <w:tc>
          <w:tcPr>
            <w:tcW w:w="1170" w:type="dxa"/>
          </w:tcPr>
          <w:p w:rsidR="004D593A" w:rsidRDefault="004D593A" w:rsidP="000F130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2.7</w:t>
            </w:r>
          </w:p>
        </w:tc>
        <w:tc>
          <w:tcPr>
            <w:tcW w:w="1998" w:type="dxa"/>
          </w:tcPr>
          <w:p w:rsidR="004D593A" w:rsidRDefault="004D593A" w:rsidP="004D593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4D593A">
              <w:rPr>
                <w:rFonts w:asciiTheme="minorHAnsi" w:hAnsiTheme="minorHAnsi" w:cstheme="minorHAnsi"/>
                <w:sz w:val="20"/>
                <w:szCs w:val="20"/>
              </w:rPr>
              <w:t>ILtg-OccSens</w:t>
            </w:r>
            <w:proofErr w:type="spellEnd"/>
          </w:p>
          <w:p w:rsidR="004D593A" w:rsidRDefault="004D593A" w:rsidP="004D593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4D593A">
              <w:rPr>
                <w:rFonts w:asciiTheme="minorHAnsi" w:hAnsiTheme="minorHAnsi" w:cstheme="minorHAnsi"/>
                <w:sz w:val="20"/>
                <w:szCs w:val="20"/>
              </w:rPr>
              <w:t>GlazDaylt-Dayltg</w:t>
            </w:r>
            <w:proofErr w:type="spellEnd"/>
          </w:p>
        </w:tc>
      </w:tr>
      <w:tr w:rsidR="004D593A" w:rsidRPr="005B28C1" w:rsidTr="004D59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3"/>
          <w:jc w:val="center"/>
        </w:trPr>
        <w:tc>
          <w:tcPr>
            <w:tcW w:w="1761" w:type="dxa"/>
          </w:tcPr>
          <w:p w:rsidR="004D593A" w:rsidRPr="005B28C1" w:rsidRDefault="004D593A" w:rsidP="00A7003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8C1">
              <w:rPr>
                <w:rFonts w:asciiTheme="minorHAnsi" w:hAnsiTheme="minorHAnsi" w:cstheme="minorHAnsi"/>
                <w:sz w:val="20"/>
                <w:szCs w:val="20"/>
              </w:rPr>
              <w:t>Non-Residential</w:t>
            </w:r>
          </w:p>
        </w:tc>
        <w:tc>
          <w:tcPr>
            <w:tcW w:w="1228" w:type="dxa"/>
          </w:tcPr>
          <w:p w:rsidR="004D593A" w:rsidRPr="005B28C1" w:rsidRDefault="004D593A" w:rsidP="00A7003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Indoor Lighting</w:t>
            </w:r>
          </w:p>
        </w:tc>
        <w:tc>
          <w:tcPr>
            <w:tcW w:w="2186" w:type="dxa"/>
          </w:tcPr>
          <w:p w:rsidR="004D593A" w:rsidRDefault="004D593A" w:rsidP="00A7003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D3DB9">
              <w:rPr>
                <w:rFonts w:asciiTheme="minorHAnsi" w:hAnsiTheme="minorHAnsi" w:cstheme="minorHAnsi"/>
                <w:sz w:val="20"/>
                <w:szCs w:val="20"/>
              </w:rPr>
              <w:t>Dimming Ballasts - 20% Tuning + Occupancy Sensor</w:t>
            </w:r>
          </w:p>
        </w:tc>
        <w:tc>
          <w:tcPr>
            <w:tcW w:w="1233" w:type="dxa"/>
          </w:tcPr>
          <w:p w:rsidR="004D593A" w:rsidRPr="005B28C1" w:rsidRDefault="004D593A" w:rsidP="000F130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8</w:t>
            </w:r>
          </w:p>
        </w:tc>
        <w:tc>
          <w:tcPr>
            <w:tcW w:w="1170" w:type="dxa"/>
          </w:tcPr>
          <w:p w:rsidR="004D593A" w:rsidRDefault="004D593A" w:rsidP="000F130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2.7</w:t>
            </w:r>
          </w:p>
        </w:tc>
        <w:tc>
          <w:tcPr>
            <w:tcW w:w="1998" w:type="dxa"/>
          </w:tcPr>
          <w:p w:rsidR="004D593A" w:rsidRDefault="004D593A" w:rsidP="004D593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4D593A">
              <w:rPr>
                <w:rFonts w:asciiTheme="minorHAnsi" w:hAnsiTheme="minorHAnsi" w:cstheme="minorHAnsi"/>
                <w:sz w:val="20"/>
                <w:szCs w:val="20"/>
              </w:rPr>
              <w:t>ILtg-OccSens</w:t>
            </w:r>
            <w:proofErr w:type="spellEnd"/>
          </w:p>
          <w:p w:rsidR="004D593A" w:rsidRDefault="004D593A" w:rsidP="004D593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4D593A">
              <w:rPr>
                <w:rFonts w:asciiTheme="minorHAnsi" w:hAnsiTheme="minorHAnsi" w:cstheme="minorHAnsi"/>
                <w:sz w:val="20"/>
                <w:szCs w:val="20"/>
              </w:rPr>
              <w:t>GlazDaylt-Dayltg</w:t>
            </w:r>
            <w:proofErr w:type="spellEnd"/>
          </w:p>
        </w:tc>
      </w:tr>
      <w:tr w:rsidR="004D593A" w:rsidRPr="005B28C1" w:rsidTr="004D593A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43"/>
          <w:jc w:val="center"/>
        </w:trPr>
        <w:tc>
          <w:tcPr>
            <w:tcW w:w="1761" w:type="dxa"/>
          </w:tcPr>
          <w:p w:rsidR="004D593A" w:rsidRPr="005B28C1" w:rsidRDefault="004D593A" w:rsidP="00A7003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5B28C1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Non-Residential</w:t>
            </w:r>
          </w:p>
        </w:tc>
        <w:tc>
          <w:tcPr>
            <w:tcW w:w="1228" w:type="dxa"/>
          </w:tcPr>
          <w:p w:rsidR="004D593A" w:rsidRPr="005B28C1" w:rsidRDefault="004D593A" w:rsidP="00A7003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Indoor Lighting</w:t>
            </w:r>
          </w:p>
        </w:tc>
        <w:tc>
          <w:tcPr>
            <w:tcW w:w="2186" w:type="dxa"/>
          </w:tcPr>
          <w:p w:rsidR="004D593A" w:rsidRDefault="004D593A" w:rsidP="00A7003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D3DB9">
              <w:rPr>
                <w:rFonts w:asciiTheme="minorHAnsi" w:hAnsiTheme="minorHAnsi" w:cstheme="minorHAnsi"/>
                <w:sz w:val="20"/>
                <w:szCs w:val="20"/>
              </w:rPr>
              <w:t>Dimming Ballasts - 20% Tuning + Occupancy Sensor + Daylight Harvesting with Side Lighting Photo Controls</w:t>
            </w:r>
          </w:p>
        </w:tc>
        <w:tc>
          <w:tcPr>
            <w:tcW w:w="1233" w:type="dxa"/>
          </w:tcPr>
          <w:p w:rsidR="004D593A" w:rsidRPr="005B28C1" w:rsidRDefault="004D593A" w:rsidP="000F130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8</w:t>
            </w:r>
          </w:p>
        </w:tc>
        <w:tc>
          <w:tcPr>
            <w:tcW w:w="1170" w:type="dxa"/>
          </w:tcPr>
          <w:p w:rsidR="004D593A" w:rsidRDefault="004D593A" w:rsidP="000F130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2.7</w:t>
            </w:r>
          </w:p>
        </w:tc>
        <w:tc>
          <w:tcPr>
            <w:tcW w:w="1998" w:type="dxa"/>
          </w:tcPr>
          <w:p w:rsidR="004D593A" w:rsidRDefault="004D593A" w:rsidP="004D593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4D593A">
              <w:rPr>
                <w:rFonts w:asciiTheme="minorHAnsi" w:hAnsiTheme="minorHAnsi" w:cstheme="minorHAnsi"/>
                <w:sz w:val="20"/>
                <w:szCs w:val="20"/>
              </w:rPr>
              <w:t>ILtg-OccSens</w:t>
            </w:r>
            <w:proofErr w:type="spellEnd"/>
          </w:p>
          <w:p w:rsidR="004D593A" w:rsidRDefault="004D593A" w:rsidP="004D593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4D593A">
              <w:rPr>
                <w:rFonts w:asciiTheme="minorHAnsi" w:hAnsiTheme="minorHAnsi" w:cstheme="minorHAnsi"/>
                <w:sz w:val="20"/>
                <w:szCs w:val="20"/>
              </w:rPr>
              <w:t>GlazDaylt-Dayltg</w:t>
            </w:r>
            <w:proofErr w:type="spellEnd"/>
          </w:p>
        </w:tc>
      </w:tr>
    </w:tbl>
    <w:p w:rsidR="005B28C1" w:rsidRPr="000F130A" w:rsidRDefault="005B28C1" w:rsidP="000F130A">
      <w:pPr>
        <w:rPr>
          <w:rFonts w:asciiTheme="minorHAnsi" w:hAnsiTheme="minorHAnsi" w:cstheme="minorHAnsi"/>
        </w:rPr>
      </w:pPr>
    </w:p>
    <w:p w:rsidR="00E16609" w:rsidRPr="000F130A" w:rsidRDefault="00824F1C" w:rsidP="00824F1C">
      <w:pPr>
        <w:pStyle w:val="Heading2"/>
        <w:rPr>
          <w:rFonts w:asciiTheme="minorHAnsi" w:hAnsiTheme="minorHAnsi" w:cstheme="minorHAnsi"/>
        </w:rPr>
      </w:pPr>
      <w:bookmarkStart w:id="10" w:name="_Toc214003089"/>
      <w:r>
        <w:rPr>
          <w:rFonts w:asciiTheme="minorHAnsi" w:hAnsiTheme="minorHAnsi" w:cstheme="minorHAnsi"/>
        </w:rPr>
        <w:t xml:space="preserve">1.5  </w:t>
      </w:r>
      <w:r w:rsidR="00E16609" w:rsidRPr="000F130A">
        <w:rPr>
          <w:rFonts w:asciiTheme="minorHAnsi" w:hAnsiTheme="minorHAnsi" w:cstheme="minorHAnsi"/>
        </w:rPr>
        <w:t>Net-to-Gross Ratios for Different Program Strategies</w:t>
      </w:r>
      <w:bookmarkEnd w:id="10"/>
    </w:p>
    <w:p w:rsidR="00A03D2B" w:rsidRPr="003A3CEB" w:rsidRDefault="001A6428" w:rsidP="00A03D2B">
      <w:pPr>
        <w:rPr>
          <w:rFonts w:asciiTheme="minorHAnsi" w:hAnsiTheme="minorHAnsi" w:cstheme="minorHAnsi"/>
          <w:sz w:val="22"/>
          <w:szCs w:val="22"/>
        </w:rPr>
      </w:pPr>
      <w:bookmarkStart w:id="11" w:name="OLE_LINK4"/>
      <w:bookmarkStart w:id="12" w:name="OLE_LINK5"/>
      <w:r w:rsidRPr="001A6428">
        <w:rPr>
          <w:rFonts w:asciiTheme="minorHAnsi" w:hAnsiTheme="minorHAnsi" w:cstheme="minorHAnsi"/>
          <w:sz w:val="22"/>
          <w:szCs w:val="22"/>
        </w:rPr>
        <w:t>The NTG value</w:t>
      </w:r>
      <w:r w:rsidR="000469A3">
        <w:rPr>
          <w:rFonts w:asciiTheme="minorHAnsi" w:hAnsiTheme="minorHAnsi" w:cstheme="minorHAnsi"/>
          <w:sz w:val="22"/>
          <w:szCs w:val="22"/>
        </w:rPr>
        <w:t>s were</w:t>
      </w:r>
      <w:r w:rsidRPr="001A6428">
        <w:rPr>
          <w:rFonts w:asciiTheme="minorHAnsi" w:hAnsiTheme="minorHAnsi" w:cstheme="minorHAnsi"/>
          <w:sz w:val="22"/>
          <w:szCs w:val="22"/>
        </w:rPr>
        <w:t xml:space="preserve"> obtained from the “DEER2011_NTGR_2012-05-16.xls” on the DEER website as required by Version 4 of the California Public Utilities Commission (CPUC) Energy </w:t>
      </w:r>
      <w:bookmarkEnd w:id="11"/>
      <w:bookmarkEnd w:id="12"/>
      <w:r w:rsidRPr="001A6428">
        <w:rPr>
          <w:rFonts w:asciiTheme="minorHAnsi" w:hAnsiTheme="minorHAnsi" w:cstheme="minorHAnsi"/>
          <w:sz w:val="22"/>
          <w:szCs w:val="22"/>
        </w:rPr>
        <w:t>Efficiency Policy Manual [132]. The relevant NTGR</w:t>
      </w:r>
      <w:r w:rsidR="000469A3">
        <w:rPr>
          <w:rFonts w:asciiTheme="minorHAnsi" w:hAnsiTheme="minorHAnsi" w:cstheme="minorHAnsi"/>
          <w:sz w:val="22"/>
          <w:szCs w:val="22"/>
        </w:rPr>
        <w:t>s for these</w:t>
      </w:r>
      <w:r w:rsidRPr="001A6428">
        <w:rPr>
          <w:rFonts w:asciiTheme="minorHAnsi" w:hAnsiTheme="minorHAnsi" w:cstheme="minorHAnsi"/>
          <w:sz w:val="22"/>
          <w:szCs w:val="22"/>
        </w:rPr>
        <w:t xml:space="preserve"> measure</w:t>
      </w:r>
      <w:r w:rsidR="000469A3">
        <w:rPr>
          <w:rFonts w:asciiTheme="minorHAnsi" w:hAnsiTheme="minorHAnsi" w:cstheme="minorHAnsi"/>
          <w:sz w:val="22"/>
          <w:szCs w:val="22"/>
        </w:rPr>
        <w:t>s</w:t>
      </w:r>
      <w:r w:rsidRPr="001A6428">
        <w:rPr>
          <w:rFonts w:asciiTheme="minorHAnsi" w:hAnsiTheme="minorHAnsi" w:cstheme="minorHAnsi"/>
          <w:sz w:val="22"/>
          <w:szCs w:val="22"/>
        </w:rPr>
        <w:t xml:space="preserve"> </w:t>
      </w:r>
      <w:r w:rsidR="000469A3">
        <w:rPr>
          <w:rFonts w:asciiTheme="minorHAnsi" w:hAnsiTheme="minorHAnsi" w:cstheme="minorHAnsi"/>
          <w:sz w:val="22"/>
          <w:szCs w:val="22"/>
        </w:rPr>
        <w:t>are</w:t>
      </w:r>
      <w:r w:rsidRPr="001A6428">
        <w:rPr>
          <w:rFonts w:asciiTheme="minorHAnsi" w:hAnsiTheme="minorHAnsi" w:cstheme="minorHAnsi"/>
          <w:sz w:val="22"/>
          <w:szCs w:val="22"/>
        </w:rPr>
        <w:t xml:space="preserve"> shown in </w:t>
      </w:r>
      <w:r w:rsidR="00D82C12">
        <w:fldChar w:fldCharType="begin"/>
      </w:r>
      <w:r w:rsidR="00D82C12">
        <w:instrText xml:space="preserve"> REF _Ref296591799 \h  \* MERGEFORMAT </w:instrText>
      </w:r>
      <w:r w:rsidR="00D82C12">
        <w:fldChar w:fldCharType="separate"/>
      </w:r>
      <w:r w:rsidR="004B3254" w:rsidRPr="00F4752B">
        <w:rPr>
          <w:rFonts w:asciiTheme="minorHAnsi" w:hAnsiTheme="minorHAnsi" w:cstheme="minorHAnsi"/>
          <w:sz w:val="22"/>
          <w:szCs w:val="22"/>
        </w:rPr>
        <w:t xml:space="preserve">Table </w:t>
      </w:r>
      <w:r w:rsidR="004B3254">
        <w:rPr>
          <w:rFonts w:asciiTheme="minorHAnsi" w:hAnsiTheme="minorHAnsi" w:cstheme="minorHAnsi"/>
          <w:noProof/>
          <w:sz w:val="22"/>
          <w:szCs w:val="22"/>
        </w:rPr>
        <w:t>5</w:t>
      </w:r>
      <w:r w:rsidR="00D82C12">
        <w:fldChar w:fldCharType="end"/>
      </w:r>
      <w:r w:rsidRPr="001A6428">
        <w:rPr>
          <w:rFonts w:asciiTheme="minorHAnsi" w:hAnsiTheme="minorHAnsi" w:cstheme="minorHAnsi"/>
          <w:sz w:val="22"/>
          <w:szCs w:val="22"/>
        </w:rPr>
        <w:t>5 below.</w:t>
      </w:r>
    </w:p>
    <w:p w:rsidR="00E16609" w:rsidRPr="000F130A" w:rsidRDefault="00E16609" w:rsidP="00E16609">
      <w:pPr>
        <w:rPr>
          <w:rFonts w:asciiTheme="minorHAnsi" w:hAnsiTheme="minorHAnsi" w:cstheme="minorHAnsi"/>
        </w:rPr>
      </w:pPr>
    </w:p>
    <w:p w:rsidR="00E16609" w:rsidRPr="00F4752B" w:rsidRDefault="00D75D77" w:rsidP="00D75D77">
      <w:pPr>
        <w:pStyle w:val="Caption"/>
        <w:jc w:val="center"/>
        <w:rPr>
          <w:rFonts w:asciiTheme="minorHAnsi" w:hAnsiTheme="minorHAnsi" w:cstheme="minorHAnsi"/>
          <w:sz w:val="22"/>
          <w:szCs w:val="22"/>
        </w:rPr>
      </w:pPr>
      <w:bookmarkStart w:id="13" w:name="_Ref296591799"/>
      <w:r w:rsidRPr="00F4752B">
        <w:rPr>
          <w:rFonts w:asciiTheme="minorHAnsi" w:hAnsiTheme="minorHAnsi" w:cstheme="minorHAnsi"/>
          <w:sz w:val="22"/>
          <w:szCs w:val="22"/>
        </w:rPr>
        <w:t xml:space="preserve">Table </w:t>
      </w:r>
      <w:r w:rsidR="006F70BE" w:rsidRPr="00F4752B">
        <w:rPr>
          <w:rFonts w:asciiTheme="minorHAnsi" w:hAnsiTheme="minorHAnsi" w:cstheme="minorHAnsi"/>
          <w:sz w:val="22"/>
          <w:szCs w:val="22"/>
        </w:rPr>
        <w:fldChar w:fldCharType="begin"/>
      </w:r>
      <w:r w:rsidRPr="00F4752B">
        <w:rPr>
          <w:rFonts w:asciiTheme="minorHAnsi" w:hAnsiTheme="minorHAnsi" w:cstheme="minorHAnsi"/>
          <w:sz w:val="22"/>
          <w:szCs w:val="22"/>
        </w:rPr>
        <w:instrText xml:space="preserve"> SEQ Table \* ARABIC </w:instrText>
      </w:r>
      <w:r w:rsidR="006F70BE" w:rsidRPr="00F4752B">
        <w:rPr>
          <w:rFonts w:asciiTheme="minorHAnsi" w:hAnsiTheme="minorHAnsi" w:cstheme="minorHAnsi"/>
          <w:sz w:val="22"/>
          <w:szCs w:val="22"/>
        </w:rPr>
        <w:fldChar w:fldCharType="separate"/>
      </w:r>
      <w:r w:rsidR="004B3254">
        <w:rPr>
          <w:rFonts w:asciiTheme="minorHAnsi" w:hAnsiTheme="minorHAnsi" w:cstheme="minorHAnsi"/>
          <w:noProof/>
          <w:sz w:val="22"/>
          <w:szCs w:val="22"/>
        </w:rPr>
        <w:t>5</w:t>
      </w:r>
      <w:r w:rsidR="006F70BE" w:rsidRPr="00F4752B">
        <w:rPr>
          <w:rFonts w:asciiTheme="minorHAnsi" w:hAnsiTheme="minorHAnsi" w:cstheme="minorHAnsi"/>
          <w:sz w:val="22"/>
          <w:szCs w:val="22"/>
        </w:rPr>
        <w:fldChar w:fldCharType="end"/>
      </w:r>
      <w:bookmarkEnd w:id="13"/>
      <w:r w:rsidR="00E16609" w:rsidRPr="00F4752B">
        <w:rPr>
          <w:rFonts w:asciiTheme="minorHAnsi" w:hAnsiTheme="minorHAnsi" w:cstheme="minorHAnsi"/>
          <w:sz w:val="22"/>
          <w:szCs w:val="22"/>
        </w:rPr>
        <w:t xml:space="preserve"> Net-to-Gross Ratio</w:t>
      </w:r>
    </w:p>
    <w:tbl>
      <w:tblPr>
        <w:tblStyle w:val="TableContemporary"/>
        <w:tblW w:w="4381" w:type="pct"/>
        <w:jc w:val="center"/>
        <w:tblInd w:w="1186" w:type="dxa"/>
        <w:tblLook w:val="01E0" w:firstRow="1" w:lastRow="1" w:firstColumn="1" w:lastColumn="1" w:noHBand="0" w:noVBand="0"/>
      </w:tblPr>
      <w:tblGrid>
        <w:gridCol w:w="1356"/>
        <w:gridCol w:w="1720"/>
        <w:gridCol w:w="1314"/>
        <w:gridCol w:w="1634"/>
        <w:gridCol w:w="1279"/>
        <w:gridCol w:w="1087"/>
      </w:tblGrid>
      <w:tr w:rsidR="00A03D2B" w:rsidRPr="000F130A" w:rsidTr="004365A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tcW w:w="808" w:type="pct"/>
            <w:vAlign w:val="center"/>
          </w:tcPr>
          <w:p w:rsidR="00A03D2B" w:rsidRPr="003A3CEB" w:rsidRDefault="00A03D2B" w:rsidP="002224E0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3A3CEB">
              <w:rPr>
                <w:rFonts w:asciiTheme="minorHAnsi" w:hAnsiTheme="minorHAnsi" w:cstheme="minorHAnsi"/>
                <w:sz w:val="20"/>
                <w:szCs w:val="20"/>
              </w:rPr>
              <w:t>NTGR_ID*</w:t>
            </w:r>
          </w:p>
        </w:tc>
        <w:tc>
          <w:tcPr>
            <w:tcW w:w="1025" w:type="pct"/>
            <w:vAlign w:val="center"/>
          </w:tcPr>
          <w:p w:rsidR="00A03D2B" w:rsidRPr="007651AF" w:rsidRDefault="00A03D2B" w:rsidP="002224E0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7651AF">
              <w:rPr>
                <w:rFonts w:asciiTheme="minorHAnsi" w:hAnsiTheme="minorHAnsi" w:cstheme="minorHAnsi"/>
                <w:sz w:val="20"/>
                <w:szCs w:val="20"/>
              </w:rPr>
              <w:t>Description*</w:t>
            </w:r>
          </w:p>
        </w:tc>
        <w:tc>
          <w:tcPr>
            <w:tcW w:w="783" w:type="pct"/>
            <w:vAlign w:val="center"/>
          </w:tcPr>
          <w:p w:rsidR="00A03D2B" w:rsidRPr="009A35B9" w:rsidRDefault="00A03D2B" w:rsidP="002224E0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9A35B9">
              <w:rPr>
                <w:rFonts w:asciiTheme="minorHAnsi" w:hAnsiTheme="minorHAnsi" w:cstheme="minorHAnsi"/>
                <w:sz w:val="20"/>
                <w:szCs w:val="20"/>
              </w:rPr>
              <w:t>Sector*</w:t>
            </w:r>
          </w:p>
        </w:tc>
        <w:tc>
          <w:tcPr>
            <w:tcW w:w="974" w:type="pct"/>
            <w:vAlign w:val="center"/>
          </w:tcPr>
          <w:p w:rsidR="00A03D2B" w:rsidRPr="003A3CEB" w:rsidRDefault="001A6428" w:rsidP="002224E0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>
              <w:rPr>
                <w:rFonts w:asciiTheme="minorHAnsi" w:hAnsiTheme="minorHAnsi" w:cstheme="minorHAnsi"/>
                <w:sz w:val="20"/>
                <w:szCs w:val="20"/>
              </w:rPr>
              <w:t>BldgType</w:t>
            </w:r>
            <w:proofErr w:type="spellEnd"/>
            <w:r>
              <w:rPr>
                <w:rFonts w:asciiTheme="minorHAnsi" w:hAnsiTheme="minorHAnsi" w:cstheme="minorHAnsi"/>
                <w:sz w:val="20"/>
                <w:szCs w:val="20"/>
              </w:rPr>
              <w:t>*</w:t>
            </w:r>
          </w:p>
        </w:tc>
        <w:tc>
          <w:tcPr>
            <w:tcW w:w="762" w:type="pct"/>
          </w:tcPr>
          <w:p w:rsidR="00A03D2B" w:rsidRPr="003A3CEB" w:rsidRDefault="001A6428" w:rsidP="002224E0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>
              <w:rPr>
                <w:rFonts w:asciiTheme="minorHAnsi" w:hAnsiTheme="minorHAnsi" w:cstheme="minorHAnsi"/>
                <w:sz w:val="20"/>
                <w:szCs w:val="20"/>
              </w:rPr>
              <w:t>ProgDelivID</w:t>
            </w:r>
            <w:proofErr w:type="spellEnd"/>
          </w:p>
        </w:tc>
        <w:tc>
          <w:tcPr>
            <w:tcW w:w="648" w:type="pct"/>
            <w:vAlign w:val="center"/>
          </w:tcPr>
          <w:p w:rsidR="00A03D2B" w:rsidRPr="003A3CEB" w:rsidRDefault="001A6428" w:rsidP="002224E0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NTG*</w:t>
            </w:r>
          </w:p>
        </w:tc>
      </w:tr>
      <w:tr w:rsidR="00A03D2B" w:rsidRPr="000F130A" w:rsidTr="004365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808" w:type="pct"/>
            <w:vAlign w:val="center"/>
          </w:tcPr>
          <w:p w:rsidR="00A03D2B" w:rsidRPr="003A3CEB" w:rsidRDefault="00A03D2B" w:rsidP="002224E0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3A3CEB">
              <w:rPr>
                <w:rFonts w:asciiTheme="minorHAnsi" w:hAnsiTheme="minorHAnsi" w:cstheme="minorHAnsi"/>
                <w:sz w:val="20"/>
                <w:szCs w:val="20"/>
              </w:rPr>
              <w:t>NonRes-sAll-mLtgCtrl</w:t>
            </w:r>
            <w:proofErr w:type="spellEnd"/>
          </w:p>
        </w:tc>
        <w:tc>
          <w:tcPr>
            <w:tcW w:w="1025" w:type="pct"/>
            <w:vAlign w:val="center"/>
          </w:tcPr>
          <w:p w:rsidR="00A03D2B" w:rsidRPr="003A3CEB" w:rsidRDefault="001A6428" w:rsidP="00A03D2B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1A6428">
              <w:rPr>
                <w:rFonts w:asciiTheme="minorHAnsi" w:hAnsiTheme="minorHAnsi" w:cstheme="minorHAnsi"/>
                <w:sz w:val="20"/>
                <w:szCs w:val="20"/>
              </w:rPr>
              <w:t>Lighting controls</w:t>
            </w:r>
          </w:p>
        </w:tc>
        <w:tc>
          <w:tcPr>
            <w:tcW w:w="783" w:type="pct"/>
            <w:vAlign w:val="center"/>
          </w:tcPr>
          <w:p w:rsidR="00A03D2B" w:rsidRPr="003A3CEB" w:rsidRDefault="001A6428" w:rsidP="00A03D2B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1A6428">
              <w:rPr>
                <w:rFonts w:asciiTheme="minorHAnsi" w:hAnsiTheme="minorHAnsi" w:cstheme="minorHAnsi"/>
                <w:sz w:val="20"/>
                <w:szCs w:val="20"/>
              </w:rPr>
              <w:t>Com</w:t>
            </w:r>
          </w:p>
        </w:tc>
        <w:tc>
          <w:tcPr>
            <w:tcW w:w="974" w:type="pct"/>
            <w:vAlign w:val="center"/>
          </w:tcPr>
          <w:p w:rsidR="00A03D2B" w:rsidRPr="003A3CEB" w:rsidRDefault="00A03D2B" w:rsidP="002224E0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3A3CEB">
              <w:rPr>
                <w:rFonts w:asciiTheme="minorHAnsi" w:hAnsiTheme="minorHAnsi" w:cstheme="minorHAnsi"/>
                <w:sz w:val="20"/>
                <w:szCs w:val="20"/>
              </w:rPr>
              <w:t>Any</w:t>
            </w:r>
          </w:p>
        </w:tc>
        <w:tc>
          <w:tcPr>
            <w:tcW w:w="762" w:type="pct"/>
            <w:vAlign w:val="center"/>
          </w:tcPr>
          <w:p w:rsidR="00A03D2B" w:rsidRPr="003A3CEB" w:rsidRDefault="00A03D2B" w:rsidP="002224E0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3A3CEB">
              <w:rPr>
                <w:rFonts w:asciiTheme="minorHAnsi" w:hAnsiTheme="minorHAnsi" w:cstheme="minorHAnsi"/>
                <w:sz w:val="20"/>
                <w:szCs w:val="20"/>
              </w:rPr>
              <w:t>PreRebDown</w:t>
            </w:r>
            <w:proofErr w:type="spellEnd"/>
          </w:p>
        </w:tc>
        <w:tc>
          <w:tcPr>
            <w:tcW w:w="648" w:type="pct"/>
            <w:vAlign w:val="center"/>
          </w:tcPr>
          <w:p w:rsidR="00A03D2B" w:rsidRPr="007651AF" w:rsidRDefault="00A03D2B" w:rsidP="002224E0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7651AF">
              <w:rPr>
                <w:rFonts w:asciiTheme="minorHAnsi" w:hAnsiTheme="minorHAnsi" w:cstheme="minorHAnsi"/>
                <w:sz w:val="20"/>
                <w:szCs w:val="20"/>
              </w:rPr>
              <w:t>0.6</w:t>
            </w:r>
            <w:r w:rsidR="00561E12">
              <w:rPr>
                <w:rFonts w:asciiTheme="minorHAnsi" w:hAnsiTheme="minorHAnsi" w:cstheme="minorHAnsi"/>
                <w:sz w:val="20"/>
                <w:szCs w:val="20"/>
              </w:rPr>
              <w:t>0</w:t>
            </w:r>
          </w:p>
        </w:tc>
      </w:tr>
      <w:tr w:rsidR="004365AD" w:rsidRPr="000F130A" w:rsidTr="004365A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jc w:val="center"/>
        </w:trPr>
        <w:tc>
          <w:tcPr>
            <w:tcW w:w="808" w:type="pct"/>
            <w:vAlign w:val="center"/>
          </w:tcPr>
          <w:p w:rsidR="004365AD" w:rsidRPr="003A3CEB" w:rsidRDefault="004365AD" w:rsidP="004365A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3A3CEB">
              <w:rPr>
                <w:rFonts w:asciiTheme="minorHAnsi" w:hAnsiTheme="minorHAnsi" w:cstheme="minorHAnsi"/>
                <w:sz w:val="20"/>
                <w:szCs w:val="20"/>
              </w:rPr>
              <w:t>NonRes-sAll-mLtgCtrl</w:t>
            </w:r>
            <w:proofErr w:type="spellEnd"/>
          </w:p>
        </w:tc>
        <w:tc>
          <w:tcPr>
            <w:tcW w:w="1025" w:type="pct"/>
            <w:vAlign w:val="center"/>
          </w:tcPr>
          <w:p w:rsidR="004365AD" w:rsidRPr="003A3CEB" w:rsidRDefault="004365AD" w:rsidP="004365A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1A6428">
              <w:rPr>
                <w:rFonts w:asciiTheme="minorHAnsi" w:hAnsiTheme="minorHAnsi" w:cstheme="minorHAnsi"/>
                <w:sz w:val="20"/>
                <w:szCs w:val="20"/>
              </w:rPr>
              <w:t>Lighting controls</w:t>
            </w:r>
          </w:p>
        </w:tc>
        <w:tc>
          <w:tcPr>
            <w:tcW w:w="783" w:type="pct"/>
            <w:vAlign w:val="center"/>
          </w:tcPr>
          <w:p w:rsidR="004365AD" w:rsidRPr="003A3CEB" w:rsidRDefault="004365AD" w:rsidP="004365A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>
              <w:rPr>
                <w:rFonts w:asciiTheme="minorHAnsi" w:hAnsiTheme="minorHAnsi" w:cstheme="minorHAnsi"/>
                <w:sz w:val="20"/>
                <w:szCs w:val="20"/>
              </w:rPr>
              <w:t>Ind</w:t>
            </w:r>
            <w:proofErr w:type="spellEnd"/>
          </w:p>
        </w:tc>
        <w:tc>
          <w:tcPr>
            <w:tcW w:w="974" w:type="pct"/>
            <w:vAlign w:val="center"/>
          </w:tcPr>
          <w:p w:rsidR="004365AD" w:rsidRPr="003A3CEB" w:rsidRDefault="004365AD" w:rsidP="004365A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3A3CEB">
              <w:rPr>
                <w:rFonts w:asciiTheme="minorHAnsi" w:hAnsiTheme="minorHAnsi" w:cstheme="minorHAnsi"/>
                <w:sz w:val="20"/>
                <w:szCs w:val="20"/>
              </w:rPr>
              <w:t>Any</w:t>
            </w:r>
          </w:p>
        </w:tc>
        <w:tc>
          <w:tcPr>
            <w:tcW w:w="762" w:type="pct"/>
            <w:vAlign w:val="center"/>
          </w:tcPr>
          <w:p w:rsidR="004365AD" w:rsidRPr="003A3CEB" w:rsidRDefault="004365AD" w:rsidP="004365A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3A3CEB">
              <w:rPr>
                <w:rFonts w:asciiTheme="minorHAnsi" w:hAnsiTheme="minorHAnsi" w:cstheme="minorHAnsi"/>
                <w:sz w:val="20"/>
                <w:szCs w:val="20"/>
              </w:rPr>
              <w:t>PreRebDown</w:t>
            </w:r>
            <w:proofErr w:type="spellEnd"/>
          </w:p>
        </w:tc>
        <w:tc>
          <w:tcPr>
            <w:tcW w:w="648" w:type="pct"/>
            <w:vAlign w:val="center"/>
          </w:tcPr>
          <w:p w:rsidR="004365AD" w:rsidRPr="007651AF" w:rsidRDefault="004365AD" w:rsidP="004365A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7651AF">
              <w:rPr>
                <w:rFonts w:asciiTheme="minorHAnsi" w:hAnsiTheme="minorHAnsi" w:cstheme="minorHAnsi"/>
                <w:sz w:val="20"/>
                <w:szCs w:val="20"/>
              </w:rPr>
              <w:t>0.6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0</w:t>
            </w:r>
          </w:p>
        </w:tc>
      </w:tr>
      <w:tr w:rsidR="004365AD" w:rsidRPr="000F130A" w:rsidTr="004365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808" w:type="pct"/>
            <w:vAlign w:val="center"/>
          </w:tcPr>
          <w:p w:rsidR="004365AD" w:rsidRPr="003A3CEB" w:rsidRDefault="004365AD" w:rsidP="004365A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3A3CEB">
              <w:rPr>
                <w:rFonts w:asciiTheme="minorHAnsi" w:hAnsiTheme="minorHAnsi" w:cstheme="minorHAnsi"/>
                <w:sz w:val="20"/>
                <w:szCs w:val="20"/>
              </w:rPr>
              <w:t>NonRes-sAll-mLtgCtrl</w:t>
            </w:r>
            <w:proofErr w:type="spellEnd"/>
          </w:p>
        </w:tc>
        <w:tc>
          <w:tcPr>
            <w:tcW w:w="1025" w:type="pct"/>
            <w:vAlign w:val="center"/>
          </w:tcPr>
          <w:p w:rsidR="004365AD" w:rsidRPr="003A3CEB" w:rsidRDefault="004365AD" w:rsidP="004365A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1A6428">
              <w:rPr>
                <w:rFonts w:asciiTheme="minorHAnsi" w:hAnsiTheme="minorHAnsi" w:cstheme="minorHAnsi"/>
                <w:sz w:val="20"/>
                <w:szCs w:val="20"/>
              </w:rPr>
              <w:t>Lighting controls</w:t>
            </w:r>
          </w:p>
        </w:tc>
        <w:tc>
          <w:tcPr>
            <w:tcW w:w="783" w:type="pct"/>
            <w:vAlign w:val="center"/>
          </w:tcPr>
          <w:p w:rsidR="004365AD" w:rsidRPr="003A3CEB" w:rsidRDefault="004365AD" w:rsidP="004365A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Ag</w:t>
            </w:r>
          </w:p>
        </w:tc>
        <w:tc>
          <w:tcPr>
            <w:tcW w:w="974" w:type="pct"/>
            <w:vAlign w:val="center"/>
          </w:tcPr>
          <w:p w:rsidR="004365AD" w:rsidRPr="003A3CEB" w:rsidRDefault="004365AD" w:rsidP="004365A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3A3CEB">
              <w:rPr>
                <w:rFonts w:asciiTheme="minorHAnsi" w:hAnsiTheme="minorHAnsi" w:cstheme="minorHAnsi"/>
                <w:sz w:val="20"/>
                <w:szCs w:val="20"/>
              </w:rPr>
              <w:t>Any</w:t>
            </w:r>
          </w:p>
        </w:tc>
        <w:tc>
          <w:tcPr>
            <w:tcW w:w="762" w:type="pct"/>
            <w:vAlign w:val="center"/>
          </w:tcPr>
          <w:p w:rsidR="004365AD" w:rsidRPr="003A3CEB" w:rsidRDefault="004365AD" w:rsidP="004365A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3A3CEB">
              <w:rPr>
                <w:rFonts w:asciiTheme="minorHAnsi" w:hAnsiTheme="minorHAnsi" w:cstheme="minorHAnsi"/>
                <w:sz w:val="20"/>
                <w:szCs w:val="20"/>
              </w:rPr>
              <w:t>PreRebDown</w:t>
            </w:r>
            <w:proofErr w:type="spellEnd"/>
          </w:p>
        </w:tc>
        <w:tc>
          <w:tcPr>
            <w:tcW w:w="648" w:type="pct"/>
            <w:vAlign w:val="center"/>
          </w:tcPr>
          <w:p w:rsidR="004365AD" w:rsidRPr="007651AF" w:rsidRDefault="004365AD" w:rsidP="004365AD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7651AF">
              <w:rPr>
                <w:rFonts w:asciiTheme="minorHAnsi" w:hAnsiTheme="minorHAnsi" w:cstheme="minorHAnsi"/>
                <w:sz w:val="20"/>
                <w:szCs w:val="20"/>
              </w:rPr>
              <w:t>0.6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0</w:t>
            </w:r>
          </w:p>
        </w:tc>
      </w:tr>
      <w:tr w:rsidR="004365AD" w:rsidRPr="000F130A" w:rsidTr="004365A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jc w:val="center"/>
        </w:trPr>
        <w:tc>
          <w:tcPr>
            <w:tcW w:w="808" w:type="pct"/>
            <w:vAlign w:val="center"/>
          </w:tcPr>
          <w:p w:rsidR="004365AD" w:rsidRPr="003A3CEB" w:rsidRDefault="004365AD" w:rsidP="002224E0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4365AD">
              <w:rPr>
                <w:rFonts w:asciiTheme="minorHAnsi" w:hAnsiTheme="minorHAnsi" w:cstheme="minorHAnsi"/>
                <w:sz w:val="20"/>
                <w:szCs w:val="20"/>
              </w:rPr>
              <w:t>NonRes-sAll-mLtgCtrl-htr</w:t>
            </w:r>
            <w:proofErr w:type="spellEnd"/>
          </w:p>
        </w:tc>
        <w:tc>
          <w:tcPr>
            <w:tcW w:w="1025" w:type="pct"/>
            <w:vAlign w:val="center"/>
          </w:tcPr>
          <w:p w:rsidR="004365AD" w:rsidRPr="001A6428" w:rsidRDefault="004365AD" w:rsidP="00A03D2B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4365AD">
              <w:rPr>
                <w:rFonts w:asciiTheme="minorHAnsi" w:hAnsiTheme="minorHAnsi" w:cstheme="minorHAnsi"/>
                <w:sz w:val="20"/>
                <w:szCs w:val="20"/>
              </w:rPr>
              <w:t>Lighting controls</w:t>
            </w:r>
          </w:p>
        </w:tc>
        <w:tc>
          <w:tcPr>
            <w:tcW w:w="783" w:type="pct"/>
            <w:vAlign w:val="center"/>
          </w:tcPr>
          <w:p w:rsidR="004365AD" w:rsidRPr="001A6428" w:rsidRDefault="004365AD" w:rsidP="00A03D2B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Com</w:t>
            </w:r>
          </w:p>
        </w:tc>
        <w:tc>
          <w:tcPr>
            <w:tcW w:w="974" w:type="pct"/>
            <w:vAlign w:val="center"/>
          </w:tcPr>
          <w:p w:rsidR="004365AD" w:rsidRPr="003A3CEB" w:rsidRDefault="004365AD" w:rsidP="002224E0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Any</w:t>
            </w:r>
          </w:p>
        </w:tc>
        <w:tc>
          <w:tcPr>
            <w:tcW w:w="762" w:type="pct"/>
            <w:vAlign w:val="center"/>
          </w:tcPr>
          <w:p w:rsidR="004365AD" w:rsidRPr="003A3CEB" w:rsidRDefault="004365AD" w:rsidP="002224E0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4365AD">
              <w:rPr>
                <w:rFonts w:asciiTheme="minorHAnsi" w:hAnsiTheme="minorHAnsi" w:cstheme="minorHAnsi"/>
                <w:sz w:val="20"/>
                <w:szCs w:val="20"/>
              </w:rPr>
              <w:t>DirInstall</w:t>
            </w:r>
            <w:proofErr w:type="spellEnd"/>
          </w:p>
        </w:tc>
        <w:tc>
          <w:tcPr>
            <w:tcW w:w="648" w:type="pct"/>
            <w:vAlign w:val="center"/>
          </w:tcPr>
          <w:p w:rsidR="004365AD" w:rsidRPr="007651AF" w:rsidRDefault="004365AD" w:rsidP="002224E0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0.89</w:t>
            </w:r>
          </w:p>
        </w:tc>
      </w:tr>
      <w:tr w:rsidR="004365AD" w:rsidRPr="000F130A" w:rsidTr="004365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808" w:type="pct"/>
            <w:vAlign w:val="center"/>
          </w:tcPr>
          <w:p w:rsidR="004365AD" w:rsidRPr="003A3CEB" w:rsidRDefault="004365AD" w:rsidP="002224E0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4365AD">
              <w:rPr>
                <w:rFonts w:asciiTheme="minorHAnsi" w:hAnsiTheme="minorHAnsi" w:cstheme="minorHAnsi"/>
                <w:sz w:val="20"/>
                <w:szCs w:val="20"/>
              </w:rPr>
              <w:t>NonRes-sAll-mLtgCtrl-htr</w:t>
            </w:r>
            <w:proofErr w:type="spellEnd"/>
          </w:p>
        </w:tc>
        <w:tc>
          <w:tcPr>
            <w:tcW w:w="1025" w:type="pct"/>
            <w:vAlign w:val="center"/>
          </w:tcPr>
          <w:p w:rsidR="004365AD" w:rsidRPr="001A6428" w:rsidRDefault="004365AD" w:rsidP="00A03D2B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4365AD">
              <w:rPr>
                <w:rFonts w:asciiTheme="minorHAnsi" w:hAnsiTheme="minorHAnsi" w:cstheme="minorHAnsi"/>
                <w:sz w:val="20"/>
                <w:szCs w:val="20"/>
              </w:rPr>
              <w:t>Lighting controls</w:t>
            </w:r>
          </w:p>
        </w:tc>
        <w:tc>
          <w:tcPr>
            <w:tcW w:w="783" w:type="pct"/>
            <w:vAlign w:val="center"/>
          </w:tcPr>
          <w:p w:rsidR="004365AD" w:rsidRPr="001A6428" w:rsidRDefault="004365AD" w:rsidP="00A03D2B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>
              <w:rPr>
                <w:rFonts w:asciiTheme="minorHAnsi" w:hAnsiTheme="minorHAnsi" w:cstheme="minorHAnsi"/>
                <w:sz w:val="20"/>
                <w:szCs w:val="20"/>
              </w:rPr>
              <w:t>Ind</w:t>
            </w:r>
            <w:proofErr w:type="spellEnd"/>
          </w:p>
        </w:tc>
        <w:tc>
          <w:tcPr>
            <w:tcW w:w="974" w:type="pct"/>
            <w:vAlign w:val="center"/>
          </w:tcPr>
          <w:p w:rsidR="004365AD" w:rsidRPr="003A3CEB" w:rsidRDefault="004365AD" w:rsidP="002224E0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Any</w:t>
            </w:r>
          </w:p>
        </w:tc>
        <w:tc>
          <w:tcPr>
            <w:tcW w:w="762" w:type="pct"/>
            <w:vAlign w:val="center"/>
          </w:tcPr>
          <w:p w:rsidR="004365AD" w:rsidRPr="003A3CEB" w:rsidRDefault="004365AD" w:rsidP="002224E0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4365AD">
              <w:rPr>
                <w:rFonts w:asciiTheme="minorHAnsi" w:hAnsiTheme="minorHAnsi" w:cstheme="minorHAnsi"/>
                <w:sz w:val="20"/>
                <w:szCs w:val="20"/>
              </w:rPr>
              <w:t>DirInstall</w:t>
            </w:r>
            <w:proofErr w:type="spellEnd"/>
          </w:p>
        </w:tc>
        <w:tc>
          <w:tcPr>
            <w:tcW w:w="648" w:type="pct"/>
            <w:vAlign w:val="center"/>
          </w:tcPr>
          <w:p w:rsidR="004365AD" w:rsidRPr="007651AF" w:rsidRDefault="004365AD" w:rsidP="002224E0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0.89</w:t>
            </w:r>
          </w:p>
        </w:tc>
      </w:tr>
      <w:tr w:rsidR="004365AD" w:rsidRPr="000F130A" w:rsidTr="004365A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jc w:val="center"/>
        </w:trPr>
        <w:tc>
          <w:tcPr>
            <w:tcW w:w="808" w:type="pct"/>
            <w:vAlign w:val="center"/>
          </w:tcPr>
          <w:p w:rsidR="004365AD" w:rsidRPr="003A3CEB" w:rsidRDefault="004365AD" w:rsidP="002224E0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4365AD">
              <w:rPr>
                <w:rFonts w:asciiTheme="minorHAnsi" w:hAnsiTheme="minorHAnsi" w:cstheme="minorHAnsi"/>
                <w:sz w:val="20"/>
                <w:szCs w:val="20"/>
              </w:rPr>
              <w:t>NonRes-sAll-mLtgCtrl-htr</w:t>
            </w:r>
            <w:proofErr w:type="spellEnd"/>
          </w:p>
        </w:tc>
        <w:tc>
          <w:tcPr>
            <w:tcW w:w="1025" w:type="pct"/>
            <w:vAlign w:val="center"/>
          </w:tcPr>
          <w:p w:rsidR="004365AD" w:rsidRPr="001A6428" w:rsidRDefault="004365AD" w:rsidP="00A03D2B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4365AD">
              <w:rPr>
                <w:rFonts w:asciiTheme="minorHAnsi" w:hAnsiTheme="minorHAnsi" w:cstheme="minorHAnsi"/>
                <w:sz w:val="20"/>
                <w:szCs w:val="20"/>
              </w:rPr>
              <w:t>Lighting controls</w:t>
            </w:r>
          </w:p>
        </w:tc>
        <w:tc>
          <w:tcPr>
            <w:tcW w:w="783" w:type="pct"/>
            <w:vAlign w:val="center"/>
          </w:tcPr>
          <w:p w:rsidR="004365AD" w:rsidRPr="001A6428" w:rsidRDefault="004365AD" w:rsidP="00A03D2B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Ag</w:t>
            </w:r>
          </w:p>
        </w:tc>
        <w:tc>
          <w:tcPr>
            <w:tcW w:w="974" w:type="pct"/>
            <w:vAlign w:val="center"/>
          </w:tcPr>
          <w:p w:rsidR="004365AD" w:rsidRPr="003A3CEB" w:rsidRDefault="004365AD" w:rsidP="002224E0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Any</w:t>
            </w:r>
          </w:p>
        </w:tc>
        <w:tc>
          <w:tcPr>
            <w:tcW w:w="762" w:type="pct"/>
            <w:vAlign w:val="center"/>
          </w:tcPr>
          <w:p w:rsidR="004365AD" w:rsidRPr="003A3CEB" w:rsidRDefault="004365AD" w:rsidP="002224E0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4365AD">
              <w:rPr>
                <w:rFonts w:asciiTheme="minorHAnsi" w:hAnsiTheme="minorHAnsi" w:cstheme="minorHAnsi"/>
                <w:sz w:val="20"/>
                <w:szCs w:val="20"/>
              </w:rPr>
              <w:t>DirInstall</w:t>
            </w:r>
            <w:proofErr w:type="spellEnd"/>
          </w:p>
        </w:tc>
        <w:tc>
          <w:tcPr>
            <w:tcW w:w="648" w:type="pct"/>
            <w:vAlign w:val="center"/>
          </w:tcPr>
          <w:p w:rsidR="004365AD" w:rsidRPr="007651AF" w:rsidRDefault="004365AD" w:rsidP="002224E0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0.89</w:t>
            </w:r>
          </w:p>
        </w:tc>
      </w:tr>
      <w:tr w:rsidR="00D44A41" w:rsidRPr="000F130A" w:rsidTr="004365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808" w:type="pct"/>
            <w:vAlign w:val="center"/>
          </w:tcPr>
          <w:p w:rsidR="00D44A41" w:rsidRPr="004365AD" w:rsidRDefault="00D44A41" w:rsidP="002224E0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D44A41">
              <w:rPr>
                <w:rFonts w:asciiTheme="minorHAnsi" w:hAnsiTheme="minorHAnsi" w:cstheme="minorHAnsi"/>
                <w:sz w:val="20"/>
                <w:szCs w:val="20"/>
              </w:rPr>
              <w:t>All-Default&lt;=2yrs</w:t>
            </w:r>
          </w:p>
        </w:tc>
        <w:tc>
          <w:tcPr>
            <w:tcW w:w="1025" w:type="pct"/>
            <w:vAlign w:val="center"/>
          </w:tcPr>
          <w:p w:rsidR="00D44A41" w:rsidRPr="004365AD" w:rsidRDefault="00D44A41" w:rsidP="00A03D2B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D44A41">
              <w:rPr>
                <w:rFonts w:asciiTheme="minorHAnsi" w:hAnsiTheme="minorHAnsi" w:cstheme="minorHAnsi"/>
                <w:sz w:val="20"/>
                <w:szCs w:val="20"/>
              </w:rPr>
              <w:t>All other EEM with no evaluated NTGR; new technology in program for 2 or fewer years</w:t>
            </w:r>
          </w:p>
        </w:tc>
        <w:tc>
          <w:tcPr>
            <w:tcW w:w="783" w:type="pct"/>
            <w:vAlign w:val="center"/>
          </w:tcPr>
          <w:p w:rsidR="00D44A41" w:rsidRDefault="00D44A41" w:rsidP="00A03D2B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All</w:t>
            </w:r>
          </w:p>
        </w:tc>
        <w:tc>
          <w:tcPr>
            <w:tcW w:w="974" w:type="pct"/>
            <w:vAlign w:val="center"/>
          </w:tcPr>
          <w:p w:rsidR="00D44A41" w:rsidRDefault="00D44A41" w:rsidP="002224E0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Any</w:t>
            </w:r>
          </w:p>
        </w:tc>
        <w:tc>
          <w:tcPr>
            <w:tcW w:w="762" w:type="pct"/>
            <w:vAlign w:val="center"/>
          </w:tcPr>
          <w:p w:rsidR="00D44A41" w:rsidRPr="004365AD" w:rsidRDefault="00D44A41" w:rsidP="002224E0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All</w:t>
            </w:r>
          </w:p>
        </w:tc>
        <w:tc>
          <w:tcPr>
            <w:tcW w:w="648" w:type="pct"/>
            <w:vAlign w:val="center"/>
          </w:tcPr>
          <w:p w:rsidR="00D44A41" w:rsidRDefault="00D44A41" w:rsidP="002224E0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0.70</w:t>
            </w:r>
          </w:p>
        </w:tc>
      </w:tr>
    </w:tbl>
    <w:p w:rsidR="00A03D2B" w:rsidRDefault="00A03D2B" w:rsidP="00A03D2B">
      <w:pPr>
        <w:rPr>
          <w:rFonts w:asciiTheme="minorHAnsi" w:hAnsiTheme="minorHAnsi" w:cstheme="minorHAnsi"/>
        </w:rPr>
      </w:pPr>
    </w:p>
    <w:p w:rsidR="003A3CEB" w:rsidRPr="004E01F5" w:rsidRDefault="003A3CEB" w:rsidP="003A3CEB">
      <w:pPr>
        <w:rPr>
          <w:rFonts w:asciiTheme="minorHAnsi" w:hAnsiTheme="minorHAnsi" w:cstheme="minorHAnsi"/>
          <w:b/>
          <w:bCs/>
          <w:iCs/>
          <w:smallCaps/>
          <w:sz w:val="22"/>
          <w:szCs w:val="22"/>
        </w:rPr>
      </w:pPr>
      <w:r w:rsidRPr="004E01F5">
        <w:rPr>
          <w:rFonts w:asciiTheme="minorHAnsi" w:hAnsiTheme="minorHAnsi" w:cstheme="minorHAnsi"/>
          <w:sz w:val="22"/>
          <w:szCs w:val="22"/>
        </w:rPr>
        <w:t>The installation rate (IR) is identified in the calculation attachment. This value is obtained from a spreadsheet cr</w:t>
      </w:r>
      <w:r w:rsidR="00D82C12">
        <w:rPr>
          <w:rFonts w:asciiTheme="minorHAnsi" w:hAnsiTheme="minorHAnsi" w:cstheme="minorHAnsi"/>
          <w:sz w:val="22"/>
          <w:szCs w:val="22"/>
        </w:rPr>
        <w:t>eated by the DEER team titled “</w:t>
      </w:r>
      <w:r w:rsidRPr="004E01F5">
        <w:rPr>
          <w:rFonts w:asciiTheme="minorHAnsi" w:hAnsiTheme="minorHAnsi" w:cstheme="minorHAnsi"/>
          <w:sz w:val="22"/>
          <w:szCs w:val="22"/>
        </w:rPr>
        <w:t>GrossSavingsAdjustments.xlsx”</w:t>
      </w:r>
      <w:r>
        <w:rPr>
          <w:rFonts w:asciiTheme="minorHAnsi" w:hAnsiTheme="minorHAnsi" w:cstheme="minorHAnsi"/>
          <w:sz w:val="22"/>
          <w:szCs w:val="22"/>
        </w:rPr>
        <w:t>. The installation rate varies by end use, sector, technology, application, and delivery method.</w:t>
      </w:r>
    </w:p>
    <w:p w:rsidR="003A3CEB" w:rsidRPr="00BD3931" w:rsidRDefault="003A3CEB" w:rsidP="003A3CEB">
      <w:pPr>
        <w:pStyle w:val="Heading2"/>
        <w:rPr>
          <w:rFonts w:asciiTheme="minorHAnsi" w:hAnsiTheme="minorHAnsi" w:cstheme="minorHAnsi"/>
          <w:b w:val="0"/>
          <w:bCs w:val="0"/>
          <w:iCs w:val="0"/>
          <w:smallCaps w:val="0"/>
          <w:sz w:val="22"/>
          <w:szCs w:val="22"/>
        </w:rPr>
      </w:pPr>
      <w:r w:rsidRPr="00BD3931">
        <w:rPr>
          <w:rFonts w:asciiTheme="minorHAnsi" w:hAnsiTheme="minorHAnsi" w:cstheme="minorHAnsi"/>
          <w:b w:val="0"/>
          <w:bCs w:val="0"/>
          <w:iCs w:val="0"/>
          <w:smallCaps w:val="0"/>
          <w:sz w:val="22"/>
          <w:szCs w:val="22"/>
        </w:rPr>
        <w:t>Spillage rate will also be applied to measures however the values will not be tracked in the work</w:t>
      </w:r>
      <w:r w:rsidR="004365AD">
        <w:rPr>
          <w:rFonts w:asciiTheme="minorHAnsi" w:hAnsiTheme="minorHAnsi" w:cstheme="minorHAnsi"/>
          <w:b w:val="0"/>
          <w:bCs w:val="0"/>
          <w:iCs w:val="0"/>
          <w:smallCaps w:val="0"/>
          <w:sz w:val="22"/>
          <w:szCs w:val="22"/>
        </w:rPr>
        <w:t xml:space="preserve"> </w:t>
      </w:r>
      <w:r w:rsidRPr="00BD3931">
        <w:rPr>
          <w:rFonts w:asciiTheme="minorHAnsi" w:hAnsiTheme="minorHAnsi" w:cstheme="minorHAnsi"/>
          <w:b w:val="0"/>
          <w:bCs w:val="0"/>
          <w:iCs w:val="0"/>
          <w:smallCaps w:val="0"/>
          <w:sz w:val="22"/>
          <w:szCs w:val="22"/>
        </w:rPr>
        <w:t xml:space="preserve">papers. The </w:t>
      </w:r>
      <w:r w:rsidR="00561E12">
        <w:rPr>
          <w:rFonts w:asciiTheme="minorHAnsi" w:hAnsiTheme="minorHAnsi" w:cstheme="minorHAnsi"/>
          <w:b w:val="0"/>
          <w:bCs w:val="0"/>
          <w:iCs w:val="0"/>
          <w:smallCaps w:val="0"/>
          <w:sz w:val="22"/>
          <w:szCs w:val="22"/>
        </w:rPr>
        <w:t>spillage</w:t>
      </w:r>
      <w:r w:rsidRPr="00BD3931">
        <w:rPr>
          <w:rFonts w:asciiTheme="minorHAnsi" w:hAnsiTheme="minorHAnsi" w:cstheme="minorHAnsi"/>
          <w:b w:val="0"/>
          <w:bCs w:val="0"/>
          <w:iCs w:val="0"/>
          <w:smallCaps w:val="0"/>
          <w:sz w:val="22"/>
          <w:szCs w:val="22"/>
        </w:rPr>
        <w:t xml:space="preserve"> rate will be tracked in an external table to be supplied to the Energy Division.</w:t>
      </w:r>
    </w:p>
    <w:p w:rsidR="00E16609" w:rsidRPr="000F130A" w:rsidRDefault="00824F1C" w:rsidP="00824F1C">
      <w:pPr>
        <w:pStyle w:val="Heading2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1.6  </w:t>
      </w:r>
      <w:r w:rsidR="00E16609" w:rsidRPr="000F130A">
        <w:rPr>
          <w:rFonts w:asciiTheme="minorHAnsi" w:hAnsiTheme="minorHAnsi" w:cstheme="minorHAnsi"/>
        </w:rPr>
        <w:t>Time-of-Use Adjustment Factor</w:t>
      </w:r>
    </w:p>
    <w:p w:rsidR="00DA11A0" w:rsidRPr="00F4752B" w:rsidRDefault="00801F7F" w:rsidP="00801F7F">
      <w:pPr>
        <w:pStyle w:val="Reminders"/>
        <w:rPr>
          <w:rFonts w:asciiTheme="minorHAnsi" w:hAnsiTheme="minorHAnsi" w:cstheme="minorHAnsi"/>
          <w:i w:val="0"/>
          <w:color w:val="auto"/>
          <w:sz w:val="22"/>
          <w:szCs w:val="22"/>
        </w:rPr>
      </w:pPr>
      <w:r w:rsidRPr="00F4752B">
        <w:rPr>
          <w:rFonts w:asciiTheme="minorHAnsi" w:hAnsiTheme="minorHAnsi" w:cstheme="minorHAnsi"/>
          <w:i w:val="0"/>
          <w:color w:val="auto"/>
          <w:sz w:val="22"/>
          <w:szCs w:val="22"/>
        </w:rPr>
        <w:t>As directed by the CPUC in decision 06-06-063 dated June 29, 2006, time-of-use (TOU) adjustment factors are to be applied for residential A/C and commercial A/C (packaged and split-system direct-expansion cooling) measures only.   Since this is not an A/C measure, the TOU adjustment factor is 0.</w:t>
      </w:r>
      <w:r w:rsidR="00F56792" w:rsidRPr="00F4752B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 </w:t>
      </w:r>
      <w:r w:rsidR="000C0000" w:rsidRPr="00F4752B">
        <w:rPr>
          <w:rFonts w:asciiTheme="minorHAnsi" w:hAnsiTheme="minorHAnsi" w:cstheme="minorHAnsi"/>
          <w:i w:val="0"/>
          <w:color w:val="auto"/>
          <w:sz w:val="22"/>
          <w:szCs w:val="22"/>
        </w:rPr>
        <w:t>Additionally</w:t>
      </w:r>
      <w:r w:rsidR="00F56792" w:rsidRPr="00F4752B">
        <w:rPr>
          <w:rFonts w:asciiTheme="minorHAnsi" w:hAnsiTheme="minorHAnsi" w:cstheme="minorHAnsi"/>
          <w:i w:val="0"/>
          <w:color w:val="auto"/>
          <w:sz w:val="22"/>
          <w:szCs w:val="22"/>
        </w:rPr>
        <w:t>, if a measure is assigned a DEER08 load shape, i.e. the load shape starts with “DEER:” the TOU assigned to that measure should also be zero.</w:t>
      </w:r>
    </w:p>
    <w:p w:rsidR="00A67BF5" w:rsidRPr="00A67BF5" w:rsidRDefault="00A67BF5" w:rsidP="00A67BF5">
      <w:bookmarkStart w:id="14" w:name="_Ref242757962"/>
    </w:p>
    <w:p w:rsidR="00801F7F" w:rsidRPr="00F4752B" w:rsidRDefault="00801F7F" w:rsidP="00801F7F">
      <w:pPr>
        <w:pStyle w:val="Caption"/>
        <w:keepNext/>
        <w:jc w:val="center"/>
        <w:rPr>
          <w:rFonts w:asciiTheme="minorHAnsi" w:hAnsiTheme="minorHAnsi" w:cstheme="minorHAnsi"/>
          <w:sz w:val="22"/>
          <w:szCs w:val="22"/>
        </w:rPr>
      </w:pPr>
      <w:r w:rsidRPr="00F4752B">
        <w:rPr>
          <w:rFonts w:asciiTheme="minorHAnsi" w:hAnsiTheme="minorHAnsi" w:cstheme="minorHAnsi"/>
          <w:sz w:val="22"/>
          <w:szCs w:val="22"/>
        </w:rPr>
        <w:lastRenderedPageBreak/>
        <w:t xml:space="preserve">Table </w:t>
      </w:r>
      <w:r w:rsidR="006F70BE" w:rsidRPr="00F4752B">
        <w:rPr>
          <w:rFonts w:asciiTheme="minorHAnsi" w:hAnsiTheme="minorHAnsi" w:cstheme="minorHAnsi"/>
          <w:sz w:val="22"/>
          <w:szCs w:val="22"/>
        </w:rPr>
        <w:fldChar w:fldCharType="begin"/>
      </w:r>
      <w:r w:rsidRPr="00F4752B">
        <w:rPr>
          <w:rFonts w:asciiTheme="minorHAnsi" w:hAnsiTheme="minorHAnsi" w:cstheme="minorHAnsi"/>
          <w:sz w:val="22"/>
          <w:szCs w:val="22"/>
        </w:rPr>
        <w:instrText xml:space="preserve"> SEQ Table \* ARABIC </w:instrText>
      </w:r>
      <w:r w:rsidR="006F70BE" w:rsidRPr="00F4752B">
        <w:rPr>
          <w:rFonts w:asciiTheme="minorHAnsi" w:hAnsiTheme="minorHAnsi" w:cstheme="minorHAnsi"/>
          <w:sz w:val="22"/>
          <w:szCs w:val="22"/>
        </w:rPr>
        <w:fldChar w:fldCharType="separate"/>
      </w:r>
      <w:r w:rsidR="004B3254">
        <w:rPr>
          <w:rFonts w:asciiTheme="minorHAnsi" w:hAnsiTheme="minorHAnsi" w:cstheme="minorHAnsi"/>
          <w:noProof/>
          <w:sz w:val="22"/>
          <w:szCs w:val="22"/>
        </w:rPr>
        <w:t>6</w:t>
      </w:r>
      <w:r w:rsidR="006F70BE" w:rsidRPr="00F4752B">
        <w:rPr>
          <w:rFonts w:asciiTheme="minorHAnsi" w:hAnsiTheme="minorHAnsi" w:cstheme="minorHAnsi"/>
          <w:sz w:val="22"/>
          <w:szCs w:val="22"/>
        </w:rPr>
        <w:fldChar w:fldCharType="end"/>
      </w:r>
      <w:bookmarkEnd w:id="14"/>
      <w:r w:rsidRPr="00F4752B">
        <w:rPr>
          <w:rFonts w:asciiTheme="minorHAnsi" w:hAnsiTheme="minorHAnsi" w:cstheme="minorHAnsi"/>
          <w:sz w:val="22"/>
          <w:szCs w:val="22"/>
        </w:rPr>
        <w:t xml:space="preserve">  TOU </w:t>
      </w:r>
      <w:r w:rsidR="00494628">
        <w:rPr>
          <w:rFonts w:asciiTheme="minorHAnsi" w:hAnsiTheme="minorHAnsi" w:cstheme="minorHAnsi"/>
          <w:sz w:val="22"/>
          <w:szCs w:val="22"/>
        </w:rPr>
        <w:t>Summary Table</w:t>
      </w:r>
    </w:p>
    <w:tbl>
      <w:tblPr>
        <w:tblStyle w:val="TableContemporary"/>
        <w:tblW w:w="2900" w:type="pct"/>
        <w:jc w:val="center"/>
        <w:tblInd w:w="108" w:type="dxa"/>
        <w:tblBorders>
          <w:top w:val="single" w:sz="18" w:space="0" w:color="FFFFFF"/>
          <w:left w:val="single" w:sz="18" w:space="0" w:color="FFFFFF"/>
          <w:bottom w:val="single" w:sz="18" w:space="0" w:color="FFFFFF"/>
          <w:right w:val="single" w:sz="18" w:space="0" w:color="FFFFFF"/>
        </w:tblBorders>
        <w:shd w:val="clear" w:color="auto" w:fill="CCCCCC"/>
        <w:tblLook w:val="01E0" w:firstRow="1" w:lastRow="1" w:firstColumn="1" w:lastColumn="1" w:noHBand="0" w:noVBand="0"/>
      </w:tblPr>
      <w:tblGrid>
        <w:gridCol w:w="2988"/>
        <w:gridCol w:w="2566"/>
      </w:tblGrid>
      <w:tr w:rsidR="00447CE5" w:rsidRPr="00DA11A0" w:rsidTr="0002718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tcW w:w="2690" w:type="pct"/>
            <w:tcBorders>
              <w:bottom w:val="single" w:sz="18" w:space="0" w:color="FFFFFF"/>
            </w:tcBorders>
            <w:shd w:val="clear" w:color="auto" w:fill="CCCCCC"/>
          </w:tcPr>
          <w:p w:rsidR="00447CE5" w:rsidRPr="00027183" w:rsidRDefault="00447CE5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  <w:highlight w:val="yellow"/>
              </w:rPr>
            </w:pPr>
            <w:r w:rsidRPr="00027183">
              <w:rPr>
                <w:rFonts w:asciiTheme="minorHAnsi" w:hAnsiTheme="minorHAnsi" w:cstheme="minorHAnsi"/>
                <w:sz w:val="20"/>
                <w:szCs w:val="20"/>
              </w:rPr>
              <w:t>Measure</w:t>
            </w:r>
          </w:p>
        </w:tc>
        <w:tc>
          <w:tcPr>
            <w:tcW w:w="2310" w:type="pct"/>
            <w:tcBorders>
              <w:bottom w:val="single" w:sz="18" w:space="0" w:color="FFFFFF"/>
            </w:tcBorders>
            <w:shd w:val="clear" w:color="auto" w:fill="CCCCCC"/>
          </w:tcPr>
          <w:p w:rsidR="00447CE5" w:rsidRPr="00027183" w:rsidRDefault="00447CE5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  <w:highlight w:val="yellow"/>
              </w:rPr>
            </w:pPr>
            <w:r w:rsidRPr="00027183">
              <w:rPr>
                <w:rFonts w:asciiTheme="minorHAnsi" w:hAnsiTheme="minorHAnsi" w:cstheme="minorHAnsi"/>
                <w:sz w:val="20"/>
                <w:szCs w:val="20"/>
              </w:rPr>
              <w:t>%</w:t>
            </w:r>
          </w:p>
        </w:tc>
      </w:tr>
      <w:tr w:rsidR="002C5E35" w:rsidRPr="00DA11A0" w:rsidTr="002C5E3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3"/>
          <w:jc w:val="center"/>
        </w:trPr>
        <w:tc>
          <w:tcPr>
            <w:tcW w:w="2690" w:type="pct"/>
            <w:shd w:val="clear" w:color="auto" w:fill="F3F3F3"/>
          </w:tcPr>
          <w:p w:rsidR="002C5E35" w:rsidRPr="005B28C1" w:rsidRDefault="002C5E35" w:rsidP="00A7003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Dimming Ballasts – 20% Tuning</w:t>
            </w:r>
          </w:p>
        </w:tc>
        <w:tc>
          <w:tcPr>
            <w:tcW w:w="2310" w:type="pct"/>
            <w:shd w:val="clear" w:color="auto" w:fill="F3F3F3"/>
          </w:tcPr>
          <w:p w:rsidR="002C5E35" w:rsidRPr="00027183" w:rsidRDefault="002C5E35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027183">
              <w:rPr>
                <w:rFonts w:asciiTheme="minorHAnsi" w:hAnsiTheme="minorHAnsi" w:cstheme="minorHAnsi"/>
                <w:sz w:val="20"/>
                <w:szCs w:val="20"/>
              </w:rPr>
              <w:t>0</w:t>
            </w:r>
          </w:p>
        </w:tc>
      </w:tr>
      <w:tr w:rsidR="002C5E35" w:rsidRPr="00DA11A0" w:rsidTr="002C5E3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675"/>
          <w:jc w:val="center"/>
        </w:trPr>
        <w:tc>
          <w:tcPr>
            <w:tcW w:w="2690" w:type="pct"/>
            <w:shd w:val="clear" w:color="auto" w:fill="F3F3F3"/>
          </w:tcPr>
          <w:p w:rsidR="002C5E35" w:rsidRDefault="002C5E35" w:rsidP="00A7003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D3DB9">
              <w:rPr>
                <w:rFonts w:asciiTheme="minorHAnsi" w:hAnsiTheme="minorHAnsi" w:cstheme="minorHAnsi"/>
                <w:sz w:val="20"/>
                <w:szCs w:val="20"/>
              </w:rPr>
              <w:t>Dimming Ballasts - 20% Tuning + Daylight Harvesting</w:t>
            </w:r>
          </w:p>
        </w:tc>
        <w:tc>
          <w:tcPr>
            <w:tcW w:w="2310" w:type="pct"/>
            <w:shd w:val="clear" w:color="auto" w:fill="F3F3F3"/>
          </w:tcPr>
          <w:p w:rsidR="002C5E35" w:rsidRPr="00027183" w:rsidRDefault="002C5E35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0</w:t>
            </w:r>
          </w:p>
        </w:tc>
      </w:tr>
      <w:tr w:rsidR="002C5E35" w:rsidRPr="00DA11A0" w:rsidTr="002C5E3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85"/>
          <w:jc w:val="center"/>
        </w:trPr>
        <w:tc>
          <w:tcPr>
            <w:tcW w:w="2690" w:type="pct"/>
            <w:shd w:val="clear" w:color="auto" w:fill="F3F3F3"/>
          </w:tcPr>
          <w:p w:rsidR="002C5E35" w:rsidRDefault="002C5E35" w:rsidP="00A7003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D3DB9">
              <w:rPr>
                <w:rFonts w:asciiTheme="minorHAnsi" w:hAnsiTheme="minorHAnsi" w:cstheme="minorHAnsi"/>
                <w:sz w:val="20"/>
                <w:szCs w:val="20"/>
              </w:rPr>
              <w:t>Dimming Ballasts - 20% Tuning + Occupancy Sensor</w:t>
            </w:r>
          </w:p>
        </w:tc>
        <w:tc>
          <w:tcPr>
            <w:tcW w:w="2310" w:type="pct"/>
            <w:shd w:val="clear" w:color="auto" w:fill="F3F3F3"/>
          </w:tcPr>
          <w:p w:rsidR="002C5E35" w:rsidRPr="00027183" w:rsidRDefault="002C5E35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0</w:t>
            </w:r>
          </w:p>
        </w:tc>
      </w:tr>
      <w:tr w:rsidR="002C5E35" w:rsidRPr="00DA11A0" w:rsidTr="0002718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jc w:val="center"/>
        </w:trPr>
        <w:tc>
          <w:tcPr>
            <w:tcW w:w="2690" w:type="pct"/>
            <w:shd w:val="clear" w:color="auto" w:fill="F3F3F3"/>
          </w:tcPr>
          <w:p w:rsidR="002C5E35" w:rsidRDefault="002C5E35" w:rsidP="00A7003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D3DB9">
              <w:rPr>
                <w:rFonts w:asciiTheme="minorHAnsi" w:hAnsiTheme="minorHAnsi" w:cstheme="minorHAnsi"/>
                <w:sz w:val="20"/>
                <w:szCs w:val="20"/>
              </w:rPr>
              <w:t>Dimming Ballasts - 20% Tuning + Occupancy Sensor + Daylight Harvesting with Side Lighting Photo Controls</w:t>
            </w:r>
          </w:p>
        </w:tc>
        <w:tc>
          <w:tcPr>
            <w:tcW w:w="2310" w:type="pct"/>
            <w:shd w:val="clear" w:color="auto" w:fill="F3F3F3"/>
          </w:tcPr>
          <w:p w:rsidR="002C5E35" w:rsidRPr="00027183" w:rsidRDefault="002C5E35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0</w:t>
            </w:r>
          </w:p>
        </w:tc>
      </w:tr>
    </w:tbl>
    <w:p w:rsidR="00E16609" w:rsidRPr="000F130A" w:rsidRDefault="00E16609" w:rsidP="00E16609">
      <w:pPr>
        <w:pStyle w:val="Heading1"/>
        <w:keepNext w:val="0"/>
        <w:rPr>
          <w:rFonts w:asciiTheme="minorHAnsi" w:hAnsiTheme="minorHAnsi" w:cstheme="minorHAnsi"/>
        </w:rPr>
      </w:pPr>
      <w:bookmarkStart w:id="15" w:name="_Toc214003090"/>
      <w:proofErr w:type="gramStart"/>
      <w:r w:rsidRPr="000F130A">
        <w:rPr>
          <w:rFonts w:asciiTheme="minorHAnsi" w:hAnsiTheme="minorHAnsi" w:cstheme="minorHAnsi"/>
        </w:rPr>
        <w:t>Section 2.</w:t>
      </w:r>
      <w:proofErr w:type="gramEnd"/>
      <w:r w:rsidRPr="000F130A">
        <w:rPr>
          <w:rFonts w:asciiTheme="minorHAnsi" w:hAnsiTheme="minorHAnsi" w:cstheme="minorHAnsi"/>
        </w:rPr>
        <w:t xml:space="preserve"> Energy Savings &amp; Demand Reduction Calculations</w:t>
      </w:r>
      <w:bookmarkEnd w:id="15"/>
    </w:p>
    <w:p w:rsidR="00E16609" w:rsidRDefault="00B51295" w:rsidP="00E16609">
      <w:pPr>
        <w:pStyle w:val="Reminder"/>
        <w:rPr>
          <w:rFonts w:asciiTheme="minorHAnsi" w:hAnsiTheme="minorHAnsi" w:cstheme="minorHAnsi"/>
          <w:i w:val="0"/>
          <w:color w:val="auto"/>
          <w:sz w:val="22"/>
          <w:szCs w:val="22"/>
        </w:rPr>
      </w:pPr>
      <w:r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These measures save energy and reduce peak demand by reducing the power </w:t>
      </w:r>
      <w:r w:rsidR="00D6145D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output of the fixtures with </w:t>
      </w:r>
      <w:r>
        <w:rPr>
          <w:rFonts w:asciiTheme="minorHAnsi" w:hAnsiTheme="minorHAnsi" w:cstheme="minorHAnsi"/>
          <w:i w:val="0"/>
          <w:color w:val="auto"/>
          <w:sz w:val="22"/>
          <w:szCs w:val="22"/>
        </w:rPr>
        <w:t>dimming ballasts and daylight harvesting. Additional savi</w:t>
      </w:r>
      <w:r w:rsidR="00D6145D">
        <w:rPr>
          <w:rFonts w:asciiTheme="minorHAnsi" w:hAnsiTheme="minorHAnsi" w:cstheme="minorHAnsi"/>
          <w:i w:val="0"/>
          <w:color w:val="auto"/>
          <w:sz w:val="22"/>
          <w:szCs w:val="22"/>
        </w:rPr>
        <w:t>ngs are achieved by reducing</w:t>
      </w:r>
      <w:r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operating hours of </w:t>
      </w:r>
      <w:r w:rsidR="00EF4C9C">
        <w:rPr>
          <w:rFonts w:asciiTheme="minorHAnsi" w:hAnsiTheme="minorHAnsi" w:cstheme="minorHAnsi"/>
          <w:i w:val="0"/>
          <w:color w:val="auto"/>
          <w:sz w:val="22"/>
          <w:szCs w:val="22"/>
        </w:rPr>
        <w:t>fixtures with occupancy sensors.</w:t>
      </w:r>
    </w:p>
    <w:p w:rsidR="00E76106" w:rsidRDefault="00E76106" w:rsidP="00E16609">
      <w:pPr>
        <w:pStyle w:val="Reminder"/>
        <w:rPr>
          <w:rFonts w:asciiTheme="minorHAnsi" w:hAnsiTheme="minorHAnsi" w:cstheme="minorHAnsi"/>
          <w:i w:val="0"/>
          <w:color w:val="auto"/>
          <w:sz w:val="22"/>
          <w:szCs w:val="22"/>
        </w:rPr>
      </w:pPr>
    </w:p>
    <w:p w:rsidR="00E76106" w:rsidRDefault="00E76106" w:rsidP="00E16609">
      <w:pPr>
        <w:pStyle w:val="Reminder"/>
        <w:rPr>
          <w:rFonts w:asciiTheme="minorHAnsi" w:hAnsiTheme="minorHAnsi" w:cstheme="minorHAnsi"/>
          <w:i w:val="0"/>
          <w:color w:val="auto"/>
          <w:sz w:val="22"/>
          <w:szCs w:val="22"/>
        </w:rPr>
      </w:pPr>
      <w:r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Tuning is a process where the power level of the circuit is reduced by a given percentage, in this case 20%. This is done when the light level from a fixture(s) is greater than required for a given area and can be reduced by reducing the power draw of the ballast. The 20% tuning for this paper is assumed to be a permanent change to the output level either done at the factory or in the field when the ballasts are being installed. </w:t>
      </w:r>
      <w:r w:rsidR="00CF71FD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Savings are achieved from tuning since the power draws (i.e. the kW) </w:t>
      </w:r>
      <w:proofErr w:type="gramStart"/>
      <w:r w:rsidR="00CF71FD">
        <w:rPr>
          <w:rFonts w:asciiTheme="minorHAnsi" w:hAnsiTheme="minorHAnsi" w:cstheme="minorHAnsi"/>
          <w:i w:val="0"/>
          <w:color w:val="auto"/>
          <w:sz w:val="22"/>
          <w:szCs w:val="22"/>
        </w:rPr>
        <w:t>of each ballast</w:t>
      </w:r>
      <w:proofErr w:type="gramEnd"/>
      <w:r w:rsidR="00CF71FD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is reduced by a given percentage, in this case 20%. </w:t>
      </w:r>
    </w:p>
    <w:p w:rsidR="00EF4C9C" w:rsidRDefault="00EF4C9C" w:rsidP="00E16609">
      <w:pPr>
        <w:pStyle w:val="Reminder"/>
        <w:rPr>
          <w:rFonts w:asciiTheme="minorHAnsi" w:hAnsiTheme="minorHAnsi" w:cstheme="minorHAnsi"/>
          <w:i w:val="0"/>
          <w:color w:val="auto"/>
          <w:sz w:val="22"/>
          <w:szCs w:val="22"/>
        </w:rPr>
      </w:pPr>
    </w:p>
    <w:p w:rsidR="008327BE" w:rsidRPr="00692A90" w:rsidRDefault="00EF4C9C" w:rsidP="00E16609">
      <w:pPr>
        <w:pStyle w:val="Reminder"/>
        <w:rPr>
          <w:rFonts w:ascii="Calibri" w:eastAsia="Calibri" w:hAnsi="Calibri"/>
          <w:i w:val="0"/>
        </w:rPr>
      </w:pPr>
      <w:r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Four measures were evaluated in this work paper. The first measure involves </w:t>
      </w:r>
      <w:r w:rsidR="00714F7B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the installation of </w:t>
      </w:r>
      <w:r>
        <w:rPr>
          <w:rFonts w:asciiTheme="minorHAnsi" w:hAnsiTheme="minorHAnsi" w:cstheme="minorHAnsi"/>
          <w:i w:val="0"/>
          <w:color w:val="auto"/>
          <w:sz w:val="22"/>
          <w:szCs w:val="22"/>
        </w:rPr>
        <w:t>dimming ballasts with 20% tuning. 20% tuning reduces the maximum power output to 80% of the ballast</w:t>
      </w:r>
      <w:r w:rsidR="00414A14">
        <w:rPr>
          <w:rFonts w:asciiTheme="minorHAnsi" w:hAnsiTheme="minorHAnsi" w:cstheme="minorHAnsi"/>
          <w:i w:val="0"/>
          <w:color w:val="auto"/>
          <w:sz w:val="22"/>
          <w:szCs w:val="22"/>
        </w:rPr>
        <w:t>’</w:t>
      </w:r>
      <w:r>
        <w:rPr>
          <w:rFonts w:asciiTheme="minorHAnsi" w:hAnsiTheme="minorHAnsi" w:cstheme="minorHAnsi"/>
          <w:i w:val="0"/>
          <w:color w:val="auto"/>
          <w:sz w:val="22"/>
          <w:szCs w:val="22"/>
        </w:rPr>
        <w:t>s capability. The second measure combines the 20% ballast tuning with daylight harvesting</w:t>
      </w:r>
      <w:r w:rsidR="00185C6D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(DH)</w:t>
      </w:r>
      <w:r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. </w:t>
      </w:r>
      <w:r w:rsidR="00714F7B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Additional savings are </w:t>
      </w:r>
      <w:r w:rsidR="00E8483E">
        <w:rPr>
          <w:rFonts w:asciiTheme="minorHAnsi" w:hAnsiTheme="minorHAnsi" w:cstheme="minorHAnsi"/>
          <w:i w:val="0"/>
          <w:color w:val="auto"/>
          <w:sz w:val="22"/>
          <w:szCs w:val="22"/>
        </w:rPr>
        <w:t>achieved from</w:t>
      </w:r>
      <w:r w:rsidR="00016247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reducing the light levels based on available daylight. The third measure combines the 20% ballast tuning with occupancy sensors</w:t>
      </w:r>
      <w:r w:rsidR="00185C6D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(OS)</w:t>
      </w:r>
      <w:r w:rsidR="00016247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. </w:t>
      </w:r>
      <w:r w:rsidR="00714F7B">
        <w:rPr>
          <w:rFonts w:asciiTheme="minorHAnsi" w:hAnsiTheme="minorHAnsi" w:cstheme="minorHAnsi"/>
          <w:i w:val="0"/>
          <w:color w:val="auto"/>
          <w:sz w:val="22"/>
          <w:szCs w:val="22"/>
        </w:rPr>
        <w:t>O</w:t>
      </w:r>
      <w:r w:rsidR="00414A14">
        <w:rPr>
          <w:rFonts w:asciiTheme="minorHAnsi" w:hAnsiTheme="minorHAnsi" w:cstheme="minorHAnsi"/>
          <w:i w:val="0"/>
          <w:color w:val="auto"/>
          <w:sz w:val="22"/>
          <w:szCs w:val="22"/>
        </w:rPr>
        <w:t>ccupancy sensors</w:t>
      </w:r>
      <w:r w:rsidR="00714F7B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provide further savings by reducing</w:t>
      </w:r>
      <w:r w:rsidR="00016247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the operating hours of the fixtures</w:t>
      </w:r>
      <w:r w:rsidR="00D6145D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. </w:t>
      </w:r>
      <w:r w:rsidR="00016247">
        <w:rPr>
          <w:rFonts w:asciiTheme="minorHAnsi" w:hAnsiTheme="minorHAnsi" w:cstheme="minorHAnsi"/>
          <w:i w:val="0"/>
          <w:color w:val="auto"/>
          <w:sz w:val="22"/>
          <w:szCs w:val="22"/>
        </w:rPr>
        <w:t>The final measure combines all three control strategies</w:t>
      </w:r>
      <w:r w:rsidR="00714F7B">
        <w:rPr>
          <w:rFonts w:asciiTheme="minorHAnsi" w:hAnsiTheme="minorHAnsi" w:cstheme="minorHAnsi"/>
          <w:i w:val="0"/>
          <w:color w:val="auto"/>
          <w:sz w:val="22"/>
          <w:szCs w:val="22"/>
        </w:rPr>
        <w:t>, 20% tuning, daylight harvesting</w:t>
      </w:r>
      <w:r w:rsidR="00414A14">
        <w:rPr>
          <w:rFonts w:asciiTheme="minorHAnsi" w:hAnsiTheme="minorHAnsi" w:cstheme="minorHAnsi"/>
          <w:i w:val="0"/>
          <w:color w:val="auto"/>
          <w:sz w:val="22"/>
          <w:szCs w:val="22"/>
        </w:rPr>
        <w:t>,</w:t>
      </w:r>
      <w:r w:rsidR="00714F7B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and occupancy sensors</w:t>
      </w:r>
      <w:r w:rsidR="00016247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. </w:t>
      </w:r>
      <w:r w:rsidR="00414A14" w:rsidRPr="003F2D40">
        <w:rPr>
          <w:rFonts w:ascii="Calibri" w:eastAsia="Calibri" w:hAnsi="Calibri"/>
          <w:i w:val="0"/>
          <w:color w:val="auto"/>
          <w:sz w:val="22"/>
          <w:szCs w:val="22"/>
        </w:rPr>
        <w:t>To account for interactive effects of the modifications, savings are calculated based on the assumption that the 20% tuning will be implemented first, followed by daylight harvesting, and lastly occupancy sensors.</w:t>
      </w:r>
      <w:r w:rsidR="00414A14">
        <w:rPr>
          <w:rFonts w:ascii="Calibri" w:eastAsia="Calibri" w:hAnsi="Calibri"/>
        </w:rPr>
        <w:t xml:space="preserve"> </w:t>
      </w:r>
    </w:p>
    <w:p w:rsidR="00A67BF5" w:rsidRDefault="00A67BF5" w:rsidP="00E16609">
      <w:pPr>
        <w:pStyle w:val="Reminder"/>
        <w:rPr>
          <w:rFonts w:asciiTheme="minorHAnsi" w:hAnsiTheme="minorHAnsi" w:cstheme="minorHAnsi"/>
          <w:i w:val="0"/>
          <w:color w:val="auto"/>
          <w:sz w:val="22"/>
          <w:szCs w:val="22"/>
        </w:rPr>
      </w:pPr>
    </w:p>
    <w:p w:rsidR="008327BE" w:rsidRDefault="008327BE" w:rsidP="00E16609">
      <w:pPr>
        <w:pStyle w:val="Reminder"/>
        <w:rPr>
          <w:rFonts w:asciiTheme="minorHAnsi" w:hAnsiTheme="minorHAnsi" w:cstheme="minorHAnsi"/>
          <w:i w:val="0"/>
          <w:color w:val="auto"/>
          <w:sz w:val="22"/>
          <w:szCs w:val="22"/>
        </w:rPr>
      </w:pPr>
      <w:r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The Dimmable Ballast Tool in the SCE </w:t>
      </w:r>
      <w:r w:rsidR="00414A14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IDSM </w:t>
      </w:r>
      <w:r>
        <w:rPr>
          <w:rFonts w:asciiTheme="minorHAnsi" w:hAnsiTheme="minorHAnsi" w:cstheme="minorHAnsi"/>
          <w:i w:val="0"/>
          <w:color w:val="auto"/>
          <w:sz w:val="22"/>
          <w:szCs w:val="22"/>
        </w:rPr>
        <w:t>Online Appl</w:t>
      </w:r>
      <w:r w:rsidR="00081A89">
        <w:rPr>
          <w:rFonts w:asciiTheme="minorHAnsi" w:hAnsiTheme="minorHAnsi" w:cstheme="minorHAnsi"/>
          <w:i w:val="0"/>
          <w:color w:val="auto"/>
          <w:sz w:val="22"/>
          <w:szCs w:val="22"/>
        </w:rPr>
        <w:t>ication Tool</w:t>
      </w:r>
      <w:r w:rsidR="00414A14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(OAT)</w:t>
      </w:r>
      <w:r w:rsidR="002C6DDF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v2.8 </w:t>
      </w:r>
      <w:r w:rsidR="00081A89">
        <w:rPr>
          <w:rFonts w:asciiTheme="minorHAnsi" w:hAnsiTheme="minorHAnsi" w:cstheme="minorHAnsi"/>
          <w:i w:val="0"/>
          <w:color w:val="auto"/>
          <w:sz w:val="22"/>
          <w:szCs w:val="22"/>
        </w:rPr>
        <w:t>was used to quantify the energy and demand savings, defined in terms of kWh/ballast and kW/ballast respectively, for these measures</w:t>
      </w:r>
      <w:r w:rsidR="00E5694E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[</w:t>
      </w:r>
      <w:r w:rsidR="0018726D">
        <w:rPr>
          <w:rFonts w:asciiTheme="minorHAnsi" w:hAnsiTheme="minorHAnsi" w:cstheme="minorHAnsi"/>
          <w:i w:val="0"/>
          <w:color w:val="auto"/>
          <w:sz w:val="22"/>
          <w:szCs w:val="22"/>
        </w:rPr>
        <w:t>D</w:t>
      </w:r>
      <w:r w:rsidR="002C6DDF">
        <w:rPr>
          <w:rFonts w:asciiTheme="minorHAnsi" w:hAnsiTheme="minorHAnsi" w:cstheme="minorHAnsi"/>
          <w:i w:val="0"/>
          <w:color w:val="auto"/>
          <w:sz w:val="22"/>
          <w:szCs w:val="22"/>
        </w:rPr>
        <w:t>]</w:t>
      </w:r>
      <w:r w:rsidR="00081A89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. </w:t>
      </w:r>
      <w:r w:rsidR="004C1535">
        <w:rPr>
          <w:rFonts w:asciiTheme="minorHAnsi" w:hAnsiTheme="minorHAnsi" w:cstheme="minorHAnsi"/>
          <w:i w:val="0"/>
          <w:color w:val="auto"/>
          <w:sz w:val="22"/>
          <w:szCs w:val="22"/>
        </w:rPr>
        <w:t>The Dimmable Ballast Tool Guide details how this tool works and the calculation methodology used [</w:t>
      </w:r>
      <w:r w:rsidR="0018726D">
        <w:rPr>
          <w:rFonts w:asciiTheme="minorHAnsi" w:hAnsiTheme="minorHAnsi" w:cstheme="minorHAnsi"/>
          <w:i w:val="0"/>
          <w:color w:val="auto"/>
          <w:sz w:val="22"/>
          <w:szCs w:val="22"/>
        </w:rPr>
        <w:t>E</w:t>
      </w:r>
      <w:r w:rsidR="004C1535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]. </w:t>
      </w:r>
      <w:r w:rsidR="00081A89">
        <w:rPr>
          <w:rFonts w:asciiTheme="minorHAnsi" w:hAnsiTheme="minorHAnsi" w:cstheme="minorHAnsi"/>
          <w:i w:val="0"/>
          <w:color w:val="auto"/>
          <w:sz w:val="22"/>
          <w:szCs w:val="22"/>
        </w:rPr>
        <w:t>This tool is a</w:t>
      </w:r>
      <w:r w:rsidR="00414A14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preferred</w:t>
      </w:r>
      <w:r w:rsidR="00081A89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calculation tool for the Statewide Customized Offering, and allows </w:t>
      </w:r>
      <w:r w:rsidR="00414A14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with the user to identify a baseline fixture and then calculate savings based on the </w:t>
      </w:r>
      <w:r w:rsidR="00A67BF5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proposed </w:t>
      </w:r>
      <w:r w:rsidR="00414A14">
        <w:rPr>
          <w:rFonts w:asciiTheme="minorHAnsi" w:hAnsiTheme="minorHAnsi" w:cstheme="minorHAnsi"/>
          <w:i w:val="0"/>
          <w:color w:val="auto"/>
          <w:sz w:val="22"/>
          <w:szCs w:val="22"/>
        </w:rPr>
        <w:t>measure:</w:t>
      </w:r>
      <w:r w:rsidR="00081A89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dim</w:t>
      </w:r>
      <w:r w:rsidR="00A67BF5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ming ballast with 20% tuning, </w:t>
      </w:r>
      <w:r w:rsidR="00081A89">
        <w:rPr>
          <w:rFonts w:asciiTheme="minorHAnsi" w:hAnsiTheme="minorHAnsi" w:cstheme="minorHAnsi"/>
          <w:i w:val="0"/>
          <w:color w:val="auto"/>
          <w:sz w:val="22"/>
          <w:szCs w:val="22"/>
        </w:rPr>
        <w:t>dimming ballast with 20% t</w:t>
      </w:r>
      <w:r w:rsidR="00A67BF5">
        <w:rPr>
          <w:rFonts w:asciiTheme="minorHAnsi" w:hAnsiTheme="minorHAnsi" w:cstheme="minorHAnsi"/>
          <w:i w:val="0"/>
          <w:color w:val="auto"/>
          <w:sz w:val="22"/>
          <w:szCs w:val="22"/>
        </w:rPr>
        <w:t>uning and daylight harvesting,</w:t>
      </w:r>
      <w:r w:rsidR="00081A89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dimming ballast with 20% tuning </w:t>
      </w:r>
      <w:r w:rsidR="00A67BF5">
        <w:rPr>
          <w:rFonts w:asciiTheme="minorHAnsi" w:hAnsiTheme="minorHAnsi" w:cstheme="minorHAnsi"/>
          <w:i w:val="0"/>
          <w:color w:val="auto"/>
          <w:sz w:val="22"/>
          <w:szCs w:val="22"/>
        </w:rPr>
        <w:t>and occupancy sensors, or</w:t>
      </w:r>
      <w:r w:rsidR="00081A89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dimming ballast with 20% tuning, </w:t>
      </w:r>
      <w:proofErr w:type="spellStart"/>
      <w:r w:rsidR="00081A89">
        <w:rPr>
          <w:rFonts w:asciiTheme="minorHAnsi" w:hAnsiTheme="minorHAnsi" w:cstheme="minorHAnsi"/>
          <w:i w:val="0"/>
          <w:color w:val="auto"/>
          <w:sz w:val="22"/>
          <w:szCs w:val="22"/>
        </w:rPr>
        <w:t>daylighting</w:t>
      </w:r>
      <w:proofErr w:type="spellEnd"/>
      <w:r w:rsidR="00081A89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harvesting and occupancy sensors</w:t>
      </w:r>
      <w:r w:rsidR="00773DB0">
        <w:rPr>
          <w:rFonts w:asciiTheme="minorHAnsi" w:hAnsiTheme="minorHAnsi" w:cstheme="minorHAnsi"/>
          <w:i w:val="0"/>
          <w:color w:val="auto"/>
          <w:sz w:val="22"/>
          <w:szCs w:val="22"/>
        </w:rPr>
        <w:t>. For each of the fo</w:t>
      </w:r>
      <w:r w:rsidR="00914863">
        <w:rPr>
          <w:rFonts w:asciiTheme="minorHAnsi" w:hAnsiTheme="minorHAnsi" w:cstheme="minorHAnsi"/>
          <w:i w:val="0"/>
          <w:color w:val="auto"/>
          <w:sz w:val="22"/>
          <w:szCs w:val="22"/>
        </w:rPr>
        <w:t>ur measures</w:t>
      </w:r>
      <w:r w:rsidR="00414A14">
        <w:rPr>
          <w:rFonts w:asciiTheme="minorHAnsi" w:hAnsiTheme="minorHAnsi" w:cstheme="minorHAnsi"/>
          <w:i w:val="0"/>
          <w:color w:val="auto"/>
          <w:sz w:val="22"/>
          <w:szCs w:val="22"/>
        </w:rPr>
        <w:t>,</w:t>
      </w:r>
      <w:r w:rsidR="00914863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the tool was run</w:t>
      </w:r>
      <w:r w:rsidR="00773DB0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</w:t>
      </w:r>
      <w:r w:rsidR="00914863">
        <w:rPr>
          <w:rFonts w:asciiTheme="minorHAnsi" w:hAnsiTheme="minorHAnsi" w:cstheme="minorHAnsi"/>
          <w:i w:val="0"/>
          <w:color w:val="auto"/>
          <w:sz w:val="22"/>
          <w:szCs w:val="22"/>
        </w:rPr>
        <w:t>for the following building</w:t>
      </w:r>
      <w:r w:rsidR="00773DB0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and area types: </w:t>
      </w:r>
    </w:p>
    <w:p w:rsidR="003A3CEB" w:rsidRPr="00F4752B" w:rsidRDefault="003A3CEB" w:rsidP="003A3CEB">
      <w:pPr>
        <w:pStyle w:val="Caption"/>
        <w:keepNext/>
        <w:jc w:val="center"/>
        <w:rPr>
          <w:rFonts w:asciiTheme="minorHAnsi" w:hAnsiTheme="minorHAnsi" w:cstheme="minorHAnsi"/>
          <w:sz w:val="22"/>
          <w:szCs w:val="22"/>
        </w:rPr>
      </w:pPr>
      <w:r w:rsidRPr="00F4752B">
        <w:rPr>
          <w:rFonts w:asciiTheme="minorHAnsi" w:hAnsiTheme="minorHAnsi" w:cstheme="minorHAnsi"/>
          <w:sz w:val="22"/>
          <w:szCs w:val="22"/>
        </w:rPr>
        <w:lastRenderedPageBreak/>
        <w:t xml:space="preserve">Table </w:t>
      </w:r>
      <w:r w:rsidR="006F70BE" w:rsidRPr="00F4752B">
        <w:rPr>
          <w:rFonts w:asciiTheme="minorHAnsi" w:hAnsiTheme="minorHAnsi" w:cstheme="minorHAnsi"/>
          <w:sz w:val="22"/>
          <w:szCs w:val="22"/>
        </w:rPr>
        <w:fldChar w:fldCharType="begin"/>
      </w:r>
      <w:r w:rsidRPr="00F4752B">
        <w:rPr>
          <w:rFonts w:asciiTheme="minorHAnsi" w:hAnsiTheme="minorHAnsi" w:cstheme="minorHAnsi"/>
          <w:sz w:val="22"/>
          <w:szCs w:val="22"/>
        </w:rPr>
        <w:instrText xml:space="preserve"> SEQ Table \* ARABIC </w:instrText>
      </w:r>
      <w:r w:rsidR="006F70BE" w:rsidRPr="00F4752B">
        <w:rPr>
          <w:rFonts w:asciiTheme="minorHAnsi" w:hAnsiTheme="minorHAnsi" w:cstheme="minorHAnsi"/>
          <w:sz w:val="22"/>
          <w:szCs w:val="22"/>
        </w:rPr>
        <w:fldChar w:fldCharType="separate"/>
      </w:r>
      <w:r w:rsidR="004B3254">
        <w:rPr>
          <w:rFonts w:asciiTheme="minorHAnsi" w:hAnsiTheme="minorHAnsi" w:cstheme="minorHAnsi"/>
          <w:noProof/>
          <w:sz w:val="22"/>
          <w:szCs w:val="22"/>
        </w:rPr>
        <w:t>7</w:t>
      </w:r>
      <w:r w:rsidR="006F70BE" w:rsidRPr="00F4752B">
        <w:rPr>
          <w:rFonts w:asciiTheme="minorHAnsi" w:hAnsiTheme="minorHAnsi" w:cstheme="minorHAnsi"/>
          <w:sz w:val="22"/>
          <w:szCs w:val="22"/>
        </w:rPr>
        <w:fldChar w:fldCharType="end"/>
      </w:r>
      <w:r w:rsidRPr="00F4752B">
        <w:rPr>
          <w:rFonts w:asciiTheme="minorHAnsi" w:hAnsiTheme="minorHAnsi" w:cstheme="minorHAnsi"/>
          <w:sz w:val="22"/>
          <w:szCs w:val="22"/>
        </w:rPr>
        <w:t xml:space="preserve">  </w:t>
      </w:r>
      <w:r>
        <w:rPr>
          <w:rFonts w:asciiTheme="minorHAnsi" w:hAnsiTheme="minorHAnsi" w:cstheme="minorHAnsi"/>
          <w:sz w:val="22"/>
          <w:szCs w:val="22"/>
        </w:rPr>
        <w:t>Building and Area Types</w:t>
      </w:r>
    </w:p>
    <w:tbl>
      <w:tblPr>
        <w:tblStyle w:val="TableContemporary"/>
        <w:tblW w:w="4240" w:type="pct"/>
        <w:jc w:val="center"/>
        <w:tblInd w:w="108" w:type="dxa"/>
        <w:tblBorders>
          <w:top w:val="single" w:sz="18" w:space="0" w:color="FFFFFF"/>
          <w:left w:val="single" w:sz="18" w:space="0" w:color="FFFFFF"/>
          <w:bottom w:val="single" w:sz="18" w:space="0" w:color="FFFFFF"/>
          <w:right w:val="single" w:sz="18" w:space="0" w:color="FFFFFF"/>
        </w:tblBorders>
        <w:shd w:val="clear" w:color="auto" w:fill="CCCCCC"/>
        <w:tblLook w:val="01E0" w:firstRow="1" w:lastRow="1" w:firstColumn="1" w:lastColumn="1" w:noHBand="0" w:noVBand="0"/>
      </w:tblPr>
      <w:tblGrid>
        <w:gridCol w:w="2988"/>
        <w:gridCol w:w="2566"/>
        <w:gridCol w:w="2566"/>
      </w:tblGrid>
      <w:tr w:rsidR="003A3CEB" w:rsidRPr="00DA11A0" w:rsidTr="003A3CE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tcW w:w="1840" w:type="pct"/>
            <w:tcBorders>
              <w:bottom w:val="single" w:sz="18" w:space="0" w:color="FFFFFF"/>
            </w:tcBorders>
            <w:shd w:val="clear" w:color="auto" w:fill="CCCCCC"/>
          </w:tcPr>
          <w:p w:rsidR="003A3CEB" w:rsidRPr="00027183" w:rsidRDefault="003A3CEB" w:rsidP="003A3CEB">
            <w:pPr>
              <w:jc w:val="center"/>
              <w:rPr>
                <w:rFonts w:asciiTheme="minorHAnsi" w:hAnsiTheme="minorHAnsi" w:cstheme="minorHAnsi"/>
                <w:sz w:val="20"/>
                <w:szCs w:val="20"/>
                <w:highlight w:val="yellow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Building Type</w:t>
            </w:r>
          </w:p>
        </w:tc>
        <w:tc>
          <w:tcPr>
            <w:tcW w:w="1580" w:type="pct"/>
            <w:tcBorders>
              <w:bottom w:val="single" w:sz="18" w:space="0" w:color="FFFFFF"/>
            </w:tcBorders>
            <w:shd w:val="clear" w:color="auto" w:fill="CCCCCC"/>
          </w:tcPr>
          <w:p w:rsidR="003A3CEB" w:rsidRPr="00027183" w:rsidRDefault="003A3CEB" w:rsidP="003A3CEB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Description</w:t>
            </w:r>
          </w:p>
        </w:tc>
        <w:tc>
          <w:tcPr>
            <w:tcW w:w="1580" w:type="pct"/>
            <w:tcBorders>
              <w:bottom w:val="single" w:sz="18" w:space="0" w:color="FFFFFF"/>
            </w:tcBorders>
            <w:shd w:val="clear" w:color="auto" w:fill="CCCCCC"/>
          </w:tcPr>
          <w:p w:rsidR="003A3CEB" w:rsidRPr="00027183" w:rsidRDefault="003A3CEB" w:rsidP="003A3CEB">
            <w:pPr>
              <w:jc w:val="center"/>
              <w:rPr>
                <w:rFonts w:asciiTheme="minorHAnsi" w:hAnsiTheme="minorHAnsi" w:cstheme="minorHAnsi"/>
                <w:sz w:val="20"/>
                <w:szCs w:val="20"/>
                <w:highlight w:val="yellow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Area Types</w:t>
            </w:r>
          </w:p>
        </w:tc>
      </w:tr>
      <w:tr w:rsidR="003A3CEB" w:rsidRPr="00DA11A0" w:rsidTr="007651A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3"/>
          <w:jc w:val="center"/>
        </w:trPr>
        <w:tc>
          <w:tcPr>
            <w:tcW w:w="1840" w:type="pct"/>
            <w:shd w:val="clear" w:color="auto" w:fill="F3F3F3"/>
          </w:tcPr>
          <w:p w:rsidR="003A3CEB" w:rsidRPr="00D82C12" w:rsidRDefault="00D63CAC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="Calibri" w:hAnsi="Calibri"/>
                <w:color w:val="000000"/>
                <w:sz w:val="20"/>
                <w:szCs w:val="20"/>
              </w:rPr>
              <w:t>Primary School</w:t>
            </w:r>
          </w:p>
        </w:tc>
        <w:tc>
          <w:tcPr>
            <w:tcW w:w="1580" w:type="pct"/>
            <w:shd w:val="clear" w:color="auto" w:fill="F3F3F3"/>
          </w:tcPr>
          <w:p w:rsidR="003A3CEB" w:rsidRPr="00D82C12" w:rsidRDefault="00D63CAC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="Calibri" w:hAnsi="Calibri"/>
                <w:color w:val="000000"/>
                <w:sz w:val="20"/>
                <w:szCs w:val="20"/>
              </w:rPr>
              <w:t>Elementary schools and religions education facilities</w:t>
            </w:r>
          </w:p>
        </w:tc>
        <w:tc>
          <w:tcPr>
            <w:tcW w:w="1580" w:type="pct"/>
            <w:shd w:val="clear" w:color="auto" w:fill="F3F3F3"/>
          </w:tcPr>
          <w:p w:rsidR="00D63CAC" w:rsidRPr="00D82C12" w:rsidRDefault="00D63CAC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Auditorium</w:t>
            </w:r>
          </w:p>
          <w:p w:rsidR="00D63CAC" w:rsidRPr="00D82C12" w:rsidRDefault="00D63CAC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Classroom Lecture</w:t>
            </w:r>
          </w:p>
          <w:p w:rsidR="003A3CEB" w:rsidRPr="00D82C12" w:rsidRDefault="00D63CAC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Office</w:t>
            </w:r>
          </w:p>
        </w:tc>
      </w:tr>
      <w:tr w:rsidR="00D63CAC" w:rsidRPr="00DA11A0" w:rsidTr="007651A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23"/>
          <w:jc w:val="center"/>
        </w:trPr>
        <w:tc>
          <w:tcPr>
            <w:tcW w:w="1840" w:type="pct"/>
            <w:shd w:val="clear" w:color="auto" w:fill="F3F3F3"/>
          </w:tcPr>
          <w:p w:rsidR="00D63CAC" w:rsidRPr="00D82C12" w:rsidRDefault="00D63CAC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="Calibri" w:hAnsi="Calibri"/>
                <w:color w:val="000000"/>
                <w:sz w:val="20"/>
                <w:szCs w:val="20"/>
              </w:rPr>
              <w:t>Secondary School</w:t>
            </w:r>
          </w:p>
        </w:tc>
        <w:tc>
          <w:tcPr>
            <w:tcW w:w="1580" w:type="pct"/>
            <w:shd w:val="clear" w:color="auto" w:fill="F3F3F3"/>
          </w:tcPr>
          <w:p w:rsidR="00D63CAC" w:rsidRPr="00D82C12" w:rsidRDefault="00D63CAC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="Calibri" w:hAnsi="Calibri"/>
                <w:color w:val="000000"/>
                <w:sz w:val="20"/>
                <w:szCs w:val="20"/>
              </w:rPr>
              <w:t>Middle schools, junior high and high schools</w:t>
            </w:r>
          </w:p>
        </w:tc>
        <w:tc>
          <w:tcPr>
            <w:tcW w:w="1580" w:type="pct"/>
            <w:shd w:val="clear" w:color="auto" w:fill="F3F3F3"/>
          </w:tcPr>
          <w:p w:rsidR="007651AF" w:rsidRPr="00D82C12" w:rsidRDefault="007651AF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Auditorium</w:t>
            </w:r>
          </w:p>
          <w:p w:rsidR="007651AF" w:rsidRPr="00D82C12" w:rsidRDefault="007651AF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Classroom Lecture</w:t>
            </w:r>
          </w:p>
          <w:p w:rsidR="00D63CAC" w:rsidRPr="00D82C12" w:rsidRDefault="007651AF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Office</w:t>
            </w:r>
          </w:p>
        </w:tc>
      </w:tr>
      <w:tr w:rsidR="00D63CAC" w:rsidRPr="00DA11A0" w:rsidTr="007651A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3"/>
          <w:jc w:val="center"/>
        </w:trPr>
        <w:tc>
          <w:tcPr>
            <w:tcW w:w="1840" w:type="pct"/>
            <w:shd w:val="clear" w:color="auto" w:fill="F3F3F3"/>
          </w:tcPr>
          <w:p w:rsidR="00D63CAC" w:rsidRPr="00D82C12" w:rsidRDefault="00D63CAC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proofErr w:type="spellStart"/>
            <w:r w:rsidRPr="00D82C12">
              <w:rPr>
                <w:rFonts w:ascii="Calibri" w:hAnsi="Calibri"/>
                <w:color w:val="000000"/>
                <w:sz w:val="20"/>
                <w:szCs w:val="20"/>
              </w:rPr>
              <w:t>Relocatable</w:t>
            </w:r>
            <w:proofErr w:type="spellEnd"/>
            <w:r w:rsidRPr="00D82C12">
              <w:rPr>
                <w:rFonts w:ascii="Calibri" w:hAnsi="Calibri"/>
                <w:color w:val="000000"/>
                <w:sz w:val="20"/>
                <w:szCs w:val="20"/>
              </w:rPr>
              <w:t xml:space="preserve"> Classroom</w:t>
            </w:r>
          </w:p>
        </w:tc>
        <w:tc>
          <w:tcPr>
            <w:tcW w:w="1580" w:type="pct"/>
            <w:shd w:val="clear" w:color="auto" w:fill="F3F3F3"/>
          </w:tcPr>
          <w:p w:rsidR="00D63CAC" w:rsidRPr="00D82C12" w:rsidRDefault="00D63CAC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="Calibri" w:hAnsi="Calibri"/>
                <w:color w:val="000000"/>
                <w:sz w:val="20"/>
                <w:szCs w:val="20"/>
              </w:rPr>
              <w:t>Mobile classroom</w:t>
            </w:r>
          </w:p>
        </w:tc>
        <w:tc>
          <w:tcPr>
            <w:tcW w:w="1580" w:type="pct"/>
            <w:shd w:val="clear" w:color="auto" w:fill="F3F3F3"/>
          </w:tcPr>
          <w:p w:rsidR="007651AF" w:rsidRPr="00D82C12" w:rsidRDefault="007651AF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Auditorium</w:t>
            </w:r>
          </w:p>
          <w:p w:rsidR="007651AF" w:rsidRPr="00D82C12" w:rsidRDefault="007651AF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Classroom Lecture</w:t>
            </w:r>
          </w:p>
          <w:p w:rsidR="00D63CAC" w:rsidRPr="00D82C12" w:rsidRDefault="007651AF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Office</w:t>
            </w:r>
          </w:p>
        </w:tc>
      </w:tr>
      <w:tr w:rsidR="00D63CAC" w:rsidRPr="00DA11A0" w:rsidTr="007651A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675"/>
          <w:jc w:val="center"/>
        </w:trPr>
        <w:tc>
          <w:tcPr>
            <w:tcW w:w="1840" w:type="pct"/>
            <w:shd w:val="clear" w:color="auto" w:fill="F3F3F3"/>
          </w:tcPr>
          <w:p w:rsidR="00D63CAC" w:rsidRPr="00D82C12" w:rsidRDefault="00D63CAC" w:rsidP="007651AF">
            <w:pPr>
              <w:rPr>
                <w:rFonts w:ascii="Calibri" w:hAnsi="Calibri"/>
                <w:color w:val="000000"/>
                <w:sz w:val="20"/>
                <w:szCs w:val="20"/>
              </w:rPr>
            </w:pPr>
            <w:r w:rsidRPr="00D82C12">
              <w:rPr>
                <w:rFonts w:ascii="Calibri" w:hAnsi="Calibri"/>
                <w:color w:val="000000"/>
                <w:sz w:val="20"/>
                <w:szCs w:val="20"/>
              </w:rPr>
              <w:t>Community College</w:t>
            </w:r>
          </w:p>
        </w:tc>
        <w:tc>
          <w:tcPr>
            <w:tcW w:w="1580" w:type="pct"/>
            <w:shd w:val="clear" w:color="auto" w:fill="F3F3F3"/>
          </w:tcPr>
          <w:p w:rsidR="00D63CAC" w:rsidRPr="00D82C12" w:rsidRDefault="00D63CAC" w:rsidP="007651AF">
            <w:pPr>
              <w:rPr>
                <w:rFonts w:ascii="Calibri" w:hAnsi="Calibri"/>
                <w:color w:val="000000"/>
                <w:sz w:val="20"/>
                <w:szCs w:val="20"/>
              </w:rPr>
            </w:pPr>
            <w:r w:rsidRPr="00D82C12">
              <w:rPr>
                <w:rFonts w:ascii="Calibri" w:hAnsi="Calibri"/>
                <w:color w:val="000000"/>
                <w:sz w:val="20"/>
                <w:szCs w:val="20"/>
              </w:rPr>
              <w:t>Community colleges, career or vocational training, adult education buildings used for classroom instruction</w:t>
            </w:r>
          </w:p>
        </w:tc>
        <w:tc>
          <w:tcPr>
            <w:tcW w:w="1580" w:type="pct"/>
            <w:shd w:val="clear" w:color="auto" w:fill="F3F3F3"/>
          </w:tcPr>
          <w:p w:rsidR="007651AF" w:rsidRPr="00D82C12" w:rsidRDefault="007651AF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Auditorium</w:t>
            </w:r>
          </w:p>
          <w:p w:rsidR="007651AF" w:rsidRPr="00D82C12" w:rsidRDefault="007651AF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Classroom Lecture</w:t>
            </w:r>
          </w:p>
          <w:p w:rsidR="00D63CAC" w:rsidRPr="00D82C12" w:rsidRDefault="007651AF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Office</w:t>
            </w:r>
          </w:p>
        </w:tc>
      </w:tr>
      <w:tr w:rsidR="00D63CAC" w:rsidRPr="00DA11A0" w:rsidTr="007651A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75"/>
          <w:jc w:val="center"/>
        </w:trPr>
        <w:tc>
          <w:tcPr>
            <w:tcW w:w="1840" w:type="pct"/>
            <w:shd w:val="clear" w:color="auto" w:fill="F3F3F3"/>
          </w:tcPr>
          <w:p w:rsidR="00D63CAC" w:rsidRPr="00D82C12" w:rsidRDefault="00D63CAC" w:rsidP="007651AF">
            <w:pPr>
              <w:rPr>
                <w:rFonts w:ascii="Calibri" w:hAnsi="Calibri"/>
                <w:color w:val="000000"/>
                <w:sz w:val="20"/>
                <w:szCs w:val="20"/>
              </w:rPr>
            </w:pPr>
            <w:r w:rsidRPr="00D82C12">
              <w:rPr>
                <w:rFonts w:ascii="Calibri" w:hAnsi="Calibri"/>
                <w:color w:val="000000"/>
                <w:sz w:val="20"/>
                <w:szCs w:val="20"/>
              </w:rPr>
              <w:t>University</w:t>
            </w:r>
          </w:p>
        </w:tc>
        <w:tc>
          <w:tcPr>
            <w:tcW w:w="1580" w:type="pct"/>
            <w:shd w:val="clear" w:color="auto" w:fill="F3F3F3"/>
          </w:tcPr>
          <w:p w:rsidR="00D63CAC" w:rsidRPr="00D82C12" w:rsidRDefault="00D63CAC" w:rsidP="007651AF">
            <w:pPr>
              <w:rPr>
                <w:rFonts w:ascii="Calibri" w:hAnsi="Calibri"/>
                <w:color w:val="000000"/>
                <w:sz w:val="20"/>
                <w:szCs w:val="20"/>
              </w:rPr>
            </w:pPr>
            <w:r w:rsidRPr="00D82C12">
              <w:rPr>
                <w:rFonts w:ascii="Calibri" w:hAnsi="Calibri"/>
                <w:color w:val="000000"/>
                <w:sz w:val="20"/>
                <w:szCs w:val="20"/>
              </w:rPr>
              <w:t>College and university buildings used for classroom instruction</w:t>
            </w:r>
          </w:p>
        </w:tc>
        <w:tc>
          <w:tcPr>
            <w:tcW w:w="1580" w:type="pct"/>
            <w:shd w:val="clear" w:color="auto" w:fill="F3F3F3"/>
          </w:tcPr>
          <w:p w:rsidR="007651AF" w:rsidRPr="00D82C12" w:rsidRDefault="007651AF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Auditorium</w:t>
            </w:r>
          </w:p>
          <w:p w:rsidR="007651AF" w:rsidRPr="00D82C12" w:rsidRDefault="007651AF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Classroom Lecture</w:t>
            </w:r>
          </w:p>
          <w:p w:rsidR="00D63CAC" w:rsidRPr="00D82C12" w:rsidRDefault="007651AF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Office</w:t>
            </w:r>
          </w:p>
        </w:tc>
      </w:tr>
      <w:tr w:rsidR="00D63CAC" w:rsidRPr="00DA11A0" w:rsidTr="007651A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675"/>
          <w:jc w:val="center"/>
        </w:trPr>
        <w:tc>
          <w:tcPr>
            <w:tcW w:w="1840" w:type="pct"/>
            <w:shd w:val="clear" w:color="auto" w:fill="F3F3F3"/>
          </w:tcPr>
          <w:p w:rsidR="00D63CAC" w:rsidRPr="00D82C12" w:rsidRDefault="00D63CAC" w:rsidP="007651AF">
            <w:pPr>
              <w:rPr>
                <w:rFonts w:ascii="Calibri" w:hAnsi="Calibri"/>
                <w:color w:val="000000"/>
                <w:sz w:val="20"/>
                <w:szCs w:val="20"/>
              </w:rPr>
            </w:pPr>
            <w:r w:rsidRPr="00D82C12">
              <w:rPr>
                <w:rFonts w:ascii="Calibri" w:hAnsi="Calibri"/>
                <w:color w:val="000000"/>
                <w:sz w:val="20"/>
                <w:szCs w:val="20"/>
              </w:rPr>
              <w:t>Large Office</w:t>
            </w:r>
          </w:p>
        </w:tc>
        <w:tc>
          <w:tcPr>
            <w:tcW w:w="1580" w:type="pct"/>
            <w:shd w:val="clear" w:color="auto" w:fill="F3F3F3"/>
          </w:tcPr>
          <w:p w:rsidR="00D63CAC" w:rsidRPr="00D82C12" w:rsidRDefault="00D63CAC" w:rsidP="007651AF">
            <w:pPr>
              <w:rPr>
                <w:rFonts w:ascii="Calibri" w:hAnsi="Calibri"/>
                <w:color w:val="000000"/>
                <w:sz w:val="20"/>
                <w:szCs w:val="20"/>
              </w:rPr>
            </w:pPr>
            <w:r w:rsidRPr="00D82C12">
              <w:rPr>
                <w:rFonts w:ascii="Calibri" w:hAnsi="Calibri"/>
                <w:color w:val="000000"/>
                <w:sz w:val="20"/>
                <w:szCs w:val="20"/>
              </w:rPr>
              <w:t>Government office, bank, city hall, social service, collectively over 100,000 square feet.</w:t>
            </w:r>
          </w:p>
        </w:tc>
        <w:tc>
          <w:tcPr>
            <w:tcW w:w="1580" w:type="pct"/>
            <w:shd w:val="clear" w:color="auto" w:fill="F3F3F3"/>
          </w:tcPr>
          <w:p w:rsidR="007651AF" w:rsidRPr="00D82C12" w:rsidRDefault="007651AF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Conference</w:t>
            </w:r>
          </w:p>
          <w:p w:rsidR="007651AF" w:rsidRPr="00D82C12" w:rsidRDefault="007651AF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Corridors</w:t>
            </w:r>
          </w:p>
          <w:p w:rsidR="00D63CAC" w:rsidRPr="00D82C12" w:rsidRDefault="007651AF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Office</w:t>
            </w:r>
          </w:p>
        </w:tc>
      </w:tr>
      <w:tr w:rsidR="00D63CAC" w:rsidRPr="00DA11A0" w:rsidTr="007651A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75"/>
          <w:jc w:val="center"/>
        </w:trPr>
        <w:tc>
          <w:tcPr>
            <w:tcW w:w="1840" w:type="pct"/>
            <w:shd w:val="clear" w:color="auto" w:fill="F3F3F3"/>
          </w:tcPr>
          <w:p w:rsidR="00D63CAC" w:rsidRPr="00D82C12" w:rsidRDefault="00D63CAC" w:rsidP="007651AF">
            <w:pPr>
              <w:rPr>
                <w:rFonts w:ascii="Calibri" w:hAnsi="Calibri"/>
                <w:color w:val="000000"/>
                <w:sz w:val="20"/>
                <w:szCs w:val="20"/>
              </w:rPr>
            </w:pPr>
            <w:r w:rsidRPr="00D82C12">
              <w:rPr>
                <w:rFonts w:ascii="Calibri" w:hAnsi="Calibri"/>
                <w:color w:val="000000"/>
                <w:sz w:val="20"/>
                <w:szCs w:val="20"/>
              </w:rPr>
              <w:t>Small Office</w:t>
            </w:r>
          </w:p>
        </w:tc>
        <w:tc>
          <w:tcPr>
            <w:tcW w:w="1580" w:type="pct"/>
            <w:shd w:val="clear" w:color="auto" w:fill="F3F3F3"/>
          </w:tcPr>
          <w:p w:rsidR="00D63CAC" w:rsidRPr="00D82C12" w:rsidRDefault="00D63CAC" w:rsidP="007651AF">
            <w:pPr>
              <w:rPr>
                <w:rFonts w:ascii="Calibri" w:hAnsi="Calibri"/>
                <w:color w:val="000000"/>
                <w:sz w:val="20"/>
                <w:szCs w:val="20"/>
              </w:rPr>
            </w:pPr>
            <w:r w:rsidRPr="00D82C12">
              <w:rPr>
                <w:rFonts w:ascii="Calibri" w:hAnsi="Calibri"/>
                <w:color w:val="000000"/>
                <w:sz w:val="20"/>
                <w:szCs w:val="20"/>
              </w:rPr>
              <w:t>Daycare or preschool, church, contractor or sales office, collectively under 100,000 square feet</w:t>
            </w:r>
          </w:p>
        </w:tc>
        <w:tc>
          <w:tcPr>
            <w:tcW w:w="1580" w:type="pct"/>
            <w:shd w:val="clear" w:color="auto" w:fill="F3F3F3"/>
          </w:tcPr>
          <w:p w:rsidR="007651AF" w:rsidRPr="00D82C12" w:rsidRDefault="007651AF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Conference</w:t>
            </w:r>
          </w:p>
          <w:p w:rsidR="007651AF" w:rsidRPr="00D82C12" w:rsidRDefault="007651AF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Corridors</w:t>
            </w:r>
          </w:p>
          <w:p w:rsidR="00D63CAC" w:rsidRPr="00D82C12" w:rsidRDefault="007651AF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Office</w:t>
            </w:r>
          </w:p>
        </w:tc>
      </w:tr>
      <w:tr w:rsidR="00D63CAC" w:rsidRPr="00DA11A0" w:rsidTr="007651A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675"/>
          <w:jc w:val="center"/>
        </w:trPr>
        <w:tc>
          <w:tcPr>
            <w:tcW w:w="1840" w:type="pct"/>
            <w:shd w:val="clear" w:color="auto" w:fill="F3F3F3"/>
          </w:tcPr>
          <w:p w:rsidR="00D63CAC" w:rsidRPr="00D82C12" w:rsidRDefault="00D63CAC" w:rsidP="007651AF">
            <w:pPr>
              <w:rPr>
                <w:rFonts w:ascii="Calibri" w:hAnsi="Calibri"/>
                <w:color w:val="000000"/>
                <w:sz w:val="20"/>
                <w:szCs w:val="20"/>
              </w:rPr>
            </w:pPr>
            <w:r w:rsidRPr="00D82C12">
              <w:rPr>
                <w:rFonts w:ascii="Calibri" w:hAnsi="Calibri"/>
                <w:color w:val="000000"/>
                <w:sz w:val="20"/>
                <w:szCs w:val="20"/>
              </w:rPr>
              <w:t>Large Retail</w:t>
            </w:r>
          </w:p>
        </w:tc>
        <w:tc>
          <w:tcPr>
            <w:tcW w:w="1580" w:type="pct"/>
            <w:shd w:val="clear" w:color="auto" w:fill="F3F3F3"/>
          </w:tcPr>
          <w:p w:rsidR="00D63CAC" w:rsidRPr="00D82C12" w:rsidRDefault="00D63CAC" w:rsidP="00A12EF6">
            <w:pPr>
              <w:rPr>
                <w:rFonts w:ascii="Calibri" w:hAnsi="Calibri"/>
                <w:color w:val="000000"/>
                <w:sz w:val="20"/>
                <w:szCs w:val="20"/>
              </w:rPr>
            </w:pPr>
            <w:r w:rsidRPr="00D82C12">
              <w:rPr>
                <w:rFonts w:ascii="Calibri" w:hAnsi="Calibri"/>
                <w:color w:val="000000"/>
                <w:sz w:val="20"/>
                <w:szCs w:val="20"/>
              </w:rPr>
              <w:t>Department stores and</w:t>
            </w:r>
            <w:r w:rsidR="00A12EF6">
              <w:rPr>
                <w:rFonts w:ascii="Calibri" w:hAnsi="Calibri"/>
                <w:color w:val="000000"/>
                <w:sz w:val="20"/>
                <w:szCs w:val="20"/>
              </w:rPr>
              <w:t xml:space="preserve"> b</w:t>
            </w:r>
            <w:r w:rsidRPr="00D82C12">
              <w:rPr>
                <w:rFonts w:ascii="Calibri" w:hAnsi="Calibri"/>
                <w:color w:val="000000"/>
                <w:sz w:val="20"/>
                <w:szCs w:val="20"/>
              </w:rPr>
              <w:t>ig box retail stores, dealerships or showrooms, rental centers</w:t>
            </w:r>
          </w:p>
        </w:tc>
        <w:tc>
          <w:tcPr>
            <w:tcW w:w="1580" w:type="pct"/>
            <w:shd w:val="clear" w:color="auto" w:fill="F3F3F3"/>
          </w:tcPr>
          <w:p w:rsidR="007651AF" w:rsidRPr="00D82C12" w:rsidRDefault="007651AF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Multistory Retail Sales</w:t>
            </w:r>
          </w:p>
          <w:p w:rsidR="007651AF" w:rsidRPr="00D82C12" w:rsidRDefault="007651AF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Multistory Retail Showroom</w:t>
            </w:r>
          </w:p>
          <w:p w:rsidR="007651AF" w:rsidRPr="00D82C12" w:rsidRDefault="007651AF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Single-story Retail Sales</w:t>
            </w:r>
          </w:p>
          <w:p w:rsidR="00D63CAC" w:rsidRPr="00D82C12" w:rsidRDefault="007651AF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Single-story Retail Showroom</w:t>
            </w:r>
          </w:p>
        </w:tc>
      </w:tr>
      <w:tr w:rsidR="00D63CAC" w:rsidRPr="00DA11A0" w:rsidTr="007651A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85"/>
          <w:jc w:val="center"/>
        </w:trPr>
        <w:tc>
          <w:tcPr>
            <w:tcW w:w="1840" w:type="pct"/>
            <w:shd w:val="clear" w:color="auto" w:fill="F3F3F3"/>
          </w:tcPr>
          <w:p w:rsidR="00D63CAC" w:rsidRPr="00D82C12" w:rsidRDefault="00D63CAC" w:rsidP="007651AF">
            <w:pPr>
              <w:rPr>
                <w:rFonts w:ascii="Calibri" w:hAnsi="Calibri"/>
                <w:color w:val="000000"/>
                <w:sz w:val="20"/>
                <w:szCs w:val="20"/>
              </w:rPr>
            </w:pPr>
            <w:r w:rsidRPr="00D82C12">
              <w:rPr>
                <w:rFonts w:ascii="Calibri" w:hAnsi="Calibri"/>
                <w:color w:val="000000"/>
                <w:sz w:val="20"/>
                <w:szCs w:val="20"/>
              </w:rPr>
              <w:t>Small Retail</w:t>
            </w:r>
          </w:p>
        </w:tc>
        <w:tc>
          <w:tcPr>
            <w:tcW w:w="1580" w:type="pct"/>
            <w:shd w:val="clear" w:color="auto" w:fill="F3F3F3"/>
          </w:tcPr>
          <w:p w:rsidR="00D63CAC" w:rsidRPr="00D82C12" w:rsidRDefault="00D63CAC" w:rsidP="007651AF">
            <w:pPr>
              <w:rPr>
                <w:rFonts w:ascii="Calibri" w:hAnsi="Calibri"/>
                <w:color w:val="000000"/>
                <w:sz w:val="20"/>
                <w:szCs w:val="20"/>
              </w:rPr>
            </w:pPr>
            <w:r w:rsidRPr="00D82C12">
              <w:rPr>
                <w:rFonts w:ascii="Calibri" w:hAnsi="Calibri"/>
                <w:color w:val="000000"/>
                <w:sz w:val="20"/>
                <w:szCs w:val="20"/>
              </w:rPr>
              <w:t>Stores located in strip malls, studio, gallery</w:t>
            </w:r>
          </w:p>
        </w:tc>
        <w:tc>
          <w:tcPr>
            <w:tcW w:w="1580" w:type="pct"/>
            <w:shd w:val="clear" w:color="auto" w:fill="F3F3F3"/>
          </w:tcPr>
          <w:p w:rsidR="007651AF" w:rsidRPr="00D82C12" w:rsidRDefault="007651AF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Retail Sales</w:t>
            </w:r>
          </w:p>
          <w:p w:rsidR="00D63CAC" w:rsidRPr="00D82C12" w:rsidRDefault="007651AF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Retail Showroom</w:t>
            </w:r>
          </w:p>
        </w:tc>
      </w:tr>
      <w:tr w:rsidR="00D63CAC" w:rsidRPr="00DA11A0" w:rsidTr="007651AF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jc w:val="center"/>
        </w:trPr>
        <w:tc>
          <w:tcPr>
            <w:tcW w:w="1840" w:type="pct"/>
            <w:shd w:val="clear" w:color="auto" w:fill="F3F3F3"/>
          </w:tcPr>
          <w:p w:rsidR="00D63CAC" w:rsidRPr="00D82C12" w:rsidRDefault="00D63CAC" w:rsidP="007651AF">
            <w:pPr>
              <w:rPr>
                <w:rFonts w:ascii="Calibri" w:hAnsi="Calibri"/>
                <w:color w:val="000000"/>
                <w:sz w:val="20"/>
                <w:szCs w:val="20"/>
              </w:rPr>
            </w:pPr>
            <w:r w:rsidRPr="00D82C12">
              <w:rPr>
                <w:rFonts w:ascii="Calibri" w:hAnsi="Calibri"/>
                <w:color w:val="000000"/>
                <w:sz w:val="20"/>
                <w:szCs w:val="20"/>
              </w:rPr>
              <w:t>Miscellaneous Commercial</w:t>
            </w:r>
          </w:p>
        </w:tc>
        <w:tc>
          <w:tcPr>
            <w:tcW w:w="1580" w:type="pct"/>
            <w:shd w:val="clear" w:color="auto" w:fill="F3F3F3"/>
          </w:tcPr>
          <w:p w:rsidR="00D63CAC" w:rsidRPr="00D82C12" w:rsidRDefault="000469A3" w:rsidP="004365AD">
            <w:pPr>
              <w:rPr>
                <w:rFonts w:ascii="Calibri" w:hAnsi="Calibri"/>
                <w:color w:val="000000"/>
                <w:sz w:val="20"/>
                <w:szCs w:val="20"/>
              </w:rPr>
            </w:pPr>
            <w:r>
              <w:rPr>
                <w:rFonts w:ascii="Calibri" w:hAnsi="Calibri"/>
                <w:color w:val="000000"/>
                <w:sz w:val="20"/>
                <w:szCs w:val="20"/>
              </w:rPr>
              <w:t>Average of small office and</w:t>
            </w:r>
            <w:r w:rsidR="00D63CAC" w:rsidRPr="00D82C12">
              <w:rPr>
                <w:rFonts w:ascii="Calibri" w:hAnsi="Calibri"/>
                <w:color w:val="000000"/>
                <w:sz w:val="20"/>
                <w:szCs w:val="20"/>
              </w:rPr>
              <w:t xml:space="preserve"> small retail</w:t>
            </w:r>
          </w:p>
        </w:tc>
        <w:tc>
          <w:tcPr>
            <w:tcW w:w="1580" w:type="pct"/>
            <w:shd w:val="clear" w:color="auto" w:fill="F3F3F3"/>
          </w:tcPr>
          <w:p w:rsidR="007651AF" w:rsidRPr="00D82C12" w:rsidRDefault="007651AF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Small Office- Office</w:t>
            </w:r>
          </w:p>
          <w:p w:rsidR="007651AF" w:rsidRPr="00D82C12" w:rsidRDefault="007651AF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Small Retail - Showroom</w:t>
            </w:r>
          </w:p>
          <w:p w:rsidR="00D63CAC" w:rsidRPr="00D82C12" w:rsidRDefault="007651AF" w:rsidP="007651AF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sz w:val="20"/>
                <w:szCs w:val="20"/>
              </w:rPr>
              <w:t>Small Retail - Dining</w:t>
            </w:r>
          </w:p>
        </w:tc>
      </w:tr>
    </w:tbl>
    <w:p w:rsidR="00773DB0" w:rsidRDefault="00773DB0" w:rsidP="00E16609">
      <w:pPr>
        <w:pStyle w:val="Reminder"/>
        <w:rPr>
          <w:rFonts w:asciiTheme="minorHAnsi" w:hAnsiTheme="minorHAnsi" w:cstheme="minorHAnsi"/>
          <w:i w:val="0"/>
          <w:color w:val="auto"/>
          <w:sz w:val="22"/>
          <w:szCs w:val="22"/>
        </w:rPr>
      </w:pPr>
    </w:p>
    <w:p w:rsidR="00773DB0" w:rsidRDefault="00773DB0" w:rsidP="00773DB0">
      <w:pPr>
        <w:rPr>
          <w:rFonts w:asciiTheme="minorHAnsi" w:hAnsiTheme="minorHAnsi"/>
          <w:sz w:val="22"/>
          <w:szCs w:val="22"/>
        </w:rPr>
      </w:pPr>
      <w:r w:rsidRPr="00773DB0">
        <w:rPr>
          <w:rFonts w:asciiTheme="minorHAnsi" w:hAnsiTheme="minorHAnsi"/>
          <w:sz w:val="22"/>
          <w:szCs w:val="22"/>
        </w:rPr>
        <w:t xml:space="preserve">The building types were limited to educational, office, retail and miscellaneous commercial as these are the targeted building types for the Dimming Ballast Tool. </w:t>
      </w:r>
      <w:r>
        <w:rPr>
          <w:rFonts w:asciiTheme="minorHAnsi" w:hAnsiTheme="minorHAnsi"/>
          <w:sz w:val="22"/>
          <w:szCs w:val="22"/>
        </w:rPr>
        <w:t xml:space="preserve"> The area types for each building type</w:t>
      </w:r>
      <w:r w:rsidR="000466F5">
        <w:rPr>
          <w:rFonts w:asciiTheme="minorHAnsi" w:hAnsiTheme="minorHAnsi"/>
          <w:sz w:val="22"/>
          <w:szCs w:val="22"/>
        </w:rPr>
        <w:t xml:space="preserve"> were selected as a r</w:t>
      </w:r>
      <w:r w:rsidR="004B56F8">
        <w:rPr>
          <w:rFonts w:asciiTheme="minorHAnsi" w:hAnsiTheme="minorHAnsi"/>
          <w:sz w:val="22"/>
          <w:szCs w:val="22"/>
        </w:rPr>
        <w:t xml:space="preserve">epresentative sample so that </w:t>
      </w:r>
      <w:r w:rsidR="000466F5">
        <w:rPr>
          <w:rFonts w:asciiTheme="minorHAnsi" w:hAnsiTheme="minorHAnsi"/>
          <w:sz w:val="22"/>
          <w:szCs w:val="22"/>
        </w:rPr>
        <w:t xml:space="preserve">average energy and demand savings could be calculated for each building type. </w:t>
      </w:r>
      <w:r w:rsidR="00DA0F95">
        <w:rPr>
          <w:rFonts w:asciiTheme="minorHAnsi" w:hAnsiTheme="minorHAnsi"/>
          <w:sz w:val="22"/>
          <w:szCs w:val="22"/>
        </w:rPr>
        <w:t>Because occupancy sensor savings vary by area type</w:t>
      </w:r>
      <w:r w:rsidR="00D82C12">
        <w:rPr>
          <w:rFonts w:asciiTheme="minorHAnsi" w:hAnsiTheme="minorHAnsi"/>
          <w:sz w:val="22"/>
          <w:szCs w:val="22"/>
        </w:rPr>
        <w:t>,</w:t>
      </w:r>
      <w:r w:rsidR="00DA0F95">
        <w:rPr>
          <w:rFonts w:asciiTheme="minorHAnsi" w:hAnsiTheme="minorHAnsi"/>
          <w:sz w:val="22"/>
          <w:szCs w:val="22"/>
        </w:rPr>
        <w:t xml:space="preserve"> a variety of area types were needed in order to calculate a meaningful average savings. The savings </w:t>
      </w:r>
      <w:r w:rsidR="0008680D">
        <w:rPr>
          <w:rFonts w:asciiTheme="minorHAnsi" w:hAnsiTheme="minorHAnsi"/>
          <w:sz w:val="22"/>
          <w:szCs w:val="22"/>
        </w:rPr>
        <w:t>associated with</w:t>
      </w:r>
      <w:r w:rsidR="00DA0F95">
        <w:rPr>
          <w:rFonts w:asciiTheme="minorHAnsi" w:hAnsiTheme="minorHAnsi"/>
          <w:sz w:val="22"/>
          <w:szCs w:val="22"/>
        </w:rPr>
        <w:t xml:space="preserve"> 20% tuning and 20% </w:t>
      </w:r>
      <w:r w:rsidR="0008680D">
        <w:rPr>
          <w:rFonts w:asciiTheme="minorHAnsi" w:hAnsiTheme="minorHAnsi"/>
          <w:sz w:val="22"/>
          <w:szCs w:val="22"/>
        </w:rPr>
        <w:t xml:space="preserve">tuning with daylight harvesting are not affected by room type. </w:t>
      </w:r>
      <w:r w:rsidR="00DA0F95">
        <w:rPr>
          <w:rFonts w:asciiTheme="minorHAnsi" w:hAnsiTheme="minorHAnsi"/>
          <w:sz w:val="22"/>
          <w:szCs w:val="22"/>
        </w:rPr>
        <w:t>The</w:t>
      </w:r>
      <w:r w:rsidR="000466F5">
        <w:rPr>
          <w:rFonts w:asciiTheme="minorHAnsi" w:hAnsiTheme="minorHAnsi"/>
          <w:sz w:val="22"/>
          <w:szCs w:val="22"/>
        </w:rPr>
        <w:t xml:space="preserve"> energy and demands sa</w:t>
      </w:r>
      <w:r w:rsidR="004B56F8">
        <w:rPr>
          <w:rFonts w:asciiTheme="minorHAnsi" w:hAnsiTheme="minorHAnsi"/>
          <w:sz w:val="22"/>
          <w:szCs w:val="22"/>
        </w:rPr>
        <w:t>vings from each building type were</w:t>
      </w:r>
      <w:r w:rsidR="000466F5">
        <w:rPr>
          <w:rFonts w:asciiTheme="minorHAnsi" w:hAnsiTheme="minorHAnsi"/>
          <w:sz w:val="22"/>
          <w:szCs w:val="22"/>
        </w:rPr>
        <w:t xml:space="preserve"> </w:t>
      </w:r>
      <w:r w:rsidR="004B56F8">
        <w:rPr>
          <w:rFonts w:asciiTheme="minorHAnsi" w:hAnsiTheme="minorHAnsi"/>
          <w:sz w:val="22"/>
          <w:szCs w:val="22"/>
        </w:rPr>
        <w:t xml:space="preserve">then </w:t>
      </w:r>
      <w:r w:rsidR="000466F5">
        <w:rPr>
          <w:rFonts w:asciiTheme="minorHAnsi" w:hAnsiTheme="minorHAnsi"/>
          <w:sz w:val="22"/>
          <w:szCs w:val="22"/>
        </w:rPr>
        <w:t>averaged in order to find an overall average</w:t>
      </w:r>
      <w:r w:rsidR="004B56F8">
        <w:rPr>
          <w:rFonts w:asciiTheme="minorHAnsi" w:hAnsiTheme="minorHAnsi"/>
          <w:sz w:val="22"/>
          <w:szCs w:val="22"/>
        </w:rPr>
        <w:t xml:space="preserve"> savings</w:t>
      </w:r>
      <w:r w:rsidR="000466F5">
        <w:rPr>
          <w:rFonts w:asciiTheme="minorHAnsi" w:hAnsiTheme="minorHAnsi"/>
          <w:sz w:val="22"/>
          <w:szCs w:val="22"/>
        </w:rPr>
        <w:t xml:space="preserve"> for each measure. </w:t>
      </w:r>
    </w:p>
    <w:p w:rsidR="00634CBB" w:rsidRDefault="00634CBB" w:rsidP="00773DB0">
      <w:pPr>
        <w:rPr>
          <w:rFonts w:asciiTheme="minorHAnsi" w:hAnsiTheme="minorHAnsi"/>
          <w:sz w:val="22"/>
          <w:szCs w:val="22"/>
        </w:rPr>
      </w:pPr>
    </w:p>
    <w:p w:rsidR="00634CBB" w:rsidRPr="00E5694E" w:rsidRDefault="00634CBB" w:rsidP="00773DB0">
      <w:pPr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Climate zone, area square footage, nu</w:t>
      </w:r>
      <w:r w:rsidR="00A34E38">
        <w:rPr>
          <w:rFonts w:asciiTheme="minorHAnsi" w:hAnsiTheme="minorHAnsi"/>
          <w:sz w:val="22"/>
          <w:szCs w:val="22"/>
        </w:rPr>
        <w:t>mber of fixtures and type of fixture were held constant for all runs. The climate zone was set to ‘SCE Weighted’ since these measures are for all SCE climate zone</w:t>
      </w:r>
      <w:r w:rsidR="00AD72FE">
        <w:rPr>
          <w:rFonts w:asciiTheme="minorHAnsi" w:hAnsiTheme="minorHAnsi"/>
          <w:sz w:val="22"/>
          <w:szCs w:val="22"/>
        </w:rPr>
        <w:t>s</w:t>
      </w:r>
      <w:r w:rsidR="00A34E38">
        <w:rPr>
          <w:rFonts w:asciiTheme="minorHAnsi" w:hAnsiTheme="minorHAnsi"/>
          <w:sz w:val="22"/>
          <w:szCs w:val="22"/>
        </w:rPr>
        <w:t xml:space="preserve">. The </w:t>
      </w:r>
      <w:r w:rsidR="00A34E38">
        <w:rPr>
          <w:rFonts w:asciiTheme="minorHAnsi" w:hAnsiTheme="minorHAnsi"/>
          <w:sz w:val="22"/>
          <w:szCs w:val="22"/>
        </w:rPr>
        <w:lastRenderedPageBreak/>
        <w:t>area square footage and number and type of fixture were chosen so that the savings</w:t>
      </w:r>
      <w:r w:rsidR="005360B3">
        <w:rPr>
          <w:rFonts w:asciiTheme="minorHAnsi" w:hAnsiTheme="minorHAnsi"/>
          <w:sz w:val="22"/>
          <w:szCs w:val="22"/>
        </w:rPr>
        <w:t xml:space="preserve"> would be representative </w:t>
      </w:r>
      <w:proofErr w:type="gramStart"/>
      <w:r w:rsidR="005360B3">
        <w:rPr>
          <w:rFonts w:asciiTheme="minorHAnsi" w:hAnsiTheme="minorHAnsi"/>
          <w:sz w:val="22"/>
          <w:szCs w:val="22"/>
        </w:rPr>
        <w:t>of one (1) ballast</w:t>
      </w:r>
      <w:proofErr w:type="gramEnd"/>
      <w:r w:rsidR="005360B3">
        <w:rPr>
          <w:rFonts w:asciiTheme="minorHAnsi" w:hAnsiTheme="minorHAnsi"/>
          <w:sz w:val="22"/>
          <w:szCs w:val="22"/>
        </w:rPr>
        <w:t>. The area was set to 75 ft</w:t>
      </w:r>
      <w:r w:rsidR="005360B3">
        <w:rPr>
          <w:rFonts w:asciiTheme="minorHAnsi" w:hAnsiTheme="minorHAnsi"/>
          <w:sz w:val="22"/>
          <w:szCs w:val="22"/>
          <w:vertAlign w:val="superscript"/>
        </w:rPr>
        <w:t>2</w:t>
      </w:r>
      <w:r w:rsidR="005360B3">
        <w:rPr>
          <w:rFonts w:asciiTheme="minorHAnsi" w:hAnsiTheme="minorHAnsi"/>
          <w:sz w:val="22"/>
          <w:szCs w:val="22"/>
        </w:rPr>
        <w:t xml:space="preserve"> for one (1) 4ft 2-lamp T8 fixture. </w:t>
      </w:r>
      <w:r w:rsidR="00E5694E">
        <w:rPr>
          <w:rFonts w:asciiTheme="minorHAnsi" w:hAnsiTheme="minorHAnsi"/>
          <w:sz w:val="22"/>
          <w:szCs w:val="22"/>
        </w:rPr>
        <w:t xml:space="preserve">The tool does not have an option for T5 fixtures. However, the </w:t>
      </w:r>
      <w:r w:rsidR="00CF61C9">
        <w:rPr>
          <w:rFonts w:asciiTheme="minorHAnsi" w:hAnsiTheme="minorHAnsi"/>
          <w:sz w:val="22"/>
          <w:szCs w:val="22"/>
        </w:rPr>
        <w:t xml:space="preserve">selected </w:t>
      </w:r>
      <w:r w:rsidR="00E5694E">
        <w:rPr>
          <w:rFonts w:asciiTheme="minorHAnsi" w:hAnsiTheme="minorHAnsi"/>
          <w:sz w:val="22"/>
          <w:szCs w:val="22"/>
        </w:rPr>
        <w:t xml:space="preserve">fixture and area </w:t>
      </w:r>
      <w:r w:rsidR="00CF61C9">
        <w:rPr>
          <w:rFonts w:asciiTheme="minorHAnsi" w:hAnsiTheme="minorHAnsi"/>
          <w:sz w:val="22"/>
          <w:szCs w:val="22"/>
        </w:rPr>
        <w:t xml:space="preserve">results </w:t>
      </w:r>
      <w:proofErr w:type="gramStart"/>
      <w:r w:rsidR="00CF61C9">
        <w:rPr>
          <w:rFonts w:asciiTheme="minorHAnsi" w:hAnsiTheme="minorHAnsi"/>
          <w:sz w:val="22"/>
          <w:szCs w:val="22"/>
        </w:rPr>
        <w:t>in 0.79 watts/ft</w:t>
      </w:r>
      <w:r w:rsidR="00EB1C22" w:rsidRPr="00EB1C22">
        <w:rPr>
          <w:rFonts w:asciiTheme="minorHAnsi" w:hAnsiTheme="minorHAnsi"/>
          <w:sz w:val="22"/>
          <w:szCs w:val="22"/>
          <w:vertAlign w:val="superscript"/>
        </w:rPr>
        <w:t>2</w:t>
      </w:r>
      <w:proofErr w:type="gramEnd"/>
      <w:r w:rsidR="00CF61C9">
        <w:rPr>
          <w:rFonts w:asciiTheme="minorHAnsi" w:hAnsiTheme="minorHAnsi"/>
          <w:sz w:val="22"/>
          <w:szCs w:val="22"/>
        </w:rPr>
        <w:t xml:space="preserve">.  </w:t>
      </w:r>
      <w:r w:rsidR="00E5694E">
        <w:rPr>
          <w:rFonts w:asciiTheme="minorHAnsi" w:hAnsiTheme="minorHAnsi"/>
          <w:sz w:val="22"/>
          <w:szCs w:val="22"/>
        </w:rPr>
        <w:t>This efficiency is reasonable as it falls between what can be expected of T5 and T8 fixtures. In this way</w:t>
      </w:r>
      <w:r w:rsidR="00A67BF5">
        <w:rPr>
          <w:rFonts w:asciiTheme="minorHAnsi" w:hAnsiTheme="minorHAnsi"/>
          <w:sz w:val="22"/>
          <w:szCs w:val="22"/>
        </w:rPr>
        <w:t>,</w:t>
      </w:r>
      <w:r w:rsidR="00E5694E">
        <w:rPr>
          <w:rFonts w:asciiTheme="minorHAnsi" w:hAnsiTheme="minorHAnsi"/>
          <w:sz w:val="22"/>
          <w:szCs w:val="22"/>
        </w:rPr>
        <w:t xml:space="preserve"> the calculations take into account both types of fixtures and find a reasonable average savings. </w:t>
      </w:r>
    </w:p>
    <w:p w:rsidR="00773DB0" w:rsidRPr="00B51295" w:rsidRDefault="00773DB0" w:rsidP="00E16609">
      <w:pPr>
        <w:pStyle w:val="Reminder"/>
        <w:rPr>
          <w:rFonts w:asciiTheme="minorHAnsi" w:hAnsiTheme="minorHAnsi" w:cstheme="minorHAnsi"/>
          <w:i w:val="0"/>
          <w:color w:val="auto"/>
          <w:sz w:val="22"/>
          <w:szCs w:val="22"/>
        </w:rPr>
      </w:pPr>
    </w:p>
    <w:p w:rsidR="005360B3" w:rsidRPr="00A5007B" w:rsidRDefault="005360B3" w:rsidP="00E16609">
      <w:pPr>
        <w:pStyle w:val="Reminders"/>
        <w:rPr>
          <w:rFonts w:asciiTheme="minorHAnsi" w:hAnsiTheme="minorHAnsi" w:cstheme="minorHAnsi"/>
          <w:i w:val="0"/>
          <w:color w:val="auto"/>
          <w:sz w:val="22"/>
          <w:szCs w:val="22"/>
        </w:rPr>
      </w:pPr>
      <w:r w:rsidRPr="004365AD">
        <w:rPr>
          <w:rFonts w:asciiTheme="minorHAnsi" w:hAnsiTheme="minorHAnsi" w:cstheme="minorHAnsi"/>
          <w:i w:val="0"/>
          <w:color w:val="auto"/>
          <w:sz w:val="22"/>
          <w:szCs w:val="22"/>
        </w:rPr>
        <w:t>The tool does not have an explicit miscellaneous commercial building type so it was created using the average of a small office and small retail building types</w:t>
      </w:r>
      <w:r w:rsidRPr="00D82C12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. </w:t>
      </w:r>
      <w:r w:rsidRPr="004365AD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The CPUC defines miscellaneous commercial as the </w:t>
      </w:r>
      <w:r w:rsidR="00A70030" w:rsidRPr="004365AD">
        <w:rPr>
          <w:rFonts w:asciiTheme="minorHAnsi" w:hAnsiTheme="minorHAnsi" w:cstheme="minorHAnsi"/>
          <w:i w:val="0"/>
          <w:color w:val="auto"/>
          <w:sz w:val="22"/>
          <w:szCs w:val="22"/>
        </w:rPr>
        <w:t>average of small office, small retail</w:t>
      </w:r>
      <w:r w:rsidR="00AD72FE" w:rsidRPr="004365AD">
        <w:rPr>
          <w:rFonts w:asciiTheme="minorHAnsi" w:hAnsiTheme="minorHAnsi" w:cstheme="minorHAnsi"/>
          <w:i w:val="0"/>
          <w:color w:val="auto"/>
          <w:sz w:val="22"/>
          <w:szCs w:val="22"/>
        </w:rPr>
        <w:t>,</w:t>
      </w:r>
      <w:r w:rsidR="00A70030" w:rsidRPr="004365AD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and sit-down restaurant. In order to </w:t>
      </w:r>
      <w:r w:rsidR="00A67BF5" w:rsidRPr="004365AD">
        <w:rPr>
          <w:rFonts w:asciiTheme="minorHAnsi" w:hAnsiTheme="minorHAnsi" w:cstheme="minorHAnsi"/>
          <w:i w:val="0"/>
          <w:color w:val="auto"/>
          <w:sz w:val="22"/>
          <w:szCs w:val="22"/>
        </w:rPr>
        <w:t>calculate savings for miscellaneous commercial,</w:t>
      </w:r>
      <w:r w:rsidR="00A70030" w:rsidRPr="004365AD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the Tool results </w:t>
      </w:r>
      <w:r w:rsidR="00A67BF5" w:rsidRPr="004365AD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for a </w:t>
      </w:r>
      <w:r w:rsidR="00A70030" w:rsidRPr="004365AD">
        <w:rPr>
          <w:rFonts w:asciiTheme="minorHAnsi" w:hAnsiTheme="minorHAnsi" w:cstheme="minorHAnsi"/>
          <w:i w:val="0"/>
          <w:color w:val="auto"/>
          <w:sz w:val="22"/>
          <w:szCs w:val="22"/>
        </w:rPr>
        <w:t>building type of ‘small office’ with an area type of ‘office’ was averaged with the results from a building type of ‘small retail’ with two area types, ‘</w:t>
      </w:r>
      <w:r w:rsidR="00A951B9" w:rsidRPr="004365AD">
        <w:rPr>
          <w:rFonts w:asciiTheme="minorHAnsi" w:hAnsiTheme="minorHAnsi" w:cstheme="minorHAnsi"/>
          <w:i w:val="0"/>
          <w:color w:val="auto"/>
          <w:sz w:val="22"/>
          <w:szCs w:val="22"/>
        </w:rPr>
        <w:t>showroom’ and ‘dining’.</w:t>
      </w:r>
      <w:r w:rsidR="00A951B9" w:rsidRPr="00A5007B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</w:t>
      </w:r>
    </w:p>
    <w:p w:rsidR="00A67BF5" w:rsidRDefault="00A67BF5" w:rsidP="00E16609">
      <w:pPr>
        <w:pStyle w:val="Reminders"/>
        <w:rPr>
          <w:rFonts w:asciiTheme="minorHAnsi" w:hAnsiTheme="minorHAnsi" w:cstheme="minorHAnsi"/>
          <w:i w:val="0"/>
          <w:color w:val="auto"/>
          <w:sz w:val="22"/>
          <w:szCs w:val="22"/>
        </w:rPr>
      </w:pPr>
    </w:p>
    <w:p w:rsidR="00B7560F" w:rsidRPr="00BF5754" w:rsidRDefault="00A67BF5" w:rsidP="00B7560F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The Dimmable Ballast T</w:t>
      </w:r>
      <w:r w:rsidR="00B7560F">
        <w:rPr>
          <w:rFonts w:asciiTheme="minorHAnsi" w:hAnsiTheme="minorHAnsi" w:cstheme="minorHAnsi"/>
          <w:sz w:val="22"/>
          <w:szCs w:val="22"/>
        </w:rPr>
        <w:t xml:space="preserve">ool </w:t>
      </w:r>
      <w:r w:rsidR="00B7560F" w:rsidRPr="00BF5754">
        <w:rPr>
          <w:rFonts w:asciiTheme="minorHAnsi" w:hAnsiTheme="minorHAnsi" w:cstheme="minorHAnsi"/>
          <w:sz w:val="22"/>
          <w:szCs w:val="22"/>
        </w:rPr>
        <w:t xml:space="preserve">produces results in terms of kWh/year and kW peak demand for the base and measure cases.  </w:t>
      </w:r>
      <w:r w:rsidR="00B7560F">
        <w:rPr>
          <w:rFonts w:asciiTheme="minorHAnsi" w:hAnsiTheme="minorHAnsi" w:cstheme="minorHAnsi"/>
          <w:sz w:val="22"/>
          <w:szCs w:val="22"/>
        </w:rPr>
        <w:t>Because the tool was run for one fixture</w:t>
      </w:r>
      <w:r>
        <w:rPr>
          <w:rFonts w:asciiTheme="minorHAnsi" w:hAnsiTheme="minorHAnsi" w:cstheme="minorHAnsi"/>
          <w:sz w:val="22"/>
          <w:szCs w:val="22"/>
        </w:rPr>
        <w:t>,</w:t>
      </w:r>
      <w:r w:rsidR="00B7560F">
        <w:rPr>
          <w:rFonts w:asciiTheme="minorHAnsi" w:hAnsiTheme="minorHAnsi" w:cstheme="minorHAnsi"/>
          <w:sz w:val="22"/>
          <w:szCs w:val="22"/>
        </w:rPr>
        <w:t xml:space="preserve"> which </w:t>
      </w:r>
      <w:r>
        <w:rPr>
          <w:rFonts w:asciiTheme="minorHAnsi" w:hAnsiTheme="minorHAnsi" w:cstheme="minorHAnsi"/>
          <w:sz w:val="22"/>
          <w:szCs w:val="22"/>
        </w:rPr>
        <w:t>includes only</w:t>
      </w:r>
      <w:r w:rsidR="00B7560F">
        <w:rPr>
          <w:rFonts w:asciiTheme="minorHAnsi" w:hAnsiTheme="minorHAnsi" w:cstheme="minorHAnsi"/>
          <w:sz w:val="22"/>
          <w:szCs w:val="22"/>
        </w:rPr>
        <w:t xml:space="preserve"> </w:t>
      </w:r>
      <w:proofErr w:type="gramStart"/>
      <w:r w:rsidR="00B7560F">
        <w:rPr>
          <w:rFonts w:asciiTheme="minorHAnsi" w:hAnsiTheme="minorHAnsi" w:cstheme="minorHAnsi"/>
          <w:sz w:val="22"/>
          <w:szCs w:val="22"/>
        </w:rPr>
        <w:t>one ballast</w:t>
      </w:r>
      <w:proofErr w:type="gramEnd"/>
      <w:r>
        <w:rPr>
          <w:rFonts w:asciiTheme="minorHAnsi" w:hAnsiTheme="minorHAnsi" w:cstheme="minorHAnsi"/>
          <w:sz w:val="22"/>
          <w:szCs w:val="22"/>
        </w:rPr>
        <w:t>,</w:t>
      </w:r>
      <w:r w:rsidR="00B7560F">
        <w:rPr>
          <w:rFonts w:asciiTheme="minorHAnsi" w:hAnsiTheme="minorHAnsi" w:cstheme="minorHAnsi"/>
          <w:sz w:val="22"/>
          <w:szCs w:val="22"/>
        </w:rPr>
        <w:t xml:space="preserve"> results are </w:t>
      </w:r>
      <w:r w:rsidR="00CF61C9">
        <w:rPr>
          <w:rFonts w:asciiTheme="minorHAnsi" w:hAnsiTheme="minorHAnsi" w:cstheme="minorHAnsi"/>
          <w:sz w:val="22"/>
          <w:szCs w:val="22"/>
        </w:rPr>
        <w:t xml:space="preserve">presented in </w:t>
      </w:r>
      <w:r w:rsidR="00B7560F">
        <w:rPr>
          <w:rFonts w:asciiTheme="minorHAnsi" w:hAnsiTheme="minorHAnsi" w:cstheme="minorHAnsi"/>
          <w:sz w:val="22"/>
          <w:szCs w:val="22"/>
        </w:rPr>
        <w:t xml:space="preserve">specific energy (kWh/ballast) and specific demand (kW/ballast). </w:t>
      </w:r>
      <w:r w:rsidR="000932E0">
        <w:rPr>
          <w:rFonts w:asciiTheme="minorHAnsi" w:hAnsiTheme="minorHAnsi" w:cstheme="minorHAnsi"/>
          <w:sz w:val="22"/>
          <w:szCs w:val="22"/>
        </w:rPr>
        <w:t xml:space="preserve">An average baseline and measure case specific energy and specific power was calculated for each measure </w:t>
      </w:r>
      <w:r w:rsidR="003A0936">
        <w:rPr>
          <w:rFonts w:asciiTheme="minorHAnsi" w:hAnsiTheme="minorHAnsi" w:cstheme="minorHAnsi"/>
          <w:sz w:val="22"/>
          <w:szCs w:val="22"/>
        </w:rPr>
        <w:t>and broken out by building type.</w:t>
      </w:r>
    </w:p>
    <w:p w:rsidR="00B7560F" w:rsidRPr="00BF5754" w:rsidRDefault="00B7560F" w:rsidP="00B7560F">
      <w:pPr>
        <w:rPr>
          <w:rFonts w:asciiTheme="minorHAnsi" w:hAnsiTheme="minorHAnsi" w:cstheme="minorHAnsi"/>
          <w:sz w:val="22"/>
          <w:szCs w:val="22"/>
        </w:rPr>
      </w:pPr>
    </w:p>
    <w:p w:rsidR="00B7560F" w:rsidRDefault="00B7560F" w:rsidP="00B7560F">
      <w:pPr>
        <w:rPr>
          <w:rFonts w:asciiTheme="minorHAnsi" w:hAnsiTheme="minorHAnsi" w:cstheme="minorHAnsi"/>
          <w:sz w:val="22"/>
          <w:szCs w:val="22"/>
        </w:rPr>
      </w:pPr>
      <w:r w:rsidRPr="00BF5754">
        <w:rPr>
          <w:rFonts w:asciiTheme="minorHAnsi" w:hAnsiTheme="minorHAnsi" w:cstheme="minorHAnsi"/>
          <w:sz w:val="22"/>
          <w:szCs w:val="22"/>
        </w:rPr>
        <w:t>Specific energy savings (kWh/</w:t>
      </w:r>
      <w:r>
        <w:rPr>
          <w:rFonts w:asciiTheme="minorHAnsi" w:hAnsiTheme="minorHAnsi" w:cstheme="minorHAnsi"/>
          <w:sz w:val="22"/>
          <w:szCs w:val="22"/>
        </w:rPr>
        <w:t>ballast</w:t>
      </w:r>
      <w:r w:rsidRPr="00BF5754">
        <w:rPr>
          <w:rFonts w:asciiTheme="minorHAnsi" w:hAnsiTheme="minorHAnsi" w:cstheme="minorHAnsi"/>
          <w:sz w:val="22"/>
          <w:szCs w:val="22"/>
        </w:rPr>
        <w:t xml:space="preserve">) </w:t>
      </w:r>
      <w:r w:rsidR="003A0936">
        <w:rPr>
          <w:rFonts w:asciiTheme="minorHAnsi" w:hAnsiTheme="minorHAnsi" w:cstheme="minorHAnsi"/>
          <w:sz w:val="22"/>
          <w:szCs w:val="22"/>
        </w:rPr>
        <w:t xml:space="preserve">for each building type </w:t>
      </w:r>
      <w:r w:rsidRPr="00BF5754">
        <w:rPr>
          <w:rFonts w:asciiTheme="minorHAnsi" w:hAnsiTheme="minorHAnsi" w:cstheme="minorHAnsi"/>
          <w:sz w:val="22"/>
          <w:szCs w:val="22"/>
        </w:rPr>
        <w:t xml:space="preserve">were calculated as the difference between the </w:t>
      </w:r>
      <w:r w:rsidR="003A0936">
        <w:rPr>
          <w:rFonts w:asciiTheme="minorHAnsi" w:hAnsiTheme="minorHAnsi" w:cstheme="minorHAnsi"/>
          <w:sz w:val="22"/>
          <w:szCs w:val="22"/>
        </w:rPr>
        <w:t>building type</w:t>
      </w:r>
      <w:r w:rsidRPr="00BF5754">
        <w:rPr>
          <w:rFonts w:asciiTheme="minorHAnsi" w:hAnsiTheme="minorHAnsi" w:cstheme="minorHAnsi"/>
          <w:sz w:val="22"/>
          <w:szCs w:val="22"/>
        </w:rPr>
        <w:t xml:space="preserve"> average bas</w:t>
      </w:r>
      <w:r w:rsidR="003A0936">
        <w:rPr>
          <w:rFonts w:asciiTheme="minorHAnsi" w:hAnsiTheme="minorHAnsi" w:cstheme="minorHAnsi"/>
          <w:sz w:val="22"/>
          <w:szCs w:val="22"/>
        </w:rPr>
        <w:t>e case specific energy and the building type</w:t>
      </w:r>
      <w:r w:rsidRPr="00BF5754">
        <w:rPr>
          <w:rFonts w:asciiTheme="minorHAnsi" w:hAnsiTheme="minorHAnsi" w:cstheme="minorHAnsi"/>
          <w:sz w:val="22"/>
          <w:szCs w:val="22"/>
        </w:rPr>
        <w:t xml:space="preserve"> </w:t>
      </w:r>
      <w:r w:rsidR="000932E0">
        <w:rPr>
          <w:rFonts w:asciiTheme="minorHAnsi" w:hAnsiTheme="minorHAnsi" w:cstheme="minorHAnsi"/>
          <w:sz w:val="22"/>
          <w:szCs w:val="22"/>
        </w:rPr>
        <w:t xml:space="preserve">average </w:t>
      </w:r>
      <w:r w:rsidRPr="00BF5754">
        <w:rPr>
          <w:rFonts w:asciiTheme="minorHAnsi" w:hAnsiTheme="minorHAnsi" w:cstheme="minorHAnsi"/>
          <w:sz w:val="22"/>
          <w:szCs w:val="22"/>
        </w:rPr>
        <w:t xml:space="preserve">measure case specific energy.  Specific power savings were calculated as the difference between the </w:t>
      </w:r>
      <w:r w:rsidR="003A0936">
        <w:rPr>
          <w:rFonts w:asciiTheme="minorHAnsi" w:hAnsiTheme="minorHAnsi" w:cstheme="minorHAnsi"/>
          <w:sz w:val="22"/>
          <w:szCs w:val="22"/>
        </w:rPr>
        <w:t>building type</w:t>
      </w:r>
      <w:r w:rsidR="000932E0">
        <w:rPr>
          <w:rFonts w:asciiTheme="minorHAnsi" w:hAnsiTheme="minorHAnsi" w:cstheme="minorHAnsi"/>
          <w:sz w:val="22"/>
          <w:szCs w:val="22"/>
        </w:rPr>
        <w:t xml:space="preserve"> </w:t>
      </w:r>
      <w:r w:rsidRPr="00BF5754">
        <w:rPr>
          <w:rFonts w:asciiTheme="minorHAnsi" w:hAnsiTheme="minorHAnsi" w:cstheme="minorHAnsi"/>
          <w:sz w:val="22"/>
          <w:szCs w:val="22"/>
        </w:rPr>
        <w:t xml:space="preserve">base case specific power and the </w:t>
      </w:r>
      <w:r w:rsidR="003A0936">
        <w:rPr>
          <w:rFonts w:asciiTheme="minorHAnsi" w:hAnsiTheme="minorHAnsi" w:cstheme="minorHAnsi"/>
          <w:sz w:val="22"/>
          <w:szCs w:val="22"/>
        </w:rPr>
        <w:t>building type</w:t>
      </w:r>
      <w:r w:rsidR="000932E0">
        <w:rPr>
          <w:rFonts w:asciiTheme="minorHAnsi" w:hAnsiTheme="minorHAnsi" w:cstheme="minorHAnsi"/>
          <w:sz w:val="22"/>
          <w:szCs w:val="22"/>
        </w:rPr>
        <w:t xml:space="preserve"> </w:t>
      </w:r>
      <w:r w:rsidRPr="00BF5754">
        <w:rPr>
          <w:rFonts w:asciiTheme="minorHAnsi" w:hAnsiTheme="minorHAnsi" w:cstheme="minorHAnsi"/>
          <w:sz w:val="22"/>
          <w:szCs w:val="22"/>
        </w:rPr>
        <w:t>measure case specific power.</w:t>
      </w:r>
      <w:r>
        <w:rPr>
          <w:rFonts w:asciiTheme="minorHAnsi" w:hAnsiTheme="minorHAnsi" w:cstheme="minorHAnsi"/>
          <w:sz w:val="22"/>
          <w:szCs w:val="22"/>
        </w:rPr>
        <w:t xml:space="preserve"> This was done for each of the four measures</w:t>
      </w:r>
      <w:r w:rsidR="003A0936">
        <w:rPr>
          <w:rFonts w:asciiTheme="minorHAnsi" w:hAnsiTheme="minorHAnsi" w:cstheme="minorHAnsi"/>
          <w:sz w:val="22"/>
          <w:szCs w:val="22"/>
        </w:rPr>
        <w:t xml:space="preserve"> and for all building types.</w:t>
      </w:r>
      <w:r w:rsidR="00A07BD0">
        <w:rPr>
          <w:rFonts w:asciiTheme="minorHAnsi" w:hAnsiTheme="minorHAnsi" w:cstheme="minorHAnsi"/>
          <w:sz w:val="22"/>
          <w:szCs w:val="22"/>
        </w:rPr>
        <w:t xml:space="preserve"> The tables below show the energy and demand savings for each measure by building type</w:t>
      </w:r>
      <w:r w:rsidR="00D82C12">
        <w:rPr>
          <w:rFonts w:asciiTheme="minorHAnsi" w:hAnsiTheme="minorHAnsi" w:cstheme="minorHAnsi"/>
          <w:sz w:val="22"/>
          <w:szCs w:val="22"/>
        </w:rPr>
        <w:t xml:space="preserve"> for the First</w:t>
      </w:r>
      <w:r w:rsidR="00D14EBE">
        <w:rPr>
          <w:rFonts w:asciiTheme="minorHAnsi" w:hAnsiTheme="minorHAnsi" w:cstheme="minorHAnsi"/>
          <w:sz w:val="22"/>
          <w:szCs w:val="22"/>
        </w:rPr>
        <w:t xml:space="preserve"> Baseline</w:t>
      </w:r>
      <w:r w:rsidR="00A07BD0">
        <w:rPr>
          <w:rFonts w:asciiTheme="minorHAnsi" w:hAnsiTheme="minorHAnsi" w:cstheme="minorHAnsi"/>
          <w:sz w:val="22"/>
          <w:szCs w:val="22"/>
        </w:rPr>
        <w:t xml:space="preserve">. </w:t>
      </w:r>
    </w:p>
    <w:p w:rsidR="008B2849" w:rsidRPr="008B2849" w:rsidRDefault="008B2849" w:rsidP="00B7560F">
      <w:pPr>
        <w:pStyle w:val="Reminder"/>
        <w:rPr>
          <w:rFonts w:asciiTheme="minorHAnsi" w:hAnsiTheme="minorHAnsi" w:cstheme="minorHAnsi"/>
          <w:b/>
          <w:i w:val="0"/>
          <w:color w:val="auto"/>
          <w:sz w:val="22"/>
          <w:szCs w:val="22"/>
        </w:rPr>
      </w:pPr>
    </w:p>
    <w:p w:rsidR="00B7560F" w:rsidRPr="006177A1" w:rsidRDefault="00B7560F" w:rsidP="006177A1">
      <w:pPr>
        <w:pStyle w:val="Caption"/>
        <w:keepNext/>
        <w:jc w:val="center"/>
        <w:rPr>
          <w:rFonts w:asciiTheme="minorHAnsi" w:hAnsiTheme="minorHAnsi"/>
          <w:sz w:val="22"/>
          <w:szCs w:val="22"/>
        </w:rPr>
      </w:pPr>
      <w:r w:rsidRPr="006177A1">
        <w:rPr>
          <w:rFonts w:asciiTheme="minorHAnsi" w:hAnsiTheme="minorHAnsi"/>
          <w:sz w:val="22"/>
          <w:szCs w:val="22"/>
        </w:rPr>
        <w:t xml:space="preserve">Table 7 </w:t>
      </w:r>
      <w:r w:rsidR="009A010E">
        <w:rPr>
          <w:rFonts w:asciiTheme="minorHAnsi" w:hAnsiTheme="minorHAnsi"/>
          <w:sz w:val="22"/>
          <w:szCs w:val="22"/>
        </w:rPr>
        <w:t>20% Tuning</w:t>
      </w:r>
      <w:r w:rsidRPr="006177A1">
        <w:rPr>
          <w:rFonts w:asciiTheme="minorHAnsi" w:hAnsiTheme="minorHAnsi"/>
          <w:sz w:val="22"/>
          <w:szCs w:val="22"/>
        </w:rPr>
        <w:t xml:space="preserve"> Energy </w:t>
      </w:r>
      <w:r w:rsidR="00A07BD0">
        <w:rPr>
          <w:rFonts w:asciiTheme="minorHAnsi" w:hAnsiTheme="minorHAnsi"/>
          <w:sz w:val="22"/>
          <w:szCs w:val="22"/>
        </w:rPr>
        <w:t>and</w:t>
      </w:r>
      <w:r w:rsidR="009A010E">
        <w:rPr>
          <w:rFonts w:asciiTheme="minorHAnsi" w:hAnsiTheme="minorHAnsi"/>
          <w:sz w:val="22"/>
          <w:szCs w:val="22"/>
        </w:rPr>
        <w:t xml:space="preserve"> Demand </w:t>
      </w:r>
      <w:r w:rsidRPr="006177A1">
        <w:rPr>
          <w:rFonts w:asciiTheme="minorHAnsi" w:hAnsiTheme="minorHAnsi"/>
          <w:sz w:val="22"/>
          <w:szCs w:val="22"/>
        </w:rPr>
        <w:t>Savings</w:t>
      </w:r>
    </w:p>
    <w:tbl>
      <w:tblPr>
        <w:tblW w:w="8420" w:type="dxa"/>
        <w:jc w:val="center"/>
        <w:tblInd w:w="94" w:type="dxa"/>
        <w:tblLook w:val="04A0" w:firstRow="1" w:lastRow="0" w:firstColumn="1" w:lastColumn="0" w:noHBand="0" w:noVBand="1"/>
      </w:tblPr>
      <w:tblGrid>
        <w:gridCol w:w="2480"/>
        <w:gridCol w:w="1020"/>
        <w:gridCol w:w="960"/>
        <w:gridCol w:w="1020"/>
        <w:gridCol w:w="960"/>
        <w:gridCol w:w="1020"/>
        <w:gridCol w:w="960"/>
      </w:tblGrid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  <w:t>20% Tuning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 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>
            <w:pPr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0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Baseline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Proposed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Savings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>
            <w:pPr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 w:rsidP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kW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 w:rsidP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kWh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 w:rsidP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kW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 w:rsidP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kWh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 w:rsidP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kW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 w:rsidP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kWh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Primary School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126.3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0.05000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101.0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0.01000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25.3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Secondary School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134.5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0.05000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107.6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0.01000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26.9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proofErr w:type="spellStart"/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Relocatable</w:t>
            </w:r>
            <w:proofErr w:type="spellEnd"/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Classroom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146.3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0.05000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117.1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0.01000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29.2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Community College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142.8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0.05000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114.2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0.01000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28.6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University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138.6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0.05000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110.9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0.01000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27.7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Large Office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155.8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0.05000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124.6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0.01000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31.2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Small Office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152.8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0.05000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122.2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0.01000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30.6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Retail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251.9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0.05000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201.5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0.01000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50.4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Small Retail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199.4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0.05000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159.5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0.01000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39.9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Misc Commercial</w:t>
            </w:r>
          </w:p>
        </w:tc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212.4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0.05000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169.9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0.01000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42.5</w:t>
            </w:r>
          </w:p>
        </w:tc>
      </w:tr>
    </w:tbl>
    <w:p w:rsidR="00B7560F" w:rsidRPr="008C7EA8" w:rsidRDefault="00B7560F" w:rsidP="00A07BD0">
      <w:pPr>
        <w:pStyle w:val="Reminder"/>
        <w:jc w:val="center"/>
        <w:rPr>
          <w:rFonts w:asciiTheme="minorHAnsi" w:hAnsiTheme="minorHAnsi" w:cstheme="minorHAnsi"/>
          <w:i w:val="0"/>
          <w:color w:val="auto"/>
          <w:sz w:val="22"/>
          <w:szCs w:val="22"/>
        </w:rPr>
      </w:pPr>
    </w:p>
    <w:p w:rsidR="00B7560F" w:rsidRDefault="00B7560F" w:rsidP="006177A1">
      <w:pPr>
        <w:pStyle w:val="Caption"/>
        <w:keepNext/>
        <w:jc w:val="center"/>
        <w:rPr>
          <w:rFonts w:asciiTheme="minorHAnsi" w:hAnsiTheme="minorHAnsi"/>
          <w:sz w:val="22"/>
          <w:szCs w:val="22"/>
        </w:rPr>
      </w:pPr>
      <w:r w:rsidRPr="006177A1">
        <w:rPr>
          <w:rFonts w:asciiTheme="minorHAnsi" w:hAnsiTheme="minorHAnsi"/>
          <w:sz w:val="22"/>
          <w:szCs w:val="22"/>
        </w:rPr>
        <w:t xml:space="preserve">Table 8 </w:t>
      </w:r>
      <w:r w:rsidR="009A010E">
        <w:rPr>
          <w:rFonts w:asciiTheme="minorHAnsi" w:hAnsiTheme="minorHAnsi"/>
          <w:sz w:val="22"/>
          <w:szCs w:val="22"/>
        </w:rPr>
        <w:t xml:space="preserve">20% Tuning + DH </w:t>
      </w:r>
      <w:r w:rsidR="00BA6557">
        <w:rPr>
          <w:rFonts w:asciiTheme="minorHAnsi" w:hAnsiTheme="minorHAnsi"/>
          <w:sz w:val="22"/>
          <w:szCs w:val="22"/>
        </w:rPr>
        <w:t>Energy and Demand Savings</w:t>
      </w:r>
    </w:p>
    <w:tbl>
      <w:tblPr>
        <w:tblW w:w="8420" w:type="dxa"/>
        <w:jc w:val="center"/>
        <w:tblInd w:w="93" w:type="dxa"/>
        <w:tblLook w:val="04A0" w:firstRow="1" w:lastRow="0" w:firstColumn="1" w:lastColumn="0" w:noHBand="0" w:noVBand="1"/>
      </w:tblPr>
      <w:tblGrid>
        <w:gridCol w:w="2480"/>
        <w:gridCol w:w="1020"/>
        <w:gridCol w:w="960"/>
        <w:gridCol w:w="1020"/>
        <w:gridCol w:w="960"/>
        <w:gridCol w:w="1020"/>
        <w:gridCol w:w="960"/>
      </w:tblGrid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  <w:t>20% Tuning + DH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 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>
            <w:pPr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Baseline</w:t>
            </w:r>
          </w:p>
        </w:tc>
        <w:tc>
          <w:tcPr>
            <w:tcW w:w="19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Proposed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Savings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>
            <w:pPr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lastRenderedPageBreak/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 w:rsidP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kW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 w:rsidP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kWh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 w:rsidP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kW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 w:rsidP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kWh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 w:rsidP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kW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 w:rsidP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kWh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Primary School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126.3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0.03000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83.0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0.03000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43.3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Secondary School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134.5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0.03000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89.6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0.03000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44.9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proofErr w:type="spellStart"/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Relocatable</w:t>
            </w:r>
            <w:proofErr w:type="spellEnd"/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Classroom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146.3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0.03000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117.1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0.03000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47.2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Community College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142.8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0.03000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96.2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0.03000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46.6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University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138.6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0.03000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92.9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0.03000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45.7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Large Office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155.8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0.04000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110.4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0.02000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45.4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Small Office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152.8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0.03000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105.4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0.03000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47.4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Retail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251.9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0.04000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190.6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0.02000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61.3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Small Retail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199.4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0.04000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148.6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0.02000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50.8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Misc Commercial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212.4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0.02333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157.0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0.03667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55.4</w:t>
            </w:r>
          </w:p>
        </w:tc>
      </w:tr>
    </w:tbl>
    <w:p w:rsidR="00BA6557" w:rsidRDefault="00BA6557" w:rsidP="00BA6557"/>
    <w:p w:rsidR="00BA6557" w:rsidRPr="006177A1" w:rsidRDefault="00BA6557" w:rsidP="00BA6557">
      <w:pPr>
        <w:pStyle w:val="Caption"/>
        <w:keepNext/>
        <w:jc w:val="center"/>
        <w:rPr>
          <w:rFonts w:asciiTheme="minorHAnsi" w:hAnsiTheme="minorHAnsi"/>
          <w:sz w:val="22"/>
          <w:szCs w:val="22"/>
        </w:rPr>
      </w:pPr>
      <w:r w:rsidRPr="006177A1">
        <w:rPr>
          <w:rFonts w:asciiTheme="minorHAnsi" w:hAnsiTheme="minorHAnsi"/>
          <w:sz w:val="22"/>
          <w:szCs w:val="22"/>
        </w:rPr>
        <w:t xml:space="preserve">Table </w:t>
      </w:r>
      <w:r w:rsidR="00D82C12">
        <w:rPr>
          <w:rFonts w:asciiTheme="minorHAnsi" w:hAnsiTheme="minorHAnsi"/>
          <w:sz w:val="22"/>
          <w:szCs w:val="22"/>
        </w:rPr>
        <w:t>9</w:t>
      </w:r>
      <w:r w:rsidRPr="006177A1">
        <w:rPr>
          <w:rFonts w:asciiTheme="minorHAnsi" w:hAnsiTheme="minorHAnsi"/>
          <w:sz w:val="22"/>
          <w:szCs w:val="22"/>
        </w:rPr>
        <w:t xml:space="preserve"> </w:t>
      </w:r>
      <w:r>
        <w:rPr>
          <w:rFonts w:asciiTheme="minorHAnsi" w:hAnsiTheme="minorHAnsi"/>
          <w:sz w:val="22"/>
          <w:szCs w:val="22"/>
        </w:rPr>
        <w:t xml:space="preserve">20% Tuning + </w:t>
      </w:r>
      <w:r w:rsidR="00A07BD0">
        <w:rPr>
          <w:rFonts w:asciiTheme="minorHAnsi" w:hAnsiTheme="minorHAnsi"/>
          <w:sz w:val="22"/>
          <w:szCs w:val="22"/>
        </w:rPr>
        <w:t>OS</w:t>
      </w:r>
      <w:r>
        <w:rPr>
          <w:rFonts w:asciiTheme="minorHAnsi" w:hAnsiTheme="minorHAnsi"/>
          <w:sz w:val="22"/>
          <w:szCs w:val="22"/>
        </w:rPr>
        <w:t xml:space="preserve"> Energy and Demand Savings</w:t>
      </w:r>
    </w:p>
    <w:tbl>
      <w:tblPr>
        <w:tblW w:w="8420" w:type="dxa"/>
        <w:jc w:val="center"/>
        <w:tblLook w:val="04A0" w:firstRow="1" w:lastRow="0" w:firstColumn="1" w:lastColumn="0" w:noHBand="0" w:noVBand="1"/>
      </w:tblPr>
      <w:tblGrid>
        <w:gridCol w:w="2480"/>
        <w:gridCol w:w="1020"/>
        <w:gridCol w:w="960"/>
        <w:gridCol w:w="1020"/>
        <w:gridCol w:w="960"/>
        <w:gridCol w:w="1020"/>
        <w:gridCol w:w="960"/>
      </w:tblGrid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  <w:t>20% Tuning + OS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 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>
            <w:pPr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Baseline</w:t>
            </w:r>
          </w:p>
        </w:tc>
        <w:tc>
          <w:tcPr>
            <w:tcW w:w="19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Proposed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Savings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>
            <w:pPr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 w:rsidP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kW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 w:rsidP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kWh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 w:rsidP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kW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 w:rsidP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kWh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 w:rsidP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kW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 w:rsidP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kWh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Primary School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126.3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0.05000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74.1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0.01000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52.2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Secondary School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134.5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0.05000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78.9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0.01000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55.6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proofErr w:type="spellStart"/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Relocatable</w:t>
            </w:r>
            <w:proofErr w:type="spellEnd"/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Classroom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146.3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0.05000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85.8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0.01000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60.5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Community College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142.8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0.05000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83.8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0.01000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59.0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University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138.6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0.05000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81.3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0.01000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57.3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Large Office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155.8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0.05000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93.5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0.01000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62.3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Small Office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152.8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0.05000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91.7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0.01000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61.1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Retail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251.9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0.05000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171.3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0.01000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80.6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Small Retail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199.4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0.05000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135.6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0.01000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63.8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Misc Commercial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212.4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0.05000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135.9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0.01000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76.5</w:t>
            </w:r>
          </w:p>
        </w:tc>
      </w:tr>
    </w:tbl>
    <w:p w:rsidR="00BA6557" w:rsidRDefault="00BA6557" w:rsidP="00A07BD0">
      <w:pPr>
        <w:jc w:val="center"/>
      </w:pPr>
    </w:p>
    <w:p w:rsidR="00BA6557" w:rsidRDefault="00BA6557" w:rsidP="00BA6557">
      <w:pPr>
        <w:pStyle w:val="Caption"/>
        <w:keepNext/>
        <w:jc w:val="center"/>
        <w:rPr>
          <w:rFonts w:asciiTheme="minorHAnsi" w:hAnsiTheme="minorHAnsi"/>
          <w:sz w:val="22"/>
          <w:szCs w:val="22"/>
        </w:rPr>
      </w:pPr>
      <w:r w:rsidRPr="006177A1">
        <w:rPr>
          <w:rFonts w:asciiTheme="minorHAnsi" w:hAnsiTheme="minorHAnsi"/>
          <w:sz w:val="22"/>
          <w:szCs w:val="22"/>
        </w:rPr>
        <w:t xml:space="preserve">Table </w:t>
      </w:r>
      <w:r w:rsidR="00D82C12">
        <w:rPr>
          <w:rFonts w:asciiTheme="minorHAnsi" w:hAnsiTheme="minorHAnsi"/>
          <w:sz w:val="22"/>
          <w:szCs w:val="22"/>
        </w:rPr>
        <w:t>10</w:t>
      </w:r>
      <w:r w:rsidRPr="006177A1">
        <w:rPr>
          <w:rFonts w:asciiTheme="minorHAnsi" w:hAnsiTheme="minorHAnsi"/>
          <w:sz w:val="22"/>
          <w:szCs w:val="22"/>
        </w:rPr>
        <w:t xml:space="preserve"> </w:t>
      </w:r>
      <w:r>
        <w:rPr>
          <w:rFonts w:asciiTheme="minorHAnsi" w:hAnsiTheme="minorHAnsi"/>
          <w:sz w:val="22"/>
          <w:szCs w:val="22"/>
        </w:rPr>
        <w:t>20% Tuning + DH</w:t>
      </w:r>
      <w:r w:rsidR="00A07BD0">
        <w:rPr>
          <w:rFonts w:asciiTheme="minorHAnsi" w:hAnsiTheme="minorHAnsi"/>
          <w:sz w:val="22"/>
          <w:szCs w:val="22"/>
        </w:rPr>
        <w:t xml:space="preserve"> + OS</w:t>
      </w:r>
      <w:r>
        <w:rPr>
          <w:rFonts w:asciiTheme="minorHAnsi" w:hAnsiTheme="minorHAnsi"/>
          <w:sz w:val="22"/>
          <w:szCs w:val="22"/>
        </w:rPr>
        <w:t xml:space="preserve"> Energy and Demand Savings</w:t>
      </w:r>
    </w:p>
    <w:tbl>
      <w:tblPr>
        <w:tblW w:w="8420" w:type="dxa"/>
        <w:jc w:val="center"/>
        <w:tblInd w:w="94" w:type="dxa"/>
        <w:tblLook w:val="04A0" w:firstRow="1" w:lastRow="0" w:firstColumn="1" w:lastColumn="0" w:noHBand="0" w:noVBand="1"/>
      </w:tblPr>
      <w:tblGrid>
        <w:gridCol w:w="2480"/>
        <w:gridCol w:w="1020"/>
        <w:gridCol w:w="960"/>
        <w:gridCol w:w="1020"/>
        <w:gridCol w:w="960"/>
        <w:gridCol w:w="1020"/>
        <w:gridCol w:w="960"/>
      </w:tblGrid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b/>
                <w:bCs/>
                <w:color w:val="000000"/>
                <w:sz w:val="20"/>
                <w:szCs w:val="20"/>
              </w:rPr>
              <w:t>20% Tuning + DH + OS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 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>
            <w:pPr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Baseline</w:t>
            </w:r>
          </w:p>
        </w:tc>
        <w:tc>
          <w:tcPr>
            <w:tcW w:w="19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Proposed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Savings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>
            <w:pPr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 w:rsidP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kW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 w:rsidP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kWh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 w:rsidP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kW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 w:rsidP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kWh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 w:rsidP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kW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C5479D" w:rsidRDefault="00A07BD0" w:rsidP="00A07BD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</w:pPr>
            <w:r w:rsidRPr="00C5479D">
              <w:rPr>
                <w:rFonts w:asciiTheme="minorHAnsi" w:hAnsiTheme="minorHAnsi" w:cstheme="minorHAnsi"/>
                <w:b/>
                <w:color w:val="000000"/>
                <w:sz w:val="20"/>
                <w:szCs w:val="20"/>
              </w:rPr>
              <w:t>kWh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Primary School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126.3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0.02000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43.8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0.04000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82.5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Secondary School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134.5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0.02000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63.4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0.04000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71.1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proofErr w:type="spellStart"/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Relocatable</w:t>
            </w:r>
            <w:proofErr w:type="spellEnd"/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Classroom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146.3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0.02000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55.5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0.04000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90.8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Community College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142.8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0.02000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53.5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0.04000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89.3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University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138.6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0.02000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51.0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0.04000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87.6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Large Office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155.8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0.02000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64.4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0.04000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91.4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Small Office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152.8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0.02000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64.5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0.04000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88.3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Retail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251.9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0.04000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160.3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0.02000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91.6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Small Retail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199.4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0.04000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124.6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0.02000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74.8</w:t>
            </w:r>
          </w:p>
        </w:tc>
      </w:tr>
      <w:tr w:rsidR="00A07BD0" w:rsidTr="00A07BD0">
        <w:trPr>
          <w:trHeight w:val="300"/>
          <w:jc w:val="center"/>
        </w:trPr>
        <w:tc>
          <w:tcPr>
            <w:tcW w:w="2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Misc Commercial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0.06000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212.4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0.03333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119.6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0.02667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7BD0" w:rsidRPr="00D82C12" w:rsidRDefault="00A07BD0">
            <w:pPr>
              <w:jc w:val="right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D82C12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92.8</w:t>
            </w:r>
          </w:p>
        </w:tc>
      </w:tr>
    </w:tbl>
    <w:p w:rsidR="00BA6557" w:rsidRDefault="00BA6557" w:rsidP="00BA6557"/>
    <w:p w:rsidR="008B2849" w:rsidRPr="00A12EF6" w:rsidRDefault="00D14EBE" w:rsidP="00BA6557">
      <w:pPr>
        <w:rPr>
          <w:rFonts w:asciiTheme="minorHAnsi" w:hAnsiTheme="minorHAnsi"/>
        </w:rPr>
      </w:pPr>
      <w:r w:rsidRPr="00D14EBE">
        <w:rPr>
          <w:rFonts w:asciiTheme="minorHAnsi" w:hAnsiTheme="minorHAnsi"/>
        </w:rPr>
        <w:lastRenderedPageBreak/>
        <w:t>Since this is a retrofit measure</w:t>
      </w:r>
      <w:r w:rsidR="000469A3">
        <w:rPr>
          <w:rFonts w:asciiTheme="minorHAnsi" w:hAnsiTheme="minorHAnsi"/>
        </w:rPr>
        <w:t>,</w:t>
      </w:r>
      <w:r w:rsidRPr="00D14EBE">
        <w:rPr>
          <w:rFonts w:asciiTheme="minorHAnsi" w:hAnsiTheme="minorHAnsi"/>
        </w:rPr>
        <w:t xml:space="preserve"> a second baseline is established using minimum efficiencies required by </w:t>
      </w:r>
      <w:r w:rsidR="00866417">
        <w:rPr>
          <w:rFonts w:asciiTheme="minorHAnsi" w:hAnsiTheme="minorHAnsi"/>
        </w:rPr>
        <w:t>cod</w:t>
      </w:r>
      <w:r w:rsidR="00D82C12">
        <w:rPr>
          <w:rFonts w:asciiTheme="minorHAnsi" w:hAnsiTheme="minorHAnsi"/>
        </w:rPr>
        <w:t>e or standard industry practice</w:t>
      </w:r>
      <w:r>
        <w:rPr>
          <w:rFonts w:asciiTheme="minorHAnsi" w:hAnsiTheme="minorHAnsi"/>
        </w:rPr>
        <w:t xml:space="preserve">. </w:t>
      </w:r>
      <w:r w:rsidR="00866417">
        <w:rPr>
          <w:rFonts w:asciiTheme="minorHAnsi" w:hAnsiTheme="minorHAnsi"/>
        </w:rPr>
        <w:t xml:space="preserve">However, there is no required code that is triggered for these measures and </w:t>
      </w:r>
      <w:r w:rsidR="00C5479D">
        <w:rPr>
          <w:rFonts w:asciiTheme="minorHAnsi" w:hAnsiTheme="minorHAnsi"/>
        </w:rPr>
        <w:t>therefore, the</w:t>
      </w:r>
      <w:r w:rsidR="00866417">
        <w:rPr>
          <w:rFonts w:asciiTheme="minorHAnsi" w:hAnsiTheme="minorHAnsi"/>
        </w:rPr>
        <w:t xml:space="preserve"> second baseline is the same as the first. </w:t>
      </w:r>
      <w:r w:rsidR="00C5479D">
        <w:rPr>
          <w:rFonts w:asciiTheme="minorHAnsi" w:hAnsiTheme="minorHAnsi"/>
        </w:rPr>
        <w:t>Thus</w:t>
      </w:r>
      <w:r w:rsidR="00866417">
        <w:rPr>
          <w:rFonts w:asciiTheme="minorHAnsi" w:hAnsiTheme="minorHAnsi"/>
        </w:rPr>
        <w:t xml:space="preserve">, the savings </w:t>
      </w:r>
      <w:r w:rsidR="00C5479D">
        <w:rPr>
          <w:rFonts w:asciiTheme="minorHAnsi" w:hAnsiTheme="minorHAnsi"/>
        </w:rPr>
        <w:t>for the</w:t>
      </w:r>
      <w:r w:rsidR="00866417">
        <w:rPr>
          <w:rFonts w:asciiTheme="minorHAnsi" w:hAnsiTheme="minorHAnsi"/>
        </w:rPr>
        <w:t xml:space="preserve"> second baseline</w:t>
      </w:r>
      <w:r w:rsidR="00C5479D">
        <w:rPr>
          <w:rFonts w:asciiTheme="minorHAnsi" w:hAnsiTheme="minorHAnsi"/>
        </w:rPr>
        <w:t xml:space="preserve"> period</w:t>
      </w:r>
      <w:r w:rsidR="00866417">
        <w:rPr>
          <w:rFonts w:asciiTheme="minorHAnsi" w:hAnsiTheme="minorHAnsi"/>
        </w:rPr>
        <w:t xml:space="preserve"> are identical to those listed above.</w:t>
      </w:r>
      <w:r w:rsidR="00A12EF6">
        <w:rPr>
          <w:rFonts w:asciiTheme="minorHAnsi" w:hAnsiTheme="minorHAnsi"/>
        </w:rPr>
        <w:t xml:space="preserve"> Savings with interactive effects for SDGE climate zones are provided in Attachment 5, </w:t>
      </w:r>
      <w:r w:rsidR="00A12EF6" w:rsidRPr="00A12EF6">
        <w:rPr>
          <w:rFonts w:asciiTheme="minorHAnsi" w:hAnsiTheme="minorHAnsi" w:cstheme="minorHAnsi"/>
        </w:rPr>
        <w:t xml:space="preserve"> “Dimmable Ballast Worksheet.xlsx”</w:t>
      </w:r>
    </w:p>
    <w:p w:rsidR="008B2849" w:rsidRDefault="008B2849" w:rsidP="00BA6557">
      <w:pPr>
        <w:rPr>
          <w:rFonts w:asciiTheme="minorHAnsi" w:hAnsiTheme="minorHAnsi"/>
        </w:rPr>
      </w:pPr>
    </w:p>
    <w:p w:rsidR="008B2849" w:rsidRDefault="008B2849" w:rsidP="00BA6557">
      <w:pPr>
        <w:rPr>
          <w:rFonts w:asciiTheme="minorHAnsi" w:hAnsiTheme="minorHAnsi"/>
        </w:rPr>
      </w:pPr>
    </w:p>
    <w:p w:rsidR="008B2849" w:rsidRDefault="008B2849" w:rsidP="00BA6557">
      <w:pPr>
        <w:rPr>
          <w:rFonts w:asciiTheme="minorHAnsi" w:hAnsiTheme="minorHAnsi"/>
        </w:rPr>
      </w:pPr>
    </w:p>
    <w:p w:rsidR="00E16609" w:rsidRPr="000F130A" w:rsidRDefault="00E16609" w:rsidP="00E16609">
      <w:pPr>
        <w:pStyle w:val="Heading1"/>
        <w:keepNext w:val="0"/>
        <w:rPr>
          <w:rFonts w:asciiTheme="minorHAnsi" w:hAnsiTheme="minorHAnsi" w:cstheme="minorHAnsi"/>
        </w:rPr>
      </w:pPr>
      <w:bookmarkStart w:id="16" w:name="_Toc214003093"/>
      <w:r w:rsidRPr="000F130A">
        <w:rPr>
          <w:rFonts w:asciiTheme="minorHAnsi" w:hAnsiTheme="minorHAnsi" w:cstheme="minorHAnsi"/>
        </w:rPr>
        <w:t>Section 3. Load Shape</w:t>
      </w:r>
      <w:bookmarkEnd w:id="16"/>
      <w:r w:rsidRPr="000F130A">
        <w:rPr>
          <w:rFonts w:asciiTheme="minorHAnsi" w:hAnsiTheme="minorHAnsi" w:cstheme="minorHAnsi"/>
        </w:rPr>
        <w:t>s</w:t>
      </w:r>
    </w:p>
    <w:p w:rsidR="00E16609" w:rsidRPr="00443D32" w:rsidRDefault="00E16609" w:rsidP="00E16609">
      <w:pPr>
        <w:rPr>
          <w:rFonts w:asciiTheme="minorHAnsi" w:hAnsiTheme="minorHAnsi" w:cstheme="minorHAnsi"/>
          <w:sz w:val="22"/>
          <w:szCs w:val="22"/>
        </w:rPr>
      </w:pPr>
      <w:r w:rsidRPr="00443D32">
        <w:rPr>
          <w:rFonts w:asciiTheme="minorHAnsi" w:hAnsiTheme="minorHAnsi" w:cstheme="minorHAnsi"/>
          <w:sz w:val="22"/>
          <w:szCs w:val="22"/>
        </w:rPr>
        <w:t xml:space="preserve">The difference between the base case load shape and the measure load shape would be the most appropriate load shape; however, only end-use profiles are available.  Therefore, </w:t>
      </w:r>
      <w:r w:rsidR="006F70BE" w:rsidRPr="00443D32">
        <w:rPr>
          <w:rFonts w:asciiTheme="minorHAnsi" w:hAnsiTheme="minorHAnsi" w:cstheme="minorHAnsi"/>
          <w:sz w:val="22"/>
          <w:szCs w:val="22"/>
        </w:rPr>
        <w:fldChar w:fldCharType="begin"/>
      </w:r>
      <w:r w:rsidRPr="00443D32">
        <w:rPr>
          <w:rFonts w:asciiTheme="minorHAnsi" w:hAnsiTheme="minorHAnsi" w:cstheme="minorHAnsi"/>
          <w:sz w:val="22"/>
          <w:szCs w:val="22"/>
        </w:rPr>
        <w:instrText xml:space="preserve"> XE "load shape" </w:instrText>
      </w:r>
      <w:r w:rsidR="006F70BE" w:rsidRPr="00443D32">
        <w:rPr>
          <w:rFonts w:asciiTheme="minorHAnsi" w:hAnsiTheme="minorHAnsi" w:cstheme="minorHAnsi"/>
          <w:sz w:val="22"/>
          <w:szCs w:val="22"/>
        </w:rPr>
        <w:fldChar w:fldCharType="end"/>
      </w:r>
      <w:r w:rsidRPr="00443D32">
        <w:rPr>
          <w:rFonts w:asciiTheme="minorHAnsi" w:hAnsiTheme="minorHAnsi" w:cstheme="minorHAnsi"/>
          <w:sz w:val="22"/>
          <w:szCs w:val="22"/>
        </w:rPr>
        <w:t>the c</w:t>
      </w:r>
      <w:r w:rsidR="00275E02">
        <w:rPr>
          <w:rFonts w:asciiTheme="minorHAnsi" w:hAnsiTheme="minorHAnsi" w:cstheme="minorHAnsi"/>
          <w:sz w:val="22"/>
          <w:szCs w:val="22"/>
        </w:rPr>
        <w:t>losest load shape chosen for these</w:t>
      </w:r>
      <w:r w:rsidRPr="00443D32">
        <w:rPr>
          <w:rFonts w:asciiTheme="minorHAnsi" w:hAnsiTheme="minorHAnsi" w:cstheme="minorHAnsi"/>
          <w:sz w:val="22"/>
          <w:szCs w:val="22"/>
        </w:rPr>
        <w:t xml:space="preserve"> measure</w:t>
      </w:r>
      <w:r w:rsidR="00275E02">
        <w:rPr>
          <w:rFonts w:asciiTheme="minorHAnsi" w:hAnsiTheme="minorHAnsi" w:cstheme="minorHAnsi"/>
          <w:sz w:val="22"/>
          <w:szCs w:val="22"/>
        </w:rPr>
        <w:t>s</w:t>
      </w:r>
      <w:r w:rsidRPr="00443D32">
        <w:rPr>
          <w:rFonts w:asciiTheme="minorHAnsi" w:hAnsiTheme="minorHAnsi" w:cstheme="minorHAnsi"/>
          <w:sz w:val="22"/>
          <w:szCs w:val="22"/>
        </w:rPr>
        <w:t xml:space="preserve"> is the </w:t>
      </w:r>
      <w:r w:rsidR="006177A1">
        <w:rPr>
          <w:rFonts w:asciiTheme="minorHAnsi" w:hAnsiTheme="minorHAnsi" w:cstheme="minorHAnsi"/>
          <w:sz w:val="22"/>
          <w:szCs w:val="22"/>
        </w:rPr>
        <w:t>‘</w:t>
      </w:r>
      <w:r w:rsidR="00275E02">
        <w:rPr>
          <w:rFonts w:asciiTheme="minorHAnsi" w:hAnsiTheme="minorHAnsi" w:cstheme="minorHAnsi"/>
          <w:sz w:val="22"/>
          <w:szCs w:val="22"/>
        </w:rPr>
        <w:t>DayLt &amp; Controls</w:t>
      </w:r>
      <w:r w:rsidR="006177A1">
        <w:rPr>
          <w:rFonts w:asciiTheme="minorHAnsi" w:hAnsiTheme="minorHAnsi" w:cstheme="minorHAnsi"/>
          <w:sz w:val="22"/>
          <w:szCs w:val="22"/>
        </w:rPr>
        <w:t>’</w:t>
      </w:r>
      <w:r w:rsidR="00275E02">
        <w:rPr>
          <w:rFonts w:asciiTheme="minorHAnsi" w:hAnsiTheme="minorHAnsi" w:cstheme="minorHAnsi"/>
          <w:sz w:val="22"/>
          <w:szCs w:val="22"/>
        </w:rPr>
        <w:t xml:space="preserve"> </w:t>
      </w:r>
      <w:r w:rsidRPr="00443D32">
        <w:rPr>
          <w:rFonts w:asciiTheme="minorHAnsi" w:hAnsiTheme="minorHAnsi" w:cstheme="minorHAnsi"/>
          <w:sz w:val="22"/>
          <w:szCs w:val="22"/>
        </w:rPr>
        <w:t xml:space="preserve">load shape.  See </w:t>
      </w:r>
      <w:r w:rsidR="00D82C12">
        <w:fldChar w:fldCharType="begin"/>
      </w:r>
      <w:r w:rsidR="00D82C12">
        <w:instrText xml:space="preserve"> REF _Ref296597958 \h  \* MERGEFORMAT </w:instrText>
      </w:r>
      <w:r w:rsidR="00D82C12">
        <w:fldChar w:fldCharType="separate"/>
      </w:r>
      <w:r w:rsidR="004B3254" w:rsidRPr="00F4752B">
        <w:rPr>
          <w:rFonts w:asciiTheme="minorHAnsi" w:hAnsiTheme="minorHAnsi" w:cstheme="minorHAnsi"/>
          <w:sz w:val="22"/>
          <w:szCs w:val="22"/>
        </w:rPr>
        <w:t xml:space="preserve">Table </w:t>
      </w:r>
      <w:r w:rsidR="00D82C12">
        <w:fldChar w:fldCharType="end"/>
      </w:r>
      <w:r w:rsidR="00BA6557">
        <w:t>11</w:t>
      </w:r>
      <w:r w:rsidR="003F0623" w:rsidRPr="00443D32">
        <w:rPr>
          <w:rFonts w:asciiTheme="minorHAnsi" w:hAnsiTheme="minorHAnsi" w:cstheme="minorHAnsi"/>
          <w:sz w:val="22"/>
          <w:szCs w:val="22"/>
        </w:rPr>
        <w:t xml:space="preserve"> </w:t>
      </w:r>
      <w:r w:rsidRPr="00443D32">
        <w:rPr>
          <w:rFonts w:asciiTheme="minorHAnsi" w:hAnsiTheme="minorHAnsi" w:cstheme="minorHAnsi"/>
          <w:sz w:val="22"/>
          <w:szCs w:val="22"/>
        </w:rPr>
        <w:t xml:space="preserve">for a list of all Building Types and Load Shapes.  </w:t>
      </w:r>
    </w:p>
    <w:p w:rsidR="00E16609" w:rsidRPr="00F4752B" w:rsidRDefault="003F0623" w:rsidP="003F0623">
      <w:pPr>
        <w:pStyle w:val="Caption"/>
        <w:jc w:val="center"/>
        <w:rPr>
          <w:rFonts w:asciiTheme="minorHAnsi" w:hAnsiTheme="minorHAnsi" w:cstheme="minorHAnsi"/>
          <w:b w:val="0"/>
          <w:sz w:val="22"/>
          <w:szCs w:val="22"/>
        </w:rPr>
      </w:pPr>
      <w:bookmarkStart w:id="17" w:name="_Ref296597958"/>
      <w:r w:rsidRPr="00F4752B">
        <w:rPr>
          <w:rFonts w:asciiTheme="minorHAnsi" w:hAnsiTheme="minorHAnsi" w:cstheme="minorHAnsi"/>
          <w:sz w:val="22"/>
          <w:szCs w:val="22"/>
        </w:rPr>
        <w:t xml:space="preserve">Table </w:t>
      </w:r>
      <w:bookmarkEnd w:id="17"/>
      <w:r w:rsidR="00BA6557">
        <w:rPr>
          <w:rFonts w:asciiTheme="minorHAnsi" w:hAnsiTheme="minorHAnsi" w:cstheme="minorHAnsi"/>
          <w:sz w:val="22"/>
          <w:szCs w:val="22"/>
        </w:rPr>
        <w:t>11</w:t>
      </w:r>
      <w:r w:rsidRPr="00F4752B">
        <w:rPr>
          <w:rFonts w:asciiTheme="minorHAnsi" w:hAnsiTheme="minorHAnsi" w:cstheme="minorHAnsi"/>
          <w:sz w:val="22"/>
          <w:szCs w:val="22"/>
        </w:rPr>
        <w:t xml:space="preserve"> </w:t>
      </w:r>
      <w:r w:rsidR="002A3D26" w:rsidRPr="00F4752B">
        <w:rPr>
          <w:rFonts w:asciiTheme="minorHAnsi" w:hAnsiTheme="minorHAnsi" w:cstheme="minorHAnsi"/>
          <w:sz w:val="22"/>
          <w:szCs w:val="22"/>
        </w:rPr>
        <w:t>Building Types</w:t>
      </w:r>
      <w:r w:rsidR="00E16609" w:rsidRPr="00F4752B">
        <w:rPr>
          <w:rFonts w:asciiTheme="minorHAnsi" w:hAnsiTheme="minorHAnsi" w:cstheme="minorHAnsi"/>
          <w:sz w:val="22"/>
          <w:szCs w:val="22"/>
        </w:rPr>
        <w:t xml:space="preserve"> and Load Shapes</w:t>
      </w:r>
    </w:p>
    <w:tbl>
      <w:tblPr>
        <w:tblStyle w:val="TableContemporary"/>
        <w:tblW w:w="4433" w:type="pct"/>
        <w:jc w:val="center"/>
        <w:tblInd w:w="108" w:type="dxa"/>
        <w:tblLook w:val="01E0" w:firstRow="1" w:lastRow="1" w:firstColumn="1" w:lastColumn="1" w:noHBand="0" w:noVBand="0"/>
      </w:tblPr>
      <w:tblGrid>
        <w:gridCol w:w="2988"/>
        <w:gridCol w:w="2936"/>
        <w:gridCol w:w="2566"/>
      </w:tblGrid>
      <w:tr w:rsidR="00E16609" w:rsidRPr="000F130A" w:rsidTr="007048A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tcW w:w="1760" w:type="pct"/>
          </w:tcPr>
          <w:p w:rsidR="00E16609" w:rsidRPr="002A3D26" w:rsidRDefault="00E16609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  <w:highlight w:val="yellow"/>
              </w:rPr>
            </w:pPr>
            <w:r w:rsidRPr="002A3D26">
              <w:rPr>
                <w:rFonts w:asciiTheme="minorHAnsi" w:hAnsiTheme="minorHAnsi" w:cstheme="minorHAnsi"/>
                <w:sz w:val="20"/>
                <w:szCs w:val="20"/>
              </w:rPr>
              <w:t>Building Type</w:t>
            </w:r>
          </w:p>
        </w:tc>
        <w:tc>
          <w:tcPr>
            <w:tcW w:w="1729" w:type="pct"/>
          </w:tcPr>
          <w:p w:rsidR="00E16609" w:rsidRPr="002A3D26" w:rsidRDefault="00E16609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  <w:highlight w:val="yellow"/>
              </w:rPr>
            </w:pPr>
            <w:r w:rsidRPr="002A3D26">
              <w:rPr>
                <w:rFonts w:asciiTheme="minorHAnsi" w:hAnsiTheme="minorHAnsi" w:cstheme="minorHAnsi"/>
                <w:sz w:val="20"/>
                <w:szCs w:val="20"/>
              </w:rPr>
              <w:t>E3 Alt. Building Type</w:t>
            </w:r>
          </w:p>
        </w:tc>
        <w:tc>
          <w:tcPr>
            <w:tcW w:w="1511" w:type="pct"/>
          </w:tcPr>
          <w:p w:rsidR="00E16609" w:rsidRPr="002A3D26" w:rsidRDefault="00E16609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2A3D26">
              <w:rPr>
                <w:rFonts w:asciiTheme="minorHAnsi" w:hAnsiTheme="minorHAnsi" w:cstheme="minorHAnsi"/>
                <w:sz w:val="20"/>
                <w:szCs w:val="20"/>
              </w:rPr>
              <w:t>Load Shape</w:t>
            </w:r>
          </w:p>
        </w:tc>
      </w:tr>
      <w:tr w:rsidR="00E16609" w:rsidRPr="002A3D26" w:rsidTr="007048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1760" w:type="pct"/>
          </w:tcPr>
          <w:p w:rsidR="00E16609" w:rsidRPr="002A3D26" w:rsidRDefault="007B68D1" w:rsidP="007048AC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Education – Primary School</w:t>
            </w:r>
          </w:p>
        </w:tc>
        <w:tc>
          <w:tcPr>
            <w:tcW w:w="1729" w:type="pct"/>
          </w:tcPr>
          <w:p w:rsidR="00E16609" w:rsidRPr="002A3D26" w:rsidRDefault="007B68D1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K-thru_12_School</w:t>
            </w:r>
          </w:p>
        </w:tc>
        <w:tc>
          <w:tcPr>
            <w:tcW w:w="1511" w:type="pct"/>
          </w:tcPr>
          <w:p w:rsidR="00E16609" w:rsidRPr="002A3D26" w:rsidRDefault="007B68D1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7B68D1">
              <w:rPr>
                <w:rFonts w:asciiTheme="minorHAnsi" w:hAnsiTheme="minorHAnsi" w:cstheme="minorHAnsi"/>
                <w:sz w:val="20"/>
                <w:szCs w:val="20"/>
              </w:rPr>
              <w:t>DayLt &amp; Controls</w:t>
            </w:r>
          </w:p>
        </w:tc>
      </w:tr>
      <w:tr w:rsidR="00E16609" w:rsidRPr="000F130A" w:rsidTr="007048A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jc w:val="center"/>
        </w:trPr>
        <w:tc>
          <w:tcPr>
            <w:tcW w:w="1760" w:type="pct"/>
          </w:tcPr>
          <w:p w:rsidR="00E16609" w:rsidRPr="002A3D26" w:rsidRDefault="007B68D1" w:rsidP="007048AC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Education – Secondary School</w:t>
            </w:r>
          </w:p>
        </w:tc>
        <w:tc>
          <w:tcPr>
            <w:tcW w:w="1729" w:type="pct"/>
          </w:tcPr>
          <w:p w:rsidR="00E16609" w:rsidRPr="002A3D26" w:rsidRDefault="007B68D1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K-thru_12_School</w:t>
            </w:r>
          </w:p>
        </w:tc>
        <w:tc>
          <w:tcPr>
            <w:tcW w:w="1511" w:type="pct"/>
          </w:tcPr>
          <w:p w:rsidR="00E16609" w:rsidRPr="002A3D26" w:rsidRDefault="007B68D1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7B68D1">
              <w:rPr>
                <w:rFonts w:asciiTheme="minorHAnsi" w:hAnsiTheme="minorHAnsi" w:cstheme="minorHAnsi"/>
                <w:sz w:val="20"/>
                <w:szCs w:val="20"/>
              </w:rPr>
              <w:t>DayLt &amp; Controls</w:t>
            </w:r>
          </w:p>
        </w:tc>
      </w:tr>
      <w:tr w:rsidR="003A0936" w:rsidRPr="000F130A" w:rsidTr="007048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1760" w:type="pct"/>
          </w:tcPr>
          <w:p w:rsidR="003A0936" w:rsidRDefault="003A0936" w:rsidP="007048AC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Education – Relocatable Classroom</w:t>
            </w:r>
          </w:p>
        </w:tc>
        <w:tc>
          <w:tcPr>
            <w:tcW w:w="1729" w:type="pct"/>
          </w:tcPr>
          <w:p w:rsidR="003A0936" w:rsidRDefault="009A010E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School</w:t>
            </w:r>
          </w:p>
        </w:tc>
        <w:tc>
          <w:tcPr>
            <w:tcW w:w="1511" w:type="pct"/>
          </w:tcPr>
          <w:p w:rsidR="003A0936" w:rsidRPr="007B68D1" w:rsidRDefault="009A010E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7B68D1">
              <w:rPr>
                <w:rFonts w:asciiTheme="minorHAnsi" w:hAnsiTheme="minorHAnsi" w:cstheme="minorHAnsi"/>
                <w:sz w:val="20"/>
                <w:szCs w:val="20"/>
              </w:rPr>
              <w:t>DayLt &amp; Controls</w:t>
            </w:r>
          </w:p>
        </w:tc>
      </w:tr>
      <w:tr w:rsidR="007B68D1" w:rsidRPr="000F130A" w:rsidTr="007048A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jc w:val="center"/>
        </w:trPr>
        <w:tc>
          <w:tcPr>
            <w:tcW w:w="1760" w:type="pct"/>
          </w:tcPr>
          <w:p w:rsidR="007B68D1" w:rsidRPr="002A3D26" w:rsidRDefault="007B68D1" w:rsidP="007048AC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Education – Community College</w:t>
            </w:r>
          </w:p>
        </w:tc>
        <w:tc>
          <w:tcPr>
            <w:tcW w:w="1729" w:type="pct"/>
          </w:tcPr>
          <w:p w:rsidR="007B68D1" w:rsidRDefault="007B68D1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College_University</w:t>
            </w:r>
          </w:p>
        </w:tc>
        <w:tc>
          <w:tcPr>
            <w:tcW w:w="1511" w:type="pct"/>
          </w:tcPr>
          <w:p w:rsidR="007B68D1" w:rsidRPr="002A3D26" w:rsidRDefault="007B68D1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7B68D1">
              <w:rPr>
                <w:rFonts w:asciiTheme="minorHAnsi" w:hAnsiTheme="minorHAnsi" w:cstheme="minorHAnsi"/>
                <w:sz w:val="20"/>
                <w:szCs w:val="20"/>
              </w:rPr>
              <w:t>DayLt &amp; Controls</w:t>
            </w:r>
          </w:p>
        </w:tc>
      </w:tr>
      <w:tr w:rsidR="007B68D1" w:rsidRPr="000F130A" w:rsidTr="007048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1760" w:type="pct"/>
          </w:tcPr>
          <w:p w:rsidR="007B68D1" w:rsidRPr="002A3D26" w:rsidRDefault="007B68D1" w:rsidP="007048AC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Education – University</w:t>
            </w:r>
          </w:p>
        </w:tc>
        <w:tc>
          <w:tcPr>
            <w:tcW w:w="1729" w:type="pct"/>
          </w:tcPr>
          <w:p w:rsidR="007B68D1" w:rsidRDefault="007B68D1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College_University</w:t>
            </w:r>
          </w:p>
        </w:tc>
        <w:tc>
          <w:tcPr>
            <w:tcW w:w="1511" w:type="pct"/>
          </w:tcPr>
          <w:p w:rsidR="007B68D1" w:rsidRPr="002A3D26" w:rsidRDefault="007B68D1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7B68D1">
              <w:rPr>
                <w:rFonts w:asciiTheme="minorHAnsi" w:hAnsiTheme="minorHAnsi" w:cstheme="minorHAnsi"/>
                <w:sz w:val="20"/>
                <w:szCs w:val="20"/>
              </w:rPr>
              <w:t>DayLt &amp; Controls</w:t>
            </w:r>
          </w:p>
        </w:tc>
      </w:tr>
      <w:tr w:rsidR="007B68D1" w:rsidRPr="000F130A" w:rsidTr="007048A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jc w:val="center"/>
        </w:trPr>
        <w:tc>
          <w:tcPr>
            <w:tcW w:w="1760" w:type="pct"/>
          </w:tcPr>
          <w:p w:rsidR="007B68D1" w:rsidRPr="002A3D26" w:rsidRDefault="007B68D1" w:rsidP="007048AC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Misc- Commercial</w:t>
            </w:r>
          </w:p>
        </w:tc>
        <w:tc>
          <w:tcPr>
            <w:tcW w:w="1729" w:type="pct"/>
          </w:tcPr>
          <w:p w:rsidR="007B68D1" w:rsidRDefault="007B68D1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Misc._Commercial</w:t>
            </w:r>
          </w:p>
        </w:tc>
        <w:tc>
          <w:tcPr>
            <w:tcW w:w="1511" w:type="pct"/>
          </w:tcPr>
          <w:p w:rsidR="007B68D1" w:rsidRPr="002A3D26" w:rsidRDefault="007B68D1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7B68D1">
              <w:rPr>
                <w:rFonts w:asciiTheme="minorHAnsi" w:hAnsiTheme="minorHAnsi" w:cstheme="minorHAnsi"/>
                <w:sz w:val="20"/>
                <w:szCs w:val="20"/>
              </w:rPr>
              <w:t>DayLt &amp; Controls</w:t>
            </w:r>
          </w:p>
        </w:tc>
      </w:tr>
      <w:tr w:rsidR="007B68D1" w:rsidRPr="000F130A" w:rsidTr="007048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1760" w:type="pct"/>
          </w:tcPr>
          <w:p w:rsidR="007B68D1" w:rsidRPr="002A3D26" w:rsidRDefault="007B68D1" w:rsidP="007048AC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Office – Large</w:t>
            </w:r>
          </w:p>
        </w:tc>
        <w:tc>
          <w:tcPr>
            <w:tcW w:w="1729" w:type="pct"/>
          </w:tcPr>
          <w:p w:rsidR="007B68D1" w:rsidRDefault="007B68D1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Large_Office</w:t>
            </w:r>
          </w:p>
        </w:tc>
        <w:tc>
          <w:tcPr>
            <w:tcW w:w="1511" w:type="pct"/>
          </w:tcPr>
          <w:p w:rsidR="007B68D1" w:rsidRPr="002A3D26" w:rsidRDefault="007B68D1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7B68D1">
              <w:rPr>
                <w:rFonts w:asciiTheme="minorHAnsi" w:hAnsiTheme="minorHAnsi" w:cstheme="minorHAnsi"/>
                <w:sz w:val="20"/>
                <w:szCs w:val="20"/>
              </w:rPr>
              <w:t>DayLt &amp; Controls</w:t>
            </w:r>
          </w:p>
        </w:tc>
      </w:tr>
      <w:tr w:rsidR="007B68D1" w:rsidRPr="000F130A" w:rsidTr="007048A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jc w:val="center"/>
        </w:trPr>
        <w:tc>
          <w:tcPr>
            <w:tcW w:w="1760" w:type="pct"/>
          </w:tcPr>
          <w:p w:rsidR="007B68D1" w:rsidRPr="002A3D26" w:rsidRDefault="007B68D1" w:rsidP="007048AC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Office – Small</w:t>
            </w:r>
          </w:p>
        </w:tc>
        <w:tc>
          <w:tcPr>
            <w:tcW w:w="1729" w:type="pct"/>
          </w:tcPr>
          <w:p w:rsidR="007B68D1" w:rsidRDefault="007B68D1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Small_Office</w:t>
            </w:r>
          </w:p>
        </w:tc>
        <w:tc>
          <w:tcPr>
            <w:tcW w:w="1511" w:type="pct"/>
          </w:tcPr>
          <w:p w:rsidR="007B68D1" w:rsidRPr="002A3D26" w:rsidRDefault="007B68D1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7B68D1">
              <w:rPr>
                <w:rFonts w:asciiTheme="minorHAnsi" w:hAnsiTheme="minorHAnsi" w:cstheme="minorHAnsi"/>
                <w:sz w:val="20"/>
                <w:szCs w:val="20"/>
              </w:rPr>
              <w:t>DayLt &amp; Controls</w:t>
            </w:r>
          </w:p>
        </w:tc>
      </w:tr>
      <w:tr w:rsidR="007B68D1" w:rsidRPr="000F130A" w:rsidTr="007048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1760" w:type="pct"/>
          </w:tcPr>
          <w:p w:rsidR="007B68D1" w:rsidRPr="002A3D26" w:rsidRDefault="007B68D1" w:rsidP="007048AC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Retail – Multistory Large</w:t>
            </w:r>
          </w:p>
        </w:tc>
        <w:tc>
          <w:tcPr>
            <w:tcW w:w="1729" w:type="pct"/>
          </w:tcPr>
          <w:p w:rsidR="007B68D1" w:rsidRDefault="007B68D1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Large_Retail_Store</w:t>
            </w:r>
          </w:p>
        </w:tc>
        <w:tc>
          <w:tcPr>
            <w:tcW w:w="1511" w:type="pct"/>
          </w:tcPr>
          <w:p w:rsidR="007B68D1" w:rsidRPr="002A3D26" w:rsidRDefault="007B68D1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7B68D1">
              <w:rPr>
                <w:rFonts w:asciiTheme="minorHAnsi" w:hAnsiTheme="minorHAnsi" w:cstheme="minorHAnsi"/>
                <w:sz w:val="20"/>
                <w:szCs w:val="20"/>
              </w:rPr>
              <w:t>DayLt &amp; Controls</w:t>
            </w:r>
          </w:p>
        </w:tc>
      </w:tr>
      <w:tr w:rsidR="007B68D1" w:rsidRPr="000F130A" w:rsidTr="007048A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jc w:val="center"/>
        </w:trPr>
        <w:tc>
          <w:tcPr>
            <w:tcW w:w="1760" w:type="pct"/>
          </w:tcPr>
          <w:p w:rsidR="007B68D1" w:rsidRPr="002A3D26" w:rsidRDefault="007B68D1" w:rsidP="007048AC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Retail – Single-story Large</w:t>
            </w:r>
          </w:p>
        </w:tc>
        <w:tc>
          <w:tcPr>
            <w:tcW w:w="1729" w:type="pct"/>
          </w:tcPr>
          <w:p w:rsidR="007B68D1" w:rsidRDefault="007B68D1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Large_Retail_Store</w:t>
            </w:r>
          </w:p>
        </w:tc>
        <w:tc>
          <w:tcPr>
            <w:tcW w:w="1511" w:type="pct"/>
          </w:tcPr>
          <w:p w:rsidR="007B68D1" w:rsidRPr="002A3D26" w:rsidRDefault="007B68D1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7B68D1">
              <w:rPr>
                <w:rFonts w:asciiTheme="minorHAnsi" w:hAnsiTheme="minorHAnsi" w:cstheme="minorHAnsi"/>
                <w:sz w:val="20"/>
                <w:szCs w:val="20"/>
              </w:rPr>
              <w:t>DayLt &amp; Controls</w:t>
            </w:r>
          </w:p>
        </w:tc>
      </w:tr>
      <w:tr w:rsidR="007B68D1" w:rsidRPr="000F130A" w:rsidTr="007048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1760" w:type="pct"/>
          </w:tcPr>
          <w:p w:rsidR="007B68D1" w:rsidRPr="002A3D26" w:rsidRDefault="007B68D1" w:rsidP="007048AC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Retail -Small</w:t>
            </w:r>
          </w:p>
        </w:tc>
        <w:tc>
          <w:tcPr>
            <w:tcW w:w="1729" w:type="pct"/>
          </w:tcPr>
          <w:p w:rsidR="007B68D1" w:rsidRDefault="007B68D1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Small_Retail_Store</w:t>
            </w:r>
          </w:p>
        </w:tc>
        <w:tc>
          <w:tcPr>
            <w:tcW w:w="1511" w:type="pct"/>
          </w:tcPr>
          <w:p w:rsidR="007B68D1" w:rsidRPr="002A3D26" w:rsidRDefault="007B68D1" w:rsidP="007048AC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7B68D1">
              <w:rPr>
                <w:rFonts w:asciiTheme="minorHAnsi" w:hAnsiTheme="minorHAnsi" w:cstheme="minorHAnsi"/>
                <w:sz w:val="20"/>
                <w:szCs w:val="20"/>
              </w:rPr>
              <w:t>DayLt &amp; Controls</w:t>
            </w:r>
          </w:p>
        </w:tc>
      </w:tr>
    </w:tbl>
    <w:p w:rsidR="00C24D03" w:rsidRPr="009105BB" w:rsidRDefault="00E16609" w:rsidP="009105BB">
      <w:pPr>
        <w:pStyle w:val="Heading1"/>
        <w:keepNext w:val="0"/>
        <w:rPr>
          <w:rFonts w:asciiTheme="minorHAnsi" w:hAnsiTheme="minorHAnsi" w:cstheme="minorHAnsi"/>
        </w:rPr>
      </w:pPr>
      <w:bookmarkStart w:id="18" w:name="_Toc214003096"/>
      <w:r w:rsidRPr="000F130A">
        <w:rPr>
          <w:rFonts w:asciiTheme="minorHAnsi" w:hAnsiTheme="minorHAnsi" w:cstheme="minorHAnsi"/>
        </w:rPr>
        <w:t>Section 4. Base Case &amp; Measure Costs</w:t>
      </w:r>
      <w:bookmarkEnd w:id="18"/>
    </w:p>
    <w:p w:rsidR="00E16609" w:rsidRPr="000F130A" w:rsidRDefault="00E16609" w:rsidP="00824F1C">
      <w:pPr>
        <w:pStyle w:val="Heading2"/>
        <w:rPr>
          <w:rFonts w:asciiTheme="minorHAnsi" w:hAnsiTheme="minorHAnsi" w:cstheme="minorHAnsi"/>
        </w:rPr>
      </w:pPr>
      <w:bookmarkStart w:id="19" w:name="_MON_1394015599"/>
      <w:bookmarkStart w:id="20" w:name="_Toc214003097"/>
      <w:bookmarkEnd w:id="19"/>
      <w:r w:rsidRPr="000F130A">
        <w:rPr>
          <w:rFonts w:asciiTheme="minorHAnsi" w:hAnsiTheme="minorHAnsi" w:cstheme="minorHAnsi"/>
        </w:rPr>
        <w:t>4.1 Base Case Cost</w:t>
      </w:r>
      <w:bookmarkEnd w:id="20"/>
    </w:p>
    <w:p w:rsidR="00EC5A7E" w:rsidRDefault="00463F3A" w:rsidP="003D2871">
      <w:pPr>
        <w:pStyle w:val="Reminders"/>
        <w:rPr>
          <w:rFonts w:asciiTheme="minorHAnsi" w:hAnsiTheme="minorHAnsi" w:cstheme="minorHAnsi"/>
          <w:i w:val="0"/>
          <w:color w:val="auto"/>
          <w:sz w:val="22"/>
          <w:szCs w:val="22"/>
        </w:rPr>
      </w:pPr>
      <w:r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The dimming </w:t>
      </w:r>
      <w:r w:rsidR="00E707AF" w:rsidRPr="00E707AF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ballast is the </w:t>
      </w:r>
      <w:r w:rsidR="00CF6048" w:rsidRPr="00E707AF">
        <w:rPr>
          <w:rFonts w:asciiTheme="minorHAnsi" w:hAnsiTheme="minorHAnsi" w:cstheme="minorHAnsi"/>
          <w:i w:val="0"/>
          <w:color w:val="auto"/>
          <w:sz w:val="22"/>
          <w:szCs w:val="22"/>
        </w:rPr>
        <w:t>only</w:t>
      </w:r>
      <w:r w:rsidR="00CF6048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equipment in the four measure cases </w:t>
      </w:r>
      <w:r w:rsidR="00E707AF">
        <w:rPr>
          <w:rFonts w:asciiTheme="minorHAnsi" w:hAnsiTheme="minorHAnsi" w:cstheme="minorHAnsi"/>
          <w:i w:val="0"/>
          <w:color w:val="auto"/>
          <w:sz w:val="22"/>
          <w:szCs w:val="22"/>
        </w:rPr>
        <w:t>that constitutes a retrofit</w:t>
      </w:r>
      <w:r w:rsidR="00CF6048">
        <w:rPr>
          <w:rFonts w:asciiTheme="minorHAnsi" w:hAnsiTheme="minorHAnsi" w:cstheme="minorHAnsi"/>
          <w:i w:val="0"/>
          <w:color w:val="auto"/>
          <w:sz w:val="22"/>
          <w:szCs w:val="22"/>
        </w:rPr>
        <w:t>. For this reason</w:t>
      </w:r>
      <w:r>
        <w:rPr>
          <w:rFonts w:asciiTheme="minorHAnsi" w:hAnsiTheme="minorHAnsi" w:cstheme="minorHAnsi"/>
          <w:i w:val="0"/>
          <w:color w:val="auto"/>
          <w:sz w:val="22"/>
          <w:szCs w:val="22"/>
        </w:rPr>
        <w:t>,</w:t>
      </w:r>
      <w:r w:rsidR="00CF6048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only a base case cost was c</w:t>
      </w:r>
      <w:r w:rsidR="00E707AF">
        <w:rPr>
          <w:rFonts w:asciiTheme="minorHAnsi" w:hAnsiTheme="minorHAnsi" w:cstheme="minorHAnsi"/>
          <w:i w:val="0"/>
          <w:color w:val="auto"/>
          <w:sz w:val="22"/>
          <w:szCs w:val="22"/>
        </w:rPr>
        <w:t>alculated for the ballast</w:t>
      </w:r>
      <w:r w:rsidR="00CF6048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. </w:t>
      </w:r>
      <w:r w:rsidR="00CF6048" w:rsidRPr="00CF05E8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The occupancy sensors and daylighting controls are </w:t>
      </w:r>
      <w:r w:rsidR="00E707AF" w:rsidRPr="00CF05E8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add-on </w:t>
      </w:r>
      <w:r w:rsidR="00CF05E8" w:rsidRPr="00CF05E8">
        <w:rPr>
          <w:rFonts w:asciiTheme="minorHAnsi" w:hAnsiTheme="minorHAnsi" w:cstheme="minorHAnsi"/>
          <w:i w:val="0"/>
          <w:color w:val="auto"/>
          <w:sz w:val="22"/>
          <w:szCs w:val="22"/>
        </w:rPr>
        <w:t>features</w:t>
      </w:r>
      <w:r w:rsidR="00434F73" w:rsidRPr="00CF05E8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and as such</w:t>
      </w:r>
      <w:r w:rsidR="00E707AF" w:rsidRPr="00CF05E8">
        <w:rPr>
          <w:rFonts w:asciiTheme="minorHAnsi" w:hAnsiTheme="minorHAnsi" w:cstheme="minorHAnsi"/>
          <w:i w:val="0"/>
          <w:color w:val="auto"/>
          <w:sz w:val="22"/>
          <w:szCs w:val="22"/>
        </w:rPr>
        <w:t>,</w:t>
      </w:r>
      <w:r w:rsidR="00434F73" w:rsidRPr="00CF05E8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the</w:t>
      </w:r>
      <w:r w:rsidR="00CF6048" w:rsidRPr="00CF05E8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base case cost is as</w:t>
      </w:r>
      <w:r w:rsidR="00CF6048">
        <w:rPr>
          <w:rFonts w:asciiTheme="minorHAnsi" w:hAnsiTheme="minorHAnsi" w:cstheme="minorHAnsi"/>
          <w:i w:val="0"/>
          <w:color w:val="auto"/>
          <w:sz w:val="22"/>
          <w:szCs w:val="22"/>
        </w:rPr>
        <w:t>sumed to be zero. For the ballast base case cost</w:t>
      </w:r>
      <w:r w:rsidR="00E707AF">
        <w:rPr>
          <w:rFonts w:asciiTheme="minorHAnsi" w:hAnsiTheme="minorHAnsi" w:cstheme="minorHAnsi"/>
          <w:i w:val="0"/>
          <w:color w:val="auto"/>
          <w:sz w:val="22"/>
          <w:szCs w:val="22"/>
        </w:rPr>
        <w:t>,</w:t>
      </w:r>
      <w:r w:rsidR="00CF6048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no information was available in the DEER database or in RSMeans. In order to </w:t>
      </w:r>
      <w:r w:rsidR="000469A3">
        <w:rPr>
          <w:rFonts w:asciiTheme="minorHAnsi" w:hAnsiTheme="minorHAnsi" w:cstheme="minorHAnsi"/>
          <w:i w:val="0"/>
          <w:color w:val="auto"/>
          <w:sz w:val="22"/>
          <w:szCs w:val="22"/>
        </w:rPr>
        <w:t>establish</w:t>
      </w:r>
      <w:r w:rsidR="00CF6048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a base </w:t>
      </w:r>
      <w:r w:rsidR="000469A3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equipment </w:t>
      </w:r>
      <w:r w:rsidR="00CF6048">
        <w:rPr>
          <w:rFonts w:asciiTheme="minorHAnsi" w:hAnsiTheme="minorHAnsi" w:cstheme="minorHAnsi"/>
          <w:i w:val="0"/>
          <w:color w:val="auto"/>
          <w:sz w:val="22"/>
          <w:szCs w:val="22"/>
        </w:rPr>
        <w:t>cost</w:t>
      </w:r>
      <w:r w:rsidR="00E707AF">
        <w:rPr>
          <w:rFonts w:asciiTheme="minorHAnsi" w:hAnsiTheme="minorHAnsi" w:cstheme="minorHAnsi"/>
          <w:i w:val="0"/>
          <w:color w:val="auto"/>
          <w:sz w:val="22"/>
          <w:szCs w:val="22"/>
        </w:rPr>
        <w:t>,</w:t>
      </w:r>
      <w:r w:rsidR="00CF6048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an average cost per </w:t>
      </w:r>
      <w:r w:rsidR="00C01EEC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non-dimmable </w:t>
      </w:r>
      <w:r w:rsidR="00CF6048">
        <w:rPr>
          <w:rFonts w:asciiTheme="minorHAnsi" w:hAnsiTheme="minorHAnsi" w:cstheme="minorHAnsi"/>
          <w:i w:val="0"/>
          <w:color w:val="auto"/>
          <w:sz w:val="22"/>
          <w:szCs w:val="22"/>
        </w:rPr>
        <w:t>ballast was found from various online sources for a</w:t>
      </w:r>
      <w:r w:rsidR="00E707AF">
        <w:rPr>
          <w:rFonts w:asciiTheme="minorHAnsi" w:hAnsiTheme="minorHAnsi" w:cstheme="minorHAnsi"/>
          <w:i w:val="0"/>
          <w:color w:val="auto"/>
          <w:sz w:val="22"/>
          <w:szCs w:val="22"/>
        </w:rPr>
        <w:t>n</w:t>
      </w:r>
      <w:r w:rsidR="00CF6048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</w:t>
      </w:r>
      <w:r w:rsidR="00E707AF">
        <w:rPr>
          <w:rFonts w:asciiTheme="minorHAnsi" w:hAnsiTheme="minorHAnsi" w:cstheme="minorHAnsi"/>
          <w:i w:val="0"/>
          <w:color w:val="auto"/>
          <w:sz w:val="22"/>
          <w:szCs w:val="22"/>
        </w:rPr>
        <w:t>assortment</w:t>
      </w:r>
      <w:r w:rsidR="00CF6048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of ballast types and </w:t>
      </w:r>
      <w:r w:rsidR="0013370A">
        <w:rPr>
          <w:rFonts w:asciiTheme="minorHAnsi" w:hAnsiTheme="minorHAnsi" w:cstheme="minorHAnsi"/>
          <w:i w:val="0"/>
          <w:color w:val="auto"/>
          <w:sz w:val="22"/>
          <w:szCs w:val="22"/>
        </w:rPr>
        <w:t>manufacturers</w:t>
      </w:r>
      <w:r w:rsidR="00CF6048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[</w:t>
      </w:r>
      <w:r w:rsidR="0018726D">
        <w:rPr>
          <w:rFonts w:asciiTheme="minorHAnsi" w:hAnsiTheme="minorHAnsi" w:cstheme="minorHAnsi"/>
          <w:i w:val="0"/>
          <w:color w:val="auto"/>
          <w:sz w:val="22"/>
          <w:szCs w:val="22"/>
        </w:rPr>
        <w:t>F</w:t>
      </w:r>
      <w:r w:rsidR="00CF6048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]. The average base case cost is $22.13. </w:t>
      </w:r>
      <w:r w:rsidR="004E1FA2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It is assumed </w:t>
      </w:r>
      <w:r w:rsidR="002F66EA">
        <w:rPr>
          <w:rFonts w:asciiTheme="minorHAnsi" w:hAnsiTheme="minorHAnsi" w:cstheme="minorHAnsi"/>
          <w:i w:val="0"/>
          <w:color w:val="auto"/>
          <w:sz w:val="22"/>
          <w:szCs w:val="22"/>
        </w:rPr>
        <w:t>that the labor cost to install non-dimmable and dimmable ballasts is</w:t>
      </w:r>
      <w:r w:rsidR="00C01EEC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</w:t>
      </w:r>
      <w:r w:rsidR="00C01EEC" w:rsidRPr="00AF3702">
        <w:rPr>
          <w:rFonts w:asciiTheme="minorHAnsi" w:hAnsiTheme="minorHAnsi" w:cstheme="minorHAnsi"/>
          <w:i w:val="0"/>
          <w:color w:val="auto"/>
          <w:sz w:val="22"/>
          <w:szCs w:val="22"/>
        </w:rPr>
        <w:t>the same</w:t>
      </w:r>
      <w:r w:rsidR="00954EA1" w:rsidRPr="00AF3702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. The basis for this assumption is that tuning is </w:t>
      </w:r>
      <w:r w:rsidR="00AF3702">
        <w:rPr>
          <w:rFonts w:asciiTheme="minorHAnsi" w:hAnsiTheme="minorHAnsi" w:cstheme="minorHAnsi"/>
          <w:i w:val="0"/>
          <w:color w:val="auto"/>
          <w:sz w:val="22"/>
          <w:szCs w:val="22"/>
        </w:rPr>
        <w:t>generally</w:t>
      </w:r>
      <w:r w:rsidR="00954EA1" w:rsidRPr="00AF3702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done </w:t>
      </w:r>
      <w:r w:rsidR="00AF3702">
        <w:rPr>
          <w:rFonts w:asciiTheme="minorHAnsi" w:hAnsiTheme="minorHAnsi" w:cstheme="minorHAnsi"/>
          <w:i w:val="0"/>
          <w:color w:val="auto"/>
          <w:sz w:val="22"/>
          <w:szCs w:val="22"/>
        </w:rPr>
        <w:t>at the factory based on customer specifications</w:t>
      </w:r>
      <w:r w:rsidR="00954EA1" w:rsidRPr="00AF3702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in which case there is no additional labor cost for the customer</w:t>
      </w:r>
      <w:r w:rsidR="00D30FA3" w:rsidRPr="00AF3702">
        <w:rPr>
          <w:rFonts w:asciiTheme="minorHAnsi" w:hAnsiTheme="minorHAnsi" w:cstheme="minorHAnsi"/>
          <w:i w:val="0"/>
          <w:color w:val="auto"/>
          <w:sz w:val="22"/>
          <w:szCs w:val="22"/>
        </w:rPr>
        <w:t>.</w:t>
      </w:r>
      <w:r w:rsidR="00C01EEC" w:rsidRPr="00AF3702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</w:t>
      </w:r>
      <w:r w:rsidR="00D30FA3" w:rsidRPr="00AF3702">
        <w:rPr>
          <w:rFonts w:asciiTheme="minorHAnsi" w:hAnsiTheme="minorHAnsi" w:cstheme="minorHAnsi"/>
          <w:i w:val="0"/>
          <w:color w:val="auto"/>
          <w:sz w:val="22"/>
          <w:szCs w:val="22"/>
        </w:rPr>
        <w:t>Therefore,</w:t>
      </w:r>
      <w:r w:rsidR="00C01EEC" w:rsidRPr="00AF3702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</w:t>
      </w:r>
      <w:r w:rsidR="00954EA1" w:rsidRPr="00AF3702">
        <w:rPr>
          <w:rFonts w:asciiTheme="minorHAnsi" w:hAnsiTheme="minorHAnsi" w:cstheme="minorHAnsi"/>
          <w:i w:val="0"/>
          <w:color w:val="auto"/>
          <w:sz w:val="22"/>
          <w:szCs w:val="22"/>
        </w:rPr>
        <w:t>labor cost is</w:t>
      </w:r>
      <w:r w:rsidR="00C01EEC" w:rsidRPr="00AF3702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not included in the base case cost</w:t>
      </w:r>
      <w:r w:rsidR="00D30FA3" w:rsidRPr="00AF3702">
        <w:rPr>
          <w:rFonts w:asciiTheme="minorHAnsi" w:hAnsiTheme="minorHAnsi" w:cstheme="minorHAnsi"/>
          <w:i w:val="0"/>
          <w:color w:val="auto"/>
          <w:sz w:val="22"/>
          <w:szCs w:val="22"/>
        </w:rPr>
        <w:t>,</w:t>
      </w:r>
      <w:r w:rsidR="00C01EEC" w:rsidRPr="00AF3702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as it would be canceled out</w:t>
      </w:r>
      <w:r w:rsidR="00653F86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in calculations for gross measure cost</w:t>
      </w:r>
      <w:r w:rsidR="00C01EEC" w:rsidRPr="00AF3702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. </w:t>
      </w:r>
      <w:r w:rsidR="00EC5A7E" w:rsidRPr="00AF3702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The table below shows the base </w:t>
      </w:r>
      <w:r w:rsidR="00EC5A7E" w:rsidRPr="00AF3702">
        <w:rPr>
          <w:rFonts w:asciiTheme="minorHAnsi" w:hAnsiTheme="minorHAnsi" w:cstheme="minorHAnsi"/>
          <w:i w:val="0"/>
          <w:color w:val="auto"/>
          <w:sz w:val="22"/>
          <w:szCs w:val="22"/>
        </w:rPr>
        <w:lastRenderedPageBreak/>
        <w:t xml:space="preserve">case cost for each </w:t>
      </w:r>
      <w:r w:rsidR="00E707AF" w:rsidRPr="00AF3702">
        <w:rPr>
          <w:rFonts w:asciiTheme="minorHAnsi" w:hAnsiTheme="minorHAnsi" w:cstheme="minorHAnsi"/>
          <w:i w:val="0"/>
          <w:color w:val="auto"/>
          <w:sz w:val="22"/>
          <w:szCs w:val="22"/>
        </w:rPr>
        <w:t>measure. Since only the ballast</w:t>
      </w:r>
      <w:r w:rsidR="00EC5A7E" w:rsidRPr="00AF3702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contribute</w:t>
      </w:r>
      <w:r w:rsidR="00E707AF" w:rsidRPr="00AF3702">
        <w:rPr>
          <w:rFonts w:asciiTheme="minorHAnsi" w:hAnsiTheme="minorHAnsi" w:cstheme="minorHAnsi"/>
          <w:i w:val="0"/>
          <w:color w:val="auto"/>
          <w:sz w:val="22"/>
          <w:szCs w:val="22"/>
        </w:rPr>
        <w:t>s</w:t>
      </w:r>
      <w:r w:rsidR="00EC5A7E" w:rsidRPr="00AF3702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to the base case cost</w:t>
      </w:r>
      <w:r w:rsidR="00E707AF" w:rsidRPr="00AF3702">
        <w:rPr>
          <w:rFonts w:asciiTheme="minorHAnsi" w:hAnsiTheme="minorHAnsi" w:cstheme="minorHAnsi"/>
          <w:i w:val="0"/>
          <w:color w:val="auto"/>
          <w:sz w:val="22"/>
          <w:szCs w:val="22"/>
        </w:rPr>
        <w:t>,</w:t>
      </w:r>
      <w:r w:rsidR="00EC5A7E" w:rsidRPr="00AF3702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</w:t>
      </w:r>
      <w:r w:rsidR="00653F86">
        <w:rPr>
          <w:rFonts w:asciiTheme="minorHAnsi" w:hAnsiTheme="minorHAnsi" w:cstheme="minorHAnsi"/>
          <w:i w:val="0"/>
          <w:color w:val="auto"/>
          <w:sz w:val="22"/>
          <w:szCs w:val="22"/>
        </w:rPr>
        <w:t>the cost</w:t>
      </w:r>
      <w:r w:rsidR="00EC5A7E" w:rsidRPr="00AF3702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is the same for all measures.</w:t>
      </w:r>
      <w:r w:rsidR="00EC5A7E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</w:t>
      </w:r>
    </w:p>
    <w:p w:rsidR="00EC5A7E" w:rsidRPr="00EC5A7E" w:rsidRDefault="00EC5A7E" w:rsidP="00EC5A7E">
      <w:pPr>
        <w:pStyle w:val="Caption"/>
        <w:jc w:val="center"/>
        <w:rPr>
          <w:rFonts w:asciiTheme="minorHAnsi" w:hAnsiTheme="minorHAnsi" w:cstheme="minorHAnsi"/>
          <w:b w:val="0"/>
          <w:sz w:val="22"/>
          <w:szCs w:val="22"/>
        </w:rPr>
      </w:pPr>
      <w:r w:rsidRPr="00F4752B">
        <w:rPr>
          <w:rFonts w:asciiTheme="minorHAnsi" w:hAnsiTheme="minorHAnsi" w:cstheme="minorHAnsi"/>
          <w:sz w:val="22"/>
          <w:szCs w:val="22"/>
        </w:rPr>
        <w:t xml:space="preserve">Table </w:t>
      </w:r>
      <w:r>
        <w:rPr>
          <w:rFonts w:asciiTheme="minorHAnsi" w:hAnsiTheme="minorHAnsi" w:cstheme="minorHAnsi"/>
          <w:sz w:val="22"/>
          <w:szCs w:val="22"/>
        </w:rPr>
        <w:t>1</w:t>
      </w:r>
      <w:r w:rsidR="00BA6557">
        <w:rPr>
          <w:rFonts w:asciiTheme="minorHAnsi" w:hAnsiTheme="minorHAnsi" w:cstheme="minorHAnsi"/>
          <w:sz w:val="22"/>
          <w:szCs w:val="22"/>
        </w:rPr>
        <w:t>2</w:t>
      </w:r>
      <w:r>
        <w:rPr>
          <w:rFonts w:asciiTheme="minorHAnsi" w:hAnsiTheme="minorHAnsi" w:cstheme="minorHAnsi"/>
          <w:sz w:val="22"/>
          <w:szCs w:val="22"/>
        </w:rPr>
        <w:t xml:space="preserve"> Base Case Cost</w:t>
      </w:r>
      <w:r w:rsidRPr="00F4752B">
        <w:rPr>
          <w:rFonts w:asciiTheme="minorHAnsi" w:hAnsiTheme="minorHAnsi" w:cstheme="minorHAnsi"/>
          <w:sz w:val="22"/>
          <w:szCs w:val="22"/>
        </w:rPr>
        <w:t>s</w:t>
      </w:r>
    </w:p>
    <w:tbl>
      <w:tblPr>
        <w:tblW w:w="6195" w:type="dxa"/>
        <w:jc w:val="center"/>
        <w:tblBorders>
          <w:insideH w:val="single" w:sz="18" w:space="0" w:color="FFFFFF"/>
          <w:insideV w:val="single" w:sz="18" w:space="0" w:color="FFFFFF"/>
        </w:tblBorders>
        <w:tblLook w:val="01E0" w:firstRow="1" w:lastRow="1" w:firstColumn="1" w:lastColumn="1" w:noHBand="0" w:noVBand="0"/>
      </w:tblPr>
      <w:tblGrid>
        <w:gridCol w:w="4178"/>
        <w:gridCol w:w="2017"/>
      </w:tblGrid>
      <w:tr w:rsidR="00EC5A7E" w:rsidRPr="00927B44" w:rsidTr="00EC5A7E">
        <w:trPr>
          <w:trHeight w:val="255"/>
          <w:jc w:val="center"/>
        </w:trPr>
        <w:tc>
          <w:tcPr>
            <w:tcW w:w="4178" w:type="dxa"/>
            <w:shd w:val="pct20" w:color="000000" w:fill="FFFFFF"/>
          </w:tcPr>
          <w:p w:rsidR="00EC5A7E" w:rsidRPr="00927B44" w:rsidRDefault="00EC5A7E" w:rsidP="00032DCB">
            <w:pPr>
              <w:jc w:val="center"/>
              <w:rPr>
                <w:rFonts w:asciiTheme="minorHAnsi" w:hAnsi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bCs/>
                <w:sz w:val="20"/>
                <w:szCs w:val="20"/>
              </w:rPr>
              <w:t>Measure name</w:t>
            </w:r>
          </w:p>
        </w:tc>
        <w:tc>
          <w:tcPr>
            <w:tcW w:w="2017" w:type="dxa"/>
            <w:shd w:val="pct20" w:color="000000" w:fill="FFFFFF"/>
            <w:noWrap/>
          </w:tcPr>
          <w:p w:rsidR="00EC5A7E" w:rsidRPr="00927B44" w:rsidRDefault="00EC5A7E" w:rsidP="00032DCB">
            <w:pPr>
              <w:jc w:val="center"/>
              <w:rPr>
                <w:rFonts w:asciiTheme="minorHAnsi" w:hAnsi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Base Case </w:t>
            </w:r>
            <w:r w:rsidRPr="00927B44">
              <w:rPr>
                <w:rFonts w:asciiTheme="minorHAnsi" w:hAnsiTheme="minorHAnsi"/>
                <w:b/>
                <w:bCs/>
                <w:sz w:val="20"/>
                <w:szCs w:val="20"/>
              </w:rPr>
              <w:t>Cost</w:t>
            </w:r>
          </w:p>
        </w:tc>
      </w:tr>
      <w:tr w:rsidR="00EC5A7E" w:rsidRPr="00927B44" w:rsidTr="00032DCB">
        <w:trPr>
          <w:trHeight w:val="255"/>
          <w:jc w:val="center"/>
        </w:trPr>
        <w:tc>
          <w:tcPr>
            <w:tcW w:w="4178" w:type="dxa"/>
            <w:shd w:val="pct5" w:color="000000" w:fill="FFFFFF"/>
          </w:tcPr>
          <w:p w:rsidR="00EC5A7E" w:rsidRPr="005B28C1" w:rsidRDefault="00EC5A7E" w:rsidP="00032DC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Dimming Ballasts – 20% Tuning</w:t>
            </w:r>
          </w:p>
        </w:tc>
        <w:tc>
          <w:tcPr>
            <w:tcW w:w="2017" w:type="dxa"/>
            <w:shd w:val="pct5" w:color="000000" w:fill="FFFFFF"/>
            <w:noWrap/>
            <w:vAlign w:val="center"/>
          </w:tcPr>
          <w:p w:rsidR="00EC5A7E" w:rsidRPr="00927B44" w:rsidRDefault="00EC5A7E" w:rsidP="00032DCB">
            <w:pPr>
              <w:jc w:val="center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$22.13</w:t>
            </w:r>
          </w:p>
        </w:tc>
      </w:tr>
      <w:tr w:rsidR="00EC5A7E" w:rsidRPr="00927B44" w:rsidTr="00032DCB">
        <w:trPr>
          <w:trHeight w:val="255"/>
          <w:jc w:val="center"/>
        </w:trPr>
        <w:tc>
          <w:tcPr>
            <w:tcW w:w="4178" w:type="dxa"/>
            <w:shd w:val="pct5" w:color="000000" w:fill="FFFFFF"/>
          </w:tcPr>
          <w:p w:rsidR="00EC5A7E" w:rsidRDefault="00EC5A7E" w:rsidP="00032DC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D3DB9">
              <w:rPr>
                <w:rFonts w:asciiTheme="minorHAnsi" w:hAnsiTheme="minorHAnsi" w:cstheme="minorHAnsi"/>
                <w:sz w:val="20"/>
                <w:szCs w:val="20"/>
              </w:rPr>
              <w:t>Dimming Ballasts - 20% Tuning + Daylight Harvesting</w:t>
            </w:r>
          </w:p>
        </w:tc>
        <w:tc>
          <w:tcPr>
            <w:tcW w:w="2017" w:type="dxa"/>
            <w:shd w:val="pct5" w:color="000000" w:fill="FFFFFF"/>
            <w:noWrap/>
            <w:vAlign w:val="center"/>
          </w:tcPr>
          <w:p w:rsidR="00EC5A7E" w:rsidRPr="00927B44" w:rsidRDefault="00EC5A7E" w:rsidP="00032DCB">
            <w:pPr>
              <w:jc w:val="center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$22.13</w:t>
            </w:r>
          </w:p>
        </w:tc>
      </w:tr>
      <w:tr w:rsidR="00EC5A7E" w:rsidRPr="00927B44" w:rsidTr="00032DCB">
        <w:trPr>
          <w:trHeight w:val="255"/>
          <w:jc w:val="center"/>
        </w:trPr>
        <w:tc>
          <w:tcPr>
            <w:tcW w:w="4178" w:type="dxa"/>
            <w:shd w:val="pct5" w:color="000000" w:fill="FFFFFF"/>
          </w:tcPr>
          <w:p w:rsidR="00EC5A7E" w:rsidRDefault="00EC5A7E" w:rsidP="00032DC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D3DB9">
              <w:rPr>
                <w:rFonts w:asciiTheme="minorHAnsi" w:hAnsiTheme="minorHAnsi" w:cstheme="minorHAnsi"/>
                <w:sz w:val="20"/>
                <w:szCs w:val="20"/>
              </w:rPr>
              <w:t>Dimming Ballasts - 20% Tuning + Occupancy Sensor</w:t>
            </w:r>
          </w:p>
        </w:tc>
        <w:tc>
          <w:tcPr>
            <w:tcW w:w="2017" w:type="dxa"/>
            <w:shd w:val="pct5" w:color="000000" w:fill="FFFFFF"/>
            <w:noWrap/>
            <w:vAlign w:val="center"/>
          </w:tcPr>
          <w:p w:rsidR="00EC5A7E" w:rsidRPr="00927B44" w:rsidRDefault="00EC5A7E" w:rsidP="00032DCB">
            <w:pPr>
              <w:jc w:val="center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$22.13</w:t>
            </w:r>
          </w:p>
        </w:tc>
      </w:tr>
      <w:tr w:rsidR="00EC5A7E" w:rsidRPr="00927B44" w:rsidTr="00032DCB">
        <w:trPr>
          <w:trHeight w:val="255"/>
          <w:jc w:val="center"/>
        </w:trPr>
        <w:tc>
          <w:tcPr>
            <w:tcW w:w="4178" w:type="dxa"/>
            <w:shd w:val="pct5" w:color="000000" w:fill="FFFFFF"/>
          </w:tcPr>
          <w:p w:rsidR="00EC5A7E" w:rsidRDefault="00EC5A7E" w:rsidP="00032DC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D3DB9">
              <w:rPr>
                <w:rFonts w:asciiTheme="minorHAnsi" w:hAnsiTheme="minorHAnsi" w:cstheme="minorHAnsi"/>
                <w:sz w:val="20"/>
                <w:szCs w:val="20"/>
              </w:rPr>
              <w:t>Dimming Ballasts - 20% Tuning + Occupancy Sensor + Daylight Harvesting with Side Lighting Photo Controls</w:t>
            </w:r>
          </w:p>
        </w:tc>
        <w:tc>
          <w:tcPr>
            <w:tcW w:w="2017" w:type="dxa"/>
            <w:shd w:val="pct5" w:color="000000" w:fill="FFFFFF"/>
            <w:noWrap/>
            <w:vAlign w:val="center"/>
          </w:tcPr>
          <w:p w:rsidR="00EC5A7E" w:rsidRPr="00927B44" w:rsidRDefault="00EC5A7E" w:rsidP="00032DCB">
            <w:pPr>
              <w:jc w:val="center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$22.13</w:t>
            </w:r>
          </w:p>
        </w:tc>
      </w:tr>
    </w:tbl>
    <w:p w:rsidR="00E16609" w:rsidRPr="000F130A" w:rsidRDefault="00E16609" w:rsidP="00E16609">
      <w:pPr>
        <w:pStyle w:val="Heading2"/>
        <w:keepNext w:val="0"/>
        <w:rPr>
          <w:rFonts w:asciiTheme="minorHAnsi" w:hAnsiTheme="minorHAnsi" w:cstheme="minorHAnsi"/>
        </w:rPr>
      </w:pPr>
      <w:bookmarkStart w:id="21" w:name="_Toc214003098"/>
      <w:r w:rsidRPr="000F130A">
        <w:rPr>
          <w:rFonts w:asciiTheme="minorHAnsi" w:hAnsiTheme="minorHAnsi" w:cstheme="minorHAnsi"/>
        </w:rPr>
        <w:t>4.2 Gross Measure Cost</w:t>
      </w:r>
      <w:bookmarkEnd w:id="21"/>
    </w:p>
    <w:p w:rsidR="00E16609" w:rsidRDefault="00C01EEC" w:rsidP="00E16609">
      <w:pPr>
        <w:pStyle w:val="Reminders"/>
        <w:rPr>
          <w:rFonts w:asciiTheme="minorHAnsi" w:hAnsiTheme="minorHAnsi" w:cstheme="minorHAnsi"/>
          <w:i w:val="0"/>
          <w:color w:val="auto"/>
          <w:sz w:val="22"/>
          <w:szCs w:val="22"/>
        </w:rPr>
      </w:pPr>
      <w:r w:rsidRPr="006F198A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A </w:t>
      </w:r>
      <w:r w:rsidR="00434F73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gross </w:t>
      </w:r>
      <w:r w:rsidRPr="006F198A">
        <w:rPr>
          <w:rFonts w:asciiTheme="minorHAnsi" w:hAnsiTheme="minorHAnsi" w:cstheme="minorHAnsi"/>
          <w:i w:val="0"/>
          <w:color w:val="auto"/>
          <w:sz w:val="22"/>
          <w:szCs w:val="22"/>
        </w:rPr>
        <w:t>measure cost was found for the dimming ballasts, daylighting controls, and occupancy sensors. In order to calculate a measure cost for dimming ballasts</w:t>
      </w:r>
      <w:r w:rsidR="00463F3A">
        <w:rPr>
          <w:rFonts w:asciiTheme="minorHAnsi" w:hAnsiTheme="minorHAnsi" w:cstheme="minorHAnsi"/>
          <w:i w:val="0"/>
          <w:color w:val="auto"/>
          <w:sz w:val="22"/>
          <w:szCs w:val="22"/>
        </w:rPr>
        <w:t>,</w:t>
      </w:r>
      <w:r w:rsidRPr="006F198A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</w:t>
      </w:r>
      <w:r w:rsidR="00653F86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several </w:t>
      </w:r>
      <w:r w:rsidRPr="006F198A">
        <w:rPr>
          <w:rFonts w:asciiTheme="minorHAnsi" w:hAnsiTheme="minorHAnsi" w:cstheme="minorHAnsi"/>
          <w:i w:val="0"/>
          <w:color w:val="auto"/>
          <w:sz w:val="22"/>
          <w:szCs w:val="22"/>
        </w:rPr>
        <w:t>online sources were consulted and averaged since no information was available in the DEER database or in RSMeans</w:t>
      </w:r>
      <w:r w:rsidR="006F198A" w:rsidRPr="006F198A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[</w:t>
      </w:r>
      <w:r w:rsidR="0018726D">
        <w:rPr>
          <w:rFonts w:asciiTheme="minorHAnsi" w:hAnsiTheme="minorHAnsi" w:cstheme="minorHAnsi"/>
          <w:i w:val="0"/>
          <w:color w:val="auto"/>
          <w:sz w:val="22"/>
          <w:szCs w:val="22"/>
        </w:rPr>
        <w:t>G</w:t>
      </w:r>
      <w:r w:rsidR="006F198A" w:rsidRPr="006F198A">
        <w:rPr>
          <w:rFonts w:asciiTheme="minorHAnsi" w:hAnsiTheme="minorHAnsi" w:cstheme="minorHAnsi"/>
          <w:i w:val="0"/>
          <w:color w:val="auto"/>
          <w:sz w:val="22"/>
          <w:szCs w:val="22"/>
        </w:rPr>
        <w:t>]</w:t>
      </w:r>
      <w:r w:rsidRPr="006F198A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. </w:t>
      </w:r>
      <w:r w:rsidR="006F198A" w:rsidRPr="006F198A">
        <w:rPr>
          <w:rFonts w:asciiTheme="minorHAnsi" w:hAnsiTheme="minorHAnsi" w:cstheme="minorHAnsi"/>
          <w:i w:val="0"/>
          <w:color w:val="auto"/>
          <w:sz w:val="22"/>
          <w:szCs w:val="22"/>
        </w:rPr>
        <w:t>The average cost for a dimming ballast is $70.</w:t>
      </w:r>
      <w:r w:rsidR="00C6363A">
        <w:rPr>
          <w:rFonts w:asciiTheme="minorHAnsi" w:hAnsiTheme="minorHAnsi" w:cstheme="minorHAnsi"/>
          <w:i w:val="0"/>
          <w:color w:val="auto"/>
          <w:sz w:val="22"/>
          <w:szCs w:val="22"/>
        </w:rPr>
        <w:t>14</w:t>
      </w:r>
      <w:r w:rsidR="006F198A">
        <w:rPr>
          <w:rFonts w:asciiTheme="minorHAnsi" w:hAnsiTheme="minorHAnsi" w:cstheme="minorHAnsi"/>
          <w:i w:val="0"/>
          <w:color w:val="auto"/>
          <w:sz w:val="22"/>
          <w:szCs w:val="22"/>
        </w:rPr>
        <w:t>. For occupancy sensors</w:t>
      </w:r>
      <w:r w:rsidR="00C9725C">
        <w:rPr>
          <w:rFonts w:asciiTheme="minorHAnsi" w:hAnsiTheme="minorHAnsi" w:cstheme="minorHAnsi"/>
          <w:i w:val="0"/>
          <w:color w:val="auto"/>
          <w:sz w:val="22"/>
          <w:szCs w:val="22"/>
        </w:rPr>
        <w:t>,</w:t>
      </w:r>
      <w:r w:rsidR="006F198A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the DEER Database was consulted. The cost per sensor is $47.15 for material and $44.12 for labor</w:t>
      </w:r>
      <w:r w:rsidR="00653F86">
        <w:rPr>
          <w:rFonts w:asciiTheme="minorHAnsi" w:hAnsiTheme="minorHAnsi" w:cstheme="minorHAnsi"/>
          <w:i w:val="0"/>
          <w:color w:val="auto"/>
          <w:sz w:val="22"/>
          <w:szCs w:val="22"/>
        </w:rPr>
        <w:t>,</w:t>
      </w:r>
      <w:r w:rsidR="006F198A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which give</w:t>
      </w:r>
      <w:r w:rsidR="00E614C9">
        <w:rPr>
          <w:rFonts w:asciiTheme="minorHAnsi" w:hAnsiTheme="minorHAnsi" w:cstheme="minorHAnsi"/>
          <w:i w:val="0"/>
          <w:color w:val="auto"/>
          <w:sz w:val="22"/>
          <w:szCs w:val="22"/>
        </w:rPr>
        <w:t>s</w:t>
      </w:r>
      <w:r w:rsidR="006F198A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a measure cost of $91.27</w:t>
      </w:r>
      <w:r w:rsidR="00494BB1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per sensor</w:t>
      </w:r>
      <w:r w:rsidR="00E5694E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[49]</w:t>
      </w:r>
      <w:r w:rsidR="006F198A">
        <w:rPr>
          <w:rFonts w:asciiTheme="minorHAnsi" w:hAnsiTheme="minorHAnsi" w:cstheme="minorHAnsi"/>
          <w:i w:val="0"/>
          <w:color w:val="auto"/>
          <w:sz w:val="22"/>
          <w:szCs w:val="22"/>
        </w:rPr>
        <w:t>.</w:t>
      </w:r>
      <w:r w:rsidR="003F6E49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According to DEER</w:t>
      </w:r>
      <w:r w:rsidR="00653F86">
        <w:rPr>
          <w:rFonts w:asciiTheme="minorHAnsi" w:hAnsiTheme="minorHAnsi" w:cstheme="minorHAnsi"/>
          <w:i w:val="0"/>
          <w:color w:val="auto"/>
          <w:sz w:val="22"/>
          <w:szCs w:val="22"/>
        </w:rPr>
        <w:t>,</w:t>
      </w:r>
      <w:r w:rsidR="003F6E49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each sensor controls three fixtures</w:t>
      </w:r>
      <w:r w:rsidR="00653F86">
        <w:rPr>
          <w:rFonts w:asciiTheme="minorHAnsi" w:hAnsiTheme="minorHAnsi" w:cstheme="minorHAnsi"/>
          <w:i w:val="0"/>
          <w:color w:val="auto"/>
          <w:sz w:val="22"/>
          <w:szCs w:val="22"/>
        </w:rPr>
        <w:t>.  Typically, one ballast serves one fixture.</w:t>
      </w:r>
      <w:r w:rsidR="003F6E49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</w:t>
      </w:r>
      <w:r w:rsidR="00653F86">
        <w:rPr>
          <w:rFonts w:asciiTheme="minorHAnsi" w:hAnsiTheme="minorHAnsi" w:cstheme="minorHAnsi"/>
          <w:i w:val="0"/>
          <w:color w:val="auto"/>
          <w:sz w:val="22"/>
          <w:szCs w:val="22"/>
        </w:rPr>
        <w:t>Therefore,</w:t>
      </w:r>
      <w:r w:rsidR="003F6E49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the cost per ballast is $30.42.</w:t>
      </w:r>
      <w:r w:rsidR="006F198A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</w:t>
      </w:r>
      <w:r w:rsidR="00911C25">
        <w:rPr>
          <w:rFonts w:asciiTheme="minorHAnsi" w:hAnsiTheme="minorHAnsi" w:cstheme="minorHAnsi"/>
          <w:i w:val="0"/>
          <w:color w:val="auto"/>
          <w:sz w:val="22"/>
          <w:szCs w:val="22"/>
        </w:rPr>
        <w:t>Since t</w:t>
      </w:r>
      <w:r w:rsidR="006F198A">
        <w:rPr>
          <w:rFonts w:asciiTheme="minorHAnsi" w:hAnsiTheme="minorHAnsi" w:cstheme="minorHAnsi"/>
          <w:i w:val="0"/>
          <w:color w:val="auto"/>
          <w:sz w:val="22"/>
          <w:szCs w:val="22"/>
        </w:rPr>
        <w:t>he DEER database did not have cost information available for daylighting controls</w:t>
      </w:r>
      <w:r w:rsidR="00911C25">
        <w:rPr>
          <w:rFonts w:asciiTheme="minorHAnsi" w:hAnsiTheme="minorHAnsi" w:cstheme="minorHAnsi"/>
          <w:i w:val="0"/>
          <w:color w:val="auto"/>
          <w:sz w:val="22"/>
          <w:szCs w:val="22"/>
        </w:rPr>
        <w:t>,</w:t>
      </w:r>
      <w:r w:rsidR="006F198A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</w:t>
      </w:r>
      <w:r w:rsidR="00E5694E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2012 </w:t>
      </w:r>
      <w:r w:rsidR="006F198A">
        <w:rPr>
          <w:rFonts w:asciiTheme="minorHAnsi" w:hAnsiTheme="minorHAnsi" w:cstheme="minorHAnsi"/>
          <w:i w:val="0"/>
          <w:color w:val="auto"/>
          <w:sz w:val="22"/>
          <w:szCs w:val="22"/>
        </w:rPr>
        <w:t>RSMeans was consulted</w:t>
      </w:r>
      <w:r w:rsidR="00E5694E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[</w:t>
      </w:r>
      <w:r w:rsidR="0018726D">
        <w:rPr>
          <w:rFonts w:asciiTheme="minorHAnsi" w:hAnsiTheme="minorHAnsi" w:cstheme="minorHAnsi"/>
          <w:i w:val="0"/>
          <w:color w:val="auto"/>
          <w:sz w:val="22"/>
          <w:szCs w:val="22"/>
        </w:rPr>
        <w:t>H</w:t>
      </w:r>
      <w:r w:rsidR="00E5694E">
        <w:rPr>
          <w:rFonts w:asciiTheme="minorHAnsi" w:hAnsiTheme="minorHAnsi" w:cstheme="minorHAnsi"/>
          <w:i w:val="0"/>
          <w:color w:val="auto"/>
          <w:sz w:val="22"/>
          <w:szCs w:val="22"/>
        </w:rPr>
        <w:t>]</w:t>
      </w:r>
      <w:r w:rsidR="006F198A">
        <w:rPr>
          <w:rFonts w:asciiTheme="minorHAnsi" w:hAnsiTheme="minorHAnsi" w:cstheme="minorHAnsi"/>
          <w:i w:val="0"/>
          <w:color w:val="auto"/>
          <w:sz w:val="22"/>
          <w:szCs w:val="22"/>
        </w:rPr>
        <w:t>. The total cost</w:t>
      </w:r>
      <w:r w:rsidR="00E614C9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per sensor</w:t>
      </w:r>
      <w:r w:rsidR="006F198A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</w:t>
      </w:r>
      <w:r w:rsidR="00E614C9">
        <w:rPr>
          <w:rFonts w:asciiTheme="minorHAnsi" w:hAnsiTheme="minorHAnsi" w:cstheme="minorHAnsi"/>
          <w:i w:val="0"/>
          <w:color w:val="auto"/>
          <w:sz w:val="22"/>
          <w:szCs w:val="22"/>
        </w:rPr>
        <w:t>is $131.00 for material and $79.00 for labor</w:t>
      </w:r>
      <w:r w:rsidR="00653F86">
        <w:rPr>
          <w:rFonts w:asciiTheme="minorHAnsi" w:hAnsiTheme="minorHAnsi" w:cstheme="minorHAnsi"/>
          <w:i w:val="0"/>
          <w:color w:val="auto"/>
          <w:sz w:val="22"/>
          <w:szCs w:val="22"/>
        </w:rPr>
        <w:t>,</w:t>
      </w:r>
      <w:r w:rsidR="00E614C9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which gives a total measure cost of $210.00</w:t>
      </w:r>
      <w:r w:rsidR="00494BB1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per sensor</w:t>
      </w:r>
      <w:r w:rsidR="00957D02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. </w:t>
      </w:r>
      <w:r w:rsidR="005B6F31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RSMeans does not give an estimate of how many fixtures each sensor controls. </w:t>
      </w:r>
      <w:r w:rsidR="008C32E5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The 2013-2014 Title 24 Codes and Standards Enhancement (CASE) study on Controllable Lighting [I] includes a cost analysis on daylighting controls. The study assumes the typical number of fixtures served by daylighting controls sensors for three spaces: office, open office and reception.  For an office, the study assumes that five </w:t>
      </w:r>
      <w:r w:rsidR="00250AAF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(5) </w:t>
      </w:r>
      <w:r w:rsidR="008C32E5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sensors are required </w:t>
      </w:r>
      <w:r w:rsidR="00FB7D7E">
        <w:rPr>
          <w:rFonts w:asciiTheme="minorHAnsi" w:hAnsiTheme="minorHAnsi" w:cstheme="minorHAnsi"/>
          <w:i w:val="0"/>
          <w:color w:val="auto"/>
          <w:sz w:val="22"/>
          <w:szCs w:val="22"/>
        </w:rPr>
        <w:t>for</w:t>
      </w:r>
      <w:r w:rsidR="008C32E5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five</w:t>
      </w:r>
      <w:r w:rsidR="00250AAF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(5)</w:t>
      </w:r>
      <w:r w:rsidR="008C32E5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fixtures. For an open</w:t>
      </w:r>
      <w:r w:rsidR="00250AAF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office, the study assumes that two (2)</w:t>
      </w:r>
      <w:r w:rsidR="008C32E5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sensors</w:t>
      </w:r>
      <w:r w:rsidR="00250AAF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</w:t>
      </w:r>
      <w:r w:rsidR="008C32E5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are required </w:t>
      </w:r>
      <w:r w:rsidR="00FB7D7E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for </w:t>
      </w:r>
      <w:r w:rsidR="008C32E5">
        <w:rPr>
          <w:rFonts w:asciiTheme="minorHAnsi" w:hAnsiTheme="minorHAnsi" w:cstheme="minorHAnsi"/>
          <w:i w:val="0"/>
          <w:color w:val="auto"/>
          <w:sz w:val="22"/>
          <w:szCs w:val="22"/>
        </w:rPr>
        <w:t>sixteen</w:t>
      </w:r>
      <w:r w:rsidR="00250AAF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(16) </w:t>
      </w:r>
      <w:r w:rsidR="008C32E5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fixtures. For a reception area, the study assumes that one </w:t>
      </w:r>
      <w:r w:rsidR="00250AAF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(1) </w:t>
      </w:r>
      <w:r w:rsidR="008C32E5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sensor is required for four </w:t>
      </w:r>
      <w:r w:rsidR="00250AAF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(4) </w:t>
      </w:r>
      <w:r w:rsidR="008C32E5">
        <w:rPr>
          <w:rFonts w:asciiTheme="minorHAnsi" w:hAnsiTheme="minorHAnsi" w:cstheme="minorHAnsi"/>
          <w:i w:val="0"/>
          <w:color w:val="auto"/>
          <w:sz w:val="22"/>
          <w:szCs w:val="22"/>
        </w:rPr>
        <w:t>fixtures.</w:t>
      </w:r>
      <w:r w:rsidR="00FB7D7E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To be conservative, </w:t>
      </w:r>
      <w:r w:rsidR="00250AAF">
        <w:rPr>
          <w:rFonts w:asciiTheme="minorHAnsi" w:hAnsiTheme="minorHAnsi" w:cstheme="minorHAnsi"/>
          <w:i w:val="0"/>
          <w:color w:val="auto"/>
          <w:sz w:val="22"/>
          <w:szCs w:val="22"/>
        </w:rPr>
        <w:t>the GMC for daylighting controls assumes</w:t>
      </w:r>
      <w:r w:rsidR="00FB7D7E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one</w:t>
      </w:r>
      <w:r w:rsidR="00250AAF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(1)</w:t>
      </w:r>
      <w:r w:rsidR="00FB7D7E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sensor serves eight </w:t>
      </w:r>
      <w:r w:rsidR="00250AAF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(8) </w:t>
      </w:r>
      <w:r w:rsidR="00FB7D7E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fixtures, similar to the CASE study’s assumption for open offices. </w:t>
      </w:r>
      <w:r w:rsidR="005B6F31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Therefore, the cost per ballast for each daylight harvesting sensor is $</w:t>
      </w:r>
      <w:r w:rsidR="00FB7D7E">
        <w:rPr>
          <w:rFonts w:asciiTheme="minorHAnsi" w:hAnsiTheme="minorHAnsi" w:cstheme="minorHAnsi"/>
          <w:i w:val="0"/>
          <w:color w:val="auto"/>
          <w:sz w:val="22"/>
          <w:szCs w:val="22"/>
        </w:rPr>
        <w:t>26.25</w:t>
      </w:r>
      <w:r w:rsidR="005B6F31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. </w:t>
      </w:r>
      <w:r w:rsidR="00C9725C">
        <w:rPr>
          <w:rFonts w:asciiTheme="minorHAnsi" w:hAnsiTheme="minorHAnsi" w:cstheme="minorHAnsi"/>
          <w:i w:val="0"/>
          <w:color w:val="auto"/>
          <w:sz w:val="22"/>
          <w:szCs w:val="22"/>
        </w:rPr>
        <w:t>Table 1</w:t>
      </w:r>
      <w:r w:rsidR="00463F3A">
        <w:rPr>
          <w:rFonts w:asciiTheme="minorHAnsi" w:hAnsiTheme="minorHAnsi" w:cstheme="minorHAnsi"/>
          <w:i w:val="0"/>
          <w:color w:val="auto"/>
          <w:sz w:val="22"/>
          <w:szCs w:val="22"/>
        </w:rPr>
        <w:t>3</w:t>
      </w:r>
      <w:r w:rsidR="00EC5A7E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shows the measure </w:t>
      </w:r>
      <w:r w:rsidR="00463F3A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case </w:t>
      </w:r>
      <w:r w:rsidR="00EC5A7E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cost </w:t>
      </w:r>
      <w:r w:rsidR="00C9725C">
        <w:rPr>
          <w:rFonts w:asciiTheme="minorHAnsi" w:hAnsiTheme="minorHAnsi" w:cstheme="minorHAnsi"/>
          <w:i w:val="0"/>
          <w:color w:val="auto"/>
          <w:sz w:val="22"/>
          <w:szCs w:val="22"/>
        </w:rPr>
        <w:t>per</w:t>
      </w:r>
      <w:r w:rsidR="003F2D40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</w:t>
      </w:r>
      <w:r w:rsidR="00EC5A7E">
        <w:rPr>
          <w:rFonts w:asciiTheme="minorHAnsi" w:hAnsiTheme="minorHAnsi" w:cstheme="minorHAnsi"/>
          <w:i w:val="0"/>
          <w:color w:val="auto"/>
          <w:sz w:val="22"/>
          <w:szCs w:val="22"/>
        </w:rPr>
        <w:t>measure. The cost varies for each measure depending on</w:t>
      </w:r>
      <w:r w:rsidR="00250AAF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the included</w:t>
      </w:r>
      <w:r w:rsidR="00EC5A7E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equipment.</w:t>
      </w:r>
    </w:p>
    <w:p w:rsidR="003F1178" w:rsidRDefault="003F1178" w:rsidP="00E16609">
      <w:pPr>
        <w:pStyle w:val="Reminders"/>
        <w:rPr>
          <w:rFonts w:asciiTheme="minorHAnsi" w:hAnsiTheme="minorHAnsi" w:cstheme="minorHAnsi"/>
          <w:i w:val="0"/>
          <w:color w:val="auto"/>
          <w:sz w:val="22"/>
          <w:szCs w:val="22"/>
        </w:rPr>
      </w:pPr>
    </w:p>
    <w:p w:rsidR="00EC5A7E" w:rsidRPr="00EC5A7E" w:rsidRDefault="00EC5A7E" w:rsidP="00EC5A7E">
      <w:pPr>
        <w:pStyle w:val="Caption"/>
        <w:jc w:val="center"/>
        <w:rPr>
          <w:rFonts w:asciiTheme="minorHAnsi" w:hAnsiTheme="minorHAnsi" w:cstheme="minorHAnsi"/>
          <w:b w:val="0"/>
          <w:sz w:val="22"/>
          <w:szCs w:val="22"/>
        </w:rPr>
      </w:pPr>
      <w:r w:rsidRPr="00F4752B">
        <w:rPr>
          <w:rFonts w:asciiTheme="minorHAnsi" w:hAnsiTheme="minorHAnsi" w:cstheme="minorHAnsi"/>
          <w:sz w:val="22"/>
          <w:szCs w:val="22"/>
        </w:rPr>
        <w:t xml:space="preserve">Table </w:t>
      </w:r>
      <w:r>
        <w:rPr>
          <w:rFonts w:asciiTheme="minorHAnsi" w:hAnsiTheme="minorHAnsi" w:cstheme="minorHAnsi"/>
          <w:sz w:val="22"/>
          <w:szCs w:val="22"/>
        </w:rPr>
        <w:t>1</w:t>
      </w:r>
      <w:r w:rsidR="00BA6557">
        <w:rPr>
          <w:rFonts w:asciiTheme="minorHAnsi" w:hAnsiTheme="minorHAnsi" w:cstheme="minorHAnsi"/>
          <w:sz w:val="22"/>
          <w:szCs w:val="22"/>
        </w:rPr>
        <w:t>3</w:t>
      </w:r>
      <w:r>
        <w:rPr>
          <w:rFonts w:asciiTheme="minorHAnsi" w:hAnsiTheme="minorHAnsi" w:cstheme="minorHAnsi"/>
          <w:sz w:val="22"/>
          <w:szCs w:val="22"/>
        </w:rPr>
        <w:t xml:space="preserve"> Measure Case Cost</w:t>
      </w:r>
      <w:r w:rsidRPr="00F4752B">
        <w:rPr>
          <w:rFonts w:asciiTheme="minorHAnsi" w:hAnsiTheme="minorHAnsi" w:cstheme="minorHAnsi"/>
          <w:sz w:val="22"/>
          <w:szCs w:val="22"/>
        </w:rPr>
        <w:t>s</w:t>
      </w:r>
    </w:p>
    <w:tbl>
      <w:tblPr>
        <w:tblW w:w="6195" w:type="dxa"/>
        <w:jc w:val="center"/>
        <w:tblBorders>
          <w:insideH w:val="single" w:sz="18" w:space="0" w:color="FFFFFF"/>
          <w:insideV w:val="single" w:sz="18" w:space="0" w:color="FFFFFF"/>
        </w:tblBorders>
        <w:tblLook w:val="01E0" w:firstRow="1" w:lastRow="1" w:firstColumn="1" w:lastColumn="1" w:noHBand="0" w:noVBand="0"/>
      </w:tblPr>
      <w:tblGrid>
        <w:gridCol w:w="4178"/>
        <w:gridCol w:w="2017"/>
      </w:tblGrid>
      <w:tr w:rsidR="00EC5A7E" w:rsidRPr="00927B44" w:rsidTr="00032DCB">
        <w:trPr>
          <w:trHeight w:val="255"/>
          <w:jc w:val="center"/>
        </w:trPr>
        <w:tc>
          <w:tcPr>
            <w:tcW w:w="4178" w:type="dxa"/>
            <w:shd w:val="pct20" w:color="000000" w:fill="FFFFFF"/>
          </w:tcPr>
          <w:p w:rsidR="00EC5A7E" w:rsidRPr="00927B44" w:rsidRDefault="00D728D9" w:rsidP="00032DCB">
            <w:pPr>
              <w:jc w:val="center"/>
              <w:rPr>
                <w:rFonts w:asciiTheme="minorHAnsi" w:hAnsi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bCs/>
                <w:sz w:val="20"/>
                <w:szCs w:val="20"/>
              </w:rPr>
              <w:t>Measure N</w:t>
            </w:r>
            <w:r w:rsidR="00EC5A7E">
              <w:rPr>
                <w:rFonts w:asciiTheme="minorHAnsi" w:hAnsiTheme="minorHAnsi"/>
                <w:b/>
                <w:bCs/>
                <w:sz w:val="20"/>
                <w:szCs w:val="20"/>
              </w:rPr>
              <w:t>ame</w:t>
            </w:r>
          </w:p>
        </w:tc>
        <w:tc>
          <w:tcPr>
            <w:tcW w:w="2017" w:type="dxa"/>
            <w:shd w:val="pct20" w:color="000000" w:fill="FFFFFF"/>
            <w:noWrap/>
          </w:tcPr>
          <w:p w:rsidR="00EC5A7E" w:rsidRPr="00927B44" w:rsidRDefault="00EC5A7E" w:rsidP="00032DCB">
            <w:pPr>
              <w:jc w:val="center"/>
              <w:rPr>
                <w:rFonts w:asciiTheme="minorHAnsi" w:hAnsi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Measure Case </w:t>
            </w:r>
            <w:r w:rsidRPr="00927B44">
              <w:rPr>
                <w:rFonts w:asciiTheme="minorHAnsi" w:hAnsiTheme="minorHAnsi"/>
                <w:b/>
                <w:bCs/>
                <w:sz w:val="20"/>
                <w:szCs w:val="20"/>
              </w:rPr>
              <w:t>Cost</w:t>
            </w:r>
          </w:p>
        </w:tc>
      </w:tr>
      <w:tr w:rsidR="00EC5A7E" w:rsidRPr="00927B44" w:rsidTr="00032DCB">
        <w:trPr>
          <w:trHeight w:val="255"/>
          <w:jc w:val="center"/>
        </w:trPr>
        <w:tc>
          <w:tcPr>
            <w:tcW w:w="4178" w:type="dxa"/>
            <w:shd w:val="pct5" w:color="000000" w:fill="FFFFFF"/>
          </w:tcPr>
          <w:p w:rsidR="00EC5A7E" w:rsidRPr="005B28C1" w:rsidRDefault="00EC5A7E" w:rsidP="00032DC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Dimming Ballasts – 20% Tuning</w:t>
            </w:r>
          </w:p>
        </w:tc>
        <w:tc>
          <w:tcPr>
            <w:tcW w:w="2017" w:type="dxa"/>
            <w:shd w:val="pct5" w:color="000000" w:fill="FFFFFF"/>
            <w:noWrap/>
            <w:vAlign w:val="center"/>
          </w:tcPr>
          <w:p w:rsidR="00EC5A7E" w:rsidRPr="00927B44" w:rsidRDefault="00EC5A7E" w:rsidP="00032DCB">
            <w:pPr>
              <w:jc w:val="center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$</w:t>
            </w:r>
            <w:r w:rsidR="0078324E">
              <w:rPr>
                <w:rFonts w:asciiTheme="minorHAnsi" w:hAnsiTheme="minorHAnsi"/>
                <w:sz w:val="20"/>
                <w:szCs w:val="20"/>
              </w:rPr>
              <w:t>70.14</w:t>
            </w:r>
          </w:p>
        </w:tc>
      </w:tr>
      <w:tr w:rsidR="00EC5A7E" w:rsidRPr="00927B44" w:rsidTr="00032DCB">
        <w:trPr>
          <w:trHeight w:val="255"/>
          <w:jc w:val="center"/>
        </w:trPr>
        <w:tc>
          <w:tcPr>
            <w:tcW w:w="4178" w:type="dxa"/>
            <w:shd w:val="pct5" w:color="000000" w:fill="FFFFFF"/>
          </w:tcPr>
          <w:p w:rsidR="00EC5A7E" w:rsidRDefault="00EC5A7E" w:rsidP="00032DC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D3DB9">
              <w:rPr>
                <w:rFonts w:asciiTheme="minorHAnsi" w:hAnsiTheme="minorHAnsi" w:cstheme="minorHAnsi"/>
                <w:sz w:val="20"/>
                <w:szCs w:val="20"/>
              </w:rPr>
              <w:t>Dimming Ballasts - 20% Tuning + Daylight Harvesting</w:t>
            </w:r>
          </w:p>
        </w:tc>
        <w:tc>
          <w:tcPr>
            <w:tcW w:w="2017" w:type="dxa"/>
            <w:shd w:val="pct5" w:color="000000" w:fill="FFFFFF"/>
            <w:noWrap/>
            <w:vAlign w:val="center"/>
          </w:tcPr>
          <w:p w:rsidR="00EC5A7E" w:rsidRPr="00927B44" w:rsidRDefault="00EC5A7E" w:rsidP="00715284">
            <w:pPr>
              <w:jc w:val="center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$</w:t>
            </w:r>
            <w:r w:rsidR="00715284">
              <w:rPr>
                <w:rFonts w:asciiTheme="minorHAnsi" w:hAnsiTheme="minorHAnsi"/>
                <w:sz w:val="20"/>
                <w:szCs w:val="20"/>
              </w:rPr>
              <w:t>96.39</w:t>
            </w:r>
          </w:p>
        </w:tc>
      </w:tr>
      <w:tr w:rsidR="00EC5A7E" w:rsidRPr="00927B44" w:rsidTr="00032DCB">
        <w:trPr>
          <w:trHeight w:val="255"/>
          <w:jc w:val="center"/>
        </w:trPr>
        <w:tc>
          <w:tcPr>
            <w:tcW w:w="4178" w:type="dxa"/>
            <w:shd w:val="pct5" w:color="000000" w:fill="FFFFFF"/>
          </w:tcPr>
          <w:p w:rsidR="00EC5A7E" w:rsidRDefault="00EC5A7E" w:rsidP="00032DC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D3DB9">
              <w:rPr>
                <w:rFonts w:asciiTheme="minorHAnsi" w:hAnsiTheme="minorHAnsi" w:cstheme="minorHAnsi"/>
                <w:sz w:val="20"/>
                <w:szCs w:val="20"/>
              </w:rPr>
              <w:t>Dimming Ballasts - 20% Tuning + Occupancy Sensor</w:t>
            </w:r>
          </w:p>
        </w:tc>
        <w:tc>
          <w:tcPr>
            <w:tcW w:w="2017" w:type="dxa"/>
            <w:shd w:val="pct5" w:color="000000" w:fill="FFFFFF"/>
            <w:noWrap/>
            <w:vAlign w:val="center"/>
          </w:tcPr>
          <w:p w:rsidR="00EC5A7E" w:rsidRPr="00927B44" w:rsidRDefault="00EC5A7E" w:rsidP="003F6E49">
            <w:pPr>
              <w:jc w:val="center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$</w:t>
            </w:r>
            <w:r w:rsidR="003F6E49">
              <w:rPr>
                <w:rFonts w:asciiTheme="minorHAnsi" w:hAnsiTheme="minorHAnsi"/>
                <w:sz w:val="20"/>
                <w:szCs w:val="20"/>
              </w:rPr>
              <w:t>100.56</w:t>
            </w:r>
          </w:p>
        </w:tc>
      </w:tr>
      <w:tr w:rsidR="00EC5A7E" w:rsidRPr="00927B44" w:rsidTr="00032DCB">
        <w:trPr>
          <w:trHeight w:val="255"/>
          <w:jc w:val="center"/>
        </w:trPr>
        <w:tc>
          <w:tcPr>
            <w:tcW w:w="4178" w:type="dxa"/>
            <w:shd w:val="pct5" w:color="000000" w:fill="FFFFFF"/>
          </w:tcPr>
          <w:p w:rsidR="00EC5A7E" w:rsidRDefault="00EC5A7E" w:rsidP="00032DC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D3DB9">
              <w:rPr>
                <w:rFonts w:asciiTheme="minorHAnsi" w:hAnsiTheme="minorHAnsi" w:cstheme="minorHAnsi"/>
                <w:sz w:val="20"/>
                <w:szCs w:val="20"/>
              </w:rPr>
              <w:t>Dimming Ballasts - 20% Tuning + Occupancy Sensor + Daylight Harvesting with Side Lighting Photo Controls</w:t>
            </w:r>
          </w:p>
        </w:tc>
        <w:tc>
          <w:tcPr>
            <w:tcW w:w="2017" w:type="dxa"/>
            <w:shd w:val="pct5" w:color="000000" w:fill="FFFFFF"/>
            <w:noWrap/>
            <w:vAlign w:val="center"/>
          </w:tcPr>
          <w:p w:rsidR="00EC5A7E" w:rsidRPr="00927B44" w:rsidRDefault="00EC5A7E" w:rsidP="00FB7D7E">
            <w:pPr>
              <w:jc w:val="center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$</w:t>
            </w:r>
            <w:r w:rsidR="00715284">
              <w:rPr>
                <w:rFonts w:asciiTheme="minorHAnsi" w:hAnsiTheme="minorHAnsi"/>
                <w:sz w:val="20"/>
                <w:szCs w:val="20"/>
              </w:rPr>
              <w:t>126.81</w:t>
            </w:r>
          </w:p>
        </w:tc>
      </w:tr>
    </w:tbl>
    <w:p w:rsidR="003F1178" w:rsidRDefault="003F1178" w:rsidP="00494BB1">
      <w:pPr>
        <w:pStyle w:val="Reminders"/>
        <w:rPr>
          <w:rFonts w:asciiTheme="minorHAnsi" w:hAnsiTheme="minorHAnsi" w:cstheme="minorHAnsi"/>
          <w:i w:val="0"/>
          <w:color w:val="auto"/>
          <w:sz w:val="22"/>
          <w:szCs w:val="22"/>
        </w:rPr>
      </w:pPr>
    </w:p>
    <w:p w:rsidR="003933B8" w:rsidRDefault="00494BB1" w:rsidP="00494BB1">
      <w:pPr>
        <w:pStyle w:val="Reminders"/>
        <w:rPr>
          <w:rFonts w:asciiTheme="minorHAnsi" w:hAnsiTheme="minorHAnsi" w:cstheme="minorHAnsi"/>
          <w:i w:val="0"/>
          <w:color w:val="auto"/>
          <w:sz w:val="22"/>
          <w:szCs w:val="22"/>
        </w:rPr>
      </w:pPr>
      <w:r>
        <w:rPr>
          <w:rFonts w:asciiTheme="minorHAnsi" w:hAnsiTheme="minorHAnsi" w:cstheme="minorHAnsi"/>
          <w:i w:val="0"/>
          <w:color w:val="auto"/>
          <w:sz w:val="22"/>
          <w:szCs w:val="22"/>
        </w:rPr>
        <w:lastRenderedPageBreak/>
        <w:t xml:space="preserve">The gross measure cost for </w:t>
      </w:r>
      <w:r w:rsidR="003933B8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RET depends on </w:t>
      </w:r>
      <w:r w:rsidR="00D728D9">
        <w:rPr>
          <w:rFonts w:asciiTheme="minorHAnsi" w:hAnsiTheme="minorHAnsi" w:cstheme="minorHAnsi"/>
          <w:i w:val="0"/>
          <w:color w:val="auto"/>
          <w:sz w:val="22"/>
          <w:szCs w:val="22"/>
        </w:rPr>
        <w:t>the baseline period</w:t>
      </w:r>
      <w:r w:rsidR="003933B8">
        <w:rPr>
          <w:rFonts w:asciiTheme="minorHAnsi" w:hAnsiTheme="minorHAnsi" w:cstheme="minorHAnsi"/>
          <w:i w:val="0"/>
          <w:color w:val="auto"/>
          <w:sz w:val="22"/>
          <w:szCs w:val="22"/>
        </w:rPr>
        <w:t>. For the first baseline period</w:t>
      </w:r>
      <w:r w:rsidR="00D728D9">
        <w:rPr>
          <w:rFonts w:asciiTheme="minorHAnsi" w:hAnsiTheme="minorHAnsi" w:cstheme="minorHAnsi"/>
          <w:i w:val="0"/>
          <w:color w:val="auto"/>
          <w:sz w:val="22"/>
          <w:szCs w:val="22"/>
        </w:rPr>
        <w:t>,</w:t>
      </w:r>
      <w:r w:rsidR="003933B8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the gross measure cost is the same as the measure cost. The gross measure costs for the first baseline period are listed in Table 14</w:t>
      </w:r>
      <w:r w:rsidR="00463F3A">
        <w:rPr>
          <w:rFonts w:asciiTheme="minorHAnsi" w:hAnsiTheme="minorHAnsi" w:cstheme="minorHAnsi"/>
          <w:i w:val="0"/>
          <w:color w:val="auto"/>
          <w:sz w:val="22"/>
          <w:szCs w:val="22"/>
        </w:rPr>
        <w:t>.</w:t>
      </w:r>
    </w:p>
    <w:p w:rsidR="003933B8" w:rsidRDefault="003933B8" w:rsidP="00494BB1">
      <w:pPr>
        <w:pStyle w:val="Reminders"/>
        <w:rPr>
          <w:rFonts w:asciiTheme="minorHAnsi" w:hAnsiTheme="minorHAnsi" w:cstheme="minorHAnsi"/>
          <w:i w:val="0"/>
          <w:color w:val="auto"/>
          <w:sz w:val="22"/>
          <w:szCs w:val="22"/>
        </w:rPr>
      </w:pPr>
    </w:p>
    <w:p w:rsidR="003933B8" w:rsidRPr="00EC5A7E" w:rsidRDefault="003933B8" w:rsidP="003933B8">
      <w:pPr>
        <w:pStyle w:val="Caption"/>
        <w:jc w:val="center"/>
        <w:rPr>
          <w:rFonts w:asciiTheme="minorHAnsi" w:hAnsiTheme="minorHAnsi" w:cstheme="minorHAnsi"/>
          <w:b w:val="0"/>
          <w:sz w:val="22"/>
          <w:szCs w:val="22"/>
        </w:rPr>
      </w:pPr>
      <w:r w:rsidRPr="00F4752B">
        <w:rPr>
          <w:rFonts w:asciiTheme="minorHAnsi" w:hAnsiTheme="minorHAnsi" w:cstheme="minorHAnsi"/>
          <w:sz w:val="22"/>
          <w:szCs w:val="22"/>
        </w:rPr>
        <w:t xml:space="preserve">Table </w:t>
      </w:r>
      <w:r>
        <w:rPr>
          <w:rFonts w:asciiTheme="minorHAnsi" w:hAnsiTheme="minorHAnsi" w:cstheme="minorHAnsi"/>
          <w:sz w:val="22"/>
          <w:szCs w:val="22"/>
        </w:rPr>
        <w:t xml:space="preserve">14 </w:t>
      </w:r>
      <w:r w:rsidR="00715284">
        <w:rPr>
          <w:rFonts w:asciiTheme="minorHAnsi" w:hAnsiTheme="minorHAnsi" w:cstheme="minorHAnsi"/>
          <w:sz w:val="22"/>
          <w:szCs w:val="22"/>
        </w:rPr>
        <w:t>1st</w:t>
      </w:r>
      <w:r>
        <w:rPr>
          <w:rFonts w:asciiTheme="minorHAnsi" w:hAnsiTheme="minorHAnsi" w:cstheme="minorHAnsi"/>
          <w:sz w:val="22"/>
          <w:szCs w:val="22"/>
        </w:rPr>
        <w:t xml:space="preserve"> Baseline Period Gross Measure Cost</w:t>
      </w:r>
      <w:r w:rsidRPr="00F4752B">
        <w:rPr>
          <w:rFonts w:asciiTheme="minorHAnsi" w:hAnsiTheme="minorHAnsi" w:cstheme="minorHAnsi"/>
          <w:sz w:val="22"/>
          <w:szCs w:val="22"/>
        </w:rPr>
        <w:t>s</w:t>
      </w:r>
    </w:p>
    <w:tbl>
      <w:tblPr>
        <w:tblW w:w="6195" w:type="dxa"/>
        <w:jc w:val="center"/>
        <w:tblBorders>
          <w:insideH w:val="single" w:sz="18" w:space="0" w:color="FFFFFF"/>
          <w:insideV w:val="single" w:sz="18" w:space="0" w:color="FFFFFF"/>
        </w:tblBorders>
        <w:tblLook w:val="01E0" w:firstRow="1" w:lastRow="1" w:firstColumn="1" w:lastColumn="1" w:noHBand="0" w:noVBand="0"/>
      </w:tblPr>
      <w:tblGrid>
        <w:gridCol w:w="4178"/>
        <w:gridCol w:w="2017"/>
      </w:tblGrid>
      <w:tr w:rsidR="003933B8" w:rsidRPr="00927B44" w:rsidTr="00D82C12">
        <w:trPr>
          <w:trHeight w:val="255"/>
          <w:jc w:val="center"/>
        </w:trPr>
        <w:tc>
          <w:tcPr>
            <w:tcW w:w="4178" w:type="dxa"/>
            <w:shd w:val="pct20" w:color="000000" w:fill="FFFFFF"/>
          </w:tcPr>
          <w:p w:rsidR="003933B8" w:rsidRPr="00927B44" w:rsidRDefault="00D728D9" w:rsidP="00D82C12">
            <w:pPr>
              <w:jc w:val="center"/>
              <w:rPr>
                <w:rFonts w:asciiTheme="minorHAnsi" w:hAnsi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bCs/>
                <w:sz w:val="20"/>
                <w:szCs w:val="20"/>
              </w:rPr>
              <w:t>Measure N</w:t>
            </w:r>
            <w:r w:rsidR="003933B8">
              <w:rPr>
                <w:rFonts w:asciiTheme="minorHAnsi" w:hAnsiTheme="minorHAnsi"/>
                <w:b/>
                <w:bCs/>
                <w:sz w:val="20"/>
                <w:szCs w:val="20"/>
              </w:rPr>
              <w:t>ame</w:t>
            </w:r>
          </w:p>
        </w:tc>
        <w:tc>
          <w:tcPr>
            <w:tcW w:w="2017" w:type="dxa"/>
            <w:shd w:val="pct20" w:color="000000" w:fill="FFFFFF"/>
            <w:noWrap/>
          </w:tcPr>
          <w:p w:rsidR="003933B8" w:rsidRPr="00927B44" w:rsidRDefault="00D728D9" w:rsidP="00D82C12">
            <w:pPr>
              <w:jc w:val="center"/>
              <w:rPr>
                <w:rFonts w:asciiTheme="minorHAnsi" w:hAnsi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bCs/>
                <w:sz w:val="20"/>
                <w:szCs w:val="20"/>
              </w:rPr>
              <w:t>Gross Measure</w:t>
            </w:r>
            <w:r w:rsidR="003933B8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 </w:t>
            </w:r>
            <w:r w:rsidR="003933B8" w:rsidRPr="00927B44">
              <w:rPr>
                <w:rFonts w:asciiTheme="minorHAnsi" w:hAnsiTheme="minorHAnsi"/>
                <w:b/>
                <w:bCs/>
                <w:sz w:val="20"/>
                <w:szCs w:val="20"/>
              </w:rPr>
              <w:t>Cost</w:t>
            </w:r>
          </w:p>
        </w:tc>
      </w:tr>
      <w:tr w:rsidR="003933B8" w:rsidRPr="00927B44" w:rsidTr="00D82C12">
        <w:trPr>
          <w:trHeight w:val="255"/>
          <w:jc w:val="center"/>
        </w:trPr>
        <w:tc>
          <w:tcPr>
            <w:tcW w:w="4178" w:type="dxa"/>
            <w:shd w:val="pct5" w:color="000000" w:fill="FFFFFF"/>
          </w:tcPr>
          <w:p w:rsidR="003933B8" w:rsidRPr="005B28C1" w:rsidRDefault="003933B8" w:rsidP="00D82C1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Dimming Ballasts – 20% Tuning</w:t>
            </w:r>
          </w:p>
        </w:tc>
        <w:tc>
          <w:tcPr>
            <w:tcW w:w="2017" w:type="dxa"/>
            <w:shd w:val="pct5" w:color="000000" w:fill="FFFFFF"/>
            <w:noWrap/>
            <w:vAlign w:val="center"/>
          </w:tcPr>
          <w:p w:rsidR="003933B8" w:rsidRPr="00927B44" w:rsidRDefault="003933B8" w:rsidP="00D82C12">
            <w:pPr>
              <w:jc w:val="center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$70.14</w:t>
            </w:r>
          </w:p>
        </w:tc>
      </w:tr>
      <w:tr w:rsidR="003933B8" w:rsidRPr="00927B44" w:rsidTr="00D82C12">
        <w:trPr>
          <w:trHeight w:val="255"/>
          <w:jc w:val="center"/>
        </w:trPr>
        <w:tc>
          <w:tcPr>
            <w:tcW w:w="4178" w:type="dxa"/>
            <w:shd w:val="pct5" w:color="000000" w:fill="FFFFFF"/>
          </w:tcPr>
          <w:p w:rsidR="003933B8" w:rsidRDefault="003933B8" w:rsidP="00D82C1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D3DB9">
              <w:rPr>
                <w:rFonts w:asciiTheme="minorHAnsi" w:hAnsiTheme="minorHAnsi" w:cstheme="minorHAnsi"/>
                <w:sz w:val="20"/>
                <w:szCs w:val="20"/>
              </w:rPr>
              <w:t>Dimming Ballasts - 20% Tuning + Daylight Harvesting</w:t>
            </w:r>
          </w:p>
        </w:tc>
        <w:tc>
          <w:tcPr>
            <w:tcW w:w="2017" w:type="dxa"/>
            <w:shd w:val="pct5" w:color="000000" w:fill="FFFFFF"/>
            <w:noWrap/>
            <w:vAlign w:val="center"/>
          </w:tcPr>
          <w:p w:rsidR="003933B8" w:rsidRPr="00927B44" w:rsidRDefault="003933B8" w:rsidP="00715284">
            <w:pPr>
              <w:jc w:val="center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$</w:t>
            </w:r>
            <w:r w:rsidR="00715284">
              <w:rPr>
                <w:rFonts w:asciiTheme="minorHAnsi" w:hAnsiTheme="minorHAnsi"/>
                <w:sz w:val="20"/>
                <w:szCs w:val="20"/>
              </w:rPr>
              <w:t>96.39</w:t>
            </w:r>
          </w:p>
        </w:tc>
      </w:tr>
      <w:tr w:rsidR="003933B8" w:rsidRPr="00927B44" w:rsidTr="00D82C12">
        <w:trPr>
          <w:trHeight w:val="255"/>
          <w:jc w:val="center"/>
        </w:trPr>
        <w:tc>
          <w:tcPr>
            <w:tcW w:w="4178" w:type="dxa"/>
            <w:shd w:val="pct5" w:color="000000" w:fill="FFFFFF"/>
          </w:tcPr>
          <w:p w:rsidR="003933B8" w:rsidRDefault="003933B8" w:rsidP="00D82C1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D3DB9">
              <w:rPr>
                <w:rFonts w:asciiTheme="minorHAnsi" w:hAnsiTheme="minorHAnsi" w:cstheme="minorHAnsi"/>
                <w:sz w:val="20"/>
                <w:szCs w:val="20"/>
              </w:rPr>
              <w:t>Dimming Ballasts - 20% Tuning + Occupancy Sensor</w:t>
            </w:r>
          </w:p>
        </w:tc>
        <w:tc>
          <w:tcPr>
            <w:tcW w:w="2017" w:type="dxa"/>
            <w:shd w:val="pct5" w:color="000000" w:fill="FFFFFF"/>
            <w:noWrap/>
            <w:vAlign w:val="center"/>
          </w:tcPr>
          <w:p w:rsidR="003933B8" w:rsidRPr="00927B44" w:rsidRDefault="003933B8" w:rsidP="00D82C12">
            <w:pPr>
              <w:jc w:val="center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$100.56</w:t>
            </w:r>
          </w:p>
        </w:tc>
      </w:tr>
      <w:tr w:rsidR="003933B8" w:rsidRPr="00927B44" w:rsidTr="00D82C12">
        <w:trPr>
          <w:trHeight w:val="255"/>
          <w:jc w:val="center"/>
        </w:trPr>
        <w:tc>
          <w:tcPr>
            <w:tcW w:w="4178" w:type="dxa"/>
            <w:shd w:val="pct5" w:color="000000" w:fill="FFFFFF"/>
          </w:tcPr>
          <w:p w:rsidR="003933B8" w:rsidRDefault="003933B8" w:rsidP="00D82C1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D3DB9">
              <w:rPr>
                <w:rFonts w:asciiTheme="minorHAnsi" w:hAnsiTheme="minorHAnsi" w:cstheme="minorHAnsi"/>
                <w:sz w:val="20"/>
                <w:szCs w:val="20"/>
              </w:rPr>
              <w:t>Dimming Ballasts - 20% Tuning + Occupancy Sensor + Daylight Harvesting with Side Lighting Photo Controls</w:t>
            </w:r>
          </w:p>
        </w:tc>
        <w:tc>
          <w:tcPr>
            <w:tcW w:w="2017" w:type="dxa"/>
            <w:shd w:val="pct5" w:color="000000" w:fill="FFFFFF"/>
            <w:noWrap/>
            <w:vAlign w:val="center"/>
          </w:tcPr>
          <w:p w:rsidR="003933B8" w:rsidRPr="00927B44" w:rsidRDefault="003933B8" w:rsidP="00250AAF">
            <w:pPr>
              <w:jc w:val="center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$</w:t>
            </w:r>
            <w:r w:rsidR="00715284">
              <w:rPr>
                <w:rFonts w:asciiTheme="minorHAnsi" w:hAnsiTheme="minorHAnsi"/>
                <w:sz w:val="20"/>
                <w:szCs w:val="20"/>
              </w:rPr>
              <w:t>126.81</w:t>
            </w:r>
          </w:p>
        </w:tc>
      </w:tr>
    </w:tbl>
    <w:p w:rsidR="003933B8" w:rsidRDefault="003933B8" w:rsidP="00494BB1">
      <w:pPr>
        <w:pStyle w:val="Reminders"/>
        <w:rPr>
          <w:rFonts w:asciiTheme="minorHAnsi" w:hAnsiTheme="minorHAnsi" w:cstheme="minorHAnsi"/>
          <w:i w:val="0"/>
          <w:color w:val="auto"/>
          <w:sz w:val="22"/>
          <w:szCs w:val="22"/>
        </w:rPr>
      </w:pPr>
    </w:p>
    <w:p w:rsidR="003933B8" w:rsidRDefault="003933B8" w:rsidP="00494BB1">
      <w:pPr>
        <w:pStyle w:val="Reminders"/>
        <w:rPr>
          <w:rFonts w:asciiTheme="minorHAnsi" w:hAnsiTheme="minorHAnsi" w:cstheme="minorHAnsi"/>
          <w:i w:val="0"/>
          <w:color w:val="auto"/>
          <w:sz w:val="22"/>
          <w:szCs w:val="22"/>
        </w:rPr>
      </w:pPr>
    </w:p>
    <w:p w:rsidR="003933B8" w:rsidRDefault="003933B8" w:rsidP="00494BB1">
      <w:pPr>
        <w:pStyle w:val="Reminders"/>
        <w:rPr>
          <w:rFonts w:asciiTheme="minorHAnsi" w:hAnsiTheme="minorHAnsi" w:cstheme="minorHAnsi"/>
          <w:i w:val="0"/>
          <w:color w:val="auto"/>
          <w:sz w:val="22"/>
          <w:szCs w:val="22"/>
        </w:rPr>
      </w:pPr>
    </w:p>
    <w:p w:rsidR="00494BB1" w:rsidRDefault="003933B8" w:rsidP="00494BB1">
      <w:pPr>
        <w:pStyle w:val="Reminders"/>
        <w:rPr>
          <w:rFonts w:asciiTheme="minorHAnsi" w:hAnsiTheme="minorHAnsi" w:cstheme="minorHAnsi"/>
          <w:i w:val="0"/>
          <w:color w:val="auto"/>
          <w:sz w:val="22"/>
          <w:szCs w:val="22"/>
        </w:rPr>
      </w:pPr>
      <w:r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The gross measure cost for </w:t>
      </w:r>
      <w:r w:rsidR="00203DDB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ROB and </w:t>
      </w:r>
      <w:r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the </w:t>
      </w:r>
      <w:r w:rsidR="00203DDB">
        <w:rPr>
          <w:rFonts w:asciiTheme="minorHAnsi" w:hAnsiTheme="minorHAnsi" w:cstheme="minorHAnsi"/>
          <w:i w:val="0"/>
          <w:color w:val="auto"/>
          <w:sz w:val="22"/>
          <w:szCs w:val="22"/>
        </w:rPr>
        <w:t>RET Second B</w:t>
      </w:r>
      <w:r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aseline period is the difference between the measure cost and base case cost. </w:t>
      </w:r>
      <w:r w:rsidR="00433C06">
        <w:rPr>
          <w:rFonts w:asciiTheme="minorHAnsi" w:hAnsiTheme="minorHAnsi" w:cstheme="minorHAnsi"/>
          <w:i w:val="0"/>
          <w:color w:val="auto"/>
          <w:sz w:val="22"/>
          <w:szCs w:val="22"/>
        </w:rPr>
        <w:t>Table 15 list</w:t>
      </w:r>
      <w:r w:rsidR="00D728D9">
        <w:rPr>
          <w:rFonts w:asciiTheme="minorHAnsi" w:hAnsiTheme="minorHAnsi" w:cstheme="minorHAnsi"/>
          <w:i w:val="0"/>
          <w:color w:val="auto"/>
          <w:sz w:val="22"/>
          <w:szCs w:val="22"/>
        </w:rPr>
        <w:t>s</w:t>
      </w:r>
      <w:r w:rsidR="00433C06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the </w:t>
      </w:r>
      <w:r w:rsidR="00203DDB">
        <w:rPr>
          <w:rFonts w:asciiTheme="minorHAnsi" w:hAnsiTheme="minorHAnsi" w:cstheme="minorHAnsi"/>
          <w:i w:val="0"/>
          <w:color w:val="auto"/>
          <w:sz w:val="22"/>
          <w:szCs w:val="22"/>
        </w:rPr>
        <w:t>ROB and RET Second B</w:t>
      </w:r>
      <w:r w:rsidR="00433C06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aseline period gross measure costs for each measure. </w:t>
      </w:r>
    </w:p>
    <w:p w:rsidR="00494BB1" w:rsidRDefault="00494BB1" w:rsidP="00494BB1">
      <w:pPr>
        <w:pStyle w:val="Caption"/>
        <w:jc w:val="center"/>
        <w:rPr>
          <w:rFonts w:asciiTheme="minorHAnsi" w:hAnsiTheme="minorHAnsi" w:cstheme="minorHAnsi"/>
          <w:sz w:val="22"/>
          <w:szCs w:val="22"/>
        </w:rPr>
      </w:pPr>
    </w:p>
    <w:p w:rsidR="00494BB1" w:rsidRPr="00EC5A7E" w:rsidRDefault="00494BB1" w:rsidP="00494BB1">
      <w:pPr>
        <w:pStyle w:val="Caption"/>
        <w:jc w:val="center"/>
        <w:rPr>
          <w:rFonts w:asciiTheme="minorHAnsi" w:hAnsiTheme="minorHAnsi" w:cstheme="minorHAnsi"/>
          <w:b w:val="0"/>
          <w:sz w:val="22"/>
          <w:szCs w:val="22"/>
        </w:rPr>
      </w:pPr>
      <w:r w:rsidRPr="00F4752B">
        <w:rPr>
          <w:rFonts w:asciiTheme="minorHAnsi" w:hAnsiTheme="minorHAnsi" w:cstheme="minorHAnsi"/>
          <w:sz w:val="22"/>
          <w:szCs w:val="22"/>
        </w:rPr>
        <w:t xml:space="preserve">Table </w:t>
      </w:r>
      <w:r>
        <w:rPr>
          <w:rFonts w:asciiTheme="minorHAnsi" w:hAnsiTheme="minorHAnsi" w:cstheme="minorHAnsi"/>
          <w:sz w:val="22"/>
          <w:szCs w:val="22"/>
        </w:rPr>
        <w:t>1</w:t>
      </w:r>
      <w:r w:rsidR="003933B8">
        <w:rPr>
          <w:rFonts w:asciiTheme="minorHAnsi" w:hAnsiTheme="minorHAnsi" w:cstheme="minorHAnsi"/>
          <w:sz w:val="22"/>
          <w:szCs w:val="22"/>
        </w:rPr>
        <w:t>5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="00715284">
        <w:rPr>
          <w:rFonts w:asciiTheme="minorHAnsi" w:hAnsiTheme="minorHAnsi" w:cstheme="minorHAnsi"/>
          <w:sz w:val="22"/>
          <w:szCs w:val="22"/>
        </w:rPr>
        <w:t>2nd</w:t>
      </w:r>
      <w:r w:rsidR="003933B8">
        <w:rPr>
          <w:rFonts w:asciiTheme="minorHAnsi" w:hAnsiTheme="minorHAnsi" w:cstheme="minorHAnsi"/>
          <w:sz w:val="22"/>
          <w:szCs w:val="22"/>
        </w:rPr>
        <w:t xml:space="preserve"> Baseline Period </w:t>
      </w:r>
      <w:r>
        <w:rPr>
          <w:rFonts w:asciiTheme="minorHAnsi" w:hAnsiTheme="minorHAnsi" w:cstheme="minorHAnsi"/>
          <w:sz w:val="22"/>
          <w:szCs w:val="22"/>
        </w:rPr>
        <w:t>Gross Measure Cost</w:t>
      </w:r>
      <w:r w:rsidRPr="00F4752B">
        <w:rPr>
          <w:rFonts w:asciiTheme="minorHAnsi" w:hAnsiTheme="minorHAnsi" w:cstheme="minorHAnsi"/>
          <w:sz w:val="22"/>
          <w:szCs w:val="22"/>
        </w:rPr>
        <w:t>s</w:t>
      </w:r>
    </w:p>
    <w:tbl>
      <w:tblPr>
        <w:tblW w:w="6195" w:type="dxa"/>
        <w:jc w:val="center"/>
        <w:tblBorders>
          <w:insideH w:val="single" w:sz="18" w:space="0" w:color="FFFFFF"/>
          <w:insideV w:val="single" w:sz="18" w:space="0" w:color="FFFFFF"/>
        </w:tblBorders>
        <w:tblLook w:val="01E0" w:firstRow="1" w:lastRow="1" w:firstColumn="1" w:lastColumn="1" w:noHBand="0" w:noVBand="0"/>
      </w:tblPr>
      <w:tblGrid>
        <w:gridCol w:w="4178"/>
        <w:gridCol w:w="2017"/>
      </w:tblGrid>
      <w:tr w:rsidR="00494BB1" w:rsidRPr="00927B44" w:rsidTr="00561E12">
        <w:trPr>
          <w:trHeight w:val="255"/>
          <w:jc w:val="center"/>
        </w:trPr>
        <w:tc>
          <w:tcPr>
            <w:tcW w:w="4178" w:type="dxa"/>
            <w:shd w:val="pct20" w:color="000000" w:fill="FFFFFF"/>
          </w:tcPr>
          <w:p w:rsidR="00494BB1" w:rsidRPr="00927B44" w:rsidRDefault="00D728D9" w:rsidP="00561E12">
            <w:pPr>
              <w:jc w:val="center"/>
              <w:rPr>
                <w:rFonts w:asciiTheme="minorHAnsi" w:hAnsi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bCs/>
                <w:sz w:val="20"/>
                <w:szCs w:val="20"/>
              </w:rPr>
              <w:t>Measure N</w:t>
            </w:r>
            <w:r w:rsidR="00494BB1">
              <w:rPr>
                <w:rFonts w:asciiTheme="minorHAnsi" w:hAnsiTheme="minorHAnsi"/>
                <w:b/>
                <w:bCs/>
                <w:sz w:val="20"/>
                <w:szCs w:val="20"/>
              </w:rPr>
              <w:t>ame</w:t>
            </w:r>
          </w:p>
        </w:tc>
        <w:tc>
          <w:tcPr>
            <w:tcW w:w="2017" w:type="dxa"/>
            <w:shd w:val="pct20" w:color="000000" w:fill="FFFFFF"/>
            <w:noWrap/>
          </w:tcPr>
          <w:p w:rsidR="00494BB1" w:rsidRPr="00927B44" w:rsidRDefault="00D728D9" w:rsidP="00561E12">
            <w:pPr>
              <w:jc w:val="center"/>
              <w:rPr>
                <w:rFonts w:asciiTheme="minorHAnsi" w:hAnsi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bCs/>
                <w:sz w:val="20"/>
                <w:szCs w:val="20"/>
              </w:rPr>
              <w:t>Gross Measure</w:t>
            </w:r>
            <w:r w:rsidR="00494BB1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 </w:t>
            </w:r>
            <w:r w:rsidR="00494BB1" w:rsidRPr="00927B44">
              <w:rPr>
                <w:rFonts w:asciiTheme="minorHAnsi" w:hAnsiTheme="minorHAnsi"/>
                <w:b/>
                <w:bCs/>
                <w:sz w:val="20"/>
                <w:szCs w:val="20"/>
              </w:rPr>
              <w:t>Cost</w:t>
            </w:r>
          </w:p>
        </w:tc>
      </w:tr>
      <w:tr w:rsidR="00715284" w:rsidRPr="00927B44" w:rsidTr="00561E12">
        <w:trPr>
          <w:trHeight w:val="255"/>
          <w:jc w:val="center"/>
        </w:trPr>
        <w:tc>
          <w:tcPr>
            <w:tcW w:w="4178" w:type="dxa"/>
            <w:shd w:val="pct5" w:color="000000" w:fill="FFFFFF"/>
          </w:tcPr>
          <w:p w:rsidR="00715284" w:rsidRPr="005B28C1" w:rsidRDefault="00715284" w:rsidP="00561E1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Dimming Ballasts – 20% Tuning</w:t>
            </w:r>
          </w:p>
        </w:tc>
        <w:tc>
          <w:tcPr>
            <w:tcW w:w="2017" w:type="dxa"/>
            <w:shd w:val="pct5" w:color="000000" w:fill="FFFFFF"/>
            <w:noWrap/>
            <w:vAlign w:val="center"/>
          </w:tcPr>
          <w:p w:rsidR="00715284" w:rsidRDefault="0071528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$48.01 </w:t>
            </w:r>
          </w:p>
        </w:tc>
      </w:tr>
      <w:tr w:rsidR="00715284" w:rsidRPr="00927B44" w:rsidTr="00561E12">
        <w:trPr>
          <w:trHeight w:val="255"/>
          <w:jc w:val="center"/>
        </w:trPr>
        <w:tc>
          <w:tcPr>
            <w:tcW w:w="4178" w:type="dxa"/>
            <w:shd w:val="pct5" w:color="000000" w:fill="FFFFFF"/>
          </w:tcPr>
          <w:p w:rsidR="00715284" w:rsidRDefault="00715284" w:rsidP="00561E1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D3DB9">
              <w:rPr>
                <w:rFonts w:asciiTheme="minorHAnsi" w:hAnsiTheme="minorHAnsi" w:cstheme="minorHAnsi"/>
                <w:sz w:val="20"/>
                <w:szCs w:val="20"/>
              </w:rPr>
              <w:t>Dimming Ballasts - 20% Tuning + Daylight Harvesting</w:t>
            </w:r>
          </w:p>
        </w:tc>
        <w:tc>
          <w:tcPr>
            <w:tcW w:w="2017" w:type="dxa"/>
            <w:shd w:val="pct5" w:color="000000" w:fill="FFFFFF"/>
            <w:noWrap/>
            <w:vAlign w:val="center"/>
          </w:tcPr>
          <w:p w:rsidR="00715284" w:rsidRDefault="0071528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$74.26 </w:t>
            </w:r>
          </w:p>
        </w:tc>
      </w:tr>
      <w:tr w:rsidR="00715284" w:rsidRPr="00927B44" w:rsidTr="00561E12">
        <w:trPr>
          <w:trHeight w:val="255"/>
          <w:jc w:val="center"/>
        </w:trPr>
        <w:tc>
          <w:tcPr>
            <w:tcW w:w="4178" w:type="dxa"/>
            <w:shd w:val="pct5" w:color="000000" w:fill="FFFFFF"/>
          </w:tcPr>
          <w:p w:rsidR="00715284" w:rsidRDefault="00715284" w:rsidP="00561E1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D3DB9">
              <w:rPr>
                <w:rFonts w:asciiTheme="minorHAnsi" w:hAnsiTheme="minorHAnsi" w:cstheme="minorHAnsi"/>
                <w:sz w:val="20"/>
                <w:szCs w:val="20"/>
              </w:rPr>
              <w:t>Dimming Ballasts - 20% Tuning + Occupancy Sensor</w:t>
            </w:r>
          </w:p>
        </w:tc>
        <w:tc>
          <w:tcPr>
            <w:tcW w:w="2017" w:type="dxa"/>
            <w:shd w:val="pct5" w:color="000000" w:fill="FFFFFF"/>
            <w:noWrap/>
            <w:vAlign w:val="center"/>
          </w:tcPr>
          <w:p w:rsidR="00715284" w:rsidRDefault="0071528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$78.43 </w:t>
            </w:r>
          </w:p>
        </w:tc>
      </w:tr>
      <w:tr w:rsidR="00715284" w:rsidRPr="00927B44" w:rsidTr="00561E12">
        <w:trPr>
          <w:trHeight w:val="255"/>
          <w:jc w:val="center"/>
        </w:trPr>
        <w:tc>
          <w:tcPr>
            <w:tcW w:w="4178" w:type="dxa"/>
            <w:shd w:val="pct5" w:color="000000" w:fill="FFFFFF"/>
          </w:tcPr>
          <w:p w:rsidR="00715284" w:rsidRDefault="00715284" w:rsidP="00561E12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D3DB9">
              <w:rPr>
                <w:rFonts w:asciiTheme="minorHAnsi" w:hAnsiTheme="minorHAnsi" w:cstheme="minorHAnsi"/>
                <w:sz w:val="20"/>
                <w:szCs w:val="20"/>
              </w:rPr>
              <w:t>Dimming Ballasts - 20% Tuning + Occupancy Sensor + Daylight Harvesting with Side Lighting Photo Controls</w:t>
            </w:r>
          </w:p>
        </w:tc>
        <w:tc>
          <w:tcPr>
            <w:tcW w:w="2017" w:type="dxa"/>
            <w:shd w:val="pct5" w:color="000000" w:fill="FFFFFF"/>
            <w:noWrap/>
            <w:vAlign w:val="center"/>
          </w:tcPr>
          <w:p w:rsidR="00715284" w:rsidRDefault="00715284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$104.68 </w:t>
            </w:r>
          </w:p>
        </w:tc>
      </w:tr>
    </w:tbl>
    <w:p w:rsidR="00EC5A7E" w:rsidRPr="00BA6557" w:rsidRDefault="00EC5A7E" w:rsidP="00E16609">
      <w:pPr>
        <w:pStyle w:val="Reminders"/>
        <w:rPr>
          <w:rFonts w:asciiTheme="minorHAnsi" w:hAnsiTheme="minorHAnsi" w:cstheme="minorHAnsi"/>
          <w:i w:val="0"/>
          <w:color w:val="auto"/>
          <w:sz w:val="22"/>
          <w:szCs w:val="22"/>
        </w:rPr>
      </w:pPr>
    </w:p>
    <w:p w:rsidR="00E16609" w:rsidRPr="000F130A" w:rsidRDefault="00E16609" w:rsidP="00E16609">
      <w:pPr>
        <w:pStyle w:val="Heading2"/>
        <w:keepNext w:val="0"/>
        <w:rPr>
          <w:rFonts w:asciiTheme="minorHAnsi" w:hAnsiTheme="minorHAnsi" w:cstheme="minorHAnsi"/>
        </w:rPr>
      </w:pPr>
      <w:bookmarkStart w:id="22" w:name="_Toc214003099"/>
      <w:r w:rsidRPr="000F130A">
        <w:rPr>
          <w:rFonts w:asciiTheme="minorHAnsi" w:hAnsiTheme="minorHAnsi" w:cstheme="minorHAnsi"/>
        </w:rPr>
        <w:t>4.3 Incremental Measure Cost</w:t>
      </w:r>
    </w:p>
    <w:p w:rsidR="00434F73" w:rsidRDefault="00494BB1" w:rsidP="00434F73">
      <w:pPr>
        <w:pStyle w:val="Reminders"/>
        <w:rPr>
          <w:rFonts w:asciiTheme="minorHAnsi" w:hAnsiTheme="minorHAnsi" w:cstheme="minorHAnsi"/>
          <w:i w:val="0"/>
          <w:color w:val="auto"/>
          <w:sz w:val="22"/>
          <w:szCs w:val="22"/>
        </w:rPr>
      </w:pPr>
      <w:r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For </w:t>
      </w:r>
      <w:r w:rsidR="00203DDB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ROB and </w:t>
      </w:r>
      <w:r w:rsidR="00433C06">
        <w:rPr>
          <w:rFonts w:asciiTheme="minorHAnsi" w:hAnsiTheme="minorHAnsi" w:cstheme="minorHAnsi"/>
          <w:i w:val="0"/>
          <w:color w:val="auto"/>
          <w:sz w:val="22"/>
          <w:szCs w:val="22"/>
        </w:rPr>
        <w:t>RET</w:t>
      </w:r>
      <w:r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measures</w:t>
      </w:r>
      <w:r w:rsidR="00203DDB">
        <w:rPr>
          <w:rFonts w:asciiTheme="minorHAnsi" w:hAnsiTheme="minorHAnsi" w:cstheme="minorHAnsi"/>
          <w:i w:val="0"/>
          <w:color w:val="auto"/>
          <w:sz w:val="22"/>
          <w:szCs w:val="22"/>
        </w:rPr>
        <w:t>,</w:t>
      </w:r>
      <w:r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the incremental measure cost is the same as the gross measure cost</w:t>
      </w:r>
      <w:r w:rsidR="00433C06"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from the </w:t>
      </w:r>
      <w:r w:rsidR="00203DDB">
        <w:rPr>
          <w:rFonts w:asciiTheme="minorHAnsi" w:hAnsiTheme="minorHAnsi" w:cstheme="minorHAnsi"/>
          <w:i w:val="0"/>
          <w:color w:val="auto"/>
          <w:sz w:val="22"/>
          <w:szCs w:val="22"/>
        </w:rPr>
        <w:t>RET Second B</w:t>
      </w:r>
      <w:r w:rsidR="00433C06">
        <w:rPr>
          <w:rFonts w:asciiTheme="minorHAnsi" w:hAnsiTheme="minorHAnsi" w:cstheme="minorHAnsi"/>
          <w:i w:val="0"/>
          <w:color w:val="auto"/>
          <w:sz w:val="22"/>
          <w:szCs w:val="22"/>
        </w:rPr>
        <w:t>aseline period</w:t>
      </w:r>
      <w:r>
        <w:rPr>
          <w:rFonts w:asciiTheme="minorHAnsi" w:hAnsiTheme="minorHAnsi" w:cstheme="minorHAnsi"/>
          <w:i w:val="0"/>
          <w:color w:val="auto"/>
          <w:sz w:val="22"/>
          <w:szCs w:val="22"/>
        </w:rPr>
        <w:t>. Table 1</w:t>
      </w:r>
      <w:r w:rsidR="003933B8">
        <w:rPr>
          <w:rFonts w:asciiTheme="minorHAnsi" w:hAnsiTheme="minorHAnsi" w:cstheme="minorHAnsi"/>
          <w:i w:val="0"/>
          <w:color w:val="auto"/>
          <w:sz w:val="22"/>
          <w:szCs w:val="22"/>
        </w:rPr>
        <w:t>6</w:t>
      </w:r>
      <w:r>
        <w:rPr>
          <w:rFonts w:asciiTheme="minorHAnsi" w:hAnsiTheme="minorHAnsi" w:cstheme="minorHAnsi"/>
          <w:i w:val="0"/>
          <w:color w:val="auto"/>
          <w:sz w:val="22"/>
          <w:szCs w:val="22"/>
        </w:rPr>
        <w:t xml:space="preserve"> lists the incremental measure cost</w:t>
      </w:r>
      <w:r w:rsidR="0078324E">
        <w:rPr>
          <w:rFonts w:asciiTheme="minorHAnsi" w:hAnsiTheme="minorHAnsi" w:cstheme="minorHAnsi"/>
          <w:i w:val="0"/>
          <w:color w:val="auto"/>
          <w:sz w:val="22"/>
          <w:szCs w:val="22"/>
        </w:rPr>
        <w:t>.</w:t>
      </w:r>
    </w:p>
    <w:p w:rsidR="00BA6557" w:rsidRDefault="00BA6557" w:rsidP="0078324E">
      <w:pPr>
        <w:pStyle w:val="Caption"/>
        <w:jc w:val="center"/>
        <w:rPr>
          <w:rFonts w:asciiTheme="minorHAnsi" w:hAnsiTheme="minorHAnsi" w:cstheme="minorHAnsi"/>
          <w:sz w:val="22"/>
          <w:szCs w:val="22"/>
        </w:rPr>
      </w:pPr>
    </w:p>
    <w:p w:rsidR="0078324E" w:rsidRPr="00EC5A7E" w:rsidRDefault="0078324E" w:rsidP="0078324E">
      <w:pPr>
        <w:pStyle w:val="Caption"/>
        <w:jc w:val="center"/>
        <w:rPr>
          <w:rFonts w:asciiTheme="minorHAnsi" w:hAnsiTheme="minorHAnsi" w:cstheme="minorHAnsi"/>
          <w:b w:val="0"/>
          <w:sz w:val="22"/>
          <w:szCs w:val="22"/>
        </w:rPr>
      </w:pPr>
      <w:r w:rsidRPr="00F4752B">
        <w:rPr>
          <w:rFonts w:asciiTheme="minorHAnsi" w:hAnsiTheme="minorHAnsi" w:cstheme="minorHAnsi"/>
          <w:sz w:val="22"/>
          <w:szCs w:val="22"/>
        </w:rPr>
        <w:t xml:space="preserve">Table </w:t>
      </w:r>
      <w:r>
        <w:rPr>
          <w:rFonts w:asciiTheme="minorHAnsi" w:hAnsiTheme="minorHAnsi" w:cstheme="minorHAnsi"/>
          <w:sz w:val="22"/>
          <w:szCs w:val="22"/>
        </w:rPr>
        <w:t>1</w:t>
      </w:r>
      <w:r w:rsidR="003933B8">
        <w:rPr>
          <w:rFonts w:asciiTheme="minorHAnsi" w:hAnsiTheme="minorHAnsi" w:cstheme="minorHAnsi"/>
          <w:sz w:val="22"/>
          <w:szCs w:val="22"/>
        </w:rPr>
        <w:t>6</w:t>
      </w:r>
      <w:r>
        <w:rPr>
          <w:rFonts w:asciiTheme="minorHAnsi" w:hAnsiTheme="minorHAnsi" w:cstheme="minorHAnsi"/>
          <w:sz w:val="22"/>
          <w:szCs w:val="22"/>
        </w:rPr>
        <w:t xml:space="preserve"> Incremental Measure Cost</w:t>
      </w:r>
      <w:r w:rsidRPr="00F4752B">
        <w:rPr>
          <w:rFonts w:asciiTheme="minorHAnsi" w:hAnsiTheme="minorHAnsi" w:cstheme="minorHAnsi"/>
          <w:sz w:val="22"/>
          <w:szCs w:val="22"/>
        </w:rPr>
        <w:t>s</w:t>
      </w:r>
    </w:p>
    <w:tbl>
      <w:tblPr>
        <w:tblW w:w="6195" w:type="dxa"/>
        <w:jc w:val="center"/>
        <w:tblBorders>
          <w:insideH w:val="single" w:sz="18" w:space="0" w:color="FFFFFF"/>
          <w:insideV w:val="single" w:sz="18" w:space="0" w:color="FFFFFF"/>
        </w:tblBorders>
        <w:tblLook w:val="01E0" w:firstRow="1" w:lastRow="1" w:firstColumn="1" w:lastColumn="1" w:noHBand="0" w:noVBand="0"/>
      </w:tblPr>
      <w:tblGrid>
        <w:gridCol w:w="4178"/>
        <w:gridCol w:w="2017"/>
      </w:tblGrid>
      <w:tr w:rsidR="0078324E" w:rsidRPr="00927B44" w:rsidTr="00032DCB">
        <w:trPr>
          <w:trHeight w:val="255"/>
          <w:jc w:val="center"/>
        </w:trPr>
        <w:tc>
          <w:tcPr>
            <w:tcW w:w="4178" w:type="dxa"/>
            <w:shd w:val="pct20" w:color="000000" w:fill="FFFFFF"/>
          </w:tcPr>
          <w:p w:rsidR="0078324E" w:rsidRPr="00927B44" w:rsidRDefault="00D728D9" w:rsidP="00032DCB">
            <w:pPr>
              <w:jc w:val="center"/>
              <w:rPr>
                <w:rFonts w:asciiTheme="minorHAnsi" w:hAnsi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bCs/>
                <w:sz w:val="20"/>
                <w:szCs w:val="20"/>
              </w:rPr>
              <w:t>Measure N</w:t>
            </w:r>
            <w:r w:rsidR="0078324E">
              <w:rPr>
                <w:rFonts w:asciiTheme="minorHAnsi" w:hAnsiTheme="minorHAnsi"/>
                <w:b/>
                <w:bCs/>
                <w:sz w:val="20"/>
                <w:szCs w:val="20"/>
              </w:rPr>
              <w:t>ame</w:t>
            </w:r>
          </w:p>
        </w:tc>
        <w:tc>
          <w:tcPr>
            <w:tcW w:w="2017" w:type="dxa"/>
            <w:shd w:val="pct20" w:color="000000" w:fill="FFFFFF"/>
            <w:noWrap/>
          </w:tcPr>
          <w:p w:rsidR="0078324E" w:rsidRPr="00927B44" w:rsidRDefault="0078324E" w:rsidP="00D728D9">
            <w:pPr>
              <w:jc w:val="center"/>
              <w:rPr>
                <w:rFonts w:asciiTheme="minorHAnsi" w:hAnsi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Incremental </w:t>
            </w:r>
            <w:r w:rsidRPr="00927B44">
              <w:rPr>
                <w:rFonts w:asciiTheme="minorHAnsi" w:hAnsiTheme="minorHAnsi"/>
                <w:b/>
                <w:bCs/>
                <w:sz w:val="20"/>
                <w:szCs w:val="20"/>
              </w:rPr>
              <w:t>Cost</w:t>
            </w:r>
          </w:p>
        </w:tc>
      </w:tr>
      <w:tr w:rsidR="00715284" w:rsidRPr="00927B44" w:rsidTr="00032DCB">
        <w:trPr>
          <w:trHeight w:val="255"/>
          <w:jc w:val="center"/>
        </w:trPr>
        <w:tc>
          <w:tcPr>
            <w:tcW w:w="4178" w:type="dxa"/>
            <w:shd w:val="pct5" w:color="000000" w:fill="FFFFFF"/>
          </w:tcPr>
          <w:p w:rsidR="00715284" w:rsidRPr="005B28C1" w:rsidRDefault="00715284" w:rsidP="00032DC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Dimming Ballasts – 20% Tuning</w:t>
            </w:r>
          </w:p>
        </w:tc>
        <w:tc>
          <w:tcPr>
            <w:tcW w:w="2017" w:type="dxa"/>
            <w:shd w:val="pct5" w:color="000000" w:fill="FFFFFF"/>
            <w:noWrap/>
            <w:vAlign w:val="center"/>
          </w:tcPr>
          <w:p w:rsidR="00715284" w:rsidRDefault="00715284" w:rsidP="00016FDA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$48.01 </w:t>
            </w:r>
          </w:p>
        </w:tc>
      </w:tr>
      <w:tr w:rsidR="00715284" w:rsidRPr="00927B44" w:rsidTr="00032DCB">
        <w:trPr>
          <w:trHeight w:val="255"/>
          <w:jc w:val="center"/>
        </w:trPr>
        <w:tc>
          <w:tcPr>
            <w:tcW w:w="4178" w:type="dxa"/>
            <w:shd w:val="pct5" w:color="000000" w:fill="FFFFFF"/>
          </w:tcPr>
          <w:p w:rsidR="00715284" w:rsidRDefault="00715284" w:rsidP="00032DC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D3DB9">
              <w:rPr>
                <w:rFonts w:asciiTheme="minorHAnsi" w:hAnsiTheme="minorHAnsi" w:cstheme="minorHAnsi"/>
                <w:sz w:val="20"/>
                <w:szCs w:val="20"/>
              </w:rPr>
              <w:t>Dimming Ballasts - 20% Tuning + Daylight Harvesting</w:t>
            </w:r>
          </w:p>
        </w:tc>
        <w:tc>
          <w:tcPr>
            <w:tcW w:w="2017" w:type="dxa"/>
            <w:shd w:val="pct5" w:color="000000" w:fill="FFFFFF"/>
            <w:noWrap/>
            <w:vAlign w:val="center"/>
          </w:tcPr>
          <w:p w:rsidR="00715284" w:rsidRDefault="00715284" w:rsidP="00016FDA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$74.26 </w:t>
            </w:r>
          </w:p>
        </w:tc>
      </w:tr>
      <w:tr w:rsidR="00715284" w:rsidRPr="00927B44" w:rsidTr="00032DCB">
        <w:trPr>
          <w:trHeight w:val="255"/>
          <w:jc w:val="center"/>
        </w:trPr>
        <w:tc>
          <w:tcPr>
            <w:tcW w:w="4178" w:type="dxa"/>
            <w:shd w:val="pct5" w:color="000000" w:fill="FFFFFF"/>
          </w:tcPr>
          <w:p w:rsidR="00715284" w:rsidRDefault="00715284" w:rsidP="00032DC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D3DB9">
              <w:rPr>
                <w:rFonts w:asciiTheme="minorHAnsi" w:hAnsiTheme="minorHAnsi" w:cstheme="minorHAnsi"/>
                <w:sz w:val="20"/>
                <w:szCs w:val="20"/>
              </w:rPr>
              <w:t>Dimming Ballasts - 20% Tuning + Occupancy Sensor</w:t>
            </w:r>
          </w:p>
        </w:tc>
        <w:tc>
          <w:tcPr>
            <w:tcW w:w="2017" w:type="dxa"/>
            <w:shd w:val="pct5" w:color="000000" w:fill="FFFFFF"/>
            <w:noWrap/>
            <w:vAlign w:val="center"/>
          </w:tcPr>
          <w:p w:rsidR="00715284" w:rsidRDefault="00715284" w:rsidP="00016FDA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t xml:space="preserve">$78.43 </w:t>
            </w:r>
          </w:p>
        </w:tc>
      </w:tr>
      <w:tr w:rsidR="00715284" w:rsidRPr="00927B44" w:rsidTr="00032DCB">
        <w:trPr>
          <w:trHeight w:val="255"/>
          <w:jc w:val="center"/>
        </w:trPr>
        <w:tc>
          <w:tcPr>
            <w:tcW w:w="4178" w:type="dxa"/>
            <w:shd w:val="pct5" w:color="000000" w:fill="FFFFFF"/>
          </w:tcPr>
          <w:p w:rsidR="00715284" w:rsidRDefault="00715284" w:rsidP="00032DCB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D3DB9">
              <w:rPr>
                <w:rFonts w:asciiTheme="minorHAnsi" w:hAnsiTheme="minorHAnsi" w:cstheme="minorHAnsi"/>
                <w:sz w:val="20"/>
                <w:szCs w:val="20"/>
              </w:rPr>
              <w:t xml:space="preserve">Dimming Ballasts - 20% Tuning + Occupancy Sensor + Daylight Harvesting with Side Lighting </w:t>
            </w:r>
            <w:r w:rsidRPr="00BD3DB9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Photo Controls</w:t>
            </w:r>
          </w:p>
        </w:tc>
        <w:tc>
          <w:tcPr>
            <w:tcW w:w="2017" w:type="dxa"/>
            <w:shd w:val="pct5" w:color="000000" w:fill="FFFFFF"/>
            <w:noWrap/>
            <w:vAlign w:val="center"/>
          </w:tcPr>
          <w:p w:rsidR="00715284" w:rsidRDefault="00715284" w:rsidP="00016FDA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  <w:sz w:val="20"/>
                <w:szCs w:val="20"/>
              </w:rPr>
              <w:lastRenderedPageBreak/>
              <w:t xml:space="preserve">$104.68 </w:t>
            </w:r>
          </w:p>
        </w:tc>
      </w:tr>
    </w:tbl>
    <w:p w:rsidR="0078324E" w:rsidRPr="000F130A" w:rsidRDefault="0078324E" w:rsidP="00E16609">
      <w:pPr>
        <w:rPr>
          <w:rFonts w:asciiTheme="minorHAnsi" w:hAnsiTheme="minorHAnsi" w:cstheme="minorHAnsi"/>
        </w:rPr>
      </w:pPr>
    </w:p>
    <w:bookmarkEnd w:id="22"/>
    <w:p w:rsidR="0078324E" w:rsidRDefault="0078324E">
      <w:pPr>
        <w:spacing w:after="200" w:line="276" w:lineRule="auto"/>
        <w:rPr>
          <w:rFonts w:asciiTheme="minorHAnsi" w:hAnsiTheme="minorHAnsi" w:cstheme="minorHAnsi"/>
          <w:b/>
          <w:bCs/>
          <w:smallCaps/>
          <w:kern w:val="32"/>
          <w:sz w:val="36"/>
          <w:szCs w:val="32"/>
        </w:rPr>
      </w:pPr>
      <w:r>
        <w:rPr>
          <w:rFonts w:asciiTheme="minorHAnsi" w:hAnsiTheme="minorHAnsi" w:cstheme="minorHAnsi"/>
        </w:rPr>
        <w:br w:type="page"/>
      </w:r>
    </w:p>
    <w:p w:rsidR="00E16609" w:rsidRPr="000F130A" w:rsidRDefault="00E16609" w:rsidP="00E16609">
      <w:pPr>
        <w:pStyle w:val="Heading1"/>
        <w:rPr>
          <w:rFonts w:asciiTheme="minorHAnsi" w:hAnsiTheme="minorHAnsi" w:cstheme="minorHAnsi"/>
        </w:rPr>
      </w:pPr>
      <w:r w:rsidRPr="000F130A">
        <w:rPr>
          <w:rFonts w:asciiTheme="minorHAnsi" w:hAnsiTheme="minorHAnsi" w:cstheme="minorHAnsi"/>
        </w:rPr>
        <w:lastRenderedPageBreak/>
        <w:t>Attachments</w:t>
      </w:r>
    </w:p>
    <w:p w:rsidR="00A500D6" w:rsidRDefault="00A500D6" w:rsidP="00E16609">
      <w:pPr>
        <w:rPr>
          <w:rFonts w:asciiTheme="minorHAnsi" w:hAnsiTheme="minorHAnsi" w:cstheme="minorHAnsi"/>
          <w:sz w:val="22"/>
          <w:szCs w:val="22"/>
        </w:rPr>
      </w:pPr>
    </w:p>
    <w:p w:rsidR="00C45687" w:rsidRPr="0078324E" w:rsidRDefault="00C45687" w:rsidP="00E16609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1.</w:t>
      </w:r>
    </w:p>
    <w:bookmarkStart w:id="23" w:name="_MON_1400301753"/>
    <w:bookmarkStart w:id="24" w:name="_MON_1396873096"/>
    <w:bookmarkStart w:id="25" w:name="_MON_1400410319"/>
    <w:bookmarkStart w:id="26" w:name="_MON_1399810075"/>
    <w:bookmarkStart w:id="27" w:name="_MON_1400075287"/>
    <w:bookmarkStart w:id="28" w:name="_MON_1396855506"/>
    <w:bookmarkStart w:id="29" w:name="_MON_1399868445"/>
    <w:bookmarkStart w:id="30" w:name="_MON_1400251201"/>
    <w:bookmarkEnd w:id="23"/>
    <w:bookmarkEnd w:id="24"/>
    <w:bookmarkEnd w:id="25"/>
    <w:bookmarkEnd w:id="26"/>
    <w:bookmarkEnd w:id="27"/>
    <w:bookmarkEnd w:id="28"/>
    <w:bookmarkEnd w:id="29"/>
    <w:bookmarkEnd w:id="30"/>
    <w:bookmarkStart w:id="31" w:name="_MON_1399370535"/>
    <w:bookmarkEnd w:id="31"/>
    <w:p w:rsidR="00C45687" w:rsidRDefault="00B4157D" w:rsidP="00E16609">
      <w:pPr>
        <w:rPr>
          <w:rFonts w:asciiTheme="minorHAnsi" w:hAnsiTheme="minorHAnsi" w:cstheme="minorHAnsi"/>
        </w:rPr>
      </w:pPr>
      <w:r w:rsidRPr="00303F9D">
        <w:rPr>
          <w:rFonts w:asciiTheme="minorHAnsi" w:hAnsiTheme="minorHAnsi" w:cstheme="minorHAnsi"/>
        </w:rPr>
        <w:object w:dxaOrig="1484" w:dyaOrig="9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4.25pt;height:48.75pt" o:ole="">
            <v:imagedata r:id="rId13" o:title=""/>
          </v:shape>
          <o:OLEObject Type="Embed" ProgID="Excel.SheetMacroEnabled.12" ShapeID="_x0000_i1025" DrawAspect="Icon" ObjectID="_1413700807" r:id="rId14"/>
        </w:object>
      </w:r>
    </w:p>
    <w:p w:rsidR="00C45687" w:rsidRDefault="00C45687" w:rsidP="00E16609">
      <w:pPr>
        <w:rPr>
          <w:rFonts w:asciiTheme="minorHAnsi" w:hAnsiTheme="minorHAnsi" w:cstheme="minorHAnsi"/>
        </w:rPr>
      </w:pPr>
    </w:p>
    <w:p w:rsidR="00C45687" w:rsidRDefault="00C45687" w:rsidP="00E16609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2.</w:t>
      </w:r>
    </w:p>
    <w:p w:rsidR="00C45687" w:rsidRDefault="00032DCB" w:rsidP="00E16609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 </w:t>
      </w:r>
      <w:bookmarkStart w:id="32" w:name="_MON_1400250520"/>
      <w:bookmarkStart w:id="33" w:name="_MON_1400251854"/>
      <w:bookmarkStart w:id="34" w:name="_MON_1399868806"/>
      <w:bookmarkStart w:id="35" w:name="_MON_1396866656"/>
      <w:bookmarkEnd w:id="32"/>
      <w:bookmarkEnd w:id="33"/>
      <w:bookmarkEnd w:id="34"/>
      <w:bookmarkEnd w:id="35"/>
      <w:bookmarkStart w:id="36" w:name="_MON_1396865816"/>
      <w:bookmarkEnd w:id="36"/>
      <w:r w:rsidR="004133CB" w:rsidRPr="006F70BE">
        <w:rPr>
          <w:rFonts w:asciiTheme="minorHAnsi" w:hAnsiTheme="minorHAnsi" w:cstheme="minorHAnsi"/>
        </w:rPr>
        <w:object w:dxaOrig="1484" w:dyaOrig="960">
          <v:shape id="_x0000_i1026" type="#_x0000_t75" style="width:74.25pt;height:48.75pt" o:ole="">
            <v:imagedata r:id="rId15" o:title=""/>
          </v:shape>
          <o:OLEObject Type="Embed" ProgID="Excel.Sheet.12" ShapeID="_x0000_i1026" DrawAspect="Icon" ObjectID="_1413700808" r:id="rId16"/>
        </w:object>
      </w:r>
    </w:p>
    <w:p w:rsidR="00C45687" w:rsidRDefault="00C45687" w:rsidP="00E16609">
      <w:pPr>
        <w:rPr>
          <w:rFonts w:asciiTheme="minorHAnsi" w:hAnsiTheme="minorHAnsi" w:cstheme="minorHAnsi"/>
        </w:rPr>
      </w:pPr>
    </w:p>
    <w:p w:rsidR="00C45687" w:rsidRDefault="00C45687" w:rsidP="00E16609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3.</w:t>
      </w:r>
    </w:p>
    <w:p w:rsidR="00612041" w:rsidRDefault="00032DCB" w:rsidP="00E16609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 </w:t>
      </w:r>
      <w:bookmarkStart w:id="37" w:name="_MON_1399868891"/>
      <w:bookmarkStart w:id="38" w:name="_MON_1399810186"/>
      <w:bookmarkStart w:id="39" w:name="_MON_1399377969"/>
      <w:bookmarkStart w:id="40" w:name="_MON_1399868816"/>
      <w:bookmarkEnd w:id="37"/>
      <w:bookmarkEnd w:id="38"/>
      <w:bookmarkEnd w:id="39"/>
      <w:bookmarkEnd w:id="40"/>
      <w:bookmarkStart w:id="41" w:name="_MON_1400073546"/>
      <w:bookmarkEnd w:id="41"/>
      <w:r w:rsidR="00FD6B8B" w:rsidRPr="00D327EE">
        <w:rPr>
          <w:rFonts w:asciiTheme="minorHAnsi" w:hAnsiTheme="minorHAnsi" w:cstheme="minorHAnsi"/>
        </w:rPr>
        <w:object w:dxaOrig="1484" w:dyaOrig="960">
          <v:shape id="_x0000_i1027" type="#_x0000_t75" style="width:74.25pt;height:48.75pt" o:ole="">
            <v:imagedata r:id="rId17" o:title=""/>
          </v:shape>
          <o:OLEObject Type="Embed" ProgID="Excel.Sheet.12" ShapeID="_x0000_i1027" DrawAspect="Icon" ObjectID="_1413700809" r:id="rId18"/>
        </w:object>
      </w:r>
    </w:p>
    <w:p w:rsidR="00C54EFF" w:rsidRDefault="00C54EFF" w:rsidP="00E16609">
      <w:pPr>
        <w:rPr>
          <w:rFonts w:asciiTheme="minorHAnsi" w:hAnsiTheme="minorHAnsi" w:cstheme="minorHAnsi"/>
        </w:rPr>
      </w:pPr>
    </w:p>
    <w:p w:rsidR="00C45687" w:rsidRDefault="00C45687" w:rsidP="00E16609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4. </w:t>
      </w:r>
    </w:p>
    <w:bookmarkStart w:id="42" w:name="_MON_1406625962"/>
    <w:bookmarkStart w:id="43" w:name="_MON_1399868905"/>
    <w:bookmarkStart w:id="44" w:name="_MON_1400221552"/>
    <w:bookmarkEnd w:id="42"/>
    <w:bookmarkEnd w:id="43"/>
    <w:bookmarkEnd w:id="44"/>
    <w:bookmarkStart w:id="45" w:name="_MON_1406620731"/>
    <w:bookmarkEnd w:id="45"/>
    <w:p w:rsidR="00C45687" w:rsidRDefault="00C45687" w:rsidP="00E16609">
      <w:pPr>
        <w:rPr>
          <w:rFonts w:asciiTheme="minorHAnsi" w:hAnsiTheme="minorHAnsi" w:cstheme="minorHAnsi"/>
        </w:rPr>
      </w:pPr>
      <w:r w:rsidRPr="004009C9">
        <w:rPr>
          <w:rFonts w:asciiTheme="minorHAnsi" w:hAnsiTheme="minorHAnsi" w:cstheme="minorHAnsi"/>
        </w:rPr>
        <w:object w:dxaOrig="1532" w:dyaOrig="993">
          <v:shape id="_x0000_i1028" type="#_x0000_t75" style="width:77.25pt;height:49.5pt" o:ole="">
            <v:imagedata r:id="rId19" o:title=""/>
          </v:shape>
          <o:OLEObject Type="Embed" ProgID="Word.Document.8" ShapeID="_x0000_i1028" DrawAspect="Icon" ObjectID="_1413700810" r:id="rId20">
            <o:FieldCodes>\s</o:FieldCodes>
          </o:OLEObject>
        </w:object>
      </w:r>
    </w:p>
    <w:p w:rsidR="00C45687" w:rsidRDefault="00FD6B8B" w:rsidP="00E16609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5.</w:t>
      </w:r>
    </w:p>
    <w:p w:rsidR="00FD6B8B" w:rsidRDefault="00FD6B8B" w:rsidP="00E16609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object w:dxaOrig="1530" w:dyaOrig="1002">
          <v:shape id="_x0000_i1029" type="#_x0000_t75" style="width:76.5pt;height:50.25pt" o:ole="">
            <v:imagedata r:id="rId21" o:title=""/>
          </v:shape>
          <o:OLEObject Type="Embed" ProgID="Excel.Sheet.12" ShapeID="_x0000_i1029" DrawAspect="Icon" ObjectID="_1413700811" r:id="rId22"/>
        </w:object>
      </w:r>
    </w:p>
    <w:p w:rsidR="00C54EFF" w:rsidRDefault="00C54EFF">
      <w:pPr>
        <w:spacing w:after="20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br w:type="page"/>
      </w:r>
    </w:p>
    <w:p w:rsidR="00C54EFF" w:rsidRPr="00C54EFF" w:rsidRDefault="00C54EFF" w:rsidP="00C54EFF">
      <w:pPr>
        <w:pStyle w:val="Heading1"/>
        <w:rPr>
          <w:rFonts w:asciiTheme="minorHAnsi" w:hAnsiTheme="minorHAnsi" w:cstheme="minorHAnsi"/>
        </w:rPr>
      </w:pPr>
      <w:r w:rsidRPr="00560ECC">
        <w:rPr>
          <w:rFonts w:asciiTheme="minorHAnsi" w:hAnsiTheme="minorHAnsi" w:cstheme="minorHAnsi"/>
        </w:rPr>
        <w:lastRenderedPageBreak/>
        <w:t>References</w:t>
      </w:r>
    </w:p>
    <w:p w:rsidR="002C6DDF" w:rsidRDefault="00E5694E" w:rsidP="002C6DDF">
      <w:pPr>
        <w:pStyle w:val="EndnoteText"/>
        <w:ind w:left="720"/>
        <w:rPr>
          <w:rFonts w:cstheme="minorHAnsi"/>
        </w:rPr>
      </w:pPr>
      <w:r w:rsidRPr="009F6F4C">
        <w:rPr>
          <w:rFonts w:cstheme="minorHAnsi"/>
        </w:rPr>
        <w:object w:dxaOrig="1532" w:dyaOrig="993">
          <v:shape id="_x0000_i1030" type="#_x0000_t75" style="width:77.25pt;height:49.5pt" o:ole="">
            <v:imagedata r:id="rId23" o:title=""/>
          </v:shape>
          <o:OLEObject Type="Embed" ProgID="Excel.Sheet.8" ShapeID="_x0000_i1030" DrawAspect="Icon" ObjectID="_1413700812" r:id="rId24"/>
        </w:object>
      </w:r>
    </w:p>
    <w:p w:rsidR="002C6DDF" w:rsidRDefault="002C6DDF" w:rsidP="002C6DDF">
      <w:pPr>
        <w:pStyle w:val="EndnoteText"/>
        <w:ind w:left="720"/>
        <w:rPr>
          <w:rFonts w:cstheme="minorHAnsi"/>
        </w:rPr>
      </w:pPr>
    </w:p>
    <w:p w:rsidR="002C6DDF" w:rsidRDefault="002C6DDF" w:rsidP="002C6DDF">
      <w:pPr>
        <w:pStyle w:val="EndnoteText"/>
        <w:ind w:left="720"/>
        <w:rPr>
          <w:rFonts w:cstheme="minorHAnsi"/>
        </w:rPr>
      </w:pPr>
      <w:r>
        <w:rPr>
          <w:rFonts w:cstheme="minorHAnsi"/>
        </w:rPr>
        <w:t>[49]</w:t>
      </w:r>
    </w:p>
    <w:p w:rsidR="0013370A" w:rsidRPr="002C6DDF" w:rsidRDefault="0013370A" w:rsidP="002C6DDF">
      <w:pPr>
        <w:pStyle w:val="EndnoteText"/>
        <w:ind w:left="720"/>
        <w:rPr>
          <w:rFonts w:cstheme="minorHAnsi"/>
        </w:rPr>
      </w:pPr>
      <w:r>
        <w:rPr>
          <w:rFonts w:cstheme="minorHAnsi"/>
        </w:rPr>
        <w:t>[132]</w:t>
      </w:r>
    </w:p>
    <w:p w:rsidR="002C6DDF" w:rsidRPr="002C6DDF" w:rsidRDefault="002C6DDF" w:rsidP="002C6DDF">
      <w:pPr>
        <w:pStyle w:val="EndnoteText"/>
        <w:ind w:left="720"/>
        <w:rPr>
          <w:rFonts w:cstheme="minorHAnsi"/>
        </w:rPr>
      </w:pPr>
    </w:p>
    <w:p w:rsidR="00C92AC4" w:rsidRPr="008C32E5" w:rsidRDefault="008027E6" w:rsidP="00C92AC4">
      <w:pPr>
        <w:pStyle w:val="EndnoteText"/>
        <w:numPr>
          <w:ilvl w:val="0"/>
          <w:numId w:val="15"/>
        </w:numPr>
        <w:rPr>
          <w:rFonts w:cstheme="minorHAnsi"/>
        </w:rPr>
      </w:pPr>
      <w:r w:rsidRPr="008C32E5">
        <w:t>2008 Building Energy Efficiency Standards. Section 119, Page 69</w:t>
      </w:r>
      <w:r w:rsidR="00E800BD" w:rsidRPr="008C32E5">
        <w:t>-70</w:t>
      </w:r>
      <w:r w:rsidRPr="008C32E5">
        <w:t xml:space="preserve">. </w:t>
      </w:r>
      <w:hyperlink r:id="rId25" w:history="1">
        <w:r w:rsidRPr="008C32E5">
          <w:rPr>
            <w:rStyle w:val="Hyperlink"/>
          </w:rPr>
          <w:t>http://www.energy.ca.gov/2008publications/CEC-400-2008-001/CEC-400-2008-001-CMF.PDF</w:t>
        </w:r>
      </w:hyperlink>
      <w:r w:rsidRPr="008C32E5">
        <w:t xml:space="preserve">. </w:t>
      </w:r>
    </w:p>
    <w:p w:rsidR="00C92AC4" w:rsidRPr="008C32E5" w:rsidRDefault="00C92AC4" w:rsidP="00C92AC4">
      <w:pPr>
        <w:pStyle w:val="EndnoteText"/>
        <w:ind w:left="720"/>
        <w:rPr>
          <w:rFonts w:cstheme="minorHAnsi"/>
        </w:rPr>
      </w:pPr>
    </w:p>
    <w:p w:rsidR="00C92AC4" w:rsidRPr="008C32E5" w:rsidRDefault="00C92AC4" w:rsidP="00C92AC4">
      <w:pPr>
        <w:pStyle w:val="EndnoteText"/>
        <w:numPr>
          <w:ilvl w:val="0"/>
          <w:numId w:val="15"/>
        </w:numPr>
        <w:rPr>
          <w:rFonts w:cstheme="minorHAnsi"/>
        </w:rPr>
      </w:pPr>
      <w:r w:rsidRPr="008C32E5">
        <w:t xml:space="preserve">2012 Statewide Customized Offering Procedures Manual For Business –  Customized 1.0 Policy </w:t>
      </w:r>
      <w:hyperlink r:id="rId26" w:history="1">
        <w:r w:rsidRPr="008C32E5">
          <w:rPr>
            <w:rStyle w:val="Hyperlink"/>
          </w:rPr>
          <w:t>http://asset.sce.com/Documents/Business%20-%20Energy%20Management%20Solutions/120215_Customized1_0Policy.pdf</w:t>
        </w:r>
      </w:hyperlink>
    </w:p>
    <w:p w:rsidR="0018726D" w:rsidRPr="008C32E5" w:rsidRDefault="0018726D" w:rsidP="0018726D">
      <w:pPr>
        <w:pStyle w:val="ListParagraph"/>
        <w:rPr>
          <w:rFonts w:cstheme="minorHAnsi"/>
          <w:sz w:val="20"/>
          <w:szCs w:val="20"/>
        </w:rPr>
      </w:pPr>
    </w:p>
    <w:p w:rsidR="0018726D" w:rsidRPr="008C32E5" w:rsidRDefault="0018726D" w:rsidP="0018726D">
      <w:pPr>
        <w:pStyle w:val="EndnoteText"/>
        <w:numPr>
          <w:ilvl w:val="0"/>
          <w:numId w:val="15"/>
        </w:numPr>
        <w:rPr>
          <w:rFonts w:cstheme="minorHAnsi"/>
        </w:rPr>
      </w:pPr>
      <w:r w:rsidRPr="008C32E5">
        <w:t xml:space="preserve">2008 Building Energy Efficiency Standards. Section 149, Page 129. </w:t>
      </w:r>
      <w:hyperlink r:id="rId27" w:history="1">
        <w:r w:rsidRPr="008C32E5">
          <w:rPr>
            <w:rStyle w:val="Hyperlink"/>
          </w:rPr>
          <w:t>http://www.energy.ca.gov/2008publications/CEC-400-2008-001/CEC-400-2008-001-CMF.PDF</w:t>
        </w:r>
      </w:hyperlink>
      <w:r w:rsidRPr="008C32E5">
        <w:t xml:space="preserve">. </w:t>
      </w:r>
    </w:p>
    <w:p w:rsidR="00E5694E" w:rsidRPr="008C32E5" w:rsidRDefault="00E5694E" w:rsidP="00E5694E">
      <w:pPr>
        <w:pStyle w:val="EndnoteText"/>
        <w:ind w:left="720"/>
        <w:rPr>
          <w:rFonts w:cstheme="minorHAnsi"/>
        </w:rPr>
      </w:pPr>
    </w:p>
    <w:p w:rsidR="002C6DDF" w:rsidRPr="008C32E5" w:rsidRDefault="00E5694E" w:rsidP="002C6DDF">
      <w:pPr>
        <w:pStyle w:val="EndnoteText"/>
        <w:numPr>
          <w:ilvl w:val="0"/>
          <w:numId w:val="15"/>
        </w:numPr>
        <w:rPr>
          <w:rFonts w:cstheme="minorHAnsi"/>
        </w:rPr>
      </w:pPr>
      <w:r w:rsidRPr="008C32E5">
        <w:rPr>
          <w:rFonts w:cstheme="minorHAnsi"/>
        </w:rPr>
        <w:t xml:space="preserve">SCE Online Application Tool: </w:t>
      </w:r>
      <w:hyperlink r:id="rId28" w:history="1">
        <w:r w:rsidRPr="008C32E5">
          <w:rPr>
            <w:rStyle w:val="Hyperlink"/>
          </w:rPr>
          <w:t>https://www.sceonlineapp.com/</w:t>
        </w:r>
      </w:hyperlink>
    </w:p>
    <w:p w:rsidR="004C1535" w:rsidRPr="008C32E5" w:rsidRDefault="004C1535" w:rsidP="004C1535">
      <w:pPr>
        <w:pStyle w:val="ListParagraph"/>
        <w:rPr>
          <w:rFonts w:cstheme="minorHAnsi"/>
          <w:sz w:val="20"/>
          <w:szCs w:val="20"/>
        </w:rPr>
      </w:pPr>
    </w:p>
    <w:p w:rsidR="004C1535" w:rsidRPr="008C32E5" w:rsidRDefault="00C45687" w:rsidP="002C6DDF">
      <w:pPr>
        <w:pStyle w:val="EndnoteText"/>
        <w:numPr>
          <w:ilvl w:val="0"/>
          <w:numId w:val="15"/>
        </w:numPr>
        <w:rPr>
          <w:rFonts w:cstheme="minorHAnsi"/>
        </w:rPr>
      </w:pPr>
      <w:r w:rsidRPr="008C32E5">
        <w:rPr>
          <w:rFonts w:cstheme="minorHAnsi"/>
        </w:rPr>
        <w:t xml:space="preserve">Attachment 4. </w:t>
      </w:r>
      <w:r w:rsidR="004C1535" w:rsidRPr="008C32E5">
        <w:rPr>
          <w:rFonts w:cstheme="minorHAnsi"/>
        </w:rPr>
        <w:t>Dimmable Ballast Tool Guide. 2010.</w:t>
      </w:r>
    </w:p>
    <w:p w:rsidR="002C6DDF" w:rsidRPr="008C32E5" w:rsidRDefault="002C6DDF" w:rsidP="002C6DDF">
      <w:pPr>
        <w:pStyle w:val="EndnoteText"/>
        <w:ind w:left="720"/>
        <w:rPr>
          <w:rFonts w:cstheme="minorHAnsi"/>
        </w:rPr>
      </w:pPr>
    </w:p>
    <w:p w:rsidR="00C54EFF" w:rsidRPr="008C32E5" w:rsidRDefault="00CF6048" w:rsidP="002C6DDF">
      <w:pPr>
        <w:pStyle w:val="ListParagraph"/>
        <w:numPr>
          <w:ilvl w:val="0"/>
          <w:numId w:val="15"/>
        </w:numPr>
        <w:rPr>
          <w:rFonts w:cstheme="minorHAnsi"/>
          <w:sz w:val="20"/>
          <w:szCs w:val="20"/>
        </w:rPr>
      </w:pPr>
      <w:r w:rsidRPr="008C32E5">
        <w:rPr>
          <w:rFonts w:cstheme="minorHAnsi"/>
          <w:sz w:val="20"/>
          <w:szCs w:val="20"/>
        </w:rPr>
        <w:t>Base case cost PDFs</w:t>
      </w:r>
    </w:p>
    <w:p w:rsidR="00A16DDD" w:rsidRPr="008C32E5" w:rsidRDefault="00A54227" w:rsidP="00A16DDD">
      <w:pPr>
        <w:pStyle w:val="ListParagraph"/>
        <w:rPr>
          <w:rFonts w:cstheme="minorHAnsi"/>
          <w:sz w:val="20"/>
          <w:szCs w:val="20"/>
        </w:rPr>
      </w:pPr>
      <w:r w:rsidRPr="008C32E5">
        <w:rPr>
          <w:rFonts w:cstheme="minorHAnsi"/>
          <w:sz w:val="20"/>
          <w:szCs w:val="20"/>
        </w:rPr>
        <w:object w:dxaOrig="1484" w:dyaOrig="960">
          <v:shape id="_x0000_i1031" type="#_x0000_t75" style="width:60.75pt;height:39.75pt" o:ole="">
            <v:imagedata r:id="rId29" o:title=""/>
          </v:shape>
          <o:OLEObject Type="Embed" ProgID="Package" ShapeID="_x0000_i1031" DrawAspect="Icon" ObjectID="_1413700813" r:id="rId30"/>
        </w:object>
      </w:r>
    </w:p>
    <w:p w:rsidR="002C6DDF" w:rsidRPr="008C32E5" w:rsidRDefault="002C6DDF" w:rsidP="00A16DDD">
      <w:pPr>
        <w:pStyle w:val="ListParagraph"/>
        <w:rPr>
          <w:rFonts w:cstheme="minorHAnsi"/>
          <w:sz w:val="20"/>
          <w:szCs w:val="20"/>
        </w:rPr>
      </w:pPr>
    </w:p>
    <w:p w:rsidR="006F198A" w:rsidRPr="008C32E5" w:rsidRDefault="006F198A" w:rsidP="002C6DDF">
      <w:pPr>
        <w:pStyle w:val="ListParagraph"/>
        <w:numPr>
          <w:ilvl w:val="0"/>
          <w:numId w:val="15"/>
        </w:numPr>
        <w:rPr>
          <w:rFonts w:cstheme="minorHAnsi"/>
          <w:sz w:val="20"/>
          <w:szCs w:val="20"/>
        </w:rPr>
      </w:pPr>
      <w:r w:rsidRPr="008C32E5">
        <w:rPr>
          <w:rFonts w:cstheme="minorHAnsi"/>
          <w:sz w:val="20"/>
          <w:szCs w:val="20"/>
        </w:rPr>
        <w:t>Measure case cost</w:t>
      </w:r>
    </w:p>
    <w:p w:rsidR="00A16DDD" w:rsidRPr="008C32E5" w:rsidRDefault="004B3D63" w:rsidP="00A16DDD">
      <w:pPr>
        <w:ind w:left="720"/>
        <w:rPr>
          <w:rFonts w:cstheme="minorHAnsi"/>
          <w:sz w:val="20"/>
          <w:szCs w:val="20"/>
        </w:rPr>
      </w:pPr>
      <w:r w:rsidRPr="008C32E5">
        <w:rPr>
          <w:rFonts w:cstheme="minorHAnsi"/>
          <w:sz w:val="20"/>
          <w:szCs w:val="20"/>
        </w:rPr>
        <w:object w:dxaOrig="1484" w:dyaOrig="960">
          <v:shape id="_x0000_i1032" type="#_x0000_t75" style="width:60.75pt;height:39.75pt" o:ole="">
            <v:imagedata r:id="rId31" o:title=""/>
          </v:shape>
          <o:OLEObject Type="Embed" ProgID="Package" ShapeID="_x0000_i1032" DrawAspect="Icon" ObjectID="_1413700814" r:id="rId32"/>
        </w:object>
      </w:r>
    </w:p>
    <w:p w:rsidR="00E5694E" w:rsidRDefault="00E5694E" w:rsidP="00E5694E">
      <w:pPr>
        <w:pStyle w:val="ListParagraph"/>
        <w:numPr>
          <w:ilvl w:val="0"/>
          <w:numId w:val="15"/>
        </w:numPr>
        <w:rPr>
          <w:rFonts w:cstheme="minorHAnsi"/>
          <w:sz w:val="20"/>
          <w:szCs w:val="20"/>
        </w:rPr>
      </w:pPr>
      <w:r w:rsidRPr="008C32E5">
        <w:rPr>
          <w:rFonts w:cstheme="minorHAnsi"/>
          <w:sz w:val="20"/>
          <w:szCs w:val="20"/>
        </w:rPr>
        <w:t>2012 RSMeans Electrical Cost Data. 35</w:t>
      </w:r>
      <w:r w:rsidRPr="008C32E5">
        <w:rPr>
          <w:rFonts w:cstheme="minorHAnsi"/>
          <w:sz w:val="20"/>
          <w:szCs w:val="20"/>
          <w:vertAlign w:val="superscript"/>
        </w:rPr>
        <w:t>th</w:t>
      </w:r>
      <w:r w:rsidRPr="008C32E5">
        <w:rPr>
          <w:rFonts w:cstheme="minorHAnsi"/>
          <w:sz w:val="20"/>
          <w:szCs w:val="20"/>
        </w:rPr>
        <w:t xml:space="preserve"> Annual Edition.</w:t>
      </w:r>
    </w:p>
    <w:p w:rsidR="008C32E5" w:rsidRPr="008C32E5" w:rsidRDefault="008C32E5" w:rsidP="008C32E5">
      <w:pPr>
        <w:pStyle w:val="ListParagraph"/>
        <w:rPr>
          <w:rFonts w:cstheme="minorHAnsi"/>
          <w:sz w:val="20"/>
          <w:szCs w:val="20"/>
        </w:rPr>
      </w:pPr>
    </w:p>
    <w:p w:rsidR="008C32E5" w:rsidRDefault="008C32E5" w:rsidP="008C32E5">
      <w:pPr>
        <w:pStyle w:val="ListParagraph"/>
        <w:numPr>
          <w:ilvl w:val="0"/>
          <w:numId w:val="15"/>
        </w:numPr>
        <w:rPr>
          <w:rFonts w:cstheme="minorHAnsi"/>
          <w:sz w:val="20"/>
          <w:szCs w:val="20"/>
        </w:rPr>
      </w:pPr>
      <w:r w:rsidRPr="008C32E5">
        <w:rPr>
          <w:rFonts w:cstheme="minorHAnsi"/>
          <w:sz w:val="20"/>
          <w:szCs w:val="20"/>
        </w:rPr>
        <w:t>2011 California Building Energy Efficiency Standards: Requirements for Controllable Lighting</w:t>
      </w:r>
      <w:r>
        <w:rPr>
          <w:rFonts w:cstheme="minorHAnsi"/>
          <w:sz w:val="20"/>
          <w:szCs w:val="20"/>
        </w:rPr>
        <w:t xml:space="preserve">. </w:t>
      </w:r>
      <w:hyperlink r:id="rId33" w:history="1">
        <w:r w:rsidRPr="007526C5">
          <w:rPr>
            <w:rStyle w:val="Hyperlink"/>
            <w:rFonts w:cstheme="minorHAnsi"/>
            <w:sz w:val="20"/>
            <w:szCs w:val="20"/>
          </w:rPr>
          <w:t>http://www.energy.ca.gov/title24/2013standards/prerulemaking/documents/2011-04-04_workshop/review/Nonres_Controllable_Lighting.pdf</w:t>
        </w:r>
      </w:hyperlink>
    </w:p>
    <w:p w:rsidR="008C32E5" w:rsidRPr="008C32E5" w:rsidRDefault="008C32E5" w:rsidP="008C32E5">
      <w:pPr>
        <w:pStyle w:val="ListParagraph"/>
        <w:rPr>
          <w:rFonts w:cstheme="minorHAnsi"/>
          <w:sz w:val="20"/>
          <w:szCs w:val="20"/>
        </w:rPr>
      </w:pPr>
    </w:p>
    <w:p w:rsidR="008C32E5" w:rsidRPr="008C32E5" w:rsidRDefault="008C32E5" w:rsidP="008C32E5">
      <w:pPr>
        <w:pStyle w:val="ListParagraph"/>
        <w:rPr>
          <w:rFonts w:cstheme="minorHAnsi"/>
          <w:sz w:val="20"/>
          <w:szCs w:val="20"/>
        </w:rPr>
      </w:pPr>
    </w:p>
    <w:sectPr w:rsidR="008C32E5" w:rsidRPr="008C32E5" w:rsidSect="00CE69E9">
      <w:pgSz w:w="12240" w:h="15840"/>
      <w:pgMar w:top="1440" w:right="1440" w:bottom="1557" w:left="144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D6B8B" w:rsidRDefault="00FD6B8B" w:rsidP="00447D6E">
      <w:r>
        <w:separator/>
      </w:r>
    </w:p>
  </w:endnote>
  <w:endnote w:type="continuationSeparator" w:id="0">
    <w:p w:rsidR="00FD6B8B" w:rsidRDefault="00FD6B8B" w:rsidP="00447D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 Narrow">
    <w:panose1 w:val="020B05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D6B8B" w:rsidRPr="009500DC" w:rsidRDefault="00FD6B8B" w:rsidP="00447D6E">
    <w:pPr>
      <w:pStyle w:val="Footer"/>
      <w:jc w:val="right"/>
      <w:rPr>
        <w:rFonts w:asciiTheme="minorHAnsi" w:hAnsiTheme="minorHAnsi" w:cstheme="minorHAnsi"/>
      </w:rPr>
    </w:pPr>
    <w:r>
      <w:rPr>
        <w:rFonts w:asciiTheme="minorHAnsi" w:hAnsiTheme="minorHAnsi" w:cstheme="minorHAnsi"/>
        <w:b/>
        <w:sz w:val="36"/>
        <w:szCs w:val="36"/>
      </w:rPr>
      <w:t>October 19, 2012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D6B8B" w:rsidRPr="009500DC" w:rsidRDefault="00FD6B8B" w:rsidP="009500DC">
    <w:pPr>
      <w:pStyle w:val="Footer"/>
      <w:pBdr>
        <w:top w:val="single" w:sz="4" w:space="1" w:color="auto"/>
      </w:pBdr>
      <w:tabs>
        <w:tab w:val="clear" w:pos="4680"/>
        <w:tab w:val="clear" w:pos="9360"/>
        <w:tab w:val="center" w:pos="10800"/>
        <w:tab w:val="right" w:pos="21600"/>
        <w:tab w:val="right" w:pos="23580"/>
      </w:tabs>
      <w:rPr>
        <w:rFonts w:asciiTheme="minorHAnsi" w:hAnsiTheme="minorHAnsi" w:cstheme="minorHAnsi"/>
        <w:b/>
        <w:sz w:val="20"/>
        <w:szCs w:val="20"/>
      </w:rPr>
    </w:pPr>
    <w:r>
      <w:rPr>
        <w:rFonts w:asciiTheme="minorHAnsi" w:hAnsiTheme="minorHAnsi" w:cstheme="minorHAnsi"/>
        <w:b/>
        <w:sz w:val="20"/>
        <w:szCs w:val="20"/>
      </w:rPr>
      <w:t>WPSDGENRLG0025</w:t>
    </w:r>
    <w:r w:rsidRPr="009500DC">
      <w:rPr>
        <w:rFonts w:asciiTheme="minorHAnsi" w:hAnsiTheme="minorHAnsi" w:cstheme="minorHAnsi"/>
        <w:b/>
        <w:sz w:val="20"/>
        <w:szCs w:val="20"/>
      </w:rPr>
      <w:t xml:space="preserve">, Revision </w:t>
    </w:r>
    <w:r>
      <w:rPr>
        <w:rFonts w:asciiTheme="minorHAnsi" w:hAnsiTheme="minorHAnsi" w:cstheme="minorHAnsi"/>
        <w:b/>
        <w:sz w:val="20"/>
        <w:szCs w:val="20"/>
      </w:rPr>
      <w:t>0</w:t>
    </w:r>
    <w:r w:rsidRPr="009500DC">
      <w:rPr>
        <w:rFonts w:asciiTheme="minorHAnsi" w:hAnsiTheme="minorHAnsi" w:cstheme="minorHAnsi"/>
        <w:b/>
        <w:sz w:val="20"/>
        <w:szCs w:val="20"/>
      </w:rPr>
      <w:tab/>
    </w:r>
    <w:r w:rsidRPr="009500DC">
      <w:rPr>
        <w:rFonts w:asciiTheme="minorHAnsi" w:hAnsiTheme="minorHAnsi" w:cstheme="minorHAnsi"/>
        <w:b/>
        <w:sz w:val="20"/>
        <w:szCs w:val="20"/>
      </w:rPr>
      <w:fldChar w:fldCharType="begin"/>
    </w:r>
    <w:r w:rsidRPr="009500DC">
      <w:rPr>
        <w:rFonts w:asciiTheme="minorHAnsi" w:hAnsiTheme="minorHAnsi" w:cstheme="minorHAnsi"/>
        <w:b/>
        <w:sz w:val="20"/>
        <w:szCs w:val="20"/>
      </w:rPr>
      <w:instrText xml:space="preserve"> PAGE   \* MERGEFORMAT </w:instrText>
    </w:r>
    <w:r w:rsidRPr="009500DC">
      <w:rPr>
        <w:rFonts w:asciiTheme="minorHAnsi" w:hAnsiTheme="minorHAnsi" w:cstheme="minorHAnsi"/>
        <w:b/>
        <w:sz w:val="20"/>
        <w:szCs w:val="20"/>
      </w:rPr>
      <w:fldChar w:fldCharType="separate"/>
    </w:r>
    <w:r w:rsidR="008A5FDD">
      <w:rPr>
        <w:rFonts w:asciiTheme="minorHAnsi" w:hAnsiTheme="minorHAnsi" w:cstheme="minorHAnsi"/>
        <w:b/>
        <w:noProof/>
        <w:sz w:val="20"/>
        <w:szCs w:val="20"/>
      </w:rPr>
      <w:t>i</w:t>
    </w:r>
    <w:r w:rsidRPr="009500DC">
      <w:rPr>
        <w:rFonts w:asciiTheme="minorHAnsi" w:hAnsiTheme="minorHAnsi" w:cstheme="minorHAnsi"/>
        <w:b/>
        <w:noProof/>
        <w:sz w:val="20"/>
        <w:szCs w:val="20"/>
      </w:rPr>
      <w:fldChar w:fldCharType="end"/>
    </w:r>
    <w:r w:rsidRPr="009500DC">
      <w:rPr>
        <w:rFonts w:asciiTheme="minorHAnsi" w:hAnsiTheme="minorHAnsi" w:cstheme="minorHAnsi"/>
        <w:b/>
        <w:color w:val="FF0000"/>
        <w:sz w:val="20"/>
        <w:szCs w:val="20"/>
      </w:rPr>
      <w:tab/>
    </w:r>
    <w:r>
      <w:rPr>
        <w:rFonts w:asciiTheme="minorHAnsi" w:hAnsiTheme="minorHAnsi" w:cstheme="minorHAnsi"/>
        <w:b/>
        <w:sz w:val="20"/>
        <w:szCs w:val="20"/>
      </w:rPr>
      <w:t>October 19, 2012</w:t>
    </w:r>
  </w:p>
  <w:p w:rsidR="00FD6B8B" w:rsidRPr="009500DC" w:rsidRDefault="00FD6B8B" w:rsidP="009500DC">
    <w:pPr>
      <w:pStyle w:val="Footer"/>
      <w:pBdr>
        <w:top w:val="single" w:sz="4" w:space="1" w:color="auto"/>
      </w:pBdr>
      <w:tabs>
        <w:tab w:val="clear" w:pos="4680"/>
        <w:tab w:val="clear" w:pos="9360"/>
        <w:tab w:val="right" w:pos="21600"/>
      </w:tabs>
      <w:rPr>
        <w:rFonts w:asciiTheme="minorHAnsi" w:hAnsiTheme="minorHAnsi" w:cstheme="minorHAnsi"/>
      </w:rPr>
    </w:pPr>
    <w:r>
      <w:rPr>
        <w:rFonts w:asciiTheme="minorHAnsi" w:hAnsiTheme="minorHAnsi" w:cstheme="minorHAnsi"/>
        <w:b/>
        <w:sz w:val="20"/>
        <w:szCs w:val="20"/>
      </w:rPr>
      <w:t>San Diego Gas &amp; Electric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D6B8B" w:rsidRPr="009500DC" w:rsidRDefault="00FD6B8B" w:rsidP="009500DC">
    <w:pPr>
      <w:pStyle w:val="Footer"/>
      <w:pBdr>
        <w:top w:val="single" w:sz="4" w:space="1" w:color="auto"/>
      </w:pBdr>
      <w:rPr>
        <w:rFonts w:asciiTheme="minorHAnsi" w:hAnsiTheme="minorHAnsi" w:cstheme="minorHAnsi"/>
        <w:b/>
        <w:sz w:val="20"/>
        <w:szCs w:val="20"/>
      </w:rPr>
    </w:pPr>
    <w:r>
      <w:rPr>
        <w:rFonts w:asciiTheme="minorHAnsi" w:hAnsiTheme="minorHAnsi" w:cstheme="minorHAnsi"/>
        <w:b/>
        <w:sz w:val="20"/>
        <w:szCs w:val="20"/>
      </w:rPr>
      <w:t>WPSDGENRLG0025</w:t>
    </w:r>
    <w:r w:rsidRPr="009500DC">
      <w:rPr>
        <w:rFonts w:asciiTheme="minorHAnsi" w:hAnsiTheme="minorHAnsi" w:cstheme="minorHAnsi"/>
        <w:b/>
        <w:sz w:val="20"/>
        <w:szCs w:val="20"/>
      </w:rPr>
      <w:t xml:space="preserve">, Revision </w:t>
    </w:r>
    <w:r>
      <w:rPr>
        <w:rFonts w:asciiTheme="minorHAnsi" w:hAnsiTheme="minorHAnsi" w:cstheme="minorHAnsi"/>
        <w:b/>
        <w:sz w:val="20"/>
        <w:szCs w:val="20"/>
      </w:rPr>
      <w:t>0</w:t>
    </w:r>
    <w:r w:rsidRPr="009500DC">
      <w:rPr>
        <w:rFonts w:asciiTheme="minorHAnsi" w:hAnsiTheme="minorHAnsi" w:cstheme="minorHAnsi"/>
        <w:b/>
        <w:sz w:val="20"/>
        <w:szCs w:val="20"/>
      </w:rPr>
      <w:tab/>
    </w:r>
    <w:r w:rsidRPr="009500DC">
      <w:rPr>
        <w:rFonts w:asciiTheme="minorHAnsi" w:hAnsiTheme="minorHAnsi" w:cstheme="minorHAnsi"/>
        <w:b/>
        <w:sz w:val="20"/>
        <w:szCs w:val="20"/>
      </w:rPr>
      <w:fldChar w:fldCharType="begin"/>
    </w:r>
    <w:r w:rsidRPr="009500DC">
      <w:rPr>
        <w:rFonts w:asciiTheme="minorHAnsi" w:hAnsiTheme="minorHAnsi" w:cstheme="minorHAnsi"/>
        <w:b/>
        <w:sz w:val="20"/>
        <w:szCs w:val="20"/>
      </w:rPr>
      <w:instrText xml:space="preserve"> PAGE   \* MERGEFORMAT </w:instrText>
    </w:r>
    <w:r w:rsidRPr="009500DC">
      <w:rPr>
        <w:rFonts w:asciiTheme="minorHAnsi" w:hAnsiTheme="minorHAnsi" w:cstheme="minorHAnsi"/>
        <w:b/>
        <w:sz w:val="20"/>
        <w:szCs w:val="20"/>
      </w:rPr>
      <w:fldChar w:fldCharType="separate"/>
    </w:r>
    <w:r w:rsidR="008A5FDD">
      <w:rPr>
        <w:rFonts w:asciiTheme="minorHAnsi" w:hAnsiTheme="minorHAnsi" w:cstheme="minorHAnsi"/>
        <w:b/>
        <w:noProof/>
        <w:sz w:val="20"/>
        <w:szCs w:val="20"/>
      </w:rPr>
      <w:t>14</w:t>
    </w:r>
    <w:r w:rsidRPr="009500DC">
      <w:rPr>
        <w:rFonts w:asciiTheme="minorHAnsi" w:hAnsiTheme="minorHAnsi" w:cstheme="minorHAnsi"/>
        <w:b/>
        <w:noProof/>
        <w:sz w:val="20"/>
        <w:szCs w:val="20"/>
      </w:rPr>
      <w:fldChar w:fldCharType="end"/>
    </w:r>
    <w:r w:rsidRPr="009500DC">
      <w:rPr>
        <w:rFonts w:asciiTheme="minorHAnsi" w:hAnsiTheme="minorHAnsi" w:cstheme="minorHAnsi"/>
        <w:b/>
        <w:sz w:val="20"/>
        <w:szCs w:val="20"/>
      </w:rPr>
      <w:tab/>
    </w:r>
    <w:r>
      <w:rPr>
        <w:rFonts w:asciiTheme="minorHAnsi" w:hAnsiTheme="minorHAnsi" w:cstheme="minorHAnsi"/>
        <w:b/>
        <w:sz w:val="20"/>
        <w:szCs w:val="20"/>
      </w:rPr>
      <w:t>October 19, 2012</w:t>
    </w:r>
  </w:p>
  <w:p w:rsidR="00FD6B8B" w:rsidRPr="009500DC" w:rsidRDefault="00FD6B8B" w:rsidP="009500DC">
    <w:pPr>
      <w:pStyle w:val="Footer"/>
      <w:pBdr>
        <w:top w:val="single" w:sz="4" w:space="1" w:color="auto"/>
      </w:pBdr>
      <w:rPr>
        <w:rFonts w:asciiTheme="minorHAnsi" w:hAnsiTheme="minorHAnsi" w:cstheme="minorHAnsi"/>
      </w:rPr>
    </w:pPr>
    <w:r>
      <w:rPr>
        <w:rFonts w:asciiTheme="minorHAnsi" w:hAnsiTheme="minorHAnsi" w:cstheme="minorHAnsi"/>
        <w:b/>
        <w:sz w:val="20"/>
        <w:szCs w:val="20"/>
      </w:rPr>
      <w:t>San Diego Gas &amp; Electric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D6B8B" w:rsidRDefault="00FD6B8B" w:rsidP="00447D6E">
      <w:r>
        <w:separator/>
      </w:r>
    </w:p>
  </w:footnote>
  <w:footnote w:type="continuationSeparator" w:id="0">
    <w:p w:rsidR="00FD6B8B" w:rsidRDefault="00FD6B8B" w:rsidP="00447D6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D1918"/>
    <w:multiLevelType w:val="hybridMultilevel"/>
    <w:tmpl w:val="BD36567C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">
    <w:nsid w:val="04FC59A5"/>
    <w:multiLevelType w:val="hybridMultilevel"/>
    <w:tmpl w:val="B6D23B28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>
    <w:nsid w:val="11FB079D"/>
    <w:multiLevelType w:val="hybridMultilevel"/>
    <w:tmpl w:val="838E4A2A"/>
    <w:lvl w:ilvl="0" w:tplc="53D22D7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BD70A9F"/>
    <w:multiLevelType w:val="hybridMultilevel"/>
    <w:tmpl w:val="6ABC05BC"/>
    <w:lvl w:ilvl="0" w:tplc="40BE3C82">
      <w:start w:val="1"/>
      <w:numFmt w:val="bullet"/>
      <w:lvlText w:val="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EB13A3"/>
    <w:multiLevelType w:val="hybridMultilevel"/>
    <w:tmpl w:val="060C7B20"/>
    <w:lvl w:ilvl="0" w:tplc="04090001">
      <w:start w:val="1"/>
      <w:numFmt w:val="bullet"/>
      <w:lvlText w:val=""/>
      <w:lvlJc w:val="left"/>
      <w:pPr>
        <w:tabs>
          <w:tab w:val="num" w:pos="765"/>
        </w:tabs>
        <w:ind w:left="76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85"/>
        </w:tabs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05"/>
        </w:tabs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25"/>
        </w:tabs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45"/>
        </w:tabs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65"/>
        </w:tabs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85"/>
        </w:tabs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05"/>
        </w:tabs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25"/>
        </w:tabs>
        <w:ind w:left="6525" w:hanging="360"/>
      </w:pPr>
      <w:rPr>
        <w:rFonts w:ascii="Wingdings" w:hAnsi="Wingdings" w:hint="default"/>
      </w:rPr>
    </w:lvl>
  </w:abstractNum>
  <w:abstractNum w:abstractNumId="5">
    <w:nsid w:val="3076623A"/>
    <w:multiLevelType w:val="multilevel"/>
    <w:tmpl w:val="59EC4572"/>
    <w:lvl w:ilvl="0">
      <w:start w:val="1"/>
      <w:numFmt w:val="decimal"/>
      <w:lvlText w:val="%1"/>
      <w:lvlJc w:val="left"/>
      <w:pPr>
        <w:tabs>
          <w:tab w:val="num" w:pos="465"/>
        </w:tabs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65"/>
        </w:tabs>
        <w:ind w:left="46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6">
    <w:nsid w:val="333B0A83"/>
    <w:multiLevelType w:val="hybridMultilevel"/>
    <w:tmpl w:val="E5D6F0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4C770E7"/>
    <w:multiLevelType w:val="hybridMultilevel"/>
    <w:tmpl w:val="5596BE7A"/>
    <w:lvl w:ilvl="0" w:tplc="40BE3C82">
      <w:start w:val="1"/>
      <w:numFmt w:val="bullet"/>
      <w:lvlText w:val="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D64CD5A2">
      <w:start w:val="1"/>
      <w:numFmt w:val="bullet"/>
      <w:lvlText w:val="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35A06B79"/>
    <w:multiLevelType w:val="hybridMultilevel"/>
    <w:tmpl w:val="7C4AAB7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49336F08"/>
    <w:multiLevelType w:val="hybridMultilevel"/>
    <w:tmpl w:val="15EC7D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73262B7"/>
    <w:multiLevelType w:val="hybridMultilevel"/>
    <w:tmpl w:val="19F41F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3CD0739"/>
    <w:multiLevelType w:val="hybridMultilevel"/>
    <w:tmpl w:val="93C4352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648B00BB"/>
    <w:multiLevelType w:val="hybridMultilevel"/>
    <w:tmpl w:val="736C6CE0"/>
    <w:lvl w:ilvl="0" w:tplc="2F564D3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67B566DD"/>
    <w:multiLevelType w:val="hybridMultilevel"/>
    <w:tmpl w:val="E7BA7FF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9BD54BA"/>
    <w:multiLevelType w:val="hybridMultilevel"/>
    <w:tmpl w:val="3F644984"/>
    <w:lvl w:ilvl="0" w:tplc="04090001">
      <w:start w:val="1"/>
      <w:numFmt w:val="bullet"/>
      <w:lvlText w:val=""/>
      <w:lvlJc w:val="left"/>
      <w:pPr>
        <w:tabs>
          <w:tab w:val="num" w:pos="1008"/>
        </w:tabs>
        <w:ind w:left="100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728"/>
        </w:tabs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8"/>
        </w:tabs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8"/>
        </w:tabs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88"/>
        </w:tabs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8"/>
        </w:tabs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8"/>
        </w:tabs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8"/>
        </w:tabs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8"/>
        </w:tabs>
        <w:ind w:left="6768" w:hanging="360"/>
      </w:pPr>
      <w:rPr>
        <w:rFonts w:ascii="Wingdings" w:hAnsi="Wingdings" w:hint="default"/>
      </w:rPr>
    </w:lvl>
  </w:abstractNum>
  <w:abstractNum w:abstractNumId="15">
    <w:nsid w:val="725326A3"/>
    <w:multiLevelType w:val="hybridMultilevel"/>
    <w:tmpl w:val="EC9A74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7"/>
  </w:num>
  <w:num w:numId="3">
    <w:abstractNumId w:val="5"/>
  </w:num>
  <w:num w:numId="4">
    <w:abstractNumId w:val="3"/>
  </w:num>
  <w:num w:numId="5">
    <w:abstractNumId w:val="3"/>
  </w:num>
  <w:num w:numId="6">
    <w:abstractNumId w:val="1"/>
  </w:num>
  <w:num w:numId="7">
    <w:abstractNumId w:val="8"/>
  </w:num>
  <w:num w:numId="8">
    <w:abstractNumId w:val="4"/>
  </w:num>
  <w:num w:numId="9">
    <w:abstractNumId w:val="12"/>
  </w:num>
  <w:num w:numId="10">
    <w:abstractNumId w:val="2"/>
  </w:num>
  <w:num w:numId="11">
    <w:abstractNumId w:val="9"/>
  </w:num>
  <w:num w:numId="12">
    <w:abstractNumId w:val="6"/>
  </w:num>
  <w:num w:numId="13">
    <w:abstractNumId w:val="15"/>
  </w:num>
  <w:num w:numId="14">
    <w:abstractNumId w:val="10"/>
  </w:num>
  <w:num w:numId="15">
    <w:abstractNumId w:val="13"/>
  </w:num>
  <w:num w:numId="16">
    <w:abstractNumId w:val="14"/>
  </w:num>
  <w:num w:numId="17">
    <w:abstractNumId w:val="11"/>
  </w:num>
  <w:num w:numId="1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6609"/>
    <w:rsid w:val="00005902"/>
    <w:rsid w:val="00015EF9"/>
    <w:rsid w:val="00016247"/>
    <w:rsid w:val="00016677"/>
    <w:rsid w:val="00016FDA"/>
    <w:rsid w:val="00027183"/>
    <w:rsid w:val="00032DCB"/>
    <w:rsid w:val="00033EA1"/>
    <w:rsid w:val="000466F5"/>
    <w:rsid w:val="000469A3"/>
    <w:rsid w:val="00056947"/>
    <w:rsid w:val="00076DF4"/>
    <w:rsid w:val="00080D1E"/>
    <w:rsid w:val="00081A89"/>
    <w:rsid w:val="000831C9"/>
    <w:rsid w:val="0008680D"/>
    <w:rsid w:val="0009074D"/>
    <w:rsid w:val="00092C4C"/>
    <w:rsid w:val="000932E0"/>
    <w:rsid w:val="00097CF0"/>
    <w:rsid w:val="000A63C9"/>
    <w:rsid w:val="000B28CE"/>
    <w:rsid w:val="000C0000"/>
    <w:rsid w:val="000C18CC"/>
    <w:rsid w:val="000E4467"/>
    <w:rsid w:val="000E4F38"/>
    <w:rsid w:val="000F0EE6"/>
    <w:rsid w:val="000F130A"/>
    <w:rsid w:val="000F6412"/>
    <w:rsid w:val="0013155B"/>
    <w:rsid w:val="0013370A"/>
    <w:rsid w:val="00147155"/>
    <w:rsid w:val="00153CB3"/>
    <w:rsid w:val="00156708"/>
    <w:rsid w:val="00165357"/>
    <w:rsid w:val="00167FEE"/>
    <w:rsid w:val="001829BD"/>
    <w:rsid w:val="00185C6D"/>
    <w:rsid w:val="00185D93"/>
    <w:rsid w:val="0018726D"/>
    <w:rsid w:val="001A0EB4"/>
    <w:rsid w:val="001A283D"/>
    <w:rsid w:val="001A6428"/>
    <w:rsid w:val="001C2A74"/>
    <w:rsid w:val="001C2EEC"/>
    <w:rsid w:val="001C4140"/>
    <w:rsid w:val="001E0829"/>
    <w:rsid w:val="00203DDB"/>
    <w:rsid w:val="002150D8"/>
    <w:rsid w:val="002224E0"/>
    <w:rsid w:val="00250AAF"/>
    <w:rsid w:val="00273619"/>
    <w:rsid w:val="002756E2"/>
    <w:rsid w:val="00275E02"/>
    <w:rsid w:val="002762E1"/>
    <w:rsid w:val="00283DE8"/>
    <w:rsid w:val="00285966"/>
    <w:rsid w:val="002924AE"/>
    <w:rsid w:val="00292ABA"/>
    <w:rsid w:val="002A3D26"/>
    <w:rsid w:val="002B6CCF"/>
    <w:rsid w:val="002C2755"/>
    <w:rsid w:val="002C444C"/>
    <w:rsid w:val="002C46DE"/>
    <w:rsid w:val="002C5E35"/>
    <w:rsid w:val="002C6C7A"/>
    <w:rsid w:val="002C6DDF"/>
    <w:rsid w:val="002C7C86"/>
    <w:rsid w:val="002E30B0"/>
    <w:rsid w:val="002E3997"/>
    <w:rsid w:val="002F1437"/>
    <w:rsid w:val="002F3943"/>
    <w:rsid w:val="002F66EA"/>
    <w:rsid w:val="002F6C8F"/>
    <w:rsid w:val="00303F9D"/>
    <w:rsid w:val="00332700"/>
    <w:rsid w:val="0034287E"/>
    <w:rsid w:val="00345D36"/>
    <w:rsid w:val="003546E7"/>
    <w:rsid w:val="003560BA"/>
    <w:rsid w:val="003838AE"/>
    <w:rsid w:val="00392123"/>
    <w:rsid w:val="003933B8"/>
    <w:rsid w:val="00394253"/>
    <w:rsid w:val="003A0936"/>
    <w:rsid w:val="003A3CEB"/>
    <w:rsid w:val="003D2871"/>
    <w:rsid w:val="003E13CC"/>
    <w:rsid w:val="003E6E47"/>
    <w:rsid w:val="003F00A7"/>
    <w:rsid w:val="003F0623"/>
    <w:rsid w:val="003F1178"/>
    <w:rsid w:val="003F2D40"/>
    <w:rsid w:val="003F6E49"/>
    <w:rsid w:val="004009C9"/>
    <w:rsid w:val="00404E64"/>
    <w:rsid w:val="004133CB"/>
    <w:rsid w:val="00414A14"/>
    <w:rsid w:val="004200FE"/>
    <w:rsid w:val="00420DA0"/>
    <w:rsid w:val="00427738"/>
    <w:rsid w:val="00433049"/>
    <w:rsid w:val="00433C06"/>
    <w:rsid w:val="00434F73"/>
    <w:rsid w:val="004365AD"/>
    <w:rsid w:val="0044072C"/>
    <w:rsid w:val="00443D32"/>
    <w:rsid w:val="00447CE5"/>
    <w:rsid w:val="00447D6E"/>
    <w:rsid w:val="0046286E"/>
    <w:rsid w:val="00463F3A"/>
    <w:rsid w:val="00477522"/>
    <w:rsid w:val="00493457"/>
    <w:rsid w:val="00494628"/>
    <w:rsid w:val="00494BB1"/>
    <w:rsid w:val="004B3254"/>
    <w:rsid w:val="004B3D63"/>
    <w:rsid w:val="004B4A3A"/>
    <w:rsid w:val="004B56F8"/>
    <w:rsid w:val="004C1535"/>
    <w:rsid w:val="004C7188"/>
    <w:rsid w:val="004D593A"/>
    <w:rsid w:val="004E1FA2"/>
    <w:rsid w:val="004E76CA"/>
    <w:rsid w:val="004F5616"/>
    <w:rsid w:val="0051020F"/>
    <w:rsid w:val="00514914"/>
    <w:rsid w:val="00531463"/>
    <w:rsid w:val="00535414"/>
    <w:rsid w:val="005360B3"/>
    <w:rsid w:val="00547CB7"/>
    <w:rsid w:val="0055441D"/>
    <w:rsid w:val="00554D3E"/>
    <w:rsid w:val="00561E12"/>
    <w:rsid w:val="00564792"/>
    <w:rsid w:val="0057096C"/>
    <w:rsid w:val="00570F8E"/>
    <w:rsid w:val="00573438"/>
    <w:rsid w:val="005734A4"/>
    <w:rsid w:val="00577A3B"/>
    <w:rsid w:val="005976A1"/>
    <w:rsid w:val="005A0DDF"/>
    <w:rsid w:val="005A1078"/>
    <w:rsid w:val="005B28C1"/>
    <w:rsid w:val="005B453F"/>
    <w:rsid w:val="005B6F31"/>
    <w:rsid w:val="005C2E48"/>
    <w:rsid w:val="005D4DD7"/>
    <w:rsid w:val="00602799"/>
    <w:rsid w:val="00612041"/>
    <w:rsid w:val="006177A1"/>
    <w:rsid w:val="006220F9"/>
    <w:rsid w:val="00627018"/>
    <w:rsid w:val="00634CBB"/>
    <w:rsid w:val="00635043"/>
    <w:rsid w:val="006404E6"/>
    <w:rsid w:val="00647ABE"/>
    <w:rsid w:val="006526EE"/>
    <w:rsid w:val="00653F86"/>
    <w:rsid w:val="006617B4"/>
    <w:rsid w:val="00664B05"/>
    <w:rsid w:val="006651F7"/>
    <w:rsid w:val="00692A90"/>
    <w:rsid w:val="006A7823"/>
    <w:rsid w:val="006B0DF3"/>
    <w:rsid w:val="006C430A"/>
    <w:rsid w:val="006D139D"/>
    <w:rsid w:val="006D2809"/>
    <w:rsid w:val="006F198A"/>
    <w:rsid w:val="006F70BE"/>
    <w:rsid w:val="007048AC"/>
    <w:rsid w:val="0070691A"/>
    <w:rsid w:val="00710D2C"/>
    <w:rsid w:val="00712A2C"/>
    <w:rsid w:val="00713905"/>
    <w:rsid w:val="00714F7B"/>
    <w:rsid w:val="00715284"/>
    <w:rsid w:val="00732A8B"/>
    <w:rsid w:val="00740761"/>
    <w:rsid w:val="00753113"/>
    <w:rsid w:val="00764D0D"/>
    <w:rsid w:val="007651AF"/>
    <w:rsid w:val="00773DB0"/>
    <w:rsid w:val="00775421"/>
    <w:rsid w:val="0078324E"/>
    <w:rsid w:val="00783EC8"/>
    <w:rsid w:val="0079086C"/>
    <w:rsid w:val="007933F1"/>
    <w:rsid w:val="00794D87"/>
    <w:rsid w:val="00796E2A"/>
    <w:rsid w:val="007B68D1"/>
    <w:rsid w:val="007B7D0B"/>
    <w:rsid w:val="007D0A5B"/>
    <w:rsid w:val="007D0A8B"/>
    <w:rsid w:val="007D4F34"/>
    <w:rsid w:val="007E43F8"/>
    <w:rsid w:val="007E656B"/>
    <w:rsid w:val="007F50E8"/>
    <w:rsid w:val="007F5269"/>
    <w:rsid w:val="00800319"/>
    <w:rsid w:val="00801F7F"/>
    <w:rsid w:val="008027E6"/>
    <w:rsid w:val="00824F1C"/>
    <w:rsid w:val="008327BE"/>
    <w:rsid w:val="00857720"/>
    <w:rsid w:val="00866417"/>
    <w:rsid w:val="00881A42"/>
    <w:rsid w:val="00885E0A"/>
    <w:rsid w:val="0088603B"/>
    <w:rsid w:val="00893A15"/>
    <w:rsid w:val="00893FC3"/>
    <w:rsid w:val="0089577B"/>
    <w:rsid w:val="008A5FDD"/>
    <w:rsid w:val="008B2849"/>
    <w:rsid w:val="008C273B"/>
    <w:rsid w:val="008C32E5"/>
    <w:rsid w:val="008E17CC"/>
    <w:rsid w:val="008F33B4"/>
    <w:rsid w:val="008F6F7E"/>
    <w:rsid w:val="00904B95"/>
    <w:rsid w:val="00905EF2"/>
    <w:rsid w:val="009105BB"/>
    <w:rsid w:val="00911C25"/>
    <w:rsid w:val="00914863"/>
    <w:rsid w:val="00922B85"/>
    <w:rsid w:val="009231F4"/>
    <w:rsid w:val="009368B8"/>
    <w:rsid w:val="009500DC"/>
    <w:rsid w:val="00951923"/>
    <w:rsid w:val="00954EA1"/>
    <w:rsid w:val="00957D02"/>
    <w:rsid w:val="0096212D"/>
    <w:rsid w:val="00962B12"/>
    <w:rsid w:val="00972C81"/>
    <w:rsid w:val="00987E3F"/>
    <w:rsid w:val="00994CC9"/>
    <w:rsid w:val="009956B3"/>
    <w:rsid w:val="00995CB0"/>
    <w:rsid w:val="00997E77"/>
    <w:rsid w:val="009A010E"/>
    <w:rsid w:val="009A35B9"/>
    <w:rsid w:val="009C1777"/>
    <w:rsid w:val="009C2C86"/>
    <w:rsid w:val="009C7E0C"/>
    <w:rsid w:val="009D3E62"/>
    <w:rsid w:val="009E1802"/>
    <w:rsid w:val="009E1CDE"/>
    <w:rsid w:val="009E51E2"/>
    <w:rsid w:val="009F04A4"/>
    <w:rsid w:val="009F6F4C"/>
    <w:rsid w:val="009F7A61"/>
    <w:rsid w:val="00A03D2B"/>
    <w:rsid w:val="00A06870"/>
    <w:rsid w:val="00A07BD0"/>
    <w:rsid w:val="00A12EF6"/>
    <w:rsid w:val="00A1423E"/>
    <w:rsid w:val="00A16DDD"/>
    <w:rsid w:val="00A2299D"/>
    <w:rsid w:val="00A23260"/>
    <w:rsid w:val="00A34E38"/>
    <w:rsid w:val="00A366E8"/>
    <w:rsid w:val="00A5007B"/>
    <w:rsid w:val="00A500D6"/>
    <w:rsid w:val="00A54227"/>
    <w:rsid w:val="00A67BF5"/>
    <w:rsid w:val="00A70030"/>
    <w:rsid w:val="00A70ABD"/>
    <w:rsid w:val="00A76B1A"/>
    <w:rsid w:val="00A77029"/>
    <w:rsid w:val="00A86DA2"/>
    <w:rsid w:val="00A951B9"/>
    <w:rsid w:val="00AA0C22"/>
    <w:rsid w:val="00AA6F63"/>
    <w:rsid w:val="00AB3386"/>
    <w:rsid w:val="00AB6D9F"/>
    <w:rsid w:val="00AD4DD0"/>
    <w:rsid w:val="00AD72FE"/>
    <w:rsid w:val="00AE175D"/>
    <w:rsid w:val="00AE6332"/>
    <w:rsid w:val="00AF3702"/>
    <w:rsid w:val="00AF6342"/>
    <w:rsid w:val="00B03FB3"/>
    <w:rsid w:val="00B07EE5"/>
    <w:rsid w:val="00B173AD"/>
    <w:rsid w:val="00B26B83"/>
    <w:rsid w:val="00B273DF"/>
    <w:rsid w:val="00B32479"/>
    <w:rsid w:val="00B4157D"/>
    <w:rsid w:val="00B457BB"/>
    <w:rsid w:val="00B51295"/>
    <w:rsid w:val="00B7560F"/>
    <w:rsid w:val="00B7578F"/>
    <w:rsid w:val="00B866B4"/>
    <w:rsid w:val="00BA6557"/>
    <w:rsid w:val="00BA7A66"/>
    <w:rsid w:val="00BB0B39"/>
    <w:rsid w:val="00BB5F1F"/>
    <w:rsid w:val="00BB5F75"/>
    <w:rsid w:val="00BD3DB9"/>
    <w:rsid w:val="00BD5B88"/>
    <w:rsid w:val="00BF6DB3"/>
    <w:rsid w:val="00C01EEC"/>
    <w:rsid w:val="00C24D03"/>
    <w:rsid w:val="00C25E61"/>
    <w:rsid w:val="00C45687"/>
    <w:rsid w:val="00C47DAD"/>
    <w:rsid w:val="00C5479D"/>
    <w:rsid w:val="00C54EFF"/>
    <w:rsid w:val="00C6363A"/>
    <w:rsid w:val="00C648F1"/>
    <w:rsid w:val="00C72B8B"/>
    <w:rsid w:val="00C803CD"/>
    <w:rsid w:val="00C92765"/>
    <w:rsid w:val="00C92AC4"/>
    <w:rsid w:val="00C96A03"/>
    <w:rsid w:val="00C9725C"/>
    <w:rsid w:val="00CA2AB4"/>
    <w:rsid w:val="00CB0100"/>
    <w:rsid w:val="00CB1738"/>
    <w:rsid w:val="00CB4C23"/>
    <w:rsid w:val="00CC1918"/>
    <w:rsid w:val="00CC3B3A"/>
    <w:rsid w:val="00CC64F7"/>
    <w:rsid w:val="00CD12AF"/>
    <w:rsid w:val="00CE56C9"/>
    <w:rsid w:val="00CE5BEB"/>
    <w:rsid w:val="00CE69E9"/>
    <w:rsid w:val="00CF042A"/>
    <w:rsid w:val="00CF05E8"/>
    <w:rsid w:val="00CF6048"/>
    <w:rsid w:val="00CF61C9"/>
    <w:rsid w:val="00CF71FD"/>
    <w:rsid w:val="00D14EBE"/>
    <w:rsid w:val="00D16E64"/>
    <w:rsid w:val="00D25074"/>
    <w:rsid w:val="00D25CF6"/>
    <w:rsid w:val="00D30FA3"/>
    <w:rsid w:val="00D327EE"/>
    <w:rsid w:val="00D3474A"/>
    <w:rsid w:val="00D416F0"/>
    <w:rsid w:val="00D41EC0"/>
    <w:rsid w:val="00D44A41"/>
    <w:rsid w:val="00D6145D"/>
    <w:rsid w:val="00D63CAC"/>
    <w:rsid w:val="00D67BF3"/>
    <w:rsid w:val="00D728D9"/>
    <w:rsid w:val="00D75D77"/>
    <w:rsid w:val="00D82C12"/>
    <w:rsid w:val="00D86CD4"/>
    <w:rsid w:val="00DA0F95"/>
    <w:rsid w:val="00DA11A0"/>
    <w:rsid w:val="00DA690B"/>
    <w:rsid w:val="00DB27E1"/>
    <w:rsid w:val="00DD554D"/>
    <w:rsid w:val="00DE7428"/>
    <w:rsid w:val="00DF2EE9"/>
    <w:rsid w:val="00DF603F"/>
    <w:rsid w:val="00E07752"/>
    <w:rsid w:val="00E116CF"/>
    <w:rsid w:val="00E156A8"/>
    <w:rsid w:val="00E15D08"/>
    <w:rsid w:val="00E16609"/>
    <w:rsid w:val="00E233F3"/>
    <w:rsid w:val="00E2728A"/>
    <w:rsid w:val="00E5603B"/>
    <w:rsid w:val="00E5694E"/>
    <w:rsid w:val="00E614C9"/>
    <w:rsid w:val="00E65707"/>
    <w:rsid w:val="00E707AF"/>
    <w:rsid w:val="00E76106"/>
    <w:rsid w:val="00E800BD"/>
    <w:rsid w:val="00E81F3E"/>
    <w:rsid w:val="00E82854"/>
    <w:rsid w:val="00E8483E"/>
    <w:rsid w:val="00E84C92"/>
    <w:rsid w:val="00E859BD"/>
    <w:rsid w:val="00E918CB"/>
    <w:rsid w:val="00E96759"/>
    <w:rsid w:val="00EB1C22"/>
    <w:rsid w:val="00EB34FC"/>
    <w:rsid w:val="00EB76E1"/>
    <w:rsid w:val="00EC2350"/>
    <w:rsid w:val="00EC53A1"/>
    <w:rsid w:val="00EC5A7E"/>
    <w:rsid w:val="00EE2F27"/>
    <w:rsid w:val="00EF4C9C"/>
    <w:rsid w:val="00F114BC"/>
    <w:rsid w:val="00F20DCF"/>
    <w:rsid w:val="00F20FE8"/>
    <w:rsid w:val="00F22547"/>
    <w:rsid w:val="00F240A1"/>
    <w:rsid w:val="00F25182"/>
    <w:rsid w:val="00F34BA1"/>
    <w:rsid w:val="00F4528F"/>
    <w:rsid w:val="00F4752B"/>
    <w:rsid w:val="00F56792"/>
    <w:rsid w:val="00F6704D"/>
    <w:rsid w:val="00F7242E"/>
    <w:rsid w:val="00F76091"/>
    <w:rsid w:val="00F92B70"/>
    <w:rsid w:val="00F95C67"/>
    <w:rsid w:val="00FB7D7E"/>
    <w:rsid w:val="00FD5A8C"/>
    <w:rsid w:val="00FD6B8B"/>
    <w:rsid w:val="00FE3233"/>
    <w:rsid w:val="00FE3652"/>
    <w:rsid w:val="00FE5197"/>
    <w:rsid w:val="00FE55A6"/>
    <w:rsid w:val="00FF01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Contemporary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1660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E16609"/>
    <w:pPr>
      <w:keepNext/>
      <w:spacing w:before="240" w:after="120"/>
      <w:outlineLvl w:val="0"/>
    </w:pPr>
    <w:rPr>
      <w:rFonts w:ascii="Arial Narrow" w:hAnsi="Arial Narrow" w:cs="Arial"/>
      <w:b/>
      <w:bCs/>
      <w:smallCaps/>
      <w:kern w:val="32"/>
      <w:sz w:val="36"/>
      <w:szCs w:val="32"/>
    </w:rPr>
  </w:style>
  <w:style w:type="paragraph" w:styleId="Heading2">
    <w:name w:val="heading 2"/>
    <w:basedOn w:val="Normal"/>
    <w:next w:val="Normal"/>
    <w:link w:val="Heading2Char"/>
    <w:qFormat/>
    <w:rsid w:val="00E16609"/>
    <w:pPr>
      <w:keepNext/>
      <w:spacing w:before="240" w:after="60"/>
      <w:outlineLvl w:val="1"/>
    </w:pPr>
    <w:rPr>
      <w:rFonts w:ascii="Arial Narrow" w:hAnsi="Arial Narrow" w:cs="Arial"/>
      <w:b/>
      <w:bCs/>
      <w:iCs/>
      <w:smallCap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E1660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E16609"/>
    <w:rPr>
      <w:rFonts w:ascii="Arial Narrow" w:eastAsia="Times New Roman" w:hAnsi="Arial Narrow" w:cs="Arial"/>
      <w:b/>
      <w:bCs/>
      <w:smallCaps/>
      <w:kern w:val="32"/>
      <w:sz w:val="36"/>
      <w:szCs w:val="32"/>
    </w:rPr>
  </w:style>
  <w:style w:type="character" w:customStyle="1" w:styleId="Heading2Char">
    <w:name w:val="Heading 2 Char"/>
    <w:basedOn w:val="DefaultParagraphFont"/>
    <w:link w:val="Heading2"/>
    <w:rsid w:val="00E16609"/>
    <w:rPr>
      <w:rFonts w:ascii="Arial Narrow" w:eastAsia="Times New Roman" w:hAnsi="Arial Narrow" w:cs="Arial"/>
      <w:b/>
      <w:bCs/>
      <w:iCs/>
      <w:smallCaps/>
      <w:sz w:val="28"/>
      <w:szCs w:val="28"/>
    </w:rPr>
  </w:style>
  <w:style w:type="character" w:customStyle="1" w:styleId="Heading3Char">
    <w:name w:val="Heading 3 Char"/>
    <w:basedOn w:val="DefaultParagraphFont"/>
    <w:link w:val="Heading3"/>
    <w:rsid w:val="00E16609"/>
    <w:rPr>
      <w:rFonts w:ascii="Arial" w:eastAsia="Times New Roman" w:hAnsi="Arial" w:cs="Arial"/>
      <w:b/>
      <w:bCs/>
      <w:sz w:val="26"/>
      <w:szCs w:val="26"/>
    </w:rPr>
  </w:style>
  <w:style w:type="paragraph" w:customStyle="1" w:styleId="Reminders">
    <w:name w:val="Reminders"/>
    <w:basedOn w:val="Normal"/>
    <w:link w:val="RemindersChar"/>
    <w:rsid w:val="00E16609"/>
    <w:pPr>
      <w:spacing w:before="40" w:after="40"/>
    </w:pPr>
    <w:rPr>
      <w:rFonts w:ascii="Trebuchet MS" w:hAnsi="Trebuchet MS"/>
      <w:i/>
      <w:color w:val="FF0000"/>
    </w:rPr>
  </w:style>
  <w:style w:type="paragraph" w:customStyle="1" w:styleId="Reminder">
    <w:name w:val="Reminder"/>
    <w:basedOn w:val="Reminders"/>
    <w:link w:val="ReminderChar"/>
    <w:rsid w:val="00E16609"/>
  </w:style>
  <w:style w:type="character" w:customStyle="1" w:styleId="RemindersChar">
    <w:name w:val="Reminders Char"/>
    <w:basedOn w:val="DefaultParagraphFont"/>
    <w:link w:val="Reminders"/>
    <w:rsid w:val="00E16609"/>
    <w:rPr>
      <w:rFonts w:ascii="Trebuchet MS" w:eastAsia="Times New Roman" w:hAnsi="Trebuchet MS" w:cs="Times New Roman"/>
      <w:i/>
      <w:color w:val="FF0000"/>
      <w:sz w:val="24"/>
      <w:szCs w:val="24"/>
    </w:rPr>
  </w:style>
  <w:style w:type="character" w:customStyle="1" w:styleId="ReminderChar">
    <w:name w:val="Reminder Char"/>
    <w:basedOn w:val="RemindersChar"/>
    <w:link w:val="Reminder"/>
    <w:rsid w:val="00E16609"/>
    <w:rPr>
      <w:rFonts w:ascii="Trebuchet MS" w:eastAsia="Times New Roman" w:hAnsi="Trebuchet MS" w:cs="Times New Roman"/>
      <w:i/>
      <w:color w:val="FF0000"/>
      <w:sz w:val="24"/>
      <w:szCs w:val="24"/>
    </w:rPr>
  </w:style>
  <w:style w:type="table" w:styleId="TableContemporary">
    <w:name w:val="Table Contemporary"/>
    <w:basedOn w:val="TableNormal"/>
    <w:rsid w:val="00E166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Caption">
    <w:name w:val="caption"/>
    <w:basedOn w:val="Normal"/>
    <w:next w:val="Normal"/>
    <w:link w:val="CaptionChar"/>
    <w:qFormat/>
    <w:rsid w:val="00E16609"/>
    <w:rPr>
      <w:b/>
      <w:bCs/>
      <w:szCs w:val="3276"/>
    </w:rPr>
  </w:style>
  <w:style w:type="character" w:customStyle="1" w:styleId="CaptionChar">
    <w:name w:val="Caption Char"/>
    <w:basedOn w:val="DefaultParagraphFont"/>
    <w:link w:val="Caption"/>
    <w:rsid w:val="00E16609"/>
    <w:rPr>
      <w:rFonts w:ascii="Times New Roman" w:eastAsia="Times New Roman" w:hAnsi="Times New Roman" w:cs="Times New Roman"/>
      <w:b/>
      <w:bCs/>
      <w:sz w:val="24"/>
      <w:szCs w:val="3276"/>
    </w:rPr>
  </w:style>
  <w:style w:type="character" w:styleId="Hyperlink">
    <w:name w:val="Hyperlink"/>
    <w:basedOn w:val="DefaultParagraphFont"/>
    <w:uiPriority w:val="99"/>
    <w:unhideWhenUsed/>
    <w:rsid w:val="000F130A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semiHidden/>
    <w:rsid w:val="000F130A"/>
    <w:pPr>
      <w:ind w:left="360"/>
      <w:jc w:val="both"/>
    </w:pPr>
    <w:rPr>
      <w:rFonts w:ascii="Tahoma" w:hAnsi="Tahoma" w:cs="Tahoma"/>
      <w:bCs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0F130A"/>
    <w:rPr>
      <w:rFonts w:ascii="Tahoma" w:eastAsia="Times New Roman" w:hAnsi="Tahoma" w:cs="Tahoma"/>
      <w:bCs/>
      <w:sz w:val="16"/>
      <w:szCs w:val="16"/>
    </w:rPr>
  </w:style>
  <w:style w:type="table" w:styleId="TableGrid">
    <w:name w:val="Table Grid"/>
    <w:basedOn w:val="TableNormal"/>
    <w:uiPriority w:val="59"/>
    <w:rsid w:val="005B28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4">
    <w:name w:val="Char Char4"/>
    <w:basedOn w:val="Normal"/>
    <w:rsid w:val="00801F7F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reminders0">
    <w:name w:val="reminders"/>
    <w:basedOn w:val="Normal"/>
    <w:rsid w:val="00DA690B"/>
    <w:rPr>
      <w:rFonts w:ascii="Trebuchet MS" w:hAnsi="Trebuchet MS" w:cs="Arial"/>
      <w:color w:val="FF0000"/>
    </w:rPr>
  </w:style>
  <w:style w:type="paragraph" w:styleId="Header">
    <w:name w:val="header"/>
    <w:basedOn w:val="Normal"/>
    <w:link w:val="HeaderChar"/>
    <w:uiPriority w:val="99"/>
    <w:unhideWhenUsed/>
    <w:rsid w:val="00447D6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47D6E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447D6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47D6E"/>
    <w:rPr>
      <w:rFonts w:ascii="Times New Roman" w:eastAsia="Times New Roman" w:hAnsi="Times New Roman" w:cs="Times New Roman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14715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4715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47155"/>
    <w:rPr>
      <w:rFonts w:ascii="Times New Roman" w:eastAsia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4715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47155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NoSpacingChar">
    <w:name w:val="No Spacing Char"/>
    <w:basedOn w:val="DefaultParagraphFont"/>
    <w:link w:val="NoSpacing"/>
    <w:uiPriority w:val="1"/>
    <w:locked/>
    <w:rsid w:val="00E82854"/>
    <w:rPr>
      <w:sz w:val="20"/>
      <w:szCs w:val="20"/>
    </w:rPr>
  </w:style>
  <w:style w:type="paragraph" w:styleId="NoSpacing">
    <w:name w:val="No Spacing"/>
    <w:basedOn w:val="Normal"/>
    <w:link w:val="NoSpacingChar"/>
    <w:uiPriority w:val="1"/>
    <w:qFormat/>
    <w:rsid w:val="00E82854"/>
    <w:rPr>
      <w:rFonts w:asciiTheme="minorHAnsi" w:eastAsiaTheme="minorHAnsi" w:hAnsiTheme="minorHAnsi" w:cstheme="minorBidi"/>
      <w:sz w:val="20"/>
      <w:szCs w:val="20"/>
    </w:rPr>
  </w:style>
  <w:style w:type="paragraph" w:styleId="ListParagraph">
    <w:name w:val="List Paragraph"/>
    <w:basedOn w:val="Normal"/>
    <w:uiPriority w:val="34"/>
    <w:qFormat/>
    <w:rsid w:val="002E3997"/>
    <w:pPr>
      <w:ind w:left="720"/>
      <w:contextualSpacing/>
    </w:pPr>
    <w:rPr>
      <w:rFonts w:asciiTheme="minorHAnsi" w:hAnsiTheme="minorHAnsi"/>
      <w:sz w:val="22"/>
    </w:rPr>
  </w:style>
  <w:style w:type="paragraph" w:styleId="EndnoteText">
    <w:name w:val="endnote text"/>
    <w:basedOn w:val="Normal"/>
    <w:link w:val="EndnoteTextChar"/>
    <w:uiPriority w:val="99"/>
    <w:unhideWhenUsed/>
    <w:rsid w:val="003F2D40"/>
    <w:rPr>
      <w:rFonts w:asciiTheme="minorHAnsi" w:hAnsiTheme="minorHAnsi"/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rsid w:val="003F2D40"/>
    <w:rPr>
      <w:rFonts w:eastAsia="Times New Roman" w:cs="Times New Roman"/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3F2D40"/>
    <w:rPr>
      <w:vertAlign w:val="superscript"/>
    </w:rPr>
  </w:style>
  <w:style w:type="paragraph" w:styleId="Revision">
    <w:name w:val="Revision"/>
    <w:hidden/>
    <w:uiPriority w:val="99"/>
    <w:semiHidden/>
    <w:rsid w:val="00C96A0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554D3E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Contemporary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1660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E16609"/>
    <w:pPr>
      <w:keepNext/>
      <w:spacing w:before="240" w:after="120"/>
      <w:outlineLvl w:val="0"/>
    </w:pPr>
    <w:rPr>
      <w:rFonts w:ascii="Arial Narrow" w:hAnsi="Arial Narrow" w:cs="Arial"/>
      <w:b/>
      <w:bCs/>
      <w:smallCaps/>
      <w:kern w:val="32"/>
      <w:sz w:val="36"/>
      <w:szCs w:val="32"/>
    </w:rPr>
  </w:style>
  <w:style w:type="paragraph" w:styleId="Heading2">
    <w:name w:val="heading 2"/>
    <w:basedOn w:val="Normal"/>
    <w:next w:val="Normal"/>
    <w:link w:val="Heading2Char"/>
    <w:qFormat/>
    <w:rsid w:val="00E16609"/>
    <w:pPr>
      <w:keepNext/>
      <w:spacing w:before="240" w:after="60"/>
      <w:outlineLvl w:val="1"/>
    </w:pPr>
    <w:rPr>
      <w:rFonts w:ascii="Arial Narrow" w:hAnsi="Arial Narrow" w:cs="Arial"/>
      <w:b/>
      <w:bCs/>
      <w:iCs/>
      <w:smallCap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E1660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E16609"/>
    <w:rPr>
      <w:rFonts w:ascii="Arial Narrow" w:eastAsia="Times New Roman" w:hAnsi="Arial Narrow" w:cs="Arial"/>
      <w:b/>
      <w:bCs/>
      <w:smallCaps/>
      <w:kern w:val="32"/>
      <w:sz w:val="36"/>
      <w:szCs w:val="32"/>
    </w:rPr>
  </w:style>
  <w:style w:type="character" w:customStyle="1" w:styleId="Heading2Char">
    <w:name w:val="Heading 2 Char"/>
    <w:basedOn w:val="DefaultParagraphFont"/>
    <w:link w:val="Heading2"/>
    <w:rsid w:val="00E16609"/>
    <w:rPr>
      <w:rFonts w:ascii="Arial Narrow" w:eastAsia="Times New Roman" w:hAnsi="Arial Narrow" w:cs="Arial"/>
      <w:b/>
      <w:bCs/>
      <w:iCs/>
      <w:smallCaps/>
      <w:sz w:val="28"/>
      <w:szCs w:val="28"/>
    </w:rPr>
  </w:style>
  <w:style w:type="character" w:customStyle="1" w:styleId="Heading3Char">
    <w:name w:val="Heading 3 Char"/>
    <w:basedOn w:val="DefaultParagraphFont"/>
    <w:link w:val="Heading3"/>
    <w:rsid w:val="00E16609"/>
    <w:rPr>
      <w:rFonts w:ascii="Arial" w:eastAsia="Times New Roman" w:hAnsi="Arial" w:cs="Arial"/>
      <w:b/>
      <w:bCs/>
      <w:sz w:val="26"/>
      <w:szCs w:val="26"/>
    </w:rPr>
  </w:style>
  <w:style w:type="paragraph" w:customStyle="1" w:styleId="Reminders">
    <w:name w:val="Reminders"/>
    <w:basedOn w:val="Normal"/>
    <w:link w:val="RemindersChar"/>
    <w:rsid w:val="00E16609"/>
    <w:pPr>
      <w:spacing w:before="40" w:after="40"/>
    </w:pPr>
    <w:rPr>
      <w:rFonts w:ascii="Trebuchet MS" w:hAnsi="Trebuchet MS"/>
      <w:i/>
      <w:color w:val="FF0000"/>
    </w:rPr>
  </w:style>
  <w:style w:type="paragraph" w:customStyle="1" w:styleId="Reminder">
    <w:name w:val="Reminder"/>
    <w:basedOn w:val="Reminders"/>
    <w:link w:val="ReminderChar"/>
    <w:rsid w:val="00E16609"/>
  </w:style>
  <w:style w:type="character" w:customStyle="1" w:styleId="RemindersChar">
    <w:name w:val="Reminders Char"/>
    <w:basedOn w:val="DefaultParagraphFont"/>
    <w:link w:val="Reminders"/>
    <w:rsid w:val="00E16609"/>
    <w:rPr>
      <w:rFonts w:ascii="Trebuchet MS" w:eastAsia="Times New Roman" w:hAnsi="Trebuchet MS" w:cs="Times New Roman"/>
      <w:i/>
      <w:color w:val="FF0000"/>
      <w:sz w:val="24"/>
      <w:szCs w:val="24"/>
    </w:rPr>
  </w:style>
  <w:style w:type="character" w:customStyle="1" w:styleId="ReminderChar">
    <w:name w:val="Reminder Char"/>
    <w:basedOn w:val="RemindersChar"/>
    <w:link w:val="Reminder"/>
    <w:rsid w:val="00E16609"/>
    <w:rPr>
      <w:rFonts w:ascii="Trebuchet MS" w:eastAsia="Times New Roman" w:hAnsi="Trebuchet MS" w:cs="Times New Roman"/>
      <w:i/>
      <w:color w:val="FF0000"/>
      <w:sz w:val="24"/>
      <w:szCs w:val="24"/>
    </w:rPr>
  </w:style>
  <w:style w:type="table" w:styleId="TableContemporary">
    <w:name w:val="Table Contemporary"/>
    <w:basedOn w:val="TableNormal"/>
    <w:rsid w:val="00E166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Caption">
    <w:name w:val="caption"/>
    <w:basedOn w:val="Normal"/>
    <w:next w:val="Normal"/>
    <w:link w:val="CaptionChar"/>
    <w:qFormat/>
    <w:rsid w:val="00E16609"/>
    <w:rPr>
      <w:b/>
      <w:bCs/>
      <w:szCs w:val="3276"/>
    </w:rPr>
  </w:style>
  <w:style w:type="character" w:customStyle="1" w:styleId="CaptionChar">
    <w:name w:val="Caption Char"/>
    <w:basedOn w:val="DefaultParagraphFont"/>
    <w:link w:val="Caption"/>
    <w:rsid w:val="00E16609"/>
    <w:rPr>
      <w:rFonts w:ascii="Times New Roman" w:eastAsia="Times New Roman" w:hAnsi="Times New Roman" w:cs="Times New Roman"/>
      <w:b/>
      <w:bCs/>
      <w:sz w:val="24"/>
      <w:szCs w:val="3276"/>
    </w:rPr>
  </w:style>
  <w:style w:type="character" w:styleId="Hyperlink">
    <w:name w:val="Hyperlink"/>
    <w:basedOn w:val="DefaultParagraphFont"/>
    <w:uiPriority w:val="99"/>
    <w:unhideWhenUsed/>
    <w:rsid w:val="000F130A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semiHidden/>
    <w:rsid w:val="000F130A"/>
    <w:pPr>
      <w:ind w:left="360"/>
      <w:jc w:val="both"/>
    </w:pPr>
    <w:rPr>
      <w:rFonts w:ascii="Tahoma" w:hAnsi="Tahoma" w:cs="Tahoma"/>
      <w:bCs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0F130A"/>
    <w:rPr>
      <w:rFonts w:ascii="Tahoma" w:eastAsia="Times New Roman" w:hAnsi="Tahoma" w:cs="Tahoma"/>
      <w:bCs/>
      <w:sz w:val="16"/>
      <w:szCs w:val="16"/>
    </w:rPr>
  </w:style>
  <w:style w:type="table" w:styleId="TableGrid">
    <w:name w:val="Table Grid"/>
    <w:basedOn w:val="TableNormal"/>
    <w:uiPriority w:val="59"/>
    <w:rsid w:val="005B28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4">
    <w:name w:val="Char Char4"/>
    <w:basedOn w:val="Normal"/>
    <w:rsid w:val="00801F7F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reminders0">
    <w:name w:val="reminders"/>
    <w:basedOn w:val="Normal"/>
    <w:rsid w:val="00DA690B"/>
    <w:rPr>
      <w:rFonts w:ascii="Trebuchet MS" w:hAnsi="Trebuchet MS" w:cs="Arial"/>
      <w:color w:val="FF0000"/>
    </w:rPr>
  </w:style>
  <w:style w:type="paragraph" w:styleId="Header">
    <w:name w:val="header"/>
    <w:basedOn w:val="Normal"/>
    <w:link w:val="HeaderChar"/>
    <w:uiPriority w:val="99"/>
    <w:unhideWhenUsed/>
    <w:rsid w:val="00447D6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47D6E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447D6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47D6E"/>
    <w:rPr>
      <w:rFonts w:ascii="Times New Roman" w:eastAsia="Times New Roman" w:hAnsi="Times New Roman" w:cs="Times New Roman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14715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4715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47155"/>
    <w:rPr>
      <w:rFonts w:ascii="Times New Roman" w:eastAsia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4715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47155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NoSpacingChar">
    <w:name w:val="No Spacing Char"/>
    <w:basedOn w:val="DefaultParagraphFont"/>
    <w:link w:val="NoSpacing"/>
    <w:uiPriority w:val="1"/>
    <w:locked/>
    <w:rsid w:val="00E82854"/>
    <w:rPr>
      <w:sz w:val="20"/>
      <w:szCs w:val="20"/>
    </w:rPr>
  </w:style>
  <w:style w:type="paragraph" w:styleId="NoSpacing">
    <w:name w:val="No Spacing"/>
    <w:basedOn w:val="Normal"/>
    <w:link w:val="NoSpacingChar"/>
    <w:uiPriority w:val="1"/>
    <w:qFormat/>
    <w:rsid w:val="00E82854"/>
    <w:rPr>
      <w:rFonts w:asciiTheme="minorHAnsi" w:eastAsiaTheme="minorHAnsi" w:hAnsiTheme="minorHAnsi" w:cstheme="minorBidi"/>
      <w:sz w:val="20"/>
      <w:szCs w:val="20"/>
    </w:rPr>
  </w:style>
  <w:style w:type="paragraph" w:styleId="ListParagraph">
    <w:name w:val="List Paragraph"/>
    <w:basedOn w:val="Normal"/>
    <w:uiPriority w:val="34"/>
    <w:qFormat/>
    <w:rsid w:val="002E3997"/>
    <w:pPr>
      <w:ind w:left="720"/>
      <w:contextualSpacing/>
    </w:pPr>
    <w:rPr>
      <w:rFonts w:asciiTheme="minorHAnsi" w:hAnsiTheme="minorHAnsi"/>
      <w:sz w:val="22"/>
    </w:rPr>
  </w:style>
  <w:style w:type="paragraph" w:styleId="EndnoteText">
    <w:name w:val="endnote text"/>
    <w:basedOn w:val="Normal"/>
    <w:link w:val="EndnoteTextChar"/>
    <w:uiPriority w:val="99"/>
    <w:unhideWhenUsed/>
    <w:rsid w:val="003F2D40"/>
    <w:rPr>
      <w:rFonts w:asciiTheme="minorHAnsi" w:hAnsiTheme="minorHAnsi"/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rsid w:val="003F2D40"/>
    <w:rPr>
      <w:rFonts w:eastAsia="Times New Roman" w:cs="Times New Roman"/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3F2D40"/>
    <w:rPr>
      <w:vertAlign w:val="superscript"/>
    </w:rPr>
  </w:style>
  <w:style w:type="paragraph" w:styleId="Revision">
    <w:name w:val="Revision"/>
    <w:hidden/>
    <w:uiPriority w:val="99"/>
    <w:semiHidden/>
    <w:rsid w:val="00C96A0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554D3E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960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4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09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45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56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0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47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05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0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4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55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58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08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13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86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emf"/><Relationship Id="rId18" Type="http://schemas.openxmlformats.org/officeDocument/2006/relationships/package" Target="embeddings/Microsoft_Excel_Worksheet3.xlsx"/><Relationship Id="rId26" Type="http://schemas.openxmlformats.org/officeDocument/2006/relationships/hyperlink" Target="http://asset.sce.com/Documents/Business%20-%20Energy%20Management%20Solutions/120215_Customized1_0Policy.pdf" TargetMode="External"/><Relationship Id="rId3" Type="http://schemas.openxmlformats.org/officeDocument/2006/relationships/styles" Target="styles.xml"/><Relationship Id="rId21" Type="http://schemas.openxmlformats.org/officeDocument/2006/relationships/image" Target="media/image5.emf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yperlink" Target="http://www.deeresources.com" TargetMode="External"/><Relationship Id="rId17" Type="http://schemas.openxmlformats.org/officeDocument/2006/relationships/image" Target="media/image3.emf"/><Relationship Id="rId25" Type="http://schemas.openxmlformats.org/officeDocument/2006/relationships/hyperlink" Target="http://www.energy.ca.gov/2008publications/CEC-400-2008-001/CEC-400-2008-001-CMF.PDF" TargetMode="External"/><Relationship Id="rId33" Type="http://schemas.openxmlformats.org/officeDocument/2006/relationships/hyperlink" Target="http://www.energy.ca.gov/title24/2013standards/prerulemaking/documents/2011-04-04_workshop/review/Nonres_Controllable_Lighting.pdf" TargetMode="External"/><Relationship Id="rId2" Type="http://schemas.openxmlformats.org/officeDocument/2006/relationships/numbering" Target="numbering.xml"/><Relationship Id="rId16" Type="http://schemas.openxmlformats.org/officeDocument/2006/relationships/package" Target="embeddings/Microsoft_Excel_Worksheet2.xlsx"/><Relationship Id="rId20" Type="http://schemas.openxmlformats.org/officeDocument/2006/relationships/oleObject" Target="embeddings/Microsoft_Word_97_-_2003_Document1.doc"/><Relationship Id="rId29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3.xml"/><Relationship Id="rId24" Type="http://schemas.openxmlformats.org/officeDocument/2006/relationships/oleObject" Target="embeddings/Microsoft_Excel_97-2003_Worksheet2.xls"/><Relationship Id="rId32" Type="http://schemas.openxmlformats.org/officeDocument/2006/relationships/oleObject" Target="embeddings/oleObject2.bin"/><Relationship Id="rId5" Type="http://schemas.openxmlformats.org/officeDocument/2006/relationships/settings" Target="settings.xml"/><Relationship Id="rId15" Type="http://schemas.openxmlformats.org/officeDocument/2006/relationships/image" Target="media/image2.emf"/><Relationship Id="rId23" Type="http://schemas.openxmlformats.org/officeDocument/2006/relationships/image" Target="media/image6.emf"/><Relationship Id="rId28" Type="http://schemas.openxmlformats.org/officeDocument/2006/relationships/hyperlink" Target="https://www.sceonlineapp.com/" TargetMode="External"/><Relationship Id="rId10" Type="http://schemas.openxmlformats.org/officeDocument/2006/relationships/footer" Target="footer2.xml"/><Relationship Id="rId19" Type="http://schemas.openxmlformats.org/officeDocument/2006/relationships/image" Target="media/image4.emf"/><Relationship Id="rId31" Type="http://schemas.openxmlformats.org/officeDocument/2006/relationships/image" Target="media/image8.emf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package" Target="embeddings/Microsoft_Excel_Macro-Enabled_Worksheet1.xlsm"/><Relationship Id="rId22" Type="http://schemas.openxmlformats.org/officeDocument/2006/relationships/package" Target="embeddings/Microsoft_Excel_Worksheet4.xlsx"/><Relationship Id="rId27" Type="http://schemas.openxmlformats.org/officeDocument/2006/relationships/hyperlink" Target="http://www.energy.ca.gov/2008publications/CEC-400-2008-001/CEC-400-2008-001-CMF.PDF" TargetMode="External"/><Relationship Id="rId30" Type="http://schemas.openxmlformats.org/officeDocument/2006/relationships/oleObject" Target="embeddings/oleObject1.bin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6BF3AD-B35C-4768-B241-017E700345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18</Pages>
  <Words>4820</Words>
  <Characters>27474</Characters>
  <Application>Microsoft Office Word</Application>
  <DocSecurity>0</DocSecurity>
  <Lines>228</Lines>
  <Paragraphs>64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Southern California Edison</Company>
  <LinksUpToDate>false</LinksUpToDate>
  <CharactersWithSpaces>32230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O'Keefe, Brian</dc:creator>
  <cp:lastModifiedBy>charmste</cp:lastModifiedBy>
  <cp:revision>3</cp:revision>
  <cp:lastPrinted>2012-06-04T15:02:00Z</cp:lastPrinted>
  <dcterms:created xsi:type="dcterms:W3CDTF">2012-11-06T17:38:00Z</dcterms:created>
  <dcterms:modified xsi:type="dcterms:W3CDTF">2012-11-06T17:54:00Z</dcterms:modified>
</cp:coreProperties>
</file>