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r w:rsidR="00A40890">
        <w:t>WPSDGENRHC1061</w:t>
      </w:r>
    </w:p>
    <w:bookmarkEnd w:id="0"/>
    <w:p w:rsidR="00F117C6" w:rsidRPr="00500C4E" w:rsidRDefault="0095221A" w:rsidP="00F117C6">
      <w:pPr>
        <w:pStyle w:val="Revnumber"/>
        <w:rPr>
          <w:rStyle w:val="CaptionChar"/>
          <w:b/>
          <w:bCs w:val="0"/>
        </w:rPr>
      </w:pPr>
      <w:r>
        <w:rPr>
          <w:rStyle w:val="CaptionChar"/>
          <w:b/>
          <w:bCs w:val="0"/>
        </w:rPr>
        <w:t xml:space="preserve">Revision </w:t>
      </w:r>
      <w:r w:rsidR="009A0721">
        <w:rPr>
          <w:rStyle w:val="CaptionChar"/>
          <w:b/>
          <w:bCs w:val="0"/>
        </w:rPr>
        <w:t>1</w:t>
      </w:r>
    </w:p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F117C6" w:rsidRPr="00500C4E" w:rsidRDefault="00861B74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bookmarkStart w:id="1" w:name="SCE"/>
      <w:r>
        <w:rPr>
          <w:rFonts w:cstheme="minorHAnsi"/>
          <w:b/>
          <w:sz w:val="36"/>
          <w:szCs w:val="36"/>
        </w:rPr>
        <w:t>S</w:t>
      </w:r>
      <w:r w:rsidR="006049AE">
        <w:rPr>
          <w:rFonts w:cstheme="minorHAnsi"/>
          <w:b/>
          <w:sz w:val="36"/>
          <w:szCs w:val="36"/>
        </w:rPr>
        <w:t>an Diego Gas &amp; Electric</w:t>
      </w:r>
      <w:bookmarkEnd w:id="1"/>
    </w:p>
    <w:p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E520B" w:rsidRDefault="009A0721" w:rsidP="000F72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Space Heating Boilers</w:t>
      </w:r>
      <w:r w:rsidR="008C3D1E" w:rsidRPr="008C3D1E">
        <w:rPr>
          <w:rFonts w:cstheme="minorHAnsi"/>
          <w:b/>
          <w:sz w:val="72"/>
          <w:szCs w:val="72"/>
        </w:rPr>
        <w:t xml:space="preserve"> </w:t>
      </w:r>
      <w:r w:rsidR="00F117C6">
        <w:rPr>
          <w:rFonts w:cstheme="minorHAnsi"/>
          <w:b/>
          <w:sz w:val="72"/>
          <w:szCs w:val="72"/>
        </w:rPr>
        <w:t xml:space="preserve"> </w:t>
      </w:r>
    </w:p>
    <w:p w:rsidR="00861B74" w:rsidRPr="00C1087D" w:rsidRDefault="00861B74" w:rsidP="000F72EF">
      <w:pPr>
        <w:rPr>
          <w:rFonts w:cstheme="minorHAnsi"/>
          <w:b/>
          <w:sz w:val="28"/>
          <w:szCs w:val="28"/>
        </w:rPr>
      </w:pPr>
    </w:p>
    <w:p w:rsidR="00861B74" w:rsidRPr="00C1087D" w:rsidRDefault="00861B74" w:rsidP="000F72EF">
      <w:pPr>
        <w:rPr>
          <w:rFonts w:cstheme="minorHAnsi"/>
          <w:b/>
          <w:sz w:val="28"/>
          <w:szCs w:val="28"/>
        </w:rPr>
      </w:pPr>
    </w:p>
    <w:p w:rsidR="00861B74" w:rsidRDefault="00861B74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Default="009258E5" w:rsidP="000F72EF">
      <w:pPr>
        <w:rPr>
          <w:rFonts w:cstheme="minorHAnsi"/>
          <w:b/>
          <w:sz w:val="28"/>
          <w:szCs w:val="28"/>
        </w:rPr>
      </w:pPr>
    </w:p>
    <w:p w:rsidR="009258E5" w:rsidRPr="00C1087D" w:rsidRDefault="009258E5" w:rsidP="000F72EF">
      <w:pPr>
        <w:rPr>
          <w:rFonts w:cstheme="minorHAnsi"/>
          <w:b/>
          <w:sz w:val="28"/>
          <w:szCs w:val="28"/>
        </w:rPr>
      </w:pPr>
    </w:p>
    <w:p w:rsidR="00861B74" w:rsidRPr="00C1087D" w:rsidRDefault="00861B74" w:rsidP="000F72EF">
      <w:pPr>
        <w:rPr>
          <w:rFonts w:cstheme="minorHAnsi"/>
          <w:b/>
          <w:sz w:val="28"/>
          <w:szCs w:val="28"/>
        </w:rPr>
      </w:pPr>
    </w:p>
    <w:p w:rsidR="00861B74" w:rsidRPr="00C1087D" w:rsidRDefault="00861B74" w:rsidP="000F72EF">
      <w:pPr>
        <w:rPr>
          <w:rFonts w:cstheme="minorHAnsi"/>
          <w:b/>
          <w:sz w:val="28"/>
          <w:szCs w:val="28"/>
        </w:rPr>
      </w:pPr>
    </w:p>
    <w:p w:rsidR="00861B74" w:rsidRPr="00C1087D" w:rsidRDefault="00861B74" w:rsidP="000F72EF">
      <w:pPr>
        <w:rPr>
          <w:rFonts w:cstheme="minorHAnsi"/>
          <w:b/>
          <w:sz w:val="28"/>
          <w:szCs w:val="28"/>
        </w:rPr>
      </w:pPr>
    </w:p>
    <w:p w:rsidR="00861B74" w:rsidRPr="00C1087D" w:rsidRDefault="00861B74" w:rsidP="000F72EF">
      <w:pPr>
        <w:rPr>
          <w:rFonts w:cstheme="minorHAnsi"/>
          <w:b/>
          <w:sz w:val="28"/>
          <w:szCs w:val="28"/>
        </w:rPr>
      </w:pPr>
    </w:p>
    <w:p w:rsidR="00861B74" w:rsidRPr="00861B74" w:rsidRDefault="00500D21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0D1C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docGrid w:linePitch="360"/>
        </w:sectPr>
      </w:pPr>
      <w:r>
        <w:rPr>
          <w:rFonts w:cstheme="minorHAnsi"/>
          <w:b/>
          <w:sz w:val="28"/>
          <w:szCs w:val="28"/>
        </w:rPr>
        <w:t xml:space="preserve">September </w:t>
      </w:r>
      <w:r w:rsidR="001D44E6">
        <w:rPr>
          <w:rFonts w:cstheme="minorHAnsi"/>
          <w:b/>
          <w:sz w:val="28"/>
          <w:szCs w:val="28"/>
        </w:rPr>
        <w:t>23,</w:t>
      </w:r>
      <w:r>
        <w:rPr>
          <w:rFonts w:cstheme="minorHAnsi"/>
          <w:b/>
          <w:sz w:val="28"/>
          <w:szCs w:val="28"/>
        </w:rPr>
        <w:t xml:space="preserve"> </w:t>
      </w:r>
      <w:r w:rsidR="009A0721">
        <w:rPr>
          <w:rFonts w:cstheme="minorHAnsi"/>
          <w:b/>
          <w:sz w:val="28"/>
          <w:szCs w:val="28"/>
        </w:rPr>
        <w:t>2016</w:t>
      </w:r>
    </w:p>
    <w:p w:rsidR="009258E5" w:rsidRPr="008828CF" w:rsidRDefault="009258E5" w:rsidP="009258E5">
      <w:pPr>
        <w:pStyle w:val="Heading1"/>
      </w:pPr>
      <w:r w:rsidRPr="009258E5">
        <w:lastRenderedPageBreak/>
        <w:t xml:space="preserve">Space Heating Boilers </w:t>
      </w:r>
      <w:r w:rsidRPr="008828CF">
        <w:t>Short Form WP</w:t>
      </w:r>
    </w:p>
    <w:p w:rsidR="0095221A" w:rsidRDefault="0095221A" w:rsidP="0095221A">
      <w:pPr>
        <w:pStyle w:val="Heading2"/>
      </w:pPr>
      <w:r>
        <w:t>Introduction</w:t>
      </w:r>
    </w:p>
    <w:p w:rsidR="0095221A" w:rsidRDefault="0095221A" w:rsidP="0095221A">
      <w:r>
        <w:t>This short form workp</w:t>
      </w:r>
      <w:r w:rsidR="0022781C">
        <w:t>aper documents the Ex-ante data</w:t>
      </w:r>
      <w:r>
        <w:t xml:space="preserve"> by referencing the DEER/READI database Measure IDs. The cost values are adopted from SCG’s </w:t>
      </w:r>
      <w:r w:rsidR="00661D43">
        <w:t xml:space="preserve">approved </w:t>
      </w:r>
      <w:r>
        <w:t xml:space="preserve">workpaper entitled “Commercial Boilers” (WPSCGNRWH120206C Rev6).  </w:t>
      </w:r>
    </w:p>
    <w:p w:rsidR="0095221A" w:rsidRDefault="0095221A" w:rsidP="0095221A"/>
    <w:p w:rsidR="0095221A" w:rsidRPr="009B0E7F" w:rsidRDefault="009B0E7F" w:rsidP="009B0E7F">
      <w:pPr>
        <w:keepNext/>
        <w:spacing w:before="240" w:after="60"/>
        <w:outlineLvl w:val="1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 w:rsidRPr="009B0E7F">
        <w:rPr>
          <w:rFonts w:ascii="Arial Narrow" w:hAnsi="Arial Narrow" w:cs="Arial"/>
          <w:b/>
          <w:bCs/>
          <w:iCs/>
          <w:smallCaps/>
          <w:sz w:val="28"/>
          <w:szCs w:val="28"/>
        </w:rPr>
        <w:t xml:space="preserve">Document Revision History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603"/>
        <w:gridCol w:w="1507"/>
        <w:gridCol w:w="1948"/>
        <w:gridCol w:w="6958"/>
      </w:tblGrid>
      <w:tr w:rsidR="0095221A" w:rsidRPr="0095221A" w:rsidTr="00FA4BFC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95221A" w:rsidRPr="0095221A" w:rsidRDefault="0095221A" w:rsidP="0095221A">
            <w:pPr>
              <w:rPr>
                <w:b/>
              </w:rPr>
            </w:pPr>
            <w:r w:rsidRPr="0095221A">
              <w:rPr>
                <w:b/>
                <w:bCs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95221A" w:rsidRPr="0095221A" w:rsidRDefault="0095221A" w:rsidP="0095221A">
            <w:pPr>
              <w:rPr>
                <w:b/>
              </w:rPr>
            </w:pPr>
            <w:r w:rsidRPr="0095221A">
              <w:rPr>
                <w:b/>
                <w:bCs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:rsidR="0095221A" w:rsidRPr="0095221A" w:rsidRDefault="0095221A" w:rsidP="0095221A">
            <w:pPr>
              <w:rPr>
                <w:b/>
              </w:rPr>
            </w:pPr>
            <w:r w:rsidRPr="0095221A">
              <w:rPr>
                <w:b/>
                <w:bCs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:rsidR="0095221A" w:rsidRPr="0095221A" w:rsidRDefault="0095221A" w:rsidP="0095221A">
            <w:pPr>
              <w:rPr>
                <w:b/>
              </w:rPr>
            </w:pPr>
            <w:r w:rsidRPr="0095221A">
              <w:rPr>
                <w:b/>
                <w:bCs/>
              </w:rPr>
              <w:t>Summary of Changes</w:t>
            </w:r>
          </w:p>
        </w:tc>
      </w:tr>
      <w:tr w:rsidR="0095221A" w:rsidRPr="0095221A" w:rsidTr="00FA4BFC">
        <w:trPr>
          <w:trHeight w:val="20"/>
        </w:trPr>
        <w:tc>
          <w:tcPr>
            <w:tcW w:w="274" w:type="pct"/>
            <w:vAlign w:val="center"/>
          </w:tcPr>
          <w:p w:rsidR="0095221A" w:rsidRPr="0095221A" w:rsidRDefault="0095221A" w:rsidP="0095221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0</w:t>
            </w:r>
          </w:p>
        </w:tc>
        <w:tc>
          <w:tcPr>
            <w:tcW w:w="684" w:type="pct"/>
            <w:vAlign w:val="center"/>
          </w:tcPr>
          <w:p w:rsidR="0095221A" w:rsidRPr="0095221A" w:rsidRDefault="0095221A" w:rsidP="0095221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06/15/2012</w:t>
            </w:r>
          </w:p>
        </w:tc>
        <w:tc>
          <w:tcPr>
            <w:tcW w:w="884" w:type="pct"/>
            <w:vAlign w:val="center"/>
          </w:tcPr>
          <w:p w:rsidR="0095221A" w:rsidRPr="0095221A" w:rsidRDefault="0095221A" w:rsidP="0095221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Kelvin Valenzuela / SDG&amp;E</w:t>
            </w:r>
          </w:p>
        </w:tc>
        <w:tc>
          <w:tcPr>
            <w:tcW w:w="3158" w:type="pct"/>
          </w:tcPr>
          <w:p w:rsidR="0095221A" w:rsidRPr="0095221A" w:rsidRDefault="0095221A" w:rsidP="0095221A">
            <w:pPr>
              <w:rPr>
                <w:rFonts w:cstheme="minorHAnsi"/>
              </w:rPr>
            </w:pPr>
            <w:r w:rsidRPr="0095221A">
              <w:rPr>
                <w:rFonts w:cstheme="minorHAnsi"/>
                <w:bCs/>
                <w:szCs w:val="20"/>
              </w:rPr>
              <w:t>Adopted from WPSCGNRHC120206A_Rev2_Space Heating Boiler-May22.docx, updated May 18, 2012.  Updated NTG values to DEER 2011</w:t>
            </w:r>
          </w:p>
        </w:tc>
      </w:tr>
      <w:tr w:rsidR="0095221A" w:rsidRPr="0095221A" w:rsidTr="00FA4BFC">
        <w:trPr>
          <w:trHeight w:val="20"/>
        </w:trPr>
        <w:tc>
          <w:tcPr>
            <w:tcW w:w="274" w:type="pct"/>
            <w:vAlign w:val="center"/>
          </w:tcPr>
          <w:p w:rsidR="0095221A" w:rsidRPr="0095221A" w:rsidRDefault="0095221A" w:rsidP="0095221A">
            <w:pPr>
              <w:jc w:val="center"/>
              <w:rPr>
                <w:bCs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84" w:type="pct"/>
            <w:vAlign w:val="center"/>
          </w:tcPr>
          <w:p w:rsidR="0095221A" w:rsidRPr="0095221A" w:rsidRDefault="0095221A" w:rsidP="0095221A">
            <w:pPr>
              <w:jc w:val="center"/>
              <w:rPr>
                <w:bCs/>
              </w:rPr>
            </w:pPr>
            <w:r>
              <w:rPr>
                <w:rFonts w:cstheme="minorHAnsi"/>
                <w:szCs w:val="20"/>
              </w:rPr>
              <w:t>09/23/2016</w:t>
            </w:r>
          </w:p>
        </w:tc>
        <w:tc>
          <w:tcPr>
            <w:tcW w:w="884" w:type="pct"/>
            <w:vAlign w:val="center"/>
          </w:tcPr>
          <w:p w:rsidR="0095221A" w:rsidRPr="0095221A" w:rsidRDefault="0095221A" w:rsidP="0095221A">
            <w:pPr>
              <w:rPr>
                <w:bCs/>
              </w:rPr>
            </w:pPr>
            <w:r>
              <w:rPr>
                <w:rFonts w:cstheme="minorHAnsi"/>
                <w:szCs w:val="20"/>
              </w:rPr>
              <w:t>Eduardo Reynoso / SDG&amp;E</w:t>
            </w:r>
          </w:p>
        </w:tc>
        <w:tc>
          <w:tcPr>
            <w:tcW w:w="3158" w:type="pct"/>
          </w:tcPr>
          <w:p w:rsidR="0095221A" w:rsidRPr="0095221A" w:rsidRDefault="0095221A" w:rsidP="0095221A">
            <w:pPr>
              <w:rPr>
                <w:rFonts w:cstheme="minorHAnsi"/>
                <w:bCs/>
                <w:szCs w:val="20"/>
              </w:rPr>
            </w:pPr>
            <w:r w:rsidRPr="0095221A">
              <w:rPr>
                <w:rFonts w:cstheme="minorHAnsi"/>
                <w:bCs/>
                <w:szCs w:val="20"/>
              </w:rPr>
              <w:t xml:space="preserve">1. Proposed abridge short form workpaper for EAR team review. </w:t>
            </w:r>
          </w:p>
          <w:p w:rsidR="0095221A" w:rsidRPr="0095221A" w:rsidRDefault="0095221A" w:rsidP="0095221A">
            <w:r w:rsidRPr="0095221A">
              <w:rPr>
                <w:rFonts w:cstheme="minorHAnsi"/>
                <w:bCs/>
                <w:szCs w:val="20"/>
              </w:rPr>
              <w:t>2. Adopted costs from Southern California Gas Company workpaper WPSCGNRWH120206C Rev6 Commercial Boilers dated July 26, 2016.</w:t>
            </w:r>
          </w:p>
        </w:tc>
      </w:tr>
    </w:tbl>
    <w:p w:rsidR="0095221A" w:rsidRPr="0095221A" w:rsidRDefault="0095221A" w:rsidP="0095221A"/>
    <w:p w:rsidR="008A739C" w:rsidRDefault="009B0E7F" w:rsidP="0022781C">
      <w:pPr>
        <w:spacing w:after="200" w:line="276" w:lineRule="auto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>
        <w:rPr>
          <w:rFonts w:ascii="Arial Narrow" w:hAnsi="Arial Narrow" w:cs="Arial"/>
          <w:b/>
          <w:bCs/>
          <w:iCs/>
          <w:smallCaps/>
          <w:sz w:val="28"/>
          <w:szCs w:val="28"/>
        </w:rPr>
        <w:br w:type="page"/>
      </w:r>
    </w:p>
    <w:p w:rsidR="009B0E7F" w:rsidRPr="009B0E7F" w:rsidRDefault="009B0E7F" w:rsidP="009B0E7F">
      <w:pPr>
        <w:keepNext/>
        <w:spacing w:before="240" w:after="60"/>
        <w:outlineLvl w:val="1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 w:rsidRPr="009B0E7F">
        <w:rPr>
          <w:rFonts w:ascii="Arial Narrow" w:hAnsi="Arial Narrow" w:cs="Arial"/>
          <w:b/>
          <w:bCs/>
          <w:iCs/>
          <w:smallCaps/>
          <w:sz w:val="28"/>
          <w:szCs w:val="28"/>
        </w:rPr>
        <w:lastRenderedPageBreak/>
        <w:t xml:space="preserve">Measure Summary </w:t>
      </w:r>
    </w:p>
    <w:p w:rsidR="009B0E7F" w:rsidRPr="009B0E7F" w:rsidRDefault="009B0E7F" w:rsidP="009B0E7F">
      <w:pPr>
        <w:keepNext/>
        <w:jc w:val="center"/>
        <w:rPr>
          <w:b/>
          <w:bCs/>
          <w:szCs w:val="3276"/>
        </w:rPr>
      </w:pPr>
      <w:r w:rsidRPr="009B0E7F">
        <w:rPr>
          <w:b/>
          <w:bCs/>
          <w:szCs w:val="3276"/>
        </w:rPr>
        <w:t xml:space="preserve">Table </w:t>
      </w:r>
      <w:r w:rsidRPr="009B0E7F">
        <w:rPr>
          <w:b/>
          <w:bCs/>
          <w:szCs w:val="3276"/>
        </w:rPr>
        <w:fldChar w:fldCharType="begin"/>
      </w:r>
      <w:r w:rsidRPr="009B0E7F">
        <w:rPr>
          <w:b/>
          <w:bCs/>
          <w:szCs w:val="3276"/>
        </w:rPr>
        <w:instrText xml:space="preserve"> SEQ Table \* ARABIC </w:instrText>
      </w:r>
      <w:r w:rsidRPr="009B0E7F">
        <w:rPr>
          <w:b/>
          <w:bCs/>
          <w:szCs w:val="3276"/>
        </w:rPr>
        <w:fldChar w:fldCharType="separate"/>
      </w:r>
      <w:r w:rsidRPr="009B0E7F">
        <w:rPr>
          <w:b/>
          <w:bCs/>
          <w:noProof/>
          <w:szCs w:val="3276"/>
        </w:rPr>
        <w:t>1</w:t>
      </w:r>
      <w:r w:rsidRPr="009B0E7F">
        <w:rPr>
          <w:b/>
          <w:bCs/>
          <w:noProof/>
          <w:szCs w:val="3276"/>
        </w:rPr>
        <w:fldChar w:fldCharType="end"/>
      </w:r>
      <w:r w:rsidRPr="009B0E7F">
        <w:rPr>
          <w:b/>
          <w:bCs/>
          <w:szCs w:val="3276"/>
        </w:rPr>
        <w:t>: Measure Summary Table</w:t>
      </w:r>
    </w:p>
    <w:tbl>
      <w:tblPr>
        <w:tblStyle w:val="TableGrid2"/>
        <w:tblW w:w="0" w:type="auto"/>
        <w:tblInd w:w="108" w:type="dxa"/>
        <w:tblLook w:val="04A0" w:firstRow="1" w:lastRow="0" w:firstColumn="1" w:lastColumn="0" w:noHBand="0" w:noVBand="1"/>
      </w:tblPr>
      <w:tblGrid>
        <w:gridCol w:w="2700"/>
        <w:gridCol w:w="8100"/>
      </w:tblGrid>
      <w:tr w:rsidR="00C80D48" w:rsidRPr="009B0E7F" w:rsidTr="00C1087D">
        <w:trPr>
          <w:cantSplit/>
          <w:tblHeader/>
        </w:trPr>
        <w:tc>
          <w:tcPr>
            <w:tcW w:w="2700" w:type="dxa"/>
          </w:tcPr>
          <w:p w:rsidR="009B0E7F" w:rsidRPr="009B0E7F" w:rsidRDefault="009B0E7F" w:rsidP="009B0E7F">
            <w:pPr>
              <w:jc w:val="center"/>
              <w:rPr>
                <w:b/>
              </w:rPr>
            </w:pPr>
            <w:r w:rsidRPr="009B0E7F">
              <w:rPr>
                <w:b/>
              </w:rPr>
              <w:t>Section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jc w:val="center"/>
              <w:rPr>
                <w:b/>
              </w:rPr>
            </w:pPr>
            <w:r w:rsidRPr="009B0E7F">
              <w:rPr>
                <w:b/>
              </w:rPr>
              <w:t>Value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Summary &amp; Purpose</w:t>
            </w:r>
          </w:p>
        </w:tc>
        <w:tc>
          <w:tcPr>
            <w:tcW w:w="8100" w:type="dxa"/>
          </w:tcPr>
          <w:p w:rsidR="009B0E7F" w:rsidRPr="009B0E7F" w:rsidRDefault="009B0E7F" w:rsidP="003D547E">
            <w:pPr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>This short form workpaper documents ex-ante load impacts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9B0E7F">
              <w:rPr>
                <w:rFonts w:cs="Arial"/>
                <w:sz w:val="20"/>
                <w:szCs w:val="20"/>
              </w:rPr>
              <w:t xml:space="preserve">cost-effectiveness values for </w:t>
            </w:r>
            <w:r w:rsidR="009258E5">
              <w:rPr>
                <w:rFonts w:cs="Arial"/>
                <w:sz w:val="20"/>
                <w:szCs w:val="20"/>
              </w:rPr>
              <w:t>space heating boilers</w:t>
            </w:r>
            <w:r w:rsidRPr="009B0E7F">
              <w:rPr>
                <w:rFonts w:cs="Arial"/>
                <w:sz w:val="20"/>
                <w:szCs w:val="20"/>
              </w:rPr>
              <w:t>. The cost values and respective Cost IDs are adopted from SCG’s workpaper.  All other parameters</w:t>
            </w:r>
            <w:r>
              <w:rPr>
                <w:rFonts w:cs="Arial"/>
                <w:sz w:val="20"/>
                <w:szCs w:val="20"/>
              </w:rPr>
              <w:t xml:space="preserve"> except for costs</w:t>
            </w:r>
            <w:r w:rsidRPr="009B0E7F">
              <w:rPr>
                <w:rFonts w:cs="Arial"/>
                <w:sz w:val="20"/>
                <w:szCs w:val="20"/>
              </w:rPr>
              <w:t xml:space="preserve"> are per DEER/READI and are used by SDG&amp;E as noted in this Measure Table Summary (Table 1).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1.1 Measure &amp; Baseline Data</w:t>
            </w:r>
          </w:p>
        </w:tc>
        <w:tc>
          <w:tcPr>
            <w:tcW w:w="8100" w:type="dxa"/>
          </w:tcPr>
          <w:p w:rsidR="008A739C" w:rsidRDefault="00B97344" w:rsidP="009B0E7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 DEER/READI</w:t>
            </w:r>
            <w:r w:rsidR="009258E5">
              <w:rPr>
                <w:rFonts w:cs="Arial"/>
                <w:sz w:val="20"/>
                <w:szCs w:val="20"/>
              </w:rPr>
              <w:t xml:space="preserve"> with </w:t>
            </w:r>
            <w:proofErr w:type="spellStart"/>
            <w:r w:rsidR="009258E5">
              <w:rPr>
                <w:rFonts w:cs="Arial"/>
                <w:sz w:val="20"/>
                <w:szCs w:val="20"/>
              </w:rPr>
              <w:t>MeasureIDs</w:t>
            </w:r>
            <w:proofErr w:type="spellEnd"/>
            <w:r w:rsidR="009258E5">
              <w:rPr>
                <w:rFonts w:cs="Arial"/>
                <w:sz w:val="20"/>
                <w:szCs w:val="20"/>
              </w:rPr>
              <w:t xml:space="preserve"> as noted herein.</w:t>
            </w:r>
          </w:p>
          <w:p w:rsidR="008A739C" w:rsidRPr="009B0E7F" w:rsidRDefault="008A739C" w:rsidP="009B0E7F">
            <w:pPr>
              <w:rPr>
                <w:rFonts w:cs="Arial"/>
                <w:sz w:val="20"/>
                <w:szCs w:val="20"/>
              </w:rPr>
            </w:pP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 xml:space="preserve">1.2 Technical Description </w:t>
            </w:r>
          </w:p>
        </w:tc>
        <w:tc>
          <w:tcPr>
            <w:tcW w:w="8100" w:type="dxa"/>
          </w:tcPr>
          <w:p w:rsidR="00B97344" w:rsidRPr="00C1087D" w:rsidRDefault="00B97344" w:rsidP="00C1087D">
            <w:pPr>
              <w:pStyle w:val="ListParagraph"/>
              <w:numPr>
                <w:ilvl w:val="0"/>
                <w:numId w:val="14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C1087D">
              <w:rPr>
                <w:rFonts w:cs="Arial"/>
                <w:sz w:val="20"/>
                <w:szCs w:val="20"/>
              </w:rPr>
              <w:t>Measure 1-Hot water boiler (&lt; 300 kBtuh, 84.0 AFUE, OA Reset from 140 to 165 F)</w:t>
            </w:r>
          </w:p>
          <w:p w:rsidR="00B97344" w:rsidRPr="00C1087D" w:rsidRDefault="00B97344" w:rsidP="00C1087D">
            <w:pPr>
              <w:pStyle w:val="ListParagraph"/>
              <w:numPr>
                <w:ilvl w:val="0"/>
                <w:numId w:val="14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C1087D">
              <w:rPr>
                <w:rFonts w:cs="Arial"/>
                <w:sz w:val="20"/>
                <w:szCs w:val="20"/>
              </w:rPr>
              <w:t>Measure 2-Hot water boiler (&lt; 300 kBtuh, 90.0 AFUE, condensing, OA reset from 140 to 165 F)</w:t>
            </w:r>
          </w:p>
          <w:p w:rsidR="00B97344" w:rsidRPr="00C1087D" w:rsidRDefault="00B97344" w:rsidP="00C1087D">
            <w:pPr>
              <w:pStyle w:val="ListParagraph"/>
              <w:numPr>
                <w:ilvl w:val="0"/>
                <w:numId w:val="14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C1087D">
              <w:rPr>
                <w:rFonts w:cs="Arial"/>
                <w:sz w:val="20"/>
                <w:szCs w:val="20"/>
              </w:rPr>
              <w:t>Measure 3-Hot water boiler (300-2500 kBtuh, 85.0 Et, OA Reset from 140 to 165 F)</w:t>
            </w:r>
          </w:p>
          <w:p w:rsidR="009B0E7F" w:rsidRPr="00C1087D" w:rsidRDefault="00B97344" w:rsidP="00C1087D">
            <w:pPr>
              <w:pStyle w:val="ListParagraph"/>
              <w:numPr>
                <w:ilvl w:val="0"/>
                <w:numId w:val="14"/>
              </w:numPr>
              <w:ind w:left="162" w:hanging="180"/>
              <w:rPr>
                <w:rFonts w:cs="Arial"/>
                <w:sz w:val="20"/>
                <w:szCs w:val="20"/>
              </w:rPr>
            </w:pPr>
            <w:r w:rsidRPr="00C1087D">
              <w:rPr>
                <w:rFonts w:cs="Arial"/>
                <w:sz w:val="20"/>
                <w:szCs w:val="20"/>
              </w:rPr>
              <w:t>Measure 4-Hot water boiler (300-2500 kBtuh, 90.0 Et, condensing, OA reset from 140 to 165 F)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Measures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>Per DEER/READI with IDs as below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Code for All Measures</w:t>
            </w:r>
          </w:p>
        </w:tc>
        <w:tc>
          <w:tcPr>
            <w:tcW w:w="8100" w:type="dxa"/>
          </w:tcPr>
          <w:p w:rsidR="009B0E7F" w:rsidRPr="009B0E7F" w:rsidRDefault="009B0E7F" w:rsidP="003D547E">
            <w:pPr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 xml:space="preserve">Title 20 </w:t>
            </w:r>
            <w:r w:rsidR="00C80D48">
              <w:rPr>
                <w:rFonts w:cs="Arial"/>
                <w:sz w:val="20"/>
                <w:szCs w:val="20"/>
              </w:rPr>
              <w:t xml:space="preserve">and Title 24 as reflected and referenced in DEER 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1.3 Installation Type and Delivery Mechanisms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rPr>
                <w:rFonts w:cs="Arial"/>
                <w:sz w:val="20"/>
                <w:szCs w:val="20"/>
              </w:rPr>
            </w:pP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Installation Type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numPr>
                <w:ilvl w:val="0"/>
                <w:numId w:val="12"/>
              </w:numPr>
              <w:contextualSpacing/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>Replace On Burnout (ROB)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Delivery Mechanisms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numPr>
                <w:ilvl w:val="0"/>
                <w:numId w:val="13"/>
              </w:numPr>
              <w:contextualSpacing/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>Downstream Rebate – Deemed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1.4.1 DEER Data</w:t>
            </w:r>
          </w:p>
        </w:tc>
        <w:tc>
          <w:tcPr>
            <w:tcW w:w="8100" w:type="dxa"/>
          </w:tcPr>
          <w:p w:rsidR="009B0E7F" w:rsidRPr="009B0E7F" w:rsidRDefault="009B0E7F" w:rsidP="009B0E7F"/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B97344" w:rsidRDefault="00D83D0D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DEER Measure ID 1</w:t>
            </w:r>
          </w:p>
          <w:p w:rsidR="00D83D0D" w:rsidRDefault="00D83D0D" w:rsidP="009B0E7F">
            <w:pPr>
              <w:jc w:val="right"/>
              <w:rPr>
                <w:sz w:val="20"/>
                <w:szCs w:val="20"/>
              </w:rPr>
            </w:pPr>
            <w:r w:rsidRPr="00D83D0D">
              <w:rPr>
                <w:sz w:val="20"/>
                <w:szCs w:val="20"/>
              </w:rPr>
              <w:t>DEER Measure ID</w:t>
            </w:r>
            <w:r>
              <w:rPr>
                <w:sz w:val="20"/>
                <w:szCs w:val="20"/>
              </w:rPr>
              <w:t xml:space="preserve"> 2</w:t>
            </w:r>
          </w:p>
          <w:p w:rsidR="00D83D0D" w:rsidRDefault="00D83D0D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DEER Measure ID 3</w:t>
            </w:r>
          </w:p>
          <w:p w:rsidR="00D83D0D" w:rsidRPr="009B0E7F" w:rsidRDefault="00D83D0D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DEER Measure ID 4</w:t>
            </w:r>
          </w:p>
        </w:tc>
        <w:tc>
          <w:tcPr>
            <w:tcW w:w="8100" w:type="dxa"/>
          </w:tcPr>
          <w:p w:rsidR="00B97344" w:rsidRPr="00B97344" w:rsidRDefault="00B97344" w:rsidP="00B9734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B97344">
              <w:rPr>
                <w:rFonts w:cs="Arial"/>
                <w:sz w:val="20"/>
                <w:szCs w:val="20"/>
              </w:rPr>
              <w:t>NG-HVAC-Blr-HW-lt300kBtuh-84p0AFUE-Drft</w:t>
            </w:r>
          </w:p>
          <w:p w:rsidR="00B97344" w:rsidRPr="00B97344" w:rsidRDefault="00B97344" w:rsidP="00B9734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B97344">
              <w:rPr>
                <w:rFonts w:cs="Arial"/>
                <w:sz w:val="20"/>
                <w:szCs w:val="20"/>
              </w:rPr>
              <w:t>NG-HVAC-Blr-HW-lt300kBtuh-90p0AFUE-CndStd</w:t>
            </w:r>
          </w:p>
          <w:p w:rsidR="00B97344" w:rsidRPr="00B97344" w:rsidRDefault="00B97344" w:rsidP="00B9734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B97344">
              <w:rPr>
                <w:rFonts w:cs="Arial"/>
                <w:sz w:val="20"/>
                <w:szCs w:val="20"/>
              </w:rPr>
              <w:t>NG-HVAC-Blr-HW-300to2500kBtuh-85p0Et-Drft</w:t>
            </w:r>
          </w:p>
          <w:p w:rsidR="00B97344" w:rsidRPr="009B0E7F" w:rsidRDefault="00B97344" w:rsidP="00B9734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B97344">
              <w:rPr>
                <w:rFonts w:cs="Arial"/>
                <w:sz w:val="20"/>
                <w:szCs w:val="20"/>
              </w:rPr>
              <w:t>NG-HVAC-Blr-HW-300to2500kBtuh-90p0Et-CndStd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Net-to-Gross Ratio</w:t>
            </w:r>
          </w:p>
        </w:tc>
        <w:tc>
          <w:tcPr>
            <w:tcW w:w="8100" w:type="dxa"/>
          </w:tcPr>
          <w:p w:rsidR="009B0E7F" w:rsidRPr="009B0E7F" w:rsidRDefault="00D83D0D" w:rsidP="00C1087D">
            <w:pPr>
              <w:tabs>
                <w:tab w:val="right" w:pos="8064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 – Default&gt;2yrs</w:t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  <w:r w:rsidR="00C80D48">
              <w:rPr>
                <w:rFonts w:cs="Arial"/>
                <w:sz w:val="20"/>
                <w:szCs w:val="20"/>
              </w:rPr>
              <w:t>SDG&amp;E is using the default as ther</w:t>
            </w:r>
            <w:r w:rsidR="0022781C">
              <w:rPr>
                <w:rFonts w:cs="Arial"/>
                <w:sz w:val="20"/>
                <w:szCs w:val="20"/>
              </w:rPr>
              <w:t>e is no other applicable NTG</w:t>
            </w:r>
            <w:r w:rsidR="00C80D48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100" w:type="dxa"/>
          </w:tcPr>
          <w:p w:rsidR="009B0E7F" w:rsidRPr="009B0E7F" w:rsidRDefault="00D83D0D" w:rsidP="0022781C">
            <w:pPr>
              <w:tabs>
                <w:tab w:val="right" w:pos="8064"/>
              </w:tabs>
              <w:rPr>
                <w:rFonts w:cs="Arial"/>
                <w:sz w:val="20"/>
                <w:szCs w:val="20"/>
              </w:rPr>
            </w:pPr>
            <w:r w:rsidRPr="00D83D0D">
              <w:rPr>
                <w:rFonts w:cs="Arial"/>
                <w:sz w:val="20"/>
                <w:szCs w:val="20"/>
              </w:rPr>
              <w:t>HV</w:t>
            </w:r>
            <w:r>
              <w:rPr>
                <w:rFonts w:cs="Arial"/>
                <w:sz w:val="20"/>
                <w:szCs w:val="20"/>
              </w:rPr>
              <w:t>AC-</w:t>
            </w:r>
            <w:proofErr w:type="spellStart"/>
            <w:r>
              <w:rPr>
                <w:rFonts w:cs="Arial"/>
                <w:sz w:val="20"/>
                <w:szCs w:val="20"/>
              </w:rPr>
              <w:t>Blr</w:t>
            </w:r>
            <w:proofErr w:type="spellEnd"/>
            <w:r w:rsidR="0022781C">
              <w:rPr>
                <w:rFonts w:cs="Arial"/>
                <w:sz w:val="20"/>
                <w:szCs w:val="20"/>
              </w:rPr>
              <w:tab/>
              <w:t>(</w:t>
            </w:r>
            <w:r w:rsidR="009B0E7F" w:rsidRPr="009B0E7F">
              <w:rPr>
                <w:rFonts w:cs="Arial"/>
                <w:sz w:val="20"/>
                <w:szCs w:val="20"/>
              </w:rPr>
              <w:t>Linked to READI data</w:t>
            </w:r>
            <w:r w:rsidR="0022781C">
              <w:rPr>
                <w:rFonts w:cs="Arial"/>
                <w:sz w:val="20"/>
                <w:szCs w:val="20"/>
              </w:rPr>
              <w:t>)</w:t>
            </w:r>
            <w:r w:rsidR="009B0E7F" w:rsidRPr="009B0E7F">
              <w:rPr>
                <w:rFonts w:cs="Arial"/>
                <w:sz w:val="20"/>
                <w:szCs w:val="20"/>
              </w:rPr>
              <w:t>)</w:t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Section 2. Calculation Methodology</w:t>
            </w:r>
          </w:p>
        </w:tc>
        <w:tc>
          <w:tcPr>
            <w:tcW w:w="8100" w:type="dxa"/>
            <w:vAlign w:val="center"/>
          </w:tcPr>
          <w:p w:rsidR="009B0E7F" w:rsidRPr="009B0E7F" w:rsidRDefault="009B0E7F" w:rsidP="009B0E7F">
            <w:pPr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>Measures will be processed using DEER Measure/Impact ID by building type and Building Location.  All will be processed and claimed using “Existing” vintage.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jc w:val="right"/>
            </w:pPr>
            <w:r w:rsidRPr="009B0E7F"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9B0E7F">
              <w:rPr>
                <w:rFonts w:cs="Arial"/>
                <w:sz w:val="20"/>
                <w:szCs w:val="20"/>
              </w:rPr>
              <w:t>All Energy Impacts per DEER Measure IDs noted above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Section 3. Load Shapes</w:t>
            </w:r>
          </w:p>
        </w:tc>
        <w:tc>
          <w:tcPr>
            <w:tcW w:w="8100" w:type="dxa"/>
          </w:tcPr>
          <w:p w:rsidR="009B0E7F" w:rsidRPr="009B0E7F" w:rsidRDefault="0022781C" w:rsidP="0022781C">
            <w:pPr>
              <w:tabs>
                <w:tab w:val="right" w:pos="808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Gas: Winter Only</w:t>
            </w:r>
            <w:r w:rsidR="00C80D48">
              <w:rPr>
                <w:rFonts w:cs="Arial"/>
                <w:sz w:val="20"/>
                <w:szCs w:val="20"/>
              </w:rPr>
              <w:tab/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  <w:vAlign w:val="center"/>
          </w:tcPr>
          <w:p w:rsidR="009B0E7F" w:rsidRPr="009B0E7F" w:rsidRDefault="009B0E7F" w:rsidP="009B0E7F">
            <w:pPr>
              <w:rPr>
                <w:b/>
              </w:rPr>
            </w:pPr>
            <w:r w:rsidRPr="009B0E7F">
              <w:rPr>
                <w:b/>
              </w:rPr>
              <w:t>Section 4. Costs</w:t>
            </w:r>
          </w:p>
        </w:tc>
        <w:tc>
          <w:tcPr>
            <w:tcW w:w="8100" w:type="dxa"/>
          </w:tcPr>
          <w:p w:rsidR="009B0E7F" w:rsidRPr="009B0E7F" w:rsidRDefault="009B0E7F" w:rsidP="009B0E7F">
            <w:pPr>
              <w:rPr>
                <w:rFonts w:cs="Arial"/>
                <w:sz w:val="20"/>
                <w:szCs w:val="20"/>
              </w:rPr>
            </w:pPr>
          </w:p>
        </w:tc>
      </w:tr>
      <w:tr w:rsidR="003D547E" w:rsidRPr="00C1087D" w:rsidTr="00C1087D">
        <w:trPr>
          <w:cantSplit/>
        </w:trPr>
        <w:tc>
          <w:tcPr>
            <w:tcW w:w="2700" w:type="dxa"/>
            <w:vAlign w:val="center"/>
          </w:tcPr>
          <w:p w:rsidR="003D547E" w:rsidRPr="00C1087D" w:rsidRDefault="003D547E" w:rsidP="00C108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Units</w:t>
            </w:r>
          </w:p>
        </w:tc>
        <w:tc>
          <w:tcPr>
            <w:tcW w:w="8100" w:type="dxa"/>
          </w:tcPr>
          <w:p w:rsidR="003D547E" w:rsidRPr="003D547E" w:rsidRDefault="0022781C" w:rsidP="003D54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Cap-</w:t>
            </w:r>
            <w:proofErr w:type="spellStart"/>
            <w:r>
              <w:rPr>
                <w:sz w:val="20"/>
                <w:szCs w:val="20"/>
              </w:rPr>
              <w:t>kBTUh</w:t>
            </w:r>
            <w:proofErr w:type="spellEnd"/>
            <w:r w:rsidR="003D547E">
              <w:rPr>
                <w:sz w:val="20"/>
                <w:szCs w:val="20"/>
              </w:rPr>
              <w:t xml:space="preserve"> 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Base Cost – Measure 1</w:t>
            </w:r>
          </w:p>
        </w:tc>
        <w:tc>
          <w:tcPr>
            <w:tcW w:w="8100" w:type="dxa"/>
          </w:tcPr>
          <w:p w:rsidR="009B0E7F" w:rsidRPr="009B0E7F" w:rsidRDefault="00E12985" w:rsidP="00C1087D">
            <w:pPr>
              <w:tabs>
                <w:tab w:val="right" w:pos="7884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$11.96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Base Cost – Measure 2</w:t>
            </w:r>
          </w:p>
        </w:tc>
        <w:tc>
          <w:tcPr>
            <w:tcW w:w="8100" w:type="dxa"/>
          </w:tcPr>
          <w:p w:rsidR="009B0E7F" w:rsidRPr="009B0E7F" w:rsidRDefault="00E12985" w:rsidP="00C1087D">
            <w:pPr>
              <w:tabs>
                <w:tab w:val="right" w:pos="7884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$11.96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E12985" w:rsidRPr="009B0E7F" w:rsidRDefault="00E12985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Cost – Measure 3</w:t>
            </w:r>
          </w:p>
        </w:tc>
        <w:tc>
          <w:tcPr>
            <w:tcW w:w="8100" w:type="dxa"/>
          </w:tcPr>
          <w:p w:rsidR="00E12985" w:rsidRPr="009B0E7F" w:rsidRDefault="00E12985" w:rsidP="00C1087D">
            <w:pPr>
              <w:tabs>
                <w:tab w:val="right" w:pos="7884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$17.94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E12985" w:rsidRPr="009B0E7F" w:rsidRDefault="00E12985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Cost – Measure 4</w:t>
            </w:r>
          </w:p>
        </w:tc>
        <w:tc>
          <w:tcPr>
            <w:tcW w:w="8100" w:type="dxa"/>
          </w:tcPr>
          <w:p w:rsidR="00E12985" w:rsidRPr="009B0E7F" w:rsidRDefault="00E12985" w:rsidP="00C1087D">
            <w:pPr>
              <w:tabs>
                <w:tab w:val="right" w:pos="7884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$17.94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8100" w:type="dxa"/>
          </w:tcPr>
          <w:p w:rsidR="009B0E7F" w:rsidRPr="009B0E7F" w:rsidRDefault="00E12985" w:rsidP="00C1087D">
            <w:pPr>
              <w:tabs>
                <w:tab w:val="right" w:pos="7884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$14.83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Measure Cost – Measure 2</w:t>
            </w:r>
          </w:p>
        </w:tc>
        <w:tc>
          <w:tcPr>
            <w:tcW w:w="8100" w:type="dxa"/>
          </w:tcPr>
          <w:p w:rsidR="009B0E7F" w:rsidRPr="009B0E7F" w:rsidRDefault="00E12985" w:rsidP="00C1087D">
            <w:pPr>
              <w:tabs>
                <w:tab w:val="right" w:pos="7884"/>
              </w:tabs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$14.55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  <w:r w:rsidR="009B0E7F" w:rsidRPr="009B0E7F">
              <w:rPr>
                <w:rFonts w:cs="Arial"/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E12985" w:rsidRPr="009B0E7F" w:rsidRDefault="00E12985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 xml:space="preserve">Measure Cost – </w:t>
            </w:r>
            <w:r>
              <w:rPr>
                <w:sz w:val="20"/>
                <w:szCs w:val="20"/>
              </w:rPr>
              <w:t>Measure 3</w:t>
            </w:r>
          </w:p>
        </w:tc>
        <w:tc>
          <w:tcPr>
            <w:tcW w:w="8100" w:type="dxa"/>
          </w:tcPr>
          <w:p w:rsidR="00E12985" w:rsidRPr="009B0E7F" w:rsidRDefault="00E12985" w:rsidP="00C1087D">
            <w:pPr>
              <w:tabs>
                <w:tab w:val="right" w:pos="78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$21.47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E12985" w:rsidRPr="009B0E7F" w:rsidRDefault="00E12985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 xml:space="preserve">Measure Cost – </w:t>
            </w:r>
            <w:r>
              <w:rPr>
                <w:sz w:val="20"/>
                <w:szCs w:val="20"/>
              </w:rPr>
              <w:t>Measure 4</w:t>
            </w:r>
          </w:p>
        </w:tc>
        <w:tc>
          <w:tcPr>
            <w:tcW w:w="8100" w:type="dxa"/>
          </w:tcPr>
          <w:p w:rsidR="00E12985" w:rsidRPr="009B0E7F" w:rsidRDefault="00E12985" w:rsidP="00C1087D">
            <w:pPr>
              <w:tabs>
                <w:tab w:val="right" w:pos="78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$22.01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Incremental Cost – Measure 1</w:t>
            </w:r>
          </w:p>
        </w:tc>
        <w:tc>
          <w:tcPr>
            <w:tcW w:w="8100" w:type="dxa"/>
          </w:tcPr>
          <w:p w:rsidR="009B0E7F" w:rsidRPr="009B0E7F" w:rsidRDefault="009B0E7F" w:rsidP="00C1087D">
            <w:pPr>
              <w:tabs>
                <w:tab w:val="right" w:pos="7884"/>
              </w:tabs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$</w:t>
            </w:r>
            <w:r w:rsidR="00E12985">
              <w:rPr>
                <w:sz w:val="20"/>
                <w:szCs w:val="20"/>
              </w:rPr>
              <w:t>2.87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  <w:r w:rsidRPr="009B0E7F">
              <w:rPr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9B0E7F" w:rsidRPr="009B0E7F" w:rsidRDefault="009B0E7F" w:rsidP="009B0E7F">
            <w:pPr>
              <w:jc w:val="right"/>
              <w:rPr>
                <w:sz w:val="20"/>
                <w:szCs w:val="20"/>
              </w:rPr>
            </w:pPr>
            <w:r w:rsidRPr="009B0E7F">
              <w:rPr>
                <w:sz w:val="20"/>
                <w:szCs w:val="20"/>
              </w:rPr>
              <w:t>Incremental Cost – Measure 2</w:t>
            </w:r>
          </w:p>
        </w:tc>
        <w:tc>
          <w:tcPr>
            <w:tcW w:w="8100" w:type="dxa"/>
          </w:tcPr>
          <w:p w:rsidR="009B0E7F" w:rsidRPr="009B0E7F" w:rsidRDefault="00E12985" w:rsidP="00C1087D">
            <w:pPr>
              <w:tabs>
                <w:tab w:val="right" w:pos="78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$2.59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  <w:r w:rsidR="009B0E7F" w:rsidRPr="009B0E7F">
              <w:rPr>
                <w:sz w:val="20"/>
                <w:szCs w:val="20"/>
              </w:rPr>
              <w:tab/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E12985" w:rsidRPr="009B0E7F" w:rsidRDefault="00E12985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3</w:t>
            </w:r>
          </w:p>
        </w:tc>
        <w:tc>
          <w:tcPr>
            <w:tcW w:w="8100" w:type="dxa"/>
          </w:tcPr>
          <w:p w:rsidR="00E12985" w:rsidRPr="009B0E7F" w:rsidRDefault="00E35D48" w:rsidP="00C1087D">
            <w:pPr>
              <w:tabs>
                <w:tab w:val="right" w:pos="78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$3.53</w:t>
            </w:r>
            <w:r w:rsidR="006D5F49" w:rsidRPr="009B0E7F">
              <w:rPr>
                <w:rFonts w:cs="Arial"/>
                <w:sz w:val="20"/>
                <w:szCs w:val="20"/>
              </w:rPr>
              <w:t xml:space="preserve"> </w:t>
            </w:r>
            <w:r w:rsidR="006D5F49">
              <w:rPr>
                <w:rFonts w:cs="Arial"/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</w:p>
        </w:tc>
      </w:tr>
      <w:tr w:rsidR="00C80D48" w:rsidRPr="009B0E7F" w:rsidTr="00C1087D">
        <w:trPr>
          <w:cantSplit/>
        </w:trPr>
        <w:tc>
          <w:tcPr>
            <w:tcW w:w="2700" w:type="dxa"/>
          </w:tcPr>
          <w:p w:rsidR="00E12985" w:rsidRPr="009B0E7F" w:rsidRDefault="00E12985" w:rsidP="009B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 – Measure 4</w:t>
            </w:r>
          </w:p>
        </w:tc>
        <w:tc>
          <w:tcPr>
            <w:tcW w:w="8100" w:type="dxa"/>
          </w:tcPr>
          <w:p w:rsidR="00E12985" w:rsidRPr="009B0E7F" w:rsidRDefault="00E35D48" w:rsidP="00C1087D">
            <w:pPr>
              <w:tabs>
                <w:tab w:val="right" w:pos="78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$4.07</w:t>
            </w:r>
            <w:r w:rsidR="006D5F49">
              <w:rPr>
                <w:sz w:val="20"/>
                <w:szCs w:val="20"/>
              </w:rPr>
              <w:tab/>
            </w:r>
            <w:r w:rsidR="006D5F49" w:rsidRPr="009B0E7F">
              <w:rPr>
                <w:rFonts w:cs="Arial"/>
                <w:sz w:val="20"/>
                <w:szCs w:val="20"/>
              </w:rPr>
              <w:t xml:space="preserve"> Per </w:t>
            </w:r>
            <w:r w:rsidR="006D5F49">
              <w:rPr>
                <w:rFonts w:cs="Arial"/>
                <w:sz w:val="20"/>
                <w:szCs w:val="20"/>
              </w:rPr>
              <w:t>SCG WP</w:t>
            </w:r>
          </w:p>
        </w:tc>
      </w:tr>
    </w:tbl>
    <w:p w:rsidR="009B0E7F" w:rsidRDefault="009B0E7F" w:rsidP="008733BD">
      <w:pPr>
        <w:pStyle w:val="Caption"/>
        <w:keepNext/>
      </w:pPr>
    </w:p>
    <w:p w:rsidR="008C3D1E" w:rsidRPr="0059117D" w:rsidRDefault="008C3D1E" w:rsidP="0059117D">
      <w:bookmarkStart w:id="2" w:name="_GoBack"/>
      <w:bookmarkEnd w:id="2"/>
    </w:p>
    <w:sectPr w:rsidR="008C3D1E" w:rsidRPr="0059117D" w:rsidSect="00C012DD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4AA508" w15:done="0"/>
  <w15:commentEx w15:paraId="1807D364" w15:done="0"/>
  <w15:commentEx w15:paraId="1127B84A" w15:done="0"/>
  <w15:commentEx w15:paraId="62AA1D70" w15:done="0"/>
  <w15:commentEx w15:paraId="42336F9E" w15:done="0"/>
  <w15:commentEx w15:paraId="5CA29EDE" w15:done="0"/>
  <w15:commentEx w15:paraId="305E1C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A9" w:rsidRDefault="00CB64A9" w:rsidP="00FE520B">
      <w:r>
        <w:separator/>
      </w:r>
    </w:p>
  </w:endnote>
  <w:endnote w:type="continuationSeparator" w:id="0">
    <w:p w:rsidR="00CB64A9" w:rsidRDefault="00CB64A9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87D" w:rsidRDefault="00C108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F6" w:rsidRDefault="00D068F6" w:rsidP="00BF7104">
    <w:pPr>
      <w:pStyle w:val="Footer"/>
      <w:jc w:val="right"/>
      <w:rPr>
        <w:rFonts w:cstheme="minorHAnsi"/>
        <w:b/>
        <w:sz w:val="36"/>
        <w:szCs w:val="3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87D" w:rsidRDefault="00C1087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1A" w:rsidRDefault="0095221A" w:rsidP="00BF7104">
    <w:pPr>
      <w:pStyle w:val="Footer"/>
      <w:jc w:val="right"/>
      <w:rPr>
        <w:rFonts w:cstheme="minorHAnsi"/>
        <w:b/>
        <w:sz w:val="36"/>
        <w:szCs w:val="36"/>
      </w:rPr>
    </w:pPr>
  </w:p>
  <w:p w:rsidR="0095221A" w:rsidRPr="0095221A" w:rsidRDefault="0095221A" w:rsidP="0095221A">
    <w:pPr>
      <w:pBdr>
        <w:top w:val="single" w:sz="4" w:space="1" w:color="auto"/>
      </w:pBdr>
      <w:tabs>
        <w:tab w:val="center" w:pos="4680"/>
        <w:tab w:val="right" w:pos="9360"/>
      </w:tabs>
      <w:rPr>
        <w:b/>
      </w:rPr>
    </w:pPr>
    <w:r w:rsidRPr="0095221A">
      <w:rPr>
        <w:b/>
      </w:rPr>
      <w:t xml:space="preserve">Workpaper WPSDGENRHC1061, Revision 1                             </w:t>
    </w:r>
    <w:r w:rsidRPr="0095221A">
      <w:rPr>
        <w:b/>
      </w:rPr>
      <w:tab/>
      <w:t xml:space="preserve">September </w:t>
    </w:r>
    <w:r w:rsidR="009258E5" w:rsidRPr="0095221A">
      <w:rPr>
        <w:b/>
      </w:rPr>
      <w:t>2</w:t>
    </w:r>
    <w:r w:rsidR="009258E5">
      <w:rPr>
        <w:b/>
      </w:rPr>
      <w:t>3</w:t>
    </w:r>
    <w:r w:rsidRPr="0095221A">
      <w:rPr>
        <w:b/>
      </w:rPr>
      <w:t>, 2016</w:t>
    </w:r>
  </w:p>
  <w:p w:rsidR="0095221A" w:rsidRPr="0095221A" w:rsidRDefault="0095221A" w:rsidP="0095221A">
    <w:pPr>
      <w:tabs>
        <w:tab w:val="center" w:pos="4680"/>
        <w:tab w:val="right" w:pos="9360"/>
      </w:tabs>
      <w:rPr>
        <w:b/>
      </w:rPr>
    </w:pPr>
    <w:r w:rsidRPr="0095221A">
      <w:rPr>
        <w:b/>
      </w:rPr>
      <w:t>San Diego Gas &amp; Electric</w:t>
    </w:r>
  </w:p>
  <w:p w:rsidR="0095221A" w:rsidRPr="009500DC" w:rsidRDefault="0095221A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A9" w:rsidRDefault="00CB64A9" w:rsidP="00FE520B">
      <w:r>
        <w:separator/>
      </w:r>
    </w:p>
  </w:footnote>
  <w:footnote w:type="continuationSeparator" w:id="0">
    <w:p w:rsidR="00CB64A9" w:rsidRDefault="00CB64A9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87D" w:rsidRDefault="00C108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87D" w:rsidRDefault="00C108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87D" w:rsidRDefault="00C108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1">
    <w:nsid w:val="14675DAA"/>
    <w:multiLevelType w:val="hybridMultilevel"/>
    <w:tmpl w:val="109EF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8"/>
  </w:num>
  <w:num w:numId="8">
    <w:abstractNumId w:val="9"/>
  </w:num>
  <w:num w:numId="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5"/>
  </w:num>
  <w:num w:numId="13">
    <w:abstractNumId w:val="10"/>
  </w:num>
  <w:num w:numId="1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 Vu">
    <w15:presenceInfo w15:providerId="Windows Live" w15:userId="585d9e805bc76d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10583"/>
    <w:rsid w:val="00052743"/>
    <w:rsid w:val="00052CE4"/>
    <w:rsid w:val="000D1CE9"/>
    <w:rsid w:val="000E2E9B"/>
    <w:rsid w:val="000F72EF"/>
    <w:rsid w:val="001158E9"/>
    <w:rsid w:val="0014135D"/>
    <w:rsid w:val="00141783"/>
    <w:rsid w:val="00165840"/>
    <w:rsid w:val="001879C7"/>
    <w:rsid w:val="00191296"/>
    <w:rsid w:val="00193E56"/>
    <w:rsid w:val="001B4F0F"/>
    <w:rsid w:val="001D44E6"/>
    <w:rsid w:val="001E5E5C"/>
    <w:rsid w:val="002057A3"/>
    <w:rsid w:val="00226262"/>
    <w:rsid w:val="0022781C"/>
    <w:rsid w:val="002304DB"/>
    <w:rsid w:val="002A127F"/>
    <w:rsid w:val="002C7FB3"/>
    <w:rsid w:val="00312B89"/>
    <w:rsid w:val="00352CB7"/>
    <w:rsid w:val="00353ECF"/>
    <w:rsid w:val="003A7B4E"/>
    <w:rsid w:val="003C4D88"/>
    <w:rsid w:val="003D547E"/>
    <w:rsid w:val="003E122A"/>
    <w:rsid w:val="003E6FA5"/>
    <w:rsid w:val="004537B4"/>
    <w:rsid w:val="004C3716"/>
    <w:rsid w:val="004C44B9"/>
    <w:rsid w:val="004D6897"/>
    <w:rsid w:val="00500D21"/>
    <w:rsid w:val="00505172"/>
    <w:rsid w:val="0053719E"/>
    <w:rsid w:val="005815D4"/>
    <w:rsid w:val="0059117D"/>
    <w:rsid w:val="005B439A"/>
    <w:rsid w:val="005C2962"/>
    <w:rsid w:val="006049AE"/>
    <w:rsid w:val="0062702B"/>
    <w:rsid w:val="00636490"/>
    <w:rsid w:val="00640F6B"/>
    <w:rsid w:val="00654030"/>
    <w:rsid w:val="00661D43"/>
    <w:rsid w:val="00684ABA"/>
    <w:rsid w:val="006B2014"/>
    <w:rsid w:val="006C5298"/>
    <w:rsid w:val="006D5F49"/>
    <w:rsid w:val="006D60A6"/>
    <w:rsid w:val="006E33E0"/>
    <w:rsid w:val="007123A8"/>
    <w:rsid w:val="0074209B"/>
    <w:rsid w:val="00763E52"/>
    <w:rsid w:val="007F6B28"/>
    <w:rsid w:val="0081380A"/>
    <w:rsid w:val="008301C9"/>
    <w:rsid w:val="0084491B"/>
    <w:rsid w:val="00861B74"/>
    <w:rsid w:val="00867C9A"/>
    <w:rsid w:val="008733BD"/>
    <w:rsid w:val="008A739C"/>
    <w:rsid w:val="008B0468"/>
    <w:rsid w:val="008C376F"/>
    <w:rsid w:val="008C3D1E"/>
    <w:rsid w:val="009258E5"/>
    <w:rsid w:val="0095221A"/>
    <w:rsid w:val="009544BA"/>
    <w:rsid w:val="009604A3"/>
    <w:rsid w:val="009A0721"/>
    <w:rsid w:val="009A0F3E"/>
    <w:rsid w:val="009B0E7F"/>
    <w:rsid w:val="009F3AAA"/>
    <w:rsid w:val="00A40890"/>
    <w:rsid w:val="00A43405"/>
    <w:rsid w:val="00A64AB4"/>
    <w:rsid w:val="00A75EDC"/>
    <w:rsid w:val="00AD41FF"/>
    <w:rsid w:val="00B763AC"/>
    <w:rsid w:val="00B86725"/>
    <w:rsid w:val="00B97344"/>
    <w:rsid w:val="00BA188B"/>
    <w:rsid w:val="00BB6B06"/>
    <w:rsid w:val="00BF7104"/>
    <w:rsid w:val="00C012DD"/>
    <w:rsid w:val="00C1087D"/>
    <w:rsid w:val="00C13FDE"/>
    <w:rsid w:val="00C361B3"/>
    <w:rsid w:val="00C80D48"/>
    <w:rsid w:val="00C84A06"/>
    <w:rsid w:val="00C863F3"/>
    <w:rsid w:val="00CB57F2"/>
    <w:rsid w:val="00CB64A9"/>
    <w:rsid w:val="00CC12EC"/>
    <w:rsid w:val="00D068F6"/>
    <w:rsid w:val="00D60240"/>
    <w:rsid w:val="00D67814"/>
    <w:rsid w:val="00D77F05"/>
    <w:rsid w:val="00D83D0D"/>
    <w:rsid w:val="00DB2D8C"/>
    <w:rsid w:val="00DB6775"/>
    <w:rsid w:val="00DC53A4"/>
    <w:rsid w:val="00DF6FA0"/>
    <w:rsid w:val="00E00DCC"/>
    <w:rsid w:val="00E041B5"/>
    <w:rsid w:val="00E06409"/>
    <w:rsid w:val="00E12985"/>
    <w:rsid w:val="00E35D48"/>
    <w:rsid w:val="00E4583A"/>
    <w:rsid w:val="00E56CE7"/>
    <w:rsid w:val="00E70363"/>
    <w:rsid w:val="00E77D27"/>
    <w:rsid w:val="00EA447A"/>
    <w:rsid w:val="00EC3A3A"/>
    <w:rsid w:val="00EE19D6"/>
    <w:rsid w:val="00F117C6"/>
    <w:rsid w:val="00F11AF0"/>
    <w:rsid w:val="00F3004E"/>
    <w:rsid w:val="00F462D3"/>
    <w:rsid w:val="00F77C08"/>
    <w:rsid w:val="00F95AC4"/>
    <w:rsid w:val="00FA5C27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table" w:customStyle="1" w:styleId="TableGrid11">
    <w:name w:val="Table Grid11"/>
    <w:basedOn w:val="TableNormal"/>
    <w:next w:val="TableGrid"/>
    <w:rsid w:val="0095221A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9B0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table" w:customStyle="1" w:styleId="TableGrid11">
    <w:name w:val="Table Grid11"/>
    <w:basedOn w:val="TableNormal"/>
    <w:next w:val="TableGrid"/>
    <w:rsid w:val="0095221A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9B0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EBEA6-0A78-451F-96B7-53E226E7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2016-09-24T02:59:00Z</dcterms:created>
  <dcterms:modified xsi:type="dcterms:W3CDTF">2016-09-24T02:59:00Z</dcterms:modified>
</cp:coreProperties>
</file>