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C91" w:rsidRPr="00CF5CFF" w:rsidRDefault="00301C91" w:rsidP="00301C91">
      <w:pPr>
        <w:jc w:val="right"/>
        <w:rPr>
          <w:rFonts w:asciiTheme="minorHAnsi" w:hAnsiTheme="minorHAnsi" w:cs="Arial"/>
          <w:b/>
          <w:sz w:val="48"/>
          <w:szCs w:val="48"/>
        </w:rPr>
      </w:pPr>
      <w:bookmarkStart w:id="0" w:name="_Toc153189646"/>
      <w:r w:rsidRPr="00CF5CFF">
        <w:rPr>
          <w:rFonts w:asciiTheme="minorHAnsi" w:hAnsiTheme="minorHAnsi" w:cs="Arial"/>
          <w:b/>
          <w:sz w:val="48"/>
          <w:szCs w:val="48"/>
        </w:rPr>
        <w:t xml:space="preserve">Workpaper </w:t>
      </w:r>
      <w:bookmarkEnd w:id="0"/>
      <w:r w:rsidRPr="00CF5CFF">
        <w:rPr>
          <w:rFonts w:asciiTheme="minorHAnsi" w:hAnsiTheme="minorHAnsi" w:cs="Arial"/>
          <w:b/>
          <w:sz w:val="48"/>
          <w:szCs w:val="48"/>
        </w:rPr>
        <w:t>WPSDGENRHC0026</w:t>
      </w:r>
    </w:p>
    <w:p w:rsidR="00301C91" w:rsidRPr="00CF5CFF" w:rsidRDefault="00301C91" w:rsidP="00301C91">
      <w:pPr>
        <w:jc w:val="right"/>
        <w:rPr>
          <w:rFonts w:asciiTheme="minorHAnsi" w:hAnsiTheme="minorHAnsi" w:cs="Arial"/>
          <w:b/>
          <w:sz w:val="48"/>
          <w:szCs w:val="48"/>
        </w:rPr>
      </w:pPr>
      <w:r w:rsidRPr="00CF5CFF">
        <w:rPr>
          <w:rFonts w:asciiTheme="minorHAnsi" w:hAnsiTheme="minorHAnsi" w:cs="Arial"/>
          <w:b/>
          <w:sz w:val="48"/>
          <w:szCs w:val="48"/>
        </w:rPr>
        <w:t xml:space="preserve"> Programmable Thermostat</w:t>
      </w:r>
    </w:p>
    <w:p w:rsidR="00301C91" w:rsidRPr="00CF5CFF" w:rsidRDefault="00301C91" w:rsidP="00301C91">
      <w:pPr>
        <w:jc w:val="right"/>
        <w:rPr>
          <w:rFonts w:asciiTheme="minorHAnsi" w:hAnsiTheme="minorHAnsi" w:cs="Arial"/>
          <w:b/>
          <w:sz w:val="48"/>
          <w:szCs w:val="48"/>
        </w:rPr>
      </w:pPr>
      <w:bookmarkStart w:id="1" w:name="_Toc153189647"/>
      <w:r w:rsidRPr="00CF5CFF">
        <w:rPr>
          <w:rFonts w:asciiTheme="minorHAnsi" w:hAnsiTheme="minorHAnsi" w:cs="Arial"/>
          <w:b/>
          <w:sz w:val="48"/>
          <w:szCs w:val="48"/>
        </w:rPr>
        <w:t>Revision</w:t>
      </w:r>
      <w:bookmarkEnd w:id="1"/>
      <w:r w:rsidRPr="00CF5CFF">
        <w:rPr>
          <w:rFonts w:asciiTheme="minorHAnsi" w:hAnsiTheme="minorHAnsi" w:cs="Arial"/>
          <w:b/>
          <w:sz w:val="48"/>
          <w:szCs w:val="48"/>
        </w:rPr>
        <w:t xml:space="preserve"> </w:t>
      </w:r>
      <w:r w:rsidR="00227654" w:rsidRPr="00CF5CFF">
        <w:rPr>
          <w:rFonts w:asciiTheme="minorHAnsi" w:hAnsiTheme="minorHAnsi" w:cs="Arial"/>
          <w:b/>
          <w:sz w:val="48"/>
          <w:szCs w:val="48"/>
        </w:rPr>
        <w:t>3</w:t>
      </w: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CF5CFF" w:rsidRDefault="00301C91" w:rsidP="00864083">
      <w:pPr>
        <w:pBdr>
          <w:bottom w:val="single" w:sz="4" w:space="1" w:color="auto"/>
        </w:pBdr>
        <w:rPr>
          <w:rFonts w:asciiTheme="minorHAnsi" w:hAnsiTheme="minorHAnsi" w:cs="Arial"/>
          <w:b/>
          <w:sz w:val="36"/>
          <w:szCs w:val="36"/>
        </w:rPr>
      </w:pPr>
      <w:r w:rsidRPr="00CF5CFF">
        <w:rPr>
          <w:rFonts w:asciiTheme="minorHAnsi" w:hAnsiTheme="minorHAnsi" w:cs="Arial"/>
          <w:b/>
          <w:sz w:val="36"/>
          <w:szCs w:val="36"/>
        </w:rPr>
        <w:t>San Diego</w:t>
      </w:r>
      <w:r w:rsidR="00E43B55" w:rsidRPr="00CF5CFF">
        <w:rPr>
          <w:rFonts w:asciiTheme="minorHAnsi" w:hAnsiTheme="minorHAnsi" w:cs="Arial"/>
          <w:b/>
          <w:sz w:val="36"/>
          <w:szCs w:val="36"/>
        </w:rPr>
        <w:t xml:space="preserve"> Gas &amp; Electric Company</w:t>
      </w:r>
    </w:p>
    <w:p w:rsidR="00E43B55" w:rsidRPr="0066794C" w:rsidRDefault="00E43B55" w:rsidP="00864083">
      <w:pPr>
        <w:rPr>
          <w:rFonts w:ascii="Arial" w:hAnsi="Arial" w:cs="Arial"/>
          <w:b/>
          <w:sz w:val="32"/>
          <w:szCs w:val="32"/>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301C91" w:rsidRPr="00CF5CFF" w:rsidRDefault="00301C91" w:rsidP="00301C91">
      <w:pPr>
        <w:ind w:right="-720"/>
        <w:rPr>
          <w:rFonts w:asciiTheme="minorHAnsi" w:hAnsiTheme="minorHAnsi" w:cs="Arial"/>
          <w:b/>
          <w:sz w:val="52"/>
          <w:szCs w:val="52"/>
        </w:rPr>
      </w:pPr>
      <w:r w:rsidRPr="00CF5CFF">
        <w:rPr>
          <w:rFonts w:asciiTheme="minorHAnsi" w:hAnsiTheme="minorHAnsi" w:cs="Arial"/>
          <w:b/>
          <w:sz w:val="52"/>
          <w:szCs w:val="52"/>
        </w:rPr>
        <w:t>Programmable Communicating Thermostat for Demand Response</w:t>
      </w:r>
    </w:p>
    <w:p w:rsidR="00E43B55" w:rsidRPr="00726983" w:rsidRDefault="00E43B55" w:rsidP="003C1A85">
      <w:pPr>
        <w:rPr>
          <w:rFonts w:ascii="Arial" w:hAnsi="Arial" w:cs="Arial"/>
          <w:b/>
        </w:rPr>
      </w:pPr>
    </w:p>
    <w:p w:rsidR="00E43B55" w:rsidRPr="0066794C" w:rsidRDefault="00E43B55" w:rsidP="00864083">
      <w:pPr>
        <w:pStyle w:val="Heading1"/>
        <w:spacing w:before="0" w:after="0"/>
        <w:rPr>
          <w:b w:val="0"/>
        </w:rPr>
      </w:pPr>
    </w:p>
    <w:p w:rsidR="00E43B55" w:rsidRPr="0066794C" w:rsidRDefault="00E43B55" w:rsidP="00864083">
      <w:pPr>
        <w:pStyle w:val="Heading1"/>
        <w:spacing w:before="0" w:after="0"/>
        <w:rPr>
          <w:b w:val="0"/>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pStyle w:val="Heading1"/>
        <w:spacing w:before="0" w:after="0"/>
        <w:rPr>
          <w:b w:val="0"/>
        </w:rPr>
      </w:pPr>
    </w:p>
    <w:p w:rsidR="00E43B55" w:rsidRPr="0066794C" w:rsidRDefault="00E43B55" w:rsidP="00864083">
      <w:pPr>
        <w:pStyle w:val="Heading1"/>
        <w:spacing w:before="0" w:after="0"/>
        <w:rPr>
          <w:b w:val="0"/>
        </w:rPr>
      </w:pPr>
    </w:p>
    <w:p w:rsidR="00E43B55" w:rsidRPr="0066794C" w:rsidRDefault="00E43B55" w:rsidP="00864083">
      <w:pPr>
        <w:pStyle w:val="Heading1"/>
        <w:spacing w:before="0" w:after="0"/>
        <w:rPr>
          <w:b w:val="0"/>
        </w:rPr>
      </w:pPr>
    </w:p>
    <w:p w:rsidR="00E43B55" w:rsidRPr="0066794C" w:rsidRDefault="00E43B55" w:rsidP="00864083">
      <w:pPr>
        <w:pStyle w:val="Heading1"/>
        <w:spacing w:before="0" w:after="0"/>
        <w:rPr>
          <w:b w:val="0"/>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sectPr w:rsidR="00E43B55" w:rsidRPr="0066794C" w:rsidSect="00E63D45">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1440" w:left="1440" w:header="720" w:footer="720" w:gutter="0"/>
          <w:pgNumType w:fmt="lowerRoman"/>
          <w:cols w:space="720"/>
          <w:titlePg/>
          <w:docGrid w:linePitch="360"/>
        </w:sectPr>
      </w:pPr>
    </w:p>
    <w:p w:rsidR="00E43B55" w:rsidRPr="0066794C" w:rsidRDefault="00E43B55" w:rsidP="00864083">
      <w:pPr>
        <w:rPr>
          <w:rFonts w:ascii="Arial" w:hAnsi="Arial" w:cs="Arial"/>
        </w:rPr>
      </w:pPr>
    </w:p>
    <w:p w:rsidR="008C30E5" w:rsidRDefault="008C30E5">
      <w:pPr>
        <w:rPr>
          <w:rFonts w:asciiTheme="minorHAnsi" w:hAnsiTheme="minorHAnsi" w:cs="Arial"/>
          <w:b/>
          <w:bCs/>
          <w:kern w:val="32"/>
          <w:sz w:val="32"/>
          <w:szCs w:val="32"/>
        </w:rPr>
      </w:pPr>
      <w:bookmarkStart w:id="2" w:name="_Toc404765866"/>
      <w:r>
        <w:rPr>
          <w:rFonts w:asciiTheme="minorHAnsi" w:hAnsiTheme="minorHAnsi"/>
        </w:rPr>
        <w:br w:type="page"/>
      </w:r>
      <w:bookmarkStart w:id="3" w:name="_GoBack"/>
      <w:bookmarkEnd w:id="3"/>
    </w:p>
    <w:p w:rsidR="00E71EF1" w:rsidRPr="00CF5CFF" w:rsidRDefault="00E731C6" w:rsidP="00864083">
      <w:pPr>
        <w:pStyle w:val="Heading1"/>
        <w:spacing w:before="0" w:after="0"/>
        <w:rPr>
          <w:rFonts w:asciiTheme="minorHAnsi" w:hAnsiTheme="minorHAnsi"/>
        </w:rPr>
      </w:pPr>
      <w:r w:rsidRPr="00CF5CFF">
        <w:rPr>
          <w:rFonts w:asciiTheme="minorHAnsi" w:hAnsiTheme="minorHAnsi"/>
        </w:rPr>
        <w:lastRenderedPageBreak/>
        <w:t>At-</w:t>
      </w:r>
      <w:r w:rsidR="003E04D8" w:rsidRPr="00CF5CFF">
        <w:rPr>
          <w:rFonts w:asciiTheme="minorHAnsi" w:hAnsiTheme="minorHAnsi"/>
        </w:rPr>
        <w:t>A</w:t>
      </w:r>
      <w:r w:rsidRPr="00CF5CFF">
        <w:rPr>
          <w:rFonts w:asciiTheme="minorHAnsi" w:hAnsiTheme="minorHAnsi"/>
        </w:rPr>
        <w:t>-</w:t>
      </w:r>
      <w:r w:rsidR="00E71EF1" w:rsidRPr="00CF5CFF">
        <w:rPr>
          <w:rFonts w:asciiTheme="minorHAnsi" w:hAnsiTheme="minorHAnsi"/>
        </w:rPr>
        <w:t>Glance Summary</w:t>
      </w:r>
      <w:bookmarkEnd w:id="2"/>
    </w:p>
    <w:p w:rsidR="005F19E0" w:rsidRPr="0066794C" w:rsidRDefault="005F19E0" w:rsidP="00864083">
      <w:pPr>
        <w:rPr>
          <w:rFonts w:ascii="Arial" w:hAnsi="Arial" w:cs="Arial"/>
          <w:b/>
          <w:sz w:val="20"/>
          <w:szCs w:val="20"/>
        </w:rPr>
      </w:pPr>
    </w:p>
    <w:tbl>
      <w:tblPr>
        <w:tblW w:w="4683" w:type="pct"/>
        <w:tblBorders>
          <w:insideH w:val="single" w:sz="18" w:space="0" w:color="FFFFFF"/>
          <w:insideV w:val="single" w:sz="18" w:space="0" w:color="FFFFFF"/>
        </w:tblBorders>
        <w:tblLayout w:type="fixed"/>
        <w:tblLook w:val="01E0" w:firstRow="1" w:lastRow="1" w:firstColumn="1" w:lastColumn="1" w:noHBand="0" w:noVBand="0"/>
      </w:tblPr>
      <w:tblGrid>
        <w:gridCol w:w="3225"/>
        <w:gridCol w:w="5744"/>
      </w:tblGrid>
      <w:tr w:rsidR="00301C91" w:rsidRPr="0066794C" w:rsidTr="00CF5CFF">
        <w:trPr>
          <w:trHeight w:val="594"/>
        </w:trPr>
        <w:tc>
          <w:tcPr>
            <w:tcW w:w="1798" w:type="pct"/>
            <w:shd w:val="pct20" w:color="000000" w:fill="FFFFFF"/>
            <w:vAlign w:val="center"/>
          </w:tcPr>
          <w:p w:rsidR="00301C91" w:rsidRPr="00CF5CFF" w:rsidRDefault="00301C91" w:rsidP="00CF5CFF">
            <w:pPr>
              <w:rPr>
                <w:rFonts w:asciiTheme="minorHAnsi" w:hAnsiTheme="minorHAnsi" w:cs="Arial"/>
                <w:b/>
                <w:bCs/>
                <w:sz w:val="20"/>
                <w:szCs w:val="20"/>
              </w:rPr>
            </w:pPr>
            <w:r w:rsidRPr="00CF5CFF">
              <w:rPr>
                <w:rFonts w:asciiTheme="minorHAnsi" w:hAnsiTheme="minorHAnsi" w:cs="Arial"/>
                <w:b/>
                <w:bCs/>
                <w:sz w:val="20"/>
                <w:szCs w:val="20"/>
              </w:rPr>
              <w:t>Applicable Measure Codes:</w:t>
            </w:r>
          </w:p>
        </w:tc>
        <w:tc>
          <w:tcPr>
            <w:tcW w:w="3202" w:type="pct"/>
            <w:shd w:val="pct20" w:color="000000" w:fill="FFFFFF"/>
            <w:vAlign w:val="center"/>
          </w:tcPr>
          <w:p w:rsidR="00301C91" w:rsidRPr="00CF5CFF" w:rsidRDefault="00301C91" w:rsidP="00301C91">
            <w:pPr>
              <w:rPr>
                <w:rFonts w:asciiTheme="minorHAnsi" w:hAnsiTheme="minorHAnsi" w:cs="Arial"/>
                <w:b/>
                <w:bCs/>
                <w:sz w:val="20"/>
                <w:szCs w:val="20"/>
              </w:rPr>
            </w:pPr>
            <w:r w:rsidRPr="00CF5CFF">
              <w:rPr>
                <w:rFonts w:asciiTheme="minorHAnsi" w:hAnsiTheme="minorHAnsi" w:cs="Arial"/>
                <w:b/>
                <w:bCs/>
                <w:sz w:val="20"/>
                <w:szCs w:val="20"/>
              </w:rPr>
              <w:t>DM-XX – Programmable Communicating Thermostat for Demand Response</w:t>
            </w:r>
          </w:p>
        </w:tc>
      </w:tr>
      <w:tr w:rsidR="00301C91" w:rsidRPr="0066794C" w:rsidTr="00CF5CFF">
        <w:trPr>
          <w:trHeight w:val="465"/>
        </w:trPr>
        <w:tc>
          <w:tcPr>
            <w:tcW w:w="1798" w:type="pct"/>
            <w:shd w:val="pct5"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 xml:space="preserve">Measure Description: </w:t>
            </w:r>
          </w:p>
        </w:tc>
        <w:tc>
          <w:tcPr>
            <w:tcW w:w="3202" w:type="pct"/>
            <w:shd w:val="pct5" w:color="000000" w:fill="FFFFFF"/>
          </w:tcPr>
          <w:p w:rsidR="00301C91" w:rsidRPr="00CF5CFF" w:rsidRDefault="00301C91" w:rsidP="00301C91">
            <w:pPr>
              <w:rPr>
                <w:rFonts w:asciiTheme="minorHAnsi" w:hAnsiTheme="minorHAnsi" w:cs="Arial"/>
                <w:sz w:val="20"/>
                <w:szCs w:val="20"/>
              </w:rPr>
            </w:pPr>
            <w:r w:rsidRPr="00CF5CFF">
              <w:rPr>
                <w:rFonts w:asciiTheme="minorHAnsi" w:hAnsiTheme="minorHAnsi" w:cs="Arial"/>
                <w:sz w:val="20"/>
                <w:szCs w:val="20"/>
              </w:rPr>
              <w:t>Programmable communicating thermostat capable of responding to automated setback demand response to control packaged AC/ heat pump applications</w:t>
            </w:r>
          </w:p>
        </w:tc>
      </w:tr>
      <w:tr w:rsidR="00301C91" w:rsidRPr="0066794C" w:rsidTr="00CF5CFF">
        <w:trPr>
          <w:trHeight w:val="465"/>
        </w:trPr>
        <w:tc>
          <w:tcPr>
            <w:tcW w:w="1798" w:type="pct"/>
            <w:shd w:val="pct20"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 xml:space="preserve">Energy Impact Common Units: </w:t>
            </w:r>
          </w:p>
        </w:tc>
        <w:tc>
          <w:tcPr>
            <w:tcW w:w="3202" w:type="pct"/>
            <w:shd w:val="pct20" w:color="000000" w:fill="FFFFFF"/>
          </w:tcPr>
          <w:p w:rsidR="00301C91" w:rsidRPr="00CF5CFF" w:rsidRDefault="00301C91" w:rsidP="00301C91">
            <w:pPr>
              <w:rPr>
                <w:rFonts w:asciiTheme="minorHAnsi" w:hAnsiTheme="minorHAnsi" w:cs="Arial"/>
                <w:sz w:val="20"/>
                <w:szCs w:val="20"/>
              </w:rPr>
            </w:pPr>
            <w:r w:rsidRPr="00CF5CFF">
              <w:rPr>
                <w:rFonts w:asciiTheme="minorHAnsi" w:hAnsiTheme="minorHAnsi" w:cs="Arial"/>
                <w:sz w:val="20"/>
                <w:szCs w:val="20"/>
              </w:rPr>
              <w:t>Per 1,000 sq ft footprint</w:t>
            </w:r>
          </w:p>
          <w:p w:rsidR="00301C91" w:rsidRPr="00CF5CFF" w:rsidRDefault="00301C91" w:rsidP="00301C91">
            <w:pPr>
              <w:rPr>
                <w:rFonts w:asciiTheme="minorHAnsi" w:hAnsiTheme="minorHAnsi" w:cs="Arial"/>
                <w:sz w:val="20"/>
                <w:szCs w:val="20"/>
              </w:rPr>
            </w:pPr>
          </w:p>
        </w:tc>
      </w:tr>
      <w:tr w:rsidR="00301C91" w:rsidRPr="0066794C" w:rsidTr="00CF5CFF">
        <w:trPr>
          <w:trHeight w:val="465"/>
        </w:trPr>
        <w:tc>
          <w:tcPr>
            <w:tcW w:w="1798" w:type="pct"/>
            <w:shd w:val="pct5"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Base Case Description:</w:t>
            </w:r>
          </w:p>
        </w:tc>
        <w:tc>
          <w:tcPr>
            <w:tcW w:w="3202" w:type="pct"/>
            <w:shd w:val="pct5" w:color="000000" w:fill="FFFFFF"/>
          </w:tcPr>
          <w:p w:rsidR="00301C91" w:rsidRPr="00CF5CFF" w:rsidRDefault="008C30E5" w:rsidP="00301C91">
            <w:pPr>
              <w:rPr>
                <w:rFonts w:asciiTheme="minorHAnsi" w:hAnsiTheme="minorHAnsi" w:cs="Arial"/>
                <w:sz w:val="20"/>
                <w:szCs w:val="20"/>
              </w:rPr>
            </w:pPr>
            <w:r w:rsidRPr="008C30E5">
              <w:rPr>
                <w:rFonts w:asciiTheme="minorHAnsi" w:hAnsiTheme="minorHAnsi" w:cs="Arial"/>
                <w:sz w:val="20"/>
                <w:szCs w:val="20"/>
              </w:rPr>
              <w:t>Existing non-programmable, non-communicating manual thermostat</w:t>
            </w:r>
          </w:p>
          <w:p w:rsidR="00301C91" w:rsidRPr="00CF5CFF" w:rsidRDefault="00301C91" w:rsidP="00165151">
            <w:pPr>
              <w:rPr>
                <w:rFonts w:asciiTheme="minorHAnsi" w:hAnsiTheme="minorHAnsi" w:cs="Arial"/>
                <w:sz w:val="20"/>
                <w:szCs w:val="20"/>
              </w:rPr>
            </w:pPr>
            <w:r w:rsidRPr="00CF5CFF">
              <w:rPr>
                <w:rFonts w:asciiTheme="minorHAnsi" w:hAnsiTheme="minorHAnsi" w:cs="Arial"/>
                <w:sz w:val="20"/>
                <w:szCs w:val="20"/>
              </w:rPr>
              <w:t xml:space="preserve">Source: </w:t>
            </w:r>
            <w:r w:rsidR="00165151" w:rsidRPr="00CF5CFF">
              <w:rPr>
                <w:rFonts w:asciiTheme="minorHAnsi" w:hAnsiTheme="minorHAnsi" w:cs="Arial"/>
                <w:sz w:val="20"/>
                <w:szCs w:val="20"/>
              </w:rPr>
              <w:t>DEER eQUEST Prototypes</w:t>
            </w:r>
          </w:p>
        </w:tc>
      </w:tr>
      <w:tr w:rsidR="00301C91" w:rsidRPr="0066794C" w:rsidTr="00CF5CFF">
        <w:trPr>
          <w:trHeight w:val="465"/>
        </w:trPr>
        <w:tc>
          <w:tcPr>
            <w:tcW w:w="1798" w:type="pct"/>
            <w:shd w:val="pct20"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 xml:space="preserve">Base Case Energy Consumption: </w:t>
            </w:r>
          </w:p>
        </w:tc>
        <w:tc>
          <w:tcPr>
            <w:tcW w:w="3202" w:type="pct"/>
            <w:shd w:val="pct20" w:color="000000" w:fill="FFFFFF"/>
          </w:tcPr>
          <w:p w:rsidR="00094943" w:rsidRPr="00CF5CFF" w:rsidRDefault="00094943" w:rsidP="00301C91">
            <w:pPr>
              <w:rPr>
                <w:rFonts w:asciiTheme="minorHAnsi" w:hAnsiTheme="minorHAnsi" w:cs="Arial"/>
                <w:sz w:val="20"/>
                <w:szCs w:val="20"/>
              </w:rPr>
            </w:pPr>
            <w:r w:rsidRPr="00CF5CFF">
              <w:rPr>
                <w:rFonts w:asciiTheme="minorHAnsi" w:hAnsiTheme="minorHAnsi" w:cs="Arial"/>
                <w:sz w:val="20"/>
                <w:szCs w:val="20"/>
              </w:rPr>
              <w:t xml:space="preserve">Various, depends on climate zone, </w:t>
            </w:r>
            <w:r w:rsidR="00B92952" w:rsidRPr="00CF5CFF">
              <w:rPr>
                <w:rFonts w:asciiTheme="minorHAnsi" w:hAnsiTheme="minorHAnsi" w:cs="Arial"/>
                <w:sz w:val="20"/>
                <w:szCs w:val="20"/>
              </w:rPr>
              <w:t xml:space="preserve">and </w:t>
            </w:r>
            <w:r w:rsidRPr="00CF5CFF">
              <w:rPr>
                <w:rFonts w:asciiTheme="minorHAnsi" w:hAnsiTheme="minorHAnsi" w:cs="Arial"/>
                <w:sz w:val="20"/>
                <w:szCs w:val="20"/>
              </w:rPr>
              <w:t>building type</w:t>
            </w:r>
            <w:r w:rsidR="00B92952" w:rsidRPr="00CF5CFF">
              <w:rPr>
                <w:rFonts w:asciiTheme="minorHAnsi" w:hAnsiTheme="minorHAnsi" w:cs="Arial"/>
                <w:sz w:val="20"/>
                <w:szCs w:val="20"/>
              </w:rPr>
              <w:t>.</w:t>
            </w:r>
            <w:r w:rsidR="00B92952" w:rsidRPr="00CF5CFF">
              <w:rPr>
                <w:rFonts w:asciiTheme="minorHAnsi" w:hAnsiTheme="minorHAnsi" w:cs="Arial"/>
                <w:sz w:val="20"/>
                <w:szCs w:val="20"/>
              </w:rPr>
              <w:br/>
            </w:r>
            <w:r w:rsidR="00DB4C2D" w:rsidRPr="00CF5CFF">
              <w:rPr>
                <w:rFonts w:asciiTheme="minorHAnsi" w:hAnsiTheme="minorHAnsi" w:cs="Arial"/>
                <w:sz w:val="20"/>
                <w:szCs w:val="20"/>
              </w:rPr>
              <w:t>Source: eQUEST models.</w:t>
            </w:r>
          </w:p>
          <w:p w:rsidR="00165151" w:rsidRPr="00CF5CFF" w:rsidRDefault="00165151">
            <w:pPr>
              <w:rPr>
                <w:rFonts w:asciiTheme="minorHAnsi" w:hAnsiTheme="minorHAnsi" w:cs="Arial"/>
                <w:sz w:val="20"/>
                <w:szCs w:val="20"/>
              </w:rPr>
            </w:pPr>
          </w:p>
        </w:tc>
      </w:tr>
      <w:tr w:rsidR="00301C91" w:rsidRPr="0066794C" w:rsidTr="00CF5CFF">
        <w:trPr>
          <w:trHeight w:val="465"/>
        </w:trPr>
        <w:tc>
          <w:tcPr>
            <w:tcW w:w="1798" w:type="pct"/>
            <w:shd w:val="pct5"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Measure Energy Consumption:</w:t>
            </w:r>
          </w:p>
        </w:tc>
        <w:tc>
          <w:tcPr>
            <w:tcW w:w="3202" w:type="pct"/>
            <w:shd w:val="pct5" w:color="000000" w:fill="FFFFFF"/>
          </w:tcPr>
          <w:p w:rsidR="00094943" w:rsidRPr="00CF5CFF" w:rsidRDefault="00094943" w:rsidP="00094943">
            <w:pPr>
              <w:rPr>
                <w:rFonts w:asciiTheme="minorHAnsi" w:hAnsiTheme="minorHAnsi" w:cs="Arial"/>
                <w:sz w:val="20"/>
                <w:szCs w:val="20"/>
              </w:rPr>
            </w:pPr>
            <w:r w:rsidRPr="00CF5CFF">
              <w:rPr>
                <w:rFonts w:asciiTheme="minorHAnsi" w:hAnsiTheme="minorHAnsi" w:cs="Arial"/>
                <w:sz w:val="20"/>
                <w:szCs w:val="20"/>
              </w:rPr>
              <w:t xml:space="preserve">Various, depends on climate zone, </w:t>
            </w:r>
            <w:r w:rsidR="00B92952" w:rsidRPr="00CF5CFF">
              <w:rPr>
                <w:rFonts w:asciiTheme="minorHAnsi" w:hAnsiTheme="minorHAnsi" w:cs="Arial"/>
                <w:sz w:val="20"/>
                <w:szCs w:val="20"/>
              </w:rPr>
              <w:t xml:space="preserve">and </w:t>
            </w:r>
            <w:r w:rsidRPr="00CF5CFF">
              <w:rPr>
                <w:rFonts w:asciiTheme="minorHAnsi" w:hAnsiTheme="minorHAnsi" w:cs="Arial"/>
                <w:sz w:val="20"/>
                <w:szCs w:val="20"/>
              </w:rPr>
              <w:t>building type</w:t>
            </w:r>
            <w:r w:rsidR="00B92952" w:rsidRPr="00CF5CFF">
              <w:rPr>
                <w:rFonts w:asciiTheme="minorHAnsi" w:hAnsiTheme="minorHAnsi" w:cs="Arial"/>
                <w:sz w:val="20"/>
                <w:szCs w:val="20"/>
              </w:rPr>
              <w:t>.</w:t>
            </w:r>
          </w:p>
          <w:p w:rsidR="00301C91" w:rsidRPr="00CF5CFF" w:rsidRDefault="00DB4C2D" w:rsidP="00DB4C2D">
            <w:pPr>
              <w:rPr>
                <w:rFonts w:asciiTheme="minorHAnsi" w:hAnsiTheme="minorHAnsi" w:cs="Arial"/>
                <w:sz w:val="20"/>
                <w:szCs w:val="20"/>
              </w:rPr>
            </w:pPr>
            <w:r w:rsidRPr="00CF5CFF">
              <w:rPr>
                <w:rFonts w:asciiTheme="minorHAnsi" w:hAnsiTheme="minorHAnsi" w:cs="Arial"/>
                <w:sz w:val="20"/>
                <w:szCs w:val="20"/>
              </w:rPr>
              <w:t>Source: eQUEST models.</w:t>
            </w:r>
          </w:p>
        </w:tc>
      </w:tr>
      <w:tr w:rsidR="00301C91" w:rsidRPr="0066794C" w:rsidTr="00CF5CFF">
        <w:trPr>
          <w:trHeight w:val="465"/>
        </w:trPr>
        <w:tc>
          <w:tcPr>
            <w:tcW w:w="1798" w:type="pct"/>
            <w:shd w:val="pct20"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Energy Savings (Base Case – Measure)</w:t>
            </w:r>
          </w:p>
        </w:tc>
        <w:tc>
          <w:tcPr>
            <w:tcW w:w="3202" w:type="pct"/>
            <w:shd w:val="pct20" w:color="000000" w:fill="FFFFFF"/>
          </w:tcPr>
          <w:p w:rsidR="00094943" w:rsidRPr="00CF5CFF" w:rsidRDefault="00094943" w:rsidP="00094943">
            <w:pPr>
              <w:rPr>
                <w:rFonts w:asciiTheme="minorHAnsi" w:hAnsiTheme="minorHAnsi" w:cs="Arial"/>
                <w:sz w:val="20"/>
                <w:szCs w:val="20"/>
              </w:rPr>
            </w:pPr>
            <w:r w:rsidRPr="00CF5CFF">
              <w:rPr>
                <w:rFonts w:asciiTheme="minorHAnsi" w:hAnsiTheme="minorHAnsi" w:cs="Arial"/>
                <w:sz w:val="20"/>
                <w:szCs w:val="20"/>
              </w:rPr>
              <w:t xml:space="preserve">Various, depends on climate zone, </w:t>
            </w:r>
            <w:r w:rsidR="00B92952" w:rsidRPr="00CF5CFF">
              <w:rPr>
                <w:rFonts w:asciiTheme="minorHAnsi" w:hAnsiTheme="minorHAnsi" w:cs="Arial"/>
                <w:sz w:val="20"/>
                <w:szCs w:val="20"/>
              </w:rPr>
              <w:t xml:space="preserve">and </w:t>
            </w:r>
            <w:r w:rsidRPr="00CF5CFF">
              <w:rPr>
                <w:rFonts w:asciiTheme="minorHAnsi" w:hAnsiTheme="minorHAnsi" w:cs="Arial"/>
                <w:sz w:val="20"/>
                <w:szCs w:val="20"/>
              </w:rPr>
              <w:t>building type</w:t>
            </w:r>
            <w:r w:rsidR="00B92952" w:rsidRPr="00CF5CFF">
              <w:rPr>
                <w:rFonts w:asciiTheme="minorHAnsi" w:hAnsiTheme="minorHAnsi" w:cs="Arial"/>
                <w:sz w:val="20"/>
                <w:szCs w:val="20"/>
              </w:rPr>
              <w:t>.</w:t>
            </w:r>
          </w:p>
          <w:p w:rsidR="00301C91" w:rsidRPr="00CF5CFF" w:rsidRDefault="00094943" w:rsidP="00DB4C2D">
            <w:pPr>
              <w:rPr>
                <w:rFonts w:asciiTheme="minorHAnsi" w:hAnsiTheme="minorHAnsi" w:cs="Arial"/>
                <w:sz w:val="20"/>
                <w:szCs w:val="20"/>
              </w:rPr>
            </w:pPr>
            <w:r w:rsidRPr="00CF5CFF">
              <w:rPr>
                <w:rFonts w:asciiTheme="minorHAnsi" w:hAnsiTheme="minorHAnsi" w:cs="Arial"/>
                <w:sz w:val="20"/>
                <w:szCs w:val="20"/>
              </w:rPr>
              <w:t>Source: eQUEST models.</w:t>
            </w:r>
          </w:p>
        </w:tc>
      </w:tr>
      <w:tr w:rsidR="00301C91" w:rsidRPr="0066794C" w:rsidTr="00CF5CFF">
        <w:trPr>
          <w:trHeight w:val="465"/>
        </w:trPr>
        <w:tc>
          <w:tcPr>
            <w:tcW w:w="1798" w:type="pct"/>
            <w:shd w:val="pct5"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 xml:space="preserve">Costs Common Units: </w:t>
            </w:r>
          </w:p>
        </w:tc>
        <w:tc>
          <w:tcPr>
            <w:tcW w:w="3202" w:type="pct"/>
            <w:shd w:val="pct5" w:color="000000" w:fill="FFFFFF"/>
          </w:tcPr>
          <w:p w:rsidR="00301C91" w:rsidRPr="00CF5CFF" w:rsidRDefault="00301C91" w:rsidP="00301C91">
            <w:pPr>
              <w:rPr>
                <w:rFonts w:asciiTheme="minorHAnsi" w:hAnsiTheme="minorHAnsi" w:cs="Arial"/>
                <w:sz w:val="20"/>
                <w:szCs w:val="20"/>
              </w:rPr>
            </w:pPr>
            <w:r w:rsidRPr="00CF5CFF">
              <w:rPr>
                <w:rFonts w:asciiTheme="minorHAnsi" w:hAnsiTheme="minorHAnsi" w:cs="Arial"/>
                <w:sz w:val="20"/>
                <w:szCs w:val="20"/>
              </w:rPr>
              <w:t>$ per unit</w:t>
            </w:r>
          </w:p>
        </w:tc>
      </w:tr>
      <w:tr w:rsidR="00301C91" w:rsidRPr="0066794C" w:rsidTr="00CF5CFF">
        <w:trPr>
          <w:trHeight w:val="465"/>
        </w:trPr>
        <w:tc>
          <w:tcPr>
            <w:tcW w:w="1798" w:type="pct"/>
            <w:shd w:val="pct20"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Base Case Equipment Cost ($/unit):</w:t>
            </w:r>
          </w:p>
        </w:tc>
        <w:tc>
          <w:tcPr>
            <w:tcW w:w="3202" w:type="pct"/>
            <w:shd w:val="pct20" w:color="000000" w:fill="FFFFFF"/>
          </w:tcPr>
          <w:p w:rsidR="00301C91" w:rsidRPr="00CF5CFF" w:rsidRDefault="00301C91" w:rsidP="00301C91">
            <w:pPr>
              <w:rPr>
                <w:rFonts w:asciiTheme="minorHAnsi" w:hAnsiTheme="minorHAnsi" w:cs="Arial"/>
                <w:sz w:val="20"/>
                <w:szCs w:val="20"/>
              </w:rPr>
            </w:pPr>
            <w:r w:rsidRPr="00CF5CFF">
              <w:rPr>
                <w:rFonts w:asciiTheme="minorHAnsi" w:hAnsiTheme="minorHAnsi" w:cs="Arial"/>
                <w:sz w:val="20"/>
                <w:szCs w:val="20"/>
              </w:rPr>
              <w:t>$0.00/unit</w:t>
            </w:r>
          </w:p>
        </w:tc>
      </w:tr>
      <w:tr w:rsidR="00301C91" w:rsidRPr="0066794C" w:rsidTr="00CF5CFF">
        <w:trPr>
          <w:trHeight w:val="465"/>
        </w:trPr>
        <w:tc>
          <w:tcPr>
            <w:tcW w:w="1798" w:type="pct"/>
            <w:shd w:val="pct5"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 xml:space="preserve">Measure Equipment Cost ($/unit): </w:t>
            </w:r>
          </w:p>
        </w:tc>
        <w:tc>
          <w:tcPr>
            <w:tcW w:w="3202" w:type="pct"/>
            <w:shd w:val="pct5" w:color="000000" w:fill="FFFFFF"/>
          </w:tcPr>
          <w:p w:rsidR="006967B0" w:rsidRPr="00CF5CFF" w:rsidRDefault="006967B0" w:rsidP="006967B0">
            <w:pPr>
              <w:rPr>
                <w:rFonts w:asciiTheme="minorHAnsi" w:hAnsiTheme="minorHAnsi" w:cs="Arial"/>
                <w:sz w:val="20"/>
                <w:szCs w:val="20"/>
              </w:rPr>
            </w:pPr>
            <w:r w:rsidRPr="00CF5CFF">
              <w:rPr>
                <w:rFonts w:asciiTheme="minorHAnsi" w:hAnsiTheme="minorHAnsi" w:cs="Arial"/>
                <w:sz w:val="20"/>
                <w:szCs w:val="20"/>
              </w:rPr>
              <w:t>Various. Refer to At-A-Glance Measure List</w:t>
            </w:r>
            <w:r w:rsidR="00602905" w:rsidRPr="00CF5CFF">
              <w:rPr>
                <w:rStyle w:val="EndnoteReference"/>
                <w:rFonts w:asciiTheme="minorHAnsi" w:hAnsiTheme="minorHAnsi" w:cs="Arial"/>
                <w:sz w:val="20"/>
                <w:szCs w:val="20"/>
              </w:rPr>
              <w:endnoteReference w:id="1"/>
            </w:r>
            <w:r w:rsidRPr="00CF5CFF">
              <w:rPr>
                <w:rFonts w:asciiTheme="minorHAnsi" w:hAnsiTheme="minorHAnsi" w:cs="Arial"/>
                <w:sz w:val="20"/>
                <w:szCs w:val="20"/>
              </w:rPr>
              <w:t>.</w:t>
            </w:r>
          </w:p>
          <w:p w:rsidR="00301C91" w:rsidRPr="00CF5CFF" w:rsidRDefault="006967B0" w:rsidP="00DB4C2D">
            <w:pPr>
              <w:rPr>
                <w:rFonts w:asciiTheme="minorHAnsi" w:hAnsiTheme="minorHAnsi" w:cs="Arial"/>
                <w:b/>
                <w:sz w:val="20"/>
                <w:szCs w:val="20"/>
              </w:rPr>
            </w:pPr>
            <w:r w:rsidRPr="00CF5CFF">
              <w:rPr>
                <w:rFonts w:asciiTheme="minorHAnsi" w:hAnsiTheme="minorHAnsi" w:cs="Arial"/>
                <w:sz w:val="20"/>
                <w:szCs w:val="20"/>
              </w:rPr>
              <w:t>Source: DEER 2008, SDG&amp;E</w:t>
            </w:r>
          </w:p>
        </w:tc>
      </w:tr>
      <w:tr w:rsidR="00301C91" w:rsidRPr="0066794C" w:rsidTr="00CF5CFF">
        <w:trPr>
          <w:trHeight w:val="603"/>
        </w:trPr>
        <w:tc>
          <w:tcPr>
            <w:tcW w:w="1798" w:type="pct"/>
            <w:shd w:val="pct20"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Gross Measure Cost ($/unit)</w:t>
            </w:r>
          </w:p>
        </w:tc>
        <w:tc>
          <w:tcPr>
            <w:tcW w:w="3202" w:type="pct"/>
            <w:shd w:val="pct20" w:color="000000" w:fill="FFFFFF"/>
          </w:tcPr>
          <w:p w:rsidR="00301C91" w:rsidRPr="00CF5CFF" w:rsidRDefault="00301C91" w:rsidP="00301C91">
            <w:pPr>
              <w:rPr>
                <w:rFonts w:asciiTheme="minorHAnsi" w:hAnsiTheme="minorHAnsi" w:cs="Arial"/>
                <w:sz w:val="20"/>
                <w:szCs w:val="20"/>
              </w:rPr>
            </w:pPr>
            <w:r w:rsidRPr="00CF5CFF">
              <w:rPr>
                <w:rFonts w:asciiTheme="minorHAnsi" w:hAnsiTheme="minorHAnsi" w:cs="Arial"/>
                <w:sz w:val="20"/>
                <w:szCs w:val="20"/>
              </w:rPr>
              <w:t>Various. Refer to At-A-Glance Measure List.</w:t>
            </w:r>
          </w:p>
          <w:p w:rsidR="00115131" w:rsidRPr="00CF5CFF" w:rsidRDefault="00301C91" w:rsidP="00DB4C2D">
            <w:pPr>
              <w:rPr>
                <w:rFonts w:asciiTheme="minorHAnsi" w:hAnsiTheme="minorHAnsi" w:cs="Arial"/>
                <w:sz w:val="20"/>
                <w:szCs w:val="20"/>
              </w:rPr>
            </w:pPr>
            <w:r w:rsidRPr="00CF5CFF">
              <w:rPr>
                <w:rFonts w:asciiTheme="minorHAnsi" w:hAnsiTheme="minorHAnsi" w:cs="Arial"/>
                <w:sz w:val="20"/>
                <w:szCs w:val="20"/>
              </w:rPr>
              <w:t>Source: DEER 2008</w:t>
            </w:r>
            <w:bookmarkStart w:id="4" w:name="_Ref404774991"/>
            <w:r w:rsidRPr="00CF5CFF">
              <w:rPr>
                <w:rStyle w:val="EndnoteReference"/>
                <w:rFonts w:asciiTheme="minorHAnsi" w:hAnsiTheme="minorHAnsi" w:cs="Arial"/>
                <w:sz w:val="20"/>
                <w:szCs w:val="20"/>
              </w:rPr>
              <w:endnoteReference w:id="2"/>
            </w:r>
            <w:bookmarkEnd w:id="4"/>
            <w:r w:rsidRPr="00CF5CFF">
              <w:rPr>
                <w:rFonts w:asciiTheme="minorHAnsi" w:hAnsiTheme="minorHAnsi" w:cs="Arial"/>
                <w:sz w:val="20"/>
                <w:szCs w:val="20"/>
              </w:rPr>
              <w:t>, SDG&amp;E</w:t>
            </w:r>
          </w:p>
        </w:tc>
      </w:tr>
      <w:tr w:rsidR="00301C91" w:rsidRPr="0066794C" w:rsidTr="00CF5CFF">
        <w:trPr>
          <w:trHeight w:val="783"/>
        </w:trPr>
        <w:tc>
          <w:tcPr>
            <w:tcW w:w="1798" w:type="pct"/>
            <w:shd w:val="pct20"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 xml:space="preserve">Measure Incremental Cost ($/unit): </w:t>
            </w:r>
          </w:p>
        </w:tc>
        <w:tc>
          <w:tcPr>
            <w:tcW w:w="3202" w:type="pct"/>
            <w:shd w:val="pct20" w:color="000000" w:fill="FFFFFF"/>
          </w:tcPr>
          <w:p w:rsidR="00301C91" w:rsidRPr="00CF5CFF" w:rsidRDefault="00301C91" w:rsidP="00301C91">
            <w:pPr>
              <w:rPr>
                <w:rFonts w:asciiTheme="minorHAnsi" w:hAnsiTheme="minorHAnsi" w:cs="Arial"/>
                <w:sz w:val="20"/>
                <w:szCs w:val="20"/>
              </w:rPr>
            </w:pPr>
            <w:r w:rsidRPr="00CF5CFF">
              <w:rPr>
                <w:rFonts w:asciiTheme="minorHAnsi" w:hAnsiTheme="minorHAnsi" w:cs="Arial"/>
                <w:sz w:val="20"/>
                <w:szCs w:val="20"/>
              </w:rPr>
              <w:t>Various. Refer to At-A-Glance Measure List.</w:t>
            </w:r>
          </w:p>
          <w:p w:rsidR="00301C91" w:rsidRPr="00CF5CFF" w:rsidRDefault="00301C91" w:rsidP="00DB4C2D">
            <w:pPr>
              <w:rPr>
                <w:rFonts w:asciiTheme="minorHAnsi" w:hAnsiTheme="minorHAnsi" w:cs="Arial"/>
                <w:sz w:val="20"/>
                <w:szCs w:val="20"/>
              </w:rPr>
            </w:pPr>
            <w:r w:rsidRPr="00CF5CFF">
              <w:rPr>
                <w:rFonts w:asciiTheme="minorHAnsi" w:hAnsiTheme="minorHAnsi" w:cs="Arial"/>
                <w:sz w:val="20"/>
                <w:szCs w:val="20"/>
              </w:rPr>
              <w:t>Source: DEER 2008, SDG&amp;E</w:t>
            </w:r>
          </w:p>
        </w:tc>
      </w:tr>
      <w:tr w:rsidR="00301C91" w:rsidRPr="0066794C" w:rsidTr="00CF5CFF">
        <w:trPr>
          <w:trHeight w:val="465"/>
        </w:trPr>
        <w:tc>
          <w:tcPr>
            <w:tcW w:w="1798" w:type="pct"/>
            <w:shd w:val="clear" w:color="auto" w:fill="F2F2F2"/>
            <w:vAlign w:val="center"/>
          </w:tcPr>
          <w:p w:rsidR="00301C91" w:rsidRPr="00CF5CFF" w:rsidRDefault="00301C91" w:rsidP="00CF5CFF">
            <w:pPr>
              <w:rPr>
                <w:rFonts w:asciiTheme="minorHAnsi" w:hAnsiTheme="minorHAnsi" w:cs="Arial"/>
                <w:b/>
                <w:bCs/>
                <w:sz w:val="20"/>
                <w:szCs w:val="20"/>
              </w:rPr>
            </w:pPr>
            <w:r w:rsidRPr="00CF5CFF">
              <w:rPr>
                <w:rFonts w:asciiTheme="minorHAnsi" w:hAnsiTheme="minorHAnsi" w:cs="Arial"/>
                <w:b/>
                <w:bCs/>
                <w:sz w:val="20"/>
                <w:szCs w:val="20"/>
              </w:rPr>
              <w:t xml:space="preserve">Effective Useful Life (years): </w:t>
            </w:r>
          </w:p>
        </w:tc>
        <w:tc>
          <w:tcPr>
            <w:tcW w:w="3202" w:type="pct"/>
            <w:shd w:val="clear" w:color="auto" w:fill="F2F2F2"/>
          </w:tcPr>
          <w:p w:rsidR="00E879E5" w:rsidRPr="00CF5CFF" w:rsidRDefault="00227654" w:rsidP="00301C91">
            <w:pPr>
              <w:rPr>
                <w:rFonts w:asciiTheme="minorHAnsi" w:hAnsiTheme="minorHAnsi" w:cs="Arial"/>
                <w:bCs/>
                <w:sz w:val="20"/>
                <w:szCs w:val="20"/>
              </w:rPr>
            </w:pPr>
            <w:r w:rsidRPr="00CF5CFF">
              <w:rPr>
                <w:rFonts w:asciiTheme="minorHAnsi" w:hAnsiTheme="minorHAnsi" w:cs="Arial"/>
                <w:bCs/>
                <w:sz w:val="20"/>
                <w:szCs w:val="20"/>
              </w:rPr>
              <w:t>HV-ProgTstat</w:t>
            </w:r>
          </w:p>
          <w:p w:rsidR="00301C91" w:rsidRPr="00CF5CFF" w:rsidRDefault="00305C88" w:rsidP="00301C91">
            <w:pPr>
              <w:rPr>
                <w:rFonts w:asciiTheme="minorHAnsi" w:hAnsiTheme="minorHAnsi" w:cs="Arial"/>
                <w:bCs/>
                <w:color w:val="FF0000"/>
                <w:sz w:val="20"/>
                <w:szCs w:val="20"/>
              </w:rPr>
            </w:pPr>
            <w:r w:rsidRPr="00CF5CFF">
              <w:rPr>
                <w:rFonts w:asciiTheme="minorHAnsi" w:hAnsiTheme="minorHAnsi" w:cs="Arial"/>
                <w:bCs/>
                <w:sz w:val="20"/>
                <w:szCs w:val="20"/>
              </w:rPr>
              <w:t xml:space="preserve">Source: </w:t>
            </w:r>
            <w:r w:rsidR="00301C91" w:rsidRPr="00CF5CFF">
              <w:rPr>
                <w:rFonts w:asciiTheme="minorHAnsi" w:hAnsiTheme="minorHAnsi" w:cs="Arial"/>
                <w:bCs/>
                <w:sz w:val="20"/>
                <w:szCs w:val="20"/>
              </w:rPr>
              <w:t xml:space="preserve">DEER </w:t>
            </w:r>
            <w:r w:rsidR="00DB4C2D" w:rsidRPr="00CF5CFF">
              <w:rPr>
                <w:rFonts w:asciiTheme="minorHAnsi" w:hAnsiTheme="minorHAnsi" w:cs="Arial"/>
                <w:bCs/>
                <w:sz w:val="20"/>
                <w:szCs w:val="20"/>
              </w:rPr>
              <w:t>2014-EUL-table-update_2014-02-05.xlsx</w:t>
            </w:r>
            <w:bookmarkStart w:id="5" w:name="_Ref380152446"/>
            <w:r w:rsidR="00301C91" w:rsidRPr="00CF5CFF">
              <w:rPr>
                <w:rStyle w:val="EndnoteReference"/>
                <w:rFonts w:asciiTheme="minorHAnsi" w:hAnsiTheme="minorHAnsi" w:cs="Arial"/>
                <w:bCs/>
                <w:color w:val="FF0000"/>
                <w:sz w:val="20"/>
                <w:szCs w:val="20"/>
                <w:lang w:val="en-GB"/>
              </w:rPr>
              <w:endnoteReference w:id="3"/>
            </w:r>
            <w:bookmarkEnd w:id="5"/>
          </w:p>
          <w:p w:rsidR="00301C91" w:rsidRPr="00CF5CFF" w:rsidRDefault="00301C91" w:rsidP="00301C91">
            <w:pPr>
              <w:rPr>
                <w:rFonts w:asciiTheme="minorHAnsi" w:hAnsiTheme="minorHAnsi" w:cs="Arial"/>
                <w:bCs/>
                <w:sz w:val="20"/>
                <w:szCs w:val="20"/>
              </w:rPr>
            </w:pPr>
          </w:p>
        </w:tc>
      </w:tr>
      <w:tr w:rsidR="00301C91" w:rsidRPr="0066794C" w:rsidTr="00CF5CFF">
        <w:trPr>
          <w:trHeight w:val="252"/>
        </w:trPr>
        <w:tc>
          <w:tcPr>
            <w:tcW w:w="1798" w:type="pct"/>
            <w:shd w:val="pct20"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Program Type:</w:t>
            </w:r>
          </w:p>
        </w:tc>
        <w:tc>
          <w:tcPr>
            <w:tcW w:w="3202" w:type="pct"/>
            <w:shd w:val="pct20" w:color="000000" w:fill="FFFFFF"/>
          </w:tcPr>
          <w:p w:rsidR="00301C91" w:rsidRPr="00CF5CFF" w:rsidRDefault="00301C91" w:rsidP="00482239">
            <w:pPr>
              <w:rPr>
                <w:rFonts w:asciiTheme="minorHAnsi" w:hAnsiTheme="minorHAnsi" w:cs="Arial"/>
                <w:sz w:val="20"/>
                <w:szCs w:val="20"/>
              </w:rPr>
            </w:pPr>
            <w:r w:rsidRPr="00CF5CFF">
              <w:rPr>
                <w:rFonts w:asciiTheme="minorHAnsi" w:hAnsiTheme="minorHAnsi" w:cs="Arial"/>
                <w:sz w:val="20"/>
                <w:szCs w:val="20"/>
              </w:rPr>
              <w:t>R</w:t>
            </w:r>
            <w:r w:rsidR="00482239" w:rsidRPr="00CF5CFF">
              <w:rPr>
                <w:rFonts w:asciiTheme="minorHAnsi" w:hAnsiTheme="minorHAnsi" w:cs="Arial"/>
                <w:sz w:val="20"/>
                <w:szCs w:val="20"/>
              </w:rPr>
              <w:t>EA</w:t>
            </w:r>
          </w:p>
        </w:tc>
      </w:tr>
      <w:tr w:rsidR="00301C91" w:rsidRPr="0066794C" w:rsidTr="00CF5CFF">
        <w:trPr>
          <w:trHeight w:val="465"/>
        </w:trPr>
        <w:tc>
          <w:tcPr>
            <w:tcW w:w="1798" w:type="pct"/>
            <w:shd w:val="clear" w:color="auto" w:fill="F2F2F2"/>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 xml:space="preserve">Net-to-Gross Ratios: </w:t>
            </w:r>
          </w:p>
        </w:tc>
        <w:tc>
          <w:tcPr>
            <w:tcW w:w="3202" w:type="pct"/>
            <w:shd w:val="clear" w:color="auto" w:fill="F2F2F2"/>
          </w:tcPr>
          <w:p w:rsidR="00301C91" w:rsidRPr="00CF5CFF" w:rsidRDefault="00DB4C2D" w:rsidP="00301C91">
            <w:pPr>
              <w:rPr>
                <w:rFonts w:asciiTheme="minorHAnsi" w:hAnsiTheme="minorHAnsi" w:cs="Arial"/>
                <w:sz w:val="20"/>
                <w:szCs w:val="20"/>
              </w:rPr>
            </w:pPr>
            <w:r w:rsidRPr="00CF5CFF">
              <w:rPr>
                <w:rFonts w:asciiTheme="minorHAnsi" w:hAnsiTheme="minorHAnsi" w:cs="Arial"/>
                <w:sz w:val="20"/>
                <w:szCs w:val="20"/>
              </w:rPr>
              <w:t>Com-Default&gt;2yrs</w:t>
            </w:r>
          </w:p>
          <w:p w:rsidR="00301C91" w:rsidRPr="00CF5CFF" w:rsidRDefault="00301C91" w:rsidP="00DB4C2D">
            <w:pPr>
              <w:rPr>
                <w:rFonts w:asciiTheme="minorHAnsi" w:hAnsiTheme="minorHAnsi" w:cs="Arial"/>
                <w:sz w:val="20"/>
                <w:szCs w:val="20"/>
              </w:rPr>
            </w:pPr>
            <w:r w:rsidRPr="00CF5CFF">
              <w:rPr>
                <w:rFonts w:asciiTheme="minorHAnsi" w:hAnsiTheme="minorHAnsi" w:cs="Arial"/>
                <w:sz w:val="20"/>
                <w:szCs w:val="20"/>
              </w:rPr>
              <w:t xml:space="preserve">Source: </w:t>
            </w:r>
            <w:r w:rsidR="00DB4C2D" w:rsidRPr="00CF5CFF">
              <w:rPr>
                <w:rFonts w:asciiTheme="minorHAnsi" w:hAnsiTheme="minorHAnsi" w:cs="Arial"/>
                <w:sz w:val="20"/>
                <w:szCs w:val="20"/>
              </w:rPr>
              <w:t>DEER2015-2016-NTG-Update-2015-10-20.xls</w:t>
            </w:r>
          </w:p>
        </w:tc>
      </w:tr>
      <w:tr w:rsidR="00301C91" w:rsidRPr="0066794C" w:rsidTr="00CF5CFF">
        <w:trPr>
          <w:trHeight w:val="783"/>
        </w:trPr>
        <w:tc>
          <w:tcPr>
            <w:tcW w:w="1798" w:type="pct"/>
            <w:shd w:val="pct20" w:color="000000" w:fill="FFFFFF"/>
            <w:vAlign w:val="center"/>
          </w:tcPr>
          <w:p w:rsidR="00301C91" w:rsidRPr="00CF5CFF" w:rsidRDefault="00301C91" w:rsidP="00CF5CFF">
            <w:pPr>
              <w:rPr>
                <w:rFonts w:asciiTheme="minorHAnsi" w:hAnsiTheme="minorHAnsi" w:cs="Arial"/>
                <w:b/>
                <w:sz w:val="20"/>
                <w:szCs w:val="20"/>
              </w:rPr>
            </w:pPr>
            <w:r w:rsidRPr="00CF5CFF">
              <w:rPr>
                <w:rFonts w:asciiTheme="minorHAnsi" w:hAnsiTheme="minorHAnsi" w:cs="Arial"/>
                <w:b/>
                <w:sz w:val="20"/>
                <w:szCs w:val="20"/>
              </w:rPr>
              <w:t>Important Comments:</w:t>
            </w:r>
          </w:p>
        </w:tc>
        <w:tc>
          <w:tcPr>
            <w:tcW w:w="3202" w:type="pct"/>
            <w:shd w:val="pct20" w:color="000000" w:fill="FFFFFF"/>
          </w:tcPr>
          <w:p w:rsidR="00301C91" w:rsidRPr="00CF5CFF" w:rsidRDefault="00301C91" w:rsidP="00301C91">
            <w:pPr>
              <w:rPr>
                <w:rFonts w:asciiTheme="minorHAnsi" w:hAnsiTheme="minorHAnsi" w:cs="Arial"/>
                <w:sz w:val="20"/>
                <w:szCs w:val="20"/>
              </w:rPr>
            </w:pPr>
            <w:r w:rsidRPr="00CF5CFF">
              <w:rPr>
                <w:rFonts w:asciiTheme="minorHAnsi" w:hAnsiTheme="minorHAnsi" w:cs="Arial"/>
                <w:sz w:val="20"/>
                <w:szCs w:val="20"/>
              </w:rPr>
              <w:t>Gross Measure Cost is assumed to equal the Incremental Measure Cost</w:t>
            </w:r>
          </w:p>
        </w:tc>
      </w:tr>
    </w:tbl>
    <w:p w:rsidR="0096789B" w:rsidRDefault="0096789B" w:rsidP="00864083">
      <w:pPr>
        <w:rPr>
          <w:rFonts w:ascii="Arial" w:hAnsi="Arial" w:cs="Arial"/>
          <w:b/>
          <w:color w:val="FF0000"/>
          <w:sz w:val="20"/>
          <w:szCs w:val="20"/>
        </w:rPr>
      </w:pPr>
    </w:p>
    <w:p w:rsidR="00E879E5" w:rsidRDefault="00E879E5">
      <w:pPr>
        <w:rPr>
          <w:rFonts w:ascii="Arial" w:hAnsi="Arial" w:cs="Arial"/>
          <w:b/>
          <w:bCs/>
          <w:kern w:val="32"/>
          <w:sz w:val="32"/>
          <w:szCs w:val="32"/>
        </w:rPr>
      </w:pPr>
      <w:bookmarkStart w:id="6" w:name="_Toc342311739"/>
      <w:r>
        <w:br w:type="page"/>
      </w:r>
    </w:p>
    <w:p w:rsidR="00081FB4" w:rsidRDefault="00BA458B" w:rsidP="00672230">
      <w:pPr>
        <w:pStyle w:val="Heading1"/>
        <w:spacing w:before="0" w:after="0"/>
      </w:pPr>
      <w:bookmarkStart w:id="7" w:name="_Toc197335199"/>
      <w:bookmarkStart w:id="8" w:name="_Toc404765868"/>
      <w:bookmarkStart w:id="9" w:name="_Toc186621650"/>
      <w:bookmarkStart w:id="10" w:name="_Toc304800197"/>
      <w:bookmarkEnd w:id="6"/>
      <w:r w:rsidRPr="0066794C">
        <w:lastRenderedPageBreak/>
        <w:t>Document Revision History</w:t>
      </w:r>
      <w:bookmarkEnd w:id="7"/>
      <w:bookmarkEnd w:id="8"/>
    </w:p>
    <w:p w:rsidR="00DB4C2D" w:rsidRPr="00DB4C2D" w:rsidRDefault="00DB4C2D" w:rsidP="00DB4C2D"/>
    <w:tbl>
      <w:tblPr>
        <w:tblW w:w="4992" w:type="pct"/>
        <w:tblInd w:w="108" w:type="dxa"/>
        <w:tblBorders>
          <w:insideH w:val="single" w:sz="18" w:space="0" w:color="FFFFFF"/>
          <w:insideV w:val="single" w:sz="18" w:space="0" w:color="FFFFFF"/>
        </w:tblBorders>
        <w:tblLayout w:type="fixed"/>
        <w:tblLook w:val="01E0" w:firstRow="1" w:lastRow="1" w:firstColumn="1" w:lastColumn="1" w:noHBand="0" w:noVBand="0"/>
      </w:tblPr>
      <w:tblGrid>
        <w:gridCol w:w="1260"/>
        <w:gridCol w:w="1440"/>
        <w:gridCol w:w="1889"/>
        <w:gridCol w:w="4972"/>
      </w:tblGrid>
      <w:tr w:rsidR="00DB4C2D" w:rsidRPr="001159A9" w:rsidTr="009856A5">
        <w:trPr>
          <w:trHeight w:val="464"/>
        </w:trPr>
        <w:tc>
          <w:tcPr>
            <w:tcW w:w="659" w:type="pct"/>
            <w:tcBorders>
              <w:top w:val="nil"/>
              <w:bottom w:val="single" w:sz="18" w:space="0" w:color="FFFFFF"/>
            </w:tcBorders>
            <w:shd w:val="pct20" w:color="000000" w:fill="FFFFFF"/>
            <w:vAlign w:val="center"/>
          </w:tcPr>
          <w:p w:rsidR="00DB4C2D" w:rsidRPr="009856A5" w:rsidRDefault="00DB4C2D" w:rsidP="00A03BAC">
            <w:pPr>
              <w:jc w:val="center"/>
              <w:rPr>
                <w:rFonts w:asciiTheme="minorHAnsi" w:hAnsiTheme="minorHAnsi" w:cstheme="minorHAnsi"/>
                <w:b/>
                <w:sz w:val="22"/>
                <w:szCs w:val="22"/>
              </w:rPr>
            </w:pPr>
            <w:r w:rsidRPr="009856A5">
              <w:rPr>
                <w:rFonts w:asciiTheme="minorHAnsi" w:hAnsiTheme="minorHAnsi" w:cstheme="minorHAnsi"/>
                <w:b/>
                <w:sz w:val="22"/>
                <w:szCs w:val="22"/>
              </w:rPr>
              <w:t>Revision #</w:t>
            </w:r>
          </w:p>
        </w:tc>
        <w:tc>
          <w:tcPr>
            <w:tcW w:w="753" w:type="pct"/>
            <w:tcBorders>
              <w:top w:val="nil"/>
              <w:bottom w:val="single" w:sz="18" w:space="0" w:color="FFFFFF"/>
            </w:tcBorders>
            <w:shd w:val="pct20" w:color="000000" w:fill="FFFFFF"/>
            <w:vAlign w:val="center"/>
          </w:tcPr>
          <w:p w:rsidR="00DB4C2D" w:rsidRPr="009856A5" w:rsidRDefault="00DB4C2D" w:rsidP="00A03BAC">
            <w:pPr>
              <w:jc w:val="center"/>
              <w:rPr>
                <w:rFonts w:asciiTheme="minorHAnsi" w:hAnsiTheme="minorHAnsi" w:cstheme="minorHAnsi"/>
                <w:b/>
                <w:sz w:val="22"/>
                <w:szCs w:val="22"/>
              </w:rPr>
            </w:pPr>
            <w:r w:rsidRPr="009856A5">
              <w:rPr>
                <w:rFonts w:asciiTheme="minorHAnsi" w:hAnsiTheme="minorHAnsi" w:cstheme="minorHAnsi"/>
                <w:b/>
                <w:sz w:val="22"/>
                <w:szCs w:val="22"/>
              </w:rPr>
              <w:t>Date</w:t>
            </w:r>
          </w:p>
        </w:tc>
        <w:tc>
          <w:tcPr>
            <w:tcW w:w="988" w:type="pct"/>
            <w:tcBorders>
              <w:top w:val="nil"/>
              <w:bottom w:val="single" w:sz="18" w:space="0" w:color="FFFFFF"/>
            </w:tcBorders>
            <w:shd w:val="pct20" w:color="000000" w:fill="FFFFFF"/>
            <w:vAlign w:val="center"/>
          </w:tcPr>
          <w:p w:rsidR="00DB4C2D" w:rsidRPr="009856A5" w:rsidRDefault="00A03BAC" w:rsidP="00A03BAC">
            <w:pPr>
              <w:jc w:val="center"/>
              <w:rPr>
                <w:rFonts w:asciiTheme="minorHAnsi" w:hAnsiTheme="minorHAnsi" w:cstheme="minorHAnsi"/>
                <w:b/>
                <w:sz w:val="22"/>
                <w:szCs w:val="22"/>
              </w:rPr>
            </w:pPr>
            <w:r w:rsidRPr="009856A5">
              <w:rPr>
                <w:rFonts w:asciiTheme="minorHAnsi" w:hAnsiTheme="minorHAnsi" w:cstheme="minorHAnsi"/>
                <w:b/>
                <w:sz w:val="22"/>
                <w:szCs w:val="22"/>
              </w:rPr>
              <w:t>Author/</w:t>
            </w:r>
            <w:r w:rsidR="00A36F02" w:rsidRPr="009856A5">
              <w:rPr>
                <w:rFonts w:asciiTheme="minorHAnsi" w:hAnsiTheme="minorHAnsi" w:cstheme="minorHAnsi"/>
                <w:b/>
                <w:sz w:val="22"/>
                <w:szCs w:val="22"/>
              </w:rPr>
              <w:t>Affiliation</w:t>
            </w:r>
          </w:p>
        </w:tc>
        <w:tc>
          <w:tcPr>
            <w:tcW w:w="2600" w:type="pct"/>
            <w:tcBorders>
              <w:top w:val="nil"/>
              <w:bottom w:val="single" w:sz="18" w:space="0" w:color="FFFFFF"/>
            </w:tcBorders>
            <w:shd w:val="pct20" w:color="000000" w:fill="FFFFFF"/>
            <w:vAlign w:val="center"/>
          </w:tcPr>
          <w:p w:rsidR="00DB4C2D" w:rsidRPr="009856A5" w:rsidRDefault="00A03BAC" w:rsidP="00A03BAC">
            <w:pPr>
              <w:jc w:val="center"/>
              <w:rPr>
                <w:rFonts w:asciiTheme="minorHAnsi" w:hAnsiTheme="minorHAnsi" w:cstheme="minorHAnsi"/>
                <w:b/>
                <w:sz w:val="22"/>
                <w:szCs w:val="22"/>
              </w:rPr>
            </w:pPr>
            <w:r w:rsidRPr="009856A5">
              <w:rPr>
                <w:rFonts w:asciiTheme="minorHAnsi" w:hAnsiTheme="minorHAnsi" w:cstheme="minorHAnsi"/>
                <w:b/>
                <w:sz w:val="22"/>
                <w:szCs w:val="22"/>
              </w:rPr>
              <w:t>Summary of Changes</w:t>
            </w:r>
          </w:p>
        </w:tc>
      </w:tr>
      <w:tr w:rsidR="00DB4C2D" w:rsidRPr="001159A9" w:rsidTr="009856A5">
        <w:trPr>
          <w:trHeight w:val="464"/>
        </w:trPr>
        <w:tc>
          <w:tcPr>
            <w:tcW w:w="659" w:type="pct"/>
            <w:tcBorders>
              <w:bottom w:val="single" w:sz="18" w:space="0" w:color="FFFFFF"/>
            </w:tcBorders>
            <w:shd w:val="pct5" w:color="000000" w:fill="FFFFFF"/>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0</w:t>
            </w:r>
          </w:p>
        </w:tc>
        <w:tc>
          <w:tcPr>
            <w:tcW w:w="753" w:type="pct"/>
            <w:tcBorders>
              <w:bottom w:val="single" w:sz="18" w:space="0" w:color="FFFFFF"/>
            </w:tcBorders>
            <w:shd w:val="pct5" w:color="000000" w:fill="FFFFFF"/>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3/5/2014</w:t>
            </w:r>
          </w:p>
        </w:tc>
        <w:tc>
          <w:tcPr>
            <w:tcW w:w="988" w:type="pct"/>
            <w:tcBorders>
              <w:bottom w:val="single" w:sz="18" w:space="0" w:color="FFFFFF"/>
            </w:tcBorders>
            <w:shd w:val="pct5" w:color="000000" w:fill="FFFFFF"/>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Curtis Lee, kW Engineering</w:t>
            </w:r>
          </w:p>
        </w:tc>
        <w:tc>
          <w:tcPr>
            <w:tcW w:w="2600" w:type="pct"/>
            <w:tcBorders>
              <w:bottom w:val="single" w:sz="18" w:space="0" w:color="FFFFFF"/>
            </w:tcBorders>
            <w:shd w:val="pct5" w:color="000000" w:fill="FFFFFF"/>
            <w:vAlign w:val="center"/>
          </w:tcPr>
          <w:p w:rsidR="00DB4C2D" w:rsidRPr="009856A5" w:rsidRDefault="00DB4C2D" w:rsidP="00CF5CFF">
            <w:pPr>
              <w:jc w:val="center"/>
              <w:rPr>
                <w:rFonts w:asciiTheme="minorHAnsi" w:hAnsiTheme="minorHAnsi" w:cstheme="minorHAnsi"/>
                <w:sz w:val="22"/>
                <w:szCs w:val="22"/>
              </w:rPr>
            </w:pPr>
            <w:r w:rsidRPr="009856A5">
              <w:rPr>
                <w:rFonts w:asciiTheme="minorHAnsi" w:hAnsiTheme="minorHAnsi" w:cstheme="minorHAnsi"/>
                <w:sz w:val="22"/>
                <w:szCs w:val="22"/>
              </w:rPr>
              <w:t>Original work paper for 2014</w:t>
            </w:r>
          </w:p>
        </w:tc>
      </w:tr>
      <w:tr w:rsidR="00DB4C2D" w:rsidRPr="001159A9" w:rsidTr="009856A5">
        <w:trPr>
          <w:trHeight w:val="464"/>
        </w:trPr>
        <w:tc>
          <w:tcPr>
            <w:tcW w:w="659" w:type="pct"/>
            <w:tcBorders>
              <w:top w:val="single" w:sz="18" w:space="0" w:color="FFFFFF"/>
              <w:bottom w:val="single" w:sz="18" w:space="0" w:color="FFFFFF"/>
            </w:tcBorders>
            <w:shd w:val="clear" w:color="000000" w:fill="D9D9D9" w:themeFill="background1" w:themeFillShade="D9"/>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1</w:t>
            </w:r>
          </w:p>
        </w:tc>
        <w:tc>
          <w:tcPr>
            <w:tcW w:w="753" w:type="pct"/>
            <w:tcBorders>
              <w:top w:val="single" w:sz="18" w:space="0" w:color="FFFFFF"/>
              <w:bottom w:val="single" w:sz="18" w:space="0" w:color="FFFFFF"/>
            </w:tcBorders>
            <w:shd w:val="clear" w:color="000000" w:fill="D9D9D9" w:themeFill="background1" w:themeFillShade="D9"/>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4/1/2014</w:t>
            </w:r>
          </w:p>
        </w:tc>
        <w:tc>
          <w:tcPr>
            <w:tcW w:w="988" w:type="pct"/>
            <w:tcBorders>
              <w:top w:val="single" w:sz="18" w:space="0" w:color="FFFFFF"/>
              <w:bottom w:val="single" w:sz="18" w:space="0" w:color="FFFFFF"/>
            </w:tcBorders>
            <w:shd w:val="clear" w:color="000000" w:fill="D9D9D9" w:themeFill="background1" w:themeFillShade="D9"/>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Curtis Lee, kW Engineering</w:t>
            </w:r>
          </w:p>
        </w:tc>
        <w:tc>
          <w:tcPr>
            <w:tcW w:w="2600" w:type="pct"/>
            <w:tcBorders>
              <w:top w:val="single" w:sz="18" w:space="0" w:color="FFFFFF"/>
              <w:bottom w:val="single" w:sz="18" w:space="0" w:color="FFFFFF"/>
            </w:tcBorders>
            <w:shd w:val="clear" w:color="000000" w:fill="D9D9D9" w:themeFill="background1" w:themeFillShade="D9"/>
            <w:vAlign w:val="center"/>
          </w:tcPr>
          <w:p w:rsidR="00DB4C2D" w:rsidRPr="009856A5" w:rsidRDefault="00DB4C2D" w:rsidP="00CF5CFF">
            <w:pPr>
              <w:pStyle w:val="ListParagraph"/>
              <w:numPr>
                <w:ilvl w:val="0"/>
                <w:numId w:val="44"/>
              </w:numPr>
              <w:rPr>
                <w:rFonts w:asciiTheme="minorHAnsi" w:hAnsiTheme="minorHAnsi" w:cstheme="minorHAnsi"/>
                <w:sz w:val="22"/>
                <w:szCs w:val="22"/>
              </w:rPr>
            </w:pPr>
            <w:r w:rsidRPr="009856A5">
              <w:rPr>
                <w:rFonts w:asciiTheme="minorHAnsi" w:hAnsiTheme="minorHAnsi" w:cstheme="minorHAnsi"/>
                <w:sz w:val="22"/>
                <w:szCs w:val="22"/>
              </w:rPr>
              <w:t>Formatted workpaper to current IOU template</w:t>
            </w:r>
          </w:p>
          <w:p w:rsidR="00DB4C2D" w:rsidRPr="009856A5" w:rsidRDefault="00DB4C2D" w:rsidP="00CF5CFF">
            <w:pPr>
              <w:pStyle w:val="ListParagraph"/>
              <w:numPr>
                <w:ilvl w:val="0"/>
                <w:numId w:val="44"/>
              </w:numPr>
              <w:rPr>
                <w:rFonts w:asciiTheme="minorHAnsi" w:hAnsiTheme="minorHAnsi" w:cstheme="minorHAnsi"/>
                <w:sz w:val="22"/>
                <w:szCs w:val="22"/>
              </w:rPr>
            </w:pPr>
            <w:r w:rsidRPr="009856A5">
              <w:rPr>
                <w:rFonts w:asciiTheme="minorHAnsi" w:hAnsiTheme="minorHAnsi" w:cstheme="minorHAnsi"/>
                <w:sz w:val="22"/>
                <w:szCs w:val="22"/>
              </w:rPr>
              <w:t>Added inspection requirements</w:t>
            </w:r>
          </w:p>
        </w:tc>
      </w:tr>
      <w:tr w:rsidR="00DB4C2D" w:rsidRPr="001159A9" w:rsidTr="00CF5CFF">
        <w:trPr>
          <w:trHeight w:val="464"/>
        </w:trPr>
        <w:tc>
          <w:tcPr>
            <w:tcW w:w="659" w:type="pct"/>
            <w:tcBorders>
              <w:top w:val="single" w:sz="18" w:space="0" w:color="FFFFFF"/>
              <w:bottom w:val="single" w:sz="18" w:space="0" w:color="FFFFFF"/>
            </w:tcBorders>
            <w:shd w:val="clear" w:color="000000" w:fill="F2F2F2" w:themeFill="background1" w:themeFillShade="F2"/>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2</w:t>
            </w:r>
          </w:p>
        </w:tc>
        <w:tc>
          <w:tcPr>
            <w:tcW w:w="753" w:type="pct"/>
            <w:tcBorders>
              <w:top w:val="single" w:sz="18" w:space="0" w:color="FFFFFF"/>
              <w:bottom w:val="single" w:sz="18" w:space="0" w:color="FFFFFF"/>
            </w:tcBorders>
            <w:shd w:val="clear" w:color="000000" w:fill="F2F2F2" w:themeFill="background1" w:themeFillShade="F2"/>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11/26/2014</w:t>
            </w:r>
          </w:p>
          <w:p w:rsidR="00DB4C2D" w:rsidRPr="009856A5" w:rsidRDefault="00DB4C2D" w:rsidP="00A03BAC">
            <w:pPr>
              <w:jc w:val="center"/>
              <w:rPr>
                <w:rFonts w:asciiTheme="minorHAnsi" w:hAnsiTheme="minorHAnsi" w:cstheme="minorHAnsi"/>
                <w:sz w:val="22"/>
                <w:szCs w:val="22"/>
              </w:rPr>
            </w:pPr>
          </w:p>
        </w:tc>
        <w:tc>
          <w:tcPr>
            <w:tcW w:w="988" w:type="pct"/>
            <w:tcBorders>
              <w:top w:val="single" w:sz="18" w:space="0" w:color="FFFFFF"/>
              <w:bottom w:val="single" w:sz="18" w:space="0" w:color="FFFFFF"/>
            </w:tcBorders>
            <w:shd w:val="clear" w:color="000000" w:fill="F2F2F2" w:themeFill="background1" w:themeFillShade="F2"/>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Curtis Lee, kW Engineering</w:t>
            </w:r>
            <w:r w:rsidRPr="009856A5">
              <w:rPr>
                <w:rFonts w:asciiTheme="minorHAnsi" w:hAnsiTheme="minorHAnsi" w:cstheme="minorHAnsi"/>
                <w:sz w:val="22"/>
                <w:szCs w:val="22"/>
              </w:rPr>
              <w:br/>
              <w:t>Lisa Gartland, PhD, kW Engineering</w:t>
            </w:r>
          </w:p>
        </w:tc>
        <w:tc>
          <w:tcPr>
            <w:tcW w:w="2600" w:type="pct"/>
            <w:tcBorders>
              <w:top w:val="single" w:sz="18" w:space="0" w:color="FFFFFF"/>
              <w:bottom w:val="single" w:sz="18" w:space="0" w:color="FFFFFF"/>
            </w:tcBorders>
            <w:shd w:val="clear" w:color="000000" w:fill="F2F2F2" w:themeFill="background1" w:themeFillShade="F2"/>
            <w:vAlign w:val="center"/>
          </w:tcPr>
          <w:p w:rsidR="00DB4C2D" w:rsidRPr="009856A5" w:rsidRDefault="00DB4C2D" w:rsidP="00CF5CFF">
            <w:pPr>
              <w:pStyle w:val="ListParagraph"/>
              <w:numPr>
                <w:ilvl w:val="0"/>
                <w:numId w:val="44"/>
              </w:numPr>
              <w:rPr>
                <w:rFonts w:asciiTheme="minorHAnsi" w:hAnsiTheme="minorHAnsi" w:cstheme="minorHAnsi"/>
                <w:sz w:val="22"/>
                <w:szCs w:val="22"/>
              </w:rPr>
            </w:pPr>
            <w:r w:rsidRPr="009856A5">
              <w:rPr>
                <w:rFonts w:asciiTheme="minorHAnsi" w:hAnsiTheme="minorHAnsi" w:cstheme="minorHAnsi"/>
                <w:sz w:val="22"/>
                <w:szCs w:val="22"/>
              </w:rPr>
              <w:t>Calculated energy savings based on eQUEST models</w:t>
            </w:r>
          </w:p>
        </w:tc>
      </w:tr>
      <w:tr w:rsidR="00DB4C2D" w:rsidRPr="001159A9" w:rsidTr="00CF5CFF">
        <w:trPr>
          <w:trHeight w:val="464"/>
        </w:trPr>
        <w:tc>
          <w:tcPr>
            <w:tcW w:w="659" w:type="pct"/>
            <w:tcBorders>
              <w:top w:val="single" w:sz="18" w:space="0" w:color="FFFFFF"/>
              <w:bottom w:val="nil"/>
            </w:tcBorders>
            <w:shd w:val="clear" w:color="000000" w:fill="D9D9D9" w:themeFill="background1" w:themeFillShade="D9"/>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3</w:t>
            </w:r>
          </w:p>
        </w:tc>
        <w:tc>
          <w:tcPr>
            <w:tcW w:w="753" w:type="pct"/>
            <w:tcBorders>
              <w:top w:val="single" w:sz="18" w:space="0" w:color="FFFFFF"/>
              <w:bottom w:val="nil"/>
            </w:tcBorders>
            <w:shd w:val="clear" w:color="000000" w:fill="D9D9D9" w:themeFill="background1" w:themeFillShade="D9"/>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06/28/2016</w:t>
            </w:r>
          </w:p>
        </w:tc>
        <w:tc>
          <w:tcPr>
            <w:tcW w:w="988" w:type="pct"/>
            <w:tcBorders>
              <w:top w:val="single" w:sz="18" w:space="0" w:color="FFFFFF"/>
              <w:bottom w:val="nil"/>
            </w:tcBorders>
            <w:shd w:val="clear" w:color="000000" w:fill="D9D9D9" w:themeFill="background1" w:themeFillShade="D9"/>
            <w:vAlign w:val="center"/>
          </w:tcPr>
          <w:p w:rsidR="00DB4C2D" w:rsidRPr="009856A5" w:rsidRDefault="00DB4C2D" w:rsidP="00A03BAC">
            <w:pPr>
              <w:jc w:val="center"/>
              <w:rPr>
                <w:rFonts w:asciiTheme="minorHAnsi" w:hAnsiTheme="minorHAnsi" w:cstheme="minorHAnsi"/>
                <w:sz w:val="22"/>
                <w:szCs w:val="22"/>
              </w:rPr>
            </w:pPr>
            <w:r w:rsidRPr="009856A5">
              <w:rPr>
                <w:rFonts w:asciiTheme="minorHAnsi" w:hAnsiTheme="minorHAnsi" w:cstheme="minorHAnsi"/>
                <w:sz w:val="22"/>
                <w:szCs w:val="22"/>
              </w:rPr>
              <w:t xml:space="preserve">Martin Vu, RMS </w:t>
            </w:r>
          </w:p>
        </w:tc>
        <w:tc>
          <w:tcPr>
            <w:tcW w:w="2600" w:type="pct"/>
            <w:tcBorders>
              <w:top w:val="single" w:sz="18" w:space="0" w:color="FFFFFF"/>
              <w:bottom w:val="nil"/>
            </w:tcBorders>
            <w:shd w:val="clear" w:color="000000" w:fill="D9D9D9" w:themeFill="background1" w:themeFillShade="D9"/>
            <w:vAlign w:val="center"/>
          </w:tcPr>
          <w:p w:rsidR="00DB4C2D" w:rsidRPr="009856A5" w:rsidRDefault="00795519" w:rsidP="00CF5CFF">
            <w:pPr>
              <w:pStyle w:val="ListParagraph"/>
              <w:numPr>
                <w:ilvl w:val="0"/>
                <w:numId w:val="44"/>
              </w:numPr>
              <w:ind w:left="360"/>
              <w:rPr>
                <w:rFonts w:asciiTheme="minorHAnsi" w:hAnsiTheme="minorHAnsi" w:cstheme="minorHAnsi"/>
                <w:sz w:val="22"/>
                <w:szCs w:val="22"/>
              </w:rPr>
            </w:pPr>
            <w:r w:rsidRPr="009856A5">
              <w:rPr>
                <w:rFonts w:asciiTheme="minorHAnsi" w:hAnsiTheme="minorHAnsi" w:cstheme="minorHAnsi"/>
                <w:sz w:val="22"/>
                <w:szCs w:val="22"/>
              </w:rPr>
              <w:t>Updated the wp to address the April 14, 2015 Ex-Ante Review Team (EAR) Preliminary  Review</w:t>
            </w:r>
            <w:r w:rsidR="00F247F2" w:rsidRPr="009856A5">
              <w:rPr>
                <w:rFonts w:asciiTheme="minorHAnsi" w:hAnsiTheme="minorHAnsi" w:cstheme="minorHAnsi"/>
                <w:sz w:val="22"/>
                <w:szCs w:val="22"/>
              </w:rPr>
              <w:t xml:space="preserve"> comments</w:t>
            </w:r>
            <w:r w:rsidR="00CF5CFF">
              <w:rPr>
                <w:rFonts w:asciiTheme="minorHAnsi" w:hAnsiTheme="minorHAnsi" w:cstheme="minorHAnsi"/>
                <w:sz w:val="22"/>
                <w:szCs w:val="22"/>
              </w:rPr>
              <w:t xml:space="preserve"> by:</w:t>
            </w:r>
            <w:r w:rsidR="00F247F2" w:rsidRPr="009856A5">
              <w:rPr>
                <w:rFonts w:asciiTheme="minorHAnsi" w:hAnsiTheme="minorHAnsi" w:cstheme="minorHAnsi"/>
                <w:sz w:val="22"/>
                <w:szCs w:val="22"/>
              </w:rPr>
              <w:t xml:space="preserve"> </w:t>
            </w:r>
          </w:p>
          <w:p w:rsidR="00F247F2" w:rsidRPr="009856A5" w:rsidRDefault="00F247F2" w:rsidP="00CF5CFF">
            <w:pPr>
              <w:pStyle w:val="ListParagraph"/>
              <w:numPr>
                <w:ilvl w:val="1"/>
                <w:numId w:val="44"/>
              </w:numPr>
              <w:ind w:left="360"/>
              <w:rPr>
                <w:rFonts w:asciiTheme="minorHAnsi" w:hAnsiTheme="minorHAnsi" w:cstheme="minorHAnsi"/>
                <w:sz w:val="22"/>
                <w:szCs w:val="22"/>
              </w:rPr>
            </w:pPr>
            <w:r w:rsidRPr="009856A5">
              <w:rPr>
                <w:rFonts w:asciiTheme="minorHAnsi" w:hAnsiTheme="minorHAnsi" w:cstheme="minorHAnsi"/>
                <w:sz w:val="22"/>
                <w:szCs w:val="22"/>
              </w:rPr>
              <w:t>Removed the HTR-di net to gross reference and value as SDG&amp;E is not targeting HTR customers. The implementation table was updated to use the (</w:t>
            </w:r>
            <w:r w:rsidR="00CF5CFF">
              <w:rPr>
                <w:rFonts w:asciiTheme="minorHAnsi" w:hAnsiTheme="minorHAnsi" w:cstheme="minorHAnsi"/>
                <w:sz w:val="22"/>
                <w:szCs w:val="22"/>
              </w:rPr>
              <w:t xml:space="preserve">Com-Default &gt; </w:t>
            </w:r>
            <w:r w:rsidRPr="009856A5">
              <w:rPr>
                <w:rFonts w:asciiTheme="minorHAnsi" w:hAnsiTheme="minorHAnsi" w:cstheme="minorHAnsi"/>
                <w:sz w:val="22"/>
                <w:szCs w:val="22"/>
              </w:rPr>
              <w:t>2yrs) NTG ID rather than (Com-Default-HTR-di) NTG ID.</w:t>
            </w:r>
          </w:p>
          <w:p w:rsidR="00F247F2" w:rsidRPr="009856A5" w:rsidRDefault="00F247F2" w:rsidP="00CF5CFF">
            <w:pPr>
              <w:pStyle w:val="ListParagraph"/>
              <w:numPr>
                <w:ilvl w:val="1"/>
                <w:numId w:val="44"/>
              </w:numPr>
              <w:ind w:left="360"/>
              <w:rPr>
                <w:rFonts w:asciiTheme="minorHAnsi" w:hAnsiTheme="minorHAnsi" w:cstheme="minorHAnsi"/>
                <w:sz w:val="22"/>
                <w:szCs w:val="22"/>
              </w:rPr>
            </w:pPr>
            <w:r w:rsidRPr="009856A5">
              <w:rPr>
                <w:rFonts w:asciiTheme="minorHAnsi" w:hAnsiTheme="minorHAnsi" w:cstheme="minorHAnsi"/>
                <w:sz w:val="22"/>
                <w:szCs w:val="22"/>
              </w:rPr>
              <w:t>The EUL-ID was changed in the workpaper and ex-ante database from “HVAC-Timeclocks” to HV-ProgrTstat”</w:t>
            </w:r>
            <w:r w:rsidR="00975425" w:rsidRPr="009856A5">
              <w:rPr>
                <w:rFonts w:asciiTheme="minorHAnsi" w:hAnsiTheme="minorHAnsi" w:cstheme="minorHAnsi"/>
                <w:sz w:val="22"/>
                <w:szCs w:val="22"/>
              </w:rPr>
              <w:t xml:space="preserve"> and also copied into the RUL_ID.</w:t>
            </w:r>
          </w:p>
          <w:p w:rsidR="00975425" w:rsidRPr="009856A5" w:rsidRDefault="00975425" w:rsidP="00CF5CFF">
            <w:pPr>
              <w:pStyle w:val="ListParagraph"/>
              <w:numPr>
                <w:ilvl w:val="1"/>
                <w:numId w:val="44"/>
              </w:numPr>
              <w:ind w:left="360"/>
              <w:rPr>
                <w:rFonts w:asciiTheme="minorHAnsi" w:hAnsiTheme="minorHAnsi" w:cstheme="minorHAnsi"/>
                <w:sz w:val="22"/>
                <w:szCs w:val="22"/>
              </w:rPr>
            </w:pPr>
            <w:r w:rsidRPr="009856A5">
              <w:rPr>
                <w:rFonts w:asciiTheme="minorHAnsi" w:hAnsiTheme="minorHAnsi" w:cstheme="minorHAnsi"/>
                <w:sz w:val="22"/>
                <w:szCs w:val="22"/>
              </w:rPr>
              <w:t>The Measure Cost Table was updated in compliance with the “ExAnte-DataStructure_MeasureCostSpecification_10-28-2014” guidance found on the DEER websit</w:t>
            </w:r>
            <w:r w:rsidR="00363FBF" w:rsidRPr="009856A5">
              <w:rPr>
                <w:rFonts w:asciiTheme="minorHAnsi" w:hAnsiTheme="minorHAnsi" w:cstheme="minorHAnsi"/>
                <w:sz w:val="22"/>
                <w:szCs w:val="22"/>
              </w:rPr>
              <w:t>e</w:t>
            </w:r>
            <w:r w:rsidRPr="009856A5">
              <w:rPr>
                <w:rFonts w:asciiTheme="minorHAnsi" w:hAnsiTheme="minorHAnsi" w:cstheme="minorHAnsi"/>
                <w:sz w:val="22"/>
                <w:szCs w:val="22"/>
              </w:rPr>
              <w:t>.</w:t>
            </w:r>
          </w:p>
        </w:tc>
      </w:tr>
    </w:tbl>
    <w:p w:rsidR="00161EE3" w:rsidRDefault="00161EE3" w:rsidP="00864083">
      <w:pPr>
        <w:rPr>
          <w:rFonts w:ascii="Arial" w:hAnsi="Arial" w:cs="Arial"/>
        </w:rPr>
      </w:pPr>
    </w:p>
    <w:p w:rsidR="00081FB4" w:rsidRPr="0066794C" w:rsidRDefault="00161EE3" w:rsidP="00864083">
      <w:pPr>
        <w:rPr>
          <w:rFonts w:ascii="Arial" w:hAnsi="Arial" w:cs="Arial"/>
          <w:color w:val="FF0000"/>
        </w:rPr>
      </w:pPr>
      <w:r>
        <w:rPr>
          <w:rFonts w:ascii="Arial" w:hAnsi="Arial" w:cs="Arial"/>
        </w:rPr>
        <w:br w:type="page"/>
      </w:r>
    </w:p>
    <w:p w:rsidR="00ED21EE" w:rsidRPr="00A03BAC" w:rsidRDefault="00ED21EE" w:rsidP="00864083">
      <w:pPr>
        <w:pStyle w:val="Heading1"/>
        <w:spacing w:before="0" w:after="0"/>
        <w:rPr>
          <w:rFonts w:asciiTheme="minorHAnsi" w:hAnsiTheme="minorHAnsi"/>
          <w:sz w:val="36"/>
          <w:szCs w:val="36"/>
        </w:rPr>
      </w:pPr>
      <w:bookmarkStart w:id="11" w:name="_Toc404765871"/>
      <w:bookmarkStart w:id="12" w:name="_Toc172205732"/>
      <w:bookmarkEnd w:id="9"/>
      <w:bookmarkEnd w:id="10"/>
      <w:r w:rsidRPr="00A03BAC">
        <w:rPr>
          <w:rFonts w:asciiTheme="minorHAnsi" w:hAnsiTheme="minorHAnsi"/>
          <w:sz w:val="36"/>
          <w:szCs w:val="36"/>
        </w:rPr>
        <w:lastRenderedPageBreak/>
        <w:t>Section 1. General Measure &amp; Baseline Data</w:t>
      </w:r>
      <w:bookmarkEnd w:id="11"/>
    </w:p>
    <w:p w:rsidR="00864083" w:rsidRPr="0066794C" w:rsidRDefault="00864083" w:rsidP="00647E8C">
      <w:pPr>
        <w:rPr>
          <w:rFonts w:ascii="Arial" w:hAnsi="Arial" w:cs="Arial"/>
        </w:rPr>
      </w:pPr>
    </w:p>
    <w:p w:rsidR="009E32CE" w:rsidRPr="00A03BAC" w:rsidRDefault="009E32CE" w:rsidP="00647E8C">
      <w:pPr>
        <w:pStyle w:val="Heading2"/>
        <w:rPr>
          <w:rFonts w:asciiTheme="minorHAnsi" w:hAnsiTheme="minorHAnsi"/>
          <w:i w:val="0"/>
        </w:rPr>
      </w:pPr>
      <w:bookmarkStart w:id="13" w:name="_Toc380155044"/>
      <w:bookmarkStart w:id="14" w:name="_Toc404765872"/>
      <w:bookmarkEnd w:id="12"/>
      <w:r w:rsidRPr="00A03BAC">
        <w:rPr>
          <w:rFonts w:asciiTheme="minorHAnsi" w:hAnsiTheme="minorHAnsi"/>
          <w:i w:val="0"/>
        </w:rPr>
        <w:t>1.1</w:t>
      </w:r>
      <w:r w:rsidR="00A03BAC">
        <w:rPr>
          <w:rFonts w:asciiTheme="minorHAnsi" w:hAnsiTheme="minorHAnsi"/>
          <w:i w:val="0"/>
        </w:rPr>
        <w:t>a</w:t>
      </w:r>
      <w:r w:rsidRPr="00A03BAC">
        <w:rPr>
          <w:rFonts w:asciiTheme="minorHAnsi" w:hAnsiTheme="minorHAnsi"/>
          <w:i w:val="0"/>
        </w:rPr>
        <w:t xml:space="preserve"> Product Measure Description &amp; Background</w:t>
      </w:r>
      <w:bookmarkEnd w:id="13"/>
      <w:bookmarkEnd w:id="14"/>
    </w:p>
    <w:p w:rsidR="00647E8C" w:rsidRDefault="009E32CE" w:rsidP="00A03BAC">
      <w:pPr>
        <w:pStyle w:val="Heading3"/>
      </w:pPr>
      <w:r w:rsidRPr="00647E8C">
        <w:t>Catalog</w:t>
      </w:r>
      <w:r w:rsidR="00647E8C">
        <w:t xml:space="preserve"> Description</w:t>
      </w:r>
    </w:p>
    <w:p w:rsidR="00647E8C" w:rsidRPr="00A03BAC" w:rsidRDefault="00647E8C" w:rsidP="00647E8C">
      <w:pPr>
        <w:pStyle w:val="ListParagraph"/>
        <w:numPr>
          <w:ilvl w:val="0"/>
          <w:numId w:val="41"/>
        </w:numPr>
        <w:rPr>
          <w:rFonts w:asciiTheme="minorHAnsi" w:hAnsiTheme="minorHAnsi" w:cs="Arial"/>
          <w:i/>
          <w:sz w:val="22"/>
          <w:szCs w:val="22"/>
        </w:rPr>
      </w:pPr>
      <w:r w:rsidRPr="00A03BAC">
        <w:rPr>
          <w:rFonts w:asciiTheme="minorHAnsi" w:hAnsiTheme="minorHAnsi" w:cs="Arial"/>
          <w:sz w:val="22"/>
          <w:szCs w:val="22"/>
        </w:rPr>
        <w:t>DM-XX</w:t>
      </w:r>
      <w:r w:rsidR="009E32CE" w:rsidRPr="00A03BAC">
        <w:rPr>
          <w:rFonts w:asciiTheme="minorHAnsi" w:hAnsiTheme="minorHAnsi" w:cs="Arial"/>
          <w:i/>
          <w:sz w:val="22"/>
          <w:szCs w:val="22"/>
        </w:rPr>
        <w:t xml:space="preserve"> </w:t>
      </w:r>
      <w:r w:rsidRPr="00A03BAC">
        <w:rPr>
          <w:rFonts w:asciiTheme="minorHAnsi" w:hAnsiTheme="minorHAnsi" w:cs="Arial"/>
          <w:bCs/>
          <w:sz w:val="22"/>
          <w:szCs w:val="22"/>
        </w:rPr>
        <w:t>Programmable Communicating Thermostat for Demand Response</w:t>
      </w:r>
      <w:r w:rsidRPr="00A03BAC">
        <w:rPr>
          <w:rFonts w:asciiTheme="minorHAnsi" w:hAnsiTheme="minorHAnsi" w:cs="Arial"/>
          <w:i/>
          <w:sz w:val="22"/>
          <w:szCs w:val="22"/>
        </w:rPr>
        <w:t xml:space="preserve"> </w:t>
      </w:r>
    </w:p>
    <w:p w:rsidR="00647E8C" w:rsidRDefault="00647E8C" w:rsidP="009E32CE">
      <w:pPr>
        <w:rPr>
          <w:rFonts w:ascii="Arial" w:hAnsi="Arial" w:cs="Arial"/>
          <w:b/>
          <w:i/>
          <w:sz w:val="22"/>
          <w:szCs w:val="22"/>
        </w:rPr>
      </w:pPr>
    </w:p>
    <w:p w:rsidR="009E32CE" w:rsidRPr="00A03BAC" w:rsidRDefault="009E32CE" w:rsidP="009E32CE">
      <w:pPr>
        <w:rPr>
          <w:rFonts w:ascii="Arial" w:hAnsi="Arial" w:cs="Arial"/>
          <w:b/>
          <w:bCs/>
          <w:sz w:val="26"/>
          <w:szCs w:val="26"/>
        </w:rPr>
      </w:pPr>
      <w:r w:rsidRPr="00A03BAC">
        <w:rPr>
          <w:rFonts w:ascii="Arial" w:hAnsi="Arial" w:cs="Arial"/>
          <w:b/>
          <w:bCs/>
          <w:sz w:val="26"/>
          <w:szCs w:val="26"/>
        </w:rPr>
        <w:t>Program Restrictions and Guidelines</w:t>
      </w:r>
    </w:p>
    <w:p w:rsidR="009E32CE" w:rsidRPr="00A03BAC" w:rsidRDefault="00647E8C" w:rsidP="00647E8C">
      <w:pPr>
        <w:rPr>
          <w:rFonts w:asciiTheme="minorHAnsi" w:hAnsiTheme="minorHAnsi" w:cs="Arial"/>
          <w:bCs/>
          <w:sz w:val="22"/>
          <w:szCs w:val="22"/>
        </w:rPr>
      </w:pPr>
      <w:r w:rsidRPr="00A03BAC">
        <w:rPr>
          <w:rFonts w:asciiTheme="minorHAnsi" w:hAnsiTheme="minorHAnsi" w:cs="Arial"/>
          <w:bCs/>
          <w:sz w:val="22"/>
          <w:szCs w:val="22"/>
        </w:rPr>
        <w:t xml:space="preserve">This workpaper documents the rationale for the savings methodologies and assumptions for </w:t>
      </w:r>
      <w:r w:rsidR="00DB3C96" w:rsidRPr="00A03BAC">
        <w:rPr>
          <w:rFonts w:asciiTheme="minorHAnsi" w:hAnsiTheme="minorHAnsi" w:cs="Arial"/>
          <w:bCs/>
          <w:sz w:val="22"/>
          <w:szCs w:val="22"/>
        </w:rPr>
        <w:t xml:space="preserve">the installation of </w:t>
      </w:r>
      <w:r w:rsidR="00094943" w:rsidRPr="00A03BAC">
        <w:rPr>
          <w:rFonts w:asciiTheme="minorHAnsi" w:hAnsiTheme="minorHAnsi" w:cs="Arial"/>
          <w:bCs/>
          <w:sz w:val="22"/>
          <w:szCs w:val="22"/>
        </w:rPr>
        <w:t xml:space="preserve">programmable communicating thermostats (PCTs) </w:t>
      </w:r>
      <w:r w:rsidR="00DB3C96" w:rsidRPr="00A03BAC">
        <w:rPr>
          <w:rFonts w:asciiTheme="minorHAnsi" w:hAnsiTheme="minorHAnsi" w:cs="Arial"/>
          <w:bCs/>
          <w:sz w:val="22"/>
          <w:szCs w:val="22"/>
        </w:rPr>
        <w:t>on existing equipment,</w:t>
      </w:r>
      <w:r w:rsidRPr="00A03BAC">
        <w:rPr>
          <w:rFonts w:asciiTheme="minorHAnsi" w:hAnsiTheme="minorHAnsi" w:cs="Arial"/>
          <w:bCs/>
          <w:sz w:val="22"/>
          <w:szCs w:val="22"/>
        </w:rPr>
        <w:t xml:space="preserve"> </w:t>
      </w:r>
      <w:r w:rsidR="00912323" w:rsidRPr="00A03BAC">
        <w:rPr>
          <w:rFonts w:asciiTheme="minorHAnsi" w:hAnsiTheme="minorHAnsi" w:cs="Arial"/>
          <w:bCs/>
          <w:sz w:val="22"/>
          <w:szCs w:val="22"/>
        </w:rPr>
        <w:t>as offered by San Diego Gas and Electric’s Commercial Direct Install Program</w:t>
      </w:r>
      <w:r w:rsidRPr="00A03BAC">
        <w:rPr>
          <w:rFonts w:asciiTheme="minorHAnsi" w:hAnsiTheme="minorHAnsi" w:cs="Arial"/>
          <w:bCs/>
          <w:sz w:val="22"/>
          <w:szCs w:val="22"/>
        </w:rPr>
        <w:t xml:space="preserve">. </w:t>
      </w:r>
      <w:r w:rsidR="008723F4" w:rsidRPr="00A03BAC">
        <w:rPr>
          <w:rFonts w:asciiTheme="minorHAnsi" w:hAnsiTheme="minorHAnsi" w:cs="Arial"/>
          <w:bCs/>
          <w:sz w:val="22"/>
          <w:szCs w:val="22"/>
        </w:rPr>
        <w:t>SD</w:t>
      </w:r>
      <w:r w:rsidRPr="00A03BAC">
        <w:rPr>
          <w:rFonts w:asciiTheme="minorHAnsi" w:hAnsiTheme="minorHAnsi" w:cs="Arial"/>
          <w:bCs/>
          <w:sz w:val="22"/>
          <w:szCs w:val="22"/>
        </w:rPr>
        <w:t>G&amp;E offers incentives to non-residential customers for installing qualifying, high-efficiency equipment.</w:t>
      </w:r>
    </w:p>
    <w:p w:rsidR="00647E8C" w:rsidRPr="00647E8C" w:rsidRDefault="00647E8C" w:rsidP="00647E8C">
      <w:pPr>
        <w:rPr>
          <w:rFonts w:ascii="Arial" w:hAnsi="Arial" w:cs="Arial"/>
          <w:b/>
          <w:sz w:val="22"/>
          <w:szCs w:val="22"/>
        </w:rPr>
      </w:pPr>
    </w:p>
    <w:p w:rsidR="008723F4" w:rsidRPr="00A03BAC" w:rsidRDefault="009E32CE" w:rsidP="009E32CE">
      <w:pPr>
        <w:rPr>
          <w:rFonts w:asciiTheme="minorHAnsi" w:hAnsiTheme="minorHAnsi" w:cs="Arial"/>
          <w:b/>
          <w:sz w:val="22"/>
          <w:szCs w:val="22"/>
        </w:rPr>
      </w:pPr>
      <w:r w:rsidRPr="00A03BAC">
        <w:rPr>
          <w:rFonts w:asciiTheme="minorHAnsi" w:hAnsiTheme="minorHAnsi" w:cs="Arial"/>
          <w:b/>
          <w:sz w:val="22"/>
          <w:szCs w:val="22"/>
        </w:rPr>
        <w:t xml:space="preserve">Terms and Conditions: </w:t>
      </w:r>
    </w:p>
    <w:p w:rsidR="008723F4" w:rsidRPr="00A03BAC" w:rsidRDefault="008723F4" w:rsidP="009E32CE">
      <w:pPr>
        <w:rPr>
          <w:rFonts w:asciiTheme="minorHAnsi" w:hAnsiTheme="minorHAnsi" w:cs="Arial"/>
          <w:bCs/>
          <w:sz w:val="22"/>
          <w:szCs w:val="22"/>
        </w:rPr>
      </w:pPr>
      <w:r w:rsidRPr="00A03BAC">
        <w:rPr>
          <w:rFonts w:asciiTheme="minorHAnsi" w:hAnsiTheme="minorHAnsi" w:cs="Arial"/>
          <w:bCs/>
          <w:sz w:val="22"/>
          <w:szCs w:val="22"/>
        </w:rPr>
        <w:t>Requirements from the Product Catalog</w:t>
      </w:r>
      <w:r w:rsidRPr="008850E7">
        <w:rPr>
          <w:rFonts w:asciiTheme="minorHAnsi" w:hAnsiTheme="minorHAnsi"/>
          <w:bCs/>
          <w:vertAlign w:val="superscript"/>
        </w:rPr>
        <w:endnoteReference w:id="4"/>
      </w:r>
      <w:r w:rsidRPr="00A03BAC">
        <w:rPr>
          <w:rFonts w:asciiTheme="minorHAnsi" w:hAnsiTheme="minorHAnsi" w:cs="Arial"/>
          <w:bCs/>
          <w:sz w:val="22"/>
          <w:szCs w:val="22"/>
        </w:rPr>
        <w:t>:</w:t>
      </w:r>
    </w:p>
    <w:p w:rsidR="008723F4" w:rsidRPr="00A03BAC" w:rsidRDefault="008723F4" w:rsidP="00613172">
      <w:pPr>
        <w:pStyle w:val="ListParagraph"/>
        <w:numPr>
          <w:ilvl w:val="0"/>
          <w:numId w:val="42"/>
        </w:numPr>
        <w:rPr>
          <w:rFonts w:asciiTheme="minorHAnsi" w:hAnsiTheme="minorHAnsi" w:cs="Arial"/>
          <w:bCs/>
          <w:sz w:val="22"/>
          <w:szCs w:val="22"/>
        </w:rPr>
      </w:pPr>
      <w:r w:rsidRPr="00A03BAC">
        <w:rPr>
          <w:rFonts w:asciiTheme="minorHAnsi" w:hAnsiTheme="minorHAnsi" w:cs="Arial"/>
          <w:bCs/>
          <w:sz w:val="22"/>
          <w:szCs w:val="22"/>
        </w:rPr>
        <w:t xml:space="preserve">Customers must have a SDG&amp;E commercial electric </w:t>
      </w:r>
      <w:r w:rsidR="001B35C1" w:rsidRPr="00A03BAC">
        <w:rPr>
          <w:rFonts w:asciiTheme="minorHAnsi" w:hAnsiTheme="minorHAnsi" w:cs="Arial"/>
          <w:bCs/>
          <w:sz w:val="22"/>
          <w:szCs w:val="22"/>
        </w:rPr>
        <w:t>account if applying for an electric measure, and a gas account if applying for a gas measure.</w:t>
      </w:r>
    </w:p>
    <w:p w:rsidR="00DE6DBF" w:rsidRPr="00A03BAC" w:rsidRDefault="00DE6DBF" w:rsidP="00613172">
      <w:pPr>
        <w:pStyle w:val="ListParagraph"/>
        <w:numPr>
          <w:ilvl w:val="0"/>
          <w:numId w:val="42"/>
        </w:numPr>
        <w:rPr>
          <w:rFonts w:asciiTheme="minorHAnsi" w:hAnsiTheme="minorHAnsi" w:cs="Arial"/>
          <w:bCs/>
          <w:sz w:val="22"/>
          <w:szCs w:val="22"/>
        </w:rPr>
      </w:pPr>
      <w:r w:rsidRPr="00A03BAC">
        <w:rPr>
          <w:rFonts w:asciiTheme="minorHAnsi" w:hAnsiTheme="minorHAnsi" w:cs="Arial"/>
          <w:bCs/>
          <w:sz w:val="22"/>
          <w:szCs w:val="22"/>
        </w:rPr>
        <w:t>All measures must be installed and operational before invoice is submitted.</w:t>
      </w:r>
    </w:p>
    <w:p w:rsidR="009E32CE" w:rsidRPr="00A03BAC" w:rsidRDefault="00DE6DBF" w:rsidP="00613172">
      <w:pPr>
        <w:pStyle w:val="ListParagraph"/>
        <w:numPr>
          <w:ilvl w:val="0"/>
          <w:numId w:val="42"/>
        </w:numPr>
        <w:rPr>
          <w:rFonts w:asciiTheme="minorHAnsi" w:hAnsiTheme="minorHAnsi" w:cs="Arial"/>
          <w:bCs/>
          <w:sz w:val="22"/>
          <w:szCs w:val="22"/>
        </w:rPr>
      </w:pPr>
      <w:r w:rsidRPr="00A03BAC">
        <w:rPr>
          <w:rFonts w:asciiTheme="minorHAnsi" w:hAnsiTheme="minorHAnsi" w:cs="Arial"/>
          <w:bCs/>
          <w:sz w:val="22"/>
          <w:szCs w:val="22"/>
        </w:rPr>
        <w:t>Install new smart thermostat per manufacturer instruction.</w:t>
      </w:r>
    </w:p>
    <w:p w:rsidR="00DE6DBF" w:rsidRPr="00A03BAC" w:rsidRDefault="00DE6DBF" w:rsidP="00613172">
      <w:pPr>
        <w:pStyle w:val="ListParagraph"/>
        <w:numPr>
          <w:ilvl w:val="0"/>
          <w:numId w:val="42"/>
        </w:numPr>
        <w:rPr>
          <w:rFonts w:asciiTheme="minorHAnsi" w:hAnsiTheme="minorHAnsi" w:cs="Arial"/>
          <w:bCs/>
          <w:sz w:val="22"/>
          <w:szCs w:val="22"/>
        </w:rPr>
      </w:pPr>
      <w:r w:rsidRPr="00A03BAC">
        <w:rPr>
          <w:rFonts w:asciiTheme="minorHAnsi" w:hAnsiTheme="minorHAnsi" w:cs="Arial"/>
          <w:bCs/>
          <w:sz w:val="22"/>
          <w:szCs w:val="22"/>
        </w:rPr>
        <w:t>Enable the Wi-F</w:t>
      </w:r>
      <w:r w:rsidR="00D93125" w:rsidRPr="00A03BAC">
        <w:rPr>
          <w:rFonts w:asciiTheme="minorHAnsi" w:hAnsiTheme="minorHAnsi" w:cs="Arial"/>
          <w:bCs/>
          <w:sz w:val="22"/>
          <w:szCs w:val="22"/>
        </w:rPr>
        <w:t>i</w:t>
      </w:r>
      <w:r w:rsidRPr="00A03BAC">
        <w:rPr>
          <w:rFonts w:asciiTheme="minorHAnsi" w:hAnsiTheme="minorHAnsi" w:cs="Arial"/>
          <w:bCs/>
          <w:sz w:val="22"/>
          <w:szCs w:val="22"/>
        </w:rPr>
        <w:t xml:space="preserve"> communication of the thermostat.</w:t>
      </w:r>
    </w:p>
    <w:p w:rsidR="00DE6DBF" w:rsidRPr="00A03BAC" w:rsidRDefault="00DE6DBF" w:rsidP="00613172">
      <w:pPr>
        <w:pStyle w:val="ListParagraph"/>
        <w:numPr>
          <w:ilvl w:val="0"/>
          <w:numId w:val="42"/>
        </w:numPr>
        <w:rPr>
          <w:rFonts w:asciiTheme="minorHAnsi" w:hAnsiTheme="minorHAnsi" w:cs="Arial"/>
          <w:bCs/>
          <w:sz w:val="22"/>
          <w:szCs w:val="22"/>
        </w:rPr>
      </w:pPr>
      <w:r w:rsidRPr="00A03BAC">
        <w:rPr>
          <w:rFonts w:asciiTheme="minorHAnsi" w:hAnsiTheme="minorHAnsi" w:cs="Arial"/>
          <w:bCs/>
          <w:sz w:val="22"/>
          <w:szCs w:val="22"/>
        </w:rPr>
        <w:t>Remotely test the operation of the HVAC system use the Wi-Fi feature.</w:t>
      </w:r>
    </w:p>
    <w:p w:rsidR="00DE6DBF" w:rsidRPr="00A03BAC" w:rsidRDefault="00DE6DBF" w:rsidP="00613172">
      <w:pPr>
        <w:pStyle w:val="ListParagraph"/>
        <w:numPr>
          <w:ilvl w:val="0"/>
          <w:numId w:val="42"/>
        </w:numPr>
        <w:rPr>
          <w:rFonts w:asciiTheme="minorHAnsi" w:hAnsiTheme="minorHAnsi" w:cs="Arial"/>
          <w:bCs/>
          <w:sz w:val="22"/>
          <w:szCs w:val="22"/>
        </w:rPr>
      </w:pPr>
      <w:r w:rsidRPr="00A03BAC">
        <w:rPr>
          <w:rFonts w:asciiTheme="minorHAnsi" w:hAnsiTheme="minorHAnsi" w:cs="Arial"/>
          <w:bCs/>
          <w:sz w:val="22"/>
          <w:szCs w:val="22"/>
        </w:rPr>
        <w:t>Customer must enroll in a demand response program.</w:t>
      </w:r>
    </w:p>
    <w:p w:rsidR="006967B0" w:rsidRDefault="006967B0">
      <w:pPr>
        <w:ind w:left="720"/>
        <w:rPr>
          <w:rFonts w:ascii="Arial" w:hAnsi="Arial" w:cs="Arial"/>
          <w:sz w:val="22"/>
          <w:szCs w:val="22"/>
        </w:rPr>
      </w:pPr>
    </w:p>
    <w:p w:rsidR="00DE6DBF" w:rsidRPr="00A03BAC" w:rsidRDefault="00931417">
      <w:pPr>
        <w:rPr>
          <w:rFonts w:asciiTheme="minorHAnsi" w:hAnsiTheme="minorHAnsi" w:cs="Arial"/>
          <w:b/>
          <w:sz w:val="22"/>
          <w:szCs w:val="22"/>
        </w:rPr>
      </w:pPr>
      <w:r w:rsidRPr="00A03BAC">
        <w:rPr>
          <w:rFonts w:asciiTheme="minorHAnsi" w:hAnsiTheme="minorHAnsi" w:cs="Arial"/>
          <w:b/>
          <w:sz w:val="22"/>
          <w:szCs w:val="22"/>
        </w:rPr>
        <w:t>Additional requirements</w:t>
      </w:r>
      <w:r w:rsidR="00DE6DBF" w:rsidRPr="00A03BAC">
        <w:rPr>
          <w:rFonts w:asciiTheme="minorHAnsi" w:hAnsiTheme="minorHAnsi" w:cs="Arial"/>
          <w:b/>
          <w:sz w:val="22"/>
          <w:szCs w:val="22"/>
        </w:rPr>
        <w:t>:</w:t>
      </w:r>
    </w:p>
    <w:p w:rsidR="00D7335E" w:rsidRPr="00A03BAC" w:rsidRDefault="00DE6DBF">
      <w:pPr>
        <w:rPr>
          <w:rFonts w:asciiTheme="minorHAnsi" w:hAnsiTheme="minorHAnsi" w:cs="Arial"/>
          <w:bCs/>
          <w:sz w:val="22"/>
          <w:szCs w:val="22"/>
        </w:rPr>
      </w:pPr>
      <w:r w:rsidRPr="00A03BAC">
        <w:rPr>
          <w:rFonts w:asciiTheme="minorHAnsi" w:hAnsiTheme="minorHAnsi" w:cs="Arial"/>
          <w:bCs/>
          <w:sz w:val="22"/>
          <w:szCs w:val="22"/>
        </w:rPr>
        <w:t>Based on</w:t>
      </w:r>
      <w:r w:rsidR="00D7335E" w:rsidRPr="00A03BAC">
        <w:rPr>
          <w:rFonts w:asciiTheme="minorHAnsi" w:hAnsiTheme="minorHAnsi" w:cs="Arial"/>
          <w:bCs/>
          <w:sz w:val="22"/>
          <w:szCs w:val="22"/>
        </w:rPr>
        <w:t xml:space="preserve"> the CPUC Workpaper Disposition for Non-Residential HVAC Rooftop Quality Maintenance</w:t>
      </w:r>
      <w:bookmarkStart w:id="15" w:name="_Ref404599497"/>
      <w:r w:rsidR="00D7335E" w:rsidRPr="00A03BAC">
        <w:rPr>
          <w:rFonts w:asciiTheme="minorHAnsi" w:hAnsiTheme="minorHAnsi"/>
          <w:bCs/>
        </w:rPr>
        <w:endnoteReference w:id="5"/>
      </w:r>
      <w:bookmarkEnd w:id="15"/>
      <w:r w:rsidR="00D7335E" w:rsidRPr="00A03BAC">
        <w:rPr>
          <w:rFonts w:asciiTheme="minorHAnsi" w:hAnsiTheme="minorHAnsi" w:cs="Arial"/>
          <w:bCs/>
          <w:sz w:val="22"/>
          <w:szCs w:val="22"/>
        </w:rPr>
        <w:t xml:space="preserve">, savings for this measure </w:t>
      </w:r>
      <w:r w:rsidR="00C4031E" w:rsidRPr="00A03BAC">
        <w:rPr>
          <w:rFonts w:asciiTheme="minorHAnsi" w:hAnsiTheme="minorHAnsi" w:cs="Arial"/>
          <w:bCs/>
          <w:sz w:val="22"/>
          <w:szCs w:val="22"/>
        </w:rPr>
        <w:t xml:space="preserve">were to be reduced </w:t>
      </w:r>
      <w:r w:rsidR="00923248" w:rsidRPr="00A03BAC">
        <w:rPr>
          <w:rFonts w:asciiTheme="minorHAnsi" w:hAnsiTheme="minorHAnsi" w:cs="Arial"/>
          <w:bCs/>
          <w:sz w:val="22"/>
          <w:szCs w:val="22"/>
        </w:rPr>
        <w:t>to</w:t>
      </w:r>
      <w:r w:rsidR="00C4031E" w:rsidRPr="00A03BAC">
        <w:rPr>
          <w:rFonts w:asciiTheme="minorHAnsi" w:hAnsiTheme="minorHAnsi" w:cs="Arial"/>
          <w:bCs/>
          <w:sz w:val="22"/>
          <w:szCs w:val="22"/>
        </w:rPr>
        <w:t xml:space="preserve"> </w:t>
      </w:r>
      <w:r w:rsidR="00923248" w:rsidRPr="00A03BAC">
        <w:rPr>
          <w:rFonts w:asciiTheme="minorHAnsi" w:hAnsiTheme="minorHAnsi" w:cs="Arial"/>
          <w:bCs/>
          <w:sz w:val="22"/>
          <w:szCs w:val="22"/>
        </w:rPr>
        <w:t>25</w:t>
      </w:r>
      <w:r w:rsidR="00C4031E" w:rsidRPr="00A03BAC">
        <w:rPr>
          <w:rFonts w:asciiTheme="minorHAnsi" w:hAnsiTheme="minorHAnsi" w:cs="Arial"/>
          <w:bCs/>
          <w:sz w:val="22"/>
          <w:szCs w:val="22"/>
        </w:rPr>
        <w:t>%</w:t>
      </w:r>
      <w:r w:rsidR="00923248" w:rsidRPr="00A03BAC">
        <w:rPr>
          <w:rFonts w:asciiTheme="minorHAnsi" w:hAnsiTheme="minorHAnsi" w:cs="Arial"/>
          <w:bCs/>
          <w:sz w:val="22"/>
          <w:szCs w:val="22"/>
        </w:rPr>
        <w:t xml:space="preserve"> of the calculated energy savings </w:t>
      </w:r>
      <w:r w:rsidR="00D7335E" w:rsidRPr="00A03BAC">
        <w:rPr>
          <w:rFonts w:asciiTheme="minorHAnsi" w:hAnsiTheme="minorHAnsi" w:cs="Arial"/>
          <w:bCs/>
          <w:sz w:val="22"/>
          <w:szCs w:val="22"/>
        </w:rPr>
        <w:t xml:space="preserve">based on the following statement: </w:t>
      </w:r>
    </w:p>
    <w:p w:rsidR="00D7335E" w:rsidRPr="00A03BAC" w:rsidRDefault="00D7335E">
      <w:pPr>
        <w:rPr>
          <w:rFonts w:asciiTheme="minorHAnsi" w:hAnsiTheme="minorHAnsi" w:cs="Arial"/>
          <w:bCs/>
          <w:sz w:val="22"/>
          <w:szCs w:val="22"/>
        </w:rPr>
      </w:pPr>
    </w:p>
    <w:p w:rsidR="002F1ED1" w:rsidRPr="00A03BAC" w:rsidRDefault="002F1ED1" w:rsidP="002F1ED1">
      <w:pPr>
        <w:ind w:left="720"/>
        <w:rPr>
          <w:rFonts w:asciiTheme="minorHAnsi" w:hAnsiTheme="minorHAnsi" w:cs="Arial"/>
          <w:bCs/>
          <w:sz w:val="22"/>
          <w:szCs w:val="22"/>
        </w:rPr>
      </w:pPr>
      <w:r w:rsidRPr="00A03BAC">
        <w:rPr>
          <w:rFonts w:asciiTheme="minorHAnsi" w:hAnsiTheme="minorHAnsi" w:cs="Arial"/>
          <w:bCs/>
          <w:sz w:val="22"/>
          <w:szCs w:val="22"/>
        </w:rPr>
        <w:t>The overriding issue is that program assumptions used to develop UES values are not being used to constrain measure implementation. As such, measure implementation can, and does, provide either no savings or negative savings. This leads staff to apply the following gross savings adjustment (GSA) multipliers to un‐adjusted savings:</w:t>
      </w:r>
    </w:p>
    <w:p w:rsidR="00923248" w:rsidRDefault="00923248" w:rsidP="00923248">
      <w:pPr>
        <w:ind w:left="2880" w:firstLine="720"/>
        <w:rPr>
          <w:rFonts w:ascii="Arial" w:hAnsi="Arial" w:cs="Arial"/>
          <w:i/>
          <w:sz w:val="22"/>
          <w:szCs w:val="22"/>
        </w:rPr>
      </w:pPr>
    </w:p>
    <w:p w:rsidR="00613172" w:rsidRPr="00A03BAC" w:rsidRDefault="002F1ED1" w:rsidP="00923248">
      <w:pPr>
        <w:ind w:left="2880" w:firstLine="720"/>
        <w:rPr>
          <w:rFonts w:asciiTheme="minorHAnsi" w:hAnsiTheme="minorHAnsi" w:cs="Arial"/>
          <w:i/>
          <w:sz w:val="22"/>
          <w:szCs w:val="22"/>
        </w:rPr>
      </w:pPr>
      <w:r w:rsidRPr="00A03BAC">
        <w:rPr>
          <w:rFonts w:asciiTheme="minorHAnsi" w:hAnsiTheme="minorHAnsi" w:cs="Arial"/>
          <w:i/>
          <w:sz w:val="22"/>
          <w:szCs w:val="22"/>
        </w:rPr>
        <w:t>GSA</w:t>
      </w:r>
      <w:r w:rsidRPr="00A03BAC">
        <w:rPr>
          <w:rFonts w:asciiTheme="minorHAnsi" w:hAnsiTheme="minorHAnsi" w:cs="Arial"/>
          <w:i/>
          <w:sz w:val="22"/>
          <w:szCs w:val="22"/>
          <w:vertAlign w:val="subscript"/>
        </w:rPr>
        <w:t>Tstat</w:t>
      </w:r>
      <w:r w:rsidRPr="00A03BAC">
        <w:rPr>
          <w:rFonts w:asciiTheme="minorHAnsi" w:hAnsiTheme="minorHAnsi" w:cs="Arial"/>
          <w:i/>
          <w:sz w:val="22"/>
          <w:szCs w:val="22"/>
        </w:rPr>
        <w:t xml:space="preserve"> Replace = * 0.25</w:t>
      </w:r>
    </w:p>
    <w:p w:rsidR="00923248" w:rsidRPr="00613172" w:rsidRDefault="00923248" w:rsidP="00923248">
      <w:pPr>
        <w:ind w:left="2880" w:firstLine="720"/>
        <w:rPr>
          <w:rFonts w:ascii="Arial" w:hAnsi="Arial" w:cs="Arial"/>
          <w:sz w:val="22"/>
          <w:szCs w:val="22"/>
        </w:rPr>
      </w:pPr>
    </w:p>
    <w:p w:rsidR="009E32CE" w:rsidRPr="007D2366" w:rsidRDefault="009E32CE" w:rsidP="004E7A29">
      <w:pPr>
        <w:rPr>
          <w:rFonts w:ascii="Arial" w:hAnsi="Arial" w:cs="Arial"/>
          <w:i/>
          <w:sz w:val="22"/>
          <w:szCs w:val="22"/>
        </w:rPr>
      </w:pPr>
      <w:r w:rsidRPr="00A03BAC">
        <w:rPr>
          <w:rFonts w:asciiTheme="minorHAnsi" w:hAnsiTheme="minorHAnsi" w:cs="Arial"/>
          <w:b/>
          <w:i/>
          <w:sz w:val="22"/>
          <w:szCs w:val="22"/>
        </w:rPr>
        <w:t>Market Applicability:</w:t>
      </w:r>
      <w:r w:rsidRPr="007D2366">
        <w:rPr>
          <w:rFonts w:ascii="Arial" w:hAnsi="Arial" w:cs="Arial"/>
          <w:b/>
          <w:i/>
          <w:sz w:val="22"/>
          <w:szCs w:val="22"/>
        </w:rPr>
        <w:t xml:space="preserve"> </w:t>
      </w:r>
      <w:r w:rsidRPr="00A03BAC">
        <w:rPr>
          <w:rFonts w:asciiTheme="minorHAnsi" w:hAnsiTheme="minorHAnsi" w:cs="Arial"/>
          <w:bCs/>
          <w:sz w:val="22"/>
          <w:szCs w:val="22"/>
        </w:rPr>
        <w:t xml:space="preserve">This measure is applicable to non-residential customers with </w:t>
      </w:r>
      <w:r w:rsidR="009C13C0" w:rsidRPr="00A03BAC">
        <w:rPr>
          <w:rFonts w:asciiTheme="minorHAnsi" w:hAnsiTheme="minorHAnsi" w:cs="Arial"/>
          <w:bCs/>
          <w:sz w:val="22"/>
          <w:szCs w:val="22"/>
        </w:rPr>
        <w:t>unitary</w:t>
      </w:r>
      <w:r w:rsidRPr="00A03BAC">
        <w:rPr>
          <w:rFonts w:asciiTheme="minorHAnsi" w:hAnsiTheme="minorHAnsi" w:cs="Arial"/>
          <w:bCs/>
          <w:sz w:val="22"/>
          <w:szCs w:val="22"/>
        </w:rPr>
        <w:t xml:space="preserve"> HVAC equipment with </w:t>
      </w:r>
      <w:r w:rsidR="00D22D01" w:rsidRPr="00A03BAC">
        <w:rPr>
          <w:rFonts w:asciiTheme="minorHAnsi" w:hAnsiTheme="minorHAnsi" w:cs="Arial"/>
          <w:bCs/>
          <w:sz w:val="22"/>
          <w:szCs w:val="22"/>
        </w:rPr>
        <w:t xml:space="preserve">DX </w:t>
      </w:r>
      <w:r w:rsidRPr="00A03BAC">
        <w:rPr>
          <w:rFonts w:asciiTheme="minorHAnsi" w:hAnsiTheme="minorHAnsi" w:cs="Arial"/>
          <w:bCs/>
          <w:sz w:val="22"/>
          <w:szCs w:val="22"/>
        </w:rPr>
        <w:t xml:space="preserve">cooling </w:t>
      </w:r>
      <w:r w:rsidR="00210724" w:rsidRPr="00A03BAC">
        <w:rPr>
          <w:rFonts w:asciiTheme="minorHAnsi" w:hAnsiTheme="minorHAnsi" w:cs="Arial"/>
          <w:bCs/>
          <w:sz w:val="22"/>
          <w:szCs w:val="22"/>
        </w:rPr>
        <w:t>and</w:t>
      </w:r>
      <w:r w:rsidRPr="00A03BAC">
        <w:rPr>
          <w:rFonts w:asciiTheme="minorHAnsi" w:hAnsiTheme="minorHAnsi" w:cs="Arial"/>
          <w:bCs/>
          <w:sz w:val="22"/>
          <w:szCs w:val="22"/>
        </w:rPr>
        <w:t xml:space="preserve"> gas heating</w:t>
      </w:r>
      <w:r w:rsidR="00210724" w:rsidRPr="00A03BAC">
        <w:rPr>
          <w:rFonts w:asciiTheme="minorHAnsi" w:hAnsiTheme="minorHAnsi" w:cs="Arial"/>
          <w:bCs/>
          <w:sz w:val="22"/>
          <w:szCs w:val="22"/>
        </w:rPr>
        <w:t xml:space="preserve"> or heat pumps</w:t>
      </w:r>
      <w:r w:rsidRPr="00A03BAC">
        <w:rPr>
          <w:rFonts w:asciiTheme="minorHAnsi" w:hAnsiTheme="minorHAnsi" w:cs="Arial"/>
          <w:bCs/>
          <w:sz w:val="22"/>
          <w:szCs w:val="22"/>
        </w:rPr>
        <w:t xml:space="preserve">. The measure is applicable in all SDG&amp;E climate zones and for all building vintages. The intent of the incentive is to </w:t>
      </w:r>
      <w:r w:rsidR="00613172" w:rsidRPr="00A03BAC">
        <w:rPr>
          <w:rFonts w:asciiTheme="minorHAnsi" w:hAnsiTheme="minorHAnsi" w:cs="Arial"/>
          <w:bCs/>
          <w:sz w:val="22"/>
          <w:szCs w:val="22"/>
        </w:rPr>
        <w:t>install</w:t>
      </w:r>
      <w:r w:rsidRPr="00A03BAC">
        <w:rPr>
          <w:rFonts w:asciiTheme="minorHAnsi" w:hAnsiTheme="minorHAnsi" w:cs="Arial"/>
          <w:bCs/>
          <w:sz w:val="22"/>
          <w:szCs w:val="22"/>
        </w:rPr>
        <w:t xml:space="preserve"> programmable thermostats </w:t>
      </w:r>
      <w:r w:rsidR="00613172" w:rsidRPr="00A03BAC">
        <w:rPr>
          <w:rFonts w:asciiTheme="minorHAnsi" w:hAnsiTheme="minorHAnsi" w:cs="Arial"/>
          <w:bCs/>
          <w:sz w:val="22"/>
          <w:szCs w:val="22"/>
        </w:rPr>
        <w:t>and</w:t>
      </w:r>
      <w:r w:rsidRPr="00A03BAC">
        <w:rPr>
          <w:rFonts w:asciiTheme="minorHAnsi" w:hAnsiTheme="minorHAnsi" w:cs="Arial"/>
          <w:bCs/>
          <w:sz w:val="22"/>
          <w:szCs w:val="22"/>
        </w:rPr>
        <w:t xml:space="preserve"> respond to demand response events.</w:t>
      </w:r>
    </w:p>
    <w:p w:rsidR="009E32CE" w:rsidRPr="001159A9" w:rsidRDefault="009E32CE" w:rsidP="009E32CE">
      <w:pPr>
        <w:ind w:left="360"/>
        <w:rPr>
          <w:rFonts w:ascii="Arial" w:hAnsi="Arial" w:cs="Arial"/>
          <w:b/>
          <w:i/>
          <w:sz w:val="20"/>
          <w:szCs w:val="20"/>
        </w:rPr>
      </w:pPr>
    </w:p>
    <w:p w:rsidR="009E32CE" w:rsidRPr="00333E6A" w:rsidRDefault="00A03BAC" w:rsidP="00A03BAC">
      <w:pPr>
        <w:pStyle w:val="Heading3"/>
        <w:rPr>
          <w:rFonts w:asciiTheme="minorHAnsi" w:hAnsiTheme="minorHAnsi"/>
          <w:sz w:val="28"/>
          <w:szCs w:val="28"/>
        </w:rPr>
      </w:pPr>
      <w:r w:rsidRPr="00333E6A">
        <w:rPr>
          <w:rFonts w:asciiTheme="minorHAnsi" w:hAnsiTheme="minorHAnsi"/>
          <w:sz w:val="28"/>
          <w:szCs w:val="28"/>
        </w:rPr>
        <w:t>1.</w:t>
      </w:r>
      <w:r w:rsidR="00333E6A" w:rsidRPr="00333E6A">
        <w:rPr>
          <w:rFonts w:asciiTheme="minorHAnsi" w:hAnsiTheme="minorHAnsi"/>
          <w:sz w:val="28"/>
          <w:szCs w:val="28"/>
        </w:rPr>
        <w:t>2</w:t>
      </w:r>
      <w:r w:rsidR="009E32CE" w:rsidRPr="00333E6A">
        <w:rPr>
          <w:rFonts w:asciiTheme="minorHAnsi" w:hAnsiTheme="minorHAnsi"/>
          <w:sz w:val="28"/>
          <w:szCs w:val="28"/>
        </w:rPr>
        <w:t xml:space="preserve"> Product Technical Description</w:t>
      </w:r>
    </w:p>
    <w:p w:rsidR="006113D9" w:rsidRPr="00A03BAC" w:rsidRDefault="009E32CE" w:rsidP="009E32CE">
      <w:pPr>
        <w:rPr>
          <w:rFonts w:asciiTheme="minorHAnsi" w:hAnsiTheme="minorHAnsi" w:cs="Arial"/>
          <w:bCs/>
          <w:sz w:val="22"/>
          <w:szCs w:val="22"/>
        </w:rPr>
      </w:pPr>
      <w:r w:rsidRPr="00A03BAC">
        <w:rPr>
          <w:rFonts w:asciiTheme="minorHAnsi" w:hAnsiTheme="minorHAnsi" w:cs="Arial"/>
          <w:bCs/>
          <w:sz w:val="22"/>
          <w:szCs w:val="22"/>
        </w:rPr>
        <w:t xml:space="preserve">This measure involves the replacement of an </w:t>
      </w:r>
      <w:r w:rsidR="00DB3C96" w:rsidRPr="00A03BAC">
        <w:rPr>
          <w:rFonts w:asciiTheme="minorHAnsi" w:hAnsiTheme="minorHAnsi" w:cs="Arial"/>
          <w:bCs/>
          <w:sz w:val="22"/>
          <w:szCs w:val="22"/>
        </w:rPr>
        <w:t xml:space="preserve">existing non-programmable, non-communicating manual </w:t>
      </w:r>
      <w:r w:rsidRPr="00A03BAC">
        <w:rPr>
          <w:rFonts w:asciiTheme="minorHAnsi" w:hAnsiTheme="minorHAnsi" w:cs="Arial"/>
          <w:bCs/>
          <w:sz w:val="22"/>
          <w:szCs w:val="22"/>
        </w:rPr>
        <w:t>thermostat</w:t>
      </w:r>
      <w:r w:rsidR="00DB3C96" w:rsidRPr="00A03BAC">
        <w:rPr>
          <w:rFonts w:asciiTheme="minorHAnsi" w:hAnsiTheme="minorHAnsi" w:cs="Arial"/>
          <w:bCs/>
          <w:sz w:val="22"/>
          <w:szCs w:val="22"/>
        </w:rPr>
        <w:t xml:space="preserve">, </w:t>
      </w:r>
      <w:r w:rsidRPr="00A03BAC">
        <w:rPr>
          <w:rFonts w:asciiTheme="minorHAnsi" w:hAnsiTheme="minorHAnsi" w:cs="Arial"/>
          <w:bCs/>
          <w:sz w:val="22"/>
          <w:szCs w:val="22"/>
        </w:rPr>
        <w:t>with a new programmable communicating thermosta</w:t>
      </w:r>
      <w:r w:rsidR="006113D9" w:rsidRPr="00A03BAC">
        <w:rPr>
          <w:rFonts w:asciiTheme="minorHAnsi" w:hAnsiTheme="minorHAnsi" w:cs="Arial"/>
          <w:bCs/>
          <w:sz w:val="22"/>
          <w:szCs w:val="22"/>
        </w:rPr>
        <w:t xml:space="preserve">t (PCT). </w:t>
      </w:r>
    </w:p>
    <w:p w:rsidR="006113D9" w:rsidRPr="00A03BAC" w:rsidRDefault="006113D9" w:rsidP="009E32CE">
      <w:pPr>
        <w:rPr>
          <w:rFonts w:asciiTheme="minorHAnsi" w:hAnsiTheme="minorHAnsi" w:cs="Arial"/>
          <w:bCs/>
          <w:sz w:val="22"/>
          <w:szCs w:val="22"/>
        </w:rPr>
      </w:pPr>
    </w:p>
    <w:p w:rsidR="009E32CE" w:rsidRPr="00A03BAC" w:rsidRDefault="006113D9" w:rsidP="009E32CE">
      <w:pPr>
        <w:rPr>
          <w:rFonts w:asciiTheme="minorHAnsi" w:hAnsiTheme="minorHAnsi" w:cs="Arial"/>
          <w:bCs/>
          <w:sz w:val="22"/>
          <w:szCs w:val="22"/>
        </w:rPr>
      </w:pPr>
      <w:r w:rsidRPr="00A03BAC">
        <w:rPr>
          <w:rFonts w:asciiTheme="minorHAnsi" w:hAnsiTheme="minorHAnsi" w:cs="Arial"/>
          <w:bCs/>
          <w:sz w:val="22"/>
          <w:szCs w:val="22"/>
        </w:rPr>
        <w:lastRenderedPageBreak/>
        <w:t>As with a programmable thermostat, the PCT enables automatic control of HVAC units. Programmable thermostats are used to schedule different fan operation and cooling and heating temperature set points during occupied and unoccupied periods in a facility. When</w:t>
      </w:r>
      <w:r>
        <w:rPr>
          <w:rFonts w:ascii="Arial" w:hAnsi="Arial" w:cs="Arial"/>
          <w:sz w:val="22"/>
          <w:szCs w:val="22"/>
        </w:rPr>
        <w:t xml:space="preserve"> </w:t>
      </w:r>
      <w:r w:rsidR="00502B5F" w:rsidRPr="00A03BAC">
        <w:rPr>
          <w:rFonts w:asciiTheme="minorHAnsi" w:hAnsiTheme="minorHAnsi" w:cs="Arial"/>
          <w:bCs/>
          <w:sz w:val="22"/>
          <w:szCs w:val="22"/>
        </w:rPr>
        <w:t xml:space="preserve">programmable thermostats are </w:t>
      </w:r>
      <w:r w:rsidRPr="00A03BAC">
        <w:rPr>
          <w:rFonts w:asciiTheme="minorHAnsi" w:hAnsiTheme="minorHAnsi" w:cs="Arial"/>
          <w:bCs/>
          <w:sz w:val="22"/>
          <w:szCs w:val="22"/>
        </w:rPr>
        <w:t xml:space="preserve">adjusted and used properly, fans turn off when the </w:t>
      </w:r>
      <w:r w:rsidR="00DB3C96" w:rsidRPr="00A03BAC">
        <w:rPr>
          <w:rFonts w:asciiTheme="minorHAnsi" w:hAnsiTheme="minorHAnsi" w:cs="Arial"/>
          <w:bCs/>
          <w:sz w:val="22"/>
          <w:szCs w:val="22"/>
        </w:rPr>
        <w:t>facility</w:t>
      </w:r>
      <w:r w:rsidRPr="00A03BAC">
        <w:rPr>
          <w:rFonts w:asciiTheme="minorHAnsi" w:hAnsiTheme="minorHAnsi" w:cs="Arial"/>
          <w:bCs/>
          <w:sz w:val="22"/>
          <w:szCs w:val="22"/>
        </w:rPr>
        <w:t xml:space="preserve"> is unoccupied, </w:t>
      </w:r>
      <w:r w:rsidR="00502B5F" w:rsidRPr="00A03BAC">
        <w:rPr>
          <w:rFonts w:asciiTheme="minorHAnsi" w:hAnsiTheme="minorHAnsi" w:cs="Arial"/>
          <w:bCs/>
          <w:sz w:val="22"/>
          <w:szCs w:val="22"/>
        </w:rPr>
        <w:t xml:space="preserve">and heating </w:t>
      </w:r>
      <w:r w:rsidR="00DB3C96" w:rsidRPr="00A03BAC">
        <w:rPr>
          <w:rFonts w:asciiTheme="minorHAnsi" w:hAnsiTheme="minorHAnsi" w:cs="Arial"/>
          <w:bCs/>
          <w:sz w:val="22"/>
          <w:szCs w:val="22"/>
        </w:rPr>
        <w:t xml:space="preserve">and cooling set points are adjusted and </w:t>
      </w:r>
      <w:r w:rsidR="00502B5F" w:rsidRPr="00A03BAC">
        <w:rPr>
          <w:rFonts w:asciiTheme="minorHAnsi" w:hAnsiTheme="minorHAnsi" w:cs="Arial"/>
          <w:bCs/>
          <w:sz w:val="22"/>
          <w:szCs w:val="22"/>
        </w:rPr>
        <w:t>controlled to reflect the needs of the fa</w:t>
      </w:r>
      <w:r w:rsidR="00DB3C96" w:rsidRPr="00A03BAC">
        <w:rPr>
          <w:rFonts w:asciiTheme="minorHAnsi" w:hAnsiTheme="minorHAnsi" w:cs="Arial"/>
          <w:bCs/>
          <w:sz w:val="22"/>
          <w:szCs w:val="22"/>
        </w:rPr>
        <w:t>cility during occupied and unoccupied periods.</w:t>
      </w:r>
    </w:p>
    <w:p w:rsidR="00502B5F" w:rsidRPr="00A03BAC" w:rsidRDefault="00502B5F" w:rsidP="009E32CE">
      <w:pPr>
        <w:rPr>
          <w:rFonts w:asciiTheme="minorHAnsi" w:hAnsiTheme="minorHAnsi" w:cs="Arial"/>
          <w:bCs/>
          <w:sz w:val="22"/>
          <w:szCs w:val="22"/>
        </w:rPr>
      </w:pPr>
    </w:p>
    <w:p w:rsidR="00FF1A66" w:rsidRPr="00A03BAC" w:rsidRDefault="00502B5F" w:rsidP="009E32CE">
      <w:pPr>
        <w:rPr>
          <w:rFonts w:asciiTheme="minorHAnsi" w:hAnsiTheme="minorHAnsi" w:cs="Arial"/>
          <w:bCs/>
          <w:sz w:val="22"/>
          <w:szCs w:val="22"/>
        </w:rPr>
      </w:pPr>
      <w:r w:rsidRPr="00A03BAC">
        <w:rPr>
          <w:rFonts w:asciiTheme="minorHAnsi" w:hAnsiTheme="minorHAnsi" w:cs="Arial"/>
          <w:bCs/>
          <w:sz w:val="22"/>
          <w:szCs w:val="22"/>
        </w:rPr>
        <w:t xml:space="preserve">In actuality, programmable thermostats are often operated incorrectly. </w:t>
      </w:r>
      <w:r w:rsidR="00766071" w:rsidRPr="00A03BAC">
        <w:rPr>
          <w:rFonts w:asciiTheme="minorHAnsi" w:hAnsiTheme="minorHAnsi" w:cs="Arial"/>
          <w:bCs/>
          <w:sz w:val="22"/>
          <w:szCs w:val="22"/>
        </w:rPr>
        <w:t>Some programmable thermostats were never programmed properly from the start. Occupants can</w:t>
      </w:r>
      <w:r w:rsidR="00FF1A66" w:rsidRPr="00A03BAC">
        <w:rPr>
          <w:rFonts w:asciiTheme="minorHAnsi" w:hAnsiTheme="minorHAnsi" w:cs="Arial"/>
          <w:bCs/>
          <w:sz w:val="22"/>
          <w:szCs w:val="22"/>
        </w:rPr>
        <w:t xml:space="preserve"> </w:t>
      </w:r>
      <w:r w:rsidR="00766071" w:rsidRPr="00A03BAC">
        <w:rPr>
          <w:rFonts w:asciiTheme="minorHAnsi" w:hAnsiTheme="minorHAnsi" w:cs="Arial"/>
          <w:bCs/>
          <w:sz w:val="22"/>
          <w:szCs w:val="22"/>
        </w:rPr>
        <w:t xml:space="preserve">also </w:t>
      </w:r>
      <w:r w:rsidR="00FF1A66" w:rsidRPr="00A03BAC">
        <w:rPr>
          <w:rFonts w:asciiTheme="minorHAnsi" w:hAnsiTheme="minorHAnsi" w:cs="Arial"/>
          <w:bCs/>
          <w:sz w:val="22"/>
          <w:szCs w:val="22"/>
        </w:rPr>
        <w:t>cause inefficient HVAC operation by temporarily overriding set points, or by permanently reprogram</w:t>
      </w:r>
      <w:r w:rsidR="00766071" w:rsidRPr="00A03BAC">
        <w:rPr>
          <w:rFonts w:asciiTheme="minorHAnsi" w:hAnsiTheme="minorHAnsi" w:cs="Arial"/>
          <w:bCs/>
          <w:sz w:val="22"/>
          <w:szCs w:val="22"/>
        </w:rPr>
        <w:t xml:space="preserve">ming schedules and set points. </w:t>
      </w:r>
      <w:r w:rsidR="00FF1A66" w:rsidRPr="00A03BAC">
        <w:rPr>
          <w:rFonts w:asciiTheme="minorHAnsi" w:hAnsiTheme="minorHAnsi" w:cs="Arial"/>
          <w:bCs/>
          <w:sz w:val="22"/>
          <w:szCs w:val="22"/>
        </w:rPr>
        <w:t xml:space="preserve">The use of PCTs can improve HVAC operation by ensuring that thermostats are correctly programmed, and by regularly resetting them </w:t>
      </w:r>
      <w:r w:rsidR="00766071" w:rsidRPr="00A03BAC">
        <w:rPr>
          <w:rFonts w:asciiTheme="minorHAnsi" w:hAnsiTheme="minorHAnsi" w:cs="Arial"/>
          <w:bCs/>
          <w:sz w:val="22"/>
          <w:szCs w:val="22"/>
        </w:rPr>
        <w:t xml:space="preserve">after occupants override settings. This can reduce annual heating and cooling energy use compared to the use of non-programmable and programmable </w:t>
      </w:r>
      <w:r w:rsidR="00FA3FAE" w:rsidRPr="00A03BAC">
        <w:rPr>
          <w:rFonts w:asciiTheme="minorHAnsi" w:hAnsiTheme="minorHAnsi" w:cs="Arial"/>
          <w:bCs/>
          <w:sz w:val="22"/>
          <w:szCs w:val="22"/>
        </w:rPr>
        <w:t xml:space="preserve">non-communicating </w:t>
      </w:r>
      <w:r w:rsidR="00766071" w:rsidRPr="00A03BAC">
        <w:rPr>
          <w:rFonts w:asciiTheme="minorHAnsi" w:hAnsiTheme="minorHAnsi" w:cs="Arial"/>
          <w:bCs/>
          <w:sz w:val="22"/>
          <w:szCs w:val="22"/>
        </w:rPr>
        <w:t>thermostats.</w:t>
      </w:r>
    </w:p>
    <w:p w:rsidR="00712316" w:rsidRPr="00A03BAC" w:rsidRDefault="00712316" w:rsidP="009E32CE">
      <w:pPr>
        <w:rPr>
          <w:rFonts w:asciiTheme="minorHAnsi" w:hAnsiTheme="minorHAnsi" w:cs="Arial"/>
          <w:bCs/>
          <w:sz w:val="22"/>
          <w:szCs w:val="22"/>
        </w:rPr>
      </w:pPr>
    </w:p>
    <w:p w:rsidR="00712316" w:rsidRPr="00A03BAC" w:rsidRDefault="00712316" w:rsidP="009E32CE">
      <w:pPr>
        <w:rPr>
          <w:rFonts w:asciiTheme="minorHAnsi" w:hAnsiTheme="minorHAnsi" w:cs="Arial"/>
          <w:bCs/>
          <w:sz w:val="22"/>
          <w:szCs w:val="22"/>
        </w:rPr>
      </w:pPr>
      <w:r w:rsidRPr="00A03BAC">
        <w:rPr>
          <w:rFonts w:asciiTheme="minorHAnsi" w:hAnsiTheme="minorHAnsi" w:cs="Arial"/>
          <w:bCs/>
          <w:sz w:val="22"/>
          <w:szCs w:val="22"/>
        </w:rPr>
        <w:t xml:space="preserve">The PCT is also able to respond to demand response (DR) events. Demand response events occur on days when loads on the electrical distribution system are predicted to be very high. These events typically occur during hot, summer weather, due to increased cooling loads in buildings. During DR events, PCTs can be signaled to raise their cooling temperature set points in order to reduce the electricity demand from the facility’s HVAC unit(s). DR program participants can use PCTs to help reach their demand reduction target of 100 kW or 15% of their monthly average peak demand. The use of PCTs also allows SDG&amp;E to potentially accrue demand savings from non-DR program participants. Note that potential impacts from DR are not quantified in this workpaper; see section </w:t>
      </w:r>
      <w:r w:rsidR="00A22534" w:rsidRPr="00A03BAC">
        <w:rPr>
          <w:rFonts w:asciiTheme="minorHAnsi" w:hAnsiTheme="minorHAnsi" w:cs="Arial"/>
          <w:bCs/>
          <w:sz w:val="22"/>
          <w:szCs w:val="22"/>
        </w:rPr>
        <w:t>2.4</w:t>
      </w:r>
      <w:r w:rsidRPr="00A03BAC">
        <w:rPr>
          <w:rFonts w:asciiTheme="minorHAnsi" w:hAnsiTheme="minorHAnsi" w:cs="Arial"/>
          <w:bCs/>
          <w:sz w:val="22"/>
          <w:szCs w:val="22"/>
        </w:rPr>
        <w:t xml:space="preserve"> for further detail.</w:t>
      </w:r>
    </w:p>
    <w:p w:rsidR="00101E3D" w:rsidRPr="00923248" w:rsidRDefault="00101E3D">
      <w:pPr>
        <w:rPr>
          <w:rFonts w:ascii="Arial" w:hAnsi="Arial" w:cs="Arial"/>
          <w:color w:val="FF0000"/>
          <w:sz w:val="22"/>
          <w:szCs w:val="22"/>
        </w:rPr>
      </w:pPr>
    </w:p>
    <w:p w:rsidR="009E32CE" w:rsidRPr="00333E6A" w:rsidRDefault="009E32CE" w:rsidP="009E32CE">
      <w:pPr>
        <w:pStyle w:val="Heading2"/>
        <w:rPr>
          <w:rFonts w:asciiTheme="minorHAnsi" w:hAnsiTheme="minorHAnsi"/>
          <w:i w:val="0"/>
        </w:rPr>
      </w:pPr>
      <w:bookmarkStart w:id="16" w:name="_Toc380155045"/>
      <w:bookmarkStart w:id="17" w:name="_Toc404765873"/>
      <w:r w:rsidRPr="00333E6A">
        <w:rPr>
          <w:rFonts w:asciiTheme="minorHAnsi" w:hAnsiTheme="minorHAnsi"/>
          <w:i w:val="0"/>
        </w:rPr>
        <w:t xml:space="preserve">1.3 </w:t>
      </w:r>
      <w:bookmarkEnd w:id="16"/>
      <w:bookmarkEnd w:id="17"/>
      <w:r w:rsidR="00333E6A" w:rsidRPr="00333E6A">
        <w:rPr>
          <w:rFonts w:asciiTheme="minorHAnsi" w:hAnsiTheme="minorHAnsi"/>
          <w:i w:val="0"/>
        </w:rPr>
        <w:t>Installation Types and Delivery Mechanisms</w:t>
      </w:r>
    </w:p>
    <w:p w:rsidR="009E32CE" w:rsidRPr="00A03BAC" w:rsidRDefault="009E32CE" w:rsidP="009E32CE">
      <w:pPr>
        <w:rPr>
          <w:rFonts w:asciiTheme="minorHAnsi" w:hAnsiTheme="minorHAnsi" w:cs="Arial"/>
          <w:sz w:val="22"/>
          <w:szCs w:val="22"/>
        </w:rPr>
      </w:pPr>
      <w:bookmarkStart w:id="18" w:name="_Toc324427642"/>
      <w:r w:rsidRPr="00A03BAC">
        <w:rPr>
          <w:rFonts w:asciiTheme="minorHAnsi" w:hAnsiTheme="minorHAnsi" w:cs="Arial"/>
          <w:sz w:val="22"/>
          <w:szCs w:val="22"/>
        </w:rPr>
        <w:t xml:space="preserve">The DEER </w:t>
      </w:r>
      <w:bookmarkEnd w:id="18"/>
      <w:r w:rsidRPr="00A03BAC">
        <w:rPr>
          <w:rFonts w:asciiTheme="minorHAnsi" w:hAnsiTheme="minorHAnsi" w:cs="Arial"/>
          <w:sz w:val="22"/>
          <w:szCs w:val="22"/>
        </w:rPr>
        <w:t>measure application types are defined in the table below:</w:t>
      </w:r>
    </w:p>
    <w:p w:rsidR="009E32CE" w:rsidRDefault="009E32CE" w:rsidP="009E32CE">
      <w:pPr>
        <w:rPr>
          <w:rFonts w:ascii="Arial" w:hAnsi="Arial" w:cs="Arial"/>
          <w:sz w:val="22"/>
          <w:szCs w:val="22"/>
        </w:rPr>
      </w:pPr>
    </w:p>
    <w:p w:rsidR="007279D8" w:rsidRPr="00A03BAC" w:rsidRDefault="009E32CE" w:rsidP="00101E3D">
      <w:pPr>
        <w:pStyle w:val="Caption"/>
        <w:jc w:val="center"/>
        <w:rPr>
          <w:rFonts w:asciiTheme="minorHAnsi" w:hAnsiTheme="minorHAnsi" w:cs="Arial"/>
          <w:b w:val="0"/>
          <w:sz w:val="22"/>
          <w:szCs w:val="22"/>
        </w:rPr>
      </w:pPr>
      <w:r w:rsidRPr="00A03BAC">
        <w:rPr>
          <w:rFonts w:asciiTheme="minorHAnsi" w:hAnsiTheme="minorHAnsi" w:cs="Arial"/>
          <w:sz w:val="22"/>
          <w:szCs w:val="22"/>
        </w:rPr>
        <w:t xml:space="preserve">Table </w:t>
      </w:r>
      <w:bookmarkStart w:id="19" w:name="RANGE!B222"/>
      <w:r w:rsidR="008850E7">
        <w:rPr>
          <w:rFonts w:asciiTheme="minorHAnsi" w:hAnsiTheme="minorHAnsi" w:cs="Arial"/>
          <w:sz w:val="22"/>
          <w:szCs w:val="22"/>
        </w:rPr>
        <w:t>1</w:t>
      </w:r>
      <w:r w:rsidRPr="00A03BAC">
        <w:rPr>
          <w:rFonts w:asciiTheme="minorHAnsi" w:hAnsiTheme="minorHAnsi" w:cs="Arial"/>
          <w:sz w:val="22"/>
          <w:szCs w:val="22"/>
        </w:rPr>
        <w:t xml:space="preserve"> </w:t>
      </w:r>
      <w:r w:rsidRPr="00A03BAC">
        <w:rPr>
          <w:rFonts w:asciiTheme="minorHAnsi" w:hAnsiTheme="minorHAnsi" w:cs="Arial"/>
          <w:b w:val="0"/>
          <w:sz w:val="22"/>
          <w:szCs w:val="22"/>
        </w:rPr>
        <w:t>Measure Application Type</w:t>
      </w:r>
      <w:bookmarkEnd w:id="19"/>
    </w:p>
    <w:p w:rsidR="009E32CE" w:rsidRPr="003D6589" w:rsidRDefault="006D05E1" w:rsidP="00101E3D">
      <w:pPr>
        <w:pStyle w:val="Caption"/>
        <w:jc w:val="center"/>
        <w:rPr>
          <w:rFonts w:ascii="Arial" w:hAnsi="Arial" w:cs="Arial"/>
        </w:rPr>
      </w:pPr>
      <w:r w:rsidRPr="003D6589">
        <w:rPr>
          <w:rFonts w:ascii="Arial" w:hAnsi="Arial" w:cs="Arial"/>
        </w:rPr>
        <w:fldChar w:fldCharType="begin"/>
      </w:r>
      <w:r w:rsidR="009E32CE" w:rsidRPr="003D6589">
        <w:instrText xml:space="preserve"> TC "</w:instrText>
      </w:r>
      <w:bookmarkStart w:id="20" w:name="_Toc373323969"/>
      <w:bookmarkStart w:id="21" w:name="_Toc376178527"/>
      <w:bookmarkStart w:id="22" w:name="_Toc378256033"/>
      <w:bookmarkStart w:id="23" w:name="_Toc380154926"/>
      <w:bookmarkStart w:id="24" w:name="_Toc404765915"/>
      <w:r w:rsidR="009E32CE">
        <w:rPr>
          <w:rFonts w:ascii="Arial" w:hAnsi="Arial" w:cs="Arial"/>
        </w:rPr>
        <w:instrText>Table 1:</w:instrText>
      </w:r>
      <w:r w:rsidR="009E32CE" w:rsidRPr="003D6589">
        <w:rPr>
          <w:rFonts w:ascii="Arial" w:hAnsi="Arial" w:cs="Arial"/>
        </w:rPr>
        <w:instrText xml:space="preserve"> Measure Application Type</w:instrText>
      </w:r>
      <w:bookmarkEnd w:id="20"/>
      <w:bookmarkEnd w:id="21"/>
      <w:bookmarkEnd w:id="22"/>
      <w:bookmarkEnd w:id="23"/>
      <w:bookmarkEnd w:id="24"/>
      <w:r w:rsidR="009E32CE" w:rsidRPr="003D6589">
        <w:instrText xml:space="preserve">" \f C \l "1" </w:instrText>
      </w:r>
      <w:r w:rsidRPr="003D6589">
        <w:rPr>
          <w:rFonts w:ascii="Arial" w:hAnsi="Arial" w:cs="Arial"/>
        </w:rPr>
        <w:fldChar w:fldCharType="end"/>
      </w:r>
    </w:p>
    <w:p w:rsidR="009E32CE" w:rsidRPr="00A03BAC" w:rsidRDefault="009E32CE" w:rsidP="00CE5033">
      <w:pPr>
        <w:keepNext/>
        <w:jc w:val="center"/>
        <w:rPr>
          <w:rFonts w:asciiTheme="minorHAnsi" w:hAnsiTheme="minorHAnsi" w:cs="Arial"/>
          <w:iCs/>
          <w:sz w:val="22"/>
          <w:szCs w:val="22"/>
        </w:rPr>
      </w:pPr>
      <w:r w:rsidRPr="00A03BAC">
        <w:rPr>
          <w:rFonts w:asciiTheme="minorHAnsi" w:hAnsiTheme="minorHAnsi" w:cs="Arial"/>
          <w:iCs/>
          <w:sz w:val="22"/>
          <w:szCs w:val="22"/>
        </w:rPr>
        <w:t xml:space="preserve">Identifies the measure application type in the Measure </w:t>
      </w:r>
      <w:r w:rsidR="00CE5033" w:rsidRPr="00A03BAC">
        <w:rPr>
          <w:rFonts w:asciiTheme="minorHAnsi" w:hAnsiTheme="minorHAnsi" w:cs="Arial"/>
          <w:iCs/>
          <w:sz w:val="22"/>
          <w:szCs w:val="22"/>
        </w:rPr>
        <w:t>Classification</w:t>
      </w:r>
      <w:r w:rsidRPr="00A03BAC">
        <w:rPr>
          <w:rFonts w:asciiTheme="minorHAnsi" w:hAnsiTheme="minorHAnsi" w:cs="Arial"/>
          <w:iCs/>
          <w:sz w:val="22"/>
          <w:szCs w:val="22"/>
        </w:rPr>
        <w:t xml:space="preserve"> table in </w:t>
      </w:r>
      <w:r w:rsidR="00CE5033" w:rsidRPr="00A03BAC">
        <w:rPr>
          <w:rFonts w:asciiTheme="minorHAnsi" w:hAnsiTheme="minorHAnsi" w:cs="Arial"/>
          <w:iCs/>
          <w:sz w:val="22"/>
          <w:szCs w:val="22"/>
        </w:rPr>
        <w:t>2013-14 Statewide Customized Retrofit Offering Procedures Manual for Business</w:t>
      </w:r>
      <w:r w:rsidRPr="00A03BAC">
        <w:rPr>
          <w:rFonts w:asciiTheme="minorHAnsi" w:hAnsiTheme="minorHAnsi" w:cs="Arial"/>
          <w:iCs/>
          <w:sz w:val="22"/>
          <w:szCs w:val="22"/>
        </w:rPr>
        <w:t>.</w:t>
      </w:r>
    </w:p>
    <w:tbl>
      <w:tblPr>
        <w:tblW w:w="9090" w:type="dxa"/>
        <w:tblInd w:w="108" w:type="dxa"/>
        <w:tblLook w:val="04A0" w:firstRow="1" w:lastRow="0" w:firstColumn="1" w:lastColumn="0" w:noHBand="0" w:noVBand="1"/>
      </w:tblPr>
      <w:tblGrid>
        <w:gridCol w:w="900"/>
        <w:gridCol w:w="2610"/>
        <w:gridCol w:w="5580"/>
      </w:tblGrid>
      <w:tr w:rsidR="009E32CE" w:rsidRPr="003D6589" w:rsidTr="00647E8C">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9E32CE" w:rsidRPr="00A03BAC" w:rsidRDefault="009E32CE" w:rsidP="00647E8C">
            <w:pPr>
              <w:keepNext/>
              <w:rPr>
                <w:rFonts w:asciiTheme="minorHAnsi" w:hAnsiTheme="minorHAnsi" w:cs="Arial"/>
                <w:b/>
                <w:color w:val="000000"/>
                <w:sz w:val="22"/>
                <w:szCs w:val="22"/>
              </w:rPr>
            </w:pPr>
            <w:r w:rsidRPr="00A03BAC">
              <w:rPr>
                <w:rFonts w:asciiTheme="minorHAnsi" w:hAnsiTheme="minorHAnsi" w:cs="Arial"/>
                <w:b/>
                <w:color w:val="000000"/>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9E32CE" w:rsidRPr="00A03BAC" w:rsidRDefault="009E32CE" w:rsidP="00647E8C">
            <w:pPr>
              <w:keepNext/>
              <w:rPr>
                <w:rFonts w:asciiTheme="minorHAnsi" w:hAnsiTheme="minorHAnsi" w:cs="Arial"/>
                <w:b/>
                <w:color w:val="000000"/>
                <w:sz w:val="22"/>
                <w:szCs w:val="22"/>
              </w:rPr>
            </w:pPr>
            <w:r w:rsidRPr="00A03BAC">
              <w:rPr>
                <w:rFonts w:asciiTheme="minorHAnsi" w:hAnsiTheme="minorHAnsi" w:cs="Arial"/>
                <w:b/>
                <w:color w:val="000000"/>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9E32CE" w:rsidRPr="00A03BAC" w:rsidRDefault="009E32CE" w:rsidP="00647E8C">
            <w:pPr>
              <w:keepNext/>
              <w:rPr>
                <w:rFonts w:asciiTheme="minorHAnsi" w:hAnsiTheme="minorHAnsi" w:cs="Arial"/>
                <w:b/>
                <w:color w:val="000000"/>
                <w:sz w:val="22"/>
                <w:szCs w:val="22"/>
              </w:rPr>
            </w:pPr>
            <w:r w:rsidRPr="00A03BAC">
              <w:rPr>
                <w:rFonts w:asciiTheme="minorHAnsi" w:hAnsiTheme="minorHAnsi" w:cs="Arial"/>
                <w:b/>
                <w:color w:val="000000"/>
                <w:sz w:val="22"/>
                <w:szCs w:val="22"/>
              </w:rPr>
              <w:t>Comment</w:t>
            </w:r>
          </w:p>
        </w:tc>
      </w:tr>
      <w:tr w:rsidR="009E32CE" w:rsidRPr="003D6589" w:rsidTr="00647E8C">
        <w:trPr>
          <w:trHeight w:val="600"/>
        </w:trPr>
        <w:tc>
          <w:tcPr>
            <w:tcW w:w="900" w:type="dxa"/>
            <w:tcBorders>
              <w:top w:val="nil"/>
              <w:left w:val="single" w:sz="4" w:space="0" w:color="auto"/>
              <w:bottom w:val="nil"/>
              <w:right w:val="nil"/>
            </w:tcBorders>
            <w:shd w:val="clear" w:color="auto" w:fill="auto"/>
            <w:noWrap/>
            <w:vAlign w:val="center"/>
            <w:hideMark/>
          </w:tcPr>
          <w:p w:rsidR="009E32CE" w:rsidRPr="00A03BAC" w:rsidRDefault="009E32CE" w:rsidP="00463E28">
            <w:pPr>
              <w:keepNext/>
              <w:spacing w:after="120"/>
              <w:rPr>
                <w:rFonts w:asciiTheme="minorHAnsi" w:hAnsiTheme="minorHAnsi" w:cs="Arial"/>
                <w:sz w:val="22"/>
                <w:szCs w:val="22"/>
              </w:rPr>
            </w:pPr>
            <w:r w:rsidRPr="00A03BAC">
              <w:rPr>
                <w:rFonts w:asciiTheme="minorHAnsi" w:hAnsiTheme="minorHAnsi" w:cs="Arial"/>
                <w:sz w:val="22"/>
                <w:szCs w:val="22"/>
              </w:rPr>
              <w:t>ER</w:t>
            </w:r>
          </w:p>
        </w:tc>
        <w:tc>
          <w:tcPr>
            <w:tcW w:w="2610" w:type="dxa"/>
            <w:tcBorders>
              <w:top w:val="nil"/>
              <w:left w:val="nil"/>
              <w:bottom w:val="nil"/>
              <w:right w:val="nil"/>
            </w:tcBorders>
            <w:shd w:val="clear" w:color="auto" w:fill="auto"/>
            <w:noWrap/>
            <w:vAlign w:val="center"/>
            <w:hideMark/>
          </w:tcPr>
          <w:p w:rsidR="009E32CE" w:rsidRPr="00A03BAC" w:rsidRDefault="009E32CE" w:rsidP="00463E28">
            <w:pPr>
              <w:keepNext/>
              <w:spacing w:after="120"/>
              <w:rPr>
                <w:rFonts w:asciiTheme="minorHAnsi" w:hAnsiTheme="minorHAnsi" w:cs="Arial"/>
                <w:sz w:val="22"/>
                <w:szCs w:val="22"/>
              </w:rPr>
            </w:pPr>
            <w:r w:rsidRPr="00A03BAC">
              <w:rPr>
                <w:rFonts w:asciiTheme="minorHAnsi" w:hAnsiTheme="minorHAnsi" w:cs="Arial"/>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9E32CE" w:rsidRPr="00A03BAC" w:rsidRDefault="00271117" w:rsidP="00463E28">
            <w:pPr>
              <w:keepNext/>
              <w:spacing w:after="120"/>
              <w:rPr>
                <w:rFonts w:asciiTheme="minorHAnsi" w:hAnsiTheme="minorHAnsi" w:cs="Arial"/>
                <w:iCs/>
                <w:sz w:val="22"/>
                <w:szCs w:val="22"/>
              </w:rPr>
            </w:pPr>
            <w:r w:rsidRPr="00A03BAC">
              <w:rPr>
                <w:rFonts w:asciiTheme="minorHAnsi" w:hAnsiTheme="minorHAnsi" w:cs="Arial"/>
                <w:iCs/>
                <w:sz w:val="22"/>
                <w:szCs w:val="22"/>
              </w:rPr>
              <w:t xml:space="preserve">Measures should be claimed as Early Retirement if the existing equipment is operational and has been shown to have a Remaining Useful Life (RUL) &gt; 1 year, and compelling evidence exists showing the program induced replacement of the equipment. </w:t>
            </w:r>
          </w:p>
        </w:tc>
      </w:tr>
      <w:tr w:rsidR="00271117" w:rsidRPr="003D6589" w:rsidTr="00647E8C">
        <w:trPr>
          <w:trHeight w:val="600"/>
        </w:trPr>
        <w:tc>
          <w:tcPr>
            <w:tcW w:w="900" w:type="dxa"/>
            <w:tcBorders>
              <w:top w:val="nil"/>
              <w:left w:val="single" w:sz="4" w:space="0" w:color="auto"/>
              <w:bottom w:val="nil"/>
              <w:right w:val="nil"/>
            </w:tcBorders>
            <w:shd w:val="clear" w:color="auto" w:fill="auto"/>
            <w:noWrap/>
            <w:vAlign w:val="center"/>
            <w:hideMark/>
          </w:tcPr>
          <w:p w:rsidR="00271117" w:rsidRPr="00A03BAC" w:rsidRDefault="00271117" w:rsidP="00463E28">
            <w:pPr>
              <w:keepNext/>
              <w:spacing w:after="120"/>
              <w:rPr>
                <w:rFonts w:asciiTheme="minorHAnsi" w:hAnsiTheme="minorHAnsi" w:cs="Arial"/>
                <w:sz w:val="22"/>
                <w:szCs w:val="22"/>
              </w:rPr>
            </w:pPr>
            <w:r w:rsidRPr="00A03BAC">
              <w:rPr>
                <w:rFonts w:asciiTheme="minorHAnsi" w:hAnsiTheme="minorHAnsi" w:cs="Arial"/>
                <w:sz w:val="22"/>
                <w:szCs w:val="22"/>
              </w:rPr>
              <w:t>ROB</w:t>
            </w:r>
          </w:p>
        </w:tc>
        <w:tc>
          <w:tcPr>
            <w:tcW w:w="2610" w:type="dxa"/>
            <w:tcBorders>
              <w:top w:val="nil"/>
              <w:left w:val="nil"/>
              <w:bottom w:val="nil"/>
              <w:right w:val="nil"/>
            </w:tcBorders>
            <w:shd w:val="clear" w:color="auto" w:fill="auto"/>
            <w:noWrap/>
            <w:vAlign w:val="center"/>
            <w:hideMark/>
          </w:tcPr>
          <w:p w:rsidR="00271117" w:rsidRPr="00A03BAC" w:rsidRDefault="00271117" w:rsidP="00463E28">
            <w:pPr>
              <w:keepNext/>
              <w:spacing w:after="120"/>
              <w:rPr>
                <w:rFonts w:asciiTheme="minorHAnsi" w:hAnsiTheme="minorHAnsi" w:cs="Arial"/>
                <w:sz w:val="22"/>
                <w:szCs w:val="22"/>
              </w:rPr>
            </w:pPr>
            <w:r w:rsidRPr="00A03BAC">
              <w:rPr>
                <w:rFonts w:asciiTheme="minorHAnsi" w:hAnsiTheme="minorHAnsi" w:cs="Arial"/>
                <w:sz w:val="22"/>
                <w:szCs w:val="22"/>
              </w:rPr>
              <w:t>Replace on Burnout</w:t>
            </w:r>
            <w:r w:rsidR="006D05E1" w:rsidRPr="00A03BAC">
              <w:rPr>
                <w:rFonts w:asciiTheme="minorHAnsi" w:hAnsiTheme="minorHAnsi" w:cs="Arial"/>
                <w:sz w:val="22"/>
                <w:szCs w:val="22"/>
              </w:rPr>
              <w:fldChar w:fldCharType="begin"/>
            </w:r>
            <w:r w:rsidRPr="00A03BAC">
              <w:rPr>
                <w:rFonts w:asciiTheme="minorHAnsi" w:hAnsiTheme="minorHAnsi" w:cs="Arial"/>
                <w:sz w:val="22"/>
                <w:szCs w:val="22"/>
              </w:rPr>
              <w:instrText xml:space="preserve"> XE "Replace on Burnout" </w:instrText>
            </w:r>
            <w:r w:rsidR="006D05E1" w:rsidRPr="00A03BAC">
              <w:rPr>
                <w:rFonts w:asciiTheme="minorHAnsi" w:hAnsiTheme="minorHAnsi" w:cs="Arial"/>
                <w:sz w:val="22"/>
                <w:szCs w:val="22"/>
              </w:rPr>
              <w:fldChar w:fldCharType="end"/>
            </w:r>
          </w:p>
        </w:tc>
        <w:tc>
          <w:tcPr>
            <w:tcW w:w="5580" w:type="dxa"/>
            <w:tcBorders>
              <w:top w:val="nil"/>
              <w:left w:val="nil"/>
              <w:bottom w:val="nil"/>
              <w:right w:val="single" w:sz="4" w:space="0" w:color="auto"/>
            </w:tcBorders>
            <w:shd w:val="clear" w:color="auto" w:fill="auto"/>
            <w:vAlign w:val="center"/>
            <w:hideMark/>
          </w:tcPr>
          <w:p w:rsidR="00271117" w:rsidRPr="00A03BAC" w:rsidRDefault="00271117" w:rsidP="00463E28">
            <w:pPr>
              <w:keepNext/>
              <w:spacing w:after="120"/>
              <w:rPr>
                <w:rFonts w:asciiTheme="minorHAnsi" w:hAnsiTheme="minorHAnsi" w:cs="Arial"/>
                <w:iCs/>
                <w:sz w:val="22"/>
                <w:szCs w:val="22"/>
              </w:rPr>
            </w:pPr>
            <w:r w:rsidRPr="00A03BAC">
              <w:rPr>
                <w:rFonts w:asciiTheme="minorHAnsi" w:hAnsiTheme="minorHAnsi" w:cs="Arial"/>
                <w:iCs/>
                <w:sz w:val="22"/>
                <w:szCs w:val="22"/>
              </w:rPr>
              <w:t>Measures should be claimed as Replace on Burnout in all circumstances where the equipment being replaced is non-operational.</w:t>
            </w:r>
          </w:p>
        </w:tc>
      </w:tr>
      <w:tr w:rsidR="00271117" w:rsidRPr="003D6589" w:rsidTr="00647E8C">
        <w:trPr>
          <w:trHeight w:val="600"/>
        </w:trPr>
        <w:tc>
          <w:tcPr>
            <w:tcW w:w="900" w:type="dxa"/>
            <w:tcBorders>
              <w:top w:val="nil"/>
              <w:left w:val="single" w:sz="4" w:space="0" w:color="auto"/>
              <w:bottom w:val="nil"/>
              <w:right w:val="nil"/>
            </w:tcBorders>
            <w:shd w:val="clear" w:color="auto" w:fill="auto"/>
            <w:noWrap/>
            <w:vAlign w:val="center"/>
            <w:hideMark/>
          </w:tcPr>
          <w:p w:rsidR="00271117" w:rsidRPr="00A03BAC" w:rsidRDefault="00271117" w:rsidP="00463E28">
            <w:pPr>
              <w:spacing w:after="120"/>
              <w:rPr>
                <w:rFonts w:asciiTheme="minorHAnsi" w:hAnsiTheme="minorHAnsi" w:cs="Arial"/>
                <w:sz w:val="22"/>
                <w:szCs w:val="22"/>
              </w:rPr>
            </w:pPr>
            <w:r w:rsidRPr="00A03BAC">
              <w:rPr>
                <w:rFonts w:asciiTheme="minorHAnsi" w:hAnsiTheme="minorHAnsi" w:cs="Arial"/>
                <w:sz w:val="22"/>
                <w:szCs w:val="22"/>
              </w:rPr>
              <w:t>NR</w:t>
            </w:r>
          </w:p>
        </w:tc>
        <w:tc>
          <w:tcPr>
            <w:tcW w:w="2610" w:type="dxa"/>
            <w:tcBorders>
              <w:top w:val="nil"/>
              <w:left w:val="nil"/>
              <w:bottom w:val="nil"/>
              <w:right w:val="nil"/>
            </w:tcBorders>
            <w:shd w:val="clear" w:color="auto" w:fill="auto"/>
            <w:noWrap/>
            <w:vAlign w:val="center"/>
            <w:hideMark/>
          </w:tcPr>
          <w:p w:rsidR="00271117" w:rsidRPr="00A03BAC" w:rsidRDefault="00271117" w:rsidP="00463E28">
            <w:pPr>
              <w:spacing w:after="120"/>
              <w:rPr>
                <w:rFonts w:asciiTheme="minorHAnsi" w:hAnsiTheme="minorHAnsi" w:cs="Arial"/>
                <w:sz w:val="22"/>
                <w:szCs w:val="22"/>
              </w:rPr>
            </w:pPr>
            <w:r w:rsidRPr="00A03BAC">
              <w:rPr>
                <w:rFonts w:asciiTheme="minorHAnsi" w:hAnsiTheme="minorHAnsi" w:cs="Arial"/>
                <w:sz w:val="22"/>
                <w:szCs w:val="22"/>
              </w:rPr>
              <w:t>Normal Replacement</w:t>
            </w:r>
          </w:p>
        </w:tc>
        <w:tc>
          <w:tcPr>
            <w:tcW w:w="5580" w:type="dxa"/>
            <w:tcBorders>
              <w:top w:val="nil"/>
              <w:left w:val="nil"/>
              <w:bottom w:val="nil"/>
              <w:right w:val="single" w:sz="4" w:space="0" w:color="auto"/>
            </w:tcBorders>
            <w:shd w:val="clear" w:color="auto" w:fill="auto"/>
            <w:vAlign w:val="center"/>
            <w:hideMark/>
          </w:tcPr>
          <w:p w:rsidR="00271117" w:rsidRPr="00A03BAC" w:rsidRDefault="00271117" w:rsidP="00463E28">
            <w:pPr>
              <w:spacing w:after="120"/>
              <w:rPr>
                <w:rFonts w:asciiTheme="minorHAnsi" w:hAnsiTheme="minorHAnsi" w:cs="Arial"/>
                <w:iCs/>
                <w:sz w:val="22"/>
                <w:szCs w:val="22"/>
              </w:rPr>
            </w:pPr>
            <w:r w:rsidRPr="00A03BAC">
              <w:rPr>
                <w:rFonts w:asciiTheme="minorHAnsi" w:hAnsiTheme="minorHAnsi" w:cs="Arial"/>
                <w:iCs/>
                <w:sz w:val="22"/>
                <w:szCs w:val="22"/>
              </w:rPr>
              <w:t>Measures should be claimed as Normal Replacement if the existing equipment is operational but there is insufficient evidence of Early Retirement (e.g. there is no evidence to show the existing equipment has an RUL &gt; 1 year and the program induce early replacement of the equipment).</w:t>
            </w:r>
          </w:p>
        </w:tc>
      </w:tr>
      <w:tr w:rsidR="00271117" w:rsidRPr="003D6589" w:rsidTr="00647E8C">
        <w:trPr>
          <w:trHeight w:val="600"/>
        </w:trPr>
        <w:tc>
          <w:tcPr>
            <w:tcW w:w="900" w:type="dxa"/>
            <w:tcBorders>
              <w:top w:val="nil"/>
              <w:left w:val="single" w:sz="4" w:space="0" w:color="auto"/>
              <w:bottom w:val="nil"/>
              <w:right w:val="nil"/>
            </w:tcBorders>
            <w:shd w:val="clear" w:color="auto" w:fill="auto"/>
            <w:noWrap/>
            <w:vAlign w:val="center"/>
            <w:hideMark/>
          </w:tcPr>
          <w:p w:rsidR="00271117" w:rsidRPr="00A03BAC" w:rsidRDefault="00463E28" w:rsidP="00463E28">
            <w:pPr>
              <w:keepNext/>
              <w:spacing w:after="120"/>
              <w:rPr>
                <w:rFonts w:asciiTheme="minorHAnsi" w:hAnsiTheme="minorHAnsi" w:cs="Arial"/>
                <w:sz w:val="22"/>
                <w:szCs w:val="22"/>
              </w:rPr>
            </w:pPr>
            <w:r w:rsidRPr="00A03BAC">
              <w:rPr>
                <w:rFonts w:asciiTheme="minorHAnsi" w:hAnsiTheme="minorHAnsi" w:cs="Arial"/>
                <w:sz w:val="22"/>
                <w:szCs w:val="22"/>
              </w:rPr>
              <w:lastRenderedPageBreak/>
              <w:t>REA</w:t>
            </w:r>
          </w:p>
        </w:tc>
        <w:tc>
          <w:tcPr>
            <w:tcW w:w="2610" w:type="dxa"/>
            <w:tcBorders>
              <w:top w:val="nil"/>
              <w:left w:val="nil"/>
              <w:bottom w:val="nil"/>
              <w:right w:val="nil"/>
            </w:tcBorders>
            <w:shd w:val="clear" w:color="auto" w:fill="auto"/>
            <w:noWrap/>
            <w:vAlign w:val="center"/>
            <w:hideMark/>
          </w:tcPr>
          <w:p w:rsidR="00271117" w:rsidRPr="00A03BAC" w:rsidRDefault="00463E28" w:rsidP="00463E28">
            <w:pPr>
              <w:keepNext/>
              <w:spacing w:after="120"/>
              <w:rPr>
                <w:rFonts w:asciiTheme="minorHAnsi" w:hAnsiTheme="minorHAnsi" w:cs="Arial"/>
                <w:sz w:val="22"/>
                <w:szCs w:val="22"/>
              </w:rPr>
            </w:pPr>
            <w:r w:rsidRPr="00A03BAC">
              <w:rPr>
                <w:rFonts w:asciiTheme="minorHAnsi" w:hAnsiTheme="minorHAnsi" w:cs="Arial"/>
                <w:sz w:val="22"/>
                <w:szCs w:val="22"/>
              </w:rPr>
              <w:t>Retrofit Add-On</w:t>
            </w:r>
          </w:p>
        </w:tc>
        <w:tc>
          <w:tcPr>
            <w:tcW w:w="5580" w:type="dxa"/>
            <w:tcBorders>
              <w:top w:val="nil"/>
              <w:left w:val="nil"/>
              <w:bottom w:val="nil"/>
              <w:right w:val="single" w:sz="4" w:space="0" w:color="auto"/>
            </w:tcBorders>
            <w:shd w:val="clear" w:color="auto" w:fill="auto"/>
            <w:vAlign w:val="center"/>
            <w:hideMark/>
          </w:tcPr>
          <w:p w:rsidR="00271117" w:rsidRPr="00A03BAC" w:rsidRDefault="00463E28" w:rsidP="00463E28">
            <w:pPr>
              <w:keepNext/>
              <w:spacing w:after="120"/>
              <w:rPr>
                <w:rFonts w:asciiTheme="minorHAnsi" w:hAnsiTheme="minorHAnsi" w:cs="Arial"/>
                <w:iCs/>
                <w:sz w:val="22"/>
                <w:szCs w:val="22"/>
              </w:rPr>
            </w:pPr>
            <w:r w:rsidRPr="00A03BAC">
              <w:rPr>
                <w:rFonts w:asciiTheme="minorHAnsi" w:hAnsiTheme="minorHAnsi" w:cs="Arial"/>
                <w:iCs/>
                <w:sz w:val="22"/>
                <w:szCs w:val="22"/>
              </w:rPr>
              <w:t>Measures should be claimed as Retrofit Add-On if the measure is a control or other mechanism that is added to an existing operating piece of equipment that allows it to operate at higher system efficiencies (a typical case would be adding a VSD/VFD to an existing motor driven process).</w:t>
            </w:r>
          </w:p>
        </w:tc>
      </w:tr>
      <w:tr w:rsidR="00271117" w:rsidRPr="003D6589" w:rsidTr="00647E8C">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271117" w:rsidRPr="00A03BAC" w:rsidRDefault="00271117" w:rsidP="00463E28">
            <w:pPr>
              <w:spacing w:after="120"/>
              <w:rPr>
                <w:rFonts w:asciiTheme="minorHAnsi" w:hAnsiTheme="minorHAnsi" w:cs="Arial"/>
                <w:sz w:val="22"/>
                <w:szCs w:val="22"/>
              </w:rPr>
            </w:pPr>
            <w:r w:rsidRPr="00A03BAC">
              <w:rPr>
                <w:rFonts w:asciiTheme="minorHAnsi" w:hAnsiTheme="minorHAnsi" w:cs="Arial"/>
                <w:sz w:val="22"/>
                <w:szCs w:val="22"/>
              </w:rPr>
              <w:t>NC</w:t>
            </w:r>
          </w:p>
        </w:tc>
        <w:tc>
          <w:tcPr>
            <w:tcW w:w="2610" w:type="dxa"/>
            <w:tcBorders>
              <w:top w:val="nil"/>
              <w:left w:val="nil"/>
              <w:bottom w:val="single" w:sz="4" w:space="0" w:color="auto"/>
              <w:right w:val="nil"/>
            </w:tcBorders>
            <w:shd w:val="clear" w:color="auto" w:fill="auto"/>
            <w:noWrap/>
            <w:vAlign w:val="center"/>
            <w:hideMark/>
          </w:tcPr>
          <w:p w:rsidR="00271117" w:rsidRPr="00A03BAC" w:rsidRDefault="00271117" w:rsidP="00463E28">
            <w:pPr>
              <w:spacing w:after="120"/>
              <w:rPr>
                <w:rFonts w:asciiTheme="minorHAnsi" w:hAnsiTheme="minorHAnsi" w:cs="Arial"/>
                <w:sz w:val="22"/>
                <w:szCs w:val="22"/>
              </w:rPr>
            </w:pPr>
            <w:r w:rsidRPr="00A03BAC">
              <w:rPr>
                <w:rFonts w:asciiTheme="minorHAnsi" w:hAnsiTheme="minorHAnsi" w:cs="Arial"/>
                <w:sz w:val="22"/>
                <w:szCs w:val="22"/>
              </w:rPr>
              <w:t>New Construction</w:t>
            </w:r>
            <w:r w:rsidR="006D05E1" w:rsidRPr="00A03BAC">
              <w:rPr>
                <w:rFonts w:asciiTheme="minorHAnsi" w:hAnsiTheme="minorHAnsi" w:cs="Arial"/>
                <w:sz w:val="22"/>
                <w:szCs w:val="22"/>
              </w:rPr>
              <w:fldChar w:fldCharType="begin"/>
            </w:r>
            <w:r w:rsidRPr="00A03BAC">
              <w:rPr>
                <w:rFonts w:asciiTheme="minorHAnsi" w:hAnsiTheme="minorHAnsi"/>
                <w:sz w:val="22"/>
                <w:szCs w:val="22"/>
              </w:rPr>
              <w:instrText xml:space="preserve"> XE "</w:instrText>
            </w:r>
            <w:r w:rsidRPr="00A03BAC">
              <w:rPr>
                <w:rFonts w:asciiTheme="minorHAnsi" w:hAnsiTheme="minorHAnsi" w:cs="Arial"/>
                <w:sz w:val="22"/>
                <w:szCs w:val="22"/>
              </w:rPr>
              <w:instrText>New Construction</w:instrText>
            </w:r>
            <w:r w:rsidRPr="00A03BAC">
              <w:rPr>
                <w:rFonts w:asciiTheme="minorHAnsi" w:hAnsiTheme="minorHAnsi"/>
                <w:sz w:val="22"/>
                <w:szCs w:val="22"/>
              </w:rPr>
              <w:instrText xml:space="preserve">" </w:instrText>
            </w:r>
            <w:r w:rsidR="006D05E1" w:rsidRPr="00A03BAC">
              <w:rPr>
                <w:rFonts w:asciiTheme="minorHAnsi" w:hAnsiTheme="minorHAnsi" w:cs="Arial"/>
                <w:sz w:val="22"/>
                <w:szCs w:val="22"/>
              </w:rPr>
              <w:fldChar w:fldCharType="end"/>
            </w:r>
          </w:p>
        </w:tc>
        <w:tc>
          <w:tcPr>
            <w:tcW w:w="5580" w:type="dxa"/>
            <w:tcBorders>
              <w:top w:val="nil"/>
              <w:left w:val="nil"/>
              <w:bottom w:val="single" w:sz="4" w:space="0" w:color="auto"/>
              <w:right w:val="single" w:sz="4" w:space="0" w:color="auto"/>
            </w:tcBorders>
            <w:shd w:val="clear" w:color="auto" w:fill="auto"/>
            <w:vAlign w:val="center"/>
            <w:hideMark/>
          </w:tcPr>
          <w:p w:rsidR="00271117" w:rsidRPr="00A03BAC" w:rsidRDefault="00463E28" w:rsidP="00463E28">
            <w:pPr>
              <w:spacing w:after="120"/>
              <w:rPr>
                <w:rFonts w:asciiTheme="minorHAnsi" w:hAnsiTheme="minorHAnsi" w:cs="Arial"/>
                <w:iCs/>
                <w:sz w:val="22"/>
                <w:szCs w:val="22"/>
              </w:rPr>
            </w:pPr>
            <w:r w:rsidRPr="00A03BAC">
              <w:rPr>
                <w:rFonts w:asciiTheme="minorHAnsi" w:hAnsiTheme="minorHAnsi" w:cs="Arial"/>
                <w:iCs/>
                <w:sz w:val="22"/>
                <w:szCs w:val="22"/>
              </w:rPr>
              <w:t>Measures should be claimed as New Load if the measure results in new customer load (and is eligible for the retrofit program as defined in Section 1.4.3).</w:t>
            </w:r>
          </w:p>
        </w:tc>
      </w:tr>
    </w:tbl>
    <w:p w:rsidR="009E32CE" w:rsidRDefault="009E32CE" w:rsidP="009E32CE">
      <w:pPr>
        <w:rPr>
          <w:rFonts w:ascii="Arial" w:hAnsi="Arial" w:cs="Arial"/>
          <w:sz w:val="22"/>
          <w:szCs w:val="22"/>
        </w:rPr>
      </w:pPr>
    </w:p>
    <w:p w:rsidR="008850E7" w:rsidRDefault="008850E7" w:rsidP="008850E7">
      <w:pPr>
        <w:pStyle w:val="NoSpacing"/>
        <w:jc w:val="center"/>
        <w:rPr>
          <w:b/>
          <w:sz w:val="24"/>
          <w:szCs w:val="24"/>
        </w:rPr>
      </w:pPr>
    </w:p>
    <w:p w:rsidR="00333E6A" w:rsidRPr="008850E7" w:rsidRDefault="008850E7" w:rsidP="008850E7">
      <w:pPr>
        <w:pStyle w:val="NoSpacing"/>
        <w:jc w:val="center"/>
        <w:rPr>
          <w:rFonts w:cstheme="minorHAnsi"/>
          <w:b/>
          <w:i/>
          <w:sz w:val="24"/>
          <w:szCs w:val="24"/>
        </w:rPr>
      </w:pPr>
      <w:r w:rsidRPr="008850E7">
        <w:rPr>
          <w:b/>
          <w:sz w:val="24"/>
          <w:szCs w:val="24"/>
        </w:rPr>
        <w:t xml:space="preserve">Table 2 </w:t>
      </w:r>
      <w:r w:rsidR="00333E6A" w:rsidRPr="008850E7">
        <w:rPr>
          <w:sz w:val="24"/>
          <w:szCs w:val="24"/>
        </w:rPr>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333E6A" w:rsidRPr="00500C4E" w:rsidTr="00284436">
        <w:trPr>
          <w:trHeight w:val="20"/>
        </w:trPr>
        <w:tc>
          <w:tcPr>
            <w:tcW w:w="1778" w:type="pct"/>
            <w:vMerge w:val="restart"/>
            <w:shd w:val="clear" w:color="auto" w:fill="D9D9D9" w:themeFill="background1" w:themeFillShade="D9"/>
          </w:tcPr>
          <w:p w:rsidR="00333E6A" w:rsidRPr="00920905" w:rsidRDefault="00333E6A" w:rsidP="00284436">
            <w:pPr>
              <w:rPr>
                <w:b/>
                <w:sz w:val="18"/>
                <w:szCs w:val="18"/>
              </w:rPr>
            </w:pPr>
            <w:r w:rsidRPr="00920905">
              <w:rPr>
                <w:b/>
                <w:sz w:val="18"/>
                <w:szCs w:val="18"/>
              </w:rPr>
              <w:t>Installation Type</w:t>
            </w:r>
          </w:p>
        </w:tc>
        <w:tc>
          <w:tcPr>
            <w:tcW w:w="2215" w:type="pct"/>
            <w:gridSpan w:val="2"/>
            <w:shd w:val="clear" w:color="auto" w:fill="D9D9D9" w:themeFill="background1" w:themeFillShade="D9"/>
          </w:tcPr>
          <w:p w:rsidR="00333E6A" w:rsidRPr="00920905" w:rsidRDefault="00333E6A" w:rsidP="00284436">
            <w:pPr>
              <w:rPr>
                <w:b/>
                <w:sz w:val="18"/>
                <w:szCs w:val="18"/>
              </w:rPr>
            </w:pPr>
            <w:r w:rsidRPr="00920905">
              <w:rPr>
                <w:b/>
                <w:sz w:val="18"/>
                <w:szCs w:val="18"/>
              </w:rPr>
              <w:t>Savings</w:t>
            </w:r>
          </w:p>
        </w:tc>
        <w:tc>
          <w:tcPr>
            <w:tcW w:w="1007" w:type="pct"/>
            <w:gridSpan w:val="2"/>
            <w:shd w:val="clear" w:color="auto" w:fill="D9D9D9" w:themeFill="background1" w:themeFillShade="D9"/>
          </w:tcPr>
          <w:p w:rsidR="00333E6A" w:rsidRPr="00920905" w:rsidRDefault="00333E6A" w:rsidP="00284436">
            <w:pPr>
              <w:rPr>
                <w:b/>
                <w:sz w:val="18"/>
                <w:szCs w:val="18"/>
              </w:rPr>
            </w:pPr>
            <w:r w:rsidRPr="00920905">
              <w:rPr>
                <w:b/>
                <w:sz w:val="18"/>
                <w:szCs w:val="18"/>
              </w:rPr>
              <w:t>Life</w:t>
            </w:r>
          </w:p>
        </w:tc>
      </w:tr>
      <w:tr w:rsidR="00333E6A" w:rsidRPr="00500C4E" w:rsidTr="00284436">
        <w:trPr>
          <w:trHeight w:val="20"/>
        </w:trPr>
        <w:tc>
          <w:tcPr>
            <w:tcW w:w="1778" w:type="pct"/>
            <w:vMerge/>
            <w:shd w:val="clear" w:color="auto" w:fill="D9D9D9" w:themeFill="background1" w:themeFillShade="D9"/>
          </w:tcPr>
          <w:p w:rsidR="00333E6A" w:rsidRPr="00500C4E" w:rsidRDefault="00333E6A" w:rsidP="00284436">
            <w:pPr>
              <w:rPr>
                <w:sz w:val="18"/>
                <w:szCs w:val="18"/>
              </w:rPr>
            </w:pPr>
          </w:p>
        </w:tc>
        <w:tc>
          <w:tcPr>
            <w:tcW w:w="1107" w:type="pct"/>
            <w:shd w:val="clear" w:color="auto" w:fill="F2F2F2" w:themeFill="background1" w:themeFillShade="F2"/>
          </w:tcPr>
          <w:p w:rsidR="00333E6A" w:rsidRPr="00920905" w:rsidRDefault="00333E6A" w:rsidP="00284436">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rsidR="00333E6A" w:rsidRPr="00920905" w:rsidRDefault="00333E6A" w:rsidP="00284436">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rsidR="00333E6A" w:rsidRPr="00920905" w:rsidRDefault="00333E6A" w:rsidP="00284436">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rsidR="00333E6A" w:rsidRPr="00920905" w:rsidRDefault="00333E6A" w:rsidP="00284436">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333E6A" w:rsidRPr="00500C4E" w:rsidTr="00425C29">
        <w:trPr>
          <w:trHeight w:val="20"/>
        </w:trPr>
        <w:tc>
          <w:tcPr>
            <w:tcW w:w="1778" w:type="pct"/>
            <w:tcBorders>
              <w:bottom w:val="single" w:sz="4" w:space="0" w:color="auto"/>
            </w:tcBorders>
          </w:tcPr>
          <w:p w:rsidR="00333E6A" w:rsidRPr="00500C4E" w:rsidRDefault="00333E6A" w:rsidP="00284436">
            <w:pPr>
              <w:rPr>
                <w:sz w:val="18"/>
                <w:szCs w:val="18"/>
              </w:rPr>
            </w:pPr>
            <w:r w:rsidRPr="00500C4E">
              <w:rPr>
                <w:sz w:val="18"/>
                <w:szCs w:val="18"/>
              </w:rPr>
              <w:t>Replace on Burnout (ROB)</w:t>
            </w:r>
          </w:p>
        </w:tc>
        <w:tc>
          <w:tcPr>
            <w:tcW w:w="1107" w:type="pct"/>
            <w:tcBorders>
              <w:bottom w:val="single" w:sz="4" w:space="0" w:color="auto"/>
            </w:tcBorders>
          </w:tcPr>
          <w:p w:rsidR="00333E6A" w:rsidRPr="00500C4E" w:rsidRDefault="00333E6A" w:rsidP="00284436">
            <w:pPr>
              <w:rPr>
                <w:sz w:val="18"/>
                <w:szCs w:val="18"/>
              </w:rPr>
            </w:pPr>
            <w:r w:rsidRPr="00500C4E">
              <w:rPr>
                <w:sz w:val="18"/>
                <w:szCs w:val="18"/>
              </w:rPr>
              <w:t>Above Code or Standard</w:t>
            </w:r>
          </w:p>
        </w:tc>
        <w:tc>
          <w:tcPr>
            <w:tcW w:w="1108" w:type="pct"/>
            <w:tcBorders>
              <w:bottom w:val="single" w:sz="4" w:space="0" w:color="auto"/>
            </w:tcBorders>
          </w:tcPr>
          <w:p w:rsidR="00333E6A" w:rsidRPr="00500C4E" w:rsidRDefault="00333E6A" w:rsidP="00284436">
            <w:pPr>
              <w:rPr>
                <w:sz w:val="18"/>
                <w:szCs w:val="18"/>
              </w:rPr>
            </w:pPr>
            <w:r w:rsidRPr="00500C4E">
              <w:rPr>
                <w:sz w:val="18"/>
                <w:szCs w:val="18"/>
              </w:rPr>
              <w:t>N/A</w:t>
            </w:r>
          </w:p>
        </w:tc>
        <w:tc>
          <w:tcPr>
            <w:tcW w:w="481" w:type="pct"/>
            <w:tcBorders>
              <w:bottom w:val="single" w:sz="4" w:space="0" w:color="auto"/>
            </w:tcBorders>
          </w:tcPr>
          <w:p w:rsidR="00333E6A" w:rsidRPr="00500C4E" w:rsidRDefault="00333E6A" w:rsidP="00284436">
            <w:pPr>
              <w:rPr>
                <w:sz w:val="18"/>
                <w:szCs w:val="18"/>
              </w:rPr>
            </w:pPr>
            <w:r w:rsidRPr="00500C4E">
              <w:rPr>
                <w:sz w:val="18"/>
                <w:szCs w:val="18"/>
              </w:rPr>
              <w:t>EUL</w:t>
            </w:r>
          </w:p>
        </w:tc>
        <w:tc>
          <w:tcPr>
            <w:tcW w:w="526" w:type="pct"/>
            <w:tcBorders>
              <w:bottom w:val="single" w:sz="4" w:space="0" w:color="auto"/>
            </w:tcBorders>
          </w:tcPr>
          <w:p w:rsidR="00333E6A" w:rsidRPr="00500C4E" w:rsidRDefault="00333E6A" w:rsidP="00284436">
            <w:pPr>
              <w:rPr>
                <w:sz w:val="18"/>
                <w:szCs w:val="18"/>
              </w:rPr>
            </w:pPr>
            <w:r w:rsidRPr="00500C4E">
              <w:rPr>
                <w:sz w:val="18"/>
                <w:szCs w:val="18"/>
              </w:rPr>
              <w:t>N/A</w:t>
            </w:r>
          </w:p>
        </w:tc>
      </w:tr>
      <w:tr w:rsidR="00333E6A" w:rsidRPr="00500C4E" w:rsidTr="00425C29">
        <w:trPr>
          <w:trHeight w:val="20"/>
        </w:trPr>
        <w:tc>
          <w:tcPr>
            <w:tcW w:w="1778" w:type="pct"/>
            <w:shd w:val="clear" w:color="auto" w:fill="F2F2F2" w:themeFill="background1" w:themeFillShade="F2"/>
          </w:tcPr>
          <w:p w:rsidR="00333E6A" w:rsidRPr="00500C4E" w:rsidRDefault="00333E6A" w:rsidP="00284436">
            <w:pPr>
              <w:rPr>
                <w:sz w:val="18"/>
                <w:szCs w:val="18"/>
              </w:rPr>
            </w:pPr>
            <w:r w:rsidRPr="00500C4E">
              <w:rPr>
                <w:sz w:val="18"/>
                <w:szCs w:val="18"/>
              </w:rPr>
              <w:t>New Construction (NEW</w:t>
            </w:r>
            <w:r>
              <w:rPr>
                <w:sz w:val="18"/>
                <w:szCs w:val="18"/>
              </w:rPr>
              <w:t>/NC</w:t>
            </w:r>
            <w:r w:rsidRPr="00500C4E">
              <w:rPr>
                <w:sz w:val="18"/>
                <w:szCs w:val="18"/>
              </w:rPr>
              <w:t>)</w:t>
            </w:r>
          </w:p>
        </w:tc>
        <w:tc>
          <w:tcPr>
            <w:tcW w:w="1107" w:type="pct"/>
            <w:shd w:val="clear" w:color="auto" w:fill="F2F2F2" w:themeFill="background1" w:themeFillShade="F2"/>
          </w:tcPr>
          <w:p w:rsidR="00333E6A" w:rsidRPr="00500C4E" w:rsidRDefault="00333E6A" w:rsidP="00284436">
            <w:pPr>
              <w:rPr>
                <w:sz w:val="18"/>
                <w:szCs w:val="18"/>
              </w:rPr>
            </w:pPr>
            <w:r w:rsidRPr="00500C4E">
              <w:rPr>
                <w:sz w:val="18"/>
                <w:szCs w:val="18"/>
              </w:rPr>
              <w:t>Above Code or Standard</w:t>
            </w:r>
          </w:p>
        </w:tc>
        <w:tc>
          <w:tcPr>
            <w:tcW w:w="1108" w:type="pct"/>
            <w:shd w:val="clear" w:color="auto" w:fill="F2F2F2" w:themeFill="background1" w:themeFillShade="F2"/>
          </w:tcPr>
          <w:p w:rsidR="00333E6A" w:rsidRPr="00500C4E" w:rsidRDefault="00333E6A" w:rsidP="00284436">
            <w:pPr>
              <w:rPr>
                <w:sz w:val="18"/>
                <w:szCs w:val="18"/>
              </w:rPr>
            </w:pPr>
            <w:r w:rsidRPr="00500C4E">
              <w:rPr>
                <w:sz w:val="18"/>
                <w:szCs w:val="18"/>
              </w:rPr>
              <w:t>N/A</w:t>
            </w:r>
          </w:p>
        </w:tc>
        <w:tc>
          <w:tcPr>
            <w:tcW w:w="481" w:type="pct"/>
            <w:shd w:val="clear" w:color="auto" w:fill="F2F2F2" w:themeFill="background1" w:themeFillShade="F2"/>
          </w:tcPr>
          <w:p w:rsidR="00333E6A" w:rsidRPr="00500C4E" w:rsidRDefault="00333E6A" w:rsidP="00284436">
            <w:pPr>
              <w:rPr>
                <w:sz w:val="18"/>
                <w:szCs w:val="18"/>
              </w:rPr>
            </w:pPr>
            <w:r w:rsidRPr="00500C4E">
              <w:rPr>
                <w:sz w:val="18"/>
                <w:szCs w:val="18"/>
              </w:rPr>
              <w:t>EUL</w:t>
            </w:r>
          </w:p>
        </w:tc>
        <w:tc>
          <w:tcPr>
            <w:tcW w:w="526" w:type="pct"/>
            <w:shd w:val="clear" w:color="auto" w:fill="F2F2F2" w:themeFill="background1" w:themeFillShade="F2"/>
          </w:tcPr>
          <w:p w:rsidR="00333E6A" w:rsidRPr="00500C4E" w:rsidRDefault="00333E6A" w:rsidP="00284436">
            <w:pPr>
              <w:rPr>
                <w:sz w:val="18"/>
                <w:szCs w:val="18"/>
              </w:rPr>
            </w:pPr>
            <w:r w:rsidRPr="00500C4E">
              <w:rPr>
                <w:sz w:val="18"/>
                <w:szCs w:val="18"/>
              </w:rPr>
              <w:t>N/A</w:t>
            </w:r>
          </w:p>
        </w:tc>
      </w:tr>
      <w:tr w:rsidR="00333E6A" w:rsidRPr="00500C4E" w:rsidTr="00425C29">
        <w:trPr>
          <w:trHeight w:val="20"/>
        </w:trPr>
        <w:tc>
          <w:tcPr>
            <w:tcW w:w="1778" w:type="pct"/>
            <w:tcBorders>
              <w:bottom w:val="single" w:sz="4" w:space="0" w:color="auto"/>
            </w:tcBorders>
          </w:tcPr>
          <w:p w:rsidR="00333E6A" w:rsidRPr="00500C4E" w:rsidRDefault="00333E6A" w:rsidP="00284436">
            <w:pPr>
              <w:rPr>
                <w:sz w:val="18"/>
                <w:szCs w:val="18"/>
              </w:rPr>
            </w:pPr>
            <w:r w:rsidRPr="00500C4E">
              <w:rPr>
                <w:sz w:val="18"/>
                <w:szCs w:val="18"/>
              </w:rPr>
              <w:t>Retrofit</w:t>
            </w:r>
            <w:r>
              <w:rPr>
                <w:sz w:val="18"/>
                <w:szCs w:val="18"/>
              </w:rPr>
              <w:t xml:space="preserve"> or</w:t>
            </w:r>
            <w:r w:rsidRPr="00500C4E">
              <w:rPr>
                <w:sz w:val="18"/>
                <w:szCs w:val="18"/>
              </w:rPr>
              <w:t xml:space="preserve"> Early Replacement (</w:t>
            </w:r>
            <w:r>
              <w:rPr>
                <w:sz w:val="18"/>
                <w:szCs w:val="18"/>
              </w:rPr>
              <w:t>RET/</w:t>
            </w:r>
            <w:r w:rsidRPr="00500C4E">
              <w:rPr>
                <w:sz w:val="18"/>
                <w:szCs w:val="18"/>
              </w:rPr>
              <w:t>ER)</w:t>
            </w:r>
          </w:p>
        </w:tc>
        <w:tc>
          <w:tcPr>
            <w:tcW w:w="1107" w:type="pct"/>
            <w:tcBorders>
              <w:bottom w:val="single" w:sz="4" w:space="0" w:color="auto"/>
            </w:tcBorders>
          </w:tcPr>
          <w:p w:rsidR="00333E6A" w:rsidRPr="00500C4E" w:rsidRDefault="00333E6A" w:rsidP="00284436">
            <w:pPr>
              <w:rPr>
                <w:sz w:val="18"/>
                <w:szCs w:val="18"/>
              </w:rPr>
            </w:pPr>
            <w:r w:rsidRPr="00500C4E">
              <w:rPr>
                <w:sz w:val="18"/>
                <w:szCs w:val="18"/>
              </w:rPr>
              <w:t>Above Customer Existing</w:t>
            </w:r>
          </w:p>
        </w:tc>
        <w:tc>
          <w:tcPr>
            <w:tcW w:w="1108" w:type="pct"/>
            <w:tcBorders>
              <w:bottom w:val="single" w:sz="4" w:space="0" w:color="auto"/>
            </w:tcBorders>
          </w:tcPr>
          <w:p w:rsidR="00333E6A" w:rsidRPr="00500C4E" w:rsidRDefault="00333E6A" w:rsidP="00284436">
            <w:pPr>
              <w:rPr>
                <w:sz w:val="18"/>
                <w:szCs w:val="18"/>
              </w:rPr>
            </w:pPr>
            <w:r w:rsidRPr="00500C4E">
              <w:rPr>
                <w:sz w:val="18"/>
                <w:szCs w:val="18"/>
              </w:rPr>
              <w:t>Above Code or Standard</w:t>
            </w:r>
          </w:p>
        </w:tc>
        <w:tc>
          <w:tcPr>
            <w:tcW w:w="481" w:type="pct"/>
            <w:tcBorders>
              <w:bottom w:val="single" w:sz="4" w:space="0" w:color="auto"/>
            </w:tcBorders>
          </w:tcPr>
          <w:p w:rsidR="00333E6A" w:rsidRPr="00500C4E" w:rsidRDefault="00333E6A" w:rsidP="00284436">
            <w:pPr>
              <w:rPr>
                <w:sz w:val="18"/>
                <w:szCs w:val="18"/>
              </w:rPr>
            </w:pPr>
            <w:r w:rsidRPr="00500C4E">
              <w:rPr>
                <w:sz w:val="18"/>
                <w:szCs w:val="18"/>
              </w:rPr>
              <w:t>RUL</w:t>
            </w:r>
          </w:p>
        </w:tc>
        <w:tc>
          <w:tcPr>
            <w:tcW w:w="526" w:type="pct"/>
            <w:tcBorders>
              <w:bottom w:val="single" w:sz="4" w:space="0" w:color="auto"/>
            </w:tcBorders>
          </w:tcPr>
          <w:p w:rsidR="00333E6A" w:rsidRPr="00500C4E" w:rsidRDefault="00333E6A" w:rsidP="00284436">
            <w:pPr>
              <w:rPr>
                <w:sz w:val="18"/>
                <w:szCs w:val="18"/>
              </w:rPr>
            </w:pPr>
            <w:r w:rsidRPr="00500C4E">
              <w:rPr>
                <w:sz w:val="18"/>
                <w:szCs w:val="18"/>
              </w:rPr>
              <w:t>EUL-RUL</w:t>
            </w:r>
          </w:p>
        </w:tc>
      </w:tr>
      <w:tr w:rsidR="00333E6A" w:rsidRPr="00500C4E" w:rsidTr="00425C29">
        <w:trPr>
          <w:trHeight w:val="20"/>
        </w:trPr>
        <w:tc>
          <w:tcPr>
            <w:tcW w:w="1778" w:type="pct"/>
            <w:shd w:val="clear" w:color="auto" w:fill="F2F2F2" w:themeFill="background1" w:themeFillShade="F2"/>
          </w:tcPr>
          <w:p w:rsidR="00333E6A" w:rsidRPr="00500C4E" w:rsidRDefault="00333E6A" w:rsidP="00284436">
            <w:pPr>
              <w:rPr>
                <w:sz w:val="18"/>
                <w:szCs w:val="18"/>
              </w:rPr>
            </w:pPr>
            <w:r w:rsidRPr="00500C4E">
              <w:rPr>
                <w:sz w:val="18"/>
                <w:szCs w:val="18"/>
              </w:rPr>
              <w:t>Retrofit First Baseline Only (REF)</w:t>
            </w:r>
          </w:p>
        </w:tc>
        <w:tc>
          <w:tcPr>
            <w:tcW w:w="1107" w:type="pct"/>
            <w:shd w:val="clear" w:color="auto" w:fill="F2F2F2" w:themeFill="background1" w:themeFillShade="F2"/>
          </w:tcPr>
          <w:p w:rsidR="00333E6A" w:rsidRPr="00500C4E" w:rsidRDefault="00333E6A" w:rsidP="00284436">
            <w:r w:rsidRPr="00500C4E">
              <w:rPr>
                <w:sz w:val="18"/>
                <w:szCs w:val="18"/>
              </w:rPr>
              <w:t>Above Customer Existing</w:t>
            </w:r>
          </w:p>
        </w:tc>
        <w:tc>
          <w:tcPr>
            <w:tcW w:w="1108" w:type="pct"/>
            <w:shd w:val="clear" w:color="auto" w:fill="F2F2F2" w:themeFill="background1" w:themeFillShade="F2"/>
          </w:tcPr>
          <w:p w:rsidR="00333E6A" w:rsidRPr="00500C4E" w:rsidRDefault="00333E6A" w:rsidP="00284436">
            <w:pPr>
              <w:rPr>
                <w:sz w:val="18"/>
                <w:szCs w:val="18"/>
              </w:rPr>
            </w:pPr>
            <w:r w:rsidRPr="00500C4E">
              <w:rPr>
                <w:sz w:val="18"/>
                <w:szCs w:val="18"/>
              </w:rPr>
              <w:t>N/A</w:t>
            </w:r>
          </w:p>
        </w:tc>
        <w:tc>
          <w:tcPr>
            <w:tcW w:w="481" w:type="pct"/>
            <w:shd w:val="clear" w:color="auto" w:fill="F2F2F2" w:themeFill="background1" w:themeFillShade="F2"/>
          </w:tcPr>
          <w:p w:rsidR="00333E6A" w:rsidRPr="00500C4E" w:rsidRDefault="00333E6A" w:rsidP="00284436">
            <w:pPr>
              <w:rPr>
                <w:sz w:val="18"/>
                <w:szCs w:val="18"/>
              </w:rPr>
            </w:pPr>
            <w:r w:rsidRPr="00500C4E">
              <w:rPr>
                <w:sz w:val="18"/>
                <w:szCs w:val="18"/>
              </w:rPr>
              <w:t>EUL</w:t>
            </w:r>
          </w:p>
        </w:tc>
        <w:tc>
          <w:tcPr>
            <w:tcW w:w="526" w:type="pct"/>
            <w:shd w:val="clear" w:color="auto" w:fill="F2F2F2" w:themeFill="background1" w:themeFillShade="F2"/>
          </w:tcPr>
          <w:p w:rsidR="00333E6A" w:rsidRPr="00500C4E" w:rsidRDefault="00333E6A" w:rsidP="00284436">
            <w:pPr>
              <w:rPr>
                <w:sz w:val="18"/>
                <w:szCs w:val="18"/>
              </w:rPr>
            </w:pPr>
            <w:r w:rsidRPr="00500C4E">
              <w:rPr>
                <w:sz w:val="18"/>
                <w:szCs w:val="18"/>
              </w:rPr>
              <w:t>N/A</w:t>
            </w:r>
          </w:p>
        </w:tc>
      </w:tr>
      <w:tr w:rsidR="00333E6A" w:rsidRPr="00500C4E" w:rsidTr="00284436">
        <w:trPr>
          <w:trHeight w:val="20"/>
        </w:trPr>
        <w:tc>
          <w:tcPr>
            <w:tcW w:w="1778" w:type="pct"/>
          </w:tcPr>
          <w:p w:rsidR="00333E6A" w:rsidRPr="00500C4E" w:rsidRDefault="00333E6A" w:rsidP="00284436">
            <w:pPr>
              <w:rPr>
                <w:sz w:val="18"/>
                <w:szCs w:val="18"/>
              </w:rPr>
            </w:pPr>
            <w:r w:rsidRPr="00500C4E">
              <w:rPr>
                <w:sz w:val="18"/>
                <w:szCs w:val="18"/>
              </w:rPr>
              <w:t>Retrofit Add-on (REA)</w:t>
            </w:r>
          </w:p>
        </w:tc>
        <w:tc>
          <w:tcPr>
            <w:tcW w:w="1107" w:type="pct"/>
          </w:tcPr>
          <w:p w:rsidR="00333E6A" w:rsidRPr="00500C4E" w:rsidRDefault="00333E6A" w:rsidP="00284436">
            <w:r w:rsidRPr="00500C4E">
              <w:rPr>
                <w:sz w:val="18"/>
                <w:szCs w:val="18"/>
              </w:rPr>
              <w:t>Above Customer Existing</w:t>
            </w:r>
          </w:p>
        </w:tc>
        <w:tc>
          <w:tcPr>
            <w:tcW w:w="1108" w:type="pct"/>
          </w:tcPr>
          <w:p w:rsidR="00333E6A" w:rsidRPr="00500C4E" w:rsidRDefault="00333E6A" w:rsidP="00284436">
            <w:pPr>
              <w:rPr>
                <w:sz w:val="18"/>
                <w:szCs w:val="18"/>
              </w:rPr>
            </w:pPr>
            <w:r w:rsidRPr="00500C4E">
              <w:rPr>
                <w:sz w:val="18"/>
                <w:szCs w:val="18"/>
              </w:rPr>
              <w:t>N/A</w:t>
            </w:r>
          </w:p>
        </w:tc>
        <w:tc>
          <w:tcPr>
            <w:tcW w:w="481" w:type="pct"/>
          </w:tcPr>
          <w:p w:rsidR="00333E6A" w:rsidRPr="00500C4E" w:rsidRDefault="00333E6A" w:rsidP="00284436">
            <w:pPr>
              <w:rPr>
                <w:sz w:val="18"/>
                <w:szCs w:val="18"/>
              </w:rPr>
            </w:pPr>
            <w:r w:rsidRPr="00500C4E">
              <w:rPr>
                <w:sz w:val="18"/>
                <w:szCs w:val="18"/>
              </w:rPr>
              <w:t>EUL</w:t>
            </w:r>
          </w:p>
        </w:tc>
        <w:tc>
          <w:tcPr>
            <w:tcW w:w="526" w:type="pct"/>
          </w:tcPr>
          <w:p w:rsidR="00333E6A" w:rsidRPr="00500C4E" w:rsidRDefault="00333E6A" w:rsidP="00284436">
            <w:pPr>
              <w:rPr>
                <w:sz w:val="18"/>
                <w:szCs w:val="18"/>
              </w:rPr>
            </w:pPr>
            <w:r w:rsidRPr="00500C4E">
              <w:rPr>
                <w:sz w:val="18"/>
                <w:szCs w:val="18"/>
              </w:rPr>
              <w:t>N/A</w:t>
            </w:r>
          </w:p>
        </w:tc>
      </w:tr>
    </w:tbl>
    <w:p w:rsidR="00333E6A" w:rsidRDefault="00333E6A" w:rsidP="00B9412D">
      <w:pPr>
        <w:rPr>
          <w:rFonts w:asciiTheme="minorHAnsi" w:hAnsiTheme="minorHAnsi" w:cs="Arial"/>
          <w:sz w:val="22"/>
          <w:szCs w:val="22"/>
        </w:rPr>
      </w:pPr>
    </w:p>
    <w:p w:rsidR="00B9412D" w:rsidRDefault="00B9412D" w:rsidP="00B9412D">
      <w:pPr>
        <w:rPr>
          <w:rFonts w:asciiTheme="minorHAnsi" w:hAnsiTheme="minorHAnsi" w:cs="Arial"/>
          <w:sz w:val="22"/>
          <w:szCs w:val="22"/>
        </w:rPr>
      </w:pPr>
      <w:r w:rsidRPr="00A03BAC">
        <w:rPr>
          <w:rFonts w:asciiTheme="minorHAnsi" w:hAnsiTheme="minorHAnsi" w:cs="Arial"/>
          <w:sz w:val="22"/>
          <w:szCs w:val="22"/>
        </w:rPr>
        <w:t xml:space="preserve">The PCT </w:t>
      </w:r>
      <w:r w:rsidR="00333E6A">
        <w:rPr>
          <w:rFonts w:asciiTheme="minorHAnsi" w:hAnsiTheme="minorHAnsi" w:cs="Arial"/>
          <w:sz w:val="22"/>
          <w:szCs w:val="22"/>
        </w:rPr>
        <w:t xml:space="preserve">wp </w:t>
      </w:r>
      <w:r w:rsidRPr="00A03BAC">
        <w:rPr>
          <w:rFonts w:asciiTheme="minorHAnsi" w:hAnsiTheme="minorHAnsi" w:cs="Arial"/>
          <w:sz w:val="22"/>
          <w:szCs w:val="22"/>
        </w:rPr>
        <w:t xml:space="preserve">measure </w:t>
      </w:r>
      <w:r w:rsidR="00333E6A">
        <w:rPr>
          <w:rFonts w:asciiTheme="minorHAnsi" w:hAnsiTheme="minorHAnsi" w:cs="Arial"/>
          <w:sz w:val="22"/>
          <w:szCs w:val="22"/>
        </w:rPr>
        <w:t>assumes</w:t>
      </w:r>
      <w:r w:rsidRPr="00A03BAC">
        <w:rPr>
          <w:rFonts w:asciiTheme="minorHAnsi" w:hAnsiTheme="minorHAnsi" w:cs="Arial"/>
          <w:sz w:val="22"/>
          <w:szCs w:val="22"/>
        </w:rPr>
        <w:t xml:space="preserve"> a </w:t>
      </w:r>
      <w:r w:rsidR="00CE5033" w:rsidRPr="00A03BAC">
        <w:rPr>
          <w:rFonts w:asciiTheme="minorHAnsi" w:hAnsiTheme="minorHAnsi" w:cs="Arial"/>
          <w:sz w:val="22"/>
          <w:szCs w:val="22"/>
        </w:rPr>
        <w:t>Retrofit Add-On</w:t>
      </w:r>
      <w:r w:rsidR="006D05E1" w:rsidRPr="00A03BAC">
        <w:rPr>
          <w:rFonts w:asciiTheme="minorHAnsi" w:hAnsiTheme="minorHAnsi" w:cs="Arial"/>
          <w:sz w:val="22"/>
          <w:szCs w:val="22"/>
        </w:rPr>
        <w:fldChar w:fldCharType="begin"/>
      </w:r>
      <w:r w:rsidRPr="00A03BAC">
        <w:rPr>
          <w:rFonts w:asciiTheme="minorHAnsi" w:hAnsiTheme="minorHAnsi"/>
          <w:sz w:val="22"/>
          <w:szCs w:val="22"/>
        </w:rPr>
        <w:instrText xml:space="preserve"> XE "</w:instrText>
      </w:r>
      <w:r w:rsidRPr="00A03BAC">
        <w:rPr>
          <w:rFonts w:asciiTheme="minorHAnsi" w:hAnsiTheme="minorHAnsi" w:cs="Arial"/>
          <w:sz w:val="22"/>
          <w:szCs w:val="22"/>
        </w:rPr>
        <w:instrText>Replace on Burnout</w:instrText>
      </w:r>
      <w:r w:rsidRPr="00A03BAC">
        <w:rPr>
          <w:rFonts w:asciiTheme="minorHAnsi" w:hAnsiTheme="minorHAnsi"/>
          <w:sz w:val="22"/>
          <w:szCs w:val="22"/>
        </w:rPr>
        <w:instrText xml:space="preserve">" </w:instrText>
      </w:r>
      <w:r w:rsidR="006D05E1" w:rsidRPr="00A03BAC">
        <w:rPr>
          <w:rFonts w:asciiTheme="minorHAnsi" w:hAnsiTheme="minorHAnsi" w:cs="Arial"/>
          <w:sz w:val="22"/>
          <w:szCs w:val="22"/>
        </w:rPr>
        <w:fldChar w:fldCharType="end"/>
      </w:r>
      <w:r w:rsidRPr="00A03BAC">
        <w:rPr>
          <w:rFonts w:asciiTheme="minorHAnsi" w:hAnsiTheme="minorHAnsi" w:cs="Arial"/>
          <w:sz w:val="22"/>
          <w:szCs w:val="22"/>
        </w:rPr>
        <w:t xml:space="preserve"> (R</w:t>
      </w:r>
      <w:r w:rsidR="00CE5033" w:rsidRPr="00A03BAC">
        <w:rPr>
          <w:rFonts w:asciiTheme="minorHAnsi" w:hAnsiTheme="minorHAnsi" w:cs="Arial"/>
          <w:sz w:val="22"/>
          <w:szCs w:val="22"/>
        </w:rPr>
        <w:t>EA</w:t>
      </w:r>
      <w:r w:rsidRPr="00A03BAC">
        <w:rPr>
          <w:rFonts w:asciiTheme="minorHAnsi" w:hAnsiTheme="minorHAnsi" w:cs="Arial"/>
          <w:sz w:val="22"/>
          <w:szCs w:val="22"/>
        </w:rPr>
        <w:t xml:space="preserve">) measure since the </w:t>
      </w:r>
      <w:r w:rsidR="00CE5033" w:rsidRPr="00A03BAC">
        <w:rPr>
          <w:rFonts w:asciiTheme="minorHAnsi" w:hAnsiTheme="minorHAnsi" w:cs="Arial"/>
          <w:sz w:val="22"/>
          <w:szCs w:val="22"/>
        </w:rPr>
        <w:t>thermostats will be added to the existing HVAC system to allow for additional control capabilities.</w:t>
      </w:r>
    </w:p>
    <w:p w:rsidR="00A03BAC" w:rsidRDefault="00A03BAC" w:rsidP="00B9412D">
      <w:pPr>
        <w:rPr>
          <w:rFonts w:asciiTheme="minorHAnsi" w:hAnsiTheme="minorHAnsi" w:cs="Arial"/>
          <w:sz w:val="22"/>
          <w:szCs w:val="22"/>
        </w:rPr>
      </w:pPr>
    </w:p>
    <w:p w:rsidR="00333E6A" w:rsidRPr="00333E6A" w:rsidRDefault="00333E6A" w:rsidP="00333E6A">
      <w:pPr>
        <w:pStyle w:val="Heading2"/>
        <w:rPr>
          <w:rFonts w:asciiTheme="minorHAnsi" w:hAnsiTheme="minorHAnsi" w:cstheme="minorHAnsi"/>
          <w:i w:val="0"/>
        </w:rPr>
      </w:pPr>
      <w:bookmarkStart w:id="25" w:name="_Toc214003084"/>
      <w:bookmarkStart w:id="26" w:name="_Toc404765874"/>
      <w:r w:rsidRPr="00333E6A">
        <w:rPr>
          <w:rFonts w:asciiTheme="minorHAnsi" w:hAnsiTheme="minorHAnsi" w:cstheme="minorHAnsi"/>
          <w:i w:val="0"/>
        </w:rPr>
        <w:t xml:space="preserve">1.4 Measure </w:t>
      </w:r>
      <w:bookmarkEnd w:id="25"/>
      <w:r w:rsidRPr="00333E6A">
        <w:rPr>
          <w:rFonts w:asciiTheme="minorHAnsi" w:hAnsiTheme="minorHAnsi" w:cstheme="minorHAnsi"/>
          <w:i w:val="0"/>
        </w:rPr>
        <w:t>Parameters</w:t>
      </w:r>
    </w:p>
    <w:p w:rsidR="00333E6A" w:rsidRDefault="00333E6A" w:rsidP="00333E6A">
      <w:pPr>
        <w:pStyle w:val="Heading3"/>
        <w:rPr>
          <w:rFonts w:asciiTheme="minorHAnsi" w:hAnsiTheme="minorHAnsi"/>
        </w:rPr>
      </w:pPr>
      <w:r w:rsidRPr="00333E6A">
        <w:rPr>
          <w:rFonts w:asciiTheme="minorHAnsi" w:hAnsiTheme="minorHAnsi"/>
        </w:rPr>
        <w:t>1.4.1 DEER Data</w:t>
      </w:r>
    </w:p>
    <w:p w:rsidR="00333E6A" w:rsidRPr="008850E7" w:rsidRDefault="008850E7" w:rsidP="00333E6A">
      <w:pPr>
        <w:pStyle w:val="Caption"/>
        <w:jc w:val="center"/>
        <w:rPr>
          <w:rFonts w:asciiTheme="minorHAnsi" w:hAnsiTheme="minorHAnsi" w:cs="Arial"/>
          <w:sz w:val="24"/>
          <w:szCs w:val="24"/>
        </w:rPr>
      </w:pPr>
      <w:bookmarkStart w:id="27" w:name="_Toc385592671"/>
      <w:r w:rsidRPr="008850E7">
        <w:rPr>
          <w:rFonts w:asciiTheme="minorHAnsi" w:hAnsiTheme="minorHAnsi"/>
          <w:sz w:val="24"/>
          <w:szCs w:val="24"/>
        </w:rPr>
        <w:t>Table 3</w:t>
      </w:r>
      <w:r w:rsidR="00333E6A" w:rsidRPr="008850E7">
        <w:rPr>
          <w:rFonts w:asciiTheme="minorHAnsi" w:hAnsiTheme="minorHAnsi"/>
          <w:sz w:val="24"/>
          <w:szCs w:val="24"/>
        </w:rPr>
        <w:t xml:space="preserve"> </w:t>
      </w:r>
      <w:r w:rsidR="00333E6A" w:rsidRPr="008850E7">
        <w:rPr>
          <w:rFonts w:asciiTheme="minorHAnsi" w:hAnsiTheme="minorHAnsi" w:cs="Arial"/>
          <w:b w:val="0"/>
          <w:sz w:val="24"/>
          <w:szCs w:val="24"/>
        </w:rPr>
        <w:t>DEER Difference Summary</w:t>
      </w:r>
      <w:bookmarkEnd w:id="27"/>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333E6A" w:rsidRPr="00500C4E" w:rsidTr="00284436">
        <w:trPr>
          <w:trHeight w:val="20"/>
        </w:trPr>
        <w:tc>
          <w:tcPr>
            <w:tcW w:w="1548" w:type="pct"/>
            <w:shd w:val="clear" w:color="auto" w:fill="D9D9D9" w:themeFill="background1" w:themeFillShade="D9"/>
          </w:tcPr>
          <w:p w:rsidR="00333E6A" w:rsidRPr="00DB3794" w:rsidRDefault="00333E6A" w:rsidP="00284436">
            <w:pPr>
              <w:tabs>
                <w:tab w:val="right" w:pos="2957"/>
              </w:tabs>
              <w:rPr>
                <w:rFonts w:cs="Arial"/>
                <w:b/>
                <w:sz w:val="22"/>
                <w:szCs w:val="22"/>
              </w:rPr>
            </w:pPr>
            <w:r w:rsidRPr="00DB3794">
              <w:rPr>
                <w:rFonts w:cs="Arial"/>
                <w:b/>
                <w:sz w:val="22"/>
                <w:szCs w:val="22"/>
              </w:rPr>
              <w:t>DEER Item</w:t>
            </w:r>
          </w:p>
        </w:tc>
        <w:tc>
          <w:tcPr>
            <w:tcW w:w="3452" w:type="pct"/>
            <w:shd w:val="clear" w:color="auto" w:fill="D9D9D9" w:themeFill="background1" w:themeFillShade="D9"/>
          </w:tcPr>
          <w:p w:rsidR="00333E6A" w:rsidRPr="00DB3794" w:rsidRDefault="00333E6A" w:rsidP="00284436">
            <w:pPr>
              <w:rPr>
                <w:rFonts w:cs="Arial"/>
                <w:b/>
                <w:sz w:val="22"/>
                <w:szCs w:val="22"/>
              </w:rPr>
            </w:pPr>
            <w:r w:rsidRPr="00DB3794">
              <w:rPr>
                <w:rFonts w:cs="Arial"/>
                <w:b/>
                <w:sz w:val="22"/>
                <w:szCs w:val="22"/>
              </w:rPr>
              <w:t>Used for Workpaper?</w:t>
            </w:r>
          </w:p>
        </w:tc>
      </w:tr>
      <w:tr w:rsidR="00333E6A" w:rsidRPr="00500C4E" w:rsidTr="00284436">
        <w:trPr>
          <w:trHeight w:val="20"/>
        </w:trPr>
        <w:tc>
          <w:tcPr>
            <w:tcW w:w="1548" w:type="pct"/>
            <w:tcBorders>
              <w:bottom w:val="single" w:sz="4" w:space="0" w:color="auto"/>
            </w:tcBorders>
          </w:tcPr>
          <w:p w:rsidR="00333E6A" w:rsidRPr="00DB3794" w:rsidRDefault="00333E6A" w:rsidP="00284436">
            <w:pPr>
              <w:rPr>
                <w:rFonts w:cs="Arial"/>
                <w:color w:val="FF0000"/>
                <w:sz w:val="22"/>
                <w:szCs w:val="22"/>
              </w:rPr>
            </w:pPr>
            <w:r w:rsidRPr="00DB3794">
              <w:rPr>
                <w:rFonts w:cs="Arial"/>
                <w:sz w:val="22"/>
                <w:szCs w:val="22"/>
              </w:rPr>
              <w:t>Modified DEER methodology</w:t>
            </w:r>
          </w:p>
        </w:tc>
        <w:tc>
          <w:tcPr>
            <w:tcW w:w="3452" w:type="pct"/>
            <w:tcBorders>
              <w:bottom w:val="single" w:sz="4" w:space="0" w:color="auto"/>
            </w:tcBorders>
          </w:tcPr>
          <w:p w:rsidR="00333E6A" w:rsidRPr="00DB3794" w:rsidRDefault="00333E6A" w:rsidP="00284436">
            <w:pPr>
              <w:rPr>
                <w:rFonts w:cs="Arial"/>
                <w:b/>
                <w:sz w:val="22"/>
                <w:szCs w:val="22"/>
              </w:rPr>
            </w:pPr>
            <w:r w:rsidRPr="00DB3794">
              <w:rPr>
                <w:rFonts w:cs="Arial"/>
                <w:sz w:val="22"/>
                <w:szCs w:val="22"/>
              </w:rPr>
              <w:t>No</w:t>
            </w:r>
          </w:p>
        </w:tc>
      </w:tr>
      <w:tr w:rsidR="00333E6A" w:rsidRPr="00500C4E" w:rsidTr="00284436">
        <w:trPr>
          <w:trHeight w:val="20"/>
        </w:trPr>
        <w:tc>
          <w:tcPr>
            <w:tcW w:w="1548"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Scaled DEER measure</w:t>
            </w:r>
          </w:p>
        </w:tc>
        <w:tc>
          <w:tcPr>
            <w:tcW w:w="3452"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No</w:t>
            </w:r>
          </w:p>
        </w:tc>
      </w:tr>
      <w:tr w:rsidR="00333E6A" w:rsidRPr="00500C4E" w:rsidTr="00284436">
        <w:trPr>
          <w:trHeight w:val="20"/>
        </w:trPr>
        <w:tc>
          <w:tcPr>
            <w:tcW w:w="1548" w:type="pct"/>
            <w:tcBorders>
              <w:bottom w:val="single" w:sz="4" w:space="0" w:color="auto"/>
            </w:tcBorders>
          </w:tcPr>
          <w:p w:rsidR="00333E6A" w:rsidRPr="00DB3794" w:rsidRDefault="00333E6A" w:rsidP="00284436">
            <w:pPr>
              <w:rPr>
                <w:rFonts w:cs="Arial"/>
                <w:sz w:val="22"/>
                <w:szCs w:val="22"/>
              </w:rPr>
            </w:pPr>
            <w:r w:rsidRPr="00DB3794">
              <w:rPr>
                <w:rFonts w:cs="Arial"/>
                <w:sz w:val="22"/>
                <w:szCs w:val="22"/>
              </w:rPr>
              <w:t>DEER Base Case</w:t>
            </w:r>
          </w:p>
        </w:tc>
        <w:tc>
          <w:tcPr>
            <w:tcW w:w="3452" w:type="pct"/>
            <w:tcBorders>
              <w:bottom w:val="single" w:sz="4" w:space="0" w:color="auto"/>
            </w:tcBorders>
          </w:tcPr>
          <w:p w:rsidR="00333E6A" w:rsidRPr="00DB3794" w:rsidRDefault="00333E6A" w:rsidP="00284436">
            <w:pPr>
              <w:rPr>
                <w:rFonts w:cs="Arial"/>
                <w:sz w:val="22"/>
                <w:szCs w:val="22"/>
              </w:rPr>
            </w:pPr>
            <w:r w:rsidRPr="00DB3794">
              <w:rPr>
                <w:rFonts w:cs="Arial"/>
                <w:sz w:val="22"/>
                <w:szCs w:val="22"/>
              </w:rPr>
              <w:t>No</w:t>
            </w:r>
          </w:p>
        </w:tc>
      </w:tr>
      <w:tr w:rsidR="00333E6A" w:rsidRPr="00500C4E" w:rsidTr="00284436">
        <w:trPr>
          <w:trHeight w:val="20"/>
        </w:trPr>
        <w:tc>
          <w:tcPr>
            <w:tcW w:w="1548"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DEER Measure Case</w:t>
            </w:r>
          </w:p>
        </w:tc>
        <w:tc>
          <w:tcPr>
            <w:tcW w:w="3452"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No</w:t>
            </w:r>
          </w:p>
        </w:tc>
      </w:tr>
      <w:tr w:rsidR="00333E6A" w:rsidRPr="00500C4E" w:rsidTr="00284436">
        <w:trPr>
          <w:trHeight w:val="20"/>
        </w:trPr>
        <w:tc>
          <w:tcPr>
            <w:tcW w:w="1548" w:type="pct"/>
            <w:tcBorders>
              <w:bottom w:val="single" w:sz="4" w:space="0" w:color="auto"/>
            </w:tcBorders>
          </w:tcPr>
          <w:p w:rsidR="00333E6A" w:rsidRPr="00DB3794" w:rsidRDefault="00333E6A" w:rsidP="00284436">
            <w:pPr>
              <w:rPr>
                <w:rFonts w:cs="Arial"/>
                <w:sz w:val="22"/>
                <w:szCs w:val="22"/>
              </w:rPr>
            </w:pPr>
            <w:r w:rsidRPr="00DB3794">
              <w:rPr>
                <w:rFonts w:cs="Arial"/>
                <w:sz w:val="22"/>
                <w:szCs w:val="22"/>
              </w:rPr>
              <w:t>DEER Building Types</w:t>
            </w:r>
          </w:p>
        </w:tc>
        <w:tc>
          <w:tcPr>
            <w:tcW w:w="3452" w:type="pct"/>
            <w:tcBorders>
              <w:bottom w:val="single" w:sz="4" w:space="0" w:color="auto"/>
            </w:tcBorders>
          </w:tcPr>
          <w:p w:rsidR="00333E6A" w:rsidRPr="00DB3794" w:rsidRDefault="00333E6A" w:rsidP="00284436">
            <w:pPr>
              <w:rPr>
                <w:rFonts w:cs="Arial"/>
                <w:sz w:val="22"/>
                <w:szCs w:val="22"/>
              </w:rPr>
            </w:pPr>
            <w:r w:rsidRPr="00DB3794">
              <w:rPr>
                <w:rFonts w:cs="Arial"/>
                <w:sz w:val="22"/>
                <w:szCs w:val="22"/>
              </w:rPr>
              <w:t xml:space="preserve">No </w:t>
            </w:r>
          </w:p>
        </w:tc>
      </w:tr>
      <w:tr w:rsidR="00333E6A" w:rsidRPr="00500C4E" w:rsidTr="00284436">
        <w:trPr>
          <w:trHeight w:val="20"/>
        </w:trPr>
        <w:tc>
          <w:tcPr>
            <w:tcW w:w="1548"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DEER Operating Hours</w:t>
            </w:r>
          </w:p>
        </w:tc>
        <w:tc>
          <w:tcPr>
            <w:tcW w:w="3452"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No</w:t>
            </w:r>
          </w:p>
        </w:tc>
      </w:tr>
      <w:tr w:rsidR="00333E6A" w:rsidRPr="00500C4E" w:rsidTr="00284436">
        <w:trPr>
          <w:trHeight w:val="20"/>
        </w:trPr>
        <w:tc>
          <w:tcPr>
            <w:tcW w:w="1548" w:type="pct"/>
            <w:tcBorders>
              <w:bottom w:val="single" w:sz="4" w:space="0" w:color="auto"/>
            </w:tcBorders>
          </w:tcPr>
          <w:p w:rsidR="00333E6A" w:rsidRPr="00DB3794" w:rsidRDefault="00333E6A" w:rsidP="00284436">
            <w:pPr>
              <w:rPr>
                <w:rFonts w:cs="Arial"/>
                <w:sz w:val="22"/>
                <w:szCs w:val="22"/>
              </w:rPr>
            </w:pPr>
            <w:r w:rsidRPr="00DB3794">
              <w:rPr>
                <w:rFonts w:cs="Arial"/>
                <w:sz w:val="22"/>
                <w:szCs w:val="22"/>
              </w:rPr>
              <w:t>DEER eQUEST Prototypes</w:t>
            </w:r>
          </w:p>
        </w:tc>
        <w:tc>
          <w:tcPr>
            <w:tcW w:w="3452" w:type="pct"/>
            <w:tcBorders>
              <w:bottom w:val="single" w:sz="4" w:space="0" w:color="auto"/>
            </w:tcBorders>
          </w:tcPr>
          <w:p w:rsidR="00333E6A" w:rsidRPr="00DB3794" w:rsidDel="00505CEC" w:rsidRDefault="00333E6A" w:rsidP="00284436">
            <w:pPr>
              <w:rPr>
                <w:rFonts w:cs="Arial"/>
                <w:sz w:val="22"/>
                <w:szCs w:val="22"/>
              </w:rPr>
            </w:pPr>
            <w:r w:rsidRPr="00DB3794">
              <w:rPr>
                <w:rFonts w:cs="Arial"/>
                <w:sz w:val="22"/>
                <w:szCs w:val="22"/>
              </w:rPr>
              <w:t>No</w:t>
            </w:r>
          </w:p>
        </w:tc>
      </w:tr>
      <w:tr w:rsidR="00333E6A" w:rsidRPr="00500C4E" w:rsidTr="00284436">
        <w:trPr>
          <w:trHeight w:val="20"/>
        </w:trPr>
        <w:tc>
          <w:tcPr>
            <w:tcW w:w="1548"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DEER Version</w:t>
            </w:r>
          </w:p>
        </w:tc>
        <w:tc>
          <w:tcPr>
            <w:tcW w:w="3452" w:type="pct"/>
            <w:shd w:val="clear" w:color="auto" w:fill="F2F2F2" w:themeFill="background1" w:themeFillShade="F2"/>
          </w:tcPr>
          <w:p w:rsidR="00333E6A" w:rsidRPr="00DB3794" w:rsidRDefault="00333E6A" w:rsidP="00284436">
            <w:pPr>
              <w:rPr>
                <w:rFonts w:cs="Arial"/>
                <w:sz w:val="22"/>
                <w:szCs w:val="22"/>
              </w:rPr>
            </w:pPr>
            <w:r w:rsidRPr="00DB3794">
              <w:rPr>
                <w:rFonts w:cstheme="minorHAnsi"/>
                <w:sz w:val="22"/>
                <w:szCs w:val="22"/>
              </w:rPr>
              <w:t>DEER Version Referenced: DEER 2016, READI v2.4.3</w:t>
            </w:r>
          </w:p>
        </w:tc>
      </w:tr>
      <w:tr w:rsidR="00333E6A" w:rsidRPr="00500C4E" w:rsidTr="00284436">
        <w:trPr>
          <w:trHeight w:val="20"/>
        </w:trPr>
        <w:tc>
          <w:tcPr>
            <w:tcW w:w="1548" w:type="pct"/>
            <w:tcBorders>
              <w:bottom w:val="single" w:sz="4" w:space="0" w:color="auto"/>
            </w:tcBorders>
          </w:tcPr>
          <w:p w:rsidR="00333E6A" w:rsidRPr="00DB3794" w:rsidRDefault="00333E6A" w:rsidP="00284436">
            <w:pPr>
              <w:rPr>
                <w:rFonts w:cs="Arial"/>
                <w:sz w:val="22"/>
                <w:szCs w:val="22"/>
              </w:rPr>
            </w:pPr>
            <w:r w:rsidRPr="00DB3794">
              <w:rPr>
                <w:rFonts w:cs="Arial"/>
                <w:sz w:val="22"/>
                <w:szCs w:val="22"/>
              </w:rPr>
              <w:t>Reason for Deviation from DEER</w:t>
            </w:r>
          </w:p>
        </w:tc>
        <w:tc>
          <w:tcPr>
            <w:tcW w:w="3452" w:type="pct"/>
            <w:tcBorders>
              <w:bottom w:val="single" w:sz="4" w:space="0" w:color="auto"/>
            </w:tcBorders>
          </w:tcPr>
          <w:p w:rsidR="00333E6A" w:rsidRPr="00DB3794" w:rsidRDefault="00333E6A" w:rsidP="00333E6A">
            <w:pPr>
              <w:rPr>
                <w:rFonts w:cs="Arial"/>
                <w:sz w:val="22"/>
                <w:szCs w:val="22"/>
              </w:rPr>
            </w:pPr>
            <w:r w:rsidRPr="00DB3794">
              <w:rPr>
                <w:rFonts w:cs="Arial"/>
                <w:sz w:val="22"/>
                <w:szCs w:val="22"/>
              </w:rPr>
              <w:t>The DEER 2016 database does not contain an updated measure for this PCT measure.</w:t>
            </w:r>
          </w:p>
        </w:tc>
      </w:tr>
      <w:tr w:rsidR="00333E6A" w:rsidRPr="00500C4E" w:rsidTr="00284436">
        <w:trPr>
          <w:trHeight w:val="20"/>
        </w:trPr>
        <w:tc>
          <w:tcPr>
            <w:tcW w:w="1548"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DEER Measure IDs Used</w:t>
            </w:r>
          </w:p>
        </w:tc>
        <w:tc>
          <w:tcPr>
            <w:tcW w:w="3452" w:type="pct"/>
            <w:shd w:val="clear" w:color="auto" w:fill="F2F2F2" w:themeFill="background1" w:themeFillShade="F2"/>
          </w:tcPr>
          <w:p w:rsidR="00333E6A" w:rsidRPr="00DB3794" w:rsidRDefault="00333E6A" w:rsidP="00284436">
            <w:pPr>
              <w:rPr>
                <w:rFonts w:cs="Arial"/>
                <w:sz w:val="22"/>
                <w:szCs w:val="22"/>
              </w:rPr>
            </w:pPr>
            <w:r w:rsidRPr="00DB3794">
              <w:rPr>
                <w:rFonts w:cs="Arial"/>
                <w:sz w:val="22"/>
                <w:szCs w:val="22"/>
              </w:rPr>
              <w:t>N/A. Only the 2008 Cost ID (ProgTStats) was referenced in the cost section of this wp.</w:t>
            </w:r>
          </w:p>
        </w:tc>
      </w:tr>
      <w:bookmarkEnd w:id="26"/>
    </w:tbl>
    <w:p w:rsidR="00333E6A" w:rsidRDefault="00333E6A" w:rsidP="00B92CCC">
      <w:pPr>
        <w:rPr>
          <w:rFonts w:ascii="Arial" w:hAnsi="Arial" w:cs="Arial"/>
          <w:sz w:val="22"/>
          <w:szCs w:val="22"/>
        </w:rPr>
      </w:pPr>
    </w:p>
    <w:p w:rsidR="00333E6A" w:rsidRDefault="00333E6A">
      <w:pPr>
        <w:rPr>
          <w:rFonts w:ascii="Arial" w:hAnsi="Arial" w:cs="Arial"/>
          <w:sz w:val="22"/>
          <w:szCs w:val="22"/>
        </w:rPr>
      </w:pPr>
      <w:r>
        <w:rPr>
          <w:rFonts w:ascii="Arial" w:hAnsi="Arial" w:cs="Arial"/>
          <w:sz w:val="22"/>
          <w:szCs w:val="22"/>
        </w:rPr>
        <w:br w:type="page"/>
      </w:r>
    </w:p>
    <w:p w:rsidR="001C295C" w:rsidRPr="0066794C" w:rsidRDefault="001C295C" w:rsidP="00864083">
      <w:pPr>
        <w:rPr>
          <w:rFonts w:ascii="Arial" w:hAnsi="Arial" w:cs="Arial"/>
          <w:sz w:val="22"/>
          <w:szCs w:val="22"/>
        </w:rPr>
      </w:pPr>
      <w:r w:rsidRPr="0066794C">
        <w:rPr>
          <w:rFonts w:ascii="Arial" w:hAnsi="Arial" w:cs="Arial"/>
          <w:b/>
          <w:sz w:val="22"/>
          <w:szCs w:val="22"/>
        </w:rPr>
        <w:lastRenderedPageBreak/>
        <w:t xml:space="preserve">Net-to-Gross Assumption: </w:t>
      </w:r>
      <w:r w:rsidRPr="0066794C">
        <w:rPr>
          <w:rFonts w:ascii="Arial" w:hAnsi="Arial" w:cs="Arial"/>
          <w:b/>
          <w:sz w:val="22"/>
          <w:szCs w:val="22"/>
        </w:rPr>
        <w:tab/>
      </w:r>
      <w:r w:rsidRPr="0066794C">
        <w:rPr>
          <w:rFonts w:ascii="Arial" w:hAnsi="Arial" w:cs="Arial"/>
          <w:b/>
          <w:sz w:val="22"/>
          <w:szCs w:val="22"/>
        </w:rPr>
        <w:tab/>
      </w:r>
      <w:r w:rsidRPr="0066794C">
        <w:rPr>
          <w:rFonts w:ascii="Arial" w:hAnsi="Arial" w:cs="Arial"/>
          <w:b/>
          <w:sz w:val="22"/>
          <w:szCs w:val="22"/>
        </w:rPr>
        <w:tab/>
      </w:r>
    </w:p>
    <w:p w:rsidR="001C295C" w:rsidRPr="00333E6A" w:rsidRDefault="007279D8" w:rsidP="00864083">
      <w:pPr>
        <w:rPr>
          <w:rFonts w:asciiTheme="minorHAnsi" w:hAnsiTheme="minorHAnsi" w:cs="Arial"/>
          <w:sz w:val="22"/>
          <w:szCs w:val="22"/>
        </w:rPr>
      </w:pPr>
      <w:r w:rsidRPr="00333E6A">
        <w:rPr>
          <w:rFonts w:asciiTheme="minorHAnsi" w:hAnsiTheme="minorHAnsi" w:cs="Arial"/>
          <w:sz w:val="22"/>
          <w:szCs w:val="22"/>
        </w:rPr>
        <w:t xml:space="preserve">The Net-to-Gross ratio (NTGR) was obtained using the DEER 2016, READI v2.4.3 tool. The relevant NTGR for the wp measure is shown in </w:t>
      </w:r>
      <w:r w:rsidR="001C295C" w:rsidRPr="00333E6A">
        <w:rPr>
          <w:rFonts w:asciiTheme="minorHAnsi" w:hAnsiTheme="minorHAnsi" w:cs="Arial"/>
          <w:sz w:val="22"/>
          <w:szCs w:val="22"/>
        </w:rPr>
        <w:t xml:space="preserve">Table </w:t>
      </w:r>
      <w:r w:rsidR="008850E7">
        <w:rPr>
          <w:rFonts w:asciiTheme="minorHAnsi" w:hAnsiTheme="minorHAnsi" w:cs="Arial"/>
          <w:sz w:val="22"/>
          <w:szCs w:val="22"/>
        </w:rPr>
        <w:t>4</w:t>
      </w:r>
      <w:r w:rsidRPr="00333E6A">
        <w:rPr>
          <w:rFonts w:asciiTheme="minorHAnsi" w:hAnsiTheme="minorHAnsi" w:cs="Arial"/>
          <w:sz w:val="22"/>
          <w:szCs w:val="22"/>
        </w:rPr>
        <w:t>.</w:t>
      </w:r>
    </w:p>
    <w:p w:rsidR="001C295C" w:rsidRPr="0066794C" w:rsidRDefault="001C295C" w:rsidP="00864083">
      <w:pPr>
        <w:rPr>
          <w:rFonts w:ascii="Arial" w:hAnsi="Arial" w:cs="Arial"/>
          <w:sz w:val="22"/>
          <w:szCs w:val="22"/>
        </w:rPr>
      </w:pPr>
    </w:p>
    <w:p w:rsidR="001C295C" w:rsidRPr="008850E7" w:rsidRDefault="0065193C" w:rsidP="00864083">
      <w:pPr>
        <w:pStyle w:val="Caption"/>
        <w:jc w:val="center"/>
        <w:rPr>
          <w:rFonts w:asciiTheme="minorHAnsi" w:hAnsiTheme="minorHAnsi" w:cs="Arial"/>
          <w:b w:val="0"/>
          <w:sz w:val="24"/>
          <w:szCs w:val="24"/>
        </w:rPr>
      </w:pPr>
      <w:r w:rsidRPr="008850E7">
        <w:rPr>
          <w:rFonts w:asciiTheme="minorHAnsi" w:hAnsiTheme="minorHAnsi" w:cs="Arial"/>
          <w:sz w:val="24"/>
          <w:szCs w:val="24"/>
        </w:rPr>
        <w:t xml:space="preserve">Table </w:t>
      </w:r>
      <w:r w:rsidR="008850E7">
        <w:rPr>
          <w:rFonts w:asciiTheme="minorHAnsi" w:hAnsiTheme="minorHAnsi" w:cs="Arial"/>
          <w:sz w:val="24"/>
          <w:szCs w:val="24"/>
        </w:rPr>
        <w:t>4</w:t>
      </w:r>
      <w:r w:rsidR="008D1C89" w:rsidRPr="008850E7">
        <w:rPr>
          <w:rFonts w:asciiTheme="minorHAnsi" w:hAnsiTheme="minorHAnsi" w:cs="Arial"/>
          <w:sz w:val="24"/>
          <w:szCs w:val="24"/>
        </w:rPr>
        <w:t>:</w:t>
      </w:r>
      <w:r w:rsidR="001C295C" w:rsidRPr="008850E7">
        <w:rPr>
          <w:rFonts w:asciiTheme="minorHAnsi" w:hAnsiTheme="minorHAnsi" w:cs="Arial"/>
          <w:sz w:val="24"/>
          <w:szCs w:val="24"/>
        </w:rPr>
        <w:t xml:space="preserve"> </w:t>
      </w:r>
      <w:r w:rsidR="00936E2B" w:rsidRPr="008850E7">
        <w:rPr>
          <w:rFonts w:asciiTheme="minorHAnsi" w:hAnsiTheme="minorHAnsi" w:cs="Arial"/>
          <w:b w:val="0"/>
          <w:sz w:val="24"/>
          <w:szCs w:val="24"/>
        </w:rPr>
        <w:t xml:space="preserve">DEER </w:t>
      </w:r>
      <w:r w:rsidR="001C295C" w:rsidRPr="008850E7">
        <w:rPr>
          <w:rFonts w:asciiTheme="minorHAnsi" w:hAnsiTheme="minorHAnsi" w:cs="Arial"/>
          <w:b w:val="0"/>
          <w:sz w:val="24"/>
          <w:szCs w:val="24"/>
        </w:rPr>
        <w:t>Net-to-Gross Ratios</w:t>
      </w:r>
      <w:r w:rsidR="006D05E1" w:rsidRPr="008850E7">
        <w:rPr>
          <w:rFonts w:asciiTheme="minorHAnsi" w:hAnsiTheme="minorHAnsi" w:cs="Arial"/>
          <w:b w:val="0"/>
          <w:sz w:val="24"/>
          <w:szCs w:val="24"/>
        </w:rPr>
        <w:fldChar w:fldCharType="begin"/>
      </w:r>
      <w:r w:rsidR="003C1A85" w:rsidRPr="008850E7">
        <w:rPr>
          <w:rFonts w:asciiTheme="minorHAnsi" w:hAnsiTheme="minorHAnsi"/>
          <w:b w:val="0"/>
          <w:sz w:val="24"/>
          <w:szCs w:val="24"/>
        </w:rPr>
        <w:instrText xml:space="preserve"> TC "</w:instrText>
      </w:r>
      <w:bookmarkStart w:id="28" w:name="_Toc404765916"/>
      <w:r w:rsidR="008D1C89" w:rsidRPr="008850E7">
        <w:rPr>
          <w:rFonts w:asciiTheme="minorHAnsi" w:hAnsiTheme="minorHAnsi" w:cs="Arial"/>
          <w:b w:val="0"/>
          <w:sz w:val="24"/>
          <w:szCs w:val="24"/>
        </w:rPr>
        <w:instrText>Table 2:</w:instrText>
      </w:r>
      <w:r w:rsidR="003C1A85" w:rsidRPr="008850E7">
        <w:rPr>
          <w:rFonts w:asciiTheme="minorHAnsi" w:hAnsiTheme="minorHAnsi" w:cs="Arial"/>
          <w:b w:val="0"/>
          <w:sz w:val="24"/>
          <w:szCs w:val="24"/>
        </w:rPr>
        <w:instrText xml:space="preserve"> Net-to-Gross Ratios</w:instrText>
      </w:r>
      <w:bookmarkEnd w:id="28"/>
      <w:r w:rsidR="003C1A85" w:rsidRPr="008850E7">
        <w:rPr>
          <w:rFonts w:asciiTheme="minorHAnsi" w:hAnsiTheme="minorHAnsi"/>
          <w:b w:val="0"/>
          <w:sz w:val="24"/>
          <w:szCs w:val="24"/>
        </w:rPr>
        <w:instrText xml:space="preserve">" \f C \l "1" </w:instrText>
      </w:r>
      <w:r w:rsidR="006D05E1" w:rsidRPr="008850E7">
        <w:rPr>
          <w:rFonts w:asciiTheme="minorHAnsi" w:hAnsiTheme="minorHAnsi" w:cs="Arial"/>
          <w:b w:val="0"/>
          <w:sz w:val="24"/>
          <w:szCs w:val="24"/>
        </w:rPr>
        <w:fldChar w:fldCharType="end"/>
      </w:r>
    </w:p>
    <w:tbl>
      <w:tblPr>
        <w:tblW w:w="4662" w:type="pct"/>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1522"/>
        <w:gridCol w:w="2520"/>
        <w:gridCol w:w="1855"/>
        <w:gridCol w:w="1516"/>
        <w:gridCol w:w="1516"/>
      </w:tblGrid>
      <w:tr w:rsidR="00CB0F78" w:rsidRPr="00461BBE" w:rsidTr="00DB3794">
        <w:trPr>
          <w:trHeight w:val="231"/>
        </w:trPr>
        <w:tc>
          <w:tcPr>
            <w:tcW w:w="852" w:type="pct"/>
            <w:tcBorders>
              <w:bottom w:val="single" w:sz="18" w:space="0" w:color="FFFFFF"/>
            </w:tcBorders>
            <w:shd w:val="clear" w:color="000000" w:fill="D9D9D9" w:themeFill="background1" w:themeFillShade="D9"/>
            <w:vAlign w:val="center"/>
          </w:tcPr>
          <w:p w:rsidR="00CB0F78" w:rsidRPr="00DB3794" w:rsidRDefault="00CB0F78" w:rsidP="00CB0F78">
            <w:pPr>
              <w:keepNext/>
              <w:jc w:val="center"/>
              <w:rPr>
                <w:rFonts w:asciiTheme="minorHAnsi" w:hAnsiTheme="minorHAnsi" w:cs="Arial"/>
                <w:b/>
                <w:sz w:val="22"/>
                <w:szCs w:val="22"/>
              </w:rPr>
            </w:pPr>
            <w:r w:rsidRPr="00DB3794">
              <w:rPr>
                <w:rFonts w:asciiTheme="minorHAnsi" w:hAnsiTheme="minorHAnsi" w:cs="Arial"/>
                <w:b/>
                <w:sz w:val="22"/>
                <w:szCs w:val="22"/>
              </w:rPr>
              <w:t>NTGR ID</w:t>
            </w:r>
          </w:p>
        </w:tc>
        <w:tc>
          <w:tcPr>
            <w:tcW w:w="1411" w:type="pct"/>
            <w:tcBorders>
              <w:bottom w:val="single" w:sz="18" w:space="0" w:color="FFFFFF"/>
            </w:tcBorders>
            <w:shd w:val="clear" w:color="000000" w:fill="D9D9D9" w:themeFill="background1" w:themeFillShade="D9"/>
            <w:vAlign w:val="center"/>
          </w:tcPr>
          <w:p w:rsidR="00CB0F78" w:rsidRPr="00DB3794" w:rsidRDefault="00CB0F78" w:rsidP="00CB0F78">
            <w:pPr>
              <w:keepNext/>
              <w:jc w:val="center"/>
              <w:rPr>
                <w:rFonts w:asciiTheme="minorHAnsi" w:hAnsiTheme="minorHAnsi" w:cs="Arial"/>
                <w:b/>
                <w:sz w:val="22"/>
                <w:szCs w:val="22"/>
              </w:rPr>
            </w:pPr>
            <w:r w:rsidRPr="00DB3794">
              <w:rPr>
                <w:rFonts w:asciiTheme="minorHAnsi" w:hAnsiTheme="minorHAnsi" w:cs="Arial"/>
                <w:b/>
                <w:sz w:val="22"/>
                <w:szCs w:val="22"/>
              </w:rPr>
              <w:t>Description</w:t>
            </w:r>
          </w:p>
        </w:tc>
        <w:tc>
          <w:tcPr>
            <w:tcW w:w="1039" w:type="pct"/>
            <w:tcBorders>
              <w:bottom w:val="single" w:sz="18" w:space="0" w:color="FFFFFF"/>
            </w:tcBorders>
            <w:shd w:val="clear" w:color="000000" w:fill="D9D9D9" w:themeFill="background1" w:themeFillShade="D9"/>
            <w:vAlign w:val="center"/>
          </w:tcPr>
          <w:p w:rsidR="00CB0F78" w:rsidRPr="00DB3794" w:rsidRDefault="00CB0F78" w:rsidP="00CB0F78">
            <w:pPr>
              <w:keepNext/>
              <w:jc w:val="center"/>
              <w:rPr>
                <w:rFonts w:asciiTheme="minorHAnsi" w:hAnsiTheme="minorHAnsi" w:cs="Arial"/>
                <w:b/>
                <w:sz w:val="22"/>
                <w:szCs w:val="22"/>
              </w:rPr>
            </w:pPr>
            <w:r w:rsidRPr="00DB3794">
              <w:rPr>
                <w:rFonts w:asciiTheme="minorHAnsi" w:hAnsiTheme="minorHAnsi" w:cs="Arial"/>
                <w:b/>
                <w:sz w:val="22"/>
                <w:szCs w:val="22"/>
              </w:rPr>
              <w:t>Sector</w:t>
            </w:r>
          </w:p>
        </w:tc>
        <w:tc>
          <w:tcPr>
            <w:tcW w:w="849" w:type="pct"/>
            <w:tcBorders>
              <w:bottom w:val="single" w:sz="18" w:space="0" w:color="FFFFFF"/>
            </w:tcBorders>
            <w:shd w:val="clear" w:color="000000" w:fill="D9D9D9" w:themeFill="background1" w:themeFillShade="D9"/>
            <w:vAlign w:val="center"/>
          </w:tcPr>
          <w:p w:rsidR="00CB0F78" w:rsidRPr="00DB3794" w:rsidRDefault="00CB0F78" w:rsidP="00CB0F78">
            <w:pPr>
              <w:keepNext/>
              <w:jc w:val="center"/>
              <w:rPr>
                <w:rFonts w:asciiTheme="minorHAnsi" w:hAnsiTheme="minorHAnsi" w:cs="Arial"/>
                <w:b/>
                <w:sz w:val="22"/>
                <w:szCs w:val="22"/>
              </w:rPr>
            </w:pPr>
            <w:r w:rsidRPr="00DB3794">
              <w:rPr>
                <w:rFonts w:asciiTheme="minorHAnsi" w:hAnsiTheme="minorHAnsi" w:cs="Arial"/>
                <w:b/>
                <w:sz w:val="22"/>
                <w:szCs w:val="22"/>
              </w:rPr>
              <w:t>BldgType</w:t>
            </w:r>
          </w:p>
          <w:p w:rsidR="00CB0F78" w:rsidRPr="00DB3794" w:rsidRDefault="00CB0F78" w:rsidP="00CB0F78">
            <w:pPr>
              <w:keepNext/>
              <w:jc w:val="center"/>
              <w:rPr>
                <w:rFonts w:asciiTheme="minorHAnsi" w:hAnsiTheme="minorHAnsi" w:cs="Arial"/>
                <w:b/>
                <w:sz w:val="22"/>
                <w:szCs w:val="22"/>
              </w:rPr>
            </w:pPr>
          </w:p>
        </w:tc>
        <w:tc>
          <w:tcPr>
            <w:tcW w:w="849" w:type="pct"/>
            <w:tcBorders>
              <w:bottom w:val="single" w:sz="18" w:space="0" w:color="FFFFFF"/>
            </w:tcBorders>
            <w:shd w:val="clear" w:color="000000" w:fill="D9D9D9" w:themeFill="background1" w:themeFillShade="D9"/>
            <w:vAlign w:val="center"/>
          </w:tcPr>
          <w:p w:rsidR="00CB0F78" w:rsidRPr="00DB3794" w:rsidRDefault="00CF5CFF" w:rsidP="00CB0F78">
            <w:pPr>
              <w:keepNext/>
              <w:jc w:val="center"/>
              <w:rPr>
                <w:rFonts w:asciiTheme="minorHAnsi" w:hAnsiTheme="minorHAnsi" w:cs="Arial"/>
                <w:b/>
                <w:sz w:val="22"/>
                <w:szCs w:val="22"/>
              </w:rPr>
            </w:pPr>
            <w:r w:rsidRPr="00DB3794">
              <w:rPr>
                <w:rFonts w:asciiTheme="minorHAnsi" w:hAnsiTheme="minorHAnsi" w:cs="Arial"/>
                <w:b/>
                <w:sz w:val="22"/>
                <w:szCs w:val="22"/>
              </w:rPr>
              <w:t>Program</w:t>
            </w:r>
            <w:r w:rsidR="00CB0F78" w:rsidRPr="00DB3794">
              <w:rPr>
                <w:rFonts w:asciiTheme="minorHAnsi" w:hAnsiTheme="minorHAnsi" w:cs="Arial"/>
                <w:b/>
                <w:sz w:val="22"/>
                <w:szCs w:val="22"/>
              </w:rPr>
              <w:t xml:space="preserve"> Delivery</w:t>
            </w:r>
            <w:r w:rsidRPr="00DB3794">
              <w:rPr>
                <w:rFonts w:asciiTheme="minorHAnsi" w:hAnsiTheme="minorHAnsi" w:cs="Arial"/>
                <w:b/>
                <w:sz w:val="22"/>
                <w:szCs w:val="22"/>
              </w:rPr>
              <w:t xml:space="preserve"> ID</w:t>
            </w:r>
          </w:p>
        </w:tc>
      </w:tr>
      <w:tr w:rsidR="00CB0F78" w:rsidRPr="00461BBE" w:rsidTr="00DB3794">
        <w:trPr>
          <w:trHeight w:val="2369"/>
        </w:trPr>
        <w:tc>
          <w:tcPr>
            <w:tcW w:w="852" w:type="pct"/>
            <w:shd w:val="clear" w:color="000000" w:fill="F2F2F2" w:themeFill="background1" w:themeFillShade="F2"/>
            <w:vAlign w:val="center"/>
          </w:tcPr>
          <w:p w:rsidR="00CB0F78" w:rsidRPr="00DB3794" w:rsidRDefault="00CF5CFF" w:rsidP="00421990">
            <w:pPr>
              <w:jc w:val="center"/>
              <w:rPr>
                <w:rFonts w:asciiTheme="minorHAnsi" w:hAnsiTheme="minorHAnsi" w:cs="Arial"/>
                <w:sz w:val="22"/>
                <w:szCs w:val="22"/>
              </w:rPr>
            </w:pPr>
            <w:r w:rsidRPr="00DB3794">
              <w:rPr>
                <w:rFonts w:asciiTheme="minorHAnsi" w:hAnsiTheme="minorHAnsi" w:cs="Arial"/>
                <w:sz w:val="22"/>
                <w:szCs w:val="22"/>
              </w:rPr>
              <w:t>Com-Default&gt;2yrs</w:t>
            </w:r>
          </w:p>
        </w:tc>
        <w:tc>
          <w:tcPr>
            <w:tcW w:w="1411" w:type="pct"/>
            <w:shd w:val="clear" w:color="000000" w:fill="F2F2F2" w:themeFill="background1" w:themeFillShade="F2"/>
            <w:vAlign w:val="center"/>
          </w:tcPr>
          <w:p w:rsidR="00CB0F78" w:rsidRPr="00DB3794" w:rsidRDefault="00CF5CFF" w:rsidP="00421990">
            <w:pPr>
              <w:jc w:val="center"/>
              <w:rPr>
                <w:rFonts w:asciiTheme="minorHAnsi" w:hAnsiTheme="minorHAnsi" w:cs="Arial"/>
                <w:sz w:val="22"/>
                <w:szCs w:val="22"/>
              </w:rPr>
            </w:pPr>
            <w:r w:rsidRPr="00DB3794">
              <w:rPr>
                <w:rFonts w:asciiTheme="minorHAnsi" w:hAnsiTheme="minorHAnsi" w:cs="Arial"/>
                <w:sz w:val="22"/>
                <w:szCs w:val="22"/>
              </w:rPr>
              <w:t>All other EEMs with no evaluated NTGR; existing EEM in programs with same delivery mechanism for more than 2 years</w:t>
            </w:r>
          </w:p>
        </w:tc>
        <w:tc>
          <w:tcPr>
            <w:tcW w:w="1039" w:type="pct"/>
            <w:shd w:val="clear" w:color="000000" w:fill="F2F2F2" w:themeFill="background1" w:themeFillShade="F2"/>
            <w:vAlign w:val="center"/>
          </w:tcPr>
          <w:p w:rsidR="00CB0F78" w:rsidRPr="00DB3794" w:rsidRDefault="00CF5CFF" w:rsidP="00421990">
            <w:pPr>
              <w:jc w:val="center"/>
              <w:rPr>
                <w:rFonts w:asciiTheme="minorHAnsi" w:hAnsiTheme="minorHAnsi" w:cs="Arial"/>
                <w:sz w:val="22"/>
                <w:szCs w:val="22"/>
              </w:rPr>
            </w:pPr>
            <w:r w:rsidRPr="00DB3794">
              <w:rPr>
                <w:rFonts w:asciiTheme="minorHAnsi" w:hAnsiTheme="minorHAnsi" w:cs="Arial"/>
                <w:sz w:val="22"/>
                <w:szCs w:val="22"/>
              </w:rPr>
              <w:t>Com</w:t>
            </w:r>
          </w:p>
        </w:tc>
        <w:tc>
          <w:tcPr>
            <w:tcW w:w="849" w:type="pct"/>
            <w:shd w:val="clear" w:color="000000" w:fill="F2F2F2" w:themeFill="background1" w:themeFillShade="F2"/>
            <w:vAlign w:val="center"/>
          </w:tcPr>
          <w:p w:rsidR="00CB0F78" w:rsidRPr="00DB3794" w:rsidRDefault="00CB0F78" w:rsidP="00421990">
            <w:pPr>
              <w:jc w:val="center"/>
              <w:rPr>
                <w:rFonts w:asciiTheme="minorHAnsi" w:hAnsiTheme="minorHAnsi" w:cs="Arial"/>
                <w:sz w:val="22"/>
                <w:szCs w:val="22"/>
              </w:rPr>
            </w:pPr>
            <w:r w:rsidRPr="00DB3794">
              <w:rPr>
                <w:rFonts w:asciiTheme="minorHAnsi" w:hAnsiTheme="minorHAnsi" w:cs="Arial"/>
                <w:sz w:val="22"/>
                <w:szCs w:val="22"/>
              </w:rPr>
              <w:t>Any</w:t>
            </w:r>
          </w:p>
        </w:tc>
        <w:tc>
          <w:tcPr>
            <w:tcW w:w="849" w:type="pct"/>
            <w:shd w:val="clear" w:color="000000" w:fill="F2F2F2" w:themeFill="background1" w:themeFillShade="F2"/>
            <w:vAlign w:val="center"/>
          </w:tcPr>
          <w:p w:rsidR="00CB0F78" w:rsidRPr="00DB3794" w:rsidRDefault="00CB0F78" w:rsidP="00421990">
            <w:pPr>
              <w:jc w:val="center"/>
              <w:rPr>
                <w:rFonts w:asciiTheme="minorHAnsi" w:hAnsiTheme="minorHAnsi" w:cs="Arial"/>
                <w:sz w:val="22"/>
                <w:szCs w:val="22"/>
              </w:rPr>
            </w:pPr>
            <w:r w:rsidRPr="00DB3794">
              <w:rPr>
                <w:rFonts w:asciiTheme="minorHAnsi" w:hAnsiTheme="minorHAnsi" w:cs="Arial"/>
                <w:sz w:val="22"/>
                <w:szCs w:val="22"/>
              </w:rPr>
              <w:t>Any</w:t>
            </w:r>
          </w:p>
        </w:tc>
      </w:tr>
    </w:tbl>
    <w:p w:rsidR="001C295C" w:rsidRPr="0065193C" w:rsidRDefault="001C295C" w:rsidP="00864083">
      <w:pPr>
        <w:tabs>
          <w:tab w:val="left" w:pos="6435"/>
        </w:tabs>
        <w:rPr>
          <w:rFonts w:ascii="Arial" w:hAnsi="Arial" w:cs="Arial"/>
          <w:sz w:val="22"/>
          <w:szCs w:val="22"/>
        </w:rPr>
      </w:pPr>
    </w:p>
    <w:p w:rsidR="00333E6A" w:rsidRPr="00500C4E" w:rsidRDefault="00333E6A" w:rsidP="00333E6A">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rsidR="00333E6A" w:rsidRPr="00500C4E" w:rsidRDefault="00333E6A" w:rsidP="00333E6A">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Spillage rates are not tracked in </w:t>
      </w:r>
      <w:r>
        <w:rPr>
          <w:rFonts w:asciiTheme="minorHAnsi" w:hAnsiTheme="minorHAnsi" w:cstheme="minorHAnsi"/>
          <w:i w:val="0"/>
          <w:color w:val="auto"/>
          <w:szCs w:val="22"/>
        </w:rPr>
        <w:t>wps. Spillage rates</w:t>
      </w:r>
      <w:r w:rsidRPr="00500C4E">
        <w:rPr>
          <w:rFonts w:asciiTheme="minorHAnsi" w:hAnsiTheme="minorHAnsi" w:cstheme="minorHAnsi"/>
          <w:i w:val="0"/>
          <w:color w:val="auto"/>
          <w:szCs w:val="22"/>
        </w:rPr>
        <w:t xml:space="preserve"> are tracked in an external document</w:t>
      </w:r>
      <w:r>
        <w:rPr>
          <w:rFonts w:asciiTheme="minorHAnsi" w:hAnsiTheme="minorHAnsi" w:cstheme="minorHAnsi"/>
          <w:i w:val="0"/>
          <w:color w:val="auto"/>
          <w:szCs w:val="22"/>
        </w:rPr>
        <w:t>,</w:t>
      </w:r>
      <w:r w:rsidRPr="00500C4E">
        <w:rPr>
          <w:rFonts w:asciiTheme="minorHAnsi" w:hAnsiTheme="minorHAnsi" w:cstheme="minorHAnsi"/>
          <w:i w:val="0"/>
          <w:color w:val="auto"/>
          <w:szCs w:val="22"/>
        </w:rPr>
        <w:t xml:space="preserve"> which will be supplied to the Commission Staff.</w:t>
      </w:r>
    </w:p>
    <w:p w:rsidR="00333E6A" w:rsidRPr="00500C4E" w:rsidRDefault="00333E6A" w:rsidP="00333E6A">
      <w:pPr>
        <w:pStyle w:val="Reminders"/>
        <w:rPr>
          <w:rFonts w:asciiTheme="minorHAnsi" w:hAnsiTheme="minorHAnsi" w:cstheme="minorHAnsi"/>
          <w:i w:val="0"/>
          <w:color w:val="auto"/>
          <w:szCs w:val="22"/>
        </w:rPr>
      </w:pPr>
    </w:p>
    <w:p w:rsidR="00333E6A" w:rsidRPr="00500C4E" w:rsidRDefault="00333E6A" w:rsidP="00333E6A">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rsidR="00333E6A" w:rsidRDefault="00333E6A" w:rsidP="00333E6A">
      <w:pPr>
        <w:pStyle w:val="NoSpacing"/>
      </w:pPr>
      <w:r>
        <w:t>The installation rate (</w:t>
      </w:r>
      <w:r w:rsidRPr="00920905">
        <w:t>IR</w:t>
      </w:r>
      <w:r>
        <w:t>)</w:t>
      </w:r>
      <w:r w:rsidRPr="00920905">
        <w:t xml:space="preserve"> value</w:t>
      </w:r>
      <w:r>
        <w:t xml:space="preserve"> was</w:t>
      </w:r>
      <w:r w:rsidRPr="00920905">
        <w:t xml:space="preserve"> obtained using the </w:t>
      </w:r>
      <w:r>
        <w:rPr>
          <w:rFonts w:cstheme="minorHAnsi"/>
          <w:szCs w:val="20"/>
        </w:rPr>
        <w:t>DEER 2016, READI v2.4.3</w:t>
      </w:r>
      <w:r w:rsidRPr="00920905">
        <w:t xml:space="preserve"> tool. The relevant IR value for th</w:t>
      </w:r>
      <w:r>
        <w:t>is wp</w:t>
      </w:r>
      <w:r w:rsidRPr="00920905">
        <w:t xml:space="preserve"> measure </w:t>
      </w:r>
      <w:r>
        <w:t>is shown</w:t>
      </w:r>
      <w:r w:rsidRPr="00920905">
        <w:t xml:space="preserve"> in the</w:t>
      </w:r>
      <w:r w:rsidR="008850E7">
        <w:t xml:space="preserve"> Table 5</w:t>
      </w:r>
      <w:r w:rsidRPr="00920905">
        <w:t>.</w:t>
      </w:r>
    </w:p>
    <w:p w:rsidR="00333E6A" w:rsidRDefault="00333E6A" w:rsidP="00333E6A">
      <w:pPr>
        <w:pStyle w:val="NoSpacing"/>
      </w:pPr>
    </w:p>
    <w:p w:rsidR="00333E6A" w:rsidRPr="008850E7" w:rsidRDefault="00333E6A" w:rsidP="00333E6A">
      <w:pPr>
        <w:pStyle w:val="Caption"/>
        <w:jc w:val="center"/>
        <w:rPr>
          <w:rFonts w:asciiTheme="minorHAnsi" w:hAnsiTheme="minorHAnsi"/>
          <w:b w:val="0"/>
          <w:sz w:val="24"/>
          <w:szCs w:val="24"/>
        </w:rPr>
      </w:pPr>
      <w:bookmarkStart w:id="29" w:name="_Ref453845327"/>
      <w:r w:rsidRPr="008850E7">
        <w:rPr>
          <w:rFonts w:asciiTheme="minorHAnsi" w:hAnsiTheme="minorHAnsi"/>
          <w:sz w:val="24"/>
          <w:szCs w:val="24"/>
        </w:rPr>
        <w:t xml:space="preserve">Table </w:t>
      </w:r>
      <w:bookmarkEnd w:id="29"/>
      <w:r w:rsidR="008850E7">
        <w:rPr>
          <w:rFonts w:asciiTheme="minorHAnsi" w:hAnsiTheme="minorHAnsi"/>
          <w:sz w:val="24"/>
          <w:szCs w:val="24"/>
        </w:rPr>
        <w:t>5</w:t>
      </w:r>
      <w:r w:rsidRPr="008850E7">
        <w:rPr>
          <w:rFonts w:asciiTheme="minorHAnsi" w:hAnsiTheme="minorHAnsi"/>
          <w:sz w:val="24"/>
          <w:szCs w:val="24"/>
        </w:rPr>
        <w:t xml:space="preserve"> </w:t>
      </w:r>
      <w:r w:rsidRPr="008850E7">
        <w:rPr>
          <w:rFonts w:asciiTheme="minorHAnsi" w:hAnsiTheme="minorHAnsi"/>
          <w:b w:val="0"/>
          <w:sz w:val="24"/>
          <w:szCs w:val="24"/>
        </w:rPr>
        <w:t>Gross Savings Installation Adjustment Rate</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333E6A" w:rsidRPr="0087393E" w:rsidTr="00425C29">
        <w:tc>
          <w:tcPr>
            <w:tcW w:w="722"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GSIA ID</w:t>
            </w:r>
          </w:p>
        </w:tc>
        <w:tc>
          <w:tcPr>
            <w:tcW w:w="1404"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Description</w:t>
            </w:r>
          </w:p>
        </w:tc>
        <w:tc>
          <w:tcPr>
            <w:tcW w:w="688"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Sector</w:t>
            </w:r>
          </w:p>
        </w:tc>
        <w:tc>
          <w:tcPr>
            <w:tcW w:w="858"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BldgType</w:t>
            </w:r>
          </w:p>
        </w:tc>
        <w:tc>
          <w:tcPr>
            <w:tcW w:w="693"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ProgDelivID</w:t>
            </w:r>
          </w:p>
        </w:tc>
        <w:tc>
          <w:tcPr>
            <w:tcW w:w="634"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GSIAValue</w:t>
            </w:r>
          </w:p>
        </w:tc>
      </w:tr>
      <w:tr w:rsidR="00333E6A" w:rsidRPr="00500C4E" w:rsidTr="00425C29">
        <w:tc>
          <w:tcPr>
            <w:tcW w:w="722" w:type="pct"/>
            <w:shd w:val="clear" w:color="auto" w:fill="F2F2F2" w:themeFill="background1" w:themeFillShade="F2"/>
          </w:tcPr>
          <w:p w:rsidR="00333E6A" w:rsidRPr="00927047" w:rsidRDefault="00333E6A" w:rsidP="00284436">
            <w:pPr>
              <w:rPr>
                <w:sz w:val="22"/>
                <w:szCs w:val="22"/>
              </w:rPr>
            </w:pPr>
            <w:r w:rsidRPr="00927047">
              <w:rPr>
                <w:sz w:val="22"/>
                <w:szCs w:val="22"/>
              </w:rPr>
              <w:t>Def-GSIA</w:t>
            </w:r>
          </w:p>
        </w:tc>
        <w:tc>
          <w:tcPr>
            <w:tcW w:w="1404" w:type="pct"/>
            <w:shd w:val="clear" w:color="auto" w:fill="F2F2F2" w:themeFill="background1" w:themeFillShade="F2"/>
            <w:vAlign w:val="center"/>
          </w:tcPr>
          <w:p w:rsidR="00333E6A" w:rsidRPr="00927047" w:rsidRDefault="00333E6A" w:rsidP="00421990">
            <w:pPr>
              <w:jc w:val="center"/>
              <w:rPr>
                <w:sz w:val="22"/>
                <w:szCs w:val="22"/>
              </w:rPr>
            </w:pPr>
            <w:r w:rsidRPr="00927047">
              <w:rPr>
                <w:sz w:val="22"/>
                <w:szCs w:val="22"/>
              </w:rPr>
              <w:t>Default GSIA values</w:t>
            </w:r>
          </w:p>
        </w:tc>
        <w:tc>
          <w:tcPr>
            <w:tcW w:w="688" w:type="pct"/>
            <w:shd w:val="clear" w:color="auto" w:fill="F2F2F2" w:themeFill="background1" w:themeFillShade="F2"/>
            <w:vAlign w:val="center"/>
          </w:tcPr>
          <w:p w:rsidR="00333E6A" w:rsidRPr="00927047" w:rsidRDefault="00333E6A" w:rsidP="00421990">
            <w:pPr>
              <w:jc w:val="center"/>
              <w:rPr>
                <w:sz w:val="22"/>
                <w:szCs w:val="22"/>
              </w:rPr>
            </w:pPr>
            <w:r w:rsidRPr="00927047">
              <w:rPr>
                <w:sz w:val="22"/>
                <w:szCs w:val="22"/>
              </w:rPr>
              <w:t>Any</w:t>
            </w:r>
          </w:p>
        </w:tc>
        <w:tc>
          <w:tcPr>
            <w:tcW w:w="858" w:type="pct"/>
            <w:shd w:val="clear" w:color="auto" w:fill="F2F2F2" w:themeFill="background1" w:themeFillShade="F2"/>
            <w:vAlign w:val="center"/>
          </w:tcPr>
          <w:p w:rsidR="00333E6A" w:rsidRPr="00927047" w:rsidRDefault="00333E6A" w:rsidP="00421990">
            <w:pPr>
              <w:jc w:val="center"/>
              <w:rPr>
                <w:sz w:val="22"/>
                <w:szCs w:val="22"/>
              </w:rPr>
            </w:pPr>
            <w:r w:rsidRPr="00927047">
              <w:rPr>
                <w:sz w:val="22"/>
                <w:szCs w:val="22"/>
              </w:rPr>
              <w:t>Any</w:t>
            </w:r>
          </w:p>
        </w:tc>
        <w:tc>
          <w:tcPr>
            <w:tcW w:w="693" w:type="pct"/>
            <w:shd w:val="clear" w:color="auto" w:fill="F2F2F2" w:themeFill="background1" w:themeFillShade="F2"/>
            <w:vAlign w:val="center"/>
          </w:tcPr>
          <w:p w:rsidR="00333E6A" w:rsidRPr="00927047" w:rsidRDefault="00333E6A" w:rsidP="00421990">
            <w:pPr>
              <w:jc w:val="center"/>
              <w:rPr>
                <w:sz w:val="22"/>
                <w:szCs w:val="22"/>
              </w:rPr>
            </w:pPr>
            <w:r w:rsidRPr="00927047">
              <w:rPr>
                <w:sz w:val="22"/>
                <w:szCs w:val="22"/>
              </w:rPr>
              <w:t>Any</w:t>
            </w:r>
          </w:p>
        </w:tc>
        <w:tc>
          <w:tcPr>
            <w:tcW w:w="634" w:type="pct"/>
            <w:shd w:val="clear" w:color="auto" w:fill="F2F2F2" w:themeFill="background1" w:themeFillShade="F2"/>
            <w:vAlign w:val="center"/>
          </w:tcPr>
          <w:p w:rsidR="00333E6A" w:rsidRPr="00927047" w:rsidRDefault="00333E6A" w:rsidP="00421990">
            <w:pPr>
              <w:jc w:val="center"/>
              <w:rPr>
                <w:sz w:val="22"/>
                <w:szCs w:val="22"/>
              </w:rPr>
            </w:pPr>
            <w:r w:rsidRPr="00927047">
              <w:rPr>
                <w:sz w:val="22"/>
                <w:szCs w:val="22"/>
              </w:rPr>
              <w:t>1</w:t>
            </w:r>
          </w:p>
        </w:tc>
      </w:tr>
    </w:tbl>
    <w:p w:rsidR="00333E6A" w:rsidRDefault="00333E6A" w:rsidP="00864083">
      <w:pPr>
        <w:rPr>
          <w:rFonts w:ascii="Arial" w:hAnsi="Arial" w:cs="Arial"/>
          <w:b/>
          <w:sz w:val="22"/>
          <w:szCs w:val="22"/>
        </w:rPr>
      </w:pPr>
    </w:p>
    <w:p w:rsidR="001C295C" w:rsidRPr="00333E6A" w:rsidRDefault="001C295C" w:rsidP="00864083">
      <w:pPr>
        <w:rPr>
          <w:rFonts w:asciiTheme="minorHAnsi" w:eastAsia="Calibri" w:hAnsiTheme="minorHAnsi" w:cstheme="minorHAnsi"/>
          <w:b/>
          <w:szCs w:val="22"/>
        </w:rPr>
      </w:pPr>
      <w:r w:rsidRPr="00333E6A">
        <w:rPr>
          <w:rFonts w:asciiTheme="minorHAnsi" w:eastAsia="Calibri" w:hAnsiTheme="minorHAnsi" w:cstheme="minorHAnsi"/>
          <w:b/>
          <w:szCs w:val="22"/>
        </w:rPr>
        <w:t>Effective Useful Life</w:t>
      </w:r>
      <w:r w:rsidR="009D1A99" w:rsidRPr="00333E6A">
        <w:rPr>
          <w:rFonts w:asciiTheme="minorHAnsi" w:eastAsia="Calibri" w:hAnsiTheme="minorHAnsi" w:cstheme="minorHAnsi"/>
          <w:b/>
          <w:szCs w:val="22"/>
        </w:rPr>
        <w:t xml:space="preserve"> and Remaining Useful Life</w:t>
      </w:r>
      <w:r w:rsidRPr="00333E6A">
        <w:rPr>
          <w:rFonts w:asciiTheme="minorHAnsi" w:eastAsia="Calibri" w:hAnsiTheme="minorHAnsi" w:cstheme="minorHAnsi"/>
          <w:b/>
          <w:szCs w:val="22"/>
        </w:rPr>
        <w:t>:</w:t>
      </w:r>
      <w:r w:rsidRPr="00333E6A">
        <w:rPr>
          <w:rFonts w:asciiTheme="minorHAnsi" w:eastAsia="Calibri" w:hAnsiTheme="minorHAnsi" w:cstheme="minorHAnsi"/>
          <w:b/>
          <w:szCs w:val="22"/>
        </w:rPr>
        <w:tab/>
      </w:r>
      <w:r w:rsidRPr="00333E6A">
        <w:rPr>
          <w:rFonts w:asciiTheme="minorHAnsi" w:eastAsia="Calibri" w:hAnsiTheme="minorHAnsi" w:cstheme="minorHAnsi"/>
          <w:b/>
          <w:szCs w:val="22"/>
        </w:rPr>
        <w:tab/>
      </w:r>
    </w:p>
    <w:p w:rsidR="00021DE9" w:rsidRPr="00333E6A" w:rsidRDefault="007279D8" w:rsidP="00021DE9">
      <w:pPr>
        <w:rPr>
          <w:rFonts w:asciiTheme="minorHAnsi" w:hAnsiTheme="minorHAnsi" w:cs="Arial"/>
          <w:sz w:val="22"/>
          <w:szCs w:val="22"/>
        </w:rPr>
      </w:pPr>
      <w:r w:rsidRPr="00333E6A">
        <w:rPr>
          <w:rFonts w:asciiTheme="minorHAnsi" w:hAnsiTheme="minorHAnsi" w:cs="Arial"/>
          <w:sz w:val="22"/>
          <w:szCs w:val="22"/>
        </w:rPr>
        <w:t>The effective useful life (EUL) and remaining useful life (RUL) values were obtained using the DEER 2016, READI v2.4.3 tool. DEER defines the RUL as 1/3 of the EUL value based on an estimate of the median number of years that a measure being replaced under the program would remain in place and operable had the program intervention not caused the replacement. The RUL value is only applicable to the first baseline period for an early retirement (ER) or retrofit (RET) measure with an applicable code baseline. The relevant EUL and RUL values for the measures i</w:t>
      </w:r>
      <w:r w:rsidR="00DB3794">
        <w:rPr>
          <w:rFonts w:asciiTheme="minorHAnsi" w:hAnsiTheme="minorHAnsi" w:cs="Arial"/>
          <w:sz w:val="22"/>
          <w:szCs w:val="22"/>
        </w:rPr>
        <w:t>n this work paper are in Table 6</w:t>
      </w:r>
      <w:r w:rsidRPr="00333E6A">
        <w:rPr>
          <w:rFonts w:asciiTheme="minorHAnsi" w:hAnsiTheme="minorHAnsi" w:cs="Arial"/>
          <w:sz w:val="22"/>
          <w:szCs w:val="22"/>
        </w:rPr>
        <w:t>.</w:t>
      </w:r>
      <w:r w:rsidR="00021DE9" w:rsidRPr="00333E6A">
        <w:rPr>
          <w:rFonts w:asciiTheme="minorHAnsi" w:hAnsiTheme="minorHAnsi" w:cs="Arial"/>
          <w:sz w:val="22"/>
          <w:szCs w:val="22"/>
        </w:rPr>
        <w:t xml:space="preserve"> </w:t>
      </w:r>
    </w:p>
    <w:p w:rsidR="007279D8" w:rsidRPr="00333E6A" w:rsidRDefault="007279D8" w:rsidP="00021DE9">
      <w:pPr>
        <w:rPr>
          <w:rFonts w:asciiTheme="minorHAnsi" w:hAnsiTheme="minorHAnsi" w:cs="Arial"/>
          <w:sz w:val="22"/>
          <w:szCs w:val="22"/>
        </w:rPr>
      </w:pPr>
    </w:p>
    <w:p w:rsidR="00CB0F78" w:rsidRPr="00DB3794" w:rsidRDefault="00DB3794" w:rsidP="007279D8">
      <w:pPr>
        <w:jc w:val="center"/>
        <w:rPr>
          <w:rFonts w:asciiTheme="minorHAnsi" w:hAnsiTheme="minorHAnsi" w:cs="Arial"/>
        </w:rPr>
      </w:pPr>
      <w:r w:rsidRPr="00DB3794">
        <w:rPr>
          <w:rFonts w:asciiTheme="minorHAnsi" w:hAnsiTheme="minorHAnsi" w:cs="Arial"/>
          <w:b/>
        </w:rPr>
        <w:t>Table 6</w:t>
      </w:r>
      <w:r w:rsidR="007279D8" w:rsidRPr="00DB3794">
        <w:rPr>
          <w:rFonts w:asciiTheme="minorHAnsi" w:hAnsiTheme="minorHAnsi" w:cs="Arial"/>
        </w:rPr>
        <w:t xml:space="preserve"> Effective Useful Life</w:t>
      </w:r>
    </w:p>
    <w:tbl>
      <w:tblPr>
        <w:tblStyle w:val="TableGrid1"/>
        <w:tblW w:w="5000" w:type="pct"/>
        <w:tblLook w:val="04A0" w:firstRow="1" w:lastRow="0" w:firstColumn="1" w:lastColumn="0" w:noHBand="0" w:noVBand="1"/>
      </w:tblPr>
      <w:tblGrid>
        <w:gridCol w:w="1561"/>
        <w:gridCol w:w="2734"/>
        <w:gridCol w:w="892"/>
        <w:gridCol w:w="1376"/>
        <w:gridCol w:w="1541"/>
        <w:gridCol w:w="1472"/>
      </w:tblGrid>
      <w:tr w:rsidR="00CB0F78" w:rsidRPr="00500C4E" w:rsidTr="00425C29">
        <w:tc>
          <w:tcPr>
            <w:tcW w:w="824" w:type="pct"/>
            <w:tcBorders>
              <w:bottom w:val="single" w:sz="4" w:space="0" w:color="auto"/>
            </w:tcBorders>
            <w:shd w:val="clear" w:color="auto" w:fill="D9D9D9" w:themeFill="background1" w:themeFillShade="D9"/>
          </w:tcPr>
          <w:p w:rsidR="00CB0F78" w:rsidRPr="00927047" w:rsidRDefault="00CB0F78" w:rsidP="00927047">
            <w:pPr>
              <w:jc w:val="center"/>
              <w:rPr>
                <w:rFonts w:cstheme="minorHAnsi"/>
                <w:b/>
                <w:sz w:val="22"/>
                <w:szCs w:val="22"/>
              </w:rPr>
            </w:pPr>
            <w:r w:rsidRPr="00927047">
              <w:rPr>
                <w:rFonts w:cstheme="minorHAnsi"/>
                <w:b/>
                <w:sz w:val="22"/>
                <w:szCs w:val="22"/>
              </w:rPr>
              <w:t>EUL ID</w:t>
            </w:r>
          </w:p>
        </w:tc>
        <w:tc>
          <w:tcPr>
            <w:tcW w:w="1436" w:type="pct"/>
            <w:tcBorders>
              <w:bottom w:val="single" w:sz="4" w:space="0" w:color="auto"/>
            </w:tcBorders>
            <w:shd w:val="clear" w:color="auto" w:fill="D9D9D9" w:themeFill="background1" w:themeFillShade="D9"/>
          </w:tcPr>
          <w:p w:rsidR="00CB0F78" w:rsidRPr="00927047" w:rsidRDefault="00CB0F78" w:rsidP="00927047">
            <w:pPr>
              <w:jc w:val="center"/>
              <w:rPr>
                <w:rFonts w:cstheme="minorHAnsi"/>
                <w:b/>
                <w:sz w:val="22"/>
                <w:szCs w:val="22"/>
              </w:rPr>
            </w:pPr>
            <w:r w:rsidRPr="00927047">
              <w:rPr>
                <w:rFonts w:cstheme="minorHAnsi"/>
                <w:b/>
                <w:sz w:val="22"/>
                <w:szCs w:val="22"/>
              </w:rPr>
              <w:t>Description</w:t>
            </w:r>
          </w:p>
        </w:tc>
        <w:tc>
          <w:tcPr>
            <w:tcW w:w="474" w:type="pct"/>
            <w:tcBorders>
              <w:bottom w:val="single" w:sz="4" w:space="0" w:color="auto"/>
            </w:tcBorders>
            <w:shd w:val="clear" w:color="auto" w:fill="D9D9D9" w:themeFill="background1" w:themeFillShade="D9"/>
          </w:tcPr>
          <w:p w:rsidR="00CB0F78" w:rsidRPr="00927047" w:rsidRDefault="00CB0F78" w:rsidP="00927047">
            <w:pPr>
              <w:jc w:val="center"/>
              <w:rPr>
                <w:rFonts w:cstheme="minorHAnsi"/>
                <w:b/>
                <w:sz w:val="22"/>
                <w:szCs w:val="22"/>
              </w:rPr>
            </w:pPr>
            <w:r w:rsidRPr="00927047">
              <w:rPr>
                <w:rFonts w:cstheme="minorHAnsi"/>
                <w:b/>
                <w:sz w:val="22"/>
                <w:szCs w:val="22"/>
              </w:rPr>
              <w:t>Sector</w:t>
            </w:r>
          </w:p>
        </w:tc>
        <w:tc>
          <w:tcPr>
            <w:tcW w:w="676" w:type="pct"/>
            <w:tcBorders>
              <w:bottom w:val="single" w:sz="4" w:space="0" w:color="auto"/>
            </w:tcBorders>
            <w:shd w:val="clear" w:color="auto" w:fill="D9D9D9" w:themeFill="background1" w:themeFillShade="D9"/>
          </w:tcPr>
          <w:p w:rsidR="00CB0F78" w:rsidRPr="00927047" w:rsidRDefault="00CB0F78" w:rsidP="00927047">
            <w:pPr>
              <w:jc w:val="center"/>
              <w:rPr>
                <w:rFonts w:cstheme="minorHAnsi"/>
                <w:b/>
                <w:sz w:val="22"/>
                <w:szCs w:val="22"/>
              </w:rPr>
            </w:pPr>
            <w:r w:rsidRPr="00927047">
              <w:rPr>
                <w:rFonts w:cstheme="minorHAnsi"/>
                <w:b/>
                <w:sz w:val="22"/>
                <w:szCs w:val="22"/>
              </w:rPr>
              <w:t>UseCategory</w:t>
            </w:r>
          </w:p>
        </w:tc>
        <w:tc>
          <w:tcPr>
            <w:tcW w:w="813" w:type="pct"/>
            <w:tcBorders>
              <w:bottom w:val="single" w:sz="4" w:space="0" w:color="auto"/>
            </w:tcBorders>
            <w:shd w:val="clear" w:color="auto" w:fill="D9D9D9" w:themeFill="background1" w:themeFillShade="D9"/>
          </w:tcPr>
          <w:p w:rsidR="00CB0F78" w:rsidRPr="00927047" w:rsidRDefault="00CB0F78" w:rsidP="00927047">
            <w:pPr>
              <w:jc w:val="center"/>
              <w:rPr>
                <w:rFonts w:cstheme="minorHAnsi"/>
                <w:b/>
                <w:sz w:val="22"/>
                <w:szCs w:val="22"/>
              </w:rPr>
            </w:pPr>
            <w:r w:rsidRPr="00927047">
              <w:rPr>
                <w:rFonts w:cstheme="minorHAnsi"/>
                <w:b/>
                <w:sz w:val="22"/>
                <w:szCs w:val="22"/>
              </w:rPr>
              <w:t>EUL (Years)</w:t>
            </w:r>
          </w:p>
        </w:tc>
        <w:tc>
          <w:tcPr>
            <w:tcW w:w="777" w:type="pct"/>
            <w:tcBorders>
              <w:bottom w:val="single" w:sz="4" w:space="0" w:color="auto"/>
            </w:tcBorders>
            <w:shd w:val="clear" w:color="auto" w:fill="D9D9D9" w:themeFill="background1" w:themeFillShade="D9"/>
          </w:tcPr>
          <w:p w:rsidR="00CB0F78" w:rsidRPr="00927047" w:rsidRDefault="00CB0F78" w:rsidP="00927047">
            <w:pPr>
              <w:jc w:val="center"/>
              <w:rPr>
                <w:rFonts w:cstheme="minorHAnsi"/>
                <w:b/>
                <w:sz w:val="22"/>
                <w:szCs w:val="22"/>
              </w:rPr>
            </w:pPr>
            <w:r w:rsidRPr="00927047">
              <w:rPr>
                <w:rFonts w:cstheme="minorHAnsi"/>
                <w:b/>
                <w:sz w:val="22"/>
                <w:szCs w:val="22"/>
              </w:rPr>
              <w:t>RUL (Years)</w:t>
            </w:r>
          </w:p>
        </w:tc>
      </w:tr>
      <w:tr w:rsidR="00CB0F78" w:rsidRPr="00500C4E" w:rsidTr="00425C29">
        <w:trPr>
          <w:trHeight w:val="243"/>
        </w:trPr>
        <w:tc>
          <w:tcPr>
            <w:tcW w:w="824" w:type="pct"/>
            <w:shd w:val="clear" w:color="auto" w:fill="F2F2F2" w:themeFill="background1" w:themeFillShade="F2"/>
            <w:vAlign w:val="center"/>
          </w:tcPr>
          <w:p w:rsidR="00CB0F78" w:rsidRPr="00927047" w:rsidRDefault="00CB0F78" w:rsidP="00927047">
            <w:pPr>
              <w:jc w:val="center"/>
              <w:rPr>
                <w:sz w:val="22"/>
                <w:szCs w:val="22"/>
              </w:rPr>
            </w:pPr>
            <w:r w:rsidRPr="00927047">
              <w:rPr>
                <w:sz w:val="22"/>
                <w:szCs w:val="22"/>
              </w:rPr>
              <w:t>HV-ProgTstat</w:t>
            </w:r>
          </w:p>
        </w:tc>
        <w:tc>
          <w:tcPr>
            <w:tcW w:w="1436" w:type="pct"/>
            <w:shd w:val="clear" w:color="auto" w:fill="F2F2F2" w:themeFill="background1" w:themeFillShade="F2"/>
            <w:vAlign w:val="bottom"/>
          </w:tcPr>
          <w:p w:rsidR="00CB0F78" w:rsidRPr="00927047" w:rsidRDefault="00CB0F78" w:rsidP="00927047">
            <w:pPr>
              <w:jc w:val="center"/>
              <w:rPr>
                <w:sz w:val="22"/>
                <w:szCs w:val="22"/>
              </w:rPr>
            </w:pPr>
            <w:r w:rsidRPr="00927047">
              <w:rPr>
                <w:sz w:val="22"/>
                <w:szCs w:val="22"/>
              </w:rPr>
              <w:t>Programmable Thermostat</w:t>
            </w:r>
          </w:p>
        </w:tc>
        <w:tc>
          <w:tcPr>
            <w:tcW w:w="474" w:type="pct"/>
            <w:shd w:val="clear" w:color="auto" w:fill="F2F2F2" w:themeFill="background1" w:themeFillShade="F2"/>
            <w:vAlign w:val="center"/>
          </w:tcPr>
          <w:p w:rsidR="00CB0F78" w:rsidRPr="00927047" w:rsidRDefault="00CB0F78" w:rsidP="00927047">
            <w:pPr>
              <w:jc w:val="center"/>
              <w:rPr>
                <w:sz w:val="22"/>
                <w:szCs w:val="22"/>
              </w:rPr>
            </w:pPr>
            <w:r w:rsidRPr="00927047">
              <w:rPr>
                <w:sz w:val="22"/>
                <w:szCs w:val="22"/>
              </w:rPr>
              <w:t>Res</w:t>
            </w:r>
          </w:p>
        </w:tc>
        <w:tc>
          <w:tcPr>
            <w:tcW w:w="676" w:type="pct"/>
            <w:shd w:val="clear" w:color="auto" w:fill="F2F2F2" w:themeFill="background1" w:themeFillShade="F2"/>
            <w:vAlign w:val="center"/>
          </w:tcPr>
          <w:p w:rsidR="00CB0F78" w:rsidRPr="00927047" w:rsidRDefault="00CB0F78" w:rsidP="00927047">
            <w:pPr>
              <w:jc w:val="center"/>
              <w:rPr>
                <w:sz w:val="22"/>
                <w:szCs w:val="22"/>
              </w:rPr>
            </w:pPr>
            <w:r w:rsidRPr="00927047">
              <w:rPr>
                <w:sz w:val="22"/>
                <w:szCs w:val="22"/>
              </w:rPr>
              <w:t>HVAC</w:t>
            </w:r>
          </w:p>
        </w:tc>
        <w:tc>
          <w:tcPr>
            <w:tcW w:w="813" w:type="pct"/>
            <w:shd w:val="clear" w:color="auto" w:fill="F2F2F2" w:themeFill="background1" w:themeFillShade="F2"/>
            <w:vAlign w:val="center"/>
          </w:tcPr>
          <w:p w:rsidR="00CB0F78" w:rsidRPr="00927047" w:rsidRDefault="00CB0F78" w:rsidP="00927047">
            <w:pPr>
              <w:jc w:val="center"/>
              <w:rPr>
                <w:sz w:val="22"/>
                <w:szCs w:val="22"/>
              </w:rPr>
            </w:pPr>
            <w:r w:rsidRPr="00927047">
              <w:rPr>
                <w:sz w:val="22"/>
                <w:szCs w:val="22"/>
              </w:rPr>
              <w:t>11</w:t>
            </w:r>
          </w:p>
        </w:tc>
        <w:tc>
          <w:tcPr>
            <w:tcW w:w="777" w:type="pct"/>
            <w:shd w:val="clear" w:color="auto" w:fill="F2F2F2" w:themeFill="background1" w:themeFillShade="F2"/>
            <w:vAlign w:val="center"/>
          </w:tcPr>
          <w:p w:rsidR="00CB0F78" w:rsidRPr="00927047" w:rsidRDefault="00CB0F78" w:rsidP="00927047">
            <w:pPr>
              <w:jc w:val="center"/>
              <w:rPr>
                <w:sz w:val="22"/>
                <w:szCs w:val="22"/>
              </w:rPr>
            </w:pPr>
            <w:r w:rsidRPr="00927047">
              <w:rPr>
                <w:sz w:val="22"/>
                <w:szCs w:val="22"/>
              </w:rPr>
              <w:t>11</w:t>
            </w:r>
          </w:p>
        </w:tc>
      </w:tr>
    </w:tbl>
    <w:p w:rsidR="00CB0F78" w:rsidRPr="0066794C" w:rsidRDefault="00CB0F78" w:rsidP="00021DE9">
      <w:pPr>
        <w:rPr>
          <w:rFonts w:ascii="Arial" w:hAnsi="Arial" w:cs="Arial"/>
          <w:sz w:val="22"/>
          <w:szCs w:val="22"/>
        </w:rPr>
      </w:pPr>
    </w:p>
    <w:p w:rsidR="001C295C" w:rsidRPr="0066794C" w:rsidRDefault="001C295C" w:rsidP="002C1979">
      <w:pPr>
        <w:pStyle w:val="Caption"/>
        <w:rPr>
          <w:rFonts w:ascii="Arial" w:hAnsi="Arial" w:cs="Arial"/>
          <w:sz w:val="22"/>
          <w:szCs w:val="22"/>
        </w:rPr>
      </w:pPr>
    </w:p>
    <w:p w:rsidR="00333E6A" w:rsidRDefault="00333E6A">
      <w:pPr>
        <w:rPr>
          <w:rFonts w:ascii="Arial" w:hAnsi="Arial" w:cs="Arial"/>
          <w:b/>
          <w:bCs/>
          <w:i/>
          <w:iCs/>
          <w:sz w:val="28"/>
          <w:szCs w:val="28"/>
        </w:rPr>
      </w:pPr>
      <w:bookmarkStart w:id="30" w:name="_Toc404765876"/>
      <w:r>
        <w:br w:type="page"/>
      </w:r>
    </w:p>
    <w:p w:rsidR="002E0043" w:rsidRPr="00333E6A" w:rsidRDefault="001248A3" w:rsidP="00333E6A">
      <w:pPr>
        <w:pStyle w:val="Heading2"/>
        <w:rPr>
          <w:rFonts w:asciiTheme="minorHAnsi" w:hAnsiTheme="minorHAnsi"/>
          <w:i w:val="0"/>
        </w:rPr>
      </w:pPr>
      <w:r w:rsidRPr="00333E6A">
        <w:rPr>
          <w:rFonts w:asciiTheme="minorHAnsi" w:hAnsiTheme="minorHAnsi"/>
          <w:i w:val="0"/>
        </w:rPr>
        <w:lastRenderedPageBreak/>
        <w:t>1.</w:t>
      </w:r>
      <w:r w:rsidR="00FA595F" w:rsidRPr="00333E6A">
        <w:rPr>
          <w:rFonts w:asciiTheme="minorHAnsi" w:hAnsiTheme="minorHAnsi"/>
          <w:i w:val="0"/>
        </w:rPr>
        <w:t>4</w:t>
      </w:r>
      <w:r w:rsidR="00793646" w:rsidRPr="00333E6A">
        <w:rPr>
          <w:rFonts w:asciiTheme="minorHAnsi" w:hAnsiTheme="minorHAnsi"/>
          <w:i w:val="0"/>
        </w:rPr>
        <w:t>.2</w:t>
      </w:r>
      <w:r w:rsidR="00FA595F" w:rsidRPr="00333E6A">
        <w:rPr>
          <w:rFonts w:asciiTheme="minorHAnsi" w:hAnsiTheme="minorHAnsi"/>
          <w:i w:val="0"/>
        </w:rPr>
        <w:t xml:space="preserve"> </w:t>
      </w:r>
      <w:r w:rsidR="00E71EF1" w:rsidRPr="00333E6A">
        <w:rPr>
          <w:rFonts w:asciiTheme="minorHAnsi" w:hAnsiTheme="minorHAnsi"/>
          <w:i w:val="0"/>
        </w:rPr>
        <w:t xml:space="preserve">Codes &amp; Standards Requirements </w:t>
      </w:r>
      <w:r w:rsidR="009C5CA7" w:rsidRPr="00333E6A">
        <w:rPr>
          <w:rFonts w:asciiTheme="minorHAnsi" w:hAnsiTheme="minorHAnsi"/>
          <w:i w:val="0"/>
        </w:rPr>
        <w:t>Base Case and Measure Information</w:t>
      </w:r>
      <w:bookmarkEnd w:id="30"/>
    </w:p>
    <w:p w:rsidR="009A04C7" w:rsidRPr="00DB3794" w:rsidRDefault="009D1A99" w:rsidP="00530D89">
      <w:pPr>
        <w:rPr>
          <w:rFonts w:asciiTheme="minorHAnsi" w:hAnsiTheme="minorHAnsi" w:cs="Arial"/>
          <w:sz w:val="22"/>
          <w:szCs w:val="22"/>
        </w:rPr>
      </w:pPr>
      <w:r w:rsidRPr="00DB3794">
        <w:rPr>
          <w:rFonts w:asciiTheme="minorHAnsi" w:hAnsiTheme="minorHAnsi" w:cs="Arial"/>
          <w:sz w:val="22"/>
          <w:szCs w:val="22"/>
        </w:rPr>
        <w:t>This measure</w:t>
      </w:r>
      <w:r w:rsidR="00C312B0" w:rsidRPr="00DB3794">
        <w:rPr>
          <w:rFonts w:asciiTheme="minorHAnsi" w:hAnsiTheme="minorHAnsi" w:cs="Arial"/>
          <w:sz w:val="22"/>
          <w:szCs w:val="22"/>
        </w:rPr>
        <w:t xml:space="preserve"> fall</w:t>
      </w:r>
      <w:r w:rsidRPr="00DB3794">
        <w:rPr>
          <w:rFonts w:asciiTheme="minorHAnsi" w:hAnsiTheme="minorHAnsi" w:cs="Arial"/>
          <w:sz w:val="22"/>
          <w:szCs w:val="22"/>
        </w:rPr>
        <w:t>s</w:t>
      </w:r>
      <w:r w:rsidR="00C312B0" w:rsidRPr="00DB3794">
        <w:rPr>
          <w:rFonts w:asciiTheme="minorHAnsi" w:hAnsiTheme="minorHAnsi" w:cs="Arial"/>
          <w:sz w:val="22"/>
          <w:szCs w:val="22"/>
        </w:rPr>
        <w:t xml:space="preserve"> under the jurisdiction of Title 24 as listed below. </w:t>
      </w:r>
      <w:r w:rsidR="00895FC6" w:rsidRPr="00DB3794">
        <w:rPr>
          <w:rFonts w:asciiTheme="minorHAnsi" w:hAnsiTheme="minorHAnsi" w:cs="Arial"/>
          <w:sz w:val="22"/>
          <w:szCs w:val="22"/>
        </w:rPr>
        <w:t>We find that PCTs have the capability to respond to a demand response signal, and therefore exceed the functionality of thermostats that meet current</w:t>
      </w:r>
      <w:r w:rsidR="001E091B" w:rsidRPr="00DB3794">
        <w:rPr>
          <w:rFonts w:asciiTheme="minorHAnsi" w:hAnsiTheme="minorHAnsi" w:cs="Arial"/>
          <w:sz w:val="22"/>
          <w:szCs w:val="22"/>
        </w:rPr>
        <w:t xml:space="preserve"> 2013</w:t>
      </w:r>
      <w:r w:rsidR="00895FC6" w:rsidRPr="00DB3794">
        <w:rPr>
          <w:rFonts w:asciiTheme="minorHAnsi" w:hAnsiTheme="minorHAnsi" w:cs="Arial"/>
          <w:sz w:val="22"/>
          <w:szCs w:val="22"/>
        </w:rPr>
        <w:t xml:space="preserve"> Title-24 standards.</w:t>
      </w:r>
    </w:p>
    <w:p w:rsidR="00333E6A" w:rsidRDefault="00333E6A" w:rsidP="00530D89">
      <w:pPr>
        <w:rPr>
          <w:rFonts w:ascii="Arial" w:hAnsi="Arial" w:cs="Arial"/>
          <w:sz w:val="22"/>
          <w:szCs w:val="22"/>
        </w:rPr>
      </w:pPr>
    </w:p>
    <w:p w:rsidR="00333E6A" w:rsidRPr="00DB3794" w:rsidRDefault="00333E6A" w:rsidP="00333E6A">
      <w:pPr>
        <w:pStyle w:val="Caption"/>
        <w:jc w:val="center"/>
        <w:rPr>
          <w:rFonts w:asciiTheme="minorHAnsi" w:hAnsiTheme="minorHAnsi" w:cstheme="minorHAnsi"/>
          <w:b w:val="0"/>
          <w:sz w:val="24"/>
          <w:szCs w:val="24"/>
        </w:rPr>
      </w:pPr>
      <w:bookmarkStart w:id="31" w:name="_Ref453846088"/>
      <w:r w:rsidRPr="00DB3794">
        <w:rPr>
          <w:rFonts w:asciiTheme="minorHAnsi" w:hAnsiTheme="minorHAnsi"/>
          <w:sz w:val="24"/>
          <w:szCs w:val="24"/>
        </w:rPr>
        <w:t xml:space="preserve">Table </w:t>
      </w:r>
      <w:bookmarkEnd w:id="31"/>
      <w:r w:rsidR="00DB3794">
        <w:rPr>
          <w:rFonts w:asciiTheme="minorHAnsi" w:hAnsiTheme="minorHAnsi"/>
          <w:sz w:val="24"/>
          <w:szCs w:val="24"/>
        </w:rPr>
        <w:t>7</w:t>
      </w:r>
      <w:r w:rsidRPr="00DB3794">
        <w:rPr>
          <w:rFonts w:asciiTheme="minorHAnsi" w:hAnsiTheme="minorHAnsi"/>
          <w:sz w:val="24"/>
          <w:szCs w:val="24"/>
        </w:rPr>
        <w:t xml:space="preserve"> </w:t>
      </w:r>
      <w:r w:rsidRPr="00DB3794">
        <w:rPr>
          <w:rFonts w:asciiTheme="minorHAnsi" w:hAnsiTheme="minorHAnsi" w:cstheme="minorHAnsi"/>
          <w:b w:val="0"/>
          <w:sz w:val="24"/>
          <w:szCs w:val="24"/>
        </w:rPr>
        <w:t>Code Summary</w:t>
      </w:r>
    </w:p>
    <w:tbl>
      <w:tblPr>
        <w:tblStyle w:val="TableGrid1"/>
        <w:tblW w:w="5000" w:type="pct"/>
        <w:tblLook w:val="04A0" w:firstRow="1" w:lastRow="0" w:firstColumn="1" w:lastColumn="0" w:noHBand="0" w:noVBand="1"/>
      </w:tblPr>
      <w:tblGrid>
        <w:gridCol w:w="2212"/>
        <w:gridCol w:w="5192"/>
        <w:gridCol w:w="2172"/>
      </w:tblGrid>
      <w:tr w:rsidR="00333E6A" w:rsidRPr="00500C4E" w:rsidTr="00456BC8">
        <w:tc>
          <w:tcPr>
            <w:tcW w:w="1155"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Code</w:t>
            </w:r>
          </w:p>
        </w:tc>
        <w:tc>
          <w:tcPr>
            <w:tcW w:w="2711"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Reference</w:t>
            </w:r>
          </w:p>
        </w:tc>
        <w:tc>
          <w:tcPr>
            <w:tcW w:w="1134" w:type="pct"/>
            <w:tcBorders>
              <w:bottom w:val="single" w:sz="4" w:space="0" w:color="auto"/>
            </w:tcBorders>
            <w:shd w:val="clear" w:color="auto" w:fill="D9D9D9" w:themeFill="background1" w:themeFillShade="D9"/>
          </w:tcPr>
          <w:p w:rsidR="00333E6A" w:rsidRPr="00927047" w:rsidRDefault="00333E6A" w:rsidP="00927047">
            <w:pPr>
              <w:jc w:val="center"/>
              <w:rPr>
                <w:rFonts w:cstheme="minorHAnsi"/>
                <w:b/>
                <w:sz w:val="22"/>
                <w:szCs w:val="22"/>
              </w:rPr>
            </w:pPr>
            <w:r w:rsidRPr="00927047">
              <w:rPr>
                <w:rFonts w:cstheme="minorHAnsi"/>
                <w:b/>
                <w:sz w:val="22"/>
                <w:szCs w:val="22"/>
              </w:rPr>
              <w:t>Effective Dates</w:t>
            </w:r>
          </w:p>
        </w:tc>
      </w:tr>
      <w:tr w:rsidR="00333E6A" w:rsidRPr="00500C4E" w:rsidTr="00456BC8">
        <w:trPr>
          <w:trHeight w:val="243"/>
        </w:trPr>
        <w:tc>
          <w:tcPr>
            <w:tcW w:w="1155" w:type="pct"/>
            <w:tcBorders>
              <w:bottom w:val="single" w:sz="4" w:space="0" w:color="auto"/>
            </w:tcBorders>
            <w:shd w:val="clear" w:color="auto" w:fill="F2F2F2" w:themeFill="background1" w:themeFillShade="F2"/>
          </w:tcPr>
          <w:p w:rsidR="00333E6A" w:rsidRPr="00927047" w:rsidRDefault="00333E6A" w:rsidP="00927047">
            <w:pPr>
              <w:jc w:val="center"/>
              <w:rPr>
                <w:rFonts w:cstheme="minorHAnsi"/>
                <w:sz w:val="22"/>
                <w:szCs w:val="22"/>
              </w:rPr>
            </w:pPr>
            <w:r w:rsidRPr="00927047">
              <w:rPr>
                <w:rFonts w:cstheme="minorHAnsi"/>
                <w:sz w:val="22"/>
                <w:szCs w:val="22"/>
              </w:rPr>
              <w:t>Title 20 (2014)</w:t>
            </w:r>
          </w:p>
        </w:tc>
        <w:tc>
          <w:tcPr>
            <w:tcW w:w="2711" w:type="pct"/>
            <w:tcBorders>
              <w:bottom w:val="single" w:sz="4" w:space="0" w:color="auto"/>
            </w:tcBorders>
            <w:shd w:val="clear" w:color="auto" w:fill="F2F2F2" w:themeFill="background1" w:themeFillShade="F2"/>
            <w:vAlign w:val="center"/>
          </w:tcPr>
          <w:p w:rsidR="00333E6A" w:rsidRPr="00927047" w:rsidRDefault="00333E6A" w:rsidP="00927047">
            <w:pPr>
              <w:jc w:val="center"/>
              <w:rPr>
                <w:rFonts w:cstheme="minorHAnsi"/>
                <w:sz w:val="22"/>
                <w:szCs w:val="22"/>
              </w:rPr>
            </w:pPr>
            <w:r w:rsidRPr="00927047">
              <w:rPr>
                <w:rFonts w:cstheme="minorHAnsi"/>
                <w:sz w:val="22"/>
                <w:szCs w:val="22"/>
              </w:rPr>
              <w:t>N/A</w:t>
            </w:r>
          </w:p>
        </w:tc>
        <w:tc>
          <w:tcPr>
            <w:tcW w:w="1134" w:type="pct"/>
            <w:tcBorders>
              <w:bottom w:val="single" w:sz="4" w:space="0" w:color="auto"/>
            </w:tcBorders>
            <w:shd w:val="clear" w:color="auto" w:fill="F2F2F2" w:themeFill="background1" w:themeFillShade="F2"/>
            <w:vAlign w:val="center"/>
          </w:tcPr>
          <w:p w:rsidR="00333E6A" w:rsidRPr="00927047" w:rsidRDefault="00333E6A" w:rsidP="00927047">
            <w:pPr>
              <w:jc w:val="center"/>
              <w:rPr>
                <w:rFonts w:cstheme="minorHAnsi"/>
                <w:sz w:val="22"/>
                <w:szCs w:val="22"/>
              </w:rPr>
            </w:pPr>
            <w:r w:rsidRPr="00927047">
              <w:rPr>
                <w:rFonts w:cstheme="minorHAnsi"/>
                <w:sz w:val="22"/>
                <w:szCs w:val="22"/>
              </w:rPr>
              <w:t>N/A</w:t>
            </w:r>
          </w:p>
        </w:tc>
      </w:tr>
      <w:tr w:rsidR="00333E6A" w:rsidRPr="00500C4E" w:rsidTr="00456BC8">
        <w:trPr>
          <w:trHeight w:val="243"/>
        </w:trPr>
        <w:tc>
          <w:tcPr>
            <w:tcW w:w="1155" w:type="pct"/>
            <w:shd w:val="clear" w:color="auto" w:fill="FFFFFF" w:themeFill="background1"/>
          </w:tcPr>
          <w:p w:rsidR="00333E6A" w:rsidRPr="00927047" w:rsidRDefault="00333E6A" w:rsidP="00927047">
            <w:pPr>
              <w:jc w:val="center"/>
              <w:rPr>
                <w:rFonts w:cstheme="minorHAnsi"/>
                <w:sz w:val="22"/>
                <w:szCs w:val="22"/>
              </w:rPr>
            </w:pPr>
            <w:r w:rsidRPr="00927047">
              <w:rPr>
                <w:rFonts w:cstheme="minorHAnsi"/>
                <w:sz w:val="22"/>
                <w:szCs w:val="22"/>
              </w:rPr>
              <w:t>Title 24 (2013)</w:t>
            </w:r>
          </w:p>
        </w:tc>
        <w:tc>
          <w:tcPr>
            <w:tcW w:w="2711" w:type="pct"/>
            <w:shd w:val="clear" w:color="auto" w:fill="FFFFFF" w:themeFill="background1"/>
            <w:vAlign w:val="center"/>
          </w:tcPr>
          <w:p w:rsidR="00333E6A" w:rsidRPr="00927047" w:rsidRDefault="00333E6A" w:rsidP="00927047">
            <w:pPr>
              <w:jc w:val="center"/>
              <w:rPr>
                <w:rFonts w:cstheme="minorHAnsi"/>
                <w:sz w:val="22"/>
                <w:szCs w:val="22"/>
              </w:rPr>
            </w:pPr>
            <w:r w:rsidRPr="00927047">
              <w:rPr>
                <w:rFonts w:cstheme="minorHAnsi"/>
                <w:sz w:val="22"/>
                <w:szCs w:val="22"/>
              </w:rPr>
              <w:t>Title 24, part 6 Section 110 Thermostats</w:t>
            </w:r>
          </w:p>
        </w:tc>
        <w:tc>
          <w:tcPr>
            <w:tcW w:w="1134" w:type="pct"/>
            <w:shd w:val="clear" w:color="auto" w:fill="FFFFFF" w:themeFill="background1"/>
            <w:vAlign w:val="center"/>
          </w:tcPr>
          <w:p w:rsidR="00333E6A" w:rsidRPr="00927047" w:rsidRDefault="00333E6A" w:rsidP="00927047">
            <w:pPr>
              <w:jc w:val="center"/>
              <w:rPr>
                <w:rFonts w:cstheme="minorHAnsi"/>
                <w:sz w:val="22"/>
                <w:szCs w:val="22"/>
              </w:rPr>
            </w:pPr>
            <w:r w:rsidRPr="00927047">
              <w:rPr>
                <w:rFonts w:cstheme="minorHAnsi"/>
                <w:sz w:val="22"/>
                <w:szCs w:val="22"/>
              </w:rPr>
              <w:t>July 1, 2014</w:t>
            </w:r>
          </w:p>
        </w:tc>
      </w:tr>
    </w:tbl>
    <w:p w:rsidR="00333E6A" w:rsidRPr="007B3E4A" w:rsidRDefault="00333E6A" w:rsidP="00530D89">
      <w:pPr>
        <w:rPr>
          <w:rFonts w:ascii="Arial" w:hAnsi="Arial" w:cs="Arial"/>
        </w:rPr>
      </w:pPr>
    </w:p>
    <w:p w:rsidR="00333E6A" w:rsidRPr="00333E6A" w:rsidRDefault="00333E6A" w:rsidP="00333E6A">
      <w:pPr>
        <w:autoSpaceDE w:val="0"/>
        <w:autoSpaceDN w:val="0"/>
        <w:adjustRightInd w:val="0"/>
        <w:ind w:firstLine="720"/>
        <w:rPr>
          <w:rFonts w:ascii="Calibri" w:eastAsia="Calibri" w:hAnsi="Calibri"/>
          <w:b/>
          <w:sz w:val="22"/>
          <w:szCs w:val="22"/>
        </w:rPr>
      </w:pPr>
      <w:r w:rsidRPr="00333E6A">
        <w:rPr>
          <w:rFonts w:ascii="Calibri" w:eastAsia="Calibri" w:hAnsi="Calibri"/>
          <w:b/>
          <w:sz w:val="22"/>
          <w:szCs w:val="22"/>
        </w:rPr>
        <w:t>Section 110</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b/>
          <w:sz w:val="22"/>
          <w:szCs w:val="22"/>
          <w:u w:val="single"/>
        </w:rPr>
        <w:t>Thermostats.</w:t>
      </w:r>
      <w:r w:rsidRPr="00333E6A">
        <w:rPr>
          <w:rFonts w:ascii="Calibri" w:eastAsia="Calibri" w:hAnsi="Calibri"/>
          <w:sz w:val="22"/>
          <w:szCs w:val="22"/>
        </w:rPr>
        <w:t xml:space="preserve"> All unitary heating or cooling systems, including heat pumps, not controlled by a central energy management control system (EMCS) shall have a setback thermostat.</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b/>
          <w:sz w:val="22"/>
          <w:szCs w:val="22"/>
          <w:u w:val="single"/>
        </w:rPr>
        <w:t>1. Setback Capabilities.</w:t>
      </w:r>
      <w:r w:rsidRPr="00333E6A">
        <w:rPr>
          <w:rFonts w:ascii="Calibri" w:eastAsia="Calibri" w:hAnsi="Calibri"/>
          <w:sz w:val="22"/>
          <w:szCs w:val="22"/>
        </w:rPr>
        <w:t xml:space="preserve"> All thermostats shall have a clock mechanism that allows the building occupant to Program the temperature set points for at least four periods within 24 hours. Thermostats for heat pumps shall meet the requirements of Section 110.2(b). Space-conditioning systems shall be installed with controls that comply with the applicable requirements of Subsections (a) through (i).</w:t>
      </w:r>
    </w:p>
    <w:p w:rsidR="00333E6A" w:rsidRPr="00333E6A" w:rsidRDefault="00333E6A" w:rsidP="00333E6A">
      <w:pPr>
        <w:autoSpaceDE w:val="0"/>
        <w:autoSpaceDN w:val="0"/>
        <w:adjustRightInd w:val="0"/>
        <w:ind w:left="720"/>
        <w:rPr>
          <w:rFonts w:ascii="Calibri" w:eastAsia="Calibri" w:hAnsi="Calibri"/>
          <w:b/>
          <w:sz w:val="22"/>
          <w:szCs w:val="22"/>
        </w:rPr>
      </w:pPr>
    </w:p>
    <w:p w:rsidR="00333E6A" w:rsidRPr="00333E6A" w:rsidRDefault="00333E6A" w:rsidP="00333E6A">
      <w:pPr>
        <w:autoSpaceDE w:val="0"/>
        <w:autoSpaceDN w:val="0"/>
        <w:adjustRightInd w:val="0"/>
        <w:ind w:left="720"/>
        <w:rPr>
          <w:rFonts w:ascii="Calibri" w:eastAsia="Calibri" w:hAnsi="Calibri"/>
          <w:b/>
          <w:sz w:val="22"/>
          <w:szCs w:val="22"/>
        </w:rPr>
      </w:pPr>
      <w:r w:rsidRPr="00333E6A">
        <w:rPr>
          <w:rFonts w:ascii="Calibri" w:eastAsia="Calibri" w:hAnsi="Calibri"/>
          <w:b/>
          <w:sz w:val="22"/>
          <w:szCs w:val="22"/>
        </w:rPr>
        <w:t>Section 120</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b/>
          <w:sz w:val="22"/>
          <w:szCs w:val="22"/>
          <w:u w:val="single"/>
        </w:rPr>
        <w:t>Thermostatic Controls for Each Zone.</w:t>
      </w:r>
      <w:r w:rsidRPr="00333E6A">
        <w:rPr>
          <w:rFonts w:ascii="Calibri" w:eastAsia="Calibri" w:hAnsi="Calibri"/>
          <w:sz w:val="22"/>
          <w:szCs w:val="22"/>
        </w:rPr>
        <w:t xml:space="preserve"> The supply of heating and cooling energy to each space-conditioning zone or dwelling unit shall be controlled by an individual thermostatic control that responds to temperature within the zone and that meets the applicable requirements of Section 120.2(b).</w:t>
      </w:r>
    </w:p>
    <w:p w:rsidR="00333E6A" w:rsidRPr="00333E6A" w:rsidRDefault="00333E6A" w:rsidP="00333E6A">
      <w:pPr>
        <w:autoSpaceDE w:val="0"/>
        <w:autoSpaceDN w:val="0"/>
        <w:adjustRightInd w:val="0"/>
        <w:ind w:left="720"/>
        <w:rPr>
          <w:rFonts w:ascii="Calibri" w:eastAsia="Calibri" w:hAnsi="Calibri"/>
          <w:sz w:val="22"/>
          <w:szCs w:val="22"/>
        </w:rPr>
      </w:pP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b/>
          <w:sz w:val="22"/>
          <w:szCs w:val="22"/>
          <w:u w:val="single"/>
        </w:rPr>
        <w:t>EXCEPTION to Section 120.2(a):</w:t>
      </w:r>
      <w:r w:rsidRPr="00333E6A">
        <w:rPr>
          <w:rFonts w:ascii="Calibri" w:eastAsia="Calibri" w:hAnsi="Calibri"/>
          <w:sz w:val="22"/>
          <w:szCs w:val="22"/>
        </w:rPr>
        <w:t xml:space="preserve"> An independent perimeter heating or cooling system may serve more than one zone without individual thermostatic controls if:</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1. All zones are also served by an interior cooling system;</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2. The perimeter system is designed solely to offset envelope heat losses or gains;</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3. The perimeter system has at least one thermostatic control for each building orientation of 50 feet or more; and</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4. The perimeter system is controlled by at least one thermostat located in one of the zones served by the system.</w:t>
      </w:r>
    </w:p>
    <w:p w:rsidR="00333E6A" w:rsidRPr="00333E6A" w:rsidRDefault="00333E6A" w:rsidP="00333E6A">
      <w:pPr>
        <w:autoSpaceDE w:val="0"/>
        <w:autoSpaceDN w:val="0"/>
        <w:adjustRightInd w:val="0"/>
        <w:ind w:left="720"/>
        <w:rPr>
          <w:rFonts w:ascii="Calibri" w:eastAsia="Calibri" w:hAnsi="Calibri"/>
          <w:sz w:val="22"/>
          <w:szCs w:val="22"/>
        </w:rPr>
      </w:pP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b/>
          <w:sz w:val="22"/>
          <w:szCs w:val="22"/>
          <w:u w:val="single"/>
        </w:rPr>
        <w:t>(b) Criteria for Zonal Thermostatic Controls.</w:t>
      </w:r>
      <w:r w:rsidRPr="00333E6A">
        <w:rPr>
          <w:rFonts w:ascii="Calibri" w:eastAsia="Calibri" w:hAnsi="Calibri"/>
          <w:sz w:val="22"/>
          <w:szCs w:val="22"/>
        </w:rPr>
        <w:t xml:space="preserve"> The individual thermostatic controls required by Section 120.2(a) shall meet the following requirements as applicable:</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1. Where used to control comfort heating, the thermostatic controls shall be capable of being set, locally or remotely, down to 55°F or lower.</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2. Where used to control comfort cooling, the thermostatic controls shall be capable of being set, locally or remotely, up to 85°F or higher.</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3. Where used to control both comfort heating and comfort cooling, the thermostatic controls shall meet Items 1 and 2 and shall be capable of providing a temperature range or dead band of at least 5°F within which the supply of heating and cooling energy to the zone is shut off or reduced to a minimum.</w:t>
      </w:r>
    </w:p>
    <w:p w:rsidR="00333E6A" w:rsidRPr="00333E6A" w:rsidRDefault="00333E6A" w:rsidP="00333E6A">
      <w:pPr>
        <w:autoSpaceDE w:val="0"/>
        <w:autoSpaceDN w:val="0"/>
        <w:adjustRightInd w:val="0"/>
        <w:ind w:left="720"/>
        <w:rPr>
          <w:rFonts w:ascii="Calibri" w:eastAsia="Calibri" w:hAnsi="Calibri"/>
          <w:sz w:val="22"/>
          <w:szCs w:val="22"/>
        </w:rPr>
      </w:pP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b/>
          <w:sz w:val="22"/>
          <w:szCs w:val="22"/>
          <w:u w:val="single"/>
        </w:rPr>
        <w:t xml:space="preserve">EXCEPTION to Section 120.2(b)3: </w:t>
      </w:r>
      <w:r w:rsidRPr="00333E6A">
        <w:rPr>
          <w:rFonts w:ascii="Calibri" w:eastAsia="Calibri" w:hAnsi="Calibri"/>
          <w:sz w:val="22"/>
          <w:szCs w:val="22"/>
        </w:rPr>
        <w:t>Systems with thermostats that require manual changeover between heating and cooling modes.</w:t>
      </w:r>
    </w:p>
    <w:p w:rsidR="00333E6A" w:rsidRPr="00333E6A" w:rsidRDefault="00333E6A" w:rsidP="00333E6A">
      <w:pPr>
        <w:autoSpaceDE w:val="0"/>
        <w:autoSpaceDN w:val="0"/>
        <w:adjustRightInd w:val="0"/>
        <w:ind w:left="720"/>
        <w:rPr>
          <w:rFonts w:ascii="Calibri" w:eastAsia="Calibri" w:hAnsi="Calibri"/>
          <w:b/>
          <w:sz w:val="22"/>
          <w:szCs w:val="22"/>
        </w:rPr>
      </w:pPr>
      <w:r w:rsidRPr="00333E6A">
        <w:rPr>
          <w:rFonts w:ascii="Calibri" w:eastAsia="Calibri" w:hAnsi="Calibri"/>
          <w:sz w:val="22"/>
          <w:szCs w:val="22"/>
        </w:rPr>
        <w:lastRenderedPageBreak/>
        <w:t>4. Thermostatic controls for all unitary single zone, air conditioners, heat pumps, and furnaces, shall comply with the requirements of Section 110.2(c) and Reference Joint Appendix JA5 or, if equipped with DDC to the Zone level, with the Automatic Demand Shed Controls of Section 120.2(h).</w:t>
      </w:r>
      <w:r w:rsidRPr="00333E6A">
        <w:rPr>
          <w:rFonts w:ascii="Calibri" w:eastAsia="Calibri" w:hAnsi="Calibri"/>
          <w:sz w:val="22"/>
          <w:szCs w:val="22"/>
        </w:rPr>
        <w:br/>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b/>
          <w:sz w:val="22"/>
          <w:szCs w:val="22"/>
        </w:rPr>
        <w:t>Appendix JA5 - Technical Specifications For Occupant Controlled Smart Thermostats</w:t>
      </w:r>
    </w:p>
    <w:p w:rsidR="00333E6A" w:rsidRPr="00333E6A" w:rsidRDefault="00333E6A" w:rsidP="00333E6A">
      <w:pPr>
        <w:numPr>
          <w:ilvl w:val="0"/>
          <w:numId w:val="48"/>
        </w:numPr>
        <w:autoSpaceDE w:val="0"/>
        <w:autoSpaceDN w:val="0"/>
        <w:adjustRightInd w:val="0"/>
        <w:contextualSpacing/>
        <w:rPr>
          <w:rFonts w:ascii="Calibri" w:eastAsia="Calibri" w:hAnsi="Calibri"/>
          <w:sz w:val="22"/>
          <w:szCs w:val="22"/>
        </w:rPr>
      </w:pPr>
      <w:r w:rsidRPr="00333E6A">
        <w:rPr>
          <w:rFonts w:ascii="Calibri" w:eastAsia="Calibri" w:hAnsi="Calibri"/>
          <w:sz w:val="22"/>
          <w:szCs w:val="22"/>
        </w:rPr>
        <w:t xml:space="preserve">The Occupant Controlled Smart Thermostat (OCST)2 shall be self- certified by the manufacturer to the Energy Commission to meet the requirements described in this section. This document provides a high level technical specification for an OCST. All OCSTs shall comply with the </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specifications set forth in this document or a specification approved by the Executive Director.</w:t>
      </w:r>
    </w:p>
    <w:p w:rsidR="00333E6A" w:rsidRPr="00333E6A" w:rsidRDefault="00333E6A" w:rsidP="00333E6A">
      <w:pPr>
        <w:autoSpaceDE w:val="0"/>
        <w:autoSpaceDN w:val="0"/>
        <w:adjustRightInd w:val="0"/>
        <w:ind w:left="450"/>
        <w:contextualSpacing/>
        <w:rPr>
          <w:rFonts w:ascii="Calibri" w:eastAsia="Calibri" w:hAnsi="Calibri"/>
          <w:b/>
          <w:sz w:val="22"/>
          <w:szCs w:val="22"/>
        </w:rPr>
      </w:pPr>
    </w:p>
    <w:p w:rsidR="00333E6A" w:rsidRPr="00333E6A" w:rsidRDefault="00333E6A" w:rsidP="00333E6A">
      <w:pPr>
        <w:spacing w:after="200" w:line="276" w:lineRule="auto"/>
        <w:rPr>
          <w:rFonts w:ascii="Calibri" w:eastAsia="Calibri" w:hAnsi="Calibri"/>
          <w:b/>
          <w:sz w:val="22"/>
          <w:szCs w:val="22"/>
        </w:rPr>
      </w:pPr>
      <w:r w:rsidRPr="00333E6A">
        <w:rPr>
          <w:rFonts w:ascii="Calibri" w:eastAsia="Calibri" w:hAnsi="Calibri"/>
          <w:b/>
          <w:sz w:val="22"/>
          <w:szCs w:val="22"/>
        </w:rPr>
        <w:t>JA5.2 Required Functional Resources</w:t>
      </w:r>
    </w:p>
    <w:p w:rsidR="00333E6A" w:rsidRPr="00333E6A" w:rsidRDefault="00333E6A" w:rsidP="00333E6A">
      <w:pPr>
        <w:autoSpaceDE w:val="0"/>
        <w:autoSpaceDN w:val="0"/>
        <w:adjustRightInd w:val="0"/>
        <w:ind w:left="720"/>
        <w:rPr>
          <w:rFonts w:ascii="Calibri" w:eastAsia="Calibri" w:hAnsi="Calibri"/>
          <w:b/>
          <w:sz w:val="22"/>
          <w:szCs w:val="22"/>
        </w:rPr>
      </w:pPr>
      <w:r w:rsidRPr="00333E6A">
        <w:rPr>
          <w:rFonts w:ascii="Calibri" w:eastAsia="Calibri" w:hAnsi="Calibri"/>
          <w:b/>
          <w:sz w:val="22"/>
          <w:szCs w:val="22"/>
        </w:rPr>
        <w:t>JA5.2.1 Setback Capabilities</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 xml:space="preserve">All OCSTs shall meet the requirements of Section 110.2(c). Thermostats </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for heat pumps shall also meet the</w:t>
      </w: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requirements of Section 110.2(b).</w:t>
      </w:r>
    </w:p>
    <w:p w:rsidR="00333E6A" w:rsidRPr="00333E6A" w:rsidRDefault="00333E6A" w:rsidP="00333E6A">
      <w:pPr>
        <w:autoSpaceDE w:val="0"/>
        <w:autoSpaceDN w:val="0"/>
        <w:adjustRightInd w:val="0"/>
        <w:ind w:left="450"/>
        <w:contextualSpacing/>
        <w:rPr>
          <w:rFonts w:ascii="Calibri" w:eastAsia="Calibri" w:hAnsi="Calibri"/>
          <w:b/>
          <w:sz w:val="22"/>
          <w:szCs w:val="22"/>
        </w:rPr>
      </w:pPr>
    </w:p>
    <w:p w:rsidR="00333E6A" w:rsidRPr="00333E6A" w:rsidRDefault="00333E6A" w:rsidP="00333E6A">
      <w:pPr>
        <w:numPr>
          <w:ilvl w:val="0"/>
          <w:numId w:val="48"/>
        </w:numPr>
        <w:autoSpaceDE w:val="0"/>
        <w:autoSpaceDN w:val="0"/>
        <w:adjustRightInd w:val="0"/>
        <w:ind w:left="450" w:hanging="90"/>
        <w:contextualSpacing/>
        <w:rPr>
          <w:rFonts w:ascii="Calibri" w:eastAsia="Calibri" w:hAnsi="Calibri"/>
          <w:b/>
          <w:sz w:val="22"/>
          <w:szCs w:val="22"/>
        </w:rPr>
      </w:pPr>
      <w:r w:rsidRPr="00333E6A">
        <w:rPr>
          <w:rFonts w:ascii="Calibri" w:eastAsia="Calibri" w:hAnsi="Calibri"/>
          <w:b/>
          <w:sz w:val="22"/>
          <w:szCs w:val="22"/>
        </w:rPr>
        <w:t>JA5.2.2 Communication Capabilities</w:t>
      </w:r>
    </w:p>
    <w:p w:rsidR="00333E6A" w:rsidRPr="00333E6A" w:rsidRDefault="00333E6A" w:rsidP="00333E6A">
      <w:pPr>
        <w:autoSpaceDE w:val="0"/>
        <w:autoSpaceDN w:val="0"/>
        <w:adjustRightInd w:val="0"/>
        <w:ind w:firstLine="720"/>
        <w:rPr>
          <w:rFonts w:ascii="Calibri" w:eastAsia="Calibri" w:hAnsi="Calibri"/>
          <w:sz w:val="22"/>
          <w:szCs w:val="22"/>
        </w:rPr>
      </w:pPr>
      <w:r w:rsidRPr="00333E6A">
        <w:rPr>
          <w:rFonts w:ascii="Calibri" w:eastAsia="Calibri" w:hAnsi="Calibri"/>
          <w:sz w:val="22"/>
          <w:szCs w:val="22"/>
        </w:rPr>
        <w:t>OCSTs shall include communication capabilities enabled through either:</w:t>
      </w:r>
    </w:p>
    <w:p w:rsidR="00333E6A" w:rsidRPr="00333E6A" w:rsidRDefault="00333E6A" w:rsidP="00333E6A">
      <w:pPr>
        <w:autoSpaceDE w:val="0"/>
        <w:autoSpaceDN w:val="0"/>
        <w:adjustRightInd w:val="0"/>
        <w:ind w:left="720"/>
        <w:rPr>
          <w:rFonts w:ascii="Calibri" w:eastAsia="Calibri" w:hAnsi="Calibri"/>
          <w:sz w:val="22"/>
          <w:szCs w:val="22"/>
        </w:rPr>
      </w:pPr>
    </w:p>
    <w:p w:rsidR="00333E6A" w:rsidRPr="00333E6A" w:rsidRDefault="00333E6A" w:rsidP="00333E6A">
      <w:pPr>
        <w:autoSpaceDE w:val="0"/>
        <w:autoSpaceDN w:val="0"/>
        <w:adjustRightInd w:val="0"/>
        <w:ind w:left="1440"/>
        <w:rPr>
          <w:rFonts w:ascii="Calibri" w:eastAsia="Calibri" w:hAnsi="Calibri"/>
          <w:sz w:val="22"/>
          <w:szCs w:val="22"/>
        </w:rPr>
      </w:pPr>
      <w:r w:rsidRPr="00333E6A">
        <w:rPr>
          <w:rFonts w:ascii="Calibri" w:eastAsia="Calibri" w:hAnsi="Calibri"/>
          <w:sz w:val="22"/>
          <w:szCs w:val="22"/>
        </w:rPr>
        <w:t>(a) At least one expansion port which will allow for the installation of a removable module containing a radio or physical connection port to enable communication; or</w:t>
      </w:r>
    </w:p>
    <w:p w:rsidR="00333E6A" w:rsidRPr="00333E6A" w:rsidRDefault="00333E6A" w:rsidP="00333E6A">
      <w:pPr>
        <w:autoSpaceDE w:val="0"/>
        <w:autoSpaceDN w:val="0"/>
        <w:adjustRightInd w:val="0"/>
        <w:ind w:left="720"/>
        <w:rPr>
          <w:rFonts w:ascii="Calibri" w:eastAsia="Calibri" w:hAnsi="Calibri"/>
          <w:sz w:val="22"/>
          <w:szCs w:val="22"/>
        </w:rPr>
      </w:pPr>
    </w:p>
    <w:p w:rsidR="00333E6A" w:rsidRPr="00333E6A" w:rsidRDefault="00333E6A" w:rsidP="00333E6A">
      <w:pPr>
        <w:autoSpaceDE w:val="0"/>
        <w:autoSpaceDN w:val="0"/>
        <w:adjustRightInd w:val="0"/>
        <w:ind w:left="720" w:firstLine="720"/>
        <w:rPr>
          <w:rFonts w:ascii="Calibri" w:eastAsia="Calibri" w:hAnsi="Calibri"/>
          <w:sz w:val="22"/>
          <w:szCs w:val="22"/>
        </w:rPr>
      </w:pPr>
      <w:r w:rsidRPr="00333E6A">
        <w:rPr>
          <w:rFonts w:ascii="Calibri" w:eastAsia="Calibri" w:hAnsi="Calibri"/>
          <w:sz w:val="22"/>
          <w:szCs w:val="22"/>
        </w:rPr>
        <w:t>(b) Onboard communication device(s)</w:t>
      </w:r>
    </w:p>
    <w:p w:rsidR="00333E6A" w:rsidRPr="00333E6A" w:rsidRDefault="00333E6A" w:rsidP="00333E6A">
      <w:pPr>
        <w:autoSpaceDE w:val="0"/>
        <w:autoSpaceDN w:val="0"/>
        <w:adjustRightInd w:val="0"/>
        <w:ind w:left="720"/>
        <w:rPr>
          <w:rFonts w:ascii="Calibri" w:eastAsia="Calibri" w:hAnsi="Calibri"/>
          <w:b/>
          <w:sz w:val="22"/>
          <w:szCs w:val="22"/>
          <w:u w:val="single"/>
        </w:rPr>
      </w:pP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b/>
          <w:sz w:val="22"/>
          <w:szCs w:val="22"/>
          <w:u w:val="single"/>
        </w:rPr>
        <w:t xml:space="preserve">Shut-off and Reset Controls for Space-conditioning Systems. </w:t>
      </w:r>
      <w:r w:rsidRPr="00333E6A">
        <w:rPr>
          <w:rFonts w:ascii="Calibri" w:eastAsia="Calibri" w:hAnsi="Calibri"/>
          <w:sz w:val="22"/>
          <w:szCs w:val="22"/>
        </w:rPr>
        <w:t>Each space-conditioning system shall be installed with controls that comply with the following:</w:t>
      </w:r>
    </w:p>
    <w:p w:rsidR="00333E6A" w:rsidRPr="00333E6A" w:rsidRDefault="00333E6A" w:rsidP="00333E6A">
      <w:pPr>
        <w:autoSpaceDE w:val="0"/>
        <w:autoSpaceDN w:val="0"/>
        <w:adjustRightInd w:val="0"/>
        <w:ind w:left="720"/>
        <w:rPr>
          <w:rFonts w:ascii="Calibri" w:eastAsia="Calibri" w:hAnsi="Calibri"/>
          <w:sz w:val="22"/>
          <w:szCs w:val="22"/>
        </w:rPr>
      </w:pP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1. The control shall be capable of automatically shutting off the system during periods of nonuse and shall have:</w:t>
      </w:r>
    </w:p>
    <w:p w:rsidR="00333E6A" w:rsidRPr="00333E6A" w:rsidRDefault="00333E6A" w:rsidP="00333E6A">
      <w:pPr>
        <w:autoSpaceDE w:val="0"/>
        <w:autoSpaceDN w:val="0"/>
        <w:adjustRightInd w:val="0"/>
        <w:ind w:left="1440"/>
        <w:rPr>
          <w:rFonts w:ascii="Calibri" w:eastAsia="Calibri" w:hAnsi="Calibri"/>
          <w:sz w:val="22"/>
          <w:szCs w:val="22"/>
        </w:rPr>
      </w:pPr>
      <w:r w:rsidRPr="00333E6A">
        <w:rPr>
          <w:rFonts w:ascii="Calibri" w:eastAsia="Calibri" w:hAnsi="Calibri"/>
          <w:sz w:val="22"/>
          <w:szCs w:val="22"/>
        </w:rPr>
        <w:t>A. An automatic time switch control device complying with Section 110.9, with an accessible manual override that allows operation of the system for up to 4 hours; or</w:t>
      </w:r>
    </w:p>
    <w:p w:rsidR="00333E6A" w:rsidRPr="00333E6A" w:rsidRDefault="00333E6A" w:rsidP="00333E6A">
      <w:pPr>
        <w:autoSpaceDE w:val="0"/>
        <w:autoSpaceDN w:val="0"/>
        <w:adjustRightInd w:val="0"/>
        <w:ind w:left="720" w:firstLine="720"/>
        <w:rPr>
          <w:rFonts w:ascii="Calibri" w:eastAsia="Calibri" w:hAnsi="Calibri"/>
          <w:sz w:val="22"/>
          <w:szCs w:val="22"/>
        </w:rPr>
      </w:pPr>
      <w:r w:rsidRPr="00333E6A">
        <w:rPr>
          <w:rFonts w:ascii="Calibri" w:eastAsia="Calibri" w:hAnsi="Calibri"/>
          <w:sz w:val="22"/>
          <w:szCs w:val="22"/>
        </w:rPr>
        <w:t>B. An occupancy sensor; or</w:t>
      </w:r>
    </w:p>
    <w:p w:rsidR="00333E6A" w:rsidRPr="00333E6A" w:rsidRDefault="00333E6A" w:rsidP="00333E6A">
      <w:pPr>
        <w:autoSpaceDE w:val="0"/>
        <w:autoSpaceDN w:val="0"/>
        <w:adjustRightInd w:val="0"/>
        <w:ind w:left="720" w:firstLine="720"/>
        <w:rPr>
          <w:rFonts w:ascii="Calibri" w:eastAsia="Calibri" w:hAnsi="Calibri"/>
          <w:sz w:val="22"/>
          <w:szCs w:val="22"/>
        </w:rPr>
      </w:pPr>
      <w:r w:rsidRPr="00333E6A">
        <w:rPr>
          <w:rFonts w:ascii="Calibri" w:eastAsia="Calibri" w:hAnsi="Calibri"/>
          <w:sz w:val="22"/>
          <w:szCs w:val="22"/>
        </w:rPr>
        <w:t>C. A 4-hour timer that can be manually operated.</w:t>
      </w:r>
    </w:p>
    <w:p w:rsidR="00333E6A" w:rsidRPr="00333E6A" w:rsidRDefault="00333E6A" w:rsidP="00333E6A">
      <w:pPr>
        <w:autoSpaceDE w:val="0"/>
        <w:autoSpaceDN w:val="0"/>
        <w:adjustRightInd w:val="0"/>
        <w:ind w:left="720"/>
        <w:rPr>
          <w:rFonts w:ascii="Arial" w:hAnsi="Arial" w:cs="Arial"/>
          <w:b/>
          <w:bCs/>
          <w:i/>
          <w:sz w:val="22"/>
          <w:szCs w:val="22"/>
        </w:rPr>
      </w:pPr>
    </w:p>
    <w:p w:rsidR="00333E6A" w:rsidRPr="00333E6A" w:rsidRDefault="00333E6A" w:rsidP="00333E6A">
      <w:pPr>
        <w:autoSpaceDE w:val="0"/>
        <w:autoSpaceDN w:val="0"/>
        <w:adjustRightInd w:val="0"/>
        <w:ind w:left="720"/>
        <w:rPr>
          <w:rFonts w:ascii="Arial" w:hAnsi="Arial" w:cs="Arial"/>
          <w:i/>
          <w:sz w:val="22"/>
          <w:szCs w:val="22"/>
        </w:rPr>
      </w:pPr>
      <w:r w:rsidRPr="00333E6A">
        <w:rPr>
          <w:rFonts w:ascii="Calibri" w:eastAsia="Calibri" w:hAnsi="Calibri"/>
          <w:b/>
          <w:sz w:val="22"/>
          <w:szCs w:val="22"/>
          <w:u w:val="single"/>
        </w:rPr>
        <w:t>EXCEPTION to Section 120.2(e)1:</w:t>
      </w:r>
      <w:r w:rsidRPr="00333E6A">
        <w:rPr>
          <w:rFonts w:ascii="Arial" w:hAnsi="Arial" w:cs="Arial"/>
          <w:b/>
          <w:bCs/>
          <w:i/>
          <w:sz w:val="22"/>
          <w:szCs w:val="22"/>
        </w:rPr>
        <w:t xml:space="preserve"> </w:t>
      </w:r>
      <w:r w:rsidRPr="00333E6A">
        <w:rPr>
          <w:rFonts w:ascii="Calibri" w:eastAsia="Calibri" w:hAnsi="Calibri"/>
          <w:sz w:val="22"/>
          <w:szCs w:val="22"/>
        </w:rPr>
        <w:t>Mechanical systems serving retail stores and associated malls, restaurants, grocery stores, churches, and theaters equipped with 7-day programmable timers.</w:t>
      </w:r>
    </w:p>
    <w:p w:rsidR="00333E6A" w:rsidRPr="00333E6A" w:rsidRDefault="00333E6A" w:rsidP="00333E6A">
      <w:pPr>
        <w:autoSpaceDE w:val="0"/>
        <w:autoSpaceDN w:val="0"/>
        <w:adjustRightInd w:val="0"/>
        <w:ind w:left="720"/>
        <w:rPr>
          <w:rFonts w:ascii="Calibri" w:eastAsia="Calibri" w:hAnsi="Calibri"/>
          <w:sz w:val="22"/>
          <w:szCs w:val="22"/>
        </w:rPr>
      </w:pPr>
    </w:p>
    <w:p w:rsidR="00333E6A" w:rsidRPr="00333E6A" w:rsidRDefault="00333E6A" w:rsidP="00333E6A">
      <w:pPr>
        <w:autoSpaceDE w:val="0"/>
        <w:autoSpaceDN w:val="0"/>
        <w:adjustRightInd w:val="0"/>
        <w:ind w:left="720"/>
        <w:rPr>
          <w:rFonts w:ascii="Calibri" w:eastAsia="Calibri" w:hAnsi="Calibri"/>
          <w:sz w:val="22"/>
          <w:szCs w:val="22"/>
        </w:rPr>
      </w:pPr>
      <w:r w:rsidRPr="00333E6A">
        <w:rPr>
          <w:rFonts w:ascii="Calibri" w:eastAsia="Calibri" w:hAnsi="Calibri"/>
          <w:sz w:val="22"/>
          <w:szCs w:val="22"/>
        </w:rPr>
        <w:t>2. The control shall automatically restart and temporarily operate the system as required to maintain:</w:t>
      </w:r>
    </w:p>
    <w:p w:rsidR="00333E6A" w:rsidRPr="00333E6A" w:rsidRDefault="00333E6A" w:rsidP="00333E6A">
      <w:pPr>
        <w:autoSpaceDE w:val="0"/>
        <w:autoSpaceDN w:val="0"/>
        <w:adjustRightInd w:val="0"/>
        <w:ind w:left="720" w:firstLine="720"/>
        <w:rPr>
          <w:rFonts w:ascii="Calibri" w:eastAsia="Calibri" w:hAnsi="Calibri"/>
          <w:sz w:val="22"/>
          <w:szCs w:val="22"/>
        </w:rPr>
      </w:pPr>
      <w:r w:rsidRPr="00333E6A">
        <w:rPr>
          <w:rFonts w:ascii="Calibri" w:eastAsia="Calibri" w:hAnsi="Calibri"/>
          <w:sz w:val="22"/>
          <w:szCs w:val="22"/>
        </w:rPr>
        <w:t>A. A setback heating thermostat set point if the system provides mechanical heating; and</w:t>
      </w:r>
    </w:p>
    <w:p w:rsidR="00333E6A" w:rsidRPr="00333E6A" w:rsidRDefault="00333E6A" w:rsidP="00333E6A">
      <w:pPr>
        <w:autoSpaceDE w:val="0"/>
        <w:autoSpaceDN w:val="0"/>
        <w:adjustRightInd w:val="0"/>
        <w:ind w:left="1440"/>
        <w:rPr>
          <w:rFonts w:ascii="Calibri" w:eastAsia="Calibri" w:hAnsi="Calibri"/>
          <w:sz w:val="22"/>
          <w:szCs w:val="22"/>
        </w:rPr>
      </w:pPr>
    </w:p>
    <w:p w:rsidR="00333E6A" w:rsidRPr="00333E6A" w:rsidRDefault="00333E6A" w:rsidP="00333E6A">
      <w:pPr>
        <w:autoSpaceDE w:val="0"/>
        <w:autoSpaceDN w:val="0"/>
        <w:adjustRightInd w:val="0"/>
        <w:ind w:left="1440"/>
        <w:rPr>
          <w:rFonts w:ascii="Calibri" w:eastAsia="Calibri" w:hAnsi="Calibri"/>
          <w:sz w:val="22"/>
          <w:szCs w:val="22"/>
        </w:rPr>
      </w:pPr>
      <w:r w:rsidRPr="00333E6A">
        <w:rPr>
          <w:rFonts w:ascii="Calibri" w:eastAsia="Calibri" w:hAnsi="Calibri"/>
          <w:b/>
          <w:sz w:val="22"/>
          <w:szCs w:val="22"/>
        </w:rPr>
        <w:t>EXCEPTION to Section 120.2(e)2A:</w:t>
      </w:r>
      <w:r w:rsidRPr="00333E6A">
        <w:rPr>
          <w:rFonts w:ascii="Calibri" w:eastAsia="Calibri" w:hAnsi="Calibri"/>
          <w:sz w:val="22"/>
          <w:szCs w:val="22"/>
        </w:rPr>
        <w:t xml:space="preserve"> Thermostat setback controls are not required in nonresidential buildings in areas where the Winter Median of Extremes outdoor air temperature determined in accordance with Section 140.4(b)4 is greater than 32°F.</w:t>
      </w:r>
    </w:p>
    <w:p w:rsidR="00333E6A" w:rsidRPr="00333E6A" w:rsidRDefault="00333E6A" w:rsidP="00333E6A">
      <w:pPr>
        <w:autoSpaceDE w:val="0"/>
        <w:autoSpaceDN w:val="0"/>
        <w:adjustRightInd w:val="0"/>
        <w:ind w:left="720" w:firstLine="720"/>
        <w:rPr>
          <w:rFonts w:ascii="Calibri" w:eastAsia="Calibri" w:hAnsi="Calibri"/>
          <w:sz w:val="22"/>
          <w:szCs w:val="22"/>
        </w:rPr>
      </w:pPr>
      <w:r w:rsidRPr="00333E6A">
        <w:rPr>
          <w:rFonts w:ascii="Calibri" w:eastAsia="Calibri" w:hAnsi="Calibri"/>
          <w:sz w:val="22"/>
          <w:szCs w:val="22"/>
        </w:rPr>
        <w:lastRenderedPageBreak/>
        <w:t>B. A setup cooling thermostat set point if the system provides mechanical cooling.</w:t>
      </w:r>
    </w:p>
    <w:p w:rsidR="00333E6A" w:rsidRPr="00333E6A" w:rsidRDefault="00333E6A" w:rsidP="00333E6A">
      <w:pPr>
        <w:autoSpaceDE w:val="0"/>
        <w:autoSpaceDN w:val="0"/>
        <w:adjustRightInd w:val="0"/>
        <w:ind w:left="1440"/>
        <w:rPr>
          <w:rFonts w:ascii="Arial" w:hAnsi="Arial" w:cs="Arial"/>
          <w:b/>
          <w:bCs/>
          <w:i/>
          <w:sz w:val="22"/>
          <w:szCs w:val="22"/>
        </w:rPr>
      </w:pPr>
    </w:p>
    <w:p w:rsidR="00333E6A" w:rsidRPr="00333E6A" w:rsidRDefault="00333E6A" w:rsidP="00333E6A">
      <w:pPr>
        <w:autoSpaceDE w:val="0"/>
        <w:autoSpaceDN w:val="0"/>
        <w:adjustRightInd w:val="0"/>
        <w:ind w:left="1440"/>
        <w:rPr>
          <w:rFonts w:ascii="Arial" w:hAnsi="Arial" w:cs="Arial"/>
          <w:i/>
          <w:sz w:val="22"/>
          <w:szCs w:val="22"/>
        </w:rPr>
      </w:pPr>
      <w:r w:rsidRPr="00333E6A">
        <w:rPr>
          <w:rFonts w:ascii="Calibri" w:eastAsia="Calibri" w:hAnsi="Calibri"/>
          <w:b/>
          <w:sz w:val="22"/>
          <w:szCs w:val="22"/>
        </w:rPr>
        <w:t>EXCEPTION to Section 120.2(e)2B:</w:t>
      </w:r>
      <w:r w:rsidRPr="00333E6A">
        <w:rPr>
          <w:rFonts w:ascii="Arial" w:hAnsi="Arial" w:cs="Arial"/>
          <w:b/>
          <w:bCs/>
          <w:i/>
          <w:sz w:val="22"/>
          <w:szCs w:val="22"/>
        </w:rPr>
        <w:t xml:space="preserve"> </w:t>
      </w:r>
      <w:r w:rsidRPr="00333E6A">
        <w:rPr>
          <w:rFonts w:ascii="Calibri" w:eastAsia="Calibri" w:hAnsi="Calibri"/>
          <w:sz w:val="22"/>
          <w:szCs w:val="22"/>
        </w:rPr>
        <w:t>Thermostat setup controls are not required in nonresidential buildings in areas where the Summer Design Dry Bulb 0.5 percent temperature determined in accordance with Section 140.4(b)4 is less than 100°F.</w:t>
      </w:r>
    </w:p>
    <w:p w:rsidR="00333E6A" w:rsidRPr="00333E6A" w:rsidRDefault="00333E6A" w:rsidP="00333E6A">
      <w:pPr>
        <w:autoSpaceDE w:val="0"/>
        <w:autoSpaceDN w:val="0"/>
        <w:adjustRightInd w:val="0"/>
        <w:rPr>
          <w:rFonts w:ascii="Arial" w:hAnsi="Arial" w:cs="Arial"/>
          <w:i/>
          <w:sz w:val="22"/>
          <w:szCs w:val="22"/>
        </w:rPr>
      </w:pPr>
    </w:p>
    <w:p w:rsidR="00333E6A" w:rsidRPr="00333E6A" w:rsidRDefault="00333E6A" w:rsidP="00333E6A">
      <w:pPr>
        <w:rPr>
          <w:rFonts w:ascii="Arial" w:hAnsi="Arial" w:cs="Arial"/>
          <w:sz w:val="22"/>
          <w:szCs w:val="22"/>
        </w:rPr>
      </w:pPr>
      <w:r w:rsidRPr="00333E6A">
        <w:rPr>
          <w:rFonts w:ascii="Calibri" w:eastAsia="Calibri" w:hAnsi="Calibri"/>
          <w:b/>
          <w:sz w:val="22"/>
          <w:szCs w:val="22"/>
        </w:rPr>
        <w:t>Federal Standards:</w:t>
      </w:r>
      <w:r w:rsidRPr="00333E6A">
        <w:rPr>
          <w:rFonts w:ascii="Arial" w:hAnsi="Arial" w:cs="Arial"/>
          <w:sz w:val="22"/>
          <w:szCs w:val="22"/>
        </w:rPr>
        <w:t xml:space="preserve"> </w:t>
      </w:r>
      <w:r w:rsidRPr="00333E6A">
        <w:rPr>
          <w:rFonts w:ascii="Calibri" w:eastAsia="Calibri" w:hAnsi="Calibri"/>
          <w:sz w:val="22"/>
          <w:szCs w:val="22"/>
        </w:rPr>
        <w:t xml:space="preserve">These measures do not fall under Federal DOE or EPA Energy Regulations. </w:t>
      </w:r>
    </w:p>
    <w:p w:rsidR="00333E6A" w:rsidRPr="00333E6A" w:rsidRDefault="00333E6A" w:rsidP="00333E6A">
      <w:pPr>
        <w:rPr>
          <w:rFonts w:ascii="Arial" w:hAnsi="Arial" w:cs="Arial"/>
          <w:sz w:val="22"/>
          <w:szCs w:val="22"/>
        </w:rPr>
      </w:pPr>
    </w:p>
    <w:p w:rsidR="00333E6A" w:rsidRPr="00333E6A" w:rsidRDefault="00333E6A" w:rsidP="00333E6A">
      <w:pPr>
        <w:rPr>
          <w:rFonts w:ascii="Calibri" w:eastAsia="Calibri" w:hAnsi="Calibri"/>
          <w:sz w:val="22"/>
          <w:szCs w:val="22"/>
        </w:rPr>
      </w:pPr>
      <w:r w:rsidRPr="00333E6A">
        <w:rPr>
          <w:rFonts w:ascii="Calibri" w:eastAsia="Calibri" w:hAnsi="Calibri"/>
          <w:sz w:val="22"/>
          <w:szCs w:val="22"/>
        </w:rPr>
        <w:t>Note that the applicable codes and standards for these measures dictate only that the thermostats be capable of shutting systems off and adjusting temperature set points during unoccupied hours. There are no requirements to actually shut down systems during unoccupied hours, or to make any specific unoccupied temperature set point adjustments.</w:t>
      </w:r>
    </w:p>
    <w:p w:rsidR="002E0043" w:rsidRPr="009856A5" w:rsidRDefault="009856A5" w:rsidP="009856A5">
      <w:pPr>
        <w:pStyle w:val="Heading1"/>
        <w:rPr>
          <w:rFonts w:asciiTheme="minorHAnsi" w:hAnsiTheme="minorHAnsi"/>
          <w:sz w:val="28"/>
          <w:szCs w:val="28"/>
        </w:rPr>
      </w:pPr>
      <w:bookmarkStart w:id="32" w:name="_Toc404765877"/>
      <w:r>
        <w:rPr>
          <w:rFonts w:asciiTheme="minorHAnsi" w:hAnsiTheme="minorHAnsi"/>
          <w:sz w:val="28"/>
          <w:szCs w:val="28"/>
        </w:rPr>
        <w:t>1.5</w:t>
      </w:r>
      <w:r w:rsidR="00A02F0A" w:rsidRPr="009856A5">
        <w:rPr>
          <w:rFonts w:asciiTheme="minorHAnsi" w:hAnsiTheme="minorHAnsi"/>
          <w:sz w:val="28"/>
          <w:szCs w:val="28"/>
        </w:rPr>
        <w:t xml:space="preserve"> </w:t>
      </w:r>
      <w:r w:rsidR="00C069A2" w:rsidRPr="009856A5">
        <w:rPr>
          <w:rFonts w:asciiTheme="minorHAnsi" w:hAnsiTheme="minorHAnsi"/>
          <w:sz w:val="28"/>
          <w:szCs w:val="28"/>
        </w:rPr>
        <w:t>EM&amp;V</w:t>
      </w:r>
      <w:r w:rsidR="00755961" w:rsidRPr="009856A5">
        <w:rPr>
          <w:rFonts w:asciiTheme="minorHAnsi" w:hAnsiTheme="minorHAnsi"/>
          <w:sz w:val="28"/>
          <w:szCs w:val="28"/>
        </w:rPr>
        <w:t>, Market Potential,</w:t>
      </w:r>
      <w:r w:rsidR="00C069A2" w:rsidRPr="009856A5">
        <w:rPr>
          <w:rFonts w:asciiTheme="minorHAnsi" w:hAnsiTheme="minorHAnsi"/>
          <w:sz w:val="28"/>
          <w:szCs w:val="28"/>
        </w:rPr>
        <w:t xml:space="preserve"> </w:t>
      </w:r>
      <w:r w:rsidR="0044337C" w:rsidRPr="009856A5">
        <w:rPr>
          <w:rFonts w:asciiTheme="minorHAnsi" w:hAnsiTheme="minorHAnsi"/>
          <w:sz w:val="28"/>
          <w:szCs w:val="28"/>
        </w:rPr>
        <w:t xml:space="preserve">and Other </w:t>
      </w:r>
      <w:r w:rsidR="00C069A2" w:rsidRPr="009856A5">
        <w:rPr>
          <w:rFonts w:asciiTheme="minorHAnsi" w:hAnsiTheme="minorHAnsi"/>
          <w:sz w:val="28"/>
          <w:szCs w:val="28"/>
        </w:rPr>
        <w:t>Studies</w:t>
      </w:r>
      <w:r w:rsidR="009C5CA7" w:rsidRPr="009856A5">
        <w:rPr>
          <w:rFonts w:asciiTheme="minorHAnsi" w:hAnsiTheme="minorHAnsi"/>
          <w:sz w:val="28"/>
          <w:szCs w:val="28"/>
        </w:rPr>
        <w:t xml:space="preserve"> – Base Case and Measure Case Information</w:t>
      </w:r>
      <w:bookmarkEnd w:id="32"/>
    </w:p>
    <w:p w:rsidR="00293EFD" w:rsidRPr="00451245" w:rsidRDefault="00D210DB">
      <w:pPr>
        <w:rPr>
          <w:rFonts w:asciiTheme="minorHAnsi" w:hAnsiTheme="minorHAnsi" w:cs="Arial"/>
          <w:sz w:val="22"/>
          <w:szCs w:val="22"/>
        </w:rPr>
      </w:pPr>
      <w:r w:rsidRPr="00451245">
        <w:rPr>
          <w:rFonts w:asciiTheme="minorHAnsi" w:hAnsiTheme="minorHAnsi" w:cs="Arial"/>
          <w:sz w:val="22"/>
          <w:szCs w:val="22"/>
        </w:rPr>
        <w:t>There are no M&amp;V or other studies which apply to these measures. Information on the base and measure case is found in the sub-sections of 1.4.</w:t>
      </w:r>
    </w:p>
    <w:p w:rsidR="00421990" w:rsidRDefault="00421990" w:rsidP="009856A5">
      <w:pPr>
        <w:pStyle w:val="Heading2"/>
        <w:rPr>
          <w:rFonts w:asciiTheme="minorHAnsi" w:hAnsiTheme="minorHAnsi"/>
          <w:i w:val="0"/>
        </w:rPr>
      </w:pPr>
      <w:bookmarkStart w:id="33" w:name="_Toc404765879"/>
    </w:p>
    <w:p w:rsidR="009856A5" w:rsidRPr="00451245" w:rsidRDefault="009856A5" w:rsidP="009856A5">
      <w:pPr>
        <w:pStyle w:val="Heading2"/>
        <w:rPr>
          <w:rFonts w:asciiTheme="minorHAnsi" w:hAnsiTheme="minorHAnsi"/>
          <w:i w:val="0"/>
        </w:rPr>
      </w:pPr>
      <w:r>
        <w:rPr>
          <w:rFonts w:asciiTheme="minorHAnsi" w:hAnsiTheme="minorHAnsi"/>
          <w:i w:val="0"/>
        </w:rPr>
        <w:t>1.6</w:t>
      </w:r>
      <w:r w:rsidRPr="00451245">
        <w:rPr>
          <w:rFonts w:asciiTheme="minorHAnsi" w:hAnsiTheme="minorHAnsi"/>
          <w:i w:val="0"/>
        </w:rPr>
        <w:t xml:space="preserve"> Time-of-Use Adjustment Factor</w:t>
      </w:r>
      <w:bookmarkEnd w:id="33"/>
    </w:p>
    <w:p w:rsidR="009856A5" w:rsidRPr="005A3465" w:rsidRDefault="009856A5" w:rsidP="00421990">
      <w:pPr>
        <w:rPr>
          <w:rFonts w:ascii="Arial" w:hAnsi="Arial" w:cs="Arial"/>
        </w:rPr>
      </w:pPr>
      <w:r w:rsidRPr="009856A5">
        <w:rPr>
          <w:rFonts w:asciiTheme="minorHAnsi" w:hAnsiTheme="minorHAnsi" w:cs="Arial"/>
          <w:sz w:val="22"/>
          <w:szCs w:val="22"/>
        </w:rPr>
        <w:t>As directed by</w:t>
      </w:r>
      <w:r>
        <w:rPr>
          <w:rFonts w:asciiTheme="minorHAnsi" w:hAnsiTheme="minorHAnsi" w:cs="Arial"/>
          <w:sz w:val="22"/>
          <w:szCs w:val="22"/>
        </w:rPr>
        <w:t xml:space="preserve"> the CPUC in decision 06-06-063 </w:t>
      </w:r>
      <w:r w:rsidRPr="00451245">
        <w:rPr>
          <w:rFonts w:asciiTheme="minorHAnsi" w:hAnsiTheme="minorHAnsi" w:cs="Arial"/>
          <w:sz w:val="22"/>
          <w:szCs w:val="22"/>
        </w:rPr>
        <w:t xml:space="preserve">dated June 29, 2006 to apply time-of-use (TOU) adjustment factors on residential A/C and commercial A/C (packaged and split-system direct-expansion cooling) measures only.  Additionally, if a measure is assigned a DEER load shape the TOU assigned to that measure is zero. </w:t>
      </w:r>
      <w:bookmarkStart w:id="34" w:name="_Ref242757962"/>
    </w:p>
    <w:p w:rsidR="009856A5" w:rsidRPr="00451245" w:rsidRDefault="009856A5" w:rsidP="009856A5">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sidR="00DB3794">
        <w:rPr>
          <w:rFonts w:asciiTheme="minorHAnsi" w:hAnsiTheme="minorHAnsi" w:cs="Arial"/>
          <w:sz w:val="22"/>
          <w:szCs w:val="22"/>
        </w:rPr>
        <w:t>8</w:t>
      </w:r>
      <w:r w:rsidRPr="00451245">
        <w:rPr>
          <w:rFonts w:asciiTheme="minorHAnsi" w:hAnsiTheme="minorHAnsi" w:cs="Arial"/>
          <w:sz w:val="22"/>
          <w:szCs w:val="22"/>
        </w:rPr>
        <w:t xml:space="preserve"> </w:t>
      </w:r>
      <w:r w:rsidRPr="00DB3794">
        <w:rPr>
          <w:rFonts w:asciiTheme="minorHAnsi" w:hAnsiTheme="minorHAnsi" w:cs="Arial"/>
          <w:b w:val="0"/>
          <w:sz w:val="22"/>
          <w:szCs w:val="22"/>
        </w:rPr>
        <w:t>TOU Adjustment Factors</w:t>
      </w:r>
      <w:bookmarkEnd w:id="34"/>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bookmarkStart w:id="35" w:name="_Toc380154931"/>
      <w:bookmarkStart w:id="36" w:name="_Toc404765917"/>
      <w:r w:rsidRPr="00451245">
        <w:rPr>
          <w:rFonts w:asciiTheme="minorHAnsi" w:hAnsiTheme="minorHAnsi" w:cs="Arial"/>
          <w:sz w:val="22"/>
          <w:szCs w:val="22"/>
        </w:rPr>
        <w:instrText>Table 3: TOU Adjustment Factors</w:instrText>
      </w:r>
      <w:bookmarkEnd w:id="35"/>
      <w:bookmarkEnd w:id="36"/>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tbl>
      <w:tblPr>
        <w:tblW w:w="4944" w:type="pct"/>
        <w:jc w:val="center"/>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161"/>
        <w:gridCol w:w="2161"/>
        <w:gridCol w:w="2159"/>
      </w:tblGrid>
      <w:tr w:rsidR="009856A5" w:rsidRPr="00451245" w:rsidTr="00284436">
        <w:trPr>
          <w:trHeight w:val="288"/>
          <w:jc w:val="center"/>
        </w:trPr>
        <w:tc>
          <w:tcPr>
            <w:tcW w:w="1578" w:type="pct"/>
            <w:shd w:val="clear" w:color="auto" w:fill="CCCCCC"/>
            <w:vAlign w:val="center"/>
          </w:tcPr>
          <w:p w:rsidR="009856A5" w:rsidRPr="00451245" w:rsidRDefault="009856A5" w:rsidP="00927047">
            <w:pPr>
              <w:jc w:val="center"/>
              <w:rPr>
                <w:rFonts w:asciiTheme="minorHAnsi" w:hAnsiTheme="minorHAnsi" w:cs="Arial"/>
                <w:b/>
                <w:bCs/>
                <w:sz w:val="22"/>
                <w:szCs w:val="22"/>
              </w:rPr>
            </w:pPr>
            <w:r w:rsidRPr="00451245">
              <w:rPr>
                <w:rFonts w:asciiTheme="minorHAnsi" w:hAnsiTheme="minorHAnsi" w:cs="Arial"/>
                <w:b/>
                <w:bCs/>
                <w:sz w:val="22"/>
                <w:szCs w:val="22"/>
              </w:rPr>
              <w:t>Measure</w:t>
            </w:r>
          </w:p>
        </w:tc>
        <w:tc>
          <w:tcPr>
            <w:tcW w:w="1141" w:type="pct"/>
            <w:shd w:val="clear" w:color="auto" w:fill="CCCCCC"/>
            <w:vAlign w:val="center"/>
          </w:tcPr>
          <w:p w:rsidR="009856A5" w:rsidRPr="00451245" w:rsidRDefault="009856A5" w:rsidP="00927047">
            <w:pPr>
              <w:jc w:val="center"/>
              <w:rPr>
                <w:rFonts w:asciiTheme="minorHAnsi" w:hAnsiTheme="minorHAnsi" w:cs="Arial"/>
                <w:b/>
                <w:bCs/>
                <w:sz w:val="22"/>
                <w:szCs w:val="22"/>
              </w:rPr>
            </w:pPr>
            <w:r w:rsidRPr="00451245">
              <w:rPr>
                <w:rFonts w:asciiTheme="minorHAnsi" w:hAnsiTheme="minorHAnsi" w:cs="Arial"/>
                <w:b/>
                <w:bCs/>
                <w:i/>
                <w:sz w:val="22"/>
                <w:szCs w:val="22"/>
              </w:rPr>
              <w:t>kW</w:t>
            </w:r>
            <w:r w:rsidRPr="00451245">
              <w:rPr>
                <w:rFonts w:asciiTheme="minorHAnsi" w:hAnsiTheme="minorHAnsi" w:cs="Arial"/>
                <w:b/>
                <w:bCs/>
                <w:i/>
                <w:sz w:val="22"/>
                <w:szCs w:val="22"/>
                <w:vertAlign w:val="subscript"/>
              </w:rPr>
              <w:t>AC</w:t>
            </w:r>
          </w:p>
        </w:tc>
        <w:tc>
          <w:tcPr>
            <w:tcW w:w="1141" w:type="pct"/>
            <w:shd w:val="clear" w:color="auto" w:fill="CCCCCC"/>
            <w:vAlign w:val="center"/>
          </w:tcPr>
          <w:p w:rsidR="009856A5" w:rsidRPr="00451245" w:rsidRDefault="009856A5" w:rsidP="00927047">
            <w:pPr>
              <w:jc w:val="center"/>
              <w:rPr>
                <w:rFonts w:asciiTheme="minorHAnsi" w:hAnsiTheme="minorHAnsi" w:cs="Arial"/>
                <w:b/>
                <w:bCs/>
                <w:sz w:val="22"/>
                <w:szCs w:val="22"/>
              </w:rPr>
            </w:pPr>
            <w:r w:rsidRPr="00451245">
              <w:rPr>
                <w:rFonts w:asciiTheme="minorHAnsi" w:hAnsiTheme="minorHAnsi" w:cs="Arial"/>
                <w:b/>
                <w:bCs/>
                <w:i/>
                <w:sz w:val="22"/>
                <w:szCs w:val="22"/>
              </w:rPr>
              <w:t>kW</w:t>
            </w:r>
            <w:r w:rsidRPr="00451245">
              <w:rPr>
                <w:rFonts w:asciiTheme="minorHAnsi" w:hAnsiTheme="minorHAnsi" w:cs="Arial"/>
                <w:b/>
                <w:bCs/>
                <w:i/>
                <w:sz w:val="22"/>
                <w:szCs w:val="22"/>
                <w:vertAlign w:val="subscript"/>
              </w:rPr>
              <w:t>Total</w:t>
            </w:r>
          </w:p>
        </w:tc>
        <w:tc>
          <w:tcPr>
            <w:tcW w:w="1141" w:type="pct"/>
            <w:shd w:val="clear" w:color="auto" w:fill="CCCCCC"/>
            <w:vAlign w:val="center"/>
          </w:tcPr>
          <w:p w:rsidR="009856A5" w:rsidRPr="00451245" w:rsidRDefault="009856A5" w:rsidP="00927047">
            <w:pPr>
              <w:jc w:val="center"/>
              <w:rPr>
                <w:rFonts w:asciiTheme="minorHAnsi" w:hAnsiTheme="minorHAnsi" w:cs="Arial"/>
                <w:b/>
                <w:bCs/>
                <w:sz w:val="22"/>
                <w:szCs w:val="22"/>
              </w:rPr>
            </w:pPr>
            <w:r w:rsidRPr="00451245">
              <w:rPr>
                <w:rFonts w:asciiTheme="minorHAnsi" w:hAnsiTheme="minorHAnsi" w:cs="Arial"/>
                <w:b/>
                <w:bCs/>
                <w:sz w:val="22"/>
                <w:szCs w:val="22"/>
              </w:rPr>
              <w:t>%</w:t>
            </w:r>
          </w:p>
        </w:tc>
      </w:tr>
      <w:tr w:rsidR="009856A5" w:rsidRPr="00451245" w:rsidTr="00284436">
        <w:trPr>
          <w:jc w:val="center"/>
        </w:trPr>
        <w:tc>
          <w:tcPr>
            <w:tcW w:w="1578" w:type="pct"/>
            <w:shd w:val="clear" w:color="auto" w:fill="F3F3F3"/>
          </w:tcPr>
          <w:p w:rsidR="009856A5" w:rsidRPr="00451245" w:rsidRDefault="009856A5" w:rsidP="00927047">
            <w:pPr>
              <w:jc w:val="center"/>
              <w:rPr>
                <w:rFonts w:asciiTheme="minorHAnsi" w:hAnsiTheme="minorHAnsi" w:cs="Arial"/>
                <w:sz w:val="22"/>
                <w:szCs w:val="22"/>
              </w:rPr>
            </w:pPr>
            <w:r w:rsidRPr="00451245">
              <w:rPr>
                <w:rFonts w:asciiTheme="minorHAnsi" w:hAnsiTheme="minorHAnsi" w:cs="Arial"/>
                <w:sz w:val="22"/>
                <w:szCs w:val="22"/>
              </w:rPr>
              <w:t>Programmable Thermostat</w:t>
            </w:r>
          </w:p>
        </w:tc>
        <w:tc>
          <w:tcPr>
            <w:tcW w:w="1141" w:type="pct"/>
            <w:shd w:val="clear" w:color="auto" w:fill="F3F3F3"/>
          </w:tcPr>
          <w:p w:rsidR="009856A5" w:rsidRPr="00451245" w:rsidRDefault="009856A5" w:rsidP="00927047">
            <w:pPr>
              <w:jc w:val="center"/>
              <w:rPr>
                <w:rFonts w:asciiTheme="minorHAnsi" w:hAnsiTheme="minorHAnsi" w:cs="Arial"/>
                <w:sz w:val="22"/>
                <w:szCs w:val="22"/>
              </w:rPr>
            </w:pPr>
            <w:r w:rsidRPr="00451245">
              <w:rPr>
                <w:rFonts w:asciiTheme="minorHAnsi" w:hAnsiTheme="minorHAnsi" w:cs="Arial"/>
                <w:sz w:val="22"/>
                <w:szCs w:val="22"/>
              </w:rPr>
              <w:t>0</w:t>
            </w:r>
          </w:p>
        </w:tc>
        <w:tc>
          <w:tcPr>
            <w:tcW w:w="1141" w:type="pct"/>
            <w:shd w:val="clear" w:color="auto" w:fill="F3F3F3"/>
          </w:tcPr>
          <w:p w:rsidR="009856A5" w:rsidRPr="00451245" w:rsidRDefault="009856A5" w:rsidP="00927047">
            <w:pPr>
              <w:jc w:val="center"/>
              <w:rPr>
                <w:rFonts w:asciiTheme="minorHAnsi" w:hAnsiTheme="minorHAnsi" w:cs="Arial"/>
                <w:sz w:val="22"/>
                <w:szCs w:val="22"/>
              </w:rPr>
            </w:pPr>
            <w:r w:rsidRPr="00451245">
              <w:rPr>
                <w:rFonts w:asciiTheme="minorHAnsi" w:hAnsiTheme="minorHAnsi" w:cs="Arial"/>
                <w:sz w:val="22"/>
                <w:szCs w:val="22"/>
              </w:rPr>
              <w:t>0</w:t>
            </w:r>
          </w:p>
        </w:tc>
        <w:tc>
          <w:tcPr>
            <w:tcW w:w="1141" w:type="pct"/>
            <w:shd w:val="clear" w:color="auto" w:fill="F3F3F3"/>
          </w:tcPr>
          <w:p w:rsidR="009856A5" w:rsidRPr="00451245" w:rsidRDefault="009856A5" w:rsidP="00927047">
            <w:pPr>
              <w:jc w:val="center"/>
              <w:rPr>
                <w:rFonts w:asciiTheme="minorHAnsi" w:hAnsiTheme="minorHAnsi" w:cs="Arial"/>
                <w:sz w:val="22"/>
                <w:szCs w:val="22"/>
              </w:rPr>
            </w:pPr>
            <w:r w:rsidRPr="00451245">
              <w:rPr>
                <w:rFonts w:asciiTheme="minorHAnsi" w:hAnsiTheme="minorHAnsi" w:cs="Arial"/>
                <w:sz w:val="22"/>
                <w:szCs w:val="22"/>
              </w:rPr>
              <w:t>0</w:t>
            </w:r>
          </w:p>
        </w:tc>
      </w:tr>
    </w:tbl>
    <w:p w:rsidR="003F4FFF" w:rsidRPr="009856A5" w:rsidRDefault="003F4FFF" w:rsidP="003F49E6">
      <w:pPr>
        <w:pStyle w:val="Heading1"/>
        <w:rPr>
          <w:rFonts w:asciiTheme="minorHAnsi" w:hAnsiTheme="minorHAnsi"/>
          <w:sz w:val="36"/>
          <w:szCs w:val="36"/>
        </w:rPr>
      </w:pPr>
      <w:bookmarkStart w:id="37" w:name="_Toc404765881"/>
      <w:r w:rsidRPr="009856A5">
        <w:rPr>
          <w:rFonts w:asciiTheme="minorHAnsi" w:hAnsiTheme="minorHAnsi"/>
          <w:sz w:val="36"/>
          <w:szCs w:val="36"/>
        </w:rPr>
        <w:t>Section 2. Calculation Methods</w:t>
      </w:r>
      <w:bookmarkEnd w:id="37"/>
    </w:p>
    <w:p w:rsidR="009856A5" w:rsidRPr="00451245" w:rsidRDefault="009856A5" w:rsidP="009856A5">
      <w:pPr>
        <w:pStyle w:val="Heading2"/>
        <w:rPr>
          <w:rFonts w:asciiTheme="minorHAnsi" w:hAnsiTheme="minorHAnsi"/>
          <w:i w:val="0"/>
        </w:rPr>
      </w:pPr>
      <w:bookmarkStart w:id="38" w:name="_Toc404765878"/>
      <w:r>
        <w:rPr>
          <w:rFonts w:asciiTheme="minorHAnsi" w:hAnsiTheme="minorHAnsi"/>
          <w:i w:val="0"/>
        </w:rPr>
        <w:t>2.1</w:t>
      </w:r>
      <w:r w:rsidRPr="00451245">
        <w:rPr>
          <w:rFonts w:asciiTheme="minorHAnsi" w:hAnsiTheme="minorHAnsi"/>
          <w:i w:val="0"/>
        </w:rPr>
        <w:t xml:space="preserve"> Assumptions and Calculations from other sources—Base and Measure Cases</w:t>
      </w:r>
      <w:bookmarkEnd w:id="38"/>
    </w:p>
    <w:p w:rsidR="009856A5" w:rsidRDefault="009856A5" w:rsidP="009856A5">
      <w:pPr>
        <w:rPr>
          <w:rFonts w:asciiTheme="minorHAnsi" w:hAnsiTheme="minorHAnsi" w:cs="Arial"/>
          <w:sz w:val="22"/>
          <w:szCs w:val="22"/>
        </w:rPr>
      </w:pPr>
      <w:r w:rsidRPr="00451245">
        <w:rPr>
          <w:rFonts w:asciiTheme="minorHAnsi" w:hAnsiTheme="minorHAnsi" w:cs="Arial"/>
          <w:sz w:val="22"/>
          <w:szCs w:val="22"/>
        </w:rPr>
        <w:t>eQUEST models were developed to estimate the energy savings for this measure. The prototypes were developed to run eQUEST version 3.64, which is an interface to the DOE 2.2 energy model program. This version of eQUEST was used instead of the latest 3.65 version, in order to use the Rocky Mountain Institute’s Model Manager spreadsheet-based software to make batch runs for the different iterations of building types, building vintages and weather files. The building types and vintages covered in this workpaper are listed in the tables below.</w:t>
      </w:r>
    </w:p>
    <w:p w:rsidR="00DB3794" w:rsidRDefault="00DB3794" w:rsidP="009856A5">
      <w:pPr>
        <w:rPr>
          <w:rFonts w:asciiTheme="minorHAnsi" w:hAnsiTheme="minorHAnsi" w:cs="Arial"/>
          <w:sz w:val="22"/>
          <w:szCs w:val="22"/>
        </w:rPr>
      </w:pPr>
    </w:p>
    <w:p w:rsidR="00DB3794" w:rsidRPr="00451245" w:rsidRDefault="00DB3794" w:rsidP="00DB3794">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9</w:t>
      </w:r>
      <w:r w:rsidRPr="00451245">
        <w:rPr>
          <w:rFonts w:asciiTheme="minorHAnsi" w:hAnsiTheme="minorHAnsi" w:cs="Arial"/>
          <w:sz w:val="22"/>
          <w:szCs w:val="22"/>
        </w:rPr>
        <w:t xml:space="preserve"> </w:t>
      </w:r>
      <w:r>
        <w:rPr>
          <w:rFonts w:asciiTheme="minorHAnsi" w:hAnsiTheme="minorHAnsi" w:cs="Arial"/>
          <w:b w:val="0"/>
          <w:sz w:val="22"/>
          <w:szCs w:val="22"/>
        </w:rPr>
        <w:t>Building Types and Vintages</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tbl>
      <w:tblPr>
        <w:tblStyle w:val="TableGrid"/>
        <w:tblW w:w="0" w:type="auto"/>
        <w:jc w:val="center"/>
        <w:tblLook w:val="04A0" w:firstRow="1" w:lastRow="0" w:firstColumn="1" w:lastColumn="0" w:noHBand="0" w:noVBand="1"/>
      </w:tblPr>
      <w:tblGrid>
        <w:gridCol w:w="2400"/>
        <w:gridCol w:w="222"/>
        <w:gridCol w:w="1800"/>
      </w:tblGrid>
      <w:tr w:rsidR="009856A5" w:rsidRPr="005139D2" w:rsidTr="00456BC8">
        <w:trPr>
          <w:trHeight w:val="377"/>
          <w:jc w:val="center"/>
        </w:trPr>
        <w:tc>
          <w:tcPr>
            <w:tcW w:w="0" w:type="auto"/>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0"/>
                <w:szCs w:val="20"/>
              </w:rPr>
            </w:pPr>
            <w:r w:rsidRPr="00451245">
              <w:rPr>
                <w:rFonts w:asciiTheme="minorHAnsi" w:hAnsiTheme="minorHAnsi" w:cs="Arial"/>
                <w:b/>
                <w:sz w:val="20"/>
                <w:szCs w:val="20"/>
              </w:rPr>
              <w:t>Building Types</w:t>
            </w:r>
          </w:p>
        </w:tc>
        <w:tc>
          <w:tcPr>
            <w:tcW w:w="0" w:type="auto"/>
            <w:tcBorders>
              <w:top w:val="nil"/>
              <w:bottom w:val="nil"/>
            </w:tcBorders>
          </w:tcPr>
          <w:p w:rsidR="009856A5" w:rsidRPr="005139D2" w:rsidRDefault="009856A5" w:rsidP="00284436">
            <w:pPr>
              <w:jc w:val="center"/>
              <w:rPr>
                <w:rFonts w:ascii="Arial" w:hAnsi="Arial" w:cs="Arial"/>
                <w:b/>
                <w:sz w:val="20"/>
                <w:szCs w:val="20"/>
              </w:rPr>
            </w:pPr>
          </w:p>
        </w:tc>
        <w:tc>
          <w:tcPr>
            <w:tcW w:w="0" w:type="auto"/>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Building Vintages</w:t>
            </w:r>
          </w:p>
        </w:tc>
      </w:tr>
      <w:tr w:rsidR="009856A5" w:rsidRPr="005139D2" w:rsidTr="00456BC8">
        <w:trPr>
          <w:trHeight w:val="260"/>
          <w:jc w:val="center"/>
        </w:trPr>
        <w:tc>
          <w:tcPr>
            <w:tcW w:w="0" w:type="auto"/>
            <w:shd w:val="clear" w:color="auto" w:fill="F2F2F2" w:themeFill="background1" w:themeFillShade="F2"/>
            <w:vAlign w:val="center"/>
          </w:tcPr>
          <w:p w:rsidR="009856A5" w:rsidRPr="00451245" w:rsidRDefault="009856A5" w:rsidP="00284436">
            <w:pPr>
              <w:rPr>
                <w:rFonts w:asciiTheme="minorHAnsi" w:hAnsiTheme="minorHAnsi" w:cs="Arial"/>
                <w:sz w:val="20"/>
                <w:szCs w:val="20"/>
              </w:rPr>
            </w:pPr>
            <w:r w:rsidRPr="00451245">
              <w:rPr>
                <w:rFonts w:asciiTheme="minorHAnsi" w:hAnsiTheme="minorHAnsi" w:cs="Arial"/>
                <w:sz w:val="20"/>
                <w:szCs w:val="20"/>
              </w:rPr>
              <w:t>Asm – Assembly</w:t>
            </w:r>
          </w:p>
        </w:tc>
        <w:tc>
          <w:tcPr>
            <w:tcW w:w="0" w:type="auto"/>
            <w:tcBorders>
              <w:top w:val="nil"/>
              <w:bottom w:val="nil"/>
            </w:tcBorders>
          </w:tcPr>
          <w:p w:rsidR="009856A5" w:rsidRPr="005139D2" w:rsidRDefault="009856A5" w:rsidP="00284436">
            <w:pPr>
              <w:jc w:val="center"/>
              <w:rPr>
                <w:rFonts w:ascii="Arial" w:hAnsi="Arial" w:cs="Arial"/>
                <w:sz w:val="20"/>
                <w:szCs w:val="20"/>
              </w:rPr>
            </w:pPr>
          </w:p>
        </w:tc>
        <w:tc>
          <w:tcPr>
            <w:tcW w:w="0" w:type="auto"/>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Pre-1978</w:t>
            </w:r>
          </w:p>
        </w:tc>
      </w:tr>
      <w:tr w:rsidR="009856A5" w:rsidRPr="005139D2" w:rsidTr="00456BC8">
        <w:trPr>
          <w:trHeight w:val="287"/>
          <w:jc w:val="center"/>
        </w:trPr>
        <w:tc>
          <w:tcPr>
            <w:tcW w:w="0" w:type="auto"/>
            <w:tcBorders>
              <w:bottom w:val="single" w:sz="4" w:space="0" w:color="auto"/>
            </w:tcBorders>
            <w:vAlign w:val="center"/>
          </w:tcPr>
          <w:p w:rsidR="009856A5" w:rsidRPr="00451245" w:rsidRDefault="009856A5" w:rsidP="00284436">
            <w:pPr>
              <w:rPr>
                <w:rFonts w:asciiTheme="minorHAnsi" w:hAnsiTheme="minorHAnsi" w:cs="Arial"/>
                <w:sz w:val="20"/>
                <w:szCs w:val="20"/>
              </w:rPr>
            </w:pPr>
            <w:r w:rsidRPr="00451245">
              <w:rPr>
                <w:rFonts w:asciiTheme="minorHAnsi" w:hAnsiTheme="minorHAnsi" w:cs="Arial"/>
                <w:sz w:val="20"/>
                <w:szCs w:val="20"/>
              </w:rPr>
              <w:t>EPr – Education Primary</w:t>
            </w:r>
          </w:p>
        </w:tc>
        <w:tc>
          <w:tcPr>
            <w:tcW w:w="0" w:type="auto"/>
            <w:tcBorders>
              <w:top w:val="nil"/>
              <w:bottom w:val="nil"/>
            </w:tcBorders>
          </w:tcPr>
          <w:p w:rsidR="009856A5" w:rsidRPr="005139D2" w:rsidRDefault="009856A5" w:rsidP="00284436">
            <w:pPr>
              <w:jc w:val="center"/>
              <w:rPr>
                <w:rFonts w:ascii="Arial" w:hAnsi="Arial" w:cs="Arial"/>
                <w:sz w:val="20"/>
                <w:szCs w:val="20"/>
              </w:rPr>
            </w:pPr>
          </w:p>
        </w:tc>
        <w:tc>
          <w:tcPr>
            <w:tcW w:w="0" w:type="auto"/>
            <w:tcBorders>
              <w:bottom w:val="single" w:sz="4" w:space="0" w:color="auto"/>
            </w:tcBorders>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1978-1992</w:t>
            </w:r>
          </w:p>
        </w:tc>
      </w:tr>
      <w:tr w:rsidR="009856A5" w:rsidRPr="005139D2" w:rsidTr="00456BC8">
        <w:trPr>
          <w:trHeight w:val="323"/>
          <w:jc w:val="center"/>
        </w:trPr>
        <w:tc>
          <w:tcPr>
            <w:tcW w:w="0" w:type="auto"/>
            <w:shd w:val="clear" w:color="auto" w:fill="F2F2F2" w:themeFill="background1" w:themeFillShade="F2"/>
            <w:vAlign w:val="center"/>
          </w:tcPr>
          <w:p w:rsidR="009856A5" w:rsidRPr="00451245" w:rsidRDefault="009856A5" w:rsidP="00284436">
            <w:pPr>
              <w:rPr>
                <w:rFonts w:asciiTheme="minorHAnsi" w:hAnsiTheme="minorHAnsi" w:cs="Arial"/>
                <w:sz w:val="20"/>
                <w:szCs w:val="20"/>
              </w:rPr>
            </w:pPr>
            <w:r w:rsidRPr="00451245">
              <w:rPr>
                <w:rFonts w:asciiTheme="minorHAnsi" w:hAnsiTheme="minorHAnsi" w:cs="Arial"/>
                <w:sz w:val="20"/>
                <w:szCs w:val="20"/>
              </w:rPr>
              <w:t>ESe – Education Secondary</w:t>
            </w:r>
          </w:p>
        </w:tc>
        <w:tc>
          <w:tcPr>
            <w:tcW w:w="0" w:type="auto"/>
            <w:tcBorders>
              <w:top w:val="nil"/>
              <w:bottom w:val="nil"/>
            </w:tcBorders>
          </w:tcPr>
          <w:p w:rsidR="009856A5" w:rsidRPr="005139D2" w:rsidRDefault="009856A5" w:rsidP="00284436">
            <w:pPr>
              <w:jc w:val="center"/>
              <w:rPr>
                <w:rFonts w:ascii="Arial" w:hAnsi="Arial" w:cs="Arial"/>
                <w:sz w:val="20"/>
                <w:szCs w:val="20"/>
              </w:rPr>
            </w:pPr>
          </w:p>
        </w:tc>
        <w:tc>
          <w:tcPr>
            <w:tcW w:w="0" w:type="auto"/>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1993-2001</w:t>
            </w:r>
          </w:p>
        </w:tc>
      </w:tr>
      <w:tr w:rsidR="009856A5" w:rsidRPr="005139D2" w:rsidTr="00456BC8">
        <w:trPr>
          <w:trHeight w:val="260"/>
          <w:jc w:val="center"/>
        </w:trPr>
        <w:tc>
          <w:tcPr>
            <w:tcW w:w="0" w:type="auto"/>
            <w:tcBorders>
              <w:bottom w:val="single" w:sz="4" w:space="0" w:color="auto"/>
            </w:tcBorders>
            <w:vAlign w:val="center"/>
          </w:tcPr>
          <w:p w:rsidR="009856A5" w:rsidRPr="00451245" w:rsidRDefault="009856A5" w:rsidP="00284436">
            <w:pPr>
              <w:rPr>
                <w:rFonts w:asciiTheme="minorHAnsi" w:hAnsiTheme="minorHAnsi" w:cs="Arial"/>
                <w:sz w:val="20"/>
                <w:szCs w:val="20"/>
              </w:rPr>
            </w:pPr>
            <w:r w:rsidRPr="00451245">
              <w:rPr>
                <w:rFonts w:asciiTheme="minorHAnsi" w:hAnsiTheme="minorHAnsi" w:cs="Arial"/>
                <w:sz w:val="20"/>
                <w:szCs w:val="20"/>
              </w:rPr>
              <w:t>Htl – Hotel</w:t>
            </w:r>
          </w:p>
        </w:tc>
        <w:tc>
          <w:tcPr>
            <w:tcW w:w="0" w:type="auto"/>
            <w:tcBorders>
              <w:top w:val="nil"/>
              <w:bottom w:val="nil"/>
            </w:tcBorders>
          </w:tcPr>
          <w:p w:rsidR="009856A5" w:rsidRPr="005139D2" w:rsidRDefault="009856A5" w:rsidP="00284436">
            <w:pPr>
              <w:jc w:val="center"/>
              <w:rPr>
                <w:rFonts w:ascii="Arial" w:hAnsi="Arial" w:cs="Arial"/>
                <w:sz w:val="20"/>
                <w:szCs w:val="20"/>
              </w:rPr>
            </w:pPr>
          </w:p>
        </w:tc>
        <w:tc>
          <w:tcPr>
            <w:tcW w:w="0" w:type="auto"/>
            <w:tcBorders>
              <w:bottom w:val="single" w:sz="4" w:space="0" w:color="auto"/>
            </w:tcBorders>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2002-2005</w:t>
            </w:r>
          </w:p>
        </w:tc>
      </w:tr>
      <w:tr w:rsidR="009856A5" w:rsidRPr="005139D2" w:rsidTr="00456BC8">
        <w:trPr>
          <w:trHeight w:val="260"/>
          <w:jc w:val="center"/>
        </w:trPr>
        <w:tc>
          <w:tcPr>
            <w:tcW w:w="0" w:type="auto"/>
            <w:shd w:val="clear" w:color="auto" w:fill="F2F2F2" w:themeFill="background1" w:themeFillShade="F2"/>
            <w:vAlign w:val="center"/>
          </w:tcPr>
          <w:p w:rsidR="009856A5" w:rsidRPr="00451245" w:rsidRDefault="009856A5" w:rsidP="00284436">
            <w:pPr>
              <w:rPr>
                <w:rFonts w:asciiTheme="minorHAnsi" w:hAnsiTheme="minorHAnsi" w:cs="Arial"/>
                <w:sz w:val="20"/>
                <w:szCs w:val="20"/>
              </w:rPr>
            </w:pPr>
            <w:r w:rsidRPr="00451245">
              <w:rPr>
                <w:rFonts w:asciiTheme="minorHAnsi" w:hAnsiTheme="minorHAnsi" w:cs="Arial"/>
                <w:sz w:val="20"/>
                <w:szCs w:val="20"/>
              </w:rPr>
              <w:t>Mtl – Motel</w:t>
            </w:r>
          </w:p>
        </w:tc>
        <w:tc>
          <w:tcPr>
            <w:tcW w:w="0" w:type="auto"/>
            <w:tcBorders>
              <w:top w:val="nil"/>
              <w:bottom w:val="nil"/>
              <w:right w:val="nil"/>
            </w:tcBorders>
          </w:tcPr>
          <w:p w:rsidR="009856A5" w:rsidRPr="005139D2" w:rsidRDefault="009856A5" w:rsidP="00284436">
            <w:pPr>
              <w:jc w:val="center"/>
              <w:rPr>
                <w:rFonts w:ascii="Arial" w:hAnsi="Arial" w:cs="Arial"/>
                <w:sz w:val="20"/>
                <w:szCs w:val="20"/>
              </w:rPr>
            </w:pPr>
          </w:p>
        </w:tc>
        <w:tc>
          <w:tcPr>
            <w:tcW w:w="0" w:type="auto"/>
            <w:tcBorders>
              <w:left w:val="nil"/>
              <w:bottom w:val="nil"/>
              <w:right w:val="nil"/>
            </w:tcBorders>
            <w:vAlign w:val="center"/>
          </w:tcPr>
          <w:p w:rsidR="009856A5" w:rsidRPr="005139D2" w:rsidRDefault="009856A5" w:rsidP="00284436">
            <w:pPr>
              <w:jc w:val="center"/>
              <w:rPr>
                <w:rFonts w:ascii="Arial" w:hAnsi="Arial" w:cs="Arial"/>
                <w:sz w:val="20"/>
                <w:szCs w:val="20"/>
              </w:rPr>
            </w:pPr>
          </w:p>
        </w:tc>
      </w:tr>
      <w:tr w:rsidR="009856A5" w:rsidRPr="005139D2" w:rsidTr="00284436">
        <w:trPr>
          <w:trHeight w:val="260"/>
          <w:jc w:val="center"/>
        </w:trPr>
        <w:tc>
          <w:tcPr>
            <w:tcW w:w="0" w:type="auto"/>
            <w:vAlign w:val="center"/>
          </w:tcPr>
          <w:p w:rsidR="009856A5" w:rsidRPr="00451245" w:rsidRDefault="009856A5" w:rsidP="00284436">
            <w:pPr>
              <w:rPr>
                <w:rFonts w:asciiTheme="minorHAnsi" w:hAnsiTheme="minorHAnsi" w:cs="Arial"/>
                <w:sz w:val="20"/>
                <w:szCs w:val="20"/>
              </w:rPr>
            </w:pPr>
            <w:r w:rsidRPr="00451245">
              <w:rPr>
                <w:rFonts w:asciiTheme="minorHAnsi" w:hAnsiTheme="minorHAnsi" w:cs="Arial"/>
                <w:sz w:val="20"/>
                <w:szCs w:val="20"/>
              </w:rPr>
              <w:t>RtS – Small Retail</w:t>
            </w:r>
          </w:p>
        </w:tc>
        <w:tc>
          <w:tcPr>
            <w:tcW w:w="0" w:type="auto"/>
            <w:tcBorders>
              <w:top w:val="nil"/>
              <w:bottom w:val="nil"/>
              <w:right w:val="nil"/>
            </w:tcBorders>
          </w:tcPr>
          <w:p w:rsidR="009856A5" w:rsidRPr="005139D2" w:rsidRDefault="009856A5" w:rsidP="00284436">
            <w:pPr>
              <w:jc w:val="center"/>
              <w:rPr>
                <w:rFonts w:ascii="Arial" w:hAnsi="Arial" w:cs="Arial"/>
                <w:sz w:val="20"/>
                <w:szCs w:val="20"/>
              </w:rPr>
            </w:pPr>
          </w:p>
        </w:tc>
        <w:tc>
          <w:tcPr>
            <w:tcW w:w="0" w:type="auto"/>
            <w:tcBorders>
              <w:top w:val="nil"/>
              <w:left w:val="nil"/>
              <w:bottom w:val="nil"/>
              <w:right w:val="nil"/>
            </w:tcBorders>
            <w:vAlign w:val="center"/>
          </w:tcPr>
          <w:p w:rsidR="009856A5" w:rsidRPr="005139D2" w:rsidRDefault="009856A5" w:rsidP="00284436">
            <w:pPr>
              <w:jc w:val="center"/>
              <w:rPr>
                <w:rFonts w:ascii="Arial" w:hAnsi="Arial" w:cs="Arial"/>
                <w:sz w:val="20"/>
                <w:szCs w:val="20"/>
              </w:rPr>
            </w:pPr>
          </w:p>
        </w:tc>
      </w:tr>
    </w:tbl>
    <w:p w:rsidR="009856A5" w:rsidRPr="00451245" w:rsidRDefault="009856A5" w:rsidP="009856A5">
      <w:pPr>
        <w:rPr>
          <w:rFonts w:asciiTheme="minorHAnsi" w:hAnsiTheme="minorHAnsi" w:cs="Arial"/>
          <w:sz w:val="22"/>
          <w:szCs w:val="22"/>
        </w:rPr>
      </w:pPr>
      <w:r w:rsidRPr="00451245">
        <w:rPr>
          <w:rFonts w:asciiTheme="minorHAnsi" w:hAnsiTheme="minorHAnsi" w:cs="Arial"/>
          <w:sz w:val="22"/>
          <w:szCs w:val="22"/>
        </w:rPr>
        <w:lastRenderedPageBreak/>
        <w:t xml:space="preserve">The types of buildings analyzed were chosen because they are: 1) prevalent building types covered under this program, 2) likely to use single-zone HVAC units with non-centralized thermostatic control, and 3) likely to be occupied during peak period hours. Only buildings constructed through 2005 were analyzed, in order to assess effects on the buildings most in need of and most likely to upgrade their HVAC systems. </w:t>
      </w:r>
    </w:p>
    <w:p w:rsidR="009856A5" w:rsidRPr="00451245" w:rsidRDefault="009856A5" w:rsidP="009856A5">
      <w:pPr>
        <w:rPr>
          <w:rFonts w:asciiTheme="minorHAnsi" w:hAnsiTheme="minorHAnsi" w:cs="Arial"/>
          <w:sz w:val="22"/>
          <w:szCs w:val="22"/>
        </w:rPr>
      </w:pPr>
    </w:p>
    <w:p w:rsidR="009856A5" w:rsidRPr="00451245" w:rsidRDefault="009856A5" w:rsidP="009856A5">
      <w:pPr>
        <w:rPr>
          <w:rFonts w:asciiTheme="minorHAnsi" w:hAnsiTheme="minorHAnsi" w:cs="Arial"/>
          <w:sz w:val="22"/>
          <w:szCs w:val="22"/>
        </w:rPr>
      </w:pPr>
      <w:r w:rsidRPr="00451245">
        <w:rPr>
          <w:rFonts w:asciiTheme="minorHAnsi" w:hAnsiTheme="minorHAnsi" w:cs="Arial"/>
          <w:sz w:val="22"/>
          <w:szCs w:val="22"/>
        </w:rPr>
        <w:t xml:space="preserve">The eQUEST models for each building type were based on building prototype specifications as defined by the </w:t>
      </w:r>
      <w:r w:rsidRPr="00451245">
        <w:rPr>
          <w:rFonts w:asciiTheme="minorHAnsi" w:hAnsiTheme="minorHAnsi" w:cs="Arial"/>
          <w:i/>
          <w:sz w:val="22"/>
          <w:szCs w:val="22"/>
        </w:rPr>
        <w:t>2004-05 Update of the Database for Energy Efficiency Resources (DEER)</w:t>
      </w:r>
      <w:bookmarkStart w:id="39" w:name="_Ref404767069"/>
      <w:r w:rsidRPr="00451245">
        <w:rPr>
          <w:rStyle w:val="EndnoteReference"/>
          <w:rFonts w:asciiTheme="minorHAnsi" w:hAnsiTheme="minorHAnsi" w:cs="Arial"/>
          <w:i/>
          <w:sz w:val="22"/>
          <w:szCs w:val="22"/>
        </w:rPr>
        <w:endnoteReference w:id="6"/>
      </w:r>
      <w:bookmarkEnd w:id="39"/>
      <w:r w:rsidRPr="00451245">
        <w:rPr>
          <w:rFonts w:asciiTheme="minorHAnsi" w:hAnsiTheme="minorHAnsi" w:cs="Arial"/>
          <w:sz w:val="22"/>
          <w:szCs w:val="22"/>
        </w:rPr>
        <w:t>, developed by the California Energy Commission. DEER specifies the details of each prototype’s geometry, construction, HVAC systems, internal loads, occupancy, and operation. Differences between different building vintages are reflected by changes in roof and wall insulation, windows, lighting power density, equipment power density, HVAC system efficiency, and HVAC operating settings. Subsequent updates to DEER from 2008, 2011, and 2014 were also checked, and any pertinent changes to our prototypes were incorporated.</w:t>
      </w:r>
    </w:p>
    <w:p w:rsidR="009856A5" w:rsidRPr="00451245" w:rsidRDefault="009856A5" w:rsidP="009856A5">
      <w:pPr>
        <w:rPr>
          <w:rFonts w:asciiTheme="minorHAnsi" w:hAnsiTheme="minorHAnsi" w:cs="Arial"/>
          <w:sz w:val="22"/>
          <w:szCs w:val="22"/>
        </w:rPr>
      </w:pPr>
    </w:p>
    <w:p w:rsidR="009856A5" w:rsidRDefault="009856A5" w:rsidP="009856A5">
      <w:pPr>
        <w:rPr>
          <w:rFonts w:asciiTheme="minorHAnsi" w:hAnsiTheme="minorHAnsi" w:cs="Arial"/>
          <w:sz w:val="22"/>
          <w:szCs w:val="22"/>
        </w:rPr>
      </w:pPr>
      <w:r w:rsidRPr="00451245">
        <w:rPr>
          <w:rFonts w:asciiTheme="minorHAnsi" w:hAnsiTheme="minorHAnsi" w:cs="Arial"/>
          <w:sz w:val="22"/>
          <w:szCs w:val="22"/>
        </w:rPr>
        <w:t>The latest 2014 version 2 weather files developed by the California Energy Commission were used to represent typical meteorological year (TMY) weather in California’s climate zones</w:t>
      </w:r>
      <w:r w:rsidRPr="00451245">
        <w:rPr>
          <w:rStyle w:val="EndnoteReference"/>
          <w:rFonts w:asciiTheme="minorHAnsi" w:hAnsiTheme="minorHAnsi" w:cs="Arial"/>
          <w:sz w:val="22"/>
          <w:szCs w:val="22"/>
        </w:rPr>
        <w:endnoteReference w:id="7"/>
      </w:r>
      <w:r w:rsidRPr="00451245">
        <w:rPr>
          <w:rFonts w:asciiTheme="minorHAnsi" w:hAnsiTheme="minorHAnsi" w:cs="Arial"/>
          <w:sz w:val="22"/>
          <w:szCs w:val="22"/>
        </w:rPr>
        <w:t>. The weather files used for each climate zone are listed in the table below.</w:t>
      </w:r>
    </w:p>
    <w:p w:rsidR="00DB3794" w:rsidRDefault="00DB3794" w:rsidP="00DB3794">
      <w:pPr>
        <w:pStyle w:val="Caption"/>
        <w:jc w:val="center"/>
        <w:rPr>
          <w:rFonts w:asciiTheme="minorHAnsi" w:hAnsiTheme="minorHAnsi" w:cs="Arial"/>
          <w:sz w:val="22"/>
          <w:szCs w:val="22"/>
        </w:rPr>
      </w:pPr>
    </w:p>
    <w:p w:rsidR="00DB3794" w:rsidRPr="00451245" w:rsidRDefault="00DB3794" w:rsidP="00DB3794">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10</w:t>
      </w:r>
      <w:r w:rsidRPr="00451245">
        <w:rPr>
          <w:rFonts w:asciiTheme="minorHAnsi" w:hAnsiTheme="minorHAnsi" w:cs="Arial"/>
          <w:sz w:val="22"/>
          <w:szCs w:val="22"/>
        </w:rPr>
        <w:t xml:space="preserve"> </w:t>
      </w:r>
      <w:r>
        <w:rPr>
          <w:rFonts w:asciiTheme="minorHAnsi" w:hAnsiTheme="minorHAnsi" w:cs="Arial"/>
          <w:b w:val="0"/>
          <w:sz w:val="22"/>
          <w:szCs w:val="22"/>
        </w:rPr>
        <w:t>Weather Files per Climate Zone</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tbl>
      <w:tblPr>
        <w:tblStyle w:val="TableGrid"/>
        <w:tblW w:w="0" w:type="auto"/>
        <w:jc w:val="center"/>
        <w:tblLook w:val="04A0" w:firstRow="1" w:lastRow="0" w:firstColumn="1" w:lastColumn="0" w:noHBand="0" w:noVBand="1"/>
      </w:tblPr>
      <w:tblGrid>
        <w:gridCol w:w="1418"/>
        <w:gridCol w:w="1597"/>
        <w:gridCol w:w="2563"/>
      </w:tblGrid>
      <w:tr w:rsidR="009856A5" w:rsidRPr="00414A5B" w:rsidTr="00456BC8">
        <w:trPr>
          <w:trHeight w:val="602"/>
          <w:jc w:val="center"/>
        </w:trPr>
        <w:tc>
          <w:tcPr>
            <w:tcW w:w="0" w:type="auto"/>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Climate Zone</w:t>
            </w:r>
          </w:p>
        </w:tc>
        <w:tc>
          <w:tcPr>
            <w:tcW w:w="0" w:type="auto"/>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 xml:space="preserve">Annual Savings </w:t>
            </w:r>
            <w:r w:rsidRPr="00451245">
              <w:rPr>
                <w:rFonts w:asciiTheme="minorHAnsi" w:hAnsiTheme="minorHAnsi" w:cs="Arial"/>
                <w:b/>
                <w:sz w:val="22"/>
                <w:szCs w:val="22"/>
              </w:rPr>
              <w:br/>
              <w:t>Weather File</w:t>
            </w:r>
          </w:p>
        </w:tc>
        <w:tc>
          <w:tcPr>
            <w:tcW w:w="0" w:type="auto"/>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Weather Station</w:t>
            </w:r>
          </w:p>
        </w:tc>
      </w:tr>
      <w:tr w:rsidR="009856A5" w:rsidRPr="00414A5B" w:rsidTr="00456BC8">
        <w:trPr>
          <w:jc w:val="center"/>
        </w:trPr>
        <w:tc>
          <w:tcPr>
            <w:tcW w:w="0" w:type="auto"/>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7</w:t>
            </w:r>
          </w:p>
        </w:tc>
        <w:tc>
          <w:tcPr>
            <w:tcW w:w="0" w:type="auto"/>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CZ07RV2.BIN</w:t>
            </w:r>
          </w:p>
        </w:tc>
        <w:tc>
          <w:tcPr>
            <w:tcW w:w="0" w:type="auto"/>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Lindbergh Field Airport</w:t>
            </w:r>
          </w:p>
        </w:tc>
      </w:tr>
      <w:tr w:rsidR="009856A5" w:rsidRPr="00414A5B" w:rsidTr="00456BC8">
        <w:trPr>
          <w:jc w:val="center"/>
        </w:trPr>
        <w:tc>
          <w:tcPr>
            <w:tcW w:w="0" w:type="auto"/>
            <w:tcBorders>
              <w:bottom w:val="single" w:sz="4" w:space="0" w:color="auto"/>
            </w:tcBorders>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10</w:t>
            </w:r>
          </w:p>
        </w:tc>
        <w:tc>
          <w:tcPr>
            <w:tcW w:w="0" w:type="auto"/>
            <w:tcBorders>
              <w:bottom w:val="single" w:sz="4" w:space="0" w:color="auto"/>
            </w:tcBorders>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CZ10RV2.BIN</w:t>
            </w:r>
          </w:p>
        </w:tc>
        <w:tc>
          <w:tcPr>
            <w:tcW w:w="0" w:type="auto"/>
            <w:tcBorders>
              <w:bottom w:val="single" w:sz="4" w:space="0" w:color="auto"/>
            </w:tcBorders>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March Air Force Base</w:t>
            </w:r>
          </w:p>
        </w:tc>
      </w:tr>
      <w:tr w:rsidR="009856A5" w:rsidRPr="00414A5B" w:rsidTr="00456BC8">
        <w:trPr>
          <w:jc w:val="center"/>
        </w:trPr>
        <w:tc>
          <w:tcPr>
            <w:tcW w:w="0" w:type="auto"/>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14</w:t>
            </w:r>
          </w:p>
        </w:tc>
        <w:tc>
          <w:tcPr>
            <w:tcW w:w="0" w:type="auto"/>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CZ14RV2.BIN</w:t>
            </w:r>
          </w:p>
        </w:tc>
        <w:tc>
          <w:tcPr>
            <w:tcW w:w="0" w:type="auto"/>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Palmdale Airport</w:t>
            </w:r>
          </w:p>
        </w:tc>
      </w:tr>
      <w:tr w:rsidR="009856A5" w:rsidRPr="00414A5B" w:rsidTr="00284436">
        <w:trPr>
          <w:jc w:val="center"/>
        </w:trPr>
        <w:tc>
          <w:tcPr>
            <w:tcW w:w="0" w:type="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15</w:t>
            </w:r>
          </w:p>
        </w:tc>
        <w:tc>
          <w:tcPr>
            <w:tcW w:w="0" w:type="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CZ15RV2.BIN</w:t>
            </w:r>
          </w:p>
        </w:tc>
        <w:tc>
          <w:tcPr>
            <w:tcW w:w="0" w:type="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El Centro Naval Air Facility</w:t>
            </w:r>
          </w:p>
        </w:tc>
      </w:tr>
    </w:tbl>
    <w:p w:rsidR="009856A5" w:rsidRPr="003F49E6" w:rsidRDefault="009856A5" w:rsidP="009856A5">
      <w:pPr>
        <w:rPr>
          <w:rFonts w:ascii="Arial" w:hAnsi="Arial" w:cs="Arial"/>
          <w:b/>
          <w:sz w:val="22"/>
          <w:szCs w:val="22"/>
        </w:rPr>
      </w:pPr>
    </w:p>
    <w:p w:rsidR="009856A5" w:rsidRPr="00451245" w:rsidRDefault="009856A5" w:rsidP="009856A5">
      <w:pPr>
        <w:rPr>
          <w:rFonts w:asciiTheme="minorHAnsi" w:hAnsiTheme="minorHAnsi" w:cs="Arial"/>
          <w:i/>
          <w:sz w:val="22"/>
          <w:szCs w:val="22"/>
        </w:rPr>
      </w:pPr>
      <w:r w:rsidRPr="00451245">
        <w:rPr>
          <w:rFonts w:asciiTheme="minorHAnsi" w:hAnsiTheme="minorHAnsi" w:cs="Arial"/>
          <w:b/>
          <w:sz w:val="22"/>
          <w:szCs w:val="22"/>
        </w:rPr>
        <w:t>Hours of Operation</w:t>
      </w:r>
      <w:r w:rsidRPr="00451245">
        <w:rPr>
          <w:rFonts w:asciiTheme="minorHAnsi" w:hAnsiTheme="minorHAnsi" w:cs="Arial"/>
          <w:sz w:val="22"/>
          <w:szCs w:val="22"/>
        </w:rPr>
        <w:t xml:space="preserve">: </w:t>
      </w:r>
    </w:p>
    <w:p w:rsidR="009856A5" w:rsidRPr="00451245" w:rsidRDefault="009856A5" w:rsidP="009856A5">
      <w:pPr>
        <w:numPr>
          <w:ilvl w:val="0"/>
          <w:numId w:val="8"/>
        </w:numPr>
        <w:tabs>
          <w:tab w:val="clear" w:pos="1440"/>
        </w:tabs>
        <w:ind w:left="360"/>
        <w:rPr>
          <w:rFonts w:asciiTheme="minorHAnsi" w:hAnsiTheme="minorHAnsi" w:cs="Arial"/>
          <w:sz w:val="22"/>
          <w:szCs w:val="22"/>
        </w:rPr>
      </w:pPr>
      <w:r w:rsidRPr="00451245">
        <w:rPr>
          <w:rFonts w:asciiTheme="minorHAnsi" w:hAnsiTheme="minorHAnsi" w:cs="Arial"/>
          <w:sz w:val="22"/>
          <w:szCs w:val="22"/>
        </w:rPr>
        <w:t>The hours of operation are based on the DEER prototype specifications</w:t>
      </w:r>
      <w:r w:rsidRPr="00451245">
        <w:rPr>
          <w:rFonts w:asciiTheme="minorHAnsi" w:hAnsiTheme="minorHAnsi"/>
          <w:sz w:val="22"/>
          <w:szCs w:val="22"/>
        </w:rPr>
        <w:fldChar w:fldCharType="begin"/>
      </w:r>
      <w:r w:rsidRPr="00451245">
        <w:rPr>
          <w:rFonts w:asciiTheme="minorHAnsi" w:hAnsiTheme="minorHAnsi"/>
          <w:sz w:val="22"/>
          <w:szCs w:val="22"/>
        </w:rPr>
        <w:instrText xml:space="preserve"> NOTEREF _Ref404767069 \h  \* MERGEFORMAT </w:instrText>
      </w:r>
      <w:r w:rsidRPr="00451245">
        <w:rPr>
          <w:rFonts w:asciiTheme="minorHAnsi" w:hAnsiTheme="minorHAnsi"/>
          <w:sz w:val="22"/>
          <w:szCs w:val="22"/>
        </w:rPr>
      </w:r>
      <w:r w:rsidRPr="00451245">
        <w:rPr>
          <w:rFonts w:asciiTheme="minorHAnsi" w:hAnsiTheme="minorHAnsi"/>
          <w:sz w:val="22"/>
          <w:szCs w:val="22"/>
        </w:rPr>
        <w:fldChar w:fldCharType="separate"/>
      </w:r>
      <w:r w:rsidRPr="00451245">
        <w:rPr>
          <w:rFonts w:asciiTheme="minorHAnsi" w:hAnsiTheme="minorHAnsi"/>
          <w:sz w:val="22"/>
          <w:szCs w:val="22"/>
        </w:rPr>
        <w:t>9</w:t>
      </w:r>
      <w:r w:rsidRPr="00451245">
        <w:rPr>
          <w:rFonts w:asciiTheme="minorHAnsi" w:hAnsiTheme="minorHAnsi"/>
          <w:sz w:val="22"/>
          <w:szCs w:val="22"/>
        </w:rPr>
        <w:fldChar w:fldCharType="end"/>
      </w:r>
      <w:r w:rsidRPr="00451245">
        <w:rPr>
          <w:rFonts w:asciiTheme="minorHAnsi" w:hAnsiTheme="minorHAnsi" w:cs="Arial"/>
          <w:sz w:val="22"/>
          <w:szCs w:val="22"/>
        </w:rPr>
        <w:t xml:space="preserve"> for each building type.</w:t>
      </w:r>
    </w:p>
    <w:p w:rsidR="009856A5" w:rsidRPr="00451245" w:rsidRDefault="009856A5" w:rsidP="009856A5">
      <w:pPr>
        <w:numPr>
          <w:ilvl w:val="0"/>
          <w:numId w:val="8"/>
        </w:numPr>
        <w:tabs>
          <w:tab w:val="clear" w:pos="1440"/>
        </w:tabs>
        <w:ind w:left="360"/>
        <w:rPr>
          <w:rFonts w:asciiTheme="minorHAnsi" w:hAnsiTheme="minorHAnsi" w:cs="Arial"/>
          <w:sz w:val="22"/>
          <w:szCs w:val="22"/>
        </w:rPr>
      </w:pPr>
      <w:r w:rsidRPr="00451245">
        <w:rPr>
          <w:rFonts w:asciiTheme="minorHAnsi" w:hAnsiTheme="minorHAnsi" w:cs="Arial"/>
          <w:sz w:val="22"/>
          <w:szCs w:val="22"/>
        </w:rPr>
        <w:t>Hours represent the fan operation only. Proposed hours are weighted based on vintage.</w:t>
      </w:r>
    </w:p>
    <w:p w:rsidR="009856A5" w:rsidRDefault="009856A5" w:rsidP="009856A5"/>
    <w:p w:rsidR="00DB3794" w:rsidRPr="00451245" w:rsidRDefault="00DB3794" w:rsidP="00DB3794">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11</w:t>
      </w:r>
      <w:r w:rsidRPr="00451245">
        <w:rPr>
          <w:rFonts w:asciiTheme="minorHAnsi" w:hAnsiTheme="minorHAnsi" w:cs="Arial"/>
          <w:sz w:val="22"/>
          <w:szCs w:val="22"/>
        </w:rPr>
        <w:t xml:space="preserve"> </w:t>
      </w:r>
      <w:r>
        <w:rPr>
          <w:rFonts w:asciiTheme="minorHAnsi" w:hAnsiTheme="minorHAnsi" w:cs="Arial"/>
          <w:b w:val="0"/>
          <w:sz w:val="22"/>
          <w:szCs w:val="22"/>
        </w:rPr>
        <w:t>Hours of Operation by Climate Zone and Building Type</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p w:rsidR="00DB3794" w:rsidRPr="00F83A7D" w:rsidRDefault="00DB3794" w:rsidP="00DB3794">
      <w:pPr>
        <w:jc w:val="cente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90"/>
        <w:gridCol w:w="1080"/>
        <w:gridCol w:w="1183"/>
        <w:gridCol w:w="1247"/>
        <w:gridCol w:w="1440"/>
        <w:gridCol w:w="1350"/>
      </w:tblGrid>
      <w:tr w:rsidR="009856A5" w:rsidRPr="000830EB" w:rsidTr="00456BC8">
        <w:trPr>
          <w:trHeight w:val="593"/>
        </w:trPr>
        <w:tc>
          <w:tcPr>
            <w:tcW w:w="2790" w:type="dxa"/>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Building type</w:t>
            </w:r>
          </w:p>
        </w:tc>
        <w:tc>
          <w:tcPr>
            <w:tcW w:w="1080" w:type="dxa"/>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Building Vintage</w:t>
            </w:r>
          </w:p>
        </w:tc>
        <w:tc>
          <w:tcPr>
            <w:tcW w:w="1183" w:type="dxa"/>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Climate Zone</w:t>
            </w:r>
          </w:p>
        </w:tc>
        <w:tc>
          <w:tcPr>
            <w:tcW w:w="1247" w:type="dxa"/>
            <w:tcBorders>
              <w:bottom w:val="single" w:sz="4" w:space="0" w:color="auto"/>
            </w:tcBorders>
            <w:shd w:val="clear" w:color="auto" w:fill="D9D9D9" w:themeFill="background1" w:themeFillShade="D9"/>
            <w:vAlign w:val="center"/>
          </w:tcPr>
          <w:p w:rsidR="009856A5" w:rsidRPr="00451245" w:rsidRDefault="009856A5" w:rsidP="00284436">
            <w:pPr>
              <w:ind w:right="72"/>
              <w:jc w:val="center"/>
              <w:rPr>
                <w:rFonts w:asciiTheme="minorHAnsi" w:hAnsiTheme="minorHAnsi" w:cs="Arial"/>
                <w:b/>
                <w:sz w:val="22"/>
                <w:szCs w:val="22"/>
              </w:rPr>
            </w:pPr>
            <w:r w:rsidRPr="00451245">
              <w:rPr>
                <w:rFonts w:asciiTheme="minorHAnsi" w:hAnsiTheme="minorHAnsi" w:cs="Arial"/>
                <w:b/>
                <w:sz w:val="22"/>
                <w:szCs w:val="22"/>
              </w:rPr>
              <w:t>Baseline Hours of Operation (hrs/yr)</w:t>
            </w:r>
          </w:p>
        </w:tc>
        <w:tc>
          <w:tcPr>
            <w:tcW w:w="1440" w:type="dxa"/>
            <w:tcBorders>
              <w:bottom w:val="single" w:sz="4" w:space="0" w:color="auto"/>
            </w:tcBorders>
            <w:shd w:val="clear" w:color="auto" w:fill="D9D9D9" w:themeFill="background1" w:themeFillShade="D9"/>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Proposed Hours of Operation (hrs/yr)</w:t>
            </w:r>
          </w:p>
        </w:tc>
        <w:tc>
          <w:tcPr>
            <w:tcW w:w="1350" w:type="dxa"/>
            <w:tcBorders>
              <w:bottom w:val="single" w:sz="4" w:space="0" w:color="auto"/>
            </w:tcBorders>
            <w:shd w:val="clear" w:color="auto" w:fill="D9D9D9" w:themeFill="background1" w:themeFillShade="D9"/>
            <w:vAlign w:val="center"/>
          </w:tcPr>
          <w:p w:rsidR="009856A5" w:rsidRPr="00451245" w:rsidRDefault="009856A5" w:rsidP="00284436">
            <w:pPr>
              <w:jc w:val="center"/>
              <w:rPr>
                <w:rFonts w:asciiTheme="minorHAnsi" w:hAnsiTheme="minorHAnsi" w:cs="Arial"/>
                <w:b/>
                <w:sz w:val="22"/>
                <w:szCs w:val="22"/>
              </w:rPr>
            </w:pPr>
            <w:r w:rsidRPr="00451245">
              <w:rPr>
                <w:rFonts w:asciiTheme="minorHAnsi" w:hAnsiTheme="minorHAnsi" w:cs="Arial"/>
                <w:b/>
                <w:sz w:val="22"/>
                <w:szCs w:val="22"/>
              </w:rPr>
              <w:t>Reference</w:t>
            </w:r>
          </w:p>
        </w:tc>
      </w:tr>
      <w:tr w:rsidR="009856A5" w:rsidRPr="000830EB" w:rsidTr="00456BC8">
        <w:tc>
          <w:tcPr>
            <w:tcW w:w="2790" w:type="dxa"/>
            <w:shd w:val="clear" w:color="auto" w:fill="F2F2F2" w:themeFill="background1" w:themeFillShade="F2"/>
            <w:vAlign w:val="center"/>
          </w:tcPr>
          <w:p w:rsidR="009856A5" w:rsidRPr="00451245" w:rsidRDefault="009856A5" w:rsidP="00284436">
            <w:pPr>
              <w:rPr>
                <w:rFonts w:asciiTheme="minorHAnsi" w:hAnsiTheme="minorHAnsi" w:cs="Arial"/>
                <w:sz w:val="22"/>
                <w:szCs w:val="22"/>
              </w:rPr>
            </w:pPr>
            <w:r w:rsidRPr="00451245">
              <w:rPr>
                <w:rFonts w:asciiTheme="minorHAnsi" w:hAnsiTheme="minorHAnsi" w:cs="Arial"/>
                <w:sz w:val="22"/>
                <w:szCs w:val="22"/>
              </w:rPr>
              <w:t>Asm – Assembly</w:t>
            </w:r>
          </w:p>
        </w:tc>
        <w:tc>
          <w:tcPr>
            <w:tcW w:w="1080"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183"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7,10,14,15</w:t>
            </w:r>
          </w:p>
        </w:tc>
        <w:tc>
          <w:tcPr>
            <w:tcW w:w="1247"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8,760</w:t>
            </w:r>
          </w:p>
        </w:tc>
        <w:tc>
          <w:tcPr>
            <w:tcW w:w="1440" w:type="dxa"/>
            <w:shd w:val="clear" w:color="auto" w:fill="F2F2F2" w:themeFill="background1" w:themeFillShade="F2"/>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4,296</w:t>
            </w:r>
          </w:p>
        </w:tc>
        <w:tc>
          <w:tcPr>
            <w:tcW w:w="1350"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DEER</w:t>
            </w:r>
          </w:p>
        </w:tc>
      </w:tr>
      <w:tr w:rsidR="009856A5" w:rsidRPr="000830EB" w:rsidTr="00456BC8">
        <w:tc>
          <w:tcPr>
            <w:tcW w:w="2790" w:type="dxa"/>
            <w:tcBorders>
              <w:bottom w:val="single" w:sz="4" w:space="0" w:color="auto"/>
            </w:tcBorders>
            <w:shd w:val="clear" w:color="auto" w:fill="auto"/>
            <w:vAlign w:val="center"/>
          </w:tcPr>
          <w:p w:rsidR="009856A5" w:rsidRPr="00451245" w:rsidRDefault="009856A5" w:rsidP="00284436">
            <w:pPr>
              <w:rPr>
                <w:rFonts w:asciiTheme="minorHAnsi" w:hAnsiTheme="minorHAnsi" w:cs="Arial"/>
                <w:sz w:val="22"/>
                <w:szCs w:val="22"/>
              </w:rPr>
            </w:pPr>
            <w:r w:rsidRPr="00451245">
              <w:rPr>
                <w:rFonts w:asciiTheme="minorHAnsi" w:hAnsiTheme="minorHAnsi" w:cs="Arial"/>
                <w:sz w:val="22"/>
                <w:szCs w:val="22"/>
              </w:rPr>
              <w:t>EPr – Education Primary</w:t>
            </w:r>
          </w:p>
        </w:tc>
        <w:tc>
          <w:tcPr>
            <w:tcW w:w="1080" w:type="dxa"/>
            <w:tcBorders>
              <w:bottom w:val="single" w:sz="4" w:space="0" w:color="auto"/>
            </w:tcBorders>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183" w:type="dxa"/>
            <w:tcBorders>
              <w:bottom w:val="single" w:sz="4" w:space="0" w:color="auto"/>
            </w:tcBorders>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7,10,14,15</w:t>
            </w:r>
          </w:p>
        </w:tc>
        <w:tc>
          <w:tcPr>
            <w:tcW w:w="1247" w:type="dxa"/>
            <w:tcBorders>
              <w:bottom w:val="single" w:sz="4" w:space="0" w:color="auto"/>
            </w:tcBorders>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8,760</w:t>
            </w:r>
          </w:p>
        </w:tc>
        <w:tc>
          <w:tcPr>
            <w:tcW w:w="1440" w:type="dxa"/>
            <w:tcBorders>
              <w:bottom w:val="single" w:sz="4" w:space="0" w:color="auto"/>
            </w:tcBorders>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1,496</w:t>
            </w:r>
          </w:p>
        </w:tc>
        <w:tc>
          <w:tcPr>
            <w:tcW w:w="1350" w:type="dxa"/>
            <w:tcBorders>
              <w:bottom w:val="single" w:sz="4" w:space="0" w:color="auto"/>
            </w:tcBorders>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DEER</w:t>
            </w:r>
          </w:p>
        </w:tc>
      </w:tr>
      <w:tr w:rsidR="009856A5" w:rsidRPr="000830EB" w:rsidTr="00456BC8">
        <w:tc>
          <w:tcPr>
            <w:tcW w:w="2790" w:type="dxa"/>
            <w:shd w:val="clear" w:color="auto" w:fill="F2F2F2" w:themeFill="background1" w:themeFillShade="F2"/>
            <w:vAlign w:val="center"/>
          </w:tcPr>
          <w:p w:rsidR="009856A5" w:rsidRPr="00451245" w:rsidRDefault="009856A5" w:rsidP="00284436">
            <w:pPr>
              <w:rPr>
                <w:rFonts w:asciiTheme="minorHAnsi" w:hAnsiTheme="minorHAnsi" w:cs="Arial"/>
                <w:sz w:val="22"/>
                <w:szCs w:val="22"/>
              </w:rPr>
            </w:pPr>
            <w:r w:rsidRPr="00451245">
              <w:rPr>
                <w:rFonts w:asciiTheme="minorHAnsi" w:hAnsiTheme="minorHAnsi" w:cs="Arial"/>
                <w:sz w:val="22"/>
                <w:szCs w:val="22"/>
              </w:rPr>
              <w:t>ESe – Education Secondary</w:t>
            </w:r>
          </w:p>
        </w:tc>
        <w:tc>
          <w:tcPr>
            <w:tcW w:w="1080"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183"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7,10,14,15</w:t>
            </w:r>
          </w:p>
        </w:tc>
        <w:tc>
          <w:tcPr>
            <w:tcW w:w="1247"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8,760</w:t>
            </w:r>
          </w:p>
        </w:tc>
        <w:tc>
          <w:tcPr>
            <w:tcW w:w="1440" w:type="dxa"/>
            <w:shd w:val="clear" w:color="auto" w:fill="F2F2F2" w:themeFill="background1" w:themeFillShade="F2"/>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TBD</w:t>
            </w:r>
          </w:p>
        </w:tc>
        <w:tc>
          <w:tcPr>
            <w:tcW w:w="1350"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DEER</w:t>
            </w:r>
          </w:p>
        </w:tc>
      </w:tr>
      <w:tr w:rsidR="009856A5" w:rsidRPr="000830EB" w:rsidTr="00456BC8">
        <w:tc>
          <w:tcPr>
            <w:tcW w:w="2790" w:type="dxa"/>
            <w:tcBorders>
              <w:bottom w:val="single" w:sz="4" w:space="0" w:color="auto"/>
            </w:tcBorders>
            <w:shd w:val="clear" w:color="auto" w:fill="auto"/>
            <w:vAlign w:val="center"/>
          </w:tcPr>
          <w:p w:rsidR="009856A5" w:rsidRPr="00451245" w:rsidRDefault="009856A5" w:rsidP="00284436">
            <w:pPr>
              <w:rPr>
                <w:rFonts w:asciiTheme="minorHAnsi" w:hAnsiTheme="minorHAnsi" w:cs="Arial"/>
                <w:sz w:val="22"/>
                <w:szCs w:val="22"/>
              </w:rPr>
            </w:pPr>
            <w:r w:rsidRPr="00451245">
              <w:rPr>
                <w:rFonts w:asciiTheme="minorHAnsi" w:hAnsiTheme="minorHAnsi" w:cs="Arial"/>
                <w:sz w:val="22"/>
                <w:szCs w:val="22"/>
              </w:rPr>
              <w:t>Htl – Hotel</w:t>
            </w:r>
          </w:p>
        </w:tc>
        <w:tc>
          <w:tcPr>
            <w:tcW w:w="1080" w:type="dxa"/>
            <w:tcBorders>
              <w:bottom w:val="single" w:sz="4" w:space="0" w:color="auto"/>
            </w:tcBorders>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183" w:type="dxa"/>
            <w:tcBorders>
              <w:bottom w:val="single" w:sz="4" w:space="0" w:color="auto"/>
            </w:tcBorders>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7,10,14,15</w:t>
            </w:r>
          </w:p>
        </w:tc>
        <w:tc>
          <w:tcPr>
            <w:tcW w:w="1247" w:type="dxa"/>
            <w:tcBorders>
              <w:bottom w:val="single" w:sz="4" w:space="0" w:color="auto"/>
            </w:tcBorders>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8,760</w:t>
            </w:r>
          </w:p>
        </w:tc>
        <w:tc>
          <w:tcPr>
            <w:tcW w:w="1440" w:type="dxa"/>
            <w:tcBorders>
              <w:bottom w:val="single" w:sz="4" w:space="0" w:color="auto"/>
            </w:tcBorders>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TBD</w:t>
            </w:r>
          </w:p>
        </w:tc>
        <w:tc>
          <w:tcPr>
            <w:tcW w:w="1350" w:type="dxa"/>
            <w:tcBorders>
              <w:bottom w:val="single" w:sz="4" w:space="0" w:color="auto"/>
            </w:tcBorders>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DEER</w:t>
            </w:r>
          </w:p>
        </w:tc>
      </w:tr>
      <w:tr w:rsidR="009856A5" w:rsidRPr="000830EB" w:rsidTr="00456BC8">
        <w:tc>
          <w:tcPr>
            <w:tcW w:w="2790" w:type="dxa"/>
            <w:shd w:val="clear" w:color="auto" w:fill="F2F2F2" w:themeFill="background1" w:themeFillShade="F2"/>
            <w:vAlign w:val="center"/>
          </w:tcPr>
          <w:p w:rsidR="009856A5" w:rsidRPr="00451245" w:rsidRDefault="009856A5" w:rsidP="00284436">
            <w:pPr>
              <w:rPr>
                <w:rFonts w:asciiTheme="minorHAnsi" w:hAnsiTheme="minorHAnsi" w:cs="Arial"/>
                <w:sz w:val="22"/>
                <w:szCs w:val="22"/>
              </w:rPr>
            </w:pPr>
            <w:r w:rsidRPr="00451245">
              <w:rPr>
                <w:rFonts w:asciiTheme="minorHAnsi" w:hAnsiTheme="minorHAnsi" w:cs="Arial"/>
                <w:sz w:val="22"/>
                <w:szCs w:val="22"/>
              </w:rPr>
              <w:t>Mtl – Motel</w:t>
            </w:r>
          </w:p>
        </w:tc>
        <w:tc>
          <w:tcPr>
            <w:tcW w:w="1080"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183"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7,10,14,15</w:t>
            </w:r>
          </w:p>
        </w:tc>
        <w:tc>
          <w:tcPr>
            <w:tcW w:w="1247"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8,760</w:t>
            </w:r>
          </w:p>
        </w:tc>
        <w:tc>
          <w:tcPr>
            <w:tcW w:w="1440" w:type="dxa"/>
            <w:shd w:val="clear" w:color="auto" w:fill="F2F2F2" w:themeFill="background1" w:themeFillShade="F2"/>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TBD</w:t>
            </w:r>
          </w:p>
        </w:tc>
        <w:tc>
          <w:tcPr>
            <w:tcW w:w="1350" w:type="dxa"/>
            <w:shd w:val="clear" w:color="auto" w:fill="F2F2F2" w:themeFill="background1" w:themeFillShade="F2"/>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DEER</w:t>
            </w:r>
          </w:p>
        </w:tc>
      </w:tr>
      <w:tr w:rsidR="009856A5" w:rsidRPr="000830EB" w:rsidTr="00284436">
        <w:tc>
          <w:tcPr>
            <w:tcW w:w="2790" w:type="dxa"/>
            <w:shd w:val="clear" w:color="auto" w:fill="auto"/>
            <w:vAlign w:val="center"/>
          </w:tcPr>
          <w:p w:rsidR="009856A5" w:rsidRPr="00451245" w:rsidRDefault="009856A5" w:rsidP="00284436">
            <w:pPr>
              <w:rPr>
                <w:rFonts w:asciiTheme="minorHAnsi" w:hAnsiTheme="minorHAnsi" w:cs="Arial"/>
                <w:sz w:val="22"/>
                <w:szCs w:val="22"/>
              </w:rPr>
            </w:pPr>
            <w:r w:rsidRPr="00451245">
              <w:rPr>
                <w:rFonts w:asciiTheme="minorHAnsi" w:hAnsiTheme="minorHAnsi" w:cs="Arial"/>
                <w:sz w:val="22"/>
                <w:szCs w:val="22"/>
              </w:rPr>
              <w:t>RtS – Small Retail</w:t>
            </w:r>
          </w:p>
        </w:tc>
        <w:tc>
          <w:tcPr>
            <w:tcW w:w="1080" w:type="dxa"/>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183" w:type="dxa"/>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7,10,14,15</w:t>
            </w:r>
          </w:p>
        </w:tc>
        <w:tc>
          <w:tcPr>
            <w:tcW w:w="1247" w:type="dxa"/>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8,760</w:t>
            </w:r>
          </w:p>
        </w:tc>
        <w:tc>
          <w:tcPr>
            <w:tcW w:w="1440" w:type="dxa"/>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3,938</w:t>
            </w:r>
          </w:p>
        </w:tc>
        <w:tc>
          <w:tcPr>
            <w:tcW w:w="1350" w:type="dxa"/>
            <w:shd w:val="clear" w:color="auto" w:fill="auto"/>
            <w:vAlign w:val="center"/>
          </w:tcPr>
          <w:p w:rsidR="009856A5" w:rsidRPr="00451245" w:rsidRDefault="009856A5" w:rsidP="00284436">
            <w:pPr>
              <w:jc w:val="center"/>
              <w:rPr>
                <w:rFonts w:asciiTheme="minorHAnsi" w:hAnsiTheme="minorHAnsi" w:cs="Arial"/>
                <w:sz w:val="22"/>
                <w:szCs w:val="22"/>
              </w:rPr>
            </w:pPr>
            <w:r w:rsidRPr="00451245">
              <w:rPr>
                <w:rFonts w:asciiTheme="minorHAnsi" w:hAnsiTheme="minorHAnsi" w:cs="Arial"/>
                <w:sz w:val="22"/>
                <w:szCs w:val="22"/>
              </w:rPr>
              <w:t>DEER</w:t>
            </w:r>
          </w:p>
        </w:tc>
      </w:tr>
    </w:tbl>
    <w:p w:rsidR="009856A5" w:rsidRDefault="009856A5" w:rsidP="009856A5">
      <w:pPr>
        <w:rPr>
          <w:rFonts w:ascii="Arial" w:hAnsi="Arial" w:cs="Arial"/>
          <w:sz w:val="22"/>
          <w:szCs w:val="22"/>
        </w:rPr>
      </w:pPr>
    </w:p>
    <w:p w:rsidR="00421990" w:rsidRDefault="00421990">
      <w:pPr>
        <w:rPr>
          <w:rFonts w:asciiTheme="minorHAnsi" w:hAnsiTheme="minorHAnsi" w:cs="Arial"/>
          <w:b/>
          <w:bCs/>
          <w:iCs/>
          <w:sz w:val="28"/>
          <w:szCs w:val="28"/>
        </w:rPr>
      </w:pPr>
      <w:bookmarkStart w:id="40" w:name="_Toc385594704"/>
      <w:bookmarkStart w:id="41" w:name="_Toc404765880"/>
      <w:r>
        <w:rPr>
          <w:rFonts w:asciiTheme="minorHAnsi" w:hAnsiTheme="minorHAnsi"/>
          <w:i/>
        </w:rPr>
        <w:br w:type="page"/>
      </w:r>
    </w:p>
    <w:p w:rsidR="009856A5" w:rsidRPr="009856A5" w:rsidRDefault="009856A5" w:rsidP="009856A5">
      <w:pPr>
        <w:pStyle w:val="Heading2"/>
        <w:rPr>
          <w:rFonts w:asciiTheme="minorHAnsi" w:hAnsiTheme="minorHAnsi"/>
          <w:i w:val="0"/>
        </w:rPr>
      </w:pPr>
      <w:r w:rsidRPr="009856A5">
        <w:rPr>
          <w:rFonts w:asciiTheme="minorHAnsi" w:hAnsiTheme="minorHAnsi"/>
          <w:i w:val="0"/>
        </w:rPr>
        <w:lastRenderedPageBreak/>
        <w:t>1.5 Summary of Inputs for Savings Calculations</w:t>
      </w:r>
      <w:bookmarkEnd w:id="40"/>
      <w:bookmarkEnd w:id="41"/>
      <w:r w:rsidRPr="009856A5">
        <w:rPr>
          <w:rFonts w:asciiTheme="minorHAnsi" w:hAnsiTheme="minorHAnsi"/>
          <w:i w:val="0"/>
        </w:rPr>
        <w:t xml:space="preserve"> </w:t>
      </w:r>
    </w:p>
    <w:p w:rsidR="009856A5" w:rsidRDefault="009856A5" w:rsidP="009856A5">
      <w:pPr>
        <w:rPr>
          <w:rFonts w:asciiTheme="minorHAnsi" w:hAnsiTheme="minorHAnsi" w:cs="Arial"/>
          <w:sz w:val="22"/>
          <w:szCs w:val="22"/>
        </w:rPr>
      </w:pPr>
      <w:r w:rsidRPr="00421990">
        <w:rPr>
          <w:rFonts w:asciiTheme="minorHAnsi" w:hAnsiTheme="minorHAnsi" w:cs="Arial"/>
          <w:sz w:val="22"/>
          <w:szCs w:val="22"/>
        </w:rPr>
        <w:t>The following sections provide the inputs for calculation.</w:t>
      </w:r>
    </w:p>
    <w:p w:rsidR="00DB3794" w:rsidRDefault="00DB3794" w:rsidP="009856A5">
      <w:pPr>
        <w:rPr>
          <w:rFonts w:asciiTheme="minorHAnsi" w:hAnsiTheme="minorHAnsi" w:cs="Arial"/>
          <w:sz w:val="22"/>
          <w:szCs w:val="22"/>
        </w:rPr>
      </w:pPr>
    </w:p>
    <w:p w:rsidR="00DB3794" w:rsidRPr="00451245" w:rsidRDefault="00DB3794" w:rsidP="00DB3794">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12</w:t>
      </w:r>
      <w:r w:rsidRPr="00451245">
        <w:rPr>
          <w:rFonts w:asciiTheme="minorHAnsi" w:hAnsiTheme="minorHAnsi" w:cs="Arial"/>
          <w:sz w:val="22"/>
          <w:szCs w:val="22"/>
        </w:rPr>
        <w:t xml:space="preserve"> </w:t>
      </w:r>
      <w:r>
        <w:rPr>
          <w:rFonts w:asciiTheme="minorHAnsi" w:hAnsiTheme="minorHAnsi" w:cs="Arial"/>
          <w:b w:val="0"/>
          <w:sz w:val="22"/>
          <w:szCs w:val="22"/>
        </w:rPr>
        <w:t xml:space="preserve">Inputs for Savings </w:t>
      </w:r>
      <w:r w:rsidR="00284436">
        <w:rPr>
          <w:rFonts w:asciiTheme="minorHAnsi" w:hAnsiTheme="minorHAnsi" w:cs="Arial"/>
          <w:b w:val="0"/>
          <w:sz w:val="22"/>
          <w:szCs w:val="22"/>
        </w:rPr>
        <w:t>Calculations</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p w:rsidR="00DB3794" w:rsidRPr="00421990" w:rsidRDefault="00DB3794" w:rsidP="00DB3794">
      <w:pPr>
        <w:jc w:val="center"/>
        <w:rPr>
          <w:rFonts w:asciiTheme="minorHAnsi" w:hAnsiTheme="minorHAnsi" w:cs="Arial"/>
          <w:sz w:val="22"/>
          <w:szCs w:val="22"/>
        </w:rPr>
      </w:pPr>
    </w:p>
    <w:tbl>
      <w:tblPr>
        <w:tblW w:w="7886" w:type="dxa"/>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908"/>
        <w:gridCol w:w="1696"/>
        <w:gridCol w:w="1434"/>
        <w:gridCol w:w="1425"/>
        <w:gridCol w:w="1423"/>
      </w:tblGrid>
      <w:tr w:rsidR="00421990" w:rsidRPr="00291BC9" w:rsidTr="00FE1A39">
        <w:trPr>
          <w:trHeight w:val="950"/>
          <w:jc w:val="center"/>
        </w:trPr>
        <w:tc>
          <w:tcPr>
            <w:tcW w:w="1908" w:type="dxa"/>
            <w:shd w:val="clear" w:color="auto" w:fill="D9D9D9" w:themeFill="background1" w:themeFillShade="D9"/>
            <w:vAlign w:val="center"/>
          </w:tcPr>
          <w:p w:rsidR="00421990" w:rsidRPr="009856A5" w:rsidRDefault="00421990" w:rsidP="00284436">
            <w:pPr>
              <w:keepNext/>
              <w:keepLines/>
              <w:jc w:val="center"/>
              <w:rPr>
                <w:rFonts w:asciiTheme="minorHAnsi" w:hAnsiTheme="minorHAnsi" w:cs="Arial"/>
                <w:b/>
                <w:bCs/>
                <w:sz w:val="22"/>
                <w:szCs w:val="22"/>
              </w:rPr>
            </w:pPr>
            <w:r w:rsidRPr="009856A5">
              <w:rPr>
                <w:rFonts w:asciiTheme="minorHAnsi" w:hAnsiTheme="minorHAnsi" w:cs="Arial"/>
                <w:b/>
                <w:bCs/>
                <w:sz w:val="22"/>
                <w:szCs w:val="22"/>
              </w:rPr>
              <w:t>Input Variable</w:t>
            </w:r>
          </w:p>
        </w:tc>
        <w:tc>
          <w:tcPr>
            <w:tcW w:w="1696" w:type="dxa"/>
            <w:shd w:val="clear" w:color="auto" w:fill="D9D9D9" w:themeFill="background1" w:themeFillShade="D9"/>
            <w:vAlign w:val="center"/>
          </w:tcPr>
          <w:p w:rsidR="00421990" w:rsidRPr="009856A5" w:rsidRDefault="00421990" w:rsidP="00284436">
            <w:pPr>
              <w:keepNext/>
              <w:keepLines/>
              <w:jc w:val="center"/>
              <w:rPr>
                <w:rFonts w:asciiTheme="minorHAnsi" w:hAnsiTheme="minorHAnsi" w:cs="Arial"/>
                <w:b/>
                <w:bCs/>
                <w:sz w:val="22"/>
                <w:szCs w:val="22"/>
              </w:rPr>
            </w:pPr>
            <w:r w:rsidRPr="009856A5">
              <w:rPr>
                <w:rFonts w:asciiTheme="minorHAnsi" w:hAnsiTheme="minorHAnsi" w:cs="Arial"/>
                <w:b/>
                <w:bCs/>
                <w:sz w:val="22"/>
                <w:szCs w:val="22"/>
              </w:rPr>
              <w:t>Variations</w:t>
            </w:r>
          </w:p>
        </w:tc>
        <w:tc>
          <w:tcPr>
            <w:tcW w:w="1434" w:type="dxa"/>
            <w:shd w:val="clear" w:color="auto" w:fill="D9D9D9" w:themeFill="background1" w:themeFillShade="D9"/>
            <w:vAlign w:val="center"/>
          </w:tcPr>
          <w:p w:rsidR="00421990" w:rsidRPr="009856A5" w:rsidRDefault="00421990" w:rsidP="00284436">
            <w:pPr>
              <w:keepNext/>
              <w:keepLines/>
              <w:jc w:val="center"/>
              <w:rPr>
                <w:rFonts w:asciiTheme="minorHAnsi" w:hAnsiTheme="minorHAnsi" w:cs="Arial"/>
                <w:b/>
                <w:bCs/>
                <w:sz w:val="22"/>
                <w:szCs w:val="22"/>
              </w:rPr>
            </w:pPr>
            <w:r w:rsidRPr="009856A5">
              <w:rPr>
                <w:rFonts w:asciiTheme="minorHAnsi" w:hAnsiTheme="minorHAnsi" w:cs="Arial"/>
                <w:b/>
                <w:bCs/>
                <w:sz w:val="22"/>
                <w:szCs w:val="22"/>
              </w:rPr>
              <w:t>Base Case 1 Average Value</w:t>
            </w:r>
          </w:p>
        </w:tc>
        <w:tc>
          <w:tcPr>
            <w:tcW w:w="1425" w:type="dxa"/>
            <w:shd w:val="clear" w:color="auto" w:fill="D9D9D9" w:themeFill="background1" w:themeFillShade="D9"/>
            <w:vAlign w:val="center"/>
          </w:tcPr>
          <w:p w:rsidR="00421990" w:rsidRPr="009856A5" w:rsidRDefault="00421990" w:rsidP="00284436">
            <w:pPr>
              <w:keepNext/>
              <w:keepLines/>
              <w:jc w:val="center"/>
              <w:rPr>
                <w:rFonts w:asciiTheme="minorHAnsi" w:hAnsiTheme="minorHAnsi" w:cs="Arial"/>
                <w:b/>
                <w:bCs/>
                <w:sz w:val="22"/>
                <w:szCs w:val="22"/>
              </w:rPr>
            </w:pPr>
            <w:r w:rsidRPr="009856A5">
              <w:rPr>
                <w:rFonts w:asciiTheme="minorHAnsi" w:hAnsiTheme="minorHAnsi" w:cs="Arial"/>
                <w:b/>
                <w:bCs/>
                <w:sz w:val="22"/>
                <w:szCs w:val="22"/>
              </w:rPr>
              <w:t>Base Case 2 Average Value</w:t>
            </w:r>
          </w:p>
        </w:tc>
        <w:tc>
          <w:tcPr>
            <w:tcW w:w="1423" w:type="dxa"/>
            <w:shd w:val="clear" w:color="auto" w:fill="D9D9D9" w:themeFill="background1" w:themeFillShade="D9"/>
            <w:vAlign w:val="center"/>
          </w:tcPr>
          <w:p w:rsidR="00421990" w:rsidRPr="009856A5" w:rsidRDefault="00421990" w:rsidP="00284436">
            <w:pPr>
              <w:keepNext/>
              <w:keepLines/>
              <w:jc w:val="center"/>
              <w:rPr>
                <w:rFonts w:asciiTheme="minorHAnsi" w:hAnsiTheme="minorHAnsi" w:cs="Arial"/>
                <w:b/>
                <w:bCs/>
                <w:sz w:val="22"/>
                <w:szCs w:val="22"/>
              </w:rPr>
            </w:pPr>
            <w:r w:rsidRPr="009856A5">
              <w:rPr>
                <w:rFonts w:asciiTheme="minorHAnsi" w:hAnsiTheme="minorHAnsi" w:cs="Arial"/>
                <w:b/>
                <w:bCs/>
                <w:sz w:val="22"/>
                <w:szCs w:val="22"/>
              </w:rPr>
              <w:t>Measure Case Average Value</w:t>
            </w:r>
          </w:p>
        </w:tc>
      </w:tr>
      <w:tr w:rsidR="00421990" w:rsidRPr="00291BC9" w:rsidTr="00456BC8">
        <w:trPr>
          <w:trHeight w:val="467"/>
          <w:jc w:val="center"/>
        </w:trPr>
        <w:tc>
          <w:tcPr>
            <w:tcW w:w="1908"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b/>
                <w:sz w:val="22"/>
                <w:szCs w:val="22"/>
              </w:rPr>
            </w:pPr>
            <w:r w:rsidRPr="009856A5">
              <w:rPr>
                <w:rFonts w:asciiTheme="minorHAnsi" w:hAnsiTheme="minorHAnsi" w:cs="Arial"/>
                <w:b/>
                <w:sz w:val="22"/>
                <w:szCs w:val="22"/>
              </w:rPr>
              <w:t>Electric Usage (kWh)</w:t>
            </w:r>
          </w:p>
        </w:tc>
        <w:tc>
          <w:tcPr>
            <w:tcW w:w="1696"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CZ, BT</w:t>
            </w:r>
          </w:p>
        </w:tc>
        <w:tc>
          <w:tcPr>
            <w:tcW w:w="1434"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560,205</w:t>
            </w:r>
          </w:p>
        </w:tc>
        <w:tc>
          <w:tcPr>
            <w:tcW w:w="1425"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N/A</w:t>
            </w:r>
          </w:p>
        </w:tc>
        <w:tc>
          <w:tcPr>
            <w:tcW w:w="1423"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486,503</w:t>
            </w:r>
          </w:p>
        </w:tc>
      </w:tr>
      <w:tr w:rsidR="00421990" w:rsidRPr="00291BC9" w:rsidTr="00456BC8">
        <w:trPr>
          <w:trHeight w:val="234"/>
          <w:jc w:val="center"/>
        </w:trPr>
        <w:tc>
          <w:tcPr>
            <w:tcW w:w="1908" w:type="dxa"/>
            <w:shd w:val="clear" w:color="000000" w:fill="FFFFFF"/>
            <w:vAlign w:val="center"/>
          </w:tcPr>
          <w:p w:rsidR="00421990" w:rsidRPr="009856A5" w:rsidRDefault="00421990" w:rsidP="00284436">
            <w:pPr>
              <w:keepNext/>
              <w:jc w:val="center"/>
              <w:rPr>
                <w:rFonts w:asciiTheme="minorHAnsi" w:hAnsiTheme="minorHAnsi" w:cs="Arial"/>
                <w:b/>
                <w:sz w:val="22"/>
                <w:szCs w:val="22"/>
              </w:rPr>
            </w:pPr>
            <w:r w:rsidRPr="009856A5">
              <w:rPr>
                <w:rFonts w:asciiTheme="minorHAnsi" w:hAnsiTheme="minorHAnsi" w:cs="Arial"/>
                <w:b/>
                <w:sz w:val="22"/>
                <w:szCs w:val="22"/>
              </w:rPr>
              <w:t>Gas Usage (Therms)</w:t>
            </w:r>
          </w:p>
        </w:tc>
        <w:tc>
          <w:tcPr>
            <w:tcW w:w="1696"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CZ, BT</w:t>
            </w:r>
          </w:p>
        </w:tc>
        <w:tc>
          <w:tcPr>
            <w:tcW w:w="1434"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20,685</w:t>
            </w:r>
          </w:p>
        </w:tc>
        <w:tc>
          <w:tcPr>
            <w:tcW w:w="1425"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N/A</w:t>
            </w:r>
          </w:p>
        </w:tc>
        <w:tc>
          <w:tcPr>
            <w:tcW w:w="1423"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5,046</w:t>
            </w:r>
          </w:p>
        </w:tc>
      </w:tr>
      <w:tr w:rsidR="00421990" w:rsidRPr="00291BC9" w:rsidTr="00456BC8">
        <w:trPr>
          <w:trHeight w:val="483"/>
          <w:jc w:val="center"/>
        </w:trPr>
        <w:tc>
          <w:tcPr>
            <w:tcW w:w="1908"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b/>
                <w:sz w:val="22"/>
                <w:szCs w:val="22"/>
              </w:rPr>
            </w:pPr>
            <w:r w:rsidRPr="009856A5">
              <w:rPr>
                <w:rFonts w:asciiTheme="minorHAnsi" w:hAnsiTheme="minorHAnsi" w:cs="Arial"/>
                <w:b/>
                <w:sz w:val="22"/>
                <w:szCs w:val="22"/>
              </w:rPr>
              <w:t>Hours of operation</w:t>
            </w:r>
          </w:p>
        </w:tc>
        <w:tc>
          <w:tcPr>
            <w:tcW w:w="1696"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CZ, BT</w:t>
            </w:r>
          </w:p>
        </w:tc>
        <w:tc>
          <w:tcPr>
            <w:tcW w:w="1434"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8,760</w:t>
            </w:r>
          </w:p>
        </w:tc>
        <w:tc>
          <w:tcPr>
            <w:tcW w:w="1425"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N/A</w:t>
            </w:r>
          </w:p>
        </w:tc>
        <w:tc>
          <w:tcPr>
            <w:tcW w:w="1423"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3,243</w:t>
            </w:r>
          </w:p>
        </w:tc>
      </w:tr>
      <w:tr w:rsidR="00421990" w:rsidRPr="00291BC9" w:rsidTr="00456BC8">
        <w:trPr>
          <w:trHeight w:val="234"/>
          <w:jc w:val="center"/>
        </w:trPr>
        <w:tc>
          <w:tcPr>
            <w:tcW w:w="1908" w:type="dxa"/>
            <w:shd w:val="clear" w:color="000000" w:fill="FFFFFF"/>
            <w:vAlign w:val="center"/>
          </w:tcPr>
          <w:p w:rsidR="00421990" w:rsidRPr="009856A5" w:rsidRDefault="00421990" w:rsidP="00284436">
            <w:pPr>
              <w:keepNext/>
              <w:jc w:val="center"/>
              <w:rPr>
                <w:rFonts w:asciiTheme="minorHAnsi" w:hAnsiTheme="minorHAnsi" w:cs="Arial"/>
                <w:b/>
                <w:sz w:val="22"/>
                <w:szCs w:val="22"/>
              </w:rPr>
            </w:pPr>
            <w:r w:rsidRPr="009856A5">
              <w:rPr>
                <w:rFonts w:asciiTheme="minorHAnsi" w:hAnsiTheme="minorHAnsi" w:cs="Arial"/>
                <w:b/>
                <w:sz w:val="22"/>
                <w:szCs w:val="22"/>
              </w:rPr>
              <w:t>Full Cost</w:t>
            </w:r>
          </w:p>
        </w:tc>
        <w:tc>
          <w:tcPr>
            <w:tcW w:w="1696"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CZ</w:t>
            </w:r>
          </w:p>
        </w:tc>
        <w:tc>
          <w:tcPr>
            <w:tcW w:w="1434"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$0.00</w:t>
            </w:r>
          </w:p>
        </w:tc>
        <w:tc>
          <w:tcPr>
            <w:tcW w:w="1425"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N/A</w:t>
            </w:r>
          </w:p>
        </w:tc>
        <w:tc>
          <w:tcPr>
            <w:tcW w:w="1423"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$242.19</w:t>
            </w:r>
          </w:p>
        </w:tc>
      </w:tr>
      <w:tr w:rsidR="00421990" w:rsidRPr="00291BC9" w:rsidTr="00456BC8">
        <w:trPr>
          <w:trHeight w:val="483"/>
          <w:jc w:val="center"/>
        </w:trPr>
        <w:tc>
          <w:tcPr>
            <w:tcW w:w="1908"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b/>
                <w:sz w:val="22"/>
                <w:szCs w:val="22"/>
              </w:rPr>
            </w:pPr>
            <w:r w:rsidRPr="009856A5">
              <w:rPr>
                <w:rFonts w:asciiTheme="minorHAnsi" w:hAnsiTheme="minorHAnsi" w:cs="Arial"/>
                <w:b/>
                <w:sz w:val="22"/>
                <w:szCs w:val="22"/>
              </w:rPr>
              <w:t>Incremental Cost</w:t>
            </w:r>
          </w:p>
        </w:tc>
        <w:tc>
          <w:tcPr>
            <w:tcW w:w="1696"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CZ</w:t>
            </w:r>
          </w:p>
        </w:tc>
        <w:tc>
          <w:tcPr>
            <w:tcW w:w="1434"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N/A</w:t>
            </w:r>
          </w:p>
        </w:tc>
        <w:tc>
          <w:tcPr>
            <w:tcW w:w="1425"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N/A</w:t>
            </w:r>
          </w:p>
        </w:tc>
        <w:tc>
          <w:tcPr>
            <w:tcW w:w="1423"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$242.19</w:t>
            </w:r>
          </w:p>
        </w:tc>
      </w:tr>
      <w:tr w:rsidR="00421990" w:rsidRPr="00291BC9" w:rsidTr="00456BC8">
        <w:trPr>
          <w:trHeight w:val="249"/>
          <w:jc w:val="center"/>
        </w:trPr>
        <w:tc>
          <w:tcPr>
            <w:tcW w:w="1908" w:type="dxa"/>
            <w:shd w:val="clear" w:color="000000" w:fill="FFFFFF"/>
            <w:vAlign w:val="center"/>
          </w:tcPr>
          <w:p w:rsidR="00421990" w:rsidRPr="009856A5" w:rsidRDefault="00421990" w:rsidP="00284436">
            <w:pPr>
              <w:keepNext/>
              <w:jc w:val="center"/>
              <w:rPr>
                <w:rFonts w:asciiTheme="minorHAnsi" w:hAnsiTheme="minorHAnsi" w:cs="Arial"/>
                <w:b/>
                <w:sz w:val="22"/>
                <w:szCs w:val="22"/>
              </w:rPr>
            </w:pPr>
            <w:r w:rsidRPr="009856A5">
              <w:rPr>
                <w:rFonts w:asciiTheme="minorHAnsi" w:hAnsiTheme="minorHAnsi" w:cs="Arial"/>
                <w:b/>
                <w:sz w:val="22"/>
                <w:szCs w:val="22"/>
              </w:rPr>
              <w:t>EUL /RUL</w:t>
            </w:r>
          </w:p>
        </w:tc>
        <w:tc>
          <w:tcPr>
            <w:tcW w:w="1696"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None</w:t>
            </w:r>
          </w:p>
        </w:tc>
        <w:tc>
          <w:tcPr>
            <w:tcW w:w="1434" w:type="dxa"/>
            <w:shd w:val="clear" w:color="000000" w:fill="FFFFFF"/>
            <w:vAlign w:val="center"/>
          </w:tcPr>
          <w:p w:rsidR="00421990" w:rsidRPr="009856A5" w:rsidRDefault="00FE1A39" w:rsidP="00284436">
            <w:pPr>
              <w:keepNext/>
              <w:jc w:val="center"/>
              <w:rPr>
                <w:rFonts w:asciiTheme="minorHAnsi" w:hAnsiTheme="minorHAnsi" w:cs="Arial"/>
                <w:sz w:val="22"/>
                <w:szCs w:val="22"/>
              </w:rPr>
            </w:pPr>
            <w:r w:rsidRPr="00FE1A39">
              <w:rPr>
                <w:rFonts w:asciiTheme="minorHAnsi" w:hAnsiTheme="minorHAnsi" w:cs="Arial"/>
                <w:sz w:val="22"/>
                <w:szCs w:val="22"/>
              </w:rPr>
              <w:t>HV-ProgTstat</w:t>
            </w:r>
          </w:p>
        </w:tc>
        <w:tc>
          <w:tcPr>
            <w:tcW w:w="1425" w:type="dxa"/>
            <w:shd w:val="clear" w:color="000000" w:fill="FFFFFF"/>
            <w:vAlign w:val="center"/>
          </w:tcPr>
          <w:p w:rsidR="00421990" w:rsidRPr="009856A5" w:rsidRDefault="00FE1A39" w:rsidP="00284436">
            <w:pPr>
              <w:keepNext/>
              <w:jc w:val="center"/>
              <w:rPr>
                <w:rFonts w:asciiTheme="minorHAnsi" w:hAnsiTheme="minorHAnsi" w:cs="Arial"/>
                <w:sz w:val="22"/>
                <w:szCs w:val="22"/>
              </w:rPr>
            </w:pPr>
            <w:r w:rsidRPr="00FE1A39">
              <w:rPr>
                <w:rFonts w:asciiTheme="minorHAnsi" w:hAnsiTheme="minorHAnsi" w:cs="Arial"/>
                <w:sz w:val="22"/>
                <w:szCs w:val="22"/>
              </w:rPr>
              <w:t>HV-ProgTstat</w:t>
            </w:r>
          </w:p>
        </w:tc>
        <w:tc>
          <w:tcPr>
            <w:tcW w:w="1423" w:type="dxa"/>
            <w:shd w:val="clear" w:color="000000" w:fill="FFFFFF"/>
            <w:vAlign w:val="center"/>
          </w:tcPr>
          <w:p w:rsidR="00421990" w:rsidRPr="009856A5" w:rsidRDefault="00FE1A39" w:rsidP="00284436">
            <w:pPr>
              <w:keepNext/>
              <w:jc w:val="center"/>
              <w:rPr>
                <w:rFonts w:asciiTheme="minorHAnsi" w:hAnsiTheme="minorHAnsi" w:cs="Arial"/>
                <w:sz w:val="22"/>
                <w:szCs w:val="22"/>
              </w:rPr>
            </w:pPr>
            <w:r w:rsidRPr="00FE1A39">
              <w:rPr>
                <w:rFonts w:asciiTheme="minorHAnsi" w:hAnsiTheme="minorHAnsi" w:cs="Arial"/>
                <w:sz w:val="22"/>
                <w:szCs w:val="22"/>
              </w:rPr>
              <w:t>HV-ProgTstat</w:t>
            </w:r>
          </w:p>
        </w:tc>
      </w:tr>
      <w:tr w:rsidR="00421990" w:rsidRPr="00291BC9" w:rsidTr="00456BC8">
        <w:trPr>
          <w:trHeight w:val="249"/>
          <w:jc w:val="center"/>
        </w:trPr>
        <w:tc>
          <w:tcPr>
            <w:tcW w:w="1908"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b/>
                <w:sz w:val="22"/>
                <w:szCs w:val="22"/>
              </w:rPr>
            </w:pPr>
            <w:r w:rsidRPr="009856A5">
              <w:rPr>
                <w:rFonts w:asciiTheme="minorHAnsi" w:hAnsiTheme="minorHAnsi" w:cs="Arial"/>
                <w:b/>
                <w:sz w:val="22"/>
                <w:szCs w:val="22"/>
              </w:rPr>
              <w:t>NTG</w:t>
            </w:r>
          </w:p>
        </w:tc>
        <w:tc>
          <w:tcPr>
            <w:tcW w:w="1696" w:type="dxa"/>
            <w:tcBorders>
              <w:bottom w:val="single" w:sz="18" w:space="0" w:color="FFFFFF"/>
            </w:tcBorders>
            <w:shd w:val="pct5"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None</w:t>
            </w:r>
          </w:p>
        </w:tc>
        <w:tc>
          <w:tcPr>
            <w:tcW w:w="1434" w:type="dxa"/>
            <w:tcBorders>
              <w:bottom w:val="single" w:sz="18" w:space="0" w:color="FFFFFF"/>
            </w:tcBorders>
            <w:shd w:val="pct5" w:color="000000" w:fill="FFFFFF"/>
            <w:vAlign w:val="center"/>
          </w:tcPr>
          <w:p w:rsidR="00421990" w:rsidRPr="009856A5" w:rsidRDefault="00927047" w:rsidP="00284436">
            <w:pPr>
              <w:keepNext/>
              <w:jc w:val="center"/>
              <w:rPr>
                <w:rFonts w:asciiTheme="minorHAnsi" w:hAnsiTheme="minorHAnsi" w:cs="Arial"/>
                <w:sz w:val="22"/>
                <w:szCs w:val="22"/>
              </w:rPr>
            </w:pPr>
            <w:r w:rsidRPr="00927047">
              <w:rPr>
                <w:rFonts w:asciiTheme="minorHAnsi" w:hAnsiTheme="minorHAnsi" w:cs="Arial"/>
                <w:sz w:val="22"/>
                <w:szCs w:val="22"/>
              </w:rPr>
              <w:t>Com-Default&gt;2yrs</w:t>
            </w:r>
          </w:p>
        </w:tc>
        <w:tc>
          <w:tcPr>
            <w:tcW w:w="1425" w:type="dxa"/>
            <w:tcBorders>
              <w:bottom w:val="single" w:sz="18" w:space="0" w:color="FFFFFF"/>
            </w:tcBorders>
            <w:shd w:val="pct5" w:color="000000" w:fill="FFFFFF"/>
            <w:vAlign w:val="center"/>
          </w:tcPr>
          <w:p w:rsidR="00421990" w:rsidRPr="009856A5" w:rsidRDefault="00927047" w:rsidP="00284436">
            <w:pPr>
              <w:keepNext/>
              <w:jc w:val="center"/>
              <w:rPr>
                <w:rFonts w:asciiTheme="minorHAnsi" w:hAnsiTheme="minorHAnsi" w:cs="Arial"/>
                <w:sz w:val="22"/>
                <w:szCs w:val="22"/>
              </w:rPr>
            </w:pPr>
            <w:r w:rsidRPr="00927047">
              <w:rPr>
                <w:rFonts w:asciiTheme="minorHAnsi" w:hAnsiTheme="minorHAnsi" w:cs="Arial"/>
                <w:sz w:val="22"/>
                <w:szCs w:val="22"/>
              </w:rPr>
              <w:t>Com-Default&gt;2yrs</w:t>
            </w:r>
          </w:p>
        </w:tc>
        <w:tc>
          <w:tcPr>
            <w:tcW w:w="1423" w:type="dxa"/>
            <w:tcBorders>
              <w:bottom w:val="single" w:sz="18" w:space="0" w:color="FFFFFF"/>
            </w:tcBorders>
            <w:shd w:val="pct5" w:color="000000" w:fill="FFFFFF"/>
            <w:vAlign w:val="center"/>
          </w:tcPr>
          <w:p w:rsidR="00421990" w:rsidRPr="009856A5" w:rsidRDefault="00927047" w:rsidP="00284436">
            <w:pPr>
              <w:keepNext/>
              <w:jc w:val="center"/>
              <w:rPr>
                <w:rFonts w:asciiTheme="minorHAnsi" w:hAnsiTheme="minorHAnsi" w:cs="Arial"/>
                <w:sz w:val="22"/>
                <w:szCs w:val="22"/>
              </w:rPr>
            </w:pPr>
            <w:r w:rsidRPr="00927047">
              <w:rPr>
                <w:rFonts w:asciiTheme="minorHAnsi" w:hAnsiTheme="minorHAnsi" w:cs="Arial"/>
                <w:sz w:val="22"/>
                <w:szCs w:val="22"/>
              </w:rPr>
              <w:t>Com-Default&gt;2yrs</w:t>
            </w:r>
          </w:p>
        </w:tc>
      </w:tr>
      <w:tr w:rsidR="00421990" w:rsidRPr="00291BC9" w:rsidTr="00456BC8">
        <w:trPr>
          <w:trHeight w:val="249"/>
          <w:jc w:val="center"/>
        </w:trPr>
        <w:tc>
          <w:tcPr>
            <w:tcW w:w="1908" w:type="dxa"/>
            <w:shd w:val="clear" w:color="000000" w:fill="FFFFFF"/>
            <w:vAlign w:val="center"/>
          </w:tcPr>
          <w:p w:rsidR="00421990" w:rsidRPr="009856A5" w:rsidRDefault="00421990" w:rsidP="00284436">
            <w:pPr>
              <w:keepNext/>
              <w:jc w:val="center"/>
              <w:rPr>
                <w:rFonts w:asciiTheme="minorHAnsi" w:hAnsiTheme="minorHAnsi" w:cs="Arial"/>
                <w:b/>
                <w:sz w:val="22"/>
                <w:szCs w:val="22"/>
              </w:rPr>
            </w:pPr>
            <w:r w:rsidRPr="009856A5">
              <w:rPr>
                <w:rFonts w:asciiTheme="minorHAnsi" w:hAnsiTheme="minorHAnsi" w:cs="Arial"/>
                <w:b/>
                <w:sz w:val="22"/>
                <w:szCs w:val="22"/>
              </w:rPr>
              <w:t>ISR</w:t>
            </w:r>
          </w:p>
        </w:tc>
        <w:tc>
          <w:tcPr>
            <w:tcW w:w="1696" w:type="dxa"/>
            <w:shd w:val="clear" w:color="000000" w:fill="FFFFFF"/>
            <w:vAlign w:val="center"/>
          </w:tcPr>
          <w:p w:rsidR="00421990" w:rsidRPr="009856A5" w:rsidRDefault="00421990" w:rsidP="00284436">
            <w:pPr>
              <w:keepNext/>
              <w:jc w:val="center"/>
              <w:rPr>
                <w:rFonts w:asciiTheme="minorHAnsi" w:hAnsiTheme="minorHAnsi" w:cs="Arial"/>
                <w:sz w:val="22"/>
                <w:szCs w:val="22"/>
                <w:highlight w:val="yellow"/>
              </w:rPr>
            </w:pPr>
            <w:r w:rsidRPr="009856A5">
              <w:rPr>
                <w:rFonts w:asciiTheme="minorHAnsi" w:hAnsiTheme="minorHAnsi" w:cs="Arial"/>
                <w:sz w:val="22"/>
                <w:szCs w:val="22"/>
              </w:rPr>
              <w:t>None</w:t>
            </w:r>
          </w:p>
        </w:tc>
        <w:tc>
          <w:tcPr>
            <w:tcW w:w="1434"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1</w:t>
            </w:r>
          </w:p>
        </w:tc>
        <w:tc>
          <w:tcPr>
            <w:tcW w:w="1425"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1</w:t>
            </w:r>
          </w:p>
        </w:tc>
        <w:tc>
          <w:tcPr>
            <w:tcW w:w="1423" w:type="dxa"/>
            <w:shd w:val="clear" w:color="000000" w:fill="FFFFFF"/>
            <w:vAlign w:val="center"/>
          </w:tcPr>
          <w:p w:rsidR="00421990" w:rsidRPr="009856A5" w:rsidRDefault="00421990" w:rsidP="00284436">
            <w:pPr>
              <w:keepNext/>
              <w:jc w:val="center"/>
              <w:rPr>
                <w:rFonts w:asciiTheme="minorHAnsi" w:hAnsiTheme="minorHAnsi" w:cs="Arial"/>
                <w:sz w:val="22"/>
                <w:szCs w:val="22"/>
              </w:rPr>
            </w:pPr>
            <w:r w:rsidRPr="009856A5">
              <w:rPr>
                <w:rFonts w:asciiTheme="minorHAnsi" w:hAnsiTheme="minorHAnsi" w:cs="Arial"/>
                <w:sz w:val="22"/>
                <w:szCs w:val="22"/>
              </w:rPr>
              <w:t>1</w:t>
            </w:r>
          </w:p>
        </w:tc>
      </w:tr>
    </w:tbl>
    <w:p w:rsidR="003F4FFF" w:rsidRPr="00456BC8" w:rsidRDefault="003F4FFF" w:rsidP="00864083">
      <w:pPr>
        <w:rPr>
          <w:rFonts w:asciiTheme="minorHAnsi" w:hAnsiTheme="minorHAnsi" w:cs="Arial"/>
          <w:sz w:val="22"/>
          <w:szCs w:val="22"/>
        </w:rPr>
      </w:pPr>
      <w:r w:rsidRPr="00456BC8">
        <w:rPr>
          <w:rFonts w:asciiTheme="minorHAnsi" w:hAnsiTheme="minorHAnsi" w:cs="Arial"/>
          <w:sz w:val="22"/>
          <w:szCs w:val="22"/>
        </w:rPr>
        <w:t xml:space="preserve">Notes: </w:t>
      </w:r>
    </w:p>
    <w:p w:rsidR="00F23690" w:rsidRPr="00456BC8" w:rsidRDefault="00F23690" w:rsidP="00911FD2">
      <w:pPr>
        <w:numPr>
          <w:ilvl w:val="0"/>
          <w:numId w:val="25"/>
        </w:numPr>
        <w:rPr>
          <w:rFonts w:asciiTheme="minorHAnsi" w:hAnsiTheme="minorHAnsi" w:cs="Arial"/>
          <w:sz w:val="22"/>
          <w:szCs w:val="22"/>
        </w:rPr>
      </w:pPr>
      <w:r w:rsidRPr="00456BC8">
        <w:rPr>
          <w:rFonts w:asciiTheme="minorHAnsi" w:hAnsiTheme="minorHAnsi" w:cs="Arial"/>
          <w:sz w:val="22"/>
          <w:szCs w:val="22"/>
        </w:rPr>
        <w:t>For R</w:t>
      </w:r>
      <w:r w:rsidR="00911FD2" w:rsidRPr="00456BC8">
        <w:rPr>
          <w:rFonts w:asciiTheme="minorHAnsi" w:hAnsiTheme="minorHAnsi" w:cs="Arial"/>
          <w:sz w:val="22"/>
          <w:szCs w:val="22"/>
        </w:rPr>
        <w:t>EA</w:t>
      </w:r>
      <w:r w:rsidRPr="00456BC8">
        <w:rPr>
          <w:rFonts w:asciiTheme="minorHAnsi" w:hAnsiTheme="minorHAnsi" w:cs="Arial"/>
          <w:sz w:val="22"/>
          <w:szCs w:val="22"/>
        </w:rPr>
        <w:t xml:space="preserve">, </w:t>
      </w:r>
      <w:r w:rsidR="00B62384" w:rsidRPr="00456BC8">
        <w:rPr>
          <w:rFonts w:asciiTheme="minorHAnsi" w:hAnsiTheme="minorHAnsi" w:cs="Arial"/>
          <w:sz w:val="22"/>
          <w:szCs w:val="22"/>
        </w:rPr>
        <w:t>baseline is based on the existing equipment; there is no second baseline.</w:t>
      </w:r>
    </w:p>
    <w:p w:rsidR="00DD4139" w:rsidRDefault="00DD4139" w:rsidP="00DD4139">
      <w:pPr>
        <w:rPr>
          <w:rFonts w:ascii="Arial" w:hAnsi="Arial" w:cs="Arial"/>
          <w:sz w:val="22"/>
          <w:szCs w:val="22"/>
        </w:rPr>
      </w:pPr>
    </w:p>
    <w:p w:rsidR="00CE7E7E" w:rsidRPr="00456BC8" w:rsidRDefault="00CE7E7E" w:rsidP="00CE7E7E">
      <w:pPr>
        <w:rPr>
          <w:rFonts w:asciiTheme="minorHAnsi" w:hAnsiTheme="minorHAnsi" w:cs="Arial"/>
          <w:b/>
          <w:sz w:val="22"/>
          <w:szCs w:val="22"/>
        </w:rPr>
      </w:pPr>
      <w:r w:rsidRPr="00456BC8">
        <w:rPr>
          <w:rFonts w:asciiTheme="minorHAnsi" w:hAnsiTheme="minorHAnsi" w:cs="Arial"/>
          <w:b/>
          <w:sz w:val="22"/>
          <w:szCs w:val="22"/>
        </w:rPr>
        <w:t>DM-XX – Programmable Communicating Thermostats</w:t>
      </w:r>
    </w:p>
    <w:p w:rsidR="00CE7E7E" w:rsidRPr="00456BC8" w:rsidRDefault="00CE7E7E" w:rsidP="00CE7E7E">
      <w:pPr>
        <w:rPr>
          <w:rFonts w:asciiTheme="minorHAnsi" w:hAnsiTheme="minorHAnsi" w:cs="Arial"/>
          <w:sz w:val="22"/>
          <w:szCs w:val="22"/>
        </w:rPr>
      </w:pPr>
      <w:r w:rsidRPr="00456BC8">
        <w:rPr>
          <w:rFonts w:asciiTheme="minorHAnsi" w:hAnsiTheme="minorHAnsi" w:cs="Arial"/>
          <w:sz w:val="22"/>
          <w:szCs w:val="22"/>
        </w:rPr>
        <w:t xml:space="preserve">Qualifying thermostats must replace existing, non-setback, non-programmable, mechanical type thermostats. Replacement of existing programmable thermostats or EMS control system replacements are not allowed. </w:t>
      </w:r>
      <w:r w:rsidR="00021DE9" w:rsidRPr="00456BC8">
        <w:rPr>
          <w:rFonts w:asciiTheme="minorHAnsi" w:hAnsiTheme="minorHAnsi" w:cs="Arial"/>
          <w:sz w:val="22"/>
          <w:szCs w:val="22"/>
        </w:rPr>
        <w:t>We have created energy models to estimate the savings for this measure.</w:t>
      </w:r>
    </w:p>
    <w:p w:rsidR="00A92A0B" w:rsidRDefault="00A92A0B" w:rsidP="00DD4139">
      <w:pPr>
        <w:rPr>
          <w:rFonts w:ascii="Arial" w:hAnsi="Arial" w:cs="Arial"/>
          <w:sz w:val="22"/>
          <w:szCs w:val="22"/>
        </w:rPr>
      </w:pPr>
    </w:p>
    <w:p w:rsidR="003F4FFF" w:rsidRPr="00456BC8" w:rsidRDefault="003F4FFF" w:rsidP="00BA548B">
      <w:pPr>
        <w:pStyle w:val="Heading2"/>
        <w:rPr>
          <w:rFonts w:asciiTheme="minorHAnsi" w:hAnsiTheme="minorHAnsi"/>
          <w:i w:val="0"/>
        </w:rPr>
      </w:pPr>
      <w:bookmarkStart w:id="42" w:name="_Toc404765882"/>
      <w:r w:rsidRPr="00456BC8">
        <w:rPr>
          <w:rFonts w:asciiTheme="minorHAnsi" w:hAnsiTheme="minorHAnsi"/>
          <w:i w:val="0"/>
        </w:rPr>
        <w:t>2.1 Electric Energy Savings Estimation Methodologies</w:t>
      </w:r>
      <w:bookmarkEnd w:id="42"/>
      <w:r w:rsidRPr="00456BC8">
        <w:rPr>
          <w:rFonts w:asciiTheme="minorHAnsi" w:hAnsiTheme="minorHAnsi"/>
          <w:i w:val="0"/>
        </w:rPr>
        <w:t xml:space="preserve"> </w:t>
      </w:r>
    </w:p>
    <w:p w:rsidR="005D4BEE" w:rsidRPr="00456BC8" w:rsidRDefault="00021DE9" w:rsidP="00F6612D">
      <w:pPr>
        <w:rPr>
          <w:rFonts w:asciiTheme="minorHAnsi" w:hAnsiTheme="minorHAnsi" w:cs="Arial"/>
          <w:sz w:val="22"/>
          <w:szCs w:val="22"/>
        </w:rPr>
      </w:pPr>
      <w:r w:rsidRPr="00456BC8">
        <w:rPr>
          <w:rFonts w:asciiTheme="minorHAnsi" w:hAnsiTheme="minorHAnsi" w:cs="Arial"/>
          <w:sz w:val="22"/>
          <w:szCs w:val="22"/>
        </w:rPr>
        <w:t>The DEER 2014 database does not contain an updated measure for catal</w:t>
      </w:r>
      <w:r w:rsidR="007A3FB0" w:rsidRPr="00456BC8">
        <w:rPr>
          <w:rFonts w:asciiTheme="minorHAnsi" w:hAnsiTheme="minorHAnsi" w:cs="Arial"/>
          <w:sz w:val="22"/>
          <w:szCs w:val="22"/>
        </w:rPr>
        <w:t>og measure DM-XX</w:t>
      </w:r>
      <w:r w:rsidRPr="00456BC8">
        <w:rPr>
          <w:rFonts w:asciiTheme="minorHAnsi" w:hAnsiTheme="minorHAnsi" w:cs="Arial"/>
          <w:sz w:val="22"/>
          <w:szCs w:val="22"/>
        </w:rPr>
        <w:t>. The closest DEER measures are outdated and not eligible to be used in incentive calculations. Therefore, energy models were developed to estimate energy savings.</w:t>
      </w:r>
      <w:r w:rsidRPr="00456BC8">
        <w:rPr>
          <w:rFonts w:asciiTheme="minorHAnsi" w:hAnsiTheme="minorHAnsi" w:cs="Arial"/>
          <w:sz w:val="22"/>
          <w:szCs w:val="22"/>
        </w:rPr>
        <w:br/>
      </w:r>
      <w:r w:rsidRPr="00456BC8">
        <w:rPr>
          <w:rFonts w:asciiTheme="minorHAnsi" w:hAnsiTheme="minorHAnsi" w:cs="Arial"/>
          <w:sz w:val="22"/>
          <w:szCs w:val="22"/>
        </w:rPr>
        <w:br/>
      </w:r>
      <w:r w:rsidR="00F6612D" w:rsidRPr="00456BC8">
        <w:rPr>
          <w:rFonts w:asciiTheme="minorHAnsi" w:hAnsiTheme="minorHAnsi" w:cs="Arial"/>
          <w:sz w:val="22"/>
          <w:szCs w:val="22"/>
        </w:rPr>
        <w:t>E</w:t>
      </w:r>
      <w:r w:rsidR="00BA548B" w:rsidRPr="00456BC8">
        <w:rPr>
          <w:rFonts w:asciiTheme="minorHAnsi" w:hAnsiTheme="minorHAnsi" w:cs="Arial"/>
          <w:sz w:val="22"/>
          <w:szCs w:val="22"/>
        </w:rPr>
        <w:t xml:space="preserve">nergy savings from </w:t>
      </w:r>
      <w:r w:rsidR="00F6612D" w:rsidRPr="00456BC8">
        <w:rPr>
          <w:rFonts w:asciiTheme="minorHAnsi" w:hAnsiTheme="minorHAnsi" w:cs="Arial"/>
          <w:sz w:val="22"/>
          <w:szCs w:val="22"/>
        </w:rPr>
        <w:t xml:space="preserve">installing </w:t>
      </w:r>
      <w:r w:rsidR="00BA548B" w:rsidRPr="00456BC8">
        <w:rPr>
          <w:rFonts w:asciiTheme="minorHAnsi" w:hAnsiTheme="minorHAnsi" w:cs="Arial"/>
          <w:sz w:val="22"/>
          <w:szCs w:val="22"/>
        </w:rPr>
        <w:t xml:space="preserve">PCTs was estimated by assuming that PCTs </w:t>
      </w:r>
      <w:r w:rsidR="00F6612D" w:rsidRPr="00456BC8">
        <w:rPr>
          <w:rFonts w:asciiTheme="minorHAnsi" w:hAnsiTheme="minorHAnsi" w:cs="Arial"/>
          <w:sz w:val="22"/>
          <w:szCs w:val="22"/>
        </w:rPr>
        <w:t>setback the HVAC systems during unoccupied periods.</w:t>
      </w:r>
      <w:r w:rsidR="00BA548B" w:rsidRPr="00456BC8">
        <w:rPr>
          <w:rFonts w:asciiTheme="minorHAnsi" w:hAnsiTheme="minorHAnsi" w:cs="Arial"/>
          <w:sz w:val="22"/>
          <w:szCs w:val="22"/>
        </w:rPr>
        <w:t xml:space="preserve"> </w:t>
      </w:r>
      <w:r w:rsidR="00947686" w:rsidRPr="00456BC8">
        <w:rPr>
          <w:rFonts w:asciiTheme="minorHAnsi" w:hAnsiTheme="minorHAnsi" w:cs="Arial"/>
          <w:sz w:val="22"/>
          <w:szCs w:val="22"/>
        </w:rPr>
        <w:t xml:space="preserve">The building occupied hours were defined in the DEER prototypes. It was assumed that </w:t>
      </w:r>
      <w:r w:rsidR="00BA548B" w:rsidRPr="00456BC8">
        <w:rPr>
          <w:rFonts w:asciiTheme="minorHAnsi" w:hAnsiTheme="minorHAnsi" w:cs="Arial"/>
          <w:sz w:val="22"/>
          <w:szCs w:val="22"/>
        </w:rPr>
        <w:t xml:space="preserve">the system fans </w:t>
      </w:r>
      <w:r w:rsidR="00947686" w:rsidRPr="00456BC8">
        <w:rPr>
          <w:rFonts w:asciiTheme="minorHAnsi" w:hAnsiTheme="minorHAnsi" w:cs="Arial"/>
          <w:sz w:val="22"/>
          <w:szCs w:val="22"/>
        </w:rPr>
        <w:t xml:space="preserve">would turn off </w:t>
      </w:r>
      <w:r w:rsidR="00BA548B" w:rsidRPr="00456BC8">
        <w:rPr>
          <w:rFonts w:asciiTheme="minorHAnsi" w:hAnsiTheme="minorHAnsi" w:cs="Arial"/>
          <w:sz w:val="22"/>
          <w:szCs w:val="22"/>
        </w:rPr>
        <w:t xml:space="preserve">one hour after occupied hours </w:t>
      </w:r>
      <w:r w:rsidR="00947686" w:rsidRPr="00456BC8">
        <w:rPr>
          <w:rFonts w:asciiTheme="minorHAnsi" w:hAnsiTheme="minorHAnsi" w:cs="Arial"/>
          <w:sz w:val="22"/>
          <w:szCs w:val="22"/>
        </w:rPr>
        <w:t>were</w:t>
      </w:r>
      <w:r w:rsidR="00BA548B" w:rsidRPr="00456BC8">
        <w:rPr>
          <w:rFonts w:asciiTheme="minorHAnsi" w:hAnsiTheme="minorHAnsi" w:cs="Arial"/>
          <w:sz w:val="22"/>
          <w:szCs w:val="22"/>
        </w:rPr>
        <w:t xml:space="preserve"> over, and </w:t>
      </w:r>
      <w:r w:rsidR="00947686" w:rsidRPr="00456BC8">
        <w:rPr>
          <w:rFonts w:asciiTheme="minorHAnsi" w:hAnsiTheme="minorHAnsi" w:cs="Arial"/>
          <w:sz w:val="22"/>
          <w:szCs w:val="22"/>
        </w:rPr>
        <w:t>turn</w:t>
      </w:r>
      <w:r w:rsidR="00BA548B" w:rsidRPr="00456BC8">
        <w:rPr>
          <w:rFonts w:asciiTheme="minorHAnsi" w:hAnsiTheme="minorHAnsi" w:cs="Arial"/>
          <w:sz w:val="22"/>
          <w:szCs w:val="22"/>
        </w:rPr>
        <w:t xml:space="preserve"> back on one hour before occupied hours beg</w:t>
      </w:r>
      <w:r w:rsidR="00F6612D" w:rsidRPr="00456BC8">
        <w:rPr>
          <w:rFonts w:asciiTheme="minorHAnsi" w:hAnsiTheme="minorHAnsi" w:cs="Arial"/>
          <w:sz w:val="22"/>
          <w:szCs w:val="22"/>
        </w:rPr>
        <w:t>a</w:t>
      </w:r>
      <w:r w:rsidR="00BA548B" w:rsidRPr="00456BC8">
        <w:rPr>
          <w:rFonts w:asciiTheme="minorHAnsi" w:hAnsiTheme="minorHAnsi" w:cs="Arial"/>
          <w:sz w:val="22"/>
          <w:szCs w:val="22"/>
        </w:rPr>
        <w:t>n</w:t>
      </w:r>
      <w:r w:rsidR="003455D8" w:rsidRPr="00456BC8">
        <w:rPr>
          <w:rFonts w:asciiTheme="minorHAnsi" w:hAnsiTheme="minorHAnsi" w:cs="Arial"/>
          <w:sz w:val="22"/>
          <w:szCs w:val="22"/>
        </w:rPr>
        <w:t xml:space="preserve">. </w:t>
      </w:r>
      <w:r w:rsidR="00947686" w:rsidRPr="00456BC8">
        <w:rPr>
          <w:rFonts w:asciiTheme="minorHAnsi" w:hAnsiTheme="minorHAnsi" w:cs="Arial"/>
          <w:sz w:val="22"/>
          <w:szCs w:val="22"/>
        </w:rPr>
        <w:t>During unoccupied periods, the thermostats were estimated to be setback to the following schedule:</w:t>
      </w:r>
    </w:p>
    <w:p w:rsidR="00284436" w:rsidRPr="00451245" w:rsidRDefault="00284436" w:rsidP="00284436">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13</w:t>
      </w:r>
      <w:r w:rsidRPr="00451245">
        <w:rPr>
          <w:rFonts w:asciiTheme="minorHAnsi" w:hAnsiTheme="minorHAnsi" w:cs="Arial"/>
          <w:sz w:val="22"/>
          <w:szCs w:val="22"/>
        </w:rPr>
        <w:t xml:space="preserve"> </w:t>
      </w:r>
      <w:r>
        <w:rPr>
          <w:rFonts w:asciiTheme="minorHAnsi" w:hAnsiTheme="minorHAnsi" w:cs="Arial"/>
          <w:b w:val="0"/>
          <w:sz w:val="22"/>
          <w:szCs w:val="22"/>
        </w:rPr>
        <w:t>Thermostat Setback Schedule</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tbl>
      <w:tblPr>
        <w:tblStyle w:val="TableGrid"/>
        <w:tblW w:w="0" w:type="auto"/>
        <w:jc w:val="center"/>
        <w:tblLook w:val="04A0" w:firstRow="1" w:lastRow="0" w:firstColumn="1" w:lastColumn="0" w:noHBand="0" w:noVBand="1"/>
      </w:tblPr>
      <w:tblGrid>
        <w:gridCol w:w="1311"/>
        <w:gridCol w:w="902"/>
      </w:tblGrid>
      <w:tr w:rsidR="006F2841" w:rsidRPr="00414A5B" w:rsidTr="00456BC8">
        <w:trPr>
          <w:trHeight w:val="503"/>
          <w:jc w:val="center"/>
        </w:trPr>
        <w:tc>
          <w:tcPr>
            <w:tcW w:w="0" w:type="auto"/>
            <w:gridSpan w:val="2"/>
            <w:tcBorders>
              <w:bottom w:val="single" w:sz="4" w:space="0" w:color="auto"/>
            </w:tcBorders>
            <w:shd w:val="clear" w:color="auto" w:fill="D9D9D9" w:themeFill="background1" w:themeFillShade="D9"/>
            <w:vAlign w:val="center"/>
          </w:tcPr>
          <w:p w:rsidR="006F2841" w:rsidRPr="00456BC8" w:rsidRDefault="006F2841" w:rsidP="006F2841">
            <w:pPr>
              <w:jc w:val="center"/>
              <w:rPr>
                <w:rFonts w:asciiTheme="minorHAnsi" w:hAnsiTheme="minorHAnsi" w:cs="Arial"/>
                <w:b/>
                <w:sz w:val="22"/>
                <w:szCs w:val="22"/>
              </w:rPr>
            </w:pPr>
            <w:r w:rsidRPr="00456BC8">
              <w:rPr>
                <w:rFonts w:asciiTheme="minorHAnsi" w:hAnsiTheme="minorHAnsi" w:cs="Arial"/>
                <w:b/>
                <w:sz w:val="22"/>
                <w:szCs w:val="22"/>
              </w:rPr>
              <w:t>Unoccupied Setpoints</w:t>
            </w:r>
          </w:p>
        </w:tc>
      </w:tr>
      <w:tr w:rsidR="00947686" w:rsidRPr="00414A5B" w:rsidTr="00456BC8">
        <w:trPr>
          <w:trHeight w:val="332"/>
          <w:jc w:val="center"/>
        </w:trPr>
        <w:tc>
          <w:tcPr>
            <w:tcW w:w="0" w:type="auto"/>
            <w:tcBorders>
              <w:bottom w:val="single" w:sz="4" w:space="0" w:color="auto"/>
            </w:tcBorders>
            <w:shd w:val="clear" w:color="auto" w:fill="F2F2F2" w:themeFill="background1" w:themeFillShade="F2"/>
            <w:vAlign w:val="center"/>
          </w:tcPr>
          <w:p w:rsidR="00947686" w:rsidRPr="00456BC8" w:rsidRDefault="006F2841" w:rsidP="00947686">
            <w:pPr>
              <w:jc w:val="center"/>
              <w:rPr>
                <w:rFonts w:asciiTheme="minorHAnsi" w:hAnsiTheme="minorHAnsi" w:cs="Arial"/>
                <w:sz w:val="22"/>
                <w:szCs w:val="22"/>
              </w:rPr>
            </w:pPr>
            <w:r w:rsidRPr="00456BC8">
              <w:rPr>
                <w:rFonts w:asciiTheme="minorHAnsi" w:hAnsiTheme="minorHAnsi" w:cs="Arial"/>
                <w:sz w:val="22"/>
                <w:szCs w:val="22"/>
              </w:rPr>
              <w:t>Heating</w:t>
            </w:r>
          </w:p>
        </w:tc>
        <w:tc>
          <w:tcPr>
            <w:tcW w:w="0" w:type="auto"/>
            <w:tcBorders>
              <w:bottom w:val="single" w:sz="4" w:space="0" w:color="auto"/>
            </w:tcBorders>
            <w:shd w:val="clear" w:color="auto" w:fill="F2F2F2" w:themeFill="background1" w:themeFillShade="F2"/>
            <w:vAlign w:val="center"/>
          </w:tcPr>
          <w:p w:rsidR="00947686" w:rsidRPr="00456BC8" w:rsidRDefault="006F2841" w:rsidP="00947686">
            <w:pPr>
              <w:jc w:val="center"/>
              <w:rPr>
                <w:rFonts w:asciiTheme="minorHAnsi" w:hAnsiTheme="minorHAnsi" w:cs="Arial"/>
                <w:sz w:val="22"/>
                <w:szCs w:val="22"/>
              </w:rPr>
            </w:pPr>
            <w:r w:rsidRPr="00456BC8">
              <w:rPr>
                <w:rFonts w:asciiTheme="minorHAnsi" w:hAnsiTheme="minorHAnsi" w:cs="Arial"/>
                <w:sz w:val="22"/>
                <w:szCs w:val="22"/>
              </w:rPr>
              <w:t>55⁰F</w:t>
            </w:r>
          </w:p>
        </w:tc>
      </w:tr>
      <w:tr w:rsidR="00947686" w:rsidRPr="00414A5B" w:rsidTr="00456BC8">
        <w:trPr>
          <w:trHeight w:val="350"/>
          <w:jc w:val="center"/>
        </w:trPr>
        <w:tc>
          <w:tcPr>
            <w:tcW w:w="0" w:type="auto"/>
            <w:shd w:val="clear" w:color="auto" w:fill="FFFFFF" w:themeFill="background1"/>
            <w:vAlign w:val="center"/>
          </w:tcPr>
          <w:p w:rsidR="00947686" w:rsidRPr="00456BC8" w:rsidRDefault="006F2841" w:rsidP="00947686">
            <w:pPr>
              <w:jc w:val="center"/>
              <w:rPr>
                <w:rFonts w:asciiTheme="minorHAnsi" w:hAnsiTheme="minorHAnsi" w:cs="Arial"/>
                <w:sz w:val="22"/>
                <w:szCs w:val="22"/>
              </w:rPr>
            </w:pPr>
            <w:r w:rsidRPr="00456BC8">
              <w:rPr>
                <w:rFonts w:asciiTheme="minorHAnsi" w:hAnsiTheme="minorHAnsi" w:cs="Arial"/>
                <w:sz w:val="22"/>
                <w:szCs w:val="22"/>
              </w:rPr>
              <w:t>Cooling</w:t>
            </w:r>
          </w:p>
        </w:tc>
        <w:tc>
          <w:tcPr>
            <w:tcW w:w="0" w:type="auto"/>
            <w:shd w:val="clear" w:color="auto" w:fill="FFFFFF" w:themeFill="background1"/>
            <w:vAlign w:val="center"/>
          </w:tcPr>
          <w:p w:rsidR="00947686" w:rsidRPr="00456BC8" w:rsidRDefault="006F2841" w:rsidP="00947686">
            <w:pPr>
              <w:jc w:val="center"/>
              <w:rPr>
                <w:rFonts w:asciiTheme="minorHAnsi" w:hAnsiTheme="minorHAnsi" w:cs="Arial"/>
                <w:sz w:val="22"/>
                <w:szCs w:val="22"/>
              </w:rPr>
            </w:pPr>
            <w:r w:rsidRPr="00456BC8">
              <w:rPr>
                <w:rFonts w:asciiTheme="minorHAnsi" w:hAnsiTheme="minorHAnsi" w:cs="Arial"/>
                <w:sz w:val="22"/>
                <w:szCs w:val="22"/>
              </w:rPr>
              <w:t>85⁰F</w:t>
            </w:r>
          </w:p>
        </w:tc>
      </w:tr>
    </w:tbl>
    <w:p w:rsidR="00E2539D" w:rsidRDefault="00E2539D" w:rsidP="00BA548B">
      <w:pPr>
        <w:rPr>
          <w:rFonts w:ascii="Arial" w:hAnsi="Arial" w:cs="Arial"/>
          <w:sz w:val="22"/>
          <w:szCs w:val="22"/>
        </w:rPr>
      </w:pPr>
    </w:p>
    <w:p w:rsidR="00402824" w:rsidRPr="00456BC8" w:rsidRDefault="00402824" w:rsidP="00BA548B">
      <w:pPr>
        <w:rPr>
          <w:rFonts w:asciiTheme="minorHAnsi" w:hAnsiTheme="minorHAnsi" w:cs="Arial"/>
          <w:sz w:val="22"/>
          <w:szCs w:val="22"/>
        </w:rPr>
      </w:pPr>
      <w:r w:rsidRPr="00456BC8">
        <w:rPr>
          <w:rFonts w:asciiTheme="minorHAnsi" w:hAnsiTheme="minorHAnsi" w:cs="Arial"/>
          <w:sz w:val="22"/>
          <w:szCs w:val="22"/>
        </w:rPr>
        <w:t xml:space="preserve">The savings for this measure </w:t>
      </w:r>
      <w:r w:rsidR="00C347D4" w:rsidRPr="00456BC8">
        <w:rPr>
          <w:rFonts w:asciiTheme="minorHAnsi" w:hAnsiTheme="minorHAnsi" w:cs="Arial"/>
          <w:sz w:val="22"/>
          <w:szCs w:val="22"/>
        </w:rPr>
        <w:t>result</w:t>
      </w:r>
      <w:r w:rsidRPr="00456BC8">
        <w:rPr>
          <w:rFonts w:asciiTheme="minorHAnsi" w:hAnsiTheme="minorHAnsi" w:cs="Arial"/>
          <w:sz w:val="22"/>
          <w:szCs w:val="22"/>
        </w:rPr>
        <w:t xml:space="preserve"> from </w:t>
      </w:r>
      <w:r w:rsidR="006F2841" w:rsidRPr="00456BC8">
        <w:rPr>
          <w:rFonts w:asciiTheme="minorHAnsi" w:hAnsiTheme="minorHAnsi" w:cs="Arial"/>
          <w:sz w:val="22"/>
          <w:szCs w:val="22"/>
        </w:rPr>
        <w:t xml:space="preserve">scheduling the </w:t>
      </w:r>
      <w:r w:rsidRPr="00456BC8">
        <w:rPr>
          <w:rFonts w:asciiTheme="minorHAnsi" w:hAnsiTheme="minorHAnsi" w:cs="Arial"/>
          <w:sz w:val="22"/>
          <w:szCs w:val="22"/>
        </w:rPr>
        <w:t>PCT</w:t>
      </w:r>
      <w:r w:rsidR="006F2841" w:rsidRPr="00456BC8">
        <w:rPr>
          <w:rFonts w:asciiTheme="minorHAnsi" w:hAnsiTheme="minorHAnsi" w:cs="Arial"/>
          <w:sz w:val="22"/>
          <w:szCs w:val="22"/>
        </w:rPr>
        <w:t>s to setback the heating and cooling setpoints during unoccupied periods</w:t>
      </w:r>
      <w:r w:rsidRPr="00456BC8">
        <w:rPr>
          <w:rFonts w:asciiTheme="minorHAnsi" w:hAnsiTheme="minorHAnsi" w:cs="Arial"/>
          <w:sz w:val="22"/>
          <w:szCs w:val="22"/>
        </w:rPr>
        <w:t xml:space="preserve">. </w:t>
      </w:r>
      <w:r w:rsidR="0061694D" w:rsidRPr="00456BC8">
        <w:rPr>
          <w:rFonts w:asciiTheme="minorHAnsi" w:hAnsiTheme="minorHAnsi" w:cs="Arial"/>
          <w:sz w:val="22"/>
          <w:szCs w:val="22"/>
        </w:rPr>
        <w:br/>
      </w:r>
    </w:p>
    <w:p w:rsidR="00ED516C" w:rsidRPr="00456BC8" w:rsidRDefault="00ED516C" w:rsidP="00BA548B">
      <w:pPr>
        <w:rPr>
          <w:rFonts w:asciiTheme="minorHAnsi" w:hAnsiTheme="minorHAnsi" w:cs="Arial"/>
          <w:sz w:val="22"/>
          <w:szCs w:val="22"/>
        </w:rPr>
      </w:pPr>
      <w:r w:rsidRPr="00456BC8">
        <w:rPr>
          <w:rFonts w:asciiTheme="minorHAnsi" w:hAnsiTheme="minorHAnsi" w:cs="Arial"/>
          <w:sz w:val="22"/>
          <w:szCs w:val="22"/>
        </w:rPr>
        <w:t xml:space="preserve">Energy savings for each building </w:t>
      </w:r>
      <w:r w:rsidR="00442FAF" w:rsidRPr="00456BC8">
        <w:rPr>
          <w:rFonts w:asciiTheme="minorHAnsi" w:hAnsiTheme="minorHAnsi" w:cs="Arial"/>
          <w:sz w:val="22"/>
          <w:szCs w:val="22"/>
        </w:rPr>
        <w:t xml:space="preserve">type is comprised of the weighted average energy savings from each building vintage. Energy savings </w:t>
      </w:r>
      <w:r w:rsidR="00DA23DC" w:rsidRPr="00456BC8">
        <w:rPr>
          <w:rFonts w:asciiTheme="minorHAnsi" w:hAnsiTheme="minorHAnsi" w:cs="Arial"/>
          <w:sz w:val="22"/>
          <w:szCs w:val="22"/>
        </w:rPr>
        <w:t>from</w:t>
      </w:r>
      <w:r w:rsidR="00442FAF" w:rsidRPr="00456BC8">
        <w:rPr>
          <w:rFonts w:asciiTheme="minorHAnsi" w:hAnsiTheme="minorHAnsi" w:cs="Arial"/>
          <w:sz w:val="22"/>
          <w:szCs w:val="22"/>
        </w:rPr>
        <w:t xml:space="preserve"> each building </w:t>
      </w:r>
      <w:r w:rsidR="00DA23DC" w:rsidRPr="00456BC8">
        <w:rPr>
          <w:rFonts w:asciiTheme="minorHAnsi" w:hAnsiTheme="minorHAnsi" w:cs="Arial"/>
          <w:sz w:val="22"/>
          <w:szCs w:val="22"/>
        </w:rPr>
        <w:t xml:space="preserve">vintage </w:t>
      </w:r>
      <w:r w:rsidRPr="00456BC8">
        <w:rPr>
          <w:rFonts w:asciiTheme="minorHAnsi" w:hAnsiTheme="minorHAnsi" w:cs="Arial"/>
          <w:sz w:val="22"/>
          <w:szCs w:val="22"/>
        </w:rPr>
        <w:t xml:space="preserve">was averaged </w:t>
      </w:r>
      <w:r w:rsidR="00DA23DC" w:rsidRPr="00456BC8">
        <w:rPr>
          <w:rFonts w:asciiTheme="minorHAnsi" w:hAnsiTheme="minorHAnsi" w:cs="Arial"/>
          <w:sz w:val="22"/>
          <w:szCs w:val="22"/>
        </w:rPr>
        <w:t xml:space="preserve">using </w:t>
      </w:r>
      <w:r w:rsidR="00442FAF" w:rsidRPr="00456BC8">
        <w:rPr>
          <w:rFonts w:asciiTheme="minorHAnsi" w:hAnsiTheme="minorHAnsi" w:cs="Arial"/>
          <w:sz w:val="22"/>
          <w:szCs w:val="22"/>
        </w:rPr>
        <w:t>DEER 2013-14 population weights</w:t>
      </w:r>
      <w:bookmarkStart w:id="43" w:name="_Ref404264251"/>
      <w:r w:rsidR="00442FAF" w:rsidRPr="00456BC8">
        <w:rPr>
          <w:rStyle w:val="EndnoteReference"/>
          <w:rFonts w:asciiTheme="minorHAnsi" w:hAnsiTheme="minorHAnsi" w:cs="Arial"/>
          <w:sz w:val="22"/>
          <w:szCs w:val="22"/>
        </w:rPr>
        <w:endnoteReference w:id="8"/>
      </w:r>
      <w:bookmarkEnd w:id="43"/>
      <w:r w:rsidR="004F5357" w:rsidRPr="00456BC8">
        <w:rPr>
          <w:rFonts w:asciiTheme="minorHAnsi" w:hAnsiTheme="minorHAnsi" w:cs="Arial"/>
          <w:sz w:val="22"/>
          <w:szCs w:val="22"/>
        </w:rPr>
        <w:t xml:space="preserve"> to get the energy savings for each building type</w:t>
      </w:r>
      <w:r w:rsidR="00442FAF" w:rsidRPr="00456BC8">
        <w:rPr>
          <w:rFonts w:asciiTheme="minorHAnsi" w:hAnsiTheme="minorHAnsi" w:cs="Arial"/>
          <w:sz w:val="22"/>
          <w:szCs w:val="22"/>
        </w:rPr>
        <w:t>.</w:t>
      </w:r>
    </w:p>
    <w:p w:rsidR="00ED516C" w:rsidRPr="00456BC8" w:rsidRDefault="00ED516C" w:rsidP="00BA548B">
      <w:pPr>
        <w:rPr>
          <w:rFonts w:asciiTheme="minorHAnsi" w:hAnsiTheme="minorHAnsi" w:cs="Arial"/>
          <w:sz w:val="22"/>
          <w:szCs w:val="22"/>
        </w:rPr>
      </w:pPr>
    </w:p>
    <w:p w:rsidR="00402824" w:rsidRPr="00456BC8" w:rsidRDefault="00B21714" w:rsidP="00BA548B">
      <w:pPr>
        <w:rPr>
          <w:rFonts w:asciiTheme="minorHAnsi" w:hAnsiTheme="minorHAnsi" w:cs="Arial"/>
          <w:sz w:val="22"/>
          <w:szCs w:val="22"/>
        </w:rPr>
      </w:pPr>
      <w:r w:rsidRPr="00456BC8">
        <w:rPr>
          <w:rFonts w:asciiTheme="minorHAnsi" w:hAnsiTheme="minorHAnsi" w:cs="Arial"/>
          <w:sz w:val="22"/>
          <w:szCs w:val="22"/>
        </w:rPr>
        <w:t>Based on the CPUC Workpaper Disposition for Non-Residential HVAC Rooftop Quality Maintenance</w:t>
      </w:r>
      <w:r w:rsidR="00227654" w:rsidRPr="00456BC8">
        <w:rPr>
          <w:rFonts w:asciiTheme="minorHAnsi" w:hAnsiTheme="minorHAnsi"/>
          <w:sz w:val="22"/>
          <w:szCs w:val="22"/>
          <w:vertAlign w:val="superscript"/>
        </w:rPr>
        <w:fldChar w:fldCharType="begin"/>
      </w:r>
      <w:r w:rsidR="00227654" w:rsidRPr="00456BC8">
        <w:rPr>
          <w:rFonts w:asciiTheme="minorHAnsi" w:hAnsiTheme="minorHAnsi"/>
          <w:sz w:val="22"/>
          <w:szCs w:val="22"/>
          <w:vertAlign w:val="superscript"/>
        </w:rPr>
        <w:instrText xml:space="preserve"> NOTEREF _Ref404599497 \h  \* MERGEFORMAT </w:instrText>
      </w:r>
      <w:r w:rsidR="00227654" w:rsidRPr="00456BC8">
        <w:rPr>
          <w:rFonts w:asciiTheme="minorHAnsi" w:hAnsiTheme="minorHAnsi"/>
          <w:sz w:val="22"/>
          <w:szCs w:val="22"/>
          <w:vertAlign w:val="superscript"/>
        </w:rPr>
      </w:r>
      <w:r w:rsidR="00227654" w:rsidRPr="00456BC8">
        <w:rPr>
          <w:rFonts w:asciiTheme="minorHAnsi" w:hAnsiTheme="minorHAnsi"/>
          <w:sz w:val="22"/>
          <w:szCs w:val="22"/>
          <w:vertAlign w:val="superscript"/>
        </w:rPr>
        <w:fldChar w:fldCharType="separate"/>
      </w:r>
      <w:r w:rsidR="00C7449B" w:rsidRPr="00456BC8">
        <w:rPr>
          <w:rFonts w:asciiTheme="minorHAnsi" w:hAnsiTheme="minorHAnsi"/>
          <w:sz w:val="22"/>
          <w:szCs w:val="22"/>
          <w:vertAlign w:val="superscript"/>
        </w:rPr>
        <w:t>4</w:t>
      </w:r>
      <w:r w:rsidR="00227654" w:rsidRPr="00456BC8">
        <w:rPr>
          <w:rFonts w:asciiTheme="minorHAnsi" w:hAnsiTheme="minorHAnsi"/>
          <w:sz w:val="22"/>
          <w:szCs w:val="22"/>
          <w:vertAlign w:val="superscript"/>
        </w:rPr>
        <w:fldChar w:fldCharType="end"/>
      </w:r>
      <w:r w:rsidR="0061090B" w:rsidRPr="00456BC8">
        <w:rPr>
          <w:rFonts w:asciiTheme="minorHAnsi" w:hAnsiTheme="minorHAnsi" w:cs="Arial"/>
          <w:sz w:val="22"/>
          <w:szCs w:val="22"/>
        </w:rPr>
        <w:t xml:space="preserve">, </w:t>
      </w:r>
      <w:r w:rsidRPr="00456BC8">
        <w:rPr>
          <w:rFonts w:asciiTheme="minorHAnsi" w:hAnsiTheme="minorHAnsi" w:cs="Arial"/>
          <w:sz w:val="22"/>
          <w:szCs w:val="22"/>
        </w:rPr>
        <w:t xml:space="preserve">the CPUC has found the </w:t>
      </w:r>
      <w:r w:rsidR="00D15411" w:rsidRPr="00456BC8">
        <w:rPr>
          <w:rFonts w:asciiTheme="minorHAnsi" w:hAnsiTheme="minorHAnsi" w:cs="Arial"/>
          <w:sz w:val="22"/>
          <w:szCs w:val="22"/>
        </w:rPr>
        <w:t xml:space="preserve">previous </w:t>
      </w:r>
      <w:r w:rsidRPr="00456BC8">
        <w:rPr>
          <w:rFonts w:asciiTheme="minorHAnsi" w:hAnsiTheme="minorHAnsi" w:cs="Arial"/>
          <w:sz w:val="22"/>
          <w:szCs w:val="22"/>
        </w:rPr>
        <w:t xml:space="preserve">savings </w:t>
      </w:r>
      <w:r w:rsidR="00D15411" w:rsidRPr="00456BC8">
        <w:rPr>
          <w:rFonts w:asciiTheme="minorHAnsi" w:hAnsiTheme="minorHAnsi" w:cs="Arial"/>
          <w:sz w:val="22"/>
          <w:szCs w:val="22"/>
        </w:rPr>
        <w:t xml:space="preserve">estimates </w:t>
      </w:r>
      <w:r w:rsidRPr="00456BC8">
        <w:rPr>
          <w:rFonts w:asciiTheme="minorHAnsi" w:hAnsiTheme="minorHAnsi" w:cs="Arial"/>
          <w:sz w:val="22"/>
          <w:szCs w:val="22"/>
        </w:rPr>
        <w:t xml:space="preserve">for this measure to be overly optimistic. The disposition </w:t>
      </w:r>
      <w:r w:rsidR="00D15411" w:rsidRPr="00456BC8">
        <w:rPr>
          <w:rFonts w:asciiTheme="minorHAnsi" w:hAnsiTheme="minorHAnsi" w:cs="Arial"/>
          <w:sz w:val="22"/>
          <w:szCs w:val="22"/>
        </w:rPr>
        <w:t>noted</w:t>
      </w:r>
      <w:r w:rsidRPr="00456BC8">
        <w:rPr>
          <w:rFonts w:asciiTheme="minorHAnsi" w:hAnsiTheme="minorHAnsi" w:cs="Arial"/>
          <w:sz w:val="22"/>
          <w:szCs w:val="22"/>
        </w:rPr>
        <w:t xml:space="preserve"> that</w:t>
      </w:r>
      <w:r w:rsidR="00D15411" w:rsidRPr="00456BC8">
        <w:rPr>
          <w:rFonts w:asciiTheme="minorHAnsi" w:hAnsiTheme="minorHAnsi" w:cs="Arial"/>
          <w:sz w:val="22"/>
          <w:szCs w:val="22"/>
        </w:rPr>
        <w:t>, among other things,</w:t>
      </w:r>
      <w:r w:rsidRPr="00456BC8">
        <w:rPr>
          <w:rFonts w:asciiTheme="minorHAnsi" w:hAnsiTheme="minorHAnsi" w:cs="Arial"/>
          <w:sz w:val="22"/>
          <w:szCs w:val="22"/>
        </w:rPr>
        <w:t xml:space="preserve"> this measure does not account for overriding time clock operation, or for facilities that require continuous space conditioning. Therefore, a gross savings adjustment (GSA) multiplier of 25% must be applied to the energy savings for this measure</w:t>
      </w:r>
      <w:r w:rsidR="00D15411" w:rsidRPr="00456BC8">
        <w:rPr>
          <w:rFonts w:asciiTheme="minorHAnsi" w:hAnsiTheme="minorHAnsi" w:cs="Arial"/>
          <w:sz w:val="22"/>
          <w:szCs w:val="22"/>
        </w:rPr>
        <w:t>, to account for non-ideal installations.</w:t>
      </w:r>
    </w:p>
    <w:p w:rsidR="00B21714" w:rsidRDefault="00B21714" w:rsidP="00BA548B">
      <w:pPr>
        <w:rPr>
          <w:rFonts w:ascii="Arial" w:hAnsi="Arial" w:cs="Arial"/>
          <w:sz w:val="22"/>
          <w:szCs w:val="22"/>
        </w:rPr>
      </w:pPr>
    </w:p>
    <w:p w:rsidR="00E2539D" w:rsidRPr="00456BC8" w:rsidRDefault="00E2539D" w:rsidP="00BA548B">
      <w:pPr>
        <w:rPr>
          <w:rFonts w:asciiTheme="minorHAnsi" w:hAnsiTheme="minorHAnsi" w:cs="Arial"/>
          <w:sz w:val="22"/>
          <w:szCs w:val="22"/>
        </w:rPr>
      </w:pPr>
      <w:r w:rsidRPr="00456BC8">
        <w:rPr>
          <w:rFonts w:asciiTheme="minorHAnsi" w:hAnsiTheme="minorHAnsi" w:cs="Arial"/>
          <w:sz w:val="22"/>
          <w:szCs w:val="22"/>
        </w:rPr>
        <w:t>The energy us</w:t>
      </w:r>
      <w:r w:rsidR="005929F3" w:rsidRPr="00456BC8">
        <w:rPr>
          <w:rFonts w:asciiTheme="minorHAnsi" w:hAnsiTheme="minorHAnsi" w:cs="Arial"/>
          <w:sz w:val="22"/>
          <w:szCs w:val="22"/>
        </w:rPr>
        <w:t>e is normalized to kWh per 1,000 square feet</w:t>
      </w:r>
      <w:r w:rsidR="002619BA" w:rsidRPr="00456BC8">
        <w:rPr>
          <w:rFonts w:asciiTheme="minorHAnsi" w:hAnsiTheme="minorHAnsi" w:cs="Arial"/>
          <w:sz w:val="22"/>
          <w:szCs w:val="22"/>
        </w:rPr>
        <w:t xml:space="preserve"> </w:t>
      </w:r>
      <w:r w:rsidR="005929F3" w:rsidRPr="00456BC8">
        <w:rPr>
          <w:rFonts w:asciiTheme="minorHAnsi" w:hAnsiTheme="minorHAnsi" w:cs="Arial"/>
          <w:sz w:val="22"/>
          <w:szCs w:val="22"/>
        </w:rPr>
        <w:t>(kFP)</w:t>
      </w:r>
      <w:r w:rsidRPr="00456BC8">
        <w:rPr>
          <w:rFonts w:asciiTheme="minorHAnsi" w:hAnsiTheme="minorHAnsi" w:cs="Arial"/>
          <w:sz w:val="22"/>
          <w:szCs w:val="22"/>
        </w:rPr>
        <w:t xml:space="preserve"> by dividing by the </w:t>
      </w:r>
      <w:r w:rsidR="005929F3" w:rsidRPr="00456BC8">
        <w:rPr>
          <w:rFonts w:asciiTheme="minorHAnsi" w:hAnsiTheme="minorHAnsi" w:cs="Arial"/>
          <w:sz w:val="22"/>
          <w:szCs w:val="22"/>
        </w:rPr>
        <w:t>square footage of each building</w:t>
      </w:r>
      <w:r w:rsidRPr="00456BC8">
        <w:rPr>
          <w:rFonts w:asciiTheme="minorHAnsi" w:hAnsiTheme="minorHAnsi" w:cs="Arial"/>
          <w:sz w:val="22"/>
          <w:szCs w:val="22"/>
        </w:rPr>
        <w:t>.</w:t>
      </w:r>
    </w:p>
    <w:p w:rsidR="00CE7E7E" w:rsidRDefault="00CE7E7E" w:rsidP="00F36FF8">
      <w:pPr>
        <w:rPr>
          <w:rFonts w:ascii="Arial" w:hAnsi="Arial" w:cs="Arial"/>
          <w:sz w:val="22"/>
          <w:szCs w:val="22"/>
        </w:rPr>
      </w:pPr>
    </w:p>
    <w:p w:rsidR="00BE4687" w:rsidRPr="00456BC8" w:rsidRDefault="005929F3" w:rsidP="00216BB5">
      <w:pPr>
        <w:rPr>
          <w:rFonts w:asciiTheme="minorHAnsi" w:hAnsiTheme="minorHAnsi" w:cs="Arial"/>
          <w:b/>
          <w:sz w:val="22"/>
          <w:szCs w:val="22"/>
        </w:rPr>
      </w:pPr>
      <w:r w:rsidRPr="00456BC8">
        <w:rPr>
          <w:rFonts w:asciiTheme="minorHAnsi" w:hAnsiTheme="minorHAnsi" w:cs="Arial"/>
          <w:b/>
          <w:sz w:val="22"/>
          <w:szCs w:val="22"/>
        </w:rPr>
        <w:t xml:space="preserve">∆kWh per </w:t>
      </w:r>
      <w:r w:rsidR="00291BC9" w:rsidRPr="00456BC8">
        <w:rPr>
          <w:rFonts w:asciiTheme="minorHAnsi" w:hAnsiTheme="minorHAnsi" w:cs="Arial"/>
          <w:b/>
          <w:sz w:val="22"/>
          <w:szCs w:val="22"/>
        </w:rPr>
        <w:t>Area-1kFP</w:t>
      </w:r>
      <w:r w:rsidR="00BE4687" w:rsidRPr="00456BC8">
        <w:rPr>
          <w:rFonts w:asciiTheme="minorHAnsi" w:hAnsiTheme="minorHAnsi" w:cs="Arial"/>
          <w:b/>
          <w:sz w:val="22"/>
          <w:szCs w:val="22"/>
        </w:rPr>
        <w:t xml:space="preserve"> for </w:t>
      </w:r>
      <w:r w:rsidR="00A92A0B" w:rsidRPr="00456BC8">
        <w:rPr>
          <w:rFonts w:asciiTheme="minorHAnsi" w:hAnsiTheme="minorHAnsi" w:cs="Arial"/>
          <w:b/>
          <w:sz w:val="22"/>
          <w:szCs w:val="22"/>
        </w:rPr>
        <w:t>DM-XX</w:t>
      </w:r>
      <w:r w:rsidR="00216BB5" w:rsidRPr="00456BC8">
        <w:rPr>
          <w:rFonts w:asciiTheme="minorHAnsi" w:hAnsiTheme="minorHAnsi" w:cs="Arial"/>
          <w:b/>
          <w:sz w:val="22"/>
          <w:szCs w:val="22"/>
        </w:rPr>
        <w:t>:</w:t>
      </w:r>
      <w:r w:rsidR="00216BB5" w:rsidRPr="00456BC8" w:rsidDel="00CF3FF0">
        <w:rPr>
          <w:rFonts w:asciiTheme="minorHAnsi" w:hAnsiTheme="minorHAnsi" w:cs="Arial"/>
          <w:b/>
          <w:sz w:val="22"/>
          <w:szCs w:val="22"/>
        </w:rPr>
        <w:t xml:space="preserve"> </w:t>
      </w:r>
    </w:p>
    <w:p w:rsidR="00023F36" w:rsidRPr="00456BC8" w:rsidRDefault="005929F3" w:rsidP="005929F3">
      <w:pPr>
        <w:rPr>
          <w:rFonts w:asciiTheme="minorHAnsi" w:hAnsiTheme="minorHAnsi" w:cs="Arial"/>
          <w:sz w:val="22"/>
          <w:szCs w:val="22"/>
        </w:rPr>
      </w:pPr>
      <w:r w:rsidRPr="00456BC8">
        <w:rPr>
          <w:rFonts w:asciiTheme="minorHAnsi" w:hAnsiTheme="minorHAnsi" w:cs="Arial"/>
          <w:sz w:val="22"/>
          <w:szCs w:val="22"/>
        </w:rPr>
        <w:t>The electricity savings (kWh per Area-1kFP) for measure DM-XX is calculate</w:t>
      </w:r>
      <w:r w:rsidR="00B21714" w:rsidRPr="00456BC8">
        <w:rPr>
          <w:rFonts w:asciiTheme="minorHAnsi" w:hAnsiTheme="minorHAnsi" w:cs="Arial"/>
          <w:sz w:val="22"/>
          <w:szCs w:val="22"/>
        </w:rPr>
        <w:t>d from energy modeling results.</w:t>
      </w:r>
      <w:r w:rsidR="003736F7" w:rsidRPr="00456BC8">
        <w:rPr>
          <w:rFonts w:asciiTheme="minorHAnsi" w:hAnsiTheme="minorHAnsi" w:cs="Arial"/>
          <w:sz w:val="22"/>
          <w:szCs w:val="22"/>
        </w:rPr>
        <w:t xml:space="preserve"> </w:t>
      </w:r>
      <w:r w:rsidR="00023F36" w:rsidRPr="00456BC8">
        <w:rPr>
          <w:rFonts w:asciiTheme="minorHAnsi" w:hAnsiTheme="minorHAnsi" w:cs="Arial"/>
          <w:sz w:val="22"/>
          <w:szCs w:val="22"/>
        </w:rPr>
        <w:t>The modeling results provide energy savings for four building vintages (1975-2003) for each bui</w:t>
      </w:r>
      <w:r w:rsidR="007663E5" w:rsidRPr="00456BC8">
        <w:rPr>
          <w:rFonts w:asciiTheme="minorHAnsi" w:hAnsiTheme="minorHAnsi" w:cs="Arial"/>
          <w:sz w:val="22"/>
          <w:szCs w:val="22"/>
        </w:rPr>
        <w:t>lding type in each climate zone</w:t>
      </w:r>
      <w:r w:rsidR="00023F36" w:rsidRPr="00456BC8">
        <w:rPr>
          <w:rFonts w:asciiTheme="minorHAnsi" w:hAnsiTheme="minorHAnsi" w:cs="Arial"/>
          <w:sz w:val="22"/>
          <w:szCs w:val="22"/>
        </w:rPr>
        <w:t>. The energy savings for each building type in each climate zone was estimated by taking the weighted average savings from each building vintage as shown in the formula below:</w:t>
      </w:r>
    </w:p>
    <w:p w:rsidR="00023F36" w:rsidRPr="00456BC8" w:rsidRDefault="00023F36" w:rsidP="005929F3">
      <w:pPr>
        <w:rPr>
          <w:rFonts w:asciiTheme="minorHAnsi" w:hAnsiTheme="minorHAnsi" w:cs="Arial"/>
          <w:sz w:val="22"/>
          <w:szCs w:val="22"/>
        </w:rPr>
      </w:pPr>
    </w:p>
    <w:p w:rsidR="003736F7" w:rsidRPr="00456BC8" w:rsidRDefault="00C10029" w:rsidP="003736F7">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WES</m:t>
              </m:r>
            </m:e>
            <m:sub>
              <m:r>
                <w:rPr>
                  <w:rFonts w:ascii="Cambria Math" w:hAnsi="Cambria Math" w:cs="Arial"/>
                  <w:sz w:val="22"/>
                  <w:szCs w:val="22"/>
                </w:rPr>
                <m:t>BT</m:t>
              </m:r>
            </m:sub>
          </m:sSub>
          <m:r>
            <w:rPr>
              <w:rFonts w:ascii="Cambria Math" w:hAnsi="Cambria Math" w:cs="Arial"/>
              <w:sz w:val="22"/>
              <w:szCs w:val="22"/>
            </w:rPr>
            <m:t xml:space="preserve">= </m:t>
          </m:r>
          <m:nary>
            <m:naryPr>
              <m:chr m:val="∑"/>
              <m:limLoc m:val="undOvr"/>
              <m:subHide m:val="1"/>
              <m:supHide m:val="1"/>
              <m:ctrlPr>
                <w:rPr>
                  <w:rFonts w:ascii="Cambria Math" w:hAnsi="Cambria Math" w:cs="Arial"/>
                  <w:i/>
                  <w:sz w:val="22"/>
                  <w:szCs w:val="22"/>
                </w:rPr>
              </m:ctrlPr>
            </m:naryPr>
            <m:sub/>
            <m:sup/>
            <m:e>
              <m:sSub>
                <m:sSubPr>
                  <m:ctrlPr>
                    <w:rPr>
                      <w:rFonts w:ascii="Cambria Math" w:hAnsi="Cambria Math" w:cs="Arial"/>
                      <w:i/>
                      <w:sz w:val="22"/>
                      <w:szCs w:val="22"/>
                    </w:rPr>
                  </m:ctrlPr>
                </m:sSubPr>
                <m:e>
                  <m:r>
                    <w:rPr>
                      <w:rFonts w:ascii="Cambria Math" w:hAnsi="Cambria Math" w:cs="Arial"/>
                      <w:sz w:val="22"/>
                      <w:szCs w:val="22"/>
                    </w:rPr>
                    <m:t>BEU</m:t>
                  </m:r>
                </m:e>
                <m:sub>
                  <m:r>
                    <w:rPr>
                      <w:rFonts w:ascii="Cambria Math" w:hAnsi="Cambria Math" w:cs="Arial"/>
                      <w:sz w:val="22"/>
                      <w:szCs w:val="22"/>
                    </w:rPr>
                    <m:t>BV</m:t>
                  </m:r>
                </m:sub>
              </m:sSub>
            </m:e>
          </m:nary>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WF</m:t>
              </m:r>
            </m:e>
            <m:sub>
              <m:r>
                <w:rPr>
                  <w:rFonts w:ascii="Cambria Math" w:hAnsi="Cambria Math" w:cs="Arial"/>
                  <w:sz w:val="22"/>
                  <w:szCs w:val="22"/>
                </w:rPr>
                <m:t>BV</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PEU</m:t>
              </m:r>
            </m:e>
            <m:sub>
              <m:r>
                <w:rPr>
                  <w:rFonts w:ascii="Cambria Math" w:hAnsi="Cambria Math" w:cs="Arial"/>
                  <w:sz w:val="22"/>
                  <w:szCs w:val="22"/>
                </w:rPr>
                <m:t>BV</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WF</m:t>
              </m:r>
            </m:e>
            <m:sub>
              <m:r>
                <w:rPr>
                  <w:rFonts w:ascii="Cambria Math" w:hAnsi="Cambria Math" w:cs="Arial"/>
                  <w:sz w:val="22"/>
                  <w:szCs w:val="22"/>
                </w:rPr>
                <m:t>BV</m:t>
              </m:r>
            </m:sub>
          </m:sSub>
        </m:oMath>
      </m:oMathPara>
    </w:p>
    <w:p w:rsidR="00023F36" w:rsidRDefault="00023F36" w:rsidP="00023F36">
      <w:pPr>
        <w:rPr>
          <w:rFonts w:ascii="Arial" w:hAnsi="Arial" w:cs="Arial"/>
          <w:sz w:val="22"/>
          <w:szCs w:val="22"/>
        </w:rPr>
      </w:pPr>
    </w:p>
    <w:p w:rsidR="00023F36" w:rsidRPr="00456BC8" w:rsidRDefault="00023F36" w:rsidP="00023F36">
      <w:pPr>
        <w:rPr>
          <w:rFonts w:asciiTheme="minorHAnsi" w:hAnsiTheme="minorHAnsi" w:cs="Arial"/>
          <w:sz w:val="22"/>
          <w:szCs w:val="22"/>
        </w:rPr>
      </w:pPr>
      <w:r w:rsidRPr="00456BC8">
        <w:rPr>
          <w:rFonts w:asciiTheme="minorHAnsi" w:hAnsiTheme="minorHAnsi" w:cs="Arial"/>
          <w:sz w:val="22"/>
          <w:szCs w:val="22"/>
        </w:rPr>
        <w:t>Where,</w:t>
      </w:r>
    </w:p>
    <w:p w:rsidR="00023F36" w:rsidRPr="00456BC8" w:rsidRDefault="00023F36" w:rsidP="00023F36">
      <w:pPr>
        <w:rPr>
          <w:rFonts w:asciiTheme="minorHAnsi" w:hAnsiTheme="minorHAnsi" w:cs="Arial"/>
          <w:sz w:val="22"/>
          <w:szCs w:val="22"/>
        </w:rPr>
      </w:pPr>
      <w:r w:rsidRPr="00456BC8">
        <w:rPr>
          <w:rFonts w:asciiTheme="minorHAnsi" w:hAnsiTheme="minorHAnsi" w:cs="Arial"/>
          <w:sz w:val="22"/>
          <w:szCs w:val="22"/>
        </w:rPr>
        <w:tab/>
      </w:r>
      <w:bookmarkStart w:id="50" w:name="OLE_LINK1"/>
      <w:r w:rsidR="00401984" w:rsidRPr="00456BC8">
        <w:rPr>
          <w:rFonts w:asciiTheme="minorHAnsi" w:hAnsiTheme="minorHAnsi" w:cs="Arial"/>
          <w:sz w:val="22"/>
          <w:szCs w:val="22"/>
        </w:rPr>
        <w:t>W</w:t>
      </w:r>
      <w:r w:rsidRPr="00456BC8">
        <w:rPr>
          <w:rFonts w:asciiTheme="minorHAnsi" w:hAnsiTheme="minorHAnsi" w:cs="Arial"/>
          <w:sz w:val="22"/>
          <w:szCs w:val="22"/>
        </w:rPr>
        <w:t>ES</w:t>
      </w:r>
      <w:r w:rsidR="004F5357" w:rsidRPr="00456BC8">
        <w:rPr>
          <w:rFonts w:asciiTheme="minorHAnsi" w:hAnsiTheme="minorHAnsi" w:cs="Arial"/>
          <w:sz w:val="22"/>
          <w:szCs w:val="22"/>
          <w:vertAlign w:val="subscript"/>
        </w:rPr>
        <w:t>BT</w:t>
      </w:r>
      <w:bookmarkEnd w:id="50"/>
      <w:r w:rsidRPr="00456BC8">
        <w:rPr>
          <w:rFonts w:asciiTheme="minorHAnsi" w:hAnsiTheme="minorHAnsi" w:cs="Arial"/>
          <w:sz w:val="22"/>
          <w:szCs w:val="22"/>
        </w:rPr>
        <w:tab/>
        <w:t xml:space="preserve">= </w:t>
      </w:r>
      <w:r w:rsidR="00072F35" w:rsidRPr="00456BC8">
        <w:rPr>
          <w:rFonts w:asciiTheme="minorHAnsi" w:hAnsiTheme="minorHAnsi" w:cs="Arial"/>
          <w:sz w:val="22"/>
          <w:szCs w:val="22"/>
        </w:rPr>
        <w:t>weighted</w:t>
      </w:r>
      <w:r w:rsidR="00401984" w:rsidRPr="00456BC8">
        <w:rPr>
          <w:rFonts w:asciiTheme="minorHAnsi" w:hAnsiTheme="minorHAnsi" w:cs="Arial"/>
          <w:sz w:val="22"/>
          <w:szCs w:val="22"/>
        </w:rPr>
        <w:t xml:space="preserve"> </w:t>
      </w:r>
      <w:r w:rsidRPr="00456BC8">
        <w:rPr>
          <w:rFonts w:asciiTheme="minorHAnsi" w:hAnsiTheme="minorHAnsi" w:cs="Arial"/>
          <w:sz w:val="22"/>
          <w:szCs w:val="22"/>
        </w:rPr>
        <w:t>energy savings</w:t>
      </w:r>
      <w:r w:rsidR="00401984" w:rsidRPr="00456BC8">
        <w:rPr>
          <w:rFonts w:asciiTheme="minorHAnsi" w:hAnsiTheme="minorHAnsi" w:cs="Arial"/>
          <w:sz w:val="22"/>
          <w:szCs w:val="22"/>
        </w:rPr>
        <w:t xml:space="preserve"> per </w:t>
      </w:r>
      <w:r w:rsidR="004F5357" w:rsidRPr="00456BC8">
        <w:rPr>
          <w:rFonts w:asciiTheme="minorHAnsi" w:hAnsiTheme="minorHAnsi" w:cs="Arial"/>
          <w:sz w:val="22"/>
          <w:szCs w:val="22"/>
        </w:rPr>
        <w:t>building type</w:t>
      </w:r>
      <w:r w:rsidRPr="00456BC8">
        <w:rPr>
          <w:rFonts w:asciiTheme="minorHAnsi" w:hAnsiTheme="minorHAnsi" w:cs="Arial"/>
          <w:sz w:val="22"/>
          <w:szCs w:val="22"/>
        </w:rPr>
        <w:t>, kWh</w:t>
      </w:r>
    </w:p>
    <w:p w:rsidR="003736F7" w:rsidRPr="00456BC8" w:rsidRDefault="003736F7" w:rsidP="003736F7">
      <w:pPr>
        <w:ind w:firstLine="720"/>
        <w:rPr>
          <w:rFonts w:asciiTheme="minorHAnsi" w:hAnsiTheme="minorHAnsi" w:cs="Arial"/>
          <w:sz w:val="22"/>
          <w:szCs w:val="22"/>
        </w:rPr>
      </w:pPr>
      <w:r w:rsidRPr="00456BC8">
        <w:rPr>
          <w:rFonts w:asciiTheme="minorHAnsi" w:hAnsiTheme="minorHAnsi" w:cs="Arial"/>
          <w:sz w:val="22"/>
          <w:szCs w:val="22"/>
        </w:rPr>
        <w:t>BEU</w:t>
      </w:r>
      <w:r w:rsidRPr="00456BC8">
        <w:rPr>
          <w:rFonts w:asciiTheme="minorHAnsi" w:hAnsiTheme="minorHAnsi" w:cs="Arial"/>
          <w:sz w:val="22"/>
          <w:szCs w:val="22"/>
          <w:vertAlign w:val="subscript"/>
        </w:rPr>
        <w:t>BV</w:t>
      </w:r>
      <w:r w:rsidRPr="00456BC8">
        <w:rPr>
          <w:rFonts w:asciiTheme="minorHAnsi" w:hAnsiTheme="minorHAnsi" w:cs="Arial"/>
          <w:sz w:val="22"/>
          <w:szCs w:val="22"/>
        </w:rPr>
        <w:tab/>
        <w:t xml:space="preserve">= baseline energy usage per building vintage, </w:t>
      </w:r>
      <w:r w:rsidR="008822AE" w:rsidRPr="00456BC8">
        <w:rPr>
          <w:rFonts w:asciiTheme="minorHAnsi" w:hAnsiTheme="minorHAnsi" w:cs="Arial"/>
          <w:sz w:val="22"/>
          <w:szCs w:val="22"/>
        </w:rPr>
        <w:t>kWh</w:t>
      </w:r>
      <w:r w:rsidR="00023F36" w:rsidRPr="00456BC8">
        <w:rPr>
          <w:rFonts w:asciiTheme="minorHAnsi" w:hAnsiTheme="minorHAnsi" w:cs="Arial"/>
          <w:sz w:val="22"/>
          <w:szCs w:val="22"/>
        </w:rPr>
        <w:tab/>
      </w:r>
    </w:p>
    <w:p w:rsidR="003736F7" w:rsidRPr="00456BC8" w:rsidRDefault="003736F7" w:rsidP="003736F7">
      <w:pPr>
        <w:ind w:firstLine="720"/>
        <w:rPr>
          <w:rFonts w:asciiTheme="minorHAnsi" w:hAnsiTheme="minorHAnsi" w:cs="Arial"/>
          <w:sz w:val="22"/>
          <w:szCs w:val="22"/>
        </w:rPr>
      </w:pPr>
      <w:r w:rsidRPr="00456BC8">
        <w:rPr>
          <w:rFonts w:asciiTheme="minorHAnsi" w:hAnsiTheme="minorHAnsi" w:cs="Arial"/>
          <w:sz w:val="22"/>
          <w:szCs w:val="22"/>
        </w:rPr>
        <w:t>PEU</w:t>
      </w:r>
      <w:r w:rsidRPr="00456BC8">
        <w:rPr>
          <w:rFonts w:asciiTheme="minorHAnsi" w:hAnsiTheme="minorHAnsi" w:cs="Arial"/>
          <w:sz w:val="22"/>
          <w:szCs w:val="22"/>
          <w:vertAlign w:val="subscript"/>
        </w:rPr>
        <w:t>BV</w:t>
      </w:r>
      <w:r w:rsidRPr="00456BC8">
        <w:rPr>
          <w:rFonts w:asciiTheme="minorHAnsi" w:hAnsiTheme="minorHAnsi" w:cs="Arial"/>
          <w:sz w:val="22"/>
          <w:szCs w:val="22"/>
        </w:rPr>
        <w:tab/>
        <w:t xml:space="preserve">= proposed energy usage per building vintage, </w:t>
      </w:r>
      <w:r w:rsidR="008822AE" w:rsidRPr="00456BC8">
        <w:rPr>
          <w:rFonts w:asciiTheme="minorHAnsi" w:hAnsiTheme="minorHAnsi" w:cs="Arial"/>
          <w:sz w:val="22"/>
          <w:szCs w:val="22"/>
        </w:rPr>
        <w:t>kWh</w:t>
      </w:r>
    </w:p>
    <w:p w:rsidR="00023F36" w:rsidRPr="00456BC8" w:rsidRDefault="00401984" w:rsidP="003736F7">
      <w:pPr>
        <w:ind w:firstLine="720"/>
        <w:rPr>
          <w:rFonts w:asciiTheme="minorHAnsi" w:hAnsiTheme="minorHAnsi" w:cs="Arial"/>
          <w:sz w:val="22"/>
          <w:szCs w:val="22"/>
        </w:rPr>
      </w:pPr>
      <w:r w:rsidRPr="00456BC8">
        <w:rPr>
          <w:rFonts w:asciiTheme="minorHAnsi" w:hAnsiTheme="minorHAnsi" w:cs="Arial"/>
          <w:sz w:val="22"/>
          <w:szCs w:val="22"/>
        </w:rPr>
        <w:t>WF</w:t>
      </w:r>
      <w:r w:rsidRPr="00456BC8">
        <w:rPr>
          <w:rFonts w:asciiTheme="minorHAnsi" w:hAnsiTheme="minorHAnsi" w:cs="Arial"/>
          <w:sz w:val="22"/>
          <w:szCs w:val="22"/>
          <w:vertAlign w:val="subscript"/>
        </w:rPr>
        <w:t>BV</w:t>
      </w:r>
      <w:r w:rsidR="00023F36" w:rsidRPr="00456BC8">
        <w:rPr>
          <w:rFonts w:asciiTheme="minorHAnsi" w:hAnsiTheme="minorHAnsi" w:cs="Arial"/>
          <w:sz w:val="22"/>
          <w:szCs w:val="22"/>
        </w:rPr>
        <w:tab/>
        <w:t xml:space="preserve">= </w:t>
      </w:r>
      <w:r w:rsidRPr="00456BC8">
        <w:rPr>
          <w:rFonts w:asciiTheme="minorHAnsi" w:hAnsiTheme="minorHAnsi" w:cs="Arial"/>
          <w:sz w:val="22"/>
          <w:szCs w:val="22"/>
        </w:rPr>
        <w:t>weighting factor per building vintage</w:t>
      </w:r>
      <w:r w:rsidR="00227654" w:rsidRPr="00456BC8">
        <w:rPr>
          <w:rFonts w:asciiTheme="minorHAnsi" w:hAnsiTheme="minorHAnsi"/>
          <w:sz w:val="22"/>
          <w:szCs w:val="22"/>
        </w:rPr>
        <w:fldChar w:fldCharType="begin"/>
      </w:r>
      <w:r w:rsidR="00227654" w:rsidRPr="00456BC8">
        <w:rPr>
          <w:rFonts w:asciiTheme="minorHAnsi" w:hAnsiTheme="minorHAnsi"/>
          <w:sz w:val="22"/>
          <w:szCs w:val="22"/>
        </w:rPr>
        <w:instrText xml:space="preserve"> NOTEREF _Ref404264251 \h  \* MERGEFORMAT </w:instrText>
      </w:r>
      <w:r w:rsidR="00227654" w:rsidRPr="00456BC8">
        <w:rPr>
          <w:rFonts w:asciiTheme="minorHAnsi" w:hAnsiTheme="minorHAnsi"/>
          <w:sz w:val="22"/>
          <w:szCs w:val="22"/>
        </w:rPr>
      </w:r>
      <w:r w:rsidR="00227654" w:rsidRPr="00456BC8">
        <w:rPr>
          <w:rFonts w:asciiTheme="minorHAnsi" w:hAnsiTheme="minorHAnsi"/>
          <w:sz w:val="22"/>
          <w:szCs w:val="22"/>
        </w:rPr>
        <w:fldChar w:fldCharType="separate"/>
      </w:r>
      <w:r w:rsidR="007663E5" w:rsidRPr="00456BC8">
        <w:rPr>
          <w:rFonts w:asciiTheme="minorHAnsi" w:hAnsiTheme="minorHAnsi" w:cs="Arial"/>
          <w:sz w:val="22"/>
          <w:szCs w:val="22"/>
          <w:vertAlign w:val="superscript"/>
        </w:rPr>
        <w:t>10</w:t>
      </w:r>
      <w:r w:rsidR="00227654" w:rsidRPr="00456BC8">
        <w:rPr>
          <w:rFonts w:asciiTheme="minorHAnsi" w:hAnsiTheme="minorHAnsi"/>
          <w:sz w:val="22"/>
          <w:szCs w:val="22"/>
        </w:rPr>
        <w:fldChar w:fldCharType="end"/>
      </w:r>
      <w:r w:rsidR="00023F36" w:rsidRPr="00456BC8">
        <w:rPr>
          <w:rFonts w:asciiTheme="minorHAnsi" w:hAnsiTheme="minorHAnsi" w:cs="Arial"/>
          <w:sz w:val="22"/>
          <w:szCs w:val="22"/>
        </w:rPr>
        <w:t>, no units</w:t>
      </w:r>
    </w:p>
    <w:p w:rsidR="00023F36" w:rsidRPr="00456BC8" w:rsidRDefault="00023F36" w:rsidP="005929F3">
      <w:pPr>
        <w:rPr>
          <w:rFonts w:asciiTheme="minorHAnsi" w:hAnsiTheme="minorHAnsi" w:cs="Arial"/>
          <w:sz w:val="22"/>
          <w:szCs w:val="22"/>
        </w:rPr>
      </w:pPr>
    </w:p>
    <w:p w:rsidR="00401984" w:rsidRPr="00456BC8" w:rsidRDefault="00401984" w:rsidP="005929F3">
      <w:pPr>
        <w:rPr>
          <w:rFonts w:asciiTheme="minorHAnsi" w:hAnsiTheme="minorHAnsi" w:cs="Arial"/>
          <w:sz w:val="22"/>
          <w:szCs w:val="22"/>
        </w:rPr>
      </w:pPr>
      <w:r w:rsidRPr="00456BC8">
        <w:rPr>
          <w:rFonts w:asciiTheme="minorHAnsi" w:hAnsiTheme="minorHAnsi" w:cs="Arial"/>
          <w:sz w:val="22"/>
          <w:szCs w:val="22"/>
        </w:rPr>
        <w:t>The weighted energy savings for each climate zone is then normalized to the square footage of each building type as shown in the formula below:</w:t>
      </w:r>
    </w:p>
    <w:p w:rsidR="00401984" w:rsidRDefault="00401984" w:rsidP="005929F3">
      <w:pPr>
        <w:rPr>
          <w:rFonts w:ascii="Arial" w:hAnsi="Arial" w:cs="Arial"/>
          <w:sz w:val="22"/>
          <w:szCs w:val="22"/>
        </w:rPr>
      </w:pPr>
    </w:p>
    <w:p w:rsidR="00401984" w:rsidRPr="00456BC8" w:rsidRDefault="00C10029" w:rsidP="00401984">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NES</m:t>
              </m:r>
            </m:e>
            <m:sub>
              <m:r>
                <w:rPr>
                  <w:rFonts w:ascii="Cambria Math" w:hAnsi="Cambria Math" w:cs="Arial"/>
                  <w:sz w:val="22"/>
                  <w:szCs w:val="22"/>
                </w:rPr>
                <m:t>BT</m:t>
              </m:r>
            </m:sub>
          </m:sSub>
          <m:r>
            <w:rPr>
              <w:rFonts w:ascii="Cambria Math" w:hAnsi="Cambria Math" w:cs="Arial"/>
              <w:sz w:val="22"/>
              <w:szCs w:val="22"/>
            </w:rPr>
            <m:t>=</m:t>
          </m:r>
          <m:f>
            <m:fPr>
              <m:type m:val="lin"/>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WES</m:t>
                  </m:r>
                </m:e>
                <m:sub>
                  <m:r>
                    <w:rPr>
                      <w:rFonts w:ascii="Cambria Math" w:hAnsi="Cambria Math" w:cs="Arial"/>
                      <w:sz w:val="22"/>
                      <w:szCs w:val="22"/>
                    </w:rPr>
                    <m:t>BT</m:t>
                  </m:r>
                </m:sub>
              </m:sSub>
            </m:num>
            <m:den>
              <m:d>
                <m:dPr>
                  <m:ctrlPr>
                    <w:rPr>
                      <w:rFonts w:ascii="Cambria Math" w:hAnsi="Cambria Math" w:cs="Arial"/>
                      <w:i/>
                      <w:sz w:val="22"/>
                      <w:szCs w:val="22"/>
                    </w:rPr>
                  </m:ctrlPr>
                </m:dPr>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BT</m:t>
                          </m:r>
                        </m:sub>
                      </m:sSub>
                    </m:num>
                    <m:den>
                      <m:r>
                        <w:rPr>
                          <w:rFonts w:ascii="Cambria Math" w:hAnsi="Cambria Math" w:cs="Arial"/>
                          <w:sz w:val="22"/>
                          <w:szCs w:val="22"/>
                        </w:rPr>
                        <m:t>C</m:t>
                      </m:r>
                    </m:den>
                  </m:f>
                </m:e>
              </m:d>
            </m:den>
          </m:f>
        </m:oMath>
      </m:oMathPara>
    </w:p>
    <w:p w:rsidR="00401984" w:rsidRPr="00456BC8" w:rsidRDefault="00401984" w:rsidP="00401984">
      <w:pPr>
        <w:rPr>
          <w:rFonts w:asciiTheme="minorHAnsi" w:hAnsiTheme="minorHAnsi" w:cs="Arial"/>
          <w:sz w:val="22"/>
          <w:szCs w:val="22"/>
        </w:rPr>
      </w:pPr>
    </w:p>
    <w:p w:rsidR="00401984" w:rsidRPr="00456BC8" w:rsidRDefault="00401984" w:rsidP="00401984">
      <w:pPr>
        <w:rPr>
          <w:rFonts w:asciiTheme="minorHAnsi" w:hAnsiTheme="minorHAnsi" w:cs="Arial"/>
          <w:sz w:val="22"/>
          <w:szCs w:val="22"/>
        </w:rPr>
      </w:pPr>
      <w:r w:rsidRPr="00456BC8">
        <w:rPr>
          <w:rFonts w:asciiTheme="minorHAnsi" w:hAnsiTheme="minorHAnsi" w:cs="Arial"/>
          <w:sz w:val="22"/>
          <w:szCs w:val="22"/>
        </w:rPr>
        <w:t>Where,</w:t>
      </w:r>
    </w:p>
    <w:p w:rsidR="00401984" w:rsidRPr="00456BC8" w:rsidRDefault="00401984" w:rsidP="00401984">
      <w:pPr>
        <w:rPr>
          <w:rFonts w:asciiTheme="minorHAnsi" w:hAnsiTheme="minorHAnsi" w:cs="Arial"/>
          <w:sz w:val="22"/>
          <w:szCs w:val="22"/>
        </w:rPr>
      </w:pPr>
      <w:r w:rsidRPr="00456BC8">
        <w:rPr>
          <w:rFonts w:asciiTheme="minorHAnsi" w:hAnsiTheme="minorHAnsi" w:cs="Arial"/>
          <w:sz w:val="22"/>
          <w:szCs w:val="22"/>
        </w:rPr>
        <w:tab/>
      </w:r>
      <w:r w:rsidR="004F5357" w:rsidRPr="00456BC8">
        <w:rPr>
          <w:rFonts w:asciiTheme="minorHAnsi" w:hAnsiTheme="minorHAnsi" w:cs="Arial"/>
          <w:sz w:val="22"/>
          <w:szCs w:val="22"/>
        </w:rPr>
        <w:t>NES</w:t>
      </w:r>
      <w:r w:rsidR="004F5357" w:rsidRPr="00456BC8">
        <w:rPr>
          <w:rFonts w:asciiTheme="minorHAnsi" w:hAnsiTheme="minorHAnsi" w:cs="Arial"/>
          <w:sz w:val="22"/>
          <w:szCs w:val="22"/>
          <w:vertAlign w:val="subscript"/>
        </w:rPr>
        <w:t>BT</w:t>
      </w:r>
      <w:r w:rsidRPr="00456BC8">
        <w:rPr>
          <w:rFonts w:asciiTheme="minorHAnsi" w:hAnsiTheme="minorHAnsi" w:cs="Arial"/>
          <w:sz w:val="22"/>
          <w:szCs w:val="22"/>
        </w:rPr>
        <w:tab/>
        <w:t xml:space="preserve">= </w:t>
      </w:r>
      <w:r w:rsidR="00AF4FF5" w:rsidRPr="00456BC8">
        <w:rPr>
          <w:rFonts w:asciiTheme="minorHAnsi" w:hAnsiTheme="minorHAnsi" w:cs="Arial"/>
          <w:sz w:val="22"/>
          <w:szCs w:val="22"/>
        </w:rPr>
        <w:t xml:space="preserve">normalized </w:t>
      </w:r>
      <w:r w:rsidRPr="00456BC8">
        <w:rPr>
          <w:rFonts w:asciiTheme="minorHAnsi" w:hAnsiTheme="minorHAnsi" w:cs="Arial"/>
          <w:sz w:val="22"/>
          <w:szCs w:val="22"/>
        </w:rPr>
        <w:t>energy savings, kWh / Area-1kFP</w:t>
      </w:r>
    </w:p>
    <w:p w:rsidR="00AF4FF5" w:rsidRPr="00456BC8" w:rsidRDefault="00401984" w:rsidP="00401984">
      <w:pPr>
        <w:rPr>
          <w:rFonts w:asciiTheme="minorHAnsi" w:hAnsiTheme="minorHAnsi" w:cs="Arial"/>
          <w:sz w:val="22"/>
          <w:szCs w:val="22"/>
        </w:rPr>
      </w:pPr>
      <w:r w:rsidRPr="00456BC8">
        <w:rPr>
          <w:rFonts w:asciiTheme="minorHAnsi" w:hAnsiTheme="minorHAnsi" w:cs="Arial"/>
          <w:sz w:val="22"/>
          <w:szCs w:val="22"/>
        </w:rPr>
        <w:tab/>
      </w:r>
      <w:r w:rsidR="004F5357" w:rsidRPr="00456BC8">
        <w:rPr>
          <w:rFonts w:asciiTheme="minorHAnsi" w:hAnsiTheme="minorHAnsi" w:cs="Arial"/>
          <w:sz w:val="22"/>
          <w:szCs w:val="22"/>
        </w:rPr>
        <w:t>A</w:t>
      </w:r>
      <w:r w:rsidR="004F5357" w:rsidRPr="00456BC8">
        <w:rPr>
          <w:rFonts w:asciiTheme="minorHAnsi" w:hAnsiTheme="minorHAnsi" w:cs="Arial"/>
          <w:sz w:val="22"/>
          <w:szCs w:val="22"/>
          <w:vertAlign w:val="subscript"/>
        </w:rPr>
        <w:t>BT</w:t>
      </w:r>
      <w:r w:rsidR="00AF4FF5" w:rsidRPr="00456BC8">
        <w:rPr>
          <w:rFonts w:asciiTheme="minorHAnsi" w:hAnsiTheme="minorHAnsi" w:cs="Arial"/>
          <w:sz w:val="22"/>
          <w:szCs w:val="22"/>
        </w:rPr>
        <w:tab/>
        <w:t>= area of the building</w:t>
      </w:r>
      <w:r w:rsidRPr="00456BC8">
        <w:rPr>
          <w:rFonts w:asciiTheme="minorHAnsi" w:hAnsiTheme="minorHAnsi" w:cs="Arial"/>
          <w:sz w:val="22"/>
          <w:szCs w:val="22"/>
        </w:rPr>
        <w:t>,</w:t>
      </w:r>
      <w:r w:rsidR="00AF4FF5" w:rsidRPr="00456BC8">
        <w:rPr>
          <w:rFonts w:asciiTheme="minorHAnsi" w:hAnsiTheme="minorHAnsi" w:cs="Arial"/>
          <w:sz w:val="22"/>
          <w:szCs w:val="22"/>
        </w:rPr>
        <w:t xml:space="preserve"> sq ft</w:t>
      </w:r>
    </w:p>
    <w:p w:rsidR="00401984" w:rsidRPr="00456BC8" w:rsidRDefault="00401984" w:rsidP="00401984">
      <w:pPr>
        <w:rPr>
          <w:rFonts w:asciiTheme="minorHAnsi" w:hAnsiTheme="minorHAnsi" w:cs="Arial"/>
          <w:sz w:val="22"/>
          <w:szCs w:val="22"/>
        </w:rPr>
      </w:pPr>
      <w:r w:rsidRPr="00456BC8">
        <w:rPr>
          <w:rFonts w:asciiTheme="minorHAnsi" w:hAnsiTheme="minorHAnsi" w:cs="Arial"/>
          <w:sz w:val="22"/>
          <w:szCs w:val="22"/>
        </w:rPr>
        <w:tab/>
      </w:r>
      <w:r w:rsidR="00AF4FF5" w:rsidRPr="00456BC8">
        <w:rPr>
          <w:rFonts w:asciiTheme="minorHAnsi" w:hAnsiTheme="minorHAnsi" w:cs="Arial"/>
          <w:sz w:val="22"/>
          <w:szCs w:val="22"/>
        </w:rPr>
        <w:t>C</w:t>
      </w:r>
      <w:r w:rsidRPr="00456BC8">
        <w:rPr>
          <w:rFonts w:asciiTheme="minorHAnsi" w:hAnsiTheme="minorHAnsi" w:cs="Arial"/>
          <w:sz w:val="22"/>
          <w:szCs w:val="22"/>
        </w:rPr>
        <w:tab/>
        <w:t xml:space="preserve">= </w:t>
      </w:r>
      <w:r w:rsidR="00AF4FF5" w:rsidRPr="00456BC8">
        <w:rPr>
          <w:rFonts w:asciiTheme="minorHAnsi" w:hAnsiTheme="minorHAnsi" w:cs="Arial"/>
          <w:sz w:val="22"/>
          <w:szCs w:val="22"/>
        </w:rPr>
        <w:t>per 1000 sq ft</w:t>
      </w:r>
      <w:r w:rsidRPr="00456BC8">
        <w:rPr>
          <w:rFonts w:asciiTheme="minorHAnsi" w:hAnsiTheme="minorHAnsi" w:cs="Arial"/>
          <w:sz w:val="22"/>
          <w:szCs w:val="22"/>
        </w:rPr>
        <w:t xml:space="preserve">, </w:t>
      </w:r>
      <w:r w:rsidR="00AF4FF5" w:rsidRPr="00456BC8">
        <w:rPr>
          <w:rFonts w:asciiTheme="minorHAnsi" w:hAnsiTheme="minorHAnsi" w:cs="Arial"/>
          <w:sz w:val="22"/>
          <w:szCs w:val="22"/>
        </w:rPr>
        <w:t>1000</w:t>
      </w:r>
      <w:r w:rsidRPr="00456BC8">
        <w:rPr>
          <w:rFonts w:asciiTheme="minorHAnsi" w:hAnsiTheme="minorHAnsi" w:cs="Arial"/>
          <w:sz w:val="22"/>
          <w:szCs w:val="22"/>
        </w:rPr>
        <w:t>, no units</w:t>
      </w:r>
    </w:p>
    <w:p w:rsidR="00401984" w:rsidRPr="00456BC8" w:rsidRDefault="00401984" w:rsidP="005929F3">
      <w:pPr>
        <w:rPr>
          <w:rFonts w:asciiTheme="minorHAnsi" w:hAnsiTheme="minorHAnsi" w:cs="Arial"/>
          <w:sz w:val="22"/>
          <w:szCs w:val="22"/>
        </w:rPr>
      </w:pPr>
    </w:p>
    <w:p w:rsidR="005929F3" w:rsidRPr="00456BC8" w:rsidRDefault="00B21714" w:rsidP="005929F3">
      <w:pPr>
        <w:rPr>
          <w:rFonts w:asciiTheme="minorHAnsi" w:hAnsiTheme="minorHAnsi" w:cs="Arial"/>
          <w:sz w:val="22"/>
          <w:szCs w:val="22"/>
        </w:rPr>
      </w:pPr>
      <w:r w:rsidRPr="00456BC8">
        <w:rPr>
          <w:rFonts w:asciiTheme="minorHAnsi" w:hAnsiTheme="minorHAnsi" w:cs="Arial"/>
          <w:sz w:val="22"/>
          <w:szCs w:val="22"/>
        </w:rPr>
        <w:t>Savings from the modeling results were multiplied by a factor of 25% as shown in the formula below:</w:t>
      </w:r>
    </w:p>
    <w:p w:rsidR="00A15AEC" w:rsidRPr="00456BC8" w:rsidRDefault="00A15AEC" w:rsidP="00216BB5">
      <w:pPr>
        <w:rPr>
          <w:rFonts w:asciiTheme="minorHAnsi" w:hAnsiTheme="minorHAnsi" w:cs="Arial"/>
          <w:sz w:val="28"/>
          <w:szCs w:val="28"/>
        </w:rPr>
      </w:pPr>
    </w:p>
    <w:p w:rsidR="006D3D6F" w:rsidRPr="00456BC8" w:rsidRDefault="00C10029" w:rsidP="006D3D6F">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ES</m:t>
              </m:r>
            </m:e>
            <m:sub>
              <m:r>
                <w:rPr>
                  <w:rFonts w:ascii="Cambria Math" w:hAnsi="Cambria Math" w:cs="Arial"/>
                  <w:sz w:val="22"/>
                  <w:szCs w:val="22"/>
                </w:rPr>
                <m:t>BT</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NES</m:t>
              </m:r>
            </m:e>
            <m:sub>
              <m:r>
                <w:rPr>
                  <w:rFonts w:ascii="Cambria Math" w:hAnsi="Cambria Math" w:cs="Arial"/>
                  <w:sz w:val="22"/>
                  <w:szCs w:val="22"/>
                </w:rPr>
                <m:t>BT</m:t>
              </m:r>
            </m:sub>
          </m:sSub>
          <m:r>
            <w:rPr>
              <w:rFonts w:ascii="Cambria Math" w:hAnsi="Cambria Math" w:cs="Arial"/>
              <w:sz w:val="22"/>
              <w:szCs w:val="22"/>
            </w:rPr>
            <m:t>*GSA</m:t>
          </m:r>
        </m:oMath>
      </m:oMathPara>
    </w:p>
    <w:p w:rsidR="006D3D6F" w:rsidRPr="00456BC8" w:rsidRDefault="006D3D6F" w:rsidP="006D3D6F">
      <w:pPr>
        <w:rPr>
          <w:rFonts w:asciiTheme="minorHAnsi" w:hAnsiTheme="minorHAnsi" w:cs="Arial"/>
          <w:sz w:val="22"/>
          <w:szCs w:val="22"/>
        </w:rPr>
      </w:pPr>
    </w:p>
    <w:p w:rsidR="006D3D6F" w:rsidRPr="00456BC8" w:rsidRDefault="006D3D6F" w:rsidP="006D3D6F">
      <w:pPr>
        <w:rPr>
          <w:rFonts w:asciiTheme="minorHAnsi" w:hAnsiTheme="minorHAnsi" w:cs="Arial"/>
          <w:sz w:val="22"/>
          <w:szCs w:val="22"/>
        </w:rPr>
      </w:pPr>
      <w:r w:rsidRPr="00456BC8">
        <w:rPr>
          <w:rFonts w:asciiTheme="minorHAnsi" w:hAnsiTheme="minorHAnsi" w:cs="Arial"/>
          <w:sz w:val="22"/>
          <w:szCs w:val="22"/>
        </w:rPr>
        <w:t>Where,</w:t>
      </w:r>
    </w:p>
    <w:p w:rsidR="006D3D6F" w:rsidRPr="00456BC8" w:rsidRDefault="006D3D6F" w:rsidP="006D3D6F">
      <w:pPr>
        <w:rPr>
          <w:rFonts w:asciiTheme="minorHAnsi" w:hAnsiTheme="minorHAnsi" w:cs="Arial"/>
          <w:sz w:val="22"/>
          <w:szCs w:val="22"/>
        </w:rPr>
      </w:pPr>
      <w:r w:rsidRPr="00456BC8">
        <w:rPr>
          <w:rFonts w:asciiTheme="minorHAnsi" w:hAnsiTheme="minorHAnsi" w:cs="Arial"/>
          <w:sz w:val="22"/>
          <w:szCs w:val="22"/>
        </w:rPr>
        <w:tab/>
      </w:r>
      <w:r w:rsidR="004F5357" w:rsidRPr="00456BC8">
        <w:rPr>
          <w:rFonts w:asciiTheme="minorHAnsi" w:hAnsiTheme="minorHAnsi" w:cs="Arial"/>
          <w:sz w:val="22"/>
          <w:szCs w:val="22"/>
        </w:rPr>
        <w:t>ES</w:t>
      </w:r>
      <w:r w:rsidR="004F5357" w:rsidRPr="00456BC8">
        <w:rPr>
          <w:rFonts w:asciiTheme="minorHAnsi" w:hAnsiTheme="minorHAnsi" w:cs="Arial"/>
          <w:sz w:val="22"/>
          <w:szCs w:val="22"/>
          <w:vertAlign w:val="subscript"/>
        </w:rPr>
        <w:t>BT</w:t>
      </w:r>
      <w:r w:rsidRPr="00456BC8">
        <w:rPr>
          <w:rFonts w:asciiTheme="minorHAnsi" w:hAnsiTheme="minorHAnsi" w:cs="Arial"/>
          <w:sz w:val="22"/>
          <w:szCs w:val="22"/>
        </w:rPr>
        <w:tab/>
        <w:t>= energy savings, kWh / Area-1kFP</w:t>
      </w:r>
    </w:p>
    <w:p w:rsidR="006D3D6F" w:rsidRPr="00456BC8" w:rsidRDefault="006D3D6F" w:rsidP="006D3D6F">
      <w:pPr>
        <w:rPr>
          <w:rFonts w:asciiTheme="minorHAnsi" w:hAnsiTheme="minorHAnsi" w:cs="Arial"/>
          <w:sz w:val="22"/>
          <w:szCs w:val="22"/>
        </w:rPr>
      </w:pPr>
      <w:r w:rsidRPr="00456BC8">
        <w:rPr>
          <w:rFonts w:asciiTheme="minorHAnsi" w:hAnsiTheme="minorHAnsi" w:cs="Arial"/>
          <w:sz w:val="22"/>
          <w:szCs w:val="22"/>
        </w:rPr>
        <w:tab/>
        <w:t>GSA</w:t>
      </w:r>
      <w:r w:rsidRPr="00456BC8">
        <w:rPr>
          <w:rFonts w:asciiTheme="minorHAnsi" w:hAnsiTheme="minorHAnsi" w:cs="Arial"/>
          <w:sz w:val="22"/>
          <w:szCs w:val="22"/>
        </w:rPr>
        <w:tab/>
        <w:t>= gross savings adjustment</w:t>
      </w:r>
      <w:r w:rsidR="002160CA" w:rsidRPr="00456BC8">
        <w:rPr>
          <w:rFonts w:asciiTheme="minorHAnsi" w:hAnsiTheme="minorHAnsi" w:cs="Arial"/>
          <w:sz w:val="22"/>
          <w:szCs w:val="22"/>
        </w:rPr>
        <w:t>, 0.25</w:t>
      </w:r>
      <w:r w:rsidRPr="00456BC8">
        <w:rPr>
          <w:rFonts w:asciiTheme="minorHAnsi" w:hAnsiTheme="minorHAnsi" w:cs="Arial"/>
          <w:sz w:val="22"/>
          <w:szCs w:val="22"/>
        </w:rPr>
        <w:t>, no units</w:t>
      </w:r>
    </w:p>
    <w:p w:rsidR="00620BA8" w:rsidRPr="000344AB" w:rsidRDefault="00620BA8" w:rsidP="00620BA8">
      <w:pPr>
        <w:rPr>
          <w:rFonts w:ascii="Arial" w:hAnsi="Arial" w:cs="Arial"/>
          <w:b/>
          <w:sz w:val="22"/>
          <w:szCs w:val="22"/>
        </w:rPr>
      </w:pPr>
    </w:p>
    <w:p w:rsidR="0094610A" w:rsidRPr="00456BC8" w:rsidRDefault="0094610A" w:rsidP="00620BA8">
      <w:pPr>
        <w:rPr>
          <w:rFonts w:asciiTheme="minorHAnsi" w:hAnsiTheme="minorHAnsi" w:cs="Arial"/>
          <w:b/>
          <w:sz w:val="22"/>
          <w:szCs w:val="22"/>
        </w:rPr>
      </w:pPr>
      <w:r w:rsidRPr="00456BC8">
        <w:rPr>
          <w:rFonts w:asciiTheme="minorHAnsi" w:hAnsiTheme="minorHAnsi" w:cs="Arial"/>
          <w:b/>
          <w:sz w:val="22"/>
          <w:szCs w:val="22"/>
        </w:rPr>
        <w:t>Example for DM-XX – Primary School</w:t>
      </w:r>
      <w:r w:rsidR="002720AC" w:rsidRPr="00456BC8">
        <w:rPr>
          <w:rFonts w:asciiTheme="minorHAnsi" w:hAnsiTheme="minorHAnsi" w:cs="Arial"/>
          <w:b/>
          <w:sz w:val="22"/>
          <w:szCs w:val="22"/>
        </w:rPr>
        <w:t xml:space="preserve"> CZ07</w:t>
      </w:r>
      <w:r w:rsidRPr="00456BC8">
        <w:rPr>
          <w:rFonts w:asciiTheme="minorHAnsi" w:hAnsiTheme="minorHAnsi" w:cs="Arial"/>
          <w:b/>
          <w:sz w:val="22"/>
          <w:szCs w:val="22"/>
        </w:rPr>
        <w:t>:</w:t>
      </w:r>
    </w:p>
    <w:p w:rsidR="004F5357" w:rsidRPr="00456BC8" w:rsidRDefault="004F5357" w:rsidP="004F5357">
      <w:pPr>
        <w:ind w:left="720"/>
        <w:rPr>
          <w:rFonts w:asciiTheme="minorHAnsi" w:hAnsiTheme="minorHAnsi" w:cs="Arial"/>
          <w:sz w:val="22"/>
          <w:szCs w:val="22"/>
        </w:rPr>
      </w:pPr>
      <w:r w:rsidRPr="00456BC8">
        <w:rPr>
          <w:rFonts w:asciiTheme="minorHAnsi" w:hAnsiTheme="minorHAnsi" w:cs="Arial"/>
          <w:sz w:val="22"/>
          <w:szCs w:val="22"/>
        </w:rPr>
        <w:t>A table showing the energy savings and weighting factors for primary schools is shown in the table below:</w:t>
      </w:r>
    </w:p>
    <w:p w:rsidR="00284436" w:rsidRPr="00451245" w:rsidRDefault="00284436" w:rsidP="00284436">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14</w:t>
      </w:r>
      <w:r w:rsidRPr="00451245">
        <w:rPr>
          <w:rFonts w:asciiTheme="minorHAnsi" w:hAnsiTheme="minorHAnsi" w:cs="Arial"/>
          <w:sz w:val="22"/>
          <w:szCs w:val="22"/>
        </w:rPr>
        <w:t xml:space="preserve"> </w:t>
      </w:r>
      <w:r>
        <w:rPr>
          <w:rFonts w:asciiTheme="minorHAnsi" w:hAnsiTheme="minorHAnsi" w:cs="Arial"/>
          <w:b w:val="0"/>
          <w:sz w:val="22"/>
          <w:szCs w:val="22"/>
        </w:rPr>
        <w:t>Energy Savings and Weighting Factors for Primary Schools</w:t>
      </w:r>
      <w:r w:rsidRPr="00451245">
        <w:rPr>
          <w:rFonts w:asciiTheme="minorHAnsi" w:hAnsiTheme="minorHAnsi" w:cs="Arial"/>
          <w:sz w:val="22"/>
          <w:szCs w:val="22"/>
        </w:rPr>
        <w:t xml:space="preserve"> </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tbl>
      <w:tblPr>
        <w:tblW w:w="6750"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0"/>
        <w:gridCol w:w="1620"/>
        <w:gridCol w:w="1543"/>
        <w:gridCol w:w="1697"/>
      </w:tblGrid>
      <w:tr w:rsidR="002720AC" w:rsidRPr="002720AC" w:rsidTr="00456BC8">
        <w:trPr>
          <w:trHeight w:val="593"/>
          <w:jc w:val="center"/>
        </w:trPr>
        <w:tc>
          <w:tcPr>
            <w:tcW w:w="1890" w:type="dxa"/>
            <w:tcBorders>
              <w:bottom w:val="single" w:sz="4" w:space="0" w:color="auto"/>
            </w:tcBorders>
            <w:shd w:val="clear" w:color="auto" w:fill="D9D9D9" w:themeFill="background1" w:themeFillShade="D9"/>
            <w:vAlign w:val="center"/>
          </w:tcPr>
          <w:p w:rsidR="002720AC" w:rsidRPr="00456BC8" w:rsidRDefault="002720AC" w:rsidP="002720AC">
            <w:pPr>
              <w:jc w:val="center"/>
              <w:rPr>
                <w:rFonts w:asciiTheme="minorHAnsi" w:hAnsiTheme="minorHAnsi" w:cs="Arial"/>
                <w:b/>
                <w:sz w:val="22"/>
                <w:szCs w:val="22"/>
              </w:rPr>
            </w:pPr>
            <w:r w:rsidRPr="00456BC8">
              <w:rPr>
                <w:rFonts w:asciiTheme="minorHAnsi" w:hAnsiTheme="minorHAnsi" w:cs="Arial"/>
                <w:b/>
                <w:sz w:val="22"/>
                <w:szCs w:val="22"/>
              </w:rPr>
              <w:t>Vintage</w:t>
            </w:r>
          </w:p>
        </w:tc>
        <w:tc>
          <w:tcPr>
            <w:tcW w:w="1620" w:type="dxa"/>
            <w:tcBorders>
              <w:bottom w:val="single" w:sz="4" w:space="0" w:color="auto"/>
            </w:tcBorders>
            <w:shd w:val="clear" w:color="auto" w:fill="D9D9D9" w:themeFill="background1" w:themeFillShade="D9"/>
            <w:vAlign w:val="center"/>
          </w:tcPr>
          <w:p w:rsidR="002720AC" w:rsidRPr="00456BC8" w:rsidRDefault="002720AC" w:rsidP="005A028F">
            <w:pPr>
              <w:jc w:val="center"/>
              <w:rPr>
                <w:rFonts w:asciiTheme="minorHAnsi" w:hAnsiTheme="minorHAnsi" w:cs="Arial"/>
                <w:b/>
                <w:sz w:val="22"/>
                <w:szCs w:val="22"/>
              </w:rPr>
            </w:pPr>
            <w:r w:rsidRPr="00456BC8">
              <w:rPr>
                <w:rFonts w:asciiTheme="minorHAnsi" w:hAnsiTheme="minorHAnsi" w:cs="Arial"/>
                <w:b/>
                <w:sz w:val="22"/>
                <w:szCs w:val="22"/>
              </w:rPr>
              <w:t>Baseline Energy Usage (kWh)</w:t>
            </w:r>
          </w:p>
        </w:tc>
        <w:tc>
          <w:tcPr>
            <w:tcW w:w="1543" w:type="dxa"/>
            <w:tcBorders>
              <w:bottom w:val="single" w:sz="4" w:space="0" w:color="auto"/>
            </w:tcBorders>
            <w:shd w:val="clear" w:color="auto" w:fill="D9D9D9" w:themeFill="background1" w:themeFillShade="D9"/>
            <w:vAlign w:val="center"/>
          </w:tcPr>
          <w:p w:rsidR="002720AC" w:rsidRPr="00456BC8" w:rsidRDefault="002720AC" w:rsidP="005A028F">
            <w:pPr>
              <w:jc w:val="center"/>
              <w:rPr>
                <w:rFonts w:asciiTheme="minorHAnsi" w:hAnsiTheme="minorHAnsi" w:cs="Arial"/>
                <w:b/>
                <w:sz w:val="22"/>
                <w:szCs w:val="22"/>
              </w:rPr>
            </w:pPr>
            <w:r w:rsidRPr="00456BC8">
              <w:rPr>
                <w:rFonts w:asciiTheme="minorHAnsi" w:hAnsiTheme="minorHAnsi" w:cs="Arial"/>
                <w:b/>
                <w:sz w:val="22"/>
                <w:szCs w:val="22"/>
              </w:rPr>
              <w:t>Proposed Energy Usage (kWh)</w:t>
            </w:r>
          </w:p>
        </w:tc>
        <w:tc>
          <w:tcPr>
            <w:tcW w:w="1697" w:type="dxa"/>
            <w:tcBorders>
              <w:bottom w:val="single" w:sz="4" w:space="0" w:color="auto"/>
            </w:tcBorders>
            <w:shd w:val="clear" w:color="auto" w:fill="D9D9D9" w:themeFill="background1" w:themeFillShade="D9"/>
            <w:vAlign w:val="center"/>
          </w:tcPr>
          <w:p w:rsidR="002720AC" w:rsidRPr="00456BC8" w:rsidRDefault="002720AC" w:rsidP="002720AC">
            <w:pPr>
              <w:ind w:right="72"/>
              <w:jc w:val="center"/>
              <w:rPr>
                <w:rFonts w:asciiTheme="minorHAnsi" w:hAnsiTheme="minorHAnsi" w:cs="Arial"/>
                <w:b/>
                <w:sz w:val="22"/>
                <w:szCs w:val="22"/>
              </w:rPr>
            </w:pPr>
            <w:r w:rsidRPr="00456BC8">
              <w:rPr>
                <w:rFonts w:asciiTheme="minorHAnsi" w:hAnsiTheme="minorHAnsi" w:cs="Arial"/>
                <w:b/>
                <w:sz w:val="22"/>
                <w:szCs w:val="22"/>
              </w:rPr>
              <w:t>Weighting Factors</w:t>
            </w:r>
          </w:p>
        </w:tc>
      </w:tr>
      <w:tr w:rsidR="002720AC" w:rsidRPr="002720AC" w:rsidTr="00456BC8">
        <w:trPr>
          <w:jc w:val="center"/>
        </w:trPr>
        <w:tc>
          <w:tcPr>
            <w:tcW w:w="1890" w:type="dxa"/>
            <w:tcBorders>
              <w:bottom w:val="single" w:sz="4" w:space="0" w:color="auto"/>
            </w:tcBorders>
            <w:shd w:val="clear" w:color="auto" w:fill="F2F2F2" w:themeFill="background1" w:themeFillShade="F2"/>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1975</w:t>
            </w:r>
          </w:p>
        </w:tc>
        <w:tc>
          <w:tcPr>
            <w:tcW w:w="1620" w:type="dxa"/>
            <w:tcBorders>
              <w:bottom w:val="single" w:sz="4" w:space="0" w:color="auto"/>
            </w:tcBorders>
            <w:shd w:val="clear" w:color="auto" w:fill="F2F2F2" w:themeFill="background1" w:themeFillShade="F2"/>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405,450</w:t>
            </w:r>
          </w:p>
        </w:tc>
        <w:tc>
          <w:tcPr>
            <w:tcW w:w="1543" w:type="dxa"/>
            <w:tcBorders>
              <w:bottom w:val="single" w:sz="4" w:space="0" w:color="auto"/>
            </w:tcBorders>
            <w:shd w:val="clear" w:color="auto" w:fill="F2F2F2" w:themeFill="background1" w:themeFillShade="F2"/>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273,918</w:t>
            </w:r>
          </w:p>
        </w:tc>
        <w:tc>
          <w:tcPr>
            <w:tcW w:w="1697" w:type="dxa"/>
            <w:tcBorders>
              <w:bottom w:val="single" w:sz="4" w:space="0" w:color="auto"/>
            </w:tcBorders>
            <w:shd w:val="clear" w:color="auto" w:fill="F2F2F2" w:themeFill="background1" w:themeFillShade="F2"/>
            <w:vAlign w:val="bottom"/>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0.5808</w:t>
            </w:r>
          </w:p>
        </w:tc>
      </w:tr>
      <w:tr w:rsidR="002720AC" w:rsidRPr="002720AC" w:rsidTr="00456BC8">
        <w:trPr>
          <w:jc w:val="center"/>
        </w:trPr>
        <w:tc>
          <w:tcPr>
            <w:tcW w:w="1890" w:type="dxa"/>
            <w:tcBorders>
              <w:bottom w:val="single" w:sz="4" w:space="0" w:color="auto"/>
            </w:tcBorders>
            <w:shd w:val="clear" w:color="auto" w:fill="FFFFFF" w:themeFill="background1"/>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1985</w:t>
            </w:r>
          </w:p>
        </w:tc>
        <w:tc>
          <w:tcPr>
            <w:tcW w:w="1620" w:type="dxa"/>
            <w:tcBorders>
              <w:bottom w:val="single" w:sz="4" w:space="0" w:color="auto"/>
            </w:tcBorders>
            <w:shd w:val="clear" w:color="auto" w:fill="FFFFFF" w:themeFill="background1"/>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316,864</w:t>
            </w:r>
          </w:p>
        </w:tc>
        <w:tc>
          <w:tcPr>
            <w:tcW w:w="1543" w:type="dxa"/>
            <w:tcBorders>
              <w:bottom w:val="single" w:sz="4" w:space="0" w:color="auto"/>
            </w:tcBorders>
            <w:shd w:val="clear" w:color="auto" w:fill="FFFFFF" w:themeFill="background1"/>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209,993</w:t>
            </w:r>
          </w:p>
        </w:tc>
        <w:tc>
          <w:tcPr>
            <w:tcW w:w="1697" w:type="dxa"/>
            <w:tcBorders>
              <w:bottom w:val="single" w:sz="4" w:space="0" w:color="auto"/>
            </w:tcBorders>
            <w:shd w:val="clear" w:color="auto" w:fill="FFFFFF" w:themeFill="background1"/>
            <w:vAlign w:val="bottom"/>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0.1507</w:t>
            </w:r>
          </w:p>
        </w:tc>
      </w:tr>
      <w:tr w:rsidR="002720AC" w:rsidRPr="002720AC" w:rsidTr="00456BC8">
        <w:trPr>
          <w:jc w:val="center"/>
        </w:trPr>
        <w:tc>
          <w:tcPr>
            <w:tcW w:w="1890" w:type="dxa"/>
            <w:tcBorders>
              <w:bottom w:val="single" w:sz="4" w:space="0" w:color="auto"/>
            </w:tcBorders>
            <w:shd w:val="clear" w:color="auto" w:fill="F2F2F2" w:themeFill="background1" w:themeFillShade="F2"/>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1996</w:t>
            </w:r>
          </w:p>
        </w:tc>
        <w:tc>
          <w:tcPr>
            <w:tcW w:w="1620" w:type="dxa"/>
            <w:tcBorders>
              <w:bottom w:val="single" w:sz="4" w:space="0" w:color="auto"/>
            </w:tcBorders>
            <w:shd w:val="clear" w:color="auto" w:fill="F2F2F2" w:themeFill="background1" w:themeFillShade="F2"/>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176,787</w:t>
            </w:r>
          </w:p>
        </w:tc>
        <w:tc>
          <w:tcPr>
            <w:tcW w:w="1543" w:type="dxa"/>
            <w:tcBorders>
              <w:bottom w:val="single" w:sz="4" w:space="0" w:color="auto"/>
            </w:tcBorders>
            <w:shd w:val="clear" w:color="auto" w:fill="F2F2F2" w:themeFill="background1" w:themeFillShade="F2"/>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105,924</w:t>
            </w:r>
          </w:p>
        </w:tc>
        <w:tc>
          <w:tcPr>
            <w:tcW w:w="1697" w:type="dxa"/>
            <w:tcBorders>
              <w:bottom w:val="single" w:sz="4" w:space="0" w:color="auto"/>
            </w:tcBorders>
            <w:shd w:val="clear" w:color="auto" w:fill="F2F2F2" w:themeFill="background1" w:themeFillShade="F2"/>
            <w:vAlign w:val="bottom"/>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0.1550</w:t>
            </w:r>
          </w:p>
        </w:tc>
      </w:tr>
      <w:tr w:rsidR="002720AC" w:rsidRPr="002720AC" w:rsidTr="00456BC8">
        <w:trPr>
          <w:jc w:val="center"/>
        </w:trPr>
        <w:tc>
          <w:tcPr>
            <w:tcW w:w="1890" w:type="dxa"/>
            <w:shd w:val="clear" w:color="auto" w:fill="FFFFFF" w:themeFill="background1"/>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2003</w:t>
            </w:r>
          </w:p>
        </w:tc>
        <w:tc>
          <w:tcPr>
            <w:tcW w:w="1620" w:type="dxa"/>
            <w:shd w:val="clear" w:color="auto" w:fill="FFFFFF" w:themeFill="background1"/>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149,092</w:t>
            </w:r>
          </w:p>
        </w:tc>
        <w:tc>
          <w:tcPr>
            <w:tcW w:w="1543" w:type="dxa"/>
            <w:shd w:val="clear" w:color="auto" w:fill="FFFFFF" w:themeFill="background1"/>
            <w:vAlign w:val="center"/>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86,367</w:t>
            </w:r>
          </w:p>
        </w:tc>
        <w:tc>
          <w:tcPr>
            <w:tcW w:w="1697" w:type="dxa"/>
            <w:shd w:val="clear" w:color="auto" w:fill="FFFFFF" w:themeFill="background1"/>
            <w:vAlign w:val="bottom"/>
          </w:tcPr>
          <w:p w:rsidR="002720AC" w:rsidRPr="00456BC8" w:rsidRDefault="002720AC" w:rsidP="002720AC">
            <w:pPr>
              <w:jc w:val="center"/>
              <w:rPr>
                <w:rFonts w:asciiTheme="minorHAnsi" w:hAnsiTheme="minorHAnsi" w:cs="Arial"/>
                <w:sz w:val="22"/>
                <w:szCs w:val="22"/>
              </w:rPr>
            </w:pPr>
            <w:r w:rsidRPr="00456BC8">
              <w:rPr>
                <w:rFonts w:asciiTheme="minorHAnsi" w:hAnsiTheme="minorHAnsi" w:cs="Arial"/>
                <w:sz w:val="22"/>
                <w:szCs w:val="22"/>
              </w:rPr>
              <w:t>0.1135</w:t>
            </w:r>
          </w:p>
        </w:tc>
      </w:tr>
    </w:tbl>
    <w:p w:rsidR="004F5357" w:rsidRDefault="004F5357" w:rsidP="004F5357">
      <w:pPr>
        <w:ind w:left="720"/>
        <w:rPr>
          <w:rFonts w:ascii="Arial" w:hAnsi="Arial" w:cs="Arial"/>
          <w:sz w:val="22"/>
          <w:szCs w:val="22"/>
        </w:rPr>
      </w:pPr>
    </w:p>
    <w:p w:rsidR="0094610A" w:rsidRPr="00D8220B" w:rsidRDefault="004F5357" w:rsidP="004F5357">
      <w:pPr>
        <w:ind w:left="720"/>
        <w:rPr>
          <w:rFonts w:asciiTheme="minorHAnsi" w:hAnsiTheme="minorHAnsi" w:cs="Arial"/>
          <w:sz w:val="22"/>
          <w:szCs w:val="22"/>
        </w:rPr>
      </w:pPr>
      <w:r w:rsidRPr="00D8220B">
        <w:rPr>
          <w:rFonts w:asciiTheme="minorHAnsi" w:hAnsiTheme="minorHAnsi" w:cs="Arial"/>
          <w:sz w:val="22"/>
          <w:szCs w:val="22"/>
        </w:rPr>
        <w:t>Therefore t</w:t>
      </w:r>
      <w:r w:rsidR="0094610A" w:rsidRPr="00D8220B">
        <w:rPr>
          <w:rFonts w:asciiTheme="minorHAnsi" w:hAnsiTheme="minorHAnsi" w:cs="Arial"/>
          <w:sz w:val="22"/>
          <w:szCs w:val="22"/>
        </w:rPr>
        <w:t xml:space="preserve">he </w:t>
      </w:r>
      <w:r w:rsidR="000344AB" w:rsidRPr="00D8220B">
        <w:rPr>
          <w:rFonts w:asciiTheme="minorHAnsi" w:hAnsiTheme="minorHAnsi" w:cs="Arial"/>
          <w:sz w:val="22"/>
          <w:szCs w:val="22"/>
        </w:rPr>
        <w:t xml:space="preserve">weighted </w:t>
      </w:r>
      <w:r w:rsidR="0094610A" w:rsidRPr="00D8220B">
        <w:rPr>
          <w:rFonts w:asciiTheme="minorHAnsi" w:hAnsiTheme="minorHAnsi" w:cs="Arial"/>
          <w:sz w:val="22"/>
          <w:szCs w:val="22"/>
        </w:rPr>
        <w:t>energy savings for primary school (EPr)</w:t>
      </w:r>
      <w:r w:rsidR="000344AB" w:rsidRPr="00D8220B">
        <w:rPr>
          <w:rFonts w:asciiTheme="minorHAnsi" w:hAnsiTheme="minorHAnsi" w:cs="Arial"/>
          <w:sz w:val="22"/>
          <w:szCs w:val="22"/>
        </w:rPr>
        <w:t xml:space="preserve"> in climate zone 7 (CZ07)</w:t>
      </w:r>
      <w:r w:rsidR="0094610A" w:rsidRPr="00D8220B">
        <w:rPr>
          <w:rFonts w:asciiTheme="minorHAnsi" w:hAnsiTheme="minorHAnsi" w:cs="Arial"/>
          <w:sz w:val="22"/>
          <w:szCs w:val="22"/>
        </w:rPr>
        <w:t xml:space="preserve"> is:</w:t>
      </w:r>
    </w:p>
    <w:p w:rsidR="006D3D6F" w:rsidRPr="00D8220B" w:rsidRDefault="006D3D6F" w:rsidP="006D3D6F">
      <w:pPr>
        <w:rPr>
          <w:rFonts w:asciiTheme="minorHAnsi" w:hAnsiTheme="minorHAnsi" w:cs="Arial"/>
          <w:sz w:val="22"/>
          <w:szCs w:val="22"/>
        </w:rPr>
      </w:pPr>
    </w:p>
    <w:p w:rsidR="000344AB" w:rsidRPr="00D8220B" w:rsidRDefault="00C10029" w:rsidP="000344AB">
      <w:pPr>
        <w:ind w:left="720"/>
        <w:rPr>
          <w:rFonts w:asciiTheme="minorHAnsi" w:hAnsiTheme="minorHAnsi" w:cs="Arial"/>
          <w:sz w:val="22"/>
          <w:szCs w:val="22"/>
        </w:rPr>
      </w:pPr>
      <m:oMath>
        <m:sSub>
          <m:sSubPr>
            <m:ctrlPr>
              <w:rPr>
                <w:rFonts w:ascii="Cambria Math" w:hAnsi="Cambria Math" w:cs="Arial"/>
                <w:i/>
                <w:sz w:val="22"/>
                <w:szCs w:val="22"/>
              </w:rPr>
            </m:ctrlPr>
          </m:sSubPr>
          <m:e>
            <m:r>
              <w:rPr>
                <w:rFonts w:ascii="Cambria Math" w:hAnsi="Cambria Math" w:cs="Arial"/>
                <w:sz w:val="22"/>
                <w:szCs w:val="22"/>
              </w:rPr>
              <m:t>WES</m:t>
            </m:r>
          </m:e>
          <m:sub>
            <m:r>
              <w:rPr>
                <w:rFonts w:ascii="Cambria Math" w:hAnsi="Cambria Math" w:cs="Arial"/>
                <w:sz w:val="22"/>
                <w:szCs w:val="22"/>
              </w:rPr>
              <m:t>EPr</m:t>
            </m:r>
          </m:sub>
        </m:sSub>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405,450</m:t>
            </m:r>
            <m:r>
              <w:rPr>
                <w:rFonts w:ascii="Cambria Math" w:hAnsi="Cambria Math" w:cs="Cambria Math"/>
                <w:sz w:val="22"/>
                <w:szCs w:val="22"/>
              </w:rPr>
              <m:t>*</m:t>
            </m:r>
            <m:r>
              <w:rPr>
                <w:rFonts w:ascii="Cambria Math" w:hAnsi="Cambria Math" w:cs="Arial"/>
                <w:sz w:val="22"/>
                <w:szCs w:val="22"/>
              </w:rPr>
              <m:t>0.5808-273,918</m:t>
            </m:r>
            <m:r>
              <w:rPr>
                <w:rFonts w:ascii="Cambria Math" w:hAnsi="Cambria Math" w:cs="Cambria Math"/>
                <w:sz w:val="22"/>
                <w:szCs w:val="22"/>
              </w:rPr>
              <m:t>*</m:t>
            </m:r>
            <m:r>
              <w:rPr>
                <w:rFonts w:ascii="Cambria Math" w:hAnsi="Cambria Math" w:cs="Arial"/>
                <w:sz w:val="22"/>
                <w:szCs w:val="22"/>
              </w:rPr>
              <m:t>0.5808</m:t>
            </m:r>
          </m:e>
        </m:d>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316,864</m:t>
            </m:r>
            <m:r>
              <w:rPr>
                <w:rFonts w:ascii="Cambria Math" w:hAnsi="Cambria Math" w:cs="Cambria Math"/>
                <w:sz w:val="22"/>
                <w:szCs w:val="22"/>
              </w:rPr>
              <m:t>*</m:t>
            </m:r>
            <m:r>
              <w:rPr>
                <w:rFonts w:ascii="Cambria Math" w:hAnsi="Cambria Math" w:cs="Arial"/>
                <w:sz w:val="22"/>
                <w:szCs w:val="22"/>
              </w:rPr>
              <m:t>0.1507-209,993</m:t>
            </m:r>
            <m:r>
              <w:rPr>
                <w:rFonts w:ascii="Cambria Math" w:hAnsi="Cambria Math" w:cs="Cambria Math"/>
                <w:sz w:val="22"/>
                <w:szCs w:val="22"/>
              </w:rPr>
              <m:t>*</m:t>
            </m:r>
            <m:r>
              <w:rPr>
                <w:rFonts w:ascii="Cambria Math" w:hAnsi="Cambria Math" w:cs="Arial"/>
                <w:sz w:val="22"/>
                <w:szCs w:val="22"/>
              </w:rPr>
              <m:t>0.1507</m:t>
            </m:r>
          </m:e>
        </m:d>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176,787</m:t>
            </m:r>
            <m:r>
              <w:rPr>
                <w:rFonts w:ascii="Cambria Math" w:hAnsi="Cambria Math" w:cs="Cambria Math"/>
                <w:sz w:val="22"/>
                <w:szCs w:val="22"/>
              </w:rPr>
              <m:t>*</m:t>
            </m:r>
            <m:r>
              <w:rPr>
                <w:rFonts w:ascii="Cambria Math" w:hAnsi="Cambria Math" w:cs="Arial"/>
                <w:sz w:val="22"/>
                <w:szCs w:val="22"/>
              </w:rPr>
              <m:t>0.1550-105,924</m:t>
            </m:r>
            <m:r>
              <w:rPr>
                <w:rFonts w:ascii="Cambria Math" w:hAnsi="Cambria Math" w:cs="Cambria Math"/>
                <w:sz w:val="22"/>
                <w:szCs w:val="22"/>
              </w:rPr>
              <m:t>*</m:t>
            </m:r>
            <m:r>
              <w:rPr>
                <w:rFonts w:ascii="Cambria Math" w:hAnsi="Cambria Math" w:cs="Arial"/>
                <w:sz w:val="22"/>
                <w:szCs w:val="22"/>
              </w:rPr>
              <m:t>0.1550</m:t>
            </m:r>
          </m:e>
        </m:d>
        <m:r>
          <w:rPr>
            <w:rFonts w:ascii="Cambria Math" w:hAnsi="Cambria Math" w:cs="Arial"/>
            <w:sz w:val="22"/>
            <w:szCs w:val="22"/>
          </w:rPr>
          <m:t>+(149,092</m:t>
        </m:r>
        <m:r>
          <w:rPr>
            <w:rFonts w:ascii="Cambria Math" w:hAnsi="Cambria Math" w:cs="Cambria Math"/>
            <w:sz w:val="22"/>
            <w:szCs w:val="22"/>
          </w:rPr>
          <m:t>*</m:t>
        </m:r>
        <m:r>
          <w:rPr>
            <w:rFonts w:ascii="Cambria Math" w:hAnsi="Cambria Math" w:cs="Arial"/>
            <w:sz w:val="22"/>
            <w:szCs w:val="22"/>
          </w:rPr>
          <m:t>0.1135-86,367</m:t>
        </m:r>
        <m:r>
          <w:rPr>
            <w:rFonts w:ascii="Cambria Math" w:hAnsi="Cambria Math" w:cs="Cambria Math"/>
            <w:sz w:val="22"/>
            <w:szCs w:val="22"/>
          </w:rPr>
          <m:t>*</m:t>
        </m:r>
        <m:r>
          <w:rPr>
            <w:rFonts w:ascii="Cambria Math" w:hAnsi="Cambria Math" w:cs="Arial"/>
            <w:sz w:val="22"/>
            <w:szCs w:val="22"/>
          </w:rPr>
          <m:t>0.1135)</m:t>
        </m:r>
      </m:oMath>
      <w:r w:rsidR="00836BF1" w:rsidRPr="00D8220B">
        <w:rPr>
          <w:rFonts w:asciiTheme="minorHAnsi" w:hAnsiTheme="minorHAnsi" w:cs="Arial"/>
          <w:sz w:val="22"/>
          <w:szCs w:val="22"/>
        </w:rPr>
        <w:t xml:space="preserve"> </w:t>
      </w:r>
    </w:p>
    <w:p w:rsidR="00836BF1" w:rsidRPr="00D8220B" w:rsidRDefault="00C10029" w:rsidP="000344AB">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WES</m:t>
              </m:r>
            </m:e>
            <m:sub>
              <m:r>
                <w:rPr>
                  <w:rFonts w:ascii="Cambria Math" w:hAnsi="Cambria Math" w:cs="Arial"/>
                  <w:sz w:val="22"/>
                  <w:szCs w:val="22"/>
                </w:rPr>
                <m:t>EPr</m:t>
              </m:r>
            </m:sub>
          </m:sSub>
          <m:r>
            <w:rPr>
              <w:rFonts w:ascii="Cambria Math" w:hAnsi="Cambria Math" w:cs="Arial"/>
              <w:sz w:val="22"/>
              <w:szCs w:val="22"/>
            </w:rPr>
            <m:t>=110,602.5 kWH</m:t>
          </m:r>
        </m:oMath>
      </m:oMathPara>
    </w:p>
    <w:p w:rsidR="000344AB" w:rsidRPr="00D8220B" w:rsidRDefault="000344AB" w:rsidP="000344AB">
      <w:pPr>
        <w:ind w:left="720"/>
        <w:rPr>
          <w:rFonts w:asciiTheme="minorHAnsi" w:hAnsiTheme="minorHAnsi" w:cs="Arial"/>
          <w:sz w:val="22"/>
          <w:szCs w:val="22"/>
        </w:rPr>
      </w:pPr>
    </w:p>
    <w:p w:rsidR="000344AB" w:rsidRPr="00D8220B" w:rsidRDefault="000344AB" w:rsidP="000344AB">
      <w:pPr>
        <w:ind w:firstLine="720"/>
        <w:rPr>
          <w:rFonts w:asciiTheme="minorHAnsi" w:hAnsiTheme="minorHAnsi" w:cs="Arial"/>
          <w:sz w:val="22"/>
          <w:szCs w:val="22"/>
        </w:rPr>
      </w:pPr>
      <w:r w:rsidRPr="00D8220B">
        <w:rPr>
          <w:rFonts w:asciiTheme="minorHAnsi" w:hAnsiTheme="minorHAnsi" w:cs="Arial"/>
          <w:sz w:val="22"/>
          <w:szCs w:val="22"/>
        </w:rPr>
        <w:t>The normalized energy savings for primary schools (EPr) in climate zone 7 (CZ07) is:</w:t>
      </w:r>
    </w:p>
    <w:p w:rsidR="000344AB" w:rsidRPr="00D8220B" w:rsidRDefault="000344AB" w:rsidP="000344AB">
      <w:pPr>
        <w:ind w:left="720"/>
        <w:rPr>
          <w:rFonts w:asciiTheme="minorHAnsi" w:hAnsiTheme="minorHAnsi" w:cs="Arial"/>
          <w:sz w:val="22"/>
          <w:szCs w:val="22"/>
        </w:rPr>
      </w:pPr>
    </w:p>
    <w:p w:rsidR="00052561" w:rsidRPr="00D8220B" w:rsidRDefault="00C10029" w:rsidP="00836BF1">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NES</m:t>
              </m:r>
            </m:e>
            <m:sub>
              <m:r>
                <w:rPr>
                  <w:rFonts w:ascii="Cambria Math" w:hAnsi="Cambria Math" w:cs="Arial"/>
                  <w:sz w:val="22"/>
                  <w:szCs w:val="22"/>
                </w:rPr>
                <m:t>EPr</m:t>
              </m:r>
            </m:sub>
          </m:sSub>
          <m:r>
            <w:rPr>
              <w:rFonts w:ascii="Cambria Math" w:hAnsi="Cambria Math" w:cs="Arial"/>
              <w:sz w:val="22"/>
              <w:szCs w:val="22"/>
            </w:rPr>
            <m:t xml:space="preserve">= </m:t>
          </m:r>
          <m:f>
            <m:fPr>
              <m:type m:val="lin"/>
              <m:ctrlPr>
                <w:rPr>
                  <w:rFonts w:ascii="Cambria Math" w:hAnsi="Cambria Math" w:cs="Arial"/>
                  <w:i/>
                  <w:sz w:val="22"/>
                  <w:szCs w:val="22"/>
                </w:rPr>
              </m:ctrlPr>
            </m:fPr>
            <m:num>
              <m:r>
                <w:rPr>
                  <w:rFonts w:ascii="Cambria Math" w:hAnsi="Cambria Math" w:cs="Arial"/>
                  <w:sz w:val="22"/>
                  <w:szCs w:val="22"/>
                </w:rPr>
                <m:t>110,602.5</m:t>
              </m:r>
            </m:num>
            <m:den>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8,000</m:t>
                      </m:r>
                    </m:num>
                    <m:den>
                      <m:r>
                        <w:rPr>
                          <w:rFonts w:ascii="Cambria Math" w:hAnsi="Cambria Math" w:cs="Arial"/>
                          <w:sz w:val="22"/>
                          <w:szCs w:val="22"/>
                        </w:rPr>
                        <m:t>1,000</m:t>
                      </m:r>
                    </m:den>
                  </m:f>
                </m:e>
              </m:d>
            </m:den>
          </m:f>
        </m:oMath>
      </m:oMathPara>
    </w:p>
    <w:p w:rsidR="00052561" w:rsidRPr="00D8220B" w:rsidRDefault="00C10029" w:rsidP="00052561">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NES</m:t>
              </m:r>
            </m:e>
            <m:sub>
              <m:r>
                <w:rPr>
                  <w:rFonts w:ascii="Cambria Math" w:hAnsi="Cambria Math" w:cs="Arial"/>
                  <w:sz w:val="22"/>
                  <w:szCs w:val="22"/>
                </w:rPr>
                <m:t>EPr</m:t>
              </m:r>
            </m:sub>
          </m:sSub>
          <m:r>
            <w:rPr>
              <w:rFonts w:ascii="Cambria Math" w:hAnsi="Cambria Math" w:cs="Arial"/>
              <w:sz w:val="22"/>
              <w:szCs w:val="22"/>
            </w:rPr>
            <m:t xml:space="preserve">=2,212.1 </m:t>
          </m:r>
          <m:f>
            <m:fPr>
              <m:type m:val="skw"/>
              <m:ctrlPr>
                <w:rPr>
                  <w:rFonts w:ascii="Cambria Math" w:hAnsi="Cambria Math" w:cs="Arial"/>
                  <w:i/>
                  <w:sz w:val="22"/>
                  <w:szCs w:val="22"/>
                </w:rPr>
              </m:ctrlPr>
            </m:fPr>
            <m:num>
              <m:r>
                <w:rPr>
                  <w:rFonts w:ascii="Cambria Math" w:hAnsi="Cambria Math" w:cs="Arial"/>
                  <w:sz w:val="22"/>
                  <w:szCs w:val="22"/>
                </w:rPr>
                <m:t>kWh</m:t>
              </m:r>
            </m:num>
            <m:den>
              <m:r>
                <w:rPr>
                  <w:rFonts w:ascii="Cambria Math" w:hAnsi="Cambria Math" w:cs="Arial"/>
                  <w:sz w:val="22"/>
                  <w:szCs w:val="22"/>
                </w:rPr>
                <m:t>Area-1kFP</m:t>
              </m:r>
            </m:den>
          </m:f>
        </m:oMath>
      </m:oMathPara>
    </w:p>
    <w:p w:rsidR="000344AB" w:rsidRPr="00D8220B" w:rsidRDefault="000344AB" w:rsidP="00052561">
      <w:pPr>
        <w:ind w:left="720"/>
        <w:rPr>
          <w:rFonts w:asciiTheme="minorHAnsi" w:hAnsiTheme="minorHAnsi" w:cs="Arial"/>
          <w:sz w:val="22"/>
          <w:szCs w:val="22"/>
        </w:rPr>
      </w:pPr>
    </w:p>
    <w:p w:rsidR="000344AB" w:rsidRPr="00D8220B" w:rsidRDefault="000344AB" w:rsidP="000344AB">
      <w:pPr>
        <w:ind w:firstLine="720"/>
        <w:rPr>
          <w:rFonts w:asciiTheme="minorHAnsi" w:hAnsiTheme="minorHAnsi" w:cs="Arial"/>
          <w:sz w:val="22"/>
          <w:szCs w:val="22"/>
        </w:rPr>
      </w:pPr>
      <w:r w:rsidRPr="00D8220B">
        <w:rPr>
          <w:rFonts w:asciiTheme="minorHAnsi" w:hAnsiTheme="minorHAnsi" w:cs="Arial"/>
          <w:sz w:val="22"/>
          <w:szCs w:val="22"/>
        </w:rPr>
        <w:t>The energy savings for primary schools (EPr) in climate zone 7 (CZ07) is:</w:t>
      </w:r>
    </w:p>
    <w:p w:rsidR="000344AB" w:rsidRPr="00D8220B" w:rsidRDefault="000344AB" w:rsidP="00052561">
      <w:pPr>
        <w:ind w:left="720"/>
        <w:rPr>
          <w:rFonts w:asciiTheme="minorHAnsi" w:hAnsiTheme="minorHAnsi" w:cs="Arial"/>
          <w:sz w:val="22"/>
          <w:szCs w:val="22"/>
        </w:rPr>
      </w:pPr>
    </w:p>
    <w:p w:rsidR="00052561" w:rsidRPr="00D8220B" w:rsidRDefault="00C10029" w:rsidP="00052561">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ES</m:t>
              </m:r>
            </m:e>
            <m:sub>
              <m:r>
                <w:rPr>
                  <w:rFonts w:ascii="Cambria Math" w:hAnsi="Cambria Math" w:cs="Arial"/>
                  <w:sz w:val="22"/>
                  <w:szCs w:val="22"/>
                </w:rPr>
                <m:t>EPr</m:t>
              </m:r>
            </m:sub>
          </m:sSub>
          <m:r>
            <w:rPr>
              <w:rFonts w:ascii="Cambria Math" w:hAnsi="Cambria Math" w:cs="Arial"/>
              <w:sz w:val="22"/>
              <w:szCs w:val="22"/>
            </w:rPr>
            <m:t xml:space="preserve">   = 2,212.1*0.25</m:t>
          </m:r>
        </m:oMath>
      </m:oMathPara>
    </w:p>
    <w:p w:rsidR="00072F35" w:rsidRPr="00D8220B" w:rsidRDefault="00C10029" w:rsidP="00072F35">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ES</m:t>
              </m:r>
            </m:e>
            <m:sub>
              <m:r>
                <w:rPr>
                  <w:rFonts w:ascii="Cambria Math" w:hAnsi="Cambria Math" w:cs="Arial"/>
                  <w:sz w:val="22"/>
                  <w:szCs w:val="22"/>
                </w:rPr>
                <m:t xml:space="preserve">EPr    </m:t>
              </m:r>
            </m:sub>
          </m:sSub>
          <m:r>
            <w:rPr>
              <w:rFonts w:ascii="Cambria Math" w:hAnsi="Cambria Math" w:cs="Arial"/>
              <w:sz w:val="22"/>
              <w:szCs w:val="22"/>
            </w:rPr>
            <m:t xml:space="preserve">= 553.0 </m:t>
          </m:r>
          <m:f>
            <m:fPr>
              <m:type m:val="skw"/>
              <m:ctrlPr>
                <w:rPr>
                  <w:rFonts w:ascii="Cambria Math" w:hAnsi="Cambria Math" w:cs="Arial"/>
                  <w:i/>
                  <w:sz w:val="22"/>
                  <w:szCs w:val="22"/>
                </w:rPr>
              </m:ctrlPr>
            </m:fPr>
            <m:num>
              <m:r>
                <w:rPr>
                  <w:rFonts w:ascii="Cambria Math" w:hAnsi="Cambria Math" w:cs="Arial"/>
                  <w:sz w:val="22"/>
                  <w:szCs w:val="22"/>
                </w:rPr>
                <m:t>kWh</m:t>
              </m:r>
            </m:num>
            <m:den>
              <m:r>
                <w:rPr>
                  <w:rFonts w:ascii="Cambria Math" w:hAnsi="Cambria Math" w:cs="Arial"/>
                  <w:sz w:val="22"/>
                  <w:szCs w:val="22"/>
                </w:rPr>
                <m:t>Area-1kFP</m:t>
              </m:r>
            </m:den>
          </m:f>
        </m:oMath>
      </m:oMathPara>
    </w:p>
    <w:p w:rsidR="002160CA" w:rsidRPr="0066794C" w:rsidRDefault="002160CA" w:rsidP="0094610A">
      <w:pPr>
        <w:ind w:left="720" w:hanging="720"/>
        <w:rPr>
          <w:rFonts w:ascii="Arial" w:hAnsi="Arial" w:cs="Arial"/>
          <w:sz w:val="28"/>
          <w:szCs w:val="28"/>
        </w:rPr>
      </w:pPr>
    </w:p>
    <w:p w:rsidR="003F4FFF" w:rsidRPr="00D8220B" w:rsidRDefault="003F4FFF" w:rsidP="00BA548B">
      <w:pPr>
        <w:pStyle w:val="Heading2"/>
        <w:rPr>
          <w:rFonts w:asciiTheme="minorHAnsi" w:hAnsiTheme="minorHAnsi"/>
          <w:i w:val="0"/>
        </w:rPr>
      </w:pPr>
      <w:bookmarkStart w:id="51" w:name="_Toc404765883"/>
      <w:r w:rsidRPr="00D8220B">
        <w:rPr>
          <w:rFonts w:asciiTheme="minorHAnsi" w:hAnsiTheme="minorHAnsi"/>
          <w:i w:val="0"/>
        </w:rPr>
        <w:t>2.2. Demand Reduction Estimation Methodologies</w:t>
      </w:r>
      <w:bookmarkEnd w:id="51"/>
    </w:p>
    <w:p w:rsidR="007663E5" w:rsidRDefault="007663E5" w:rsidP="007663E5">
      <w:pPr>
        <w:rPr>
          <w:rFonts w:asciiTheme="minorHAnsi" w:hAnsiTheme="minorHAnsi" w:cs="Arial"/>
          <w:sz w:val="22"/>
          <w:szCs w:val="22"/>
        </w:rPr>
      </w:pPr>
      <w:r w:rsidRPr="00D8220B">
        <w:rPr>
          <w:rFonts w:asciiTheme="minorHAnsi" w:hAnsiTheme="minorHAnsi" w:cs="Arial"/>
          <w:sz w:val="22"/>
          <w:szCs w:val="22"/>
        </w:rPr>
        <w:t>The DEER 2014 database does not contain an updated measure for catalog measure DM-XX. The closest DEER measures are outdated and not eligible to be used in incentive calculations. Therefore, energy models were developed to estimate demand reduction.</w:t>
      </w:r>
      <w:r w:rsidRPr="00D8220B">
        <w:rPr>
          <w:rFonts w:asciiTheme="minorHAnsi" w:hAnsiTheme="minorHAnsi" w:cs="Arial"/>
          <w:sz w:val="22"/>
          <w:szCs w:val="22"/>
        </w:rPr>
        <w:br/>
      </w:r>
      <w:r w:rsidRPr="00D8220B">
        <w:rPr>
          <w:rFonts w:asciiTheme="minorHAnsi" w:hAnsiTheme="minorHAnsi" w:cs="Arial"/>
          <w:sz w:val="22"/>
          <w:szCs w:val="22"/>
        </w:rPr>
        <w:br/>
        <w:t>Demand reduction from installing PCTs was estimated by assuming that PCTs setback the HVAC systems during unoccupied periods. The building occupied hours were defined in the DEER prototypes. It was assumed that the system fans would turn off one hour after occupied hours were over, and turn back on one hour before occupied hours began. During unoccupied periods, the thermostats were estimated to be setback to the following schedule:</w:t>
      </w:r>
    </w:p>
    <w:p w:rsidR="00284436" w:rsidRDefault="00284436" w:rsidP="007663E5">
      <w:pPr>
        <w:rPr>
          <w:rFonts w:asciiTheme="minorHAnsi" w:hAnsiTheme="minorHAnsi" w:cs="Arial"/>
          <w:sz w:val="22"/>
          <w:szCs w:val="22"/>
        </w:rPr>
      </w:pPr>
    </w:p>
    <w:p w:rsidR="00284436" w:rsidRPr="00D8220B" w:rsidRDefault="00284436" w:rsidP="007663E5">
      <w:pPr>
        <w:rPr>
          <w:rFonts w:asciiTheme="minorHAnsi" w:hAnsiTheme="minorHAnsi" w:cs="Arial"/>
          <w:sz w:val="22"/>
          <w:szCs w:val="22"/>
        </w:rPr>
      </w:pPr>
    </w:p>
    <w:p w:rsidR="00B9722E" w:rsidRPr="00451245" w:rsidRDefault="00284436" w:rsidP="00B9722E">
      <w:pPr>
        <w:pStyle w:val="Caption"/>
        <w:jc w:val="center"/>
        <w:rPr>
          <w:rFonts w:asciiTheme="minorHAnsi" w:hAnsiTheme="minorHAnsi" w:cs="Arial"/>
          <w:sz w:val="22"/>
          <w:szCs w:val="22"/>
        </w:rPr>
      </w:pPr>
      <w:r w:rsidRPr="00451245">
        <w:rPr>
          <w:rFonts w:asciiTheme="minorHAnsi" w:hAnsiTheme="minorHAnsi" w:cs="Arial"/>
          <w:sz w:val="22"/>
          <w:szCs w:val="22"/>
        </w:rPr>
        <w:lastRenderedPageBreak/>
        <w:t xml:space="preserve">Table </w:t>
      </w:r>
      <w:r>
        <w:rPr>
          <w:rFonts w:asciiTheme="minorHAnsi" w:hAnsiTheme="minorHAnsi" w:cs="Arial"/>
          <w:sz w:val="22"/>
          <w:szCs w:val="22"/>
        </w:rPr>
        <w:t>15</w:t>
      </w:r>
      <w:r w:rsidRPr="00451245">
        <w:rPr>
          <w:rFonts w:asciiTheme="minorHAnsi" w:hAnsiTheme="minorHAnsi" w:cs="Arial"/>
          <w:sz w:val="22"/>
          <w:szCs w:val="22"/>
        </w:rPr>
        <w:t xml:space="preserve"> </w:t>
      </w:r>
      <w:r w:rsidR="00B9722E">
        <w:rPr>
          <w:rFonts w:asciiTheme="minorHAnsi" w:hAnsiTheme="minorHAnsi" w:cs="Arial"/>
          <w:b w:val="0"/>
          <w:sz w:val="22"/>
          <w:szCs w:val="22"/>
        </w:rPr>
        <w:t>Thermostat Setback Schedule</w:t>
      </w:r>
      <w:r w:rsidR="00B9722E" w:rsidRPr="00451245">
        <w:rPr>
          <w:rFonts w:asciiTheme="minorHAnsi" w:hAnsiTheme="minorHAnsi" w:cs="Arial"/>
          <w:sz w:val="22"/>
          <w:szCs w:val="22"/>
        </w:rPr>
        <w:fldChar w:fldCharType="begin"/>
      </w:r>
      <w:r w:rsidR="00B9722E" w:rsidRPr="00451245">
        <w:rPr>
          <w:rFonts w:asciiTheme="minorHAnsi" w:hAnsiTheme="minorHAnsi"/>
          <w:sz w:val="22"/>
          <w:szCs w:val="22"/>
        </w:rPr>
        <w:instrText xml:space="preserve"> TC "</w:instrText>
      </w:r>
      <w:r w:rsidR="00B9722E" w:rsidRPr="00451245">
        <w:rPr>
          <w:rFonts w:asciiTheme="minorHAnsi" w:hAnsiTheme="minorHAnsi" w:cs="Arial"/>
          <w:sz w:val="22"/>
          <w:szCs w:val="22"/>
        </w:rPr>
        <w:instrText>Table 3: TOU Adjustment Factors</w:instrText>
      </w:r>
      <w:r w:rsidR="00B9722E" w:rsidRPr="00451245">
        <w:rPr>
          <w:rFonts w:asciiTheme="minorHAnsi" w:hAnsiTheme="minorHAnsi"/>
          <w:sz w:val="22"/>
          <w:szCs w:val="22"/>
        </w:rPr>
        <w:instrText xml:space="preserve">" \f C \l "1" </w:instrText>
      </w:r>
      <w:r w:rsidR="00B9722E" w:rsidRPr="00451245">
        <w:rPr>
          <w:rFonts w:asciiTheme="minorHAnsi" w:hAnsiTheme="minorHAnsi" w:cs="Arial"/>
          <w:sz w:val="22"/>
          <w:szCs w:val="22"/>
        </w:rPr>
        <w:fldChar w:fldCharType="end"/>
      </w:r>
    </w:p>
    <w:tbl>
      <w:tblPr>
        <w:tblStyle w:val="TableGrid"/>
        <w:tblW w:w="0" w:type="auto"/>
        <w:jc w:val="center"/>
        <w:tblLook w:val="04A0" w:firstRow="1" w:lastRow="0" w:firstColumn="1" w:lastColumn="0" w:noHBand="0" w:noVBand="1"/>
      </w:tblPr>
      <w:tblGrid>
        <w:gridCol w:w="1311"/>
        <w:gridCol w:w="902"/>
      </w:tblGrid>
      <w:tr w:rsidR="007663E5" w:rsidRPr="00414A5B" w:rsidTr="00D8220B">
        <w:trPr>
          <w:trHeight w:val="503"/>
          <w:jc w:val="center"/>
        </w:trPr>
        <w:tc>
          <w:tcPr>
            <w:tcW w:w="0" w:type="auto"/>
            <w:gridSpan w:val="2"/>
            <w:tcBorders>
              <w:bottom w:val="single" w:sz="4" w:space="0" w:color="auto"/>
            </w:tcBorders>
            <w:shd w:val="clear" w:color="auto" w:fill="D9D9D9" w:themeFill="background1" w:themeFillShade="D9"/>
            <w:vAlign w:val="center"/>
          </w:tcPr>
          <w:p w:rsidR="007663E5" w:rsidRPr="00D8220B" w:rsidRDefault="007663E5" w:rsidP="007663E5">
            <w:pPr>
              <w:jc w:val="center"/>
              <w:rPr>
                <w:rFonts w:asciiTheme="minorHAnsi" w:hAnsiTheme="minorHAnsi" w:cs="Arial"/>
                <w:b/>
                <w:sz w:val="22"/>
                <w:szCs w:val="22"/>
              </w:rPr>
            </w:pPr>
            <w:r w:rsidRPr="00D8220B">
              <w:rPr>
                <w:rFonts w:asciiTheme="minorHAnsi" w:hAnsiTheme="minorHAnsi" w:cs="Arial"/>
                <w:b/>
                <w:sz w:val="22"/>
                <w:szCs w:val="22"/>
              </w:rPr>
              <w:t>Unoccupied Setpoints</w:t>
            </w:r>
          </w:p>
        </w:tc>
      </w:tr>
      <w:tr w:rsidR="007663E5" w:rsidRPr="00414A5B" w:rsidTr="00D8220B">
        <w:trPr>
          <w:trHeight w:val="332"/>
          <w:jc w:val="center"/>
        </w:trPr>
        <w:tc>
          <w:tcPr>
            <w:tcW w:w="0" w:type="auto"/>
            <w:shd w:val="clear" w:color="auto" w:fill="F2F2F2" w:themeFill="background1" w:themeFillShade="F2"/>
            <w:vAlign w:val="center"/>
          </w:tcPr>
          <w:p w:rsidR="007663E5" w:rsidRPr="00D8220B" w:rsidRDefault="007663E5" w:rsidP="007663E5">
            <w:pPr>
              <w:jc w:val="center"/>
              <w:rPr>
                <w:rFonts w:asciiTheme="minorHAnsi" w:hAnsiTheme="minorHAnsi" w:cs="Arial"/>
                <w:sz w:val="22"/>
                <w:szCs w:val="22"/>
              </w:rPr>
            </w:pPr>
            <w:r w:rsidRPr="00D8220B">
              <w:rPr>
                <w:rFonts w:asciiTheme="minorHAnsi" w:hAnsiTheme="minorHAnsi" w:cs="Arial"/>
                <w:sz w:val="22"/>
                <w:szCs w:val="22"/>
              </w:rPr>
              <w:t>Heating</w:t>
            </w:r>
          </w:p>
        </w:tc>
        <w:tc>
          <w:tcPr>
            <w:tcW w:w="0" w:type="auto"/>
            <w:shd w:val="clear" w:color="auto" w:fill="F2F2F2" w:themeFill="background1" w:themeFillShade="F2"/>
            <w:vAlign w:val="center"/>
          </w:tcPr>
          <w:p w:rsidR="007663E5" w:rsidRPr="00D8220B" w:rsidRDefault="007663E5" w:rsidP="007663E5">
            <w:pPr>
              <w:jc w:val="center"/>
              <w:rPr>
                <w:rFonts w:asciiTheme="minorHAnsi" w:hAnsiTheme="minorHAnsi" w:cs="Arial"/>
                <w:sz w:val="22"/>
                <w:szCs w:val="22"/>
              </w:rPr>
            </w:pPr>
            <w:r w:rsidRPr="00D8220B">
              <w:rPr>
                <w:rFonts w:asciiTheme="minorHAnsi" w:hAnsiTheme="minorHAnsi" w:cs="Arial"/>
                <w:sz w:val="22"/>
                <w:szCs w:val="22"/>
              </w:rPr>
              <w:t>55⁰F</w:t>
            </w:r>
          </w:p>
        </w:tc>
      </w:tr>
      <w:tr w:rsidR="007663E5" w:rsidRPr="00414A5B" w:rsidTr="007663E5">
        <w:trPr>
          <w:trHeight w:val="350"/>
          <w:jc w:val="center"/>
        </w:trPr>
        <w:tc>
          <w:tcPr>
            <w:tcW w:w="0" w:type="auto"/>
            <w:vAlign w:val="center"/>
          </w:tcPr>
          <w:p w:rsidR="007663E5" w:rsidRPr="00D8220B" w:rsidRDefault="007663E5" w:rsidP="007663E5">
            <w:pPr>
              <w:jc w:val="center"/>
              <w:rPr>
                <w:rFonts w:asciiTheme="minorHAnsi" w:hAnsiTheme="minorHAnsi" w:cs="Arial"/>
                <w:sz w:val="22"/>
                <w:szCs w:val="22"/>
              </w:rPr>
            </w:pPr>
            <w:r w:rsidRPr="00D8220B">
              <w:rPr>
                <w:rFonts w:asciiTheme="minorHAnsi" w:hAnsiTheme="minorHAnsi" w:cs="Arial"/>
                <w:sz w:val="22"/>
                <w:szCs w:val="22"/>
              </w:rPr>
              <w:t>Cooling</w:t>
            </w:r>
          </w:p>
        </w:tc>
        <w:tc>
          <w:tcPr>
            <w:tcW w:w="0" w:type="auto"/>
            <w:vAlign w:val="center"/>
          </w:tcPr>
          <w:p w:rsidR="007663E5" w:rsidRPr="00D8220B" w:rsidRDefault="007663E5" w:rsidP="007663E5">
            <w:pPr>
              <w:jc w:val="center"/>
              <w:rPr>
                <w:rFonts w:asciiTheme="minorHAnsi" w:hAnsiTheme="minorHAnsi" w:cs="Arial"/>
                <w:sz w:val="22"/>
                <w:szCs w:val="22"/>
              </w:rPr>
            </w:pPr>
            <w:r w:rsidRPr="00D8220B">
              <w:rPr>
                <w:rFonts w:asciiTheme="minorHAnsi" w:hAnsiTheme="minorHAnsi" w:cs="Arial"/>
                <w:sz w:val="22"/>
                <w:szCs w:val="22"/>
              </w:rPr>
              <w:t>85⁰F</w:t>
            </w:r>
          </w:p>
        </w:tc>
      </w:tr>
    </w:tbl>
    <w:p w:rsidR="007663E5" w:rsidRDefault="007663E5" w:rsidP="007663E5">
      <w:pPr>
        <w:rPr>
          <w:rFonts w:ascii="Arial" w:hAnsi="Arial" w:cs="Arial"/>
          <w:sz w:val="22"/>
          <w:szCs w:val="22"/>
        </w:rPr>
      </w:pP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 xml:space="preserve">The savings for this measure result from scheduling the PCTs to setback the heating and cooling setpoints during unoccupied periods. </w:t>
      </w:r>
      <w:r w:rsidRPr="00D8220B">
        <w:rPr>
          <w:rFonts w:asciiTheme="minorHAnsi" w:hAnsiTheme="minorHAnsi" w:cs="Arial"/>
          <w:sz w:val="22"/>
          <w:szCs w:val="22"/>
        </w:rPr>
        <w:br/>
      </w: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Demand reduction for each building type is comprised of the weighted average demand reduction from each building vintage. Demand reduction from each building vintage was averaged using DEER 2013-14 population weights</w:t>
      </w:r>
      <w:r w:rsidR="00227654" w:rsidRPr="00D8220B">
        <w:rPr>
          <w:rFonts w:asciiTheme="minorHAnsi" w:hAnsiTheme="minorHAnsi"/>
          <w:sz w:val="22"/>
          <w:szCs w:val="22"/>
        </w:rPr>
        <w:fldChar w:fldCharType="begin"/>
      </w:r>
      <w:r w:rsidR="00227654" w:rsidRPr="00D8220B">
        <w:rPr>
          <w:rFonts w:asciiTheme="minorHAnsi" w:hAnsiTheme="minorHAnsi"/>
          <w:sz w:val="22"/>
          <w:szCs w:val="22"/>
        </w:rPr>
        <w:instrText xml:space="preserve"> NOTEREF _Ref404264251 \h  \* MERGEFORMAT </w:instrText>
      </w:r>
      <w:r w:rsidR="00227654" w:rsidRPr="00D8220B">
        <w:rPr>
          <w:rFonts w:asciiTheme="minorHAnsi" w:hAnsiTheme="minorHAnsi"/>
          <w:sz w:val="22"/>
          <w:szCs w:val="22"/>
        </w:rPr>
      </w:r>
      <w:r w:rsidR="00227654" w:rsidRPr="00D8220B">
        <w:rPr>
          <w:rFonts w:asciiTheme="minorHAnsi" w:hAnsiTheme="minorHAnsi"/>
          <w:sz w:val="22"/>
          <w:szCs w:val="22"/>
        </w:rPr>
        <w:fldChar w:fldCharType="separate"/>
      </w:r>
      <w:r w:rsidR="00072F35" w:rsidRPr="00D8220B">
        <w:rPr>
          <w:rFonts w:asciiTheme="minorHAnsi" w:hAnsiTheme="minorHAnsi" w:cs="Arial"/>
          <w:sz w:val="22"/>
          <w:szCs w:val="22"/>
          <w:vertAlign w:val="superscript"/>
        </w:rPr>
        <w:t>10</w:t>
      </w:r>
      <w:r w:rsidR="00227654" w:rsidRPr="00D8220B">
        <w:rPr>
          <w:rFonts w:asciiTheme="minorHAnsi" w:hAnsiTheme="minorHAnsi"/>
          <w:sz w:val="22"/>
          <w:szCs w:val="22"/>
        </w:rPr>
        <w:fldChar w:fldCharType="end"/>
      </w:r>
      <w:r w:rsidRPr="00D8220B">
        <w:rPr>
          <w:rFonts w:asciiTheme="minorHAnsi" w:hAnsiTheme="minorHAnsi" w:cs="Arial"/>
          <w:sz w:val="22"/>
          <w:szCs w:val="22"/>
        </w:rPr>
        <w:t xml:space="preserve"> to get the demand reduction for each building type.</w:t>
      </w:r>
    </w:p>
    <w:p w:rsidR="007663E5" w:rsidRPr="00D8220B" w:rsidRDefault="007663E5" w:rsidP="007663E5">
      <w:pPr>
        <w:rPr>
          <w:rFonts w:asciiTheme="minorHAnsi" w:hAnsiTheme="minorHAnsi" w:cs="Arial"/>
          <w:sz w:val="22"/>
          <w:szCs w:val="22"/>
        </w:rPr>
      </w:pP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Based on the CPUC Workpaper Disposition for Non-Residential HVAC Rooftop Quality Maintenance</w:t>
      </w:r>
      <w:r w:rsidR="00227654" w:rsidRPr="00D8220B">
        <w:rPr>
          <w:rFonts w:asciiTheme="minorHAnsi" w:hAnsiTheme="minorHAnsi"/>
          <w:sz w:val="22"/>
          <w:szCs w:val="22"/>
        </w:rPr>
        <w:fldChar w:fldCharType="begin"/>
      </w:r>
      <w:r w:rsidR="00227654" w:rsidRPr="00D8220B">
        <w:rPr>
          <w:rFonts w:asciiTheme="minorHAnsi" w:hAnsiTheme="minorHAnsi"/>
          <w:sz w:val="22"/>
          <w:szCs w:val="22"/>
        </w:rPr>
        <w:instrText xml:space="preserve"> NOTEREF _Ref404599497 \h  \* MERGEFORMAT </w:instrText>
      </w:r>
      <w:r w:rsidR="00227654" w:rsidRPr="00D8220B">
        <w:rPr>
          <w:rFonts w:asciiTheme="minorHAnsi" w:hAnsiTheme="minorHAnsi"/>
          <w:sz w:val="22"/>
          <w:szCs w:val="22"/>
        </w:rPr>
      </w:r>
      <w:r w:rsidR="00227654" w:rsidRPr="00D8220B">
        <w:rPr>
          <w:rFonts w:asciiTheme="minorHAnsi" w:hAnsiTheme="minorHAnsi"/>
          <w:sz w:val="22"/>
          <w:szCs w:val="22"/>
        </w:rPr>
        <w:fldChar w:fldCharType="separate"/>
      </w:r>
      <w:r w:rsidRPr="00D8220B">
        <w:rPr>
          <w:rFonts w:asciiTheme="minorHAnsi" w:hAnsiTheme="minorHAnsi"/>
          <w:sz w:val="22"/>
          <w:szCs w:val="22"/>
        </w:rPr>
        <w:t>4</w:t>
      </w:r>
      <w:r w:rsidR="00227654" w:rsidRPr="00D8220B">
        <w:rPr>
          <w:rFonts w:asciiTheme="minorHAnsi" w:hAnsiTheme="minorHAnsi"/>
          <w:sz w:val="22"/>
          <w:szCs w:val="22"/>
        </w:rPr>
        <w:fldChar w:fldCharType="end"/>
      </w:r>
      <w:r w:rsidRPr="00D8220B">
        <w:rPr>
          <w:rFonts w:asciiTheme="minorHAnsi" w:hAnsiTheme="minorHAnsi" w:cs="Arial"/>
          <w:sz w:val="22"/>
          <w:szCs w:val="22"/>
        </w:rPr>
        <w:t>, the CPUC has found the previous savings estimates for this measure to be overly optimistic. The disposition noted that, among other things, this measure does not account for overriding time clock operation, or for facilities that require continuous space conditioning. Therefore, a gross savings adjustment (GSA) multiplier of 25% must be applied to the demand reduction for this measure, to account for non-ideal installations.</w:t>
      </w:r>
    </w:p>
    <w:p w:rsidR="007663E5" w:rsidRPr="00D8220B" w:rsidRDefault="007663E5" w:rsidP="007663E5">
      <w:pPr>
        <w:rPr>
          <w:rFonts w:asciiTheme="minorHAnsi" w:hAnsiTheme="minorHAnsi" w:cs="Arial"/>
          <w:sz w:val="22"/>
          <w:szCs w:val="22"/>
        </w:rPr>
      </w:pP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The demand is normalized to kW per 1,000 square feet (kFP) by dividing by the square footage of each building.</w:t>
      </w:r>
    </w:p>
    <w:p w:rsidR="007663E5" w:rsidRDefault="007663E5" w:rsidP="007663E5">
      <w:pPr>
        <w:rPr>
          <w:rFonts w:ascii="Arial" w:hAnsi="Arial" w:cs="Arial"/>
          <w:sz w:val="22"/>
          <w:szCs w:val="22"/>
        </w:rPr>
      </w:pPr>
    </w:p>
    <w:p w:rsidR="007663E5" w:rsidRPr="00D8220B" w:rsidRDefault="007663E5" w:rsidP="007663E5">
      <w:pPr>
        <w:rPr>
          <w:rFonts w:asciiTheme="minorHAnsi" w:hAnsiTheme="minorHAnsi" w:cs="Arial"/>
          <w:b/>
          <w:sz w:val="22"/>
          <w:szCs w:val="22"/>
        </w:rPr>
      </w:pPr>
      <w:r w:rsidRPr="00D8220B">
        <w:rPr>
          <w:rFonts w:asciiTheme="minorHAnsi" w:hAnsiTheme="minorHAnsi" w:cs="Arial"/>
          <w:b/>
          <w:sz w:val="22"/>
          <w:szCs w:val="22"/>
        </w:rPr>
        <w:t>∆kW per Area-1kFP for DM-XX:</w:t>
      </w:r>
      <w:r w:rsidRPr="00D8220B" w:rsidDel="00CF3FF0">
        <w:rPr>
          <w:rFonts w:asciiTheme="minorHAnsi" w:hAnsiTheme="minorHAnsi" w:cs="Arial"/>
          <w:b/>
          <w:sz w:val="22"/>
          <w:szCs w:val="22"/>
        </w:rPr>
        <w:t xml:space="preserve"> </w:t>
      </w: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The demand reduction (kW per Area-1kFP) for measure DM-XX is calculated from energy modeling results. The modeling results provide demand reduction for four building vintages (1975-2003) for each building type in each climate zone. The demand for each building type in each climate zone was estimated by taking the weighted demand reduction from each building vintage as shown in the formula below:</w:t>
      </w:r>
    </w:p>
    <w:p w:rsidR="007663E5" w:rsidRPr="00D8220B" w:rsidRDefault="007663E5" w:rsidP="007663E5">
      <w:pPr>
        <w:rPr>
          <w:rFonts w:asciiTheme="minorHAnsi" w:hAnsiTheme="minorHAnsi" w:cs="Arial"/>
          <w:sz w:val="22"/>
          <w:szCs w:val="22"/>
        </w:rPr>
      </w:pPr>
    </w:p>
    <w:p w:rsidR="007663E5" w:rsidRPr="00D8220B" w:rsidRDefault="00C10029" w:rsidP="007663E5">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WDR</m:t>
              </m:r>
            </m:e>
            <m:sub>
              <m:r>
                <w:rPr>
                  <w:rFonts w:ascii="Cambria Math" w:hAnsi="Cambria Math" w:cs="Arial"/>
                  <w:sz w:val="22"/>
                  <w:szCs w:val="22"/>
                </w:rPr>
                <m:t>BT</m:t>
              </m:r>
            </m:sub>
          </m:sSub>
          <m:r>
            <w:rPr>
              <w:rFonts w:ascii="Cambria Math" w:hAnsi="Cambria Math" w:cs="Arial"/>
              <w:sz w:val="22"/>
              <w:szCs w:val="22"/>
            </w:rPr>
            <m:t xml:space="preserve">= </m:t>
          </m:r>
          <m:nary>
            <m:naryPr>
              <m:chr m:val="∑"/>
              <m:limLoc m:val="undOvr"/>
              <m:subHide m:val="1"/>
              <m:supHide m:val="1"/>
              <m:ctrlPr>
                <w:rPr>
                  <w:rFonts w:ascii="Cambria Math" w:hAnsi="Cambria Math" w:cs="Arial"/>
                  <w:i/>
                  <w:sz w:val="22"/>
                  <w:szCs w:val="22"/>
                </w:rPr>
              </m:ctrlPr>
            </m:naryPr>
            <m:sub/>
            <m:sup/>
            <m:e>
              <m:sSub>
                <m:sSubPr>
                  <m:ctrlPr>
                    <w:rPr>
                      <w:rFonts w:ascii="Cambria Math" w:hAnsi="Cambria Math" w:cs="Arial"/>
                      <w:i/>
                      <w:sz w:val="22"/>
                      <w:szCs w:val="22"/>
                    </w:rPr>
                  </m:ctrlPr>
                </m:sSubPr>
                <m:e>
                  <m:r>
                    <w:rPr>
                      <w:rFonts w:ascii="Cambria Math" w:hAnsi="Cambria Math" w:cs="Arial"/>
                      <w:sz w:val="22"/>
                      <w:szCs w:val="22"/>
                    </w:rPr>
                    <m:t>BD</m:t>
                  </m:r>
                </m:e>
                <m:sub>
                  <m:r>
                    <w:rPr>
                      <w:rFonts w:ascii="Cambria Math" w:hAnsi="Cambria Math" w:cs="Arial"/>
                      <w:sz w:val="22"/>
                      <w:szCs w:val="22"/>
                    </w:rPr>
                    <m:t>BV</m:t>
                  </m:r>
                </m:sub>
              </m:sSub>
            </m:e>
          </m:nary>
          <m:r>
            <w:rPr>
              <w:rFonts w:ascii="Cambria Math" w:hAnsi="Cambria Math" w:cs="Cambria Math"/>
              <w:sz w:val="22"/>
              <w:szCs w:val="22"/>
            </w:rPr>
            <m:t>*</m:t>
          </m:r>
          <m:sSub>
            <m:sSubPr>
              <m:ctrlPr>
                <w:rPr>
                  <w:rFonts w:ascii="Cambria Math" w:hAnsi="Cambria Math" w:cs="Arial"/>
                  <w:i/>
                  <w:sz w:val="22"/>
                  <w:szCs w:val="22"/>
                </w:rPr>
              </m:ctrlPr>
            </m:sSubPr>
            <m:e>
              <m:r>
                <w:rPr>
                  <w:rFonts w:ascii="Cambria Math" w:hAnsi="Cambria Math" w:cs="Arial"/>
                  <w:sz w:val="22"/>
                  <w:szCs w:val="22"/>
                </w:rPr>
                <m:t>WF</m:t>
              </m:r>
            </m:e>
            <m:sub>
              <m:r>
                <w:rPr>
                  <w:rFonts w:ascii="Cambria Math" w:hAnsi="Cambria Math" w:cs="Arial"/>
                  <w:sz w:val="22"/>
                  <w:szCs w:val="22"/>
                </w:rPr>
                <m:t>BV</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PD</m:t>
              </m:r>
            </m:e>
            <m:sub>
              <m:r>
                <w:rPr>
                  <w:rFonts w:ascii="Cambria Math" w:hAnsi="Cambria Math" w:cs="Arial"/>
                  <w:sz w:val="22"/>
                  <w:szCs w:val="22"/>
                </w:rPr>
                <m:t>BV</m:t>
              </m:r>
            </m:sub>
          </m:sSub>
          <m:r>
            <w:rPr>
              <w:rFonts w:ascii="Cambria Math" w:hAnsi="Cambria Math" w:cs="Cambria Math"/>
              <w:sz w:val="22"/>
              <w:szCs w:val="22"/>
            </w:rPr>
            <m:t>*</m:t>
          </m:r>
          <m:sSub>
            <m:sSubPr>
              <m:ctrlPr>
                <w:rPr>
                  <w:rFonts w:ascii="Cambria Math" w:hAnsi="Cambria Math" w:cs="Arial"/>
                  <w:i/>
                  <w:sz w:val="22"/>
                  <w:szCs w:val="22"/>
                </w:rPr>
              </m:ctrlPr>
            </m:sSubPr>
            <m:e>
              <m:r>
                <w:rPr>
                  <w:rFonts w:ascii="Cambria Math" w:hAnsi="Cambria Math" w:cs="Arial"/>
                  <w:sz w:val="22"/>
                  <w:szCs w:val="22"/>
                </w:rPr>
                <m:t>WF</m:t>
              </m:r>
            </m:e>
            <m:sub>
              <m:r>
                <w:rPr>
                  <w:rFonts w:ascii="Cambria Math" w:hAnsi="Cambria Math" w:cs="Arial"/>
                  <w:sz w:val="22"/>
                  <w:szCs w:val="22"/>
                </w:rPr>
                <m:t>BV</m:t>
              </m:r>
            </m:sub>
          </m:sSub>
        </m:oMath>
      </m:oMathPara>
    </w:p>
    <w:p w:rsidR="007663E5" w:rsidRPr="00D8220B" w:rsidRDefault="007663E5" w:rsidP="007663E5">
      <w:pPr>
        <w:rPr>
          <w:rFonts w:asciiTheme="minorHAnsi" w:hAnsiTheme="minorHAnsi" w:cs="Arial"/>
          <w:sz w:val="22"/>
          <w:szCs w:val="22"/>
        </w:rPr>
      </w:pP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Where,</w:t>
      </w: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ab/>
        <w:t>W</w:t>
      </w:r>
      <w:r w:rsidR="008822AE" w:rsidRPr="00D8220B">
        <w:rPr>
          <w:rFonts w:asciiTheme="minorHAnsi" w:hAnsiTheme="minorHAnsi" w:cs="Arial"/>
          <w:sz w:val="22"/>
          <w:szCs w:val="22"/>
        </w:rPr>
        <w:t>DR</w:t>
      </w:r>
      <w:r w:rsidRPr="00D8220B">
        <w:rPr>
          <w:rFonts w:asciiTheme="minorHAnsi" w:hAnsiTheme="minorHAnsi" w:cs="Arial"/>
          <w:sz w:val="22"/>
          <w:szCs w:val="22"/>
          <w:vertAlign w:val="subscript"/>
        </w:rPr>
        <w:t>BT</w:t>
      </w:r>
      <w:r w:rsidR="00072F35" w:rsidRPr="00D8220B">
        <w:rPr>
          <w:rFonts w:asciiTheme="minorHAnsi" w:hAnsiTheme="minorHAnsi" w:cs="Arial"/>
          <w:sz w:val="22"/>
          <w:szCs w:val="22"/>
        </w:rPr>
        <w:tab/>
        <w:t>= weighted</w:t>
      </w:r>
      <w:r w:rsidRPr="00D8220B">
        <w:rPr>
          <w:rFonts w:asciiTheme="minorHAnsi" w:hAnsiTheme="minorHAnsi" w:cs="Arial"/>
          <w:sz w:val="22"/>
          <w:szCs w:val="22"/>
        </w:rPr>
        <w:t xml:space="preserve"> </w:t>
      </w:r>
      <w:r w:rsidR="008822AE" w:rsidRPr="00D8220B">
        <w:rPr>
          <w:rFonts w:asciiTheme="minorHAnsi" w:hAnsiTheme="minorHAnsi" w:cs="Arial"/>
          <w:sz w:val="22"/>
          <w:szCs w:val="22"/>
        </w:rPr>
        <w:t xml:space="preserve">demand reduction </w:t>
      </w:r>
      <w:r w:rsidRPr="00D8220B">
        <w:rPr>
          <w:rFonts w:asciiTheme="minorHAnsi" w:hAnsiTheme="minorHAnsi" w:cs="Arial"/>
          <w:sz w:val="22"/>
          <w:szCs w:val="22"/>
        </w:rPr>
        <w:t xml:space="preserve">per building type, </w:t>
      </w:r>
      <w:r w:rsidR="008822AE" w:rsidRPr="00D8220B">
        <w:rPr>
          <w:rFonts w:asciiTheme="minorHAnsi" w:hAnsiTheme="minorHAnsi" w:cs="Arial"/>
          <w:sz w:val="22"/>
          <w:szCs w:val="22"/>
        </w:rPr>
        <w:t>kW</w:t>
      </w:r>
    </w:p>
    <w:p w:rsidR="007663E5" w:rsidRPr="00D8220B" w:rsidRDefault="008822AE" w:rsidP="007663E5">
      <w:pPr>
        <w:ind w:firstLine="720"/>
        <w:rPr>
          <w:rFonts w:asciiTheme="minorHAnsi" w:hAnsiTheme="minorHAnsi" w:cs="Arial"/>
          <w:sz w:val="22"/>
          <w:szCs w:val="22"/>
        </w:rPr>
      </w:pPr>
      <w:r w:rsidRPr="00D8220B">
        <w:rPr>
          <w:rFonts w:asciiTheme="minorHAnsi" w:hAnsiTheme="minorHAnsi" w:cs="Arial"/>
          <w:sz w:val="22"/>
          <w:szCs w:val="22"/>
        </w:rPr>
        <w:t>BD</w:t>
      </w:r>
      <w:r w:rsidR="007663E5" w:rsidRPr="00D8220B">
        <w:rPr>
          <w:rFonts w:asciiTheme="minorHAnsi" w:hAnsiTheme="minorHAnsi" w:cs="Arial"/>
          <w:sz w:val="22"/>
          <w:szCs w:val="22"/>
          <w:vertAlign w:val="subscript"/>
        </w:rPr>
        <w:t>BV</w:t>
      </w:r>
      <w:r w:rsidRPr="00D8220B">
        <w:rPr>
          <w:rFonts w:asciiTheme="minorHAnsi" w:hAnsiTheme="minorHAnsi" w:cs="Arial"/>
          <w:sz w:val="22"/>
          <w:szCs w:val="22"/>
        </w:rPr>
        <w:tab/>
        <w:t>= baseline demand</w:t>
      </w:r>
      <w:r w:rsidR="007663E5" w:rsidRPr="00D8220B">
        <w:rPr>
          <w:rFonts w:asciiTheme="minorHAnsi" w:hAnsiTheme="minorHAnsi" w:cs="Arial"/>
          <w:sz w:val="22"/>
          <w:szCs w:val="22"/>
        </w:rPr>
        <w:t xml:space="preserve"> per building vintage, </w:t>
      </w:r>
      <w:r w:rsidRPr="00D8220B">
        <w:rPr>
          <w:rFonts w:asciiTheme="minorHAnsi" w:hAnsiTheme="minorHAnsi" w:cs="Arial"/>
          <w:sz w:val="22"/>
          <w:szCs w:val="22"/>
        </w:rPr>
        <w:t>kW</w:t>
      </w:r>
      <w:r w:rsidR="007663E5" w:rsidRPr="00D8220B">
        <w:rPr>
          <w:rFonts w:asciiTheme="minorHAnsi" w:hAnsiTheme="minorHAnsi" w:cs="Arial"/>
          <w:sz w:val="22"/>
          <w:szCs w:val="22"/>
        </w:rPr>
        <w:tab/>
      </w:r>
    </w:p>
    <w:p w:rsidR="007663E5" w:rsidRPr="00D8220B" w:rsidRDefault="008822AE" w:rsidP="007663E5">
      <w:pPr>
        <w:ind w:firstLine="720"/>
        <w:rPr>
          <w:rFonts w:asciiTheme="minorHAnsi" w:hAnsiTheme="minorHAnsi" w:cs="Arial"/>
          <w:sz w:val="22"/>
          <w:szCs w:val="22"/>
        </w:rPr>
      </w:pPr>
      <w:r w:rsidRPr="00D8220B">
        <w:rPr>
          <w:rFonts w:asciiTheme="minorHAnsi" w:hAnsiTheme="minorHAnsi" w:cs="Arial"/>
          <w:sz w:val="22"/>
          <w:szCs w:val="22"/>
        </w:rPr>
        <w:t>PD</w:t>
      </w:r>
      <w:r w:rsidR="007663E5" w:rsidRPr="00D8220B">
        <w:rPr>
          <w:rFonts w:asciiTheme="minorHAnsi" w:hAnsiTheme="minorHAnsi" w:cs="Arial"/>
          <w:sz w:val="22"/>
          <w:szCs w:val="22"/>
          <w:vertAlign w:val="subscript"/>
        </w:rPr>
        <w:t>BV</w:t>
      </w:r>
      <w:r w:rsidR="007663E5" w:rsidRPr="00D8220B">
        <w:rPr>
          <w:rFonts w:asciiTheme="minorHAnsi" w:hAnsiTheme="minorHAnsi" w:cs="Arial"/>
          <w:sz w:val="22"/>
          <w:szCs w:val="22"/>
        </w:rPr>
        <w:tab/>
        <w:t xml:space="preserve">= proposed </w:t>
      </w:r>
      <w:r w:rsidRPr="00D8220B">
        <w:rPr>
          <w:rFonts w:asciiTheme="minorHAnsi" w:hAnsiTheme="minorHAnsi" w:cs="Arial"/>
          <w:sz w:val="22"/>
          <w:szCs w:val="22"/>
        </w:rPr>
        <w:t xml:space="preserve">demand </w:t>
      </w:r>
      <w:r w:rsidR="007663E5" w:rsidRPr="00D8220B">
        <w:rPr>
          <w:rFonts w:asciiTheme="minorHAnsi" w:hAnsiTheme="minorHAnsi" w:cs="Arial"/>
          <w:sz w:val="22"/>
          <w:szCs w:val="22"/>
        </w:rPr>
        <w:t xml:space="preserve">per building vintage, </w:t>
      </w:r>
      <w:r w:rsidRPr="00D8220B">
        <w:rPr>
          <w:rFonts w:asciiTheme="minorHAnsi" w:hAnsiTheme="minorHAnsi" w:cs="Arial"/>
          <w:sz w:val="22"/>
          <w:szCs w:val="22"/>
        </w:rPr>
        <w:t>kW</w:t>
      </w:r>
    </w:p>
    <w:p w:rsidR="007663E5" w:rsidRPr="00D8220B" w:rsidRDefault="007663E5" w:rsidP="007663E5">
      <w:pPr>
        <w:ind w:firstLine="720"/>
        <w:rPr>
          <w:rFonts w:asciiTheme="minorHAnsi" w:hAnsiTheme="minorHAnsi" w:cs="Arial"/>
          <w:sz w:val="22"/>
          <w:szCs w:val="22"/>
        </w:rPr>
      </w:pPr>
      <w:r w:rsidRPr="00D8220B">
        <w:rPr>
          <w:rFonts w:asciiTheme="minorHAnsi" w:hAnsiTheme="minorHAnsi" w:cs="Arial"/>
          <w:sz w:val="22"/>
          <w:szCs w:val="22"/>
        </w:rPr>
        <w:t>WF</w:t>
      </w:r>
      <w:r w:rsidRPr="00D8220B">
        <w:rPr>
          <w:rFonts w:asciiTheme="minorHAnsi" w:hAnsiTheme="minorHAnsi" w:cs="Arial"/>
          <w:sz w:val="22"/>
          <w:szCs w:val="22"/>
          <w:vertAlign w:val="subscript"/>
        </w:rPr>
        <w:t>BV</w:t>
      </w:r>
      <w:r w:rsidRPr="00D8220B">
        <w:rPr>
          <w:rFonts w:asciiTheme="minorHAnsi" w:hAnsiTheme="minorHAnsi" w:cs="Arial"/>
          <w:sz w:val="22"/>
          <w:szCs w:val="22"/>
        </w:rPr>
        <w:tab/>
        <w:t>= weighting factor per building vintage</w:t>
      </w:r>
      <w:r w:rsidR="00227654" w:rsidRPr="00D8220B">
        <w:rPr>
          <w:rFonts w:asciiTheme="minorHAnsi" w:hAnsiTheme="minorHAnsi"/>
          <w:sz w:val="22"/>
          <w:szCs w:val="22"/>
        </w:rPr>
        <w:fldChar w:fldCharType="begin"/>
      </w:r>
      <w:r w:rsidR="00227654" w:rsidRPr="00D8220B">
        <w:rPr>
          <w:rFonts w:asciiTheme="minorHAnsi" w:hAnsiTheme="minorHAnsi"/>
          <w:sz w:val="22"/>
          <w:szCs w:val="22"/>
        </w:rPr>
        <w:instrText xml:space="preserve"> NOTEREF _Ref404264251 \h  \* MERGEFORMAT </w:instrText>
      </w:r>
      <w:r w:rsidR="00227654" w:rsidRPr="00D8220B">
        <w:rPr>
          <w:rFonts w:asciiTheme="minorHAnsi" w:hAnsiTheme="minorHAnsi"/>
          <w:sz w:val="22"/>
          <w:szCs w:val="22"/>
        </w:rPr>
      </w:r>
      <w:r w:rsidR="00227654" w:rsidRPr="00D8220B">
        <w:rPr>
          <w:rFonts w:asciiTheme="minorHAnsi" w:hAnsiTheme="minorHAnsi"/>
          <w:sz w:val="22"/>
          <w:szCs w:val="22"/>
        </w:rPr>
        <w:fldChar w:fldCharType="separate"/>
      </w:r>
      <w:r w:rsidRPr="00D8220B">
        <w:rPr>
          <w:rFonts w:asciiTheme="minorHAnsi" w:hAnsiTheme="minorHAnsi" w:cs="Arial"/>
          <w:sz w:val="22"/>
          <w:szCs w:val="22"/>
          <w:vertAlign w:val="superscript"/>
        </w:rPr>
        <w:t>10</w:t>
      </w:r>
      <w:r w:rsidR="00227654" w:rsidRPr="00D8220B">
        <w:rPr>
          <w:rFonts w:asciiTheme="minorHAnsi" w:hAnsiTheme="minorHAnsi"/>
          <w:sz w:val="22"/>
          <w:szCs w:val="22"/>
        </w:rPr>
        <w:fldChar w:fldCharType="end"/>
      </w:r>
      <w:r w:rsidRPr="00D8220B">
        <w:rPr>
          <w:rFonts w:asciiTheme="minorHAnsi" w:hAnsiTheme="minorHAnsi" w:cs="Arial"/>
          <w:sz w:val="22"/>
          <w:szCs w:val="22"/>
        </w:rPr>
        <w:t>, no units</w:t>
      </w:r>
    </w:p>
    <w:p w:rsidR="007663E5" w:rsidRPr="00D8220B" w:rsidRDefault="007663E5" w:rsidP="007663E5">
      <w:pPr>
        <w:rPr>
          <w:rFonts w:asciiTheme="minorHAnsi" w:hAnsiTheme="minorHAnsi" w:cs="Arial"/>
          <w:sz w:val="22"/>
          <w:szCs w:val="22"/>
        </w:rPr>
      </w:pP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 xml:space="preserve">The weighted </w:t>
      </w:r>
      <w:r w:rsidR="008822AE" w:rsidRPr="00D8220B">
        <w:rPr>
          <w:rFonts w:asciiTheme="minorHAnsi" w:hAnsiTheme="minorHAnsi" w:cs="Arial"/>
          <w:sz w:val="22"/>
          <w:szCs w:val="22"/>
        </w:rPr>
        <w:t xml:space="preserve">demand reduction </w:t>
      </w:r>
      <w:r w:rsidRPr="00D8220B">
        <w:rPr>
          <w:rFonts w:asciiTheme="minorHAnsi" w:hAnsiTheme="minorHAnsi" w:cs="Arial"/>
          <w:sz w:val="22"/>
          <w:szCs w:val="22"/>
        </w:rPr>
        <w:t>for each climate zone is then normalized to the square footage of each building type as shown in the formula below:</w:t>
      </w:r>
    </w:p>
    <w:p w:rsidR="007663E5" w:rsidRPr="00D8220B" w:rsidRDefault="007663E5" w:rsidP="007663E5">
      <w:pPr>
        <w:rPr>
          <w:rFonts w:asciiTheme="minorHAnsi" w:hAnsiTheme="minorHAnsi" w:cs="Arial"/>
          <w:sz w:val="22"/>
          <w:szCs w:val="22"/>
        </w:rPr>
      </w:pPr>
    </w:p>
    <w:p w:rsidR="007663E5" w:rsidRPr="00D8220B" w:rsidRDefault="00C10029" w:rsidP="007663E5">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NDR</m:t>
              </m:r>
            </m:e>
            <m:sub>
              <m:r>
                <w:rPr>
                  <w:rFonts w:ascii="Cambria Math" w:hAnsi="Cambria Math" w:cs="Arial"/>
                  <w:sz w:val="22"/>
                  <w:szCs w:val="22"/>
                </w:rPr>
                <m:t>BT</m:t>
              </m:r>
            </m:sub>
          </m:sSub>
          <m:r>
            <w:rPr>
              <w:rFonts w:ascii="Cambria Math" w:hAnsi="Cambria Math" w:cs="Arial"/>
              <w:sz w:val="22"/>
              <w:szCs w:val="22"/>
            </w:rPr>
            <m:t>=</m:t>
          </m:r>
          <m:f>
            <m:fPr>
              <m:type m:val="lin"/>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WDR</m:t>
                  </m:r>
                </m:e>
                <m:sub>
                  <m:r>
                    <w:rPr>
                      <w:rFonts w:ascii="Cambria Math" w:hAnsi="Cambria Math" w:cs="Arial"/>
                      <w:sz w:val="22"/>
                      <w:szCs w:val="22"/>
                    </w:rPr>
                    <m:t>BT</m:t>
                  </m:r>
                </m:sub>
              </m:sSub>
            </m:num>
            <m:den>
              <m:d>
                <m:dPr>
                  <m:ctrlPr>
                    <w:rPr>
                      <w:rFonts w:ascii="Cambria Math" w:hAnsi="Cambria Math" w:cs="Arial"/>
                      <w:i/>
                      <w:sz w:val="22"/>
                      <w:szCs w:val="22"/>
                    </w:rPr>
                  </m:ctrlPr>
                </m:dPr>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BT</m:t>
                          </m:r>
                        </m:sub>
                      </m:sSub>
                    </m:num>
                    <m:den>
                      <m:r>
                        <w:rPr>
                          <w:rFonts w:ascii="Cambria Math" w:hAnsi="Cambria Math" w:cs="Arial"/>
                          <w:sz w:val="22"/>
                          <w:szCs w:val="22"/>
                        </w:rPr>
                        <m:t>C</m:t>
                      </m:r>
                    </m:den>
                  </m:f>
                </m:e>
              </m:d>
            </m:den>
          </m:f>
        </m:oMath>
      </m:oMathPara>
    </w:p>
    <w:p w:rsidR="007663E5" w:rsidRPr="00D8220B" w:rsidRDefault="007663E5" w:rsidP="007663E5">
      <w:pPr>
        <w:rPr>
          <w:rFonts w:asciiTheme="minorHAnsi" w:hAnsiTheme="minorHAnsi" w:cs="Arial"/>
          <w:sz w:val="22"/>
          <w:szCs w:val="22"/>
        </w:rPr>
      </w:pP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Where,</w:t>
      </w:r>
    </w:p>
    <w:p w:rsidR="007663E5" w:rsidRPr="00D8220B" w:rsidRDefault="008822AE" w:rsidP="007663E5">
      <w:pPr>
        <w:rPr>
          <w:rFonts w:asciiTheme="minorHAnsi" w:hAnsiTheme="minorHAnsi" w:cs="Arial"/>
          <w:sz w:val="22"/>
          <w:szCs w:val="22"/>
        </w:rPr>
      </w:pPr>
      <w:r w:rsidRPr="00D8220B">
        <w:rPr>
          <w:rFonts w:asciiTheme="minorHAnsi" w:hAnsiTheme="minorHAnsi" w:cs="Arial"/>
          <w:sz w:val="22"/>
          <w:szCs w:val="22"/>
        </w:rPr>
        <w:tab/>
        <w:t>NDR</w:t>
      </w:r>
      <w:r w:rsidR="007663E5" w:rsidRPr="00D8220B">
        <w:rPr>
          <w:rFonts w:asciiTheme="minorHAnsi" w:hAnsiTheme="minorHAnsi" w:cs="Arial"/>
          <w:sz w:val="22"/>
          <w:szCs w:val="22"/>
          <w:vertAlign w:val="subscript"/>
        </w:rPr>
        <w:t>BT</w:t>
      </w:r>
      <w:r w:rsidR="007663E5" w:rsidRPr="00D8220B">
        <w:rPr>
          <w:rFonts w:asciiTheme="minorHAnsi" w:hAnsiTheme="minorHAnsi" w:cs="Arial"/>
          <w:sz w:val="22"/>
          <w:szCs w:val="22"/>
        </w:rPr>
        <w:tab/>
        <w:t xml:space="preserve">= normalized </w:t>
      </w:r>
      <w:r w:rsidRPr="00D8220B">
        <w:rPr>
          <w:rFonts w:asciiTheme="minorHAnsi" w:hAnsiTheme="minorHAnsi" w:cs="Arial"/>
          <w:sz w:val="22"/>
          <w:szCs w:val="22"/>
        </w:rPr>
        <w:t>demand reduction</w:t>
      </w:r>
      <w:r w:rsidR="007663E5" w:rsidRPr="00D8220B">
        <w:rPr>
          <w:rFonts w:asciiTheme="minorHAnsi" w:hAnsiTheme="minorHAnsi" w:cs="Arial"/>
          <w:sz w:val="22"/>
          <w:szCs w:val="22"/>
        </w:rPr>
        <w:t>, kW / Area-1kFP</w:t>
      </w: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lastRenderedPageBreak/>
        <w:tab/>
        <w:t>A</w:t>
      </w:r>
      <w:r w:rsidRPr="00D8220B">
        <w:rPr>
          <w:rFonts w:asciiTheme="minorHAnsi" w:hAnsiTheme="minorHAnsi" w:cs="Arial"/>
          <w:sz w:val="22"/>
          <w:szCs w:val="22"/>
          <w:vertAlign w:val="subscript"/>
        </w:rPr>
        <w:t>BT</w:t>
      </w:r>
      <w:r w:rsidRPr="00D8220B">
        <w:rPr>
          <w:rFonts w:asciiTheme="minorHAnsi" w:hAnsiTheme="minorHAnsi" w:cs="Arial"/>
          <w:sz w:val="22"/>
          <w:szCs w:val="22"/>
        </w:rPr>
        <w:tab/>
        <w:t>= area of the building, sq ft</w:t>
      </w: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ab/>
        <w:t>C</w:t>
      </w:r>
      <w:r w:rsidRPr="00D8220B">
        <w:rPr>
          <w:rFonts w:asciiTheme="minorHAnsi" w:hAnsiTheme="minorHAnsi" w:cs="Arial"/>
          <w:sz w:val="22"/>
          <w:szCs w:val="22"/>
        </w:rPr>
        <w:tab/>
        <w:t>= per 1000 sq ft, 1000, no units</w:t>
      </w:r>
    </w:p>
    <w:p w:rsidR="007663E5" w:rsidRPr="00D8220B" w:rsidRDefault="007663E5" w:rsidP="007663E5">
      <w:pPr>
        <w:rPr>
          <w:rFonts w:asciiTheme="minorHAnsi" w:hAnsiTheme="minorHAnsi" w:cs="Arial"/>
          <w:sz w:val="22"/>
          <w:szCs w:val="22"/>
        </w:rPr>
      </w:pPr>
    </w:p>
    <w:p w:rsidR="007663E5" w:rsidRPr="00D8220B" w:rsidRDefault="008822AE" w:rsidP="007663E5">
      <w:pPr>
        <w:rPr>
          <w:rFonts w:asciiTheme="minorHAnsi" w:hAnsiTheme="minorHAnsi" w:cs="Arial"/>
          <w:sz w:val="22"/>
          <w:szCs w:val="22"/>
        </w:rPr>
      </w:pPr>
      <w:r w:rsidRPr="00D8220B">
        <w:rPr>
          <w:rFonts w:asciiTheme="minorHAnsi" w:hAnsiTheme="minorHAnsi" w:cs="Arial"/>
          <w:sz w:val="22"/>
          <w:szCs w:val="22"/>
        </w:rPr>
        <w:t>Demand reduction</w:t>
      </w:r>
      <w:r w:rsidR="007663E5" w:rsidRPr="00D8220B">
        <w:rPr>
          <w:rFonts w:asciiTheme="minorHAnsi" w:hAnsiTheme="minorHAnsi" w:cs="Arial"/>
          <w:sz w:val="22"/>
          <w:szCs w:val="22"/>
        </w:rPr>
        <w:t xml:space="preserve"> from the modeling results were multiplied by a factor of 25% as shown in the formula below:</w:t>
      </w:r>
    </w:p>
    <w:p w:rsidR="007663E5" w:rsidRPr="00D8220B" w:rsidRDefault="007663E5" w:rsidP="007663E5">
      <w:pPr>
        <w:rPr>
          <w:rFonts w:asciiTheme="minorHAnsi" w:hAnsiTheme="minorHAnsi" w:cs="Arial"/>
          <w:sz w:val="22"/>
          <w:szCs w:val="22"/>
        </w:rPr>
      </w:pPr>
    </w:p>
    <w:p w:rsidR="007663E5" w:rsidRPr="00D8220B" w:rsidRDefault="00C10029" w:rsidP="007663E5">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DR</m:t>
              </m:r>
            </m:e>
            <m:sub>
              <m:r>
                <w:rPr>
                  <w:rFonts w:ascii="Cambria Math" w:hAnsi="Cambria Math" w:cs="Arial"/>
                  <w:sz w:val="22"/>
                  <w:szCs w:val="22"/>
                </w:rPr>
                <m:t>BT</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NDR</m:t>
              </m:r>
            </m:e>
            <m:sub>
              <m:r>
                <w:rPr>
                  <w:rFonts w:ascii="Cambria Math" w:hAnsi="Cambria Math" w:cs="Arial"/>
                  <w:sz w:val="22"/>
                  <w:szCs w:val="22"/>
                </w:rPr>
                <m:t>BT</m:t>
              </m:r>
            </m:sub>
          </m:sSub>
          <m:r>
            <w:rPr>
              <w:rFonts w:ascii="Cambria Math" w:hAnsi="Cambria Math" w:cs="Cambria Math"/>
              <w:sz w:val="22"/>
              <w:szCs w:val="22"/>
            </w:rPr>
            <m:t>*</m:t>
          </m:r>
          <m:r>
            <w:rPr>
              <w:rFonts w:ascii="Cambria Math" w:hAnsi="Cambria Math" w:cs="Arial"/>
              <w:sz w:val="22"/>
              <w:szCs w:val="22"/>
            </w:rPr>
            <m:t>GSA</m:t>
          </m:r>
        </m:oMath>
      </m:oMathPara>
    </w:p>
    <w:p w:rsidR="007663E5" w:rsidRDefault="007663E5" w:rsidP="007663E5">
      <w:pPr>
        <w:rPr>
          <w:rFonts w:ascii="Arial" w:hAnsi="Arial" w:cs="Arial"/>
          <w:sz w:val="22"/>
          <w:szCs w:val="22"/>
        </w:rPr>
      </w:pP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Where,</w:t>
      </w: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ab/>
      </w:r>
      <w:r w:rsidR="008822AE" w:rsidRPr="00D8220B">
        <w:rPr>
          <w:rFonts w:asciiTheme="minorHAnsi" w:hAnsiTheme="minorHAnsi" w:cs="Arial"/>
          <w:sz w:val="22"/>
          <w:szCs w:val="22"/>
        </w:rPr>
        <w:t>DR</w:t>
      </w:r>
      <w:r w:rsidRPr="00D8220B">
        <w:rPr>
          <w:rFonts w:asciiTheme="minorHAnsi" w:hAnsiTheme="minorHAnsi" w:cs="Arial"/>
          <w:sz w:val="22"/>
          <w:szCs w:val="22"/>
          <w:vertAlign w:val="subscript"/>
        </w:rPr>
        <w:t>BT</w:t>
      </w:r>
      <w:r w:rsidRPr="00D8220B">
        <w:rPr>
          <w:rFonts w:asciiTheme="minorHAnsi" w:hAnsiTheme="minorHAnsi" w:cs="Arial"/>
          <w:sz w:val="22"/>
          <w:szCs w:val="22"/>
        </w:rPr>
        <w:tab/>
        <w:t xml:space="preserve">= </w:t>
      </w:r>
      <w:r w:rsidR="008822AE" w:rsidRPr="00D8220B">
        <w:rPr>
          <w:rFonts w:asciiTheme="minorHAnsi" w:hAnsiTheme="minorHAnsi" w:cs="Arial"/>
          <w:sz w:val="22"/>
          <w:szCs w:val="22"/>
        </w:rPr>
        <w:t>demand reduction</w:t>
      </w:r>
      <w:r w:rsidRPr="00D8220B">
        <w:rPr>
          <w:rFonts w:asciiTheme="minorHAnsi" w:hAnsiTheme="minorHAnsi" w:cs="Arial"/>
          <w:sz w:val="22"/>
          <w:szCs w:val="22"/>
        </w:rPr>
        <w:t>, kWh / Area-1kFP</w:t>
      </w:r>
    </w:p>
    <w:p w:rsidR="007663E5" w:rsidRPr="00D8220B" w:rsidRDefault="007663E5" w:rsidP="007663E5">
      <w:pPr>
        <w:rPr>
          <w:rFonts w:asciiTheme="minorHAnsi" w:hAnsiTheme="minorHAnsi" w:cs="Arial"/>
          <w:sz w:val="22"/>
          <w:szCs w:val="22"/>
        </w:rPr>
      </w:pPr>
      <w:r w:rsidRPr="00D8220B">
        <w:rPr>
          <w:rFonts w:asciiTheme="minorHAnsi" w:hAnsiTheme="minorHAnsi" w:cs="Arial"/>
          <w:sz w:val="22"/>
          <w:szCs w:val="22"/>
        </w:rPr>
        <w:tab/>
        <w:t>GSA</w:t>
      </w:r>
      <w:r w:rsidRPr="00D8220B">
        <w:rPr>
          <w:rFonts w:asciiTheme="minorHAnsi" w:hAnsiTheme="minorHAnsi" w:cs="Arial"/>
          <w:sz w:val="22"/>
          <w:szCs w:val="22"/>
        </w:rPr>
        <w:tab/>
        <w:t>= gross savings adjustment, 0.25, no units</w:t>
      </w:r>
    </w:p>
    <w:p w:rsidR="007663E5" w:rsidRPr="00D8220B" w:rsidRDefault="007663E5" w:rsidP="007663E5">
      <w:pPr>
        <w:rPr>
          <w:rFonts w:asciiTheme="minorHAnsi" w:hAnsiTheme="minorHAnsi" w:cs="Arial"/>
          <w:b/>
          <w:sz w:val="22"/>
          <w:szCs w:val="22"/>
        </w:rPr>
      </w:pPr>
    </w:p>
    <w:p w:rsidR="007663E5" w:rsidRPr="00D8220B" w:rsidRDefault="007663E5" w:rsidP="007663E5">
      <w:pPr>
        <w:rPr>
          <w:rFonts w:asciiTheme="minorHAnsi" w:hAnsiTheme="minorHAnsi" w:cs="Arial"/>
          <w:b/>
          <w:sz w:val="22"/>
          <w:szCs w:val="22"/>
        </w:rPr>
      </w:pPr>
      <w:r w:rsidRPr="00D8220B">
        <w:rPr>
          <w:rFonts w:asciiTheme="minorHAnsi" w:hAnsiTheme="minorHAnsi" w:cs="Arial"/>
          <w:b/>
          <w:sz w:val="22"/>
          <w:szCs w:val="22"/>
        </w:rPr>
        <w:t>Example for DM-XX – Primary School CZ07:</w:t>
      </w:r>
    </w:p>
    <w:p w:rsidR="007663E5" w:rsidRPr="00D8220B" w:rsidRDefault="007663E5" w:rsidP="007663E5">
      <w:pPr>
        <w:ind w:left="720"/>
        <w:rPr>
          <w:rFonts w:asciiTheme="minorHAnsi" w:hAnsiTheme="minorHAnsi" w:cs="Arial"/>
          <w:sz w:val="22"/>
          <w:szCs w:val="22"/>
        </w:rPr>
      </w:pPr>
      <w:r w:rsidRPr="00D8220B">
        <w:rPr>
          <w:rFonts w:asciiTheme="minorHAnsi" w:hAnsiTheme="minorHAnsi" w:cs="Arial"/>
          <w:sz w:val="22"/>
          <w:szCs w:val="22"/>
        </w:rPr>
        <w:t xml:space="preserve">A table showing the </w:t>
      </w:r>
      <w:r w:rsidR="008822AE" w:rsidRPr="00D8220B">
        <w:rPr>
          <w:rFonts w:asciiTheme="minorHAnsi" w:hAnsiTheme="minorHAnsi" w:cs="Arial"/>
          <w:sz w:val="22"/>
          <w:szCs w:val="22"/>
        </w:rPr>
        <w:t xml:space="preserve">demand reduction </w:t>
      </w:r>
      <w:r w:rsidRPr="00D8220B">
        <w:rPr>
          <w:rFonts w:asciiTheme="minorHAnsi" w:hAnsiTheme="minorHAnsi" w:cs="Arial"/>
          <w:sz w:val="22"/>
          <w:szCs w:val="22"/>
        </w:rPr>
        <w:t>and weighting factors for primary schools is shown in the table below:</w:t>
      </w:r>
    </w:p>
    <w:p w:rsidR="00B9722E" w:rsidRPr="00451245" w:rsidRDefault="00B9722E" w:rsidP="00B9722E">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16</w:t>
      </w:r>
      <w:r w:rsidRPr="00451245">
        <w:rPr>
          <w:rFonts w:asciiTheme="minorHAnsi" w:hAnsiTheme="minorHAnsi" w:cs="Arial"/>
          <w:sz w:val="22"/>
          <w:szCs w:val="22"/>
        </w:rPr>
        <w:t xml:space="preserve"> </w:t>
      </w:r>
      <w:r>
        <w:rPr>
          <w:rFonts w:asciiTheme="minorHAnsi" w:hAnsiTheme="minorHAnsi" w:cs="Arial"/>
          <w:b w:val="0"/>
          <w:sz w:val="22"/>
          <w:szCs w:val="22"/>
        </w:rPr>
        <w:t>Demand Reduction and Weighting for Primary Schools</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tbl>
      <w:tblPr>
        <w:tblW w:w="6750"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0"/>
        <w:gridCol w:w="1620"/>
        <w:gridCol w:w="1543"/>
        <w:gridCol w:w="1697"/>
      </w:tblGrid>
      <w:tr w:rsidR="007663E5" w:rsidRPr="002720AC" w:rsidTr="00D8220B">
        <w:trPr>
          <w:trHeight w:val="593"/>
          <w:jc w:val="center"/>
        </w:trPr>
        <w:tc>
          <w:tcPr>
            <w:tcW w:w="1890" w:type="dxa"/>
            <w:tcBorders>
              <w:bottom w:val="single" w:sz="4" w:space="0" w:color="auto"/>
            </w:tcBorders>
            <w:shd w:val="clear" w:color="auto" w:fill="D9D9D9" w:themeFill="background1" w:themeFillShade="D9"/>
            <w:vAlign w:val="center"/>
          </w:tcPr>
          <w:p w:rsidR="007663E5" w:rsidRPr="00D8220B" w:rsidRDefault="007663E5" w:rsidP="007663E5">
            <w:pPr>
              <w:jc w:val="center"/>
              <w:rPr>
                <w:rFonts w:asciiTheme="minorHAnsi" w:hAnsiTheme="minorHAnsi" w:cs="Arial"/>
                <w:b/>
                <w:sz w:val="22"/>
                <w:szCs w:val="22"/>
              </w:rPr>
            </w:pPr>
            <w:r w:rsidRPr="00D8220B">
              <w:rPr>
                <w:rFonts w:asciiTheme="minorHAnsi" w:hAnsiTheme="minorHAnsi" w:cs="Arial"/>
                <w:b/>
                <w:sz w:val="22"/>
                <w:szCs w:val="22"/>
              </w:rPr>
              <w:t>Vintage</w:t>
            </w:r>
          </w:p>
        </w:tc>
        <w:tc>
          <w:tcPr>
            <w:tcW w:w="1620" w:type="dxa"/>
            <w:tcBorders>
              <w:bottom w:val="single" w:sz="4" w:space="0" w:color="auto"/>
            </w:tcBorders>
            <w:shd w:val="clear" w:color="auto" w:fill="D9D9D9" w:themeFill="background1" w:themeFillShade="D9"/>
            <w:vAlign w:val="center"/>
          </w:tcPr>
          <w:p w:rsidR="007663E5" w:rsidRPr="00D8220B" w:rsidRDefault="007663E5" w:rsidP="008822AE">
            <w:pPr>
              <w:jc w:val="center"/>
              <w:rPr>
                <w:rFonts w:asciiTheme="minorHAnsi" w:hAnsiTheme="minorHAnsi" w:cs="Arial"/>
                <w:b/>
                <w:sz w:val="22"/>
                <w:szCs w:val="22"/>
              </w:rPr>
            </w:pPr>
            <w:r w:rsidRPr="00D8220B">
              <w:rPr>
                <w:rFonts w:asciiTheme="minorHAnsi" w:hAnsiTheme="minorHAnsi" w:cs="Arial"/>
                <w:b/>
                <w:sz w:val="22"/>
                <w:szCs w:val="22"/>
              </w:rPr>
              <w:t xml:space="preserve">Baseline </w:t>
            </w:r>
            <w:r w:rsidR="008822AE" w:rsidRPr="00D8220B">
              <w:rPr>
                <w:rFonts w:asciiTheme="minorHAnsi" w:hAnsiTheme="minorHAnsi" w:cs="Arial"/>
                <w:b/>
                <w:sz w:val="22"/>
                <w:szCs w:val="22"/>
              </w:rPr>
              <w:t>Demand</w:t>
            </w:r>
            <w:r w:rsidRPr="00D8220B">
              <w:rPr>
                <w:rFonts w:asciiTheme="minorHAnsi" w:hAnsiTheme="minorHAnsi" w:cs="Arial"/>
                <w:b/>
                <w:sz w:val="22"/>
                <w:szCs w:val="22"/>
              </w:rPr>
              <w:t xml:space="preserve"> (kW)</w:t>
            </w:r>
          </w:p>
        </w:tc>
        <w:tc>
          <w:tcPr>
            <w:tcW w:w="1543" w:type="dxa"/>
            <w:tcBorders>
              <w:bottom w:val="single" w:sz="4" w:space="0" w:color="auto"/>
            </w:tcBorders>
            <w:shd w:val="clear" w:color="auto" w:fill="D9D9D9" w:themeFill="background1" w:themeFillShade="D9"/>
            <w:vAlign w:val="center"/>
          </w:tcPr>
          <w:p w:rsidR="007663E5" w:rsidRPr="00D8220B" w:rsidRDefault="007663E5" w:rsidP="008822AE">
            <w:pPr>
              <w:jc w:val="center"/>
              <w:rPr>
                <w:rFonts w:asciiTheme="minorHAnsi" w:hAnsiTheme="minorHAnsi" w:cs="Arial"/>
                <w:b/>
                <w:sz w:val="22"/>
                <w:szCs w:val="22"/>
              </w:rPr>
            </w:pPr>
            <w:r w:rsidRPr="00D8220B">
              <w:rPr>
                <w:rFonts w:asciiTheme="minorHAnsi" w:hAnsiTheme="minorHAnsi" w:cs="Arial"/>
                <w:b/>
                <w:sz w:val="22"/>
                <w:szCs w:val="22"/>
              </w:rPr>
              <w:t xml:space="preserve">Proposed </w:t>
            </w:r>
            <w:r w:rsidR="008822AE" w:rsidRPr="00D8220B">
              <w:rPr>
                <w:rFonts w:asciiTheme="minorHAnsi" w:hAnsiTheme="minorHAnsi" w:cs="Arial"/>
                <w:b/>
                <w:sz w:val="22"/>
                <w:szCs w:val="22"/>
              </w:rPr>
              <w:t>Demand (kW</w:t>
            </w:r>
            <w:r w:rsidRPr="00D8220B">
              <w:rPr>
                <w:rFonts w:asciiTheme="minorHAnsi" w:hAnsiTheme="minorHAnsi" w:cs="Arial"/>
                <w:b/>
                <w:sz w:val="22"/>
                <w:szCs w:val="22"/>
              </w:rPr>
              <w:t>)</w:t>
            </w:r>
          </w:p>
        </w:tc>
        <w:tc>
          <w:tcPr>
            <w:tcW w:w="1697" w:type="dxa"/>
            <w:tcBorders>
              <w:bottom w:val="single" w:sz="4" w:space="0" w:color="auto"/>
            </w:tcBorders>
            <w:shd w:val="clear" w:color="auto" w:fill="D9D9D9" w:themeFill="background1" w:themeFillShade="D9"/>
            <w:vAlign w:val="center"/>
          </w:tcPr>
          <w:p w:rsidR="007663E5" w:rsidRPr="00D8220B" w:rsidRDefault="007663E5" w:rsidP="007663E5">
            <w:pPr>
              <w:ind w:right="72"/>
              <w:jc w:val="center"/>
              <w:rPr>
                <w:rFonts w:asciiTheme="minorHAnsi" w:hAnsiTheme="minorHAnsi" w:cs="Arial"/>
                <w:b/>
                <w:sz w:val="22"/>
                <w:szCs w:val="22"/>
              </w:rPr>
            </w:pPr>
            <w:r w:rsidRPr="00D8220B">
              <w:rPr>
                <w:rFonts w:asciiTheme="minorHAnsi" w:hAnsiTheme="minorHAnsi" w:cs="Arial"/>
                <w:b/>
                <w:sz w:val="22"/>
                <w:szCs w:val="22"/>
              </w:rPr>
              <w:t>Weighting Factors</w:t>
            </w:r>
          </w:p>
        </w:tc>
      </w:tr>
      <w:tr w:rsidR="008822AE" w:rsidRPr="002720AC" w:rsidTr="00D8220B">
        <w:trPr>
          <w:jc w:val="center"/>
        </w:trPr>
        <w:tc>
          <w:tcPr>
            <w:tcW w:w="1890" w:type="dxa"/>
            <w:shd w:val="clear" w:color="auto" w:fill="F2F2F2" w:themeFill="background1" w:themeFillShade="F2"/>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1975</w:t>
            </w:r>
          </w:p>
        </w:tc>
        <w:tc>
          <w:tcPr>
            <w:tcW w:w="1620" w:type="dxa"/>
            <w:shd w:val="clear" w:color="auto" w:fill="F2F2F2" w:themeFill="background1" w:themeFillShade="F2"/>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2,109</w:t>
            </w:r>
          </w:p>
        </w:tc>
        <w:tc>
          <w:tcPr>
            <w:tcW w:w="1543" w:type="dxa"/>
            <w:shd w:val="clear" w:color="auto" w:fill="F2F2F2" w:themeFill="background1" w:themeFillShade="F2"/>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2,121</w:t>
            </w:r>
          </w:p>
        </w:tc>
        <w:tc>
          <w:tcPr>
            <w:tcW w:w="1697" w:type="dxa"/>
            <w:shd w:val="clear" w:color="auto" w:fill="F2F2F2" w:themeFill="background1" w:themeFillShade="F2"/>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0.5808</w:t>
            </w:r>
          </w:p>
        </w:tc>
      </w:tr>
      <w:tr w:rsidR="008822AE" w:rsidRPr="002720AC" w:rsidTr="00D8220B">
        <w:trPr>
          <w:jc w:val="center"/>
        </w:trPr>
        <w:tc>
          <w:tcPr>
            <w:tcW w:w="1890" w:type="dxa"/>
            <w:tcBorders>
              <w:bottom w:val="single" w:sz="4" w:space="0" w:color="auto"/>
            </w:tcBorders>
            <w:shd w:val="clear" w:color="auto" w:fill="auto"/>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1985</w:t>
            </w:r>
          </w:p>
        </w:tc>
        <w:tc>
          <w:tcPr>
            <w:tcW w:w="1620" w:type="dxa"/>
            <w:tcBorders>
              <w:bottom w:val="single" w:sz="4" w:space="0" w:color="auto"/>
            </w:tcBorders>
            <w:shd w:val="clear" w:color="auto" w:fill="auto"/>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1,707</w:t>
            </w:r>
          </w:p>
        </w:tc>
        <w:tc>
          <w:tcPr>
            <w:tcW w:w="1543" w:type="dxa"/>
            <w:tcBorders>
              <w:bottom w:val="single" w:sz="4" w:space="0" w:color="auto"/>
            </w:tcBorders>
            <w:shd w:val="clear" w:color="auto" w:fill="auto"/>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1,725</w:t>
            </w:r>
          </w:p>
        </w:tc>
        <w:tc>
          <w:tcPr>
            <w:tcW w:w="1697" w:type="dxa"/>
            <w:tcBorders>
              <w:bottom w:val="single" w:sz="4" w:space="0" w:color="auto"/>
            </w:tcBorders>
            <w:shd w:val="clear" w:color="auto" w:fill="auto"/>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0.1507</w:t>
            </w:r>
          </w:p>
        </w:tc>
      </w:tr>
      <w:tr w:rsidR="008822AE" w:rsidRPr="002720AC" w:rsidTr="00D8220B">
        <w:trPr>
          <w:jc w:val="center"/>
        </w:trPr>
        <w:tc>
          <w:tcPr>
            <w:tcW w:w="1890" w:type="dxa"/>
            <w:shd w:val="clear" w:color="auto" w:fill="F2F2F2" w:themeFill="background1" w:themeFillShade="F2"/>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1996</w:t>
            </w:r>
          </w:p>
        </w:tc>
        <w:tc>
          <w:tcPr>
            <w:tcW w:w="1620" w:type="dxa"/>
            <w:shd w:val="clear" w:color="auto" w:fill="F2F2F2" w:themeFill="background1" w:themeFillShade="F2"/>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992</w:t>
            </w:r>
          </w:p>
        </w:tc>
        <w:tc>
          <w:tcPr>
            <w:tcW w:w="1543" w:type="dxa"/>
            <w:shd w:val="clear" w:color="auto" w:fill="F2F2F2" w:themeFill="background1" w:themeFillShade="F2"/>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994</w:t>
            </w:r>
          </w:p>
        </w:tc>
        <w:tc>
          <w:tcPr>
            <w:tcW w:w="1697" w:type="dxa"/>
            <w:shd w:val="clear" w:color="auto" w:fill="F2F2F2" w:themeFill="background1" w:themeFillShade="F2"/>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0.1550</w:t>
            </w:r>
          </w:p>
        </w:tc>
      </w:tr>
      <w:tr w:rsidR="008822AE" w:rsidRPr="002720AC" w:rsidTr="008822AE">
        <w:trPr>
          <w:jc w:val="center"/>
        </w:trPr>
        <w:tc>
          <w:tcPr>
            <w:tcW w:w="1890" w:type="dxa"/>
            <w:shd w:val="clear" w:color="auto" w:fill="auto"/>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2003</w:t>
            </w:r>
          </w:p>
        </w:tc>
        <w:tc>
          <w:tcPr>
            <w:tcW w:w="1620" w:type="dxa"/>
            <w:shd w:val="clear" w:color="auto" w:fill="auto"/>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840</w:t>
            </w:r>
          </w:p>
        </w:tc>
        <w:tc>
          <w:tcPr>
            <w:tcW w:w="1543" w:type="dxa"/>
            <w:shd w:val="clear" w:color="auto" w:fill="auto"/>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835</w:t>
            </w:r>
          </w:p>
        </w:tc>
        <w:tc>
          <w:tcPr>
            <w:tcW w:w="1697" w:type="dxa"/>
            <w:shd w:val="clear" w:color="auto" w:fill="auto"/>
            <w:vAlign w:val="center"/>
          </w:tcPr>
          <w:p w:rsidR="008822AE" w:rsidRPr="00D8220B" w:rsidRDefault="008822AE" w:rsidP="008822AE">
            <w:pPr>
              <w:jc w:val="center"/>
              <w:rPr>
                <w:rFonts w:asciiTheme="minorHAnsi" w:hAnsiTheme="minorHAnsi" w:cs="Arial"/>
                <w:sz w:val="22"/>
                <w:szCs w:val="22"/>
              </w:rPr>
            </w:pPr>
            <w:r w:rsidRPr="00D8220B">
              <w:rPr>
                <w:rFonts w:asciiTheme="minorHAnsi" w:hAnsiTheme="minorHAnsi" w:cs="Arial"/>
                <w:sz w:val="22"/>
                <w:szCs w:val="22"/>
              </w:rPr>
              <w:t>0.1135</w:t>
            </w:r>
          </w:p>
        </w:tc>
      </w:tr>
    </w:tbl>
    <w:p w:rsidR="007663E5" w:rsidRDefault="007663E5" w:rsidP="007663E5">
      <w:pPr>
        <w:ind w:left="720"/>
        <w:rPr>
          <w:rFonts w:ascii="Arial" w:hAnsi="Arial" w:cs="Arial"/>
          <w:sz w:val="22"/>
          <w:szCs w:val="22"/>
        </w:rPr>
      </w:pPr>
    </w:p>
    <w:p w:rsidR="007663E5" w:rsidRPr="00D8220B" w:rsidRDefault="007663E5" w:rsidP="007663E5">
      <w:pPr>
        <w:ind w:left="720"/>
        <w:rPr>
          <w:rFonts w:asciiTheme="minorHAnsi" w:hAnsiTheme="minorHAnsi" w:cs="Arial"/>
          <w:sz w:val="22"/>
          <w:szCs w:val="22"/>
        </w:rPr>
      </w:pPr>
      <w:r w:rsidRPr="00D8220B">
        <w:rPr>
          <w:rFonts w:asciiTheme="minorHAnsi" w:hAnsiTheme="minorHAnsi" w:cs="Arial"/>
          <w:sz w:val="22"/>
          <w:szCs w:val="22"/>
        </w:rPr>
        <w:t xml:space="preserve">Therefore the weighted </w:t>
      </w:r>
      <w:r w:rsidR="00072F35" w:rsidRPr="00D8220B">
        <w:rPr>
          <w:rFonts w:asciiTheme="minorHAnsi" w:hAnsiTheme="minorHAnsi" w:cs="Arial"/>
          <w:sz w:val="22"/>
          <w:szCs w:val="22"/>
        </w:rPr>
        <w:t>demand reduction</w:t>
      </w:r>
      <w:r w:rsidRPr="00D8220B">
        <w:rPr>
          <w:rFonts w:asciiTheme="minorHAnsi" w:hAnsiTheme="minorHAnsi" w:cs="Arial"/>
          <w:sz w:val="22"/>
          <w:szCs w:val="22"/>
        </w:rPr>
        <w:t xml:space="preserve"> for primary school (EPr) in climate zone 7 (CZ07) is:</w:t>
      </w:r>
    </w:p>
    <w:p w:rsidR="007663E5" w:rsidRPr="00D8220B" w:rsidRDefault="007663E5" w:rsidP="007663E5">
      <w:pPr>
        <w:rPr>
          <w:rFonts w:asciiTheme="minorHAnsi" w:hAnsiTheme="minorHAnsi" w:cs="Arial"/>
          <w:sz w:val="22"/>
          <w:szCs w:val="22"/>
        </w:rPr>
      </w:pPr>
    </w:p>
    <w:p w:rsidR="008822AE" w:rsidRPr="00D8220B" w:rsidRDefault="00C10029" w:rsidP="008822AE">
      <w:pPr>
        <w:ind w:left="720"/>
        <w:rPr>
          <w:rFonts w:asciiTheme="minorHAnsi" w:hAnsiTheme="minorHAnsi" w:cs="Arial"/>
          <w:sz w:val="22"/>
          <w:szCs w:val="22"/>
        </w:rPr>
      </w:pPr>
      <m:oMath>
        <m:sSub>
          <m:sSubPr>
            <m:ctrlPr>
              <w:rPr>
                <w:rFonts w:ascii="Cambria Math" w:hAnsi="Cambria Math" w:cs="Arial"/>
                <w:i/>
                <w:sz w:val="22"/>
                <w:szCs w:val="22"/>
              </w:rPr>
            </m:ctrlPr>
          </m:sSubPr>
          <m:e>
            <m:r>
              <w:rPr>
                <w:rFonts w:ascii="Cambria Math" w:hAnsi="Cambria Math" w:cs="Arial"/>
                <w:sz w:val="22"/>
                <w:szCs w:val="22"/>
              </w:rPr>
              <m:t>WDR</m:t>
            </m:r>
          </m:e>
          <m:sub>
            <m:r>
              <w:rPr>
                <w:rFonts w:ascii="Cambria Math" w:hAnsi="Cambria Math" w:cs="Arial"/>
                <w:sz w:val="22"/>
                <w:szCs w:val="22"/>
              </w:rPr>
              <m:t>EPr</m:t>
            </m:r>
          </m:sub>
        </m:sSub>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2,109</m:t>
            </m:r>
            <m:r>
              <w:rPr>
                <w:rFonts w:ascii="Cambria Math" w:hAnsi="Cambria Math" w:cs="Cambria Math"/>
                <w:sz w:val="22"/>
                <w:szCs w:val="22"/>
              </w:rPr>
              <m:t>*</m:t>
            </m:r>
            <m:r>
              <w:rPr>
                <w:rFonts w:ascii="Cambria Math" w:hAnsi="Cambria Math" w:cs="Arial"/>
                <w:sz w:val="22"/>
                <w:szCs w:val="22"/>
              </w:rPr>
              <m:t>0.5808-2,121</m:t>
            </m:r>
            <m:r>
              <w:rPr>
                <w:rFonts w:ascii="Cambria Math" w:hAnsi="Cambria Math" w:cs="Cambria Math"/>
                <w:sz w:val="22"/>
                <w:szCs w:val="22"/>
              </w:rPr>
              <m:t>*</m:t>
            </m:r>
            <m:r>
              <w:rPr>
                <w:rFonts w:ascii="Cambria Math" w:hAnsi="Cambria Math" w:cs="Arial"/>
                <w:sz w:val="22"/>
                <w:szCs w:val="22"/>
              </w:rPr>
              <m:t>0.5808</m:t>
            </m:r>
          </m:e>
        </m:d>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1,707</m:t>
            </m:r>
            <m:r>
              <w:rPr>
                <w:rFonts w:ascii="Cambria Math" w:hAnsi="Cambria Math" w:cs="Cambria Math"/>
                <w:sz w:val="22"/>
                <w:szCs w:val="22"/>
              </w:rPr>
              <m:t>*</m:t>
            </m:r>
            <m:r>
              <w:rPr>
                <w:rFonts w:ascii="Cambria Math" w:hAnsi="Cambria Math" w:cs="Arial"/>
                <w:sz w:val="22"/>
                <w:szCs w:val="22"/>
              </w:rPr>
              <m:t>0.1507-1,725</m:t>
            </m:r>
            <m:r>
              <w:rPr>
                <w:rFonts w:ascii="Cambria Math" w:hAnsi="Cambria Math" w:cs="Cambria Math"/>
                <w:sz w:val="22"/>
                <w:szCs w:val="22"/>
              </w:rPr>
              <m:t>*</m:t>
            </m:r>
            <m:r>
              <w:rPr>
                <w:rFonts w:ascii="Cambria Math" w:hAnsi="Cambria Math" w:cs="Arial"/>
                <w:sz w:val="22"/>
                <w:szCs w:val="22"/>
              </w:rPr>
              <m:t>0.1507</m:t>
            </m:r>
          </m:e>
        </m:d>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992</m:t>
            </m:r>
            <m:r>
              <w:rPr>
                <w:rFonts w:ascii="Cambria Math" w:hAnsi="Cambria Math" w:cs="Cambria Math"/>
                <w:sz w:val="22"/>
                <w:szCs w:val="22"/>
              </w:rPr>
              <m:t>*</m:t>
            </m:r>
            <m:r>
              <w:rPr>
                <w:rFonts w:ascii="Cambria Math" w:hAnsi="Cambria Math" w:cs="Arial"/>
                <w:sz w:val="22"/>
                <w:szCs w:val="22"/>
              </w:rPr>
              <m:t>0.1550-994</m:t>
            </m:r>
            <m:r>
              <w:rPr>
                <w:rFonts w:ascii="Cambria Math" w:hAnsi="Cambria Math" w:cs="Cambria Math"/>
                <w:sz w:val="22"/>
                <w:szCs w:val="22"/>
              </w:rPr>
              <m:t>*</m:t>
            </m:r>
            <m:r>
              <w:rPr>
                <w:rFonts w:ascii="Cambria Math" w:hAnsi="Cambria Math" w:cs="Arial"/>
                <w:sz w:val="22"/>
                <w:szCs w:val="22"/>
              </w:rPr>
              <m:t>0.1550</m:t>
            </m:r>
          </m:e>
        </m:d>
        <m:r>
          <w:rPr>
            <w:rFonts w:ascii="Cambria Math" w:hAnsi="Cambria Math" w:cs="Arial"/>
            <w:sz w:val="22"/>
            <w:szCs w:val="22"/>
          </w:rPr>
          <m:t>+(840</m:t>
        </m:r>
        <m:r>
          <w:rPr>
            <w:rFonts w:ascii="Cambria Math" w:hAnsi="Cambria Math" w:cs="Cambria Math"/>
            <w:sz w:val="22"/>
            <w:szCs w:val="22"/>
          </w:rPr>
          <m:t>*</m:t>
        </m:r>
        <m:r>
          <w:rPr>
            <w:rFonts w:ascii="Cambria Math" w:hAnsi="Cambria Math" w:cs="Arial"/>
            <w:sz w:val="22"/>
            <w:szCs w:val="22"/>
          </w:rPr>
          <m:t>0.1135-835</m:t>
        </m:r>
        <m:r>
          <w:rPr>
            <w:rFonts w:ascii="Cambria Math" w:hAnsi="Cambria Math" w:cs="Cambria Math"/>
            <w:sz w:val="22"/>
            <w:szCs w:val="22"/>
          </w:rPr>
          <m:t>*</m:t>
        </m:r>
        <m:r>
          <w:rPr>
            <w:rFonts w:ascii="Cambria Math" w:hAnsi="Cambria Math" w:cs="Arial"/>
            <w:sz w:val="22"/>
            <w:szCs w:val="22"/>
          </w:rPr>
          <m:t>0.1135)</m:t>
        </m:r>
      </m:oMath>
      <w:r w:rsidR="008822AE" w:rsidRPr="00D8220B">
        <w:rPr>
          <w:rFonts w:asciiTheme="minorHAnsi" w:hAnsiTheme="minorHAnsi" w:cs="Arial"/>
          <w:sz w:val="22"/>
          <w:szCs w:val="22"/>
        </w:rPr>
        <w:t xml:space="preserve"> </w:t>
      </w:r>
    </w:p>
    <w:p w:rsidR="008822AE" w:rsidRPr="00D8220B" w:rsidRDefault="00C10029" w:rsidP="008822AE">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WDR</m:t>
              </m:r>
            </m:e>
            <m:sub>
              <m:r>
                <w:rPr>
                  <w:rFonts w:ascii="Cambria Math" w:hAnsi="Cambria Math" w:cs="Arial"/>
                  <w:sz w:val="22"/>
                  <w:szCs w:val="22"/>
                </w:rPr>
                <m:t>EPr</m:t>
              </m:r>
            </m:sub>
          </m:sSub>
          <m:r>
            <w:rPr>
              <w:rFonts w:ascii="Cambria Math" w:hAnsi="Cambria Math" w:cs="Arial"/>
              <w:sz w:val="22"/>
              <w:szCs w:val="22"/>
            </w:rPr>
            <m:t>=-9.24 kW</m:t>
          </m:r>
        </m:oMath>
      </m:oMathPara>
    </w:p>
    <w:p w:rsidR="007663E5" w:rsidRPr="00D8220B" w:rsidRDefault="007663E5" w:rsidP="007663E5">
      <w:pPr>
        <w:ind w:left="720"/>
        <w:rPr>
          <w:rFonts w:asciiTheme="minorHAnsi" w:hAnsiTheme="minorHAnsi" w:cs="Arial"/>
          <w:sz w:val="22"/>
          <w:szCs w:val="22"/>
        </w:rPr>
      </w:pPr>
    </w:p>
    <w:p w:rsidR="00072F35" w:rsidRPr="00D8220B" w:rsidRDefault="00072F35" w:rsidP="00072F35">
      <w:pPr>
        <w:ind w:firstLine="720"/>
        <w:rPr>
          <w:rFonts w:asciiTheme="minorHAnsi" w:hAnsiTheme="minorHAnsi" w:cs="Arial"/>
          <w:sz w:val="22"/>
          <w:szCs w:val="22"/>
        </w:rPr>
      </w:pPr>
      <w:r w:rsidRPr="00D8220B">
        <w:rPr>
          <w:rFonts w:asciiTheme="minorHAnsi" w:hAnsiTheme="minorHAnsi" w:cs="Arial"/>
          <w:sz w:val="22"/>
          <w:szCs w:val="22"/>
        </w:rPr>
        <w:t>The normalized demand reduction for primary schools (EPr) in climate zone 7 (CZ07) is:</w:t>
      </w:r>
    </w:p>
    <w:p w:rsidR="00072F35" w:rsidRPr="00D8220B" w:rsidRDefault="00072F35" w:rsidP="00072F35">
      <w:pPr>
        <w:ind w:left="720"/>
        <w:rPr>
          <w:rFonts w:asciiTheme="minorHAnsi" w:hAnsiTheme="minorHAnsi" w:cs="Arial"/>
          <w:sz w:val="22"/>
          <w:szCs w:val="22"/>
        </w:rPr>
      </w:pPr>
    </w:p>
    <w:p w:rsidR="00072F35" w:rsidRPr="00D8220B" w:rsidRDefault="00C10029" w:rsidP="00072F35">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NDR</m:t>
              </m:r>
            </m:e>
            <m:sub>
              <m:r>
                <w:rPr>
                  <w:rFonts w:ascii="Cambria Math" w:hAnsi="Cambria Math" w:cs="Arial"/>
                  <w:sz w:val="22"/>
                  <w:szCs w:val="22"/>
                </w:rPr>
                <m:t>EPr</m:t>
              </m:r>
            </m:sub>
          </m:sSub>
          <m:r>
            <w:rPr>
              <w:rFonts w:ascii="Cambria Math" w:hAnsi="Cambria Math" w:cs="Arial"/>
              <w:sz w:val="22"/>
              <w:szCs w:val="22"/>
            </w:rPr>
            <m:t xml:space="preserve">= </m:t>
          </m:r>
          <m:f>
            <m:fPr>
              <m:type m:val="lin"/>
              <m:ctrlPr>
                <w:rPr>
                  <w:rFonts w:ascii="Cambria Math" w:hAnsi="Cambria Math" w:cs="Arial"/>
                  <w:i/>
                  <w:sz w:val="22"/>
                  <w:szCs w:val="22"/>
                </w:rPr>
              </m:ctrlPr>
            </m:fPr>
            <m:num>
              <m:r>
                <w:rPr>
                  <w:rFonts w:ascii="Cambria Math" w:hAnsi="Cambria Math" w:cs="Arial"/>
                  <w:sz w:val="22"/>
                  <w:szCs w:val="22"/>
                </w:rPr>
                <m:t>-9.24</m:t>
              </m:r>
            </m:num>
            <m:den>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8,000</m:t>
                      </m:r>
                    </m:num>
                    <m:den>
                      <m:r>
                        <w:rPr>
                          <w:rFonts w:ascii="Cambria Math" w:hAnsi="Cambria Math" w:cs="Arial"/>
                          <w:sz w:val="22"/>
                          <w:szCs w:val="22"/>
                        </w:rPr>
                        <m:t>1,000</m:t>
                      </m:r>
                    </m:den>
                  </m:f>
                </m:e>
              </m:d>
            </m:den>
          </m:f>
        </m:oMath>
      </m:oMathPara>
    </w:p>
    <w:p w:rsidR="00072F35" w:rsidRPr="00D8220B" w:rsidRDefault="00C10029" w:rsidP="00072F35">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NDR</m:t>
              </m:r>
            </m:e>
            <m:sub>
              <m:r>
                <w:rPr>
                  <w:rFonts w:ascii="Cambria Math" w:hAnsi="Cambria Math" w:cs="Arial"/>
                  <w:sz w:val="22"/>
                  <w:szCs w:val="22"/>
                </w:rPr>
                <m:t>EPr</m:t>
              </m:r>
            </m:sub>
          </m:sSub>
          <m:r>
            <w:rPr>
              <w:rFonts w:ascii="Cambria Math" w:hAnsi="Cambria Math" w:cs="Arial"/>
              <w:sz w:val="22"/>
              <w:szCs w:val="22"/>
            </w:rPr>
            <m:t>=0.18</m:t>
          </m:r>
          <m:f>
            <m:fPr>
              <m:type m:val="skw"/>
              <m:ctrlPr>
                <w:rPr>
                  <w:rFonts w:ascii="Cambria Math" w:hAnsi="Cambria Math" w:cs="Arial"/>
                  <w:i/>
                  <w:sz w:val="22"/>
                  <w:szCs w:val="22"/>
                </w:rPr>
              </m:ctrlPr>
            </m:fPr>
            <m:num>
              <m:r>
                <w:rPr>
                  <w:rFonts w:ascii="Cambria Math" w:hAnsi="Cambria Math" w:cs="Arial"/>
                  <w:sz w:val="22"/>
                  <w:szCs w:val="22"/>
                </w:rPr>
                <m:t>kW</m:t>
              </m:r>
            </m:num>
            <m:den>
              <m:r>
                <w:rPr>
                  <w:rFonts w:ascii="Cambria Math" w:hAnsi="Cambria Math" w:cs="Arial"/>
                  <w:sz w:val="22"/>
                  <w:szCs w:val="22"/>
                </w:rPr>
                <m:t>Area-1kFP</m:t>
              </m:r>
            </m:den>
          </m:f>
        </m:oMath>
      </m:oMathPara>
    </w:p>
    <w:p w:rsidR="00072F35" w:rsidRPr="00D8220B" w:rsidRDefault="00072F35" w:rsidP="00072F35">
      <w:pPr>
        <w:ind w:left="720"/>
        <w:rPr>
          <w:rFonts w:asciiTheme="minorHAnsi" w:hAnsiTheme="minorHAnsi" w:cs="Arial"/>
          <w:sz w:val="22"/>
          <w:szCs w:val="22"/>
        </w:rPr>
      </w:pPr>
    </w:p>
    <w:p w:rsidR="00072F35" w:rsidRPr="00D8220B" w:rsidRDefault="00072F35" w:rsidP="00072F35">
      <w:pPr>
        <w:ind w:firstLine="720"/>
        <w:rPr>
          <w:rFonts w:asciiTheme="minorHAnsi" w:hAnsiTheme="minorHAnsi" w:cs="Arial"/>
          <w:sz w:val="22"/>
          <w:szCs w:val="22"/>
        </w:rPr>
      </w:pPr>
      <w:r w:rsidRPr="00D8220B">
        <w:rPr>
          <w:rFonts w:asciiTheme="minorHAnsi" w:hAnsiTheme="minorHAnsi" w:cs="Arial"/>
          <w:sz w:val="22"/>
          <w:szCs w:val="22"/>
        </w:rPr>
        <w:t>The demand reduction for primary schools (EPr) in climate zone 7 (CZ07) is:</w:t>
      </w:r>
    </w:p>
    <w:p w:rsidR="00072F35" w:rsidRPr="00D8220B" w:rsidRDefault="00072F35" w:rsidP="00072F35">
      <w:pPr>
        <w:ind w:left="720"/>
        <w:rPr>
          <w:rFonts w:asciiTheme="minorHAnsi" w:hAnsiTheme="minorHAnsi" w:cs="Arial"/>
          <w:sz w:val="22"/>
          <w:szCs w:val="22"/>
        </w:rPr>
      </w:pPr>
    </w:p>
    <w:p w:rsidR="00072F35" w:rsidRPr="00D8220B" w:rsidRDefault="00C10029" w:rsidP="00072F35">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DR</m:t>
              </m:r>
            </m:e>
            <m:sub>
              <m:r>
                <w:rPr>
                  <w:rFonts w:ascii="Cambria Math" w:hAnsi="Cambria Math" w:cs="Arial"/>
                  <w:sz w:val="22"/>
                  <w:szCs w:val="22"/>
                </w:rPr>
                <m:t>EPr</m:t>
              </m:r>
            </m:sub>
          </m:sSub>
          <m:r>
            <w:rPr>
              <w:rFonts w:ascii="Cambria Math" w:hAnsi="Cambria Math" w:cs="Arial"/>
              <w:sz w:val="22"/>
              <w:szCs w:val="22"/>
            </w:rPr>
            <m:t xml:space="preserve">   = 0.18*0.25</m:t>
          </m:r>
        </m:oMath>
      </m:oMathPara>
    </w:p>
    <w:p w:rsidR="00072F35" w:rsidRPr="00D8220B" w:rsidRDefault="00C10029" w:rsidP="00072F35">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DR</m:t>
              </m:r>
            </m:e>
            <m:sub>
              <m:r>
                <w:rPr>
                  <w:rFonts w:ascii="Cambria Math" w:hAnsi="Cambria Math" w:cs="Arial"/>
                  <w:sz w:val="22"/>
                  <w:szCs w:val="22"/>
                </w:rPr>
                <m:t xml:space="preserve">EPr    </m:t>
              </m:r>
            </m:sub>
          </m:sSub>
          <m:r>
            <w:rPr>
              <w:rFonts w:ascii="Cambria Math" w:hAnsi="Cambria Math" w:cs="Arial"/>
              <w:sz w:val="22"/>
              <w:szCs w:val="22"/>
            </w:rPr>
            <m:t xml:space="preserve">= -0.05 </m:t>
          </m:r>
          <m:f>
            <m:fPr>
              <m:type m:val="skw"/>
              <m:ctrlPr>
                <w:rPr>
                  <w:rFonts w:ascii="Cambria Math" w:hAnsi="Cambria Math" w:cs="Arial"/>
                  <w:i/>
                  <w:sz w:val="22"/>
                  <w:szCs w:val="22"/>
                </w:rPr>
              </m:ctrlPr>
            </m:fPr>
            <m:num>
              <m:r>
                <w:rPr>
                  <w:rFonts w:ascii="Cambria Math" w:hAnsi="Cambria Math" w:cs="Arial"/>
                  <w:sz w:val="22"/>
                  <w:szCs w:val="22"/>
                </w:rPr>
                <m:t>kW</m:t>
              </m:r>
            </m:num>
            <m:den>
              <m:r>
                <w:rPr>
                  <w:rFonts w:ascii="Cambria Math" w:hAnsi="Cambria Math" w:cs="Arial"/>
                  <w:sz w:val="22"/>
                  <w:szCs w:val="22"/>
                </w:rPr>
                <m:t>Area-1kFP</m:t>
              </m:r>
            </m:den>
          </m:f>
        </m:oMath>
      </m:oMathPara>
    </w:p>
    <w:p w:rsidR="007A3FB0" w:rsidRDefault="007A3FB0" w:rsidP="00C218D5">
      <w:pPr>
        <w:pStyle w:val="Heading2"/>
      </w:pPr>
    </w:p>
    <w:p w:rsidR="003F4FFF" w:rsidRPr="00D8220B" w:rsidRDefault="003F4FFF" w:rsidP="00C218D5">
      <w:pPr>
        <w:pStyle w:val="Heading2"/>
        <w:rPr>
          <w:rFonts w:asciiTheme="minorHAnsi" w:hAnsiTheme="minorHAnsi"/>
          <w:i w:val="0"/>
        </w:rPr>
      </w:pPr>
      <w:bookmarkStart w:id="52" w:name="_Toc404765884"/>
      <w:r w:rsidRPr="00D8220B">
        <w:rPr>
          <w:rFonts w:asciiTheme="minorHAnsi" w:hAnsiTheme="minorHAnsi"/>
          <w:i w:val="0"/>
        </w:rPr>
        <w:t>2.3. Gas Energy Savings Estimation Methodologies</w:t>
      </w:r>
      <w:bookmarkEnd w:id="52"/>
    </w:p>
    <w:p w:rsidR="00072F35" w:rsidRDefault="00072F35" w:rsidP="00072F35">
      <w:pPr>
        <w:rPr>
          <w:rFonts w:asciiTheme="minorHAnsi" w:hAnsiTheme="minorHAnsi" w:cs="Arial"/>
          <w:sz w:val="22"/>
          <w:szCs w:val="22"/>
        </w:rPr>
      </w:pPr>
      <w:r w:rsidRPr="00D8220B">
        <w:rPr>
          <w:rFonts w:asciiTheme="minorHAnsi" w:hAnsiTheme="minorHAnsi" w:cs="Arial"/>
          <w:sz w:val="22"/>
          <w:szCs w:val="22"/>
        </w:rPr>
        <w:t>The DEER 2014 database does not contain an updated measure for catalog measure DM-XX. The closest DEER measures are outdated and not eligible to be used in incentive calculations. Therefore, energy models were developed to estimate gas savings.</w:t>
      </w:r>
      <w:r w:rsidRPr="00D8220B">
        <w:rPr>
          <w:rFonts w:asciiTheme="minorHAnsi" w:hAnsiTheme="minorHAnsi" w:cs="Arial"/>
          <w:sz w:val="22"/>
          <w:szCs w:val="22"/>
        </w:rPr>
        <w:br/>
      </w:r>
      <w:r w:rsidRPr="00D8220B">
        <w:rPr>
          <w:rFonts w:asciiTheme="minorHAnsi" w:hAnsiTheme="minorHAnsi" w:cs="Arial"/>
          <w:sz w:val="22"/>
          <w:szCs w:val="22"/>
        </w:rPr>
        <w:br/>
        <w:t xml:space="preserve">Gas savings from installing PCTs was estimated by assuming that PCTs setback the HVAC systems during </w:t>
      </w:r>
      <w:r w:rsidRPr="00D8220B">
        <w:rPr>
          <w:rFonts w:asciiTheme="minorHAnsi" w:hAnsiTheme="minorHAnsi" w:cs="Arial"/>
          <w:sz w:val="22"/>
          <w:szCs w:val="22"/>
        </w:rPr>
        <w:lastRenderedPageBreak/>
        <w:t>unoccupied periods. The building occupied hours were defined in the DEER prototypes. It was assumed that the system fans would turn off one hour after occupied hours were over, and turn back on one hour before occupied hours began. During unoccupied periods, the thermostats were estimated to be setback to the following schedule:</w:t>
      </w:r>
    </w:p>
    <w:p w:rsidR="00D8220B" w:rsidRPr="00D8220B" w:rsidRDefault="00D8220B" w:rsidP="00072F35">
      <w:pPr>
        <w:rPr>
          <w:rFonts w:asciiTheme="minorHAnsi" w:hAnsiTheme="minorHAnsi" w:cs="Arial"/>
          <w:sz w:val="22"/>
          <w:szCs w:val="22"/>
        </w:rPr>
      </w:pPr>
    </w:p>
    <w:p w:rsidR="00B9722E" w:rsidRPr="00451245" w:rsidRDefault="00B9722E" w:rsidP="00B9722E">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17</w:t>
      </w:r>
      <w:r w:rsidRPr="00451245">
        <w:rPr>
          <w:rFonts w:asciiTheme="minorHAnsi" w:hAnsiTheme="minorHAnsi" w:cs="Arial"/>
          <w:sz w:val="22"/>
          <w:szCs w:val="22"/>
        </w:rPr>
        <w:t xml:space="preserve"> </w:t>
      </w:r>
      <w:r>
        <w:rPr>
          <w:rFonts w:asciiTheme="minorHAnsi" w:hAnsiTheme="minorHAnsi" w:cs="Arial"/>
          <w:b w:val="0"/>
          <w:sz w:val="22"/>
          <w:szCs w:val="22"/>
        </w:rPr>
        <w:t>Thermostat Setback Schedule</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tbl>
      <w:tblPr>
        <w:tblStyle w:val="TableGrid"/>
        <w:tblW w:w="0" w:type="auto"/>
        <w:jc w:val="center"/>
        <w:tblLook w:val="04A0" w:firstRow="1" w:lastRow="0" w:firstColumn="1" w:lastColumn="0" w:noHBand="0" w:noVBand="1"/>
      </w:tblPr>
      <w:tblGrid>
        <w:gridCol w:w="1311"/>
        <w:gridCol w:w="902"/>
      </w:tblGrid>
      <w:tr w:rsidR="00072F35" w:rsidRPr="00414A5B" w:rsidTr="00D8220B">
        <w:trPr>
          <w:trHeight w:val="503"/>
          <w:jc w:val="center"/>
        </w:trPr>
        <w:tc>
          <w:tcPr>
            <w:tcW w:w="0" w:type="auto"/>
            <w:gridSpan w:val="2"/>
            <w:tcBorders>
              <w:bottom w:val="single" w:sz="4" w:space="0" w:color="auto"/>
            </w:tcBorders>
            <w:shd w:val="clear" w:color="auto" w:fill="D9D9D9" w:themeFill="background1" w:themeFillShade="D9"/>
            <w:vAlign w:val="center"/>
          </w:tcPr>
          <w:p w:rsidR="00072F35" w:rsidRPr="00D8220B" w:rsidRDefault="00072F35" w:rsidP="00072F35">
            <w:pPr>
              <w:jc w:val="center"/>
              <w:rPr>
                <w:rFonts w:asciiTheme="minorHAnsi" w:hAnsiTheme="minorHAnsi" w:cs="Arial"/>
                <w:b/>
                <w:sz w:val="22"/>
                <w:szCs w:val="22"/>
              </w:rPr>
            </w:pPr>
            <w:r w:rsidRPr="00D8220B">
              <w:rPr>
                <w:rFonts w:asciiTheme="minorHAnsi" w:hAnsiTheme="minorHAnsi" w:cs="Arial"/>
                <w:b/>
                <w:sz w:val="22"/>
                <w:szCs w:val="22"/>
              </w:rPr>
              <w:t>Unoccupied Setpoints</w:t>
            </w:r>
          </w:p>
        </w:tc>
      </w:tr>
      <w:tr w:rsidR="00072F35" w:rsidRPr="00414A5B" w:rsidTr="00D8220B">
        <w:trPr>
          <w:trHeight w:val="332"/>
          <w:jc w:val="center"/>
        </w:trPr>
        <w:tc>
          <w:tcPr>
            <w:tcW w:w="0" w:type="auto"/>
            <w:shd w:val="clear" w:color="auto" w:fill="F2F2F2" w:themeFill="background1" w:themeFillShade="F2"/>
            <w:vAlign w:val="center"/>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Heating</w:t>
            </w:r>
          </w:p>
        </w:tc>
        <w:tc>
          <w:tcPr>
            <w:tcW w:w="0" w:type="auto"/>
            <w:shd w:val="clear" w:color="auto" w:fill="F2F2F2" w:themeFill="background1" w:themeFillShade="F2"/>
            <w:vAlign w:val="center"/>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55⁰F</w:t>
            </w:r>
          </w:p>
        </w:tc>
      </w:tr>
      <w:tr w:rsidR="00072F35" w:rsidRPr="00414A5B" w:rsidTr="00072F35">
        <w:trPr>
          <w:trHeight w:val="350"/>
          <w:jc w:val="center"/>
        </w:trPr>
        <w:tc>
          <w:tcPr>
            <w:tcW w:w="0" w:type="auto"/>
            <w:vAlign w:val="center"/>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Cooling</w:t>
            </w:r>
          </w:p>
        </w:tc>
        <w:tc>
          <w:tcPr>
            <w:tcW w:w="0" w:type="auto"/>
            <w:vAlign w:val="center"/>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85⁰F</w:t>
            </w:r>
          </w:p>
        </w:tc>
      </w:tr>
    </w:tbl>
    <w:p w:rsidR="00072F35" w:rsidRDefault="00072F35" w:rsidP="00072F35">
      <w:pPr>
        <w:rPr>
          <w:rFonts w:ascii="Arial" w:hAnsi="Arial" w:cs="Arial"/>
          <w:sz w:val="22"/>
          <w:szCs w:val="22"/>
        </w:rPr>
      </w:pP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 xml:space="preserve">The savings for this measure result from scheduling the PCTs to setback the heating and cooling setpoints during unoccupied periods. </w:t>
      </w:r>
      <w:r w:rsidRPr="00D8220B">
        <w:rPr>
          <w:rFonts w:asciiTheme="minorHAnsi" w:hAnsiTheme="minorHAnsi" w:cs="Arial"/>
          <w:sz w:val="22"/>
          <w:szCs w:val="22"/>
        </w:rPr>
        <w:br/>
      </w: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Gas savings for each building type is comprised of the weighted average gas savings from each building vintage. Gas savings from each building vintage was averaged using DEER 2013-14 population weights</w:t>
      </w:r>
      <w:r w:rsidR="00227654" w:rsidRPr="00D8220B">
        <w:rPr>
          <w:rFonts w:asciiTheme="minorHAnsi" w:hAnsiTheme="minorHAnsi"/>
          <w:sz w:val="22"/>
          <w:szCs w:val="22"/>
        </w:rPr>
        <w:fldChar w:fldCharType="begin"/>
      </w:r>
      <w:r w:rsidR="00227654" w:rsidRPr="00D8220B">
        <w:rPr>
          <w:rFonts w:asciiTheme="minorHAnsi" w:hAnsiTheme="minorHAnsi"/>
          <w:sz w:val="22"/>
          <w:szCs w:val="22"/>
        </w:rPr>
        <w:instrText xml:space="preserve"> NOTEREF _Ref404264251 \h  \* MERGEFORMAT </w:instrText>
      </w:r>
      <w:r w:rsidR="00227654" w:rsidRPr="00D8220B">
        <w:rPr>
          <w:rFonts w:asciiTheme="minorHAnsi" w:hAnsiTheme="minorHAnsi"/>
          <w:sz w:val="22"/>
          <w:szCs w:val="22"/>
        </w:rPr>
      </w:r>
      <w:r w:rsidR="00227654" w:rsidRPr="00D8220B">
        <w:rPr>
          <w:rFonts w:asciiTheme="minorHAnsi" w:hAnsiTheme="minorHAnsi"/>
          <w:sz w:val="22"/>
          <w:szCs w:val="22"/>
        </w:rPr>
        <w:fldChar w:fldCharType="separate"/>
      </w:r>
      <w:r w:rsidRPr="00D8220B">
        <w:rPr>
          <w:rFonts w:asciiTheme="minorHAnsi" w:hAnsiTheme="minorHAnsi" w:cs="Arial"/>
          <w:sz w:val="22"/>
          <w:szCs w:val="22"/>
          <w:vertAlign w:val="superscript"/>
        </w:rPr>
        <w:t>10</w:t>
      </w:r>
      <w:r w:rsidR="00227654" w:rsidRPr="00D8220B">
        <w:rPr>
          <w:rFonts w:asciiTheme="minorHAnsi" w:hAnsiTheme="minorHAnsi"/>
          <w:sz w:val="22"/>
          <w:szCs w:val="22"/>
        </w:rPr>
        <w:fldChar w:fldCharType="end"/>
      </w:r>
      <w:r w:rsidRPr="00D8220B">
        <w:rPr>
          <w:rFonts w:asciiTheme="minorHAnsi" w:hAnsiTheme="minorHAnsi" w:cs="Arial"/>
          <w:sz w:val="22"/>
          <w:szCs w:val="22"/>
        </w:rPr>
        <w:t xml:space="preserve"> to get the gas savings for each building type.</w:t>
      </w:r>
    </w:p>
    <w:p w:rsidR="00072F35" w:rsidRPr="00D8220B" w:rsidRDefault="00072F35" w:rsidP="00072F35">
      <w:pPr>
        <w:rPr>
          <w:rFonts w:asciiTheme="minorHAnsi" w:hAnsiTheme="minorHAnsi" w:cs="Arial"/>
          <w:sz w:val="22"/>
          <w:szCs w:val="22"/>
        </w:rPr>
      </w:pP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Based on the CPUC Workpaper Disposition for Non-Residential HVAC Rooftop Quality Maintenance</w:t>
      </w:r>
      <w:r w:rsidR="00227654" w:rsidRPr="00D8220B">
        <w:rPr>
          <w:rFonts w:asciiTheme="minorHAnsi" w:hAnsiTheme="minorHAnsi"/>
          <w:sz w:val="22"/>
          <w:szCs w:val="22"/>
        </w:rPr>
        <w:fldChar w:fldCharType="begin"/>
      </w:r>
      <w:r w:rsidR="00227654" w:rsidRPr="00D8220B">
        <w:rPr>
          <w:rFonts w:asciiTheme="minorHAnsi" w:hAnsiTheme="minorHAnsi"/>
          <w:sz w:val="22"/>
          <w:szCs w:val="22"/>
        </w:rPr>
        <w:instrText xml:space="preserve"> NOTEREF _Ref404599497 \h  \* MERGEFORMAT </w:instrText>
      </w:r>
      <w:r w:rsidR="00227654" w:rsidRPr="00D8220B">
        <w:rPr>
          <w:rFonts w:asciiTheme="minorHAnsi" w:hAnsiTheme="minorHAnsi"/>
          <w:sz w:val="22"/>
          <w:szCs w:val="22"/>
        </w:rPr>
      </w:r>
      <w:r w:rsidR="00227654" w:rsidRPr="00D8220B">
        <w:rPr>
          <w:rFonts w:asciiTheme="minorHAnsi" w:hAnsiTheme="minorHAnsi"/>
          <w:sz w:val="22"/>
          <w:szCs w:val="22"/>
        </w:rPr>
        <w:fldChar w:fldCharType="separate"/>
      </w:r>
      <w:r w:rsidRPr="00D8220B">
        <w:rPr>
          <w:rFonts w:asciiTheme="minorHAnsi" w:hAnsiTheme="minorHAnsi"/>
          <w:sz w:val="22"/>
          <w:szCs w:val="22"/>
        </w:rPr>
        <w:t>4</w:t>
      </w:r>
      <w:r w:rsidR="00227654" w:rsidRPr="00D8220B">
        <w:rPr>
          <w:rFonts w:asciiTheme="minorHAnsi" w:hAnsiTheme="minorHAnsi"/>
          <w:sz w:val="22"/>
          <w:szCs w:val="22"/>
        </w:rPr>
        <w:fldChar w:fldCharType="end"/>
      </w:r>
      <w:r w:rsidRPr="00D8220B">
        <w:rPr>
          <w:rFonts w:asciiTheme="minorHAnsi" w:hAnsiTheme="minorHAnsi" w:cs="Arial"/>
          <w:sz w:val="22"/>
          <w:szCs w:val="22"/>
        </w:rPr>
        <w:t>, the CPUC has found the previous savings estimates for this measure to be overly optimistic. The disposition noted that, among other things, this measure does not account for overriding time clock operation, or for facilities that require continuous space conditioning. Therefore, a gross savings adjustment (GSA) multiplier of 25% must be applied to the energy savings for this measure, to account for non-ideal installations.</w:t>
      </w:r>
    </w:p>
    <w:p w:rsidR="00072F35" w:rsidRPr="00D8220B" w:rsidRDefault="00072F35" w:rsidP="00072F35">
      <w:pPr>
        <w:rPr>
          <w:rFonts w:asciiTheme="minorHAnsi" w:hAnsiTheme="minorHAnsi" w:cs="Arial"/>
          <w:sz w:val="22"/>
          <w:szCs w:val="22"/>
        </w:rPr>
      </w:pP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The energy use is normalized to therms per 1,000 square feet (kFP) by dividing by the square footage of each building.</w:t>
      </w:r>
    </w:p>
    <w:p w:rsidR="00072F35" w:rsidRDefault="00072F35" w:rsidP="00072F35">
      <w:pPr>
        <w:rPr>
          <w:rFonts w:ascii="Arial" w:hAnsi="Arial" w:cs="Arial"/>
          <w:sz w:val="22"/>
          <w:szCs w:val="22"/>
        </w:rPr>
      </w:pPr>
    </w:p>
    <w:p w:rsidR="00072F35" w:rsidRPr="00D8220B" w:rsidRDefault="00072F35" w:rsidP="00072F35">
      <w:pPr>
        <w:rPr>
          <w:rFonts w:asciiTheme="minorHAnsi" w:hAnsiTheme="minorHAnsi" w:cs="Arial"/>
          <w:b/>
          <w:sz w:val="22"/>
          <w:szCs w:val="22"/>
        </w:rPr>
      </w:pPr>
      <w:r w:rsidRPr="00D8220B">
        <w:rPr>
          <w:rFonts w:asciiTheme="minorHAnsi" w:hAnsiTheme="minorHAnsi" w:cs="Arial"/>
          <w:b/>
          <w:sz w:val="22"/>
          <w:szCs w:val="22"/>
        </w:rPr>
        <w:t>∆Therms per Area-1kFP for DM-XX:</w:t>
      </w:r>
      <w:r w:rsidRPr="00D8220B" w:rsidDel="00CF3FF0">
        <w:rPr>
          <w:rFonts w:asciiTheme="minorHAnsi" w:hAnsiTheme="minorHAnsi" w:cs="Arial"/>
          <w:b/>
          <w:sz w:val="22"/>
          <w:szCs w:val="22"/>
        </w:rPr>
        <w:t xml:space="preserve"> </w:t>
      </w: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The gas savings (therms per Area-1kFP) for measure DM-XX is calculated from energy modeling results. The modeling results provide gas savings for four building vintages (1975-2003) for each building type in each climate zone. The gas savings for each building type in each climate zone was estimated by taking the weighted average savings from each building vintage as shown in the formula below:</w:t>
      </w:r>
    </w:p>
    <w:p w:rsidR="00072F35" w:rsidRPr="00D8220B" w:rsidRDefault="00072F35" w:rsidP="00072F35">
      <w:pPr>
        <w:rPr>
          <w:rFonts w:asciiTheme="minorHAnsi" w:hAnsiTheme="minorHAnsi" w:cs="Arial"/>
          <w:sz w:val="22"/>
          <w:szCs w:val="22"/>
        </w:rPr>
      </w:pPr>
    </w:p>
    <w:p w:rsidR="00072F35" w:rsidRPr="00D8220B" w:rsidRDefault="00C10029" w:rsidP="00072F35">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WGS</m:t>
              </m:r>
            </m:e>
            <m:sub>
              <m:r>
                <w:rPr>
                  <w:rFonts w:ascii="Cambria Math" w:hAnsi="Cambria Math" w:cs="Arial"/>
                  <w:sz w:val="22"/>
                  <w:szCs w:val="22"/>
                </w:rPr>
                <m:t>BT</m:t>
              </m:r>
            </m:sub>
          </m:sSub>
          <m:r>
            <w:rPr>
              <w:rFonts w:ascii="Cambria Math" w:hAnsi="Cambria Math" w:cs="Arial"/>
              <w:sz w:val="22"/>
              <w:szCs w:val="22"/>
            </w:rPr>
            <m:t xml:space="preserve">= </m:t>
          </m:r>
          <m:nary>
            <m:naryPr>
              <m:chr m:val="∑"/>
              <m:limLoc m:val="undOvr"/>
              <m:subHide m:val="1"/>
              <m:supHide m:val="1"/>
              <m:ctrlPr>
                <w:rPr>
                  <w:rFonts w:ascii="Cambria Math" w:hAnsi="Cambria Math" w:cs="Arial"/>
                  <w:i/>
                  <w:sz w:val="22"/>
                  <w:szCs w:val="22"/>
                </w:rPr>
              </m:ctrlPr>
            </m:naryPr>
            <m:sub/>
            <m:sup/>
            <m:e>
              <m:sSub>
                <m:sSubPr>
                  <m:ctrlPr>
                    <w:rPr>
                      <w:rFonts w:ascii="Cambria Math" w:hAnsi="Cambria Math" w:cs="Arial"/>
                      <w:i/>
                      <w:sz w:val="22"/>
                      <w:szCs w:val="22"/>
                    </w:rPr>
                  </m:ctrlPr>
                </m:sSubPr>
                <m:e>
                  <m:r>
                    <w:rPr>
                      <w:rFonts w:ascii="Cambria Math" w:hAnsi="Cambria Math" w:cs="Arial"/>
                      <w:sz w:val="22"/>
                      <w:szCs w:val="22"/>
                    </w:rPr>
                    <m:t>BGU</m:t>
                  </m:r>
                </m:e>
                <m:sub>
                  <m:r>
                    <w:rPr>
                      <w:rFonts w:ascii="Cambria Math" w:hAnsi="Cambria Math" w:cs="Arial"/>
                      <w:sz w:val="22"/>
                      <w:szCs w:val="22"/>
                    </w:rPr>
                    <m:t>BV</m:t>
                  </m:r>
                </m:sub>
              </m:sSub>
            </m:e>
          </m:nary>
          <m:r>
            <w:rPr>
              <w:rFonts w:ascii="Cambria Math" w:hAnsi="Cambria Math" w:cs="Cambria Math"/>
              <w:sz w:val="22"/>
              <w:szCs w:val="22"/>
            </w:rPr>
            <m:t>*</m:t>
          </m:r>
          <m:sSub>
            <m:sSubPr>
              <m:ctrlPr>
                <w:rPr>
                  <w:rFonts w:ascii="Cambria Math" w:hAnsi="Cambria Math" w:cs="Arial"/>
                  <w:i/>
                  <w:sz w:val="22"/>
                  <w:szCs w:val="22"/>
                </w:rPr>
              </m:ctrlPr>
            </m:sSubPr>
            <m:e>
              <m:r>
                <w:rPr>
                  <w:rFonts w:ascii="Cambria Math" w:hAnsi="Cambria Math" w:cs="Arial"/>
                  <w:sz w:val="22"/>
                  <w:szCs w:val="22"/>
                </w:rPr>
                <m:t>WF</m:t>
              </m:r>
            </m:e>
            <m:sub>
              <m:r>
                <w:rPr>
                  <w:rFonts w:ascii="Cambria Math" w:hAnsi="Cambria Math" w:cs="Arial"/>
                  <w:sz w:val="22"/>
                  <w:szCs w:val="22"/>
                </w:rPr>
                <m:t>BV</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PGU</m:t>
              </m:r>
            </m:e>
            <m:sub>
              <m:r>
                <w:rPr>
                  <w:rFonts w:ascii="Cambria Math" w:hAnsi="Cambria Math" w:cs="Arial"/>
                  <w:sz w:val="22"/>
                  <w:szCs w:val="22"/>
                </w:rPr>
                <m:t>BV</m:t>
              </m:r>
            </m:sub>
          </m:sSub>
          <m:r>
            <w:rPr>
              <w:rFonts w:ascii="Cambria Math" w:hAnsi="Cambria Math" w:cs="Cambria Math"/>
              <w:sz w:val="22"/>
              <w:szCs w:val="22"/>
            </w:rPr>
            <m:t>*</m:t>
          </m:r>
          <m:sSub>
            <m:sSubPr>
              <m:ctrlPr>
                <w:rPr>
                  <w:rFonts w:ascii="Cambria Math" w:hAnsi="Cambria Math" w:cs="Arial"/>
                  <w:i/>
                  <w:sz w:val="22"/>
                  <w:szCs w:val="22"/>
                </w:rPr>
              </m:ctrlPr>
            </m:sSubPr>
            <m:e>
              <m:r>
                <w:rPr>
                  <w:rFonts w:ascii="Cambria Math" w:hAnsi="Cambria Math" w:cs="Arial"/>
                  <w:sz w:val="22"/>
                  <w:szCs w:val="22"/>
                </w:rPr>
                <m:t>WF</m:t>
              </m:r>
            </m:e>
            <m:sub>
              <m:r>
                <w:rPr>
                  <w:rFonts w:ascii="Cambria Math" w:hAnsi="Cambria Math" w:cs="Arial"/>
                  <w:sz w:val="22"/>
                  <w:szCs w:val="22"/>
                </w:rPr>
                <m:t>BV</m:t>
              </m:r>
            </m:sub>
          </m:sSub>
        </m:oMath>
      </m:oMathPara>
    </w:p>
    <w:p w:rsidR="00072F35" w:rsidRPr="00D8220B" w:rsidRDefault="00072F35" w:rsidP="00072F35">
      <w:pPr>
        <w:rPr>
          <w:rFonts w:asciiTheme="minorHAnsi" w:hAnsiTheme="minorHAnsi" w:cs="Arial"/>
          <w:sz w:val="22"/>
          <w:szCs w:val="22"/>
        </w:rPr>
      </w:pP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Where,</w:t>
      </w: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ab/>
        <w:t>WGS</w:t>
      </w:r>
      <w:r w:rsidRPr="00D8220B">
        <w:rPr>
          <w:rFonts w:asciiTheme="minorHAnsi" w:hAnsiTheme="minorHAnsi" w:cs="Arial"/>
          <w:sz w:val="22"/>
          <w:szCs w:val="22"/>
          <w:vertAlign w:val="subscript"/>
        </w:rPr>
        <w:t>BT</w:t>
      </w:r>
      <w:r w:rsidRPr="00D8220B">
        <w:rPr>
          <w:rFonts w:asciiTheme="minorHAnsi" w:hAnsiTheme="minorHAnsi" w:cs="Arial"/>
          <w:sz w:val="22"/>
          <w:szCs w:val="22"/>
        </w:rPr>
        <w:tab/>
        <w:t>= weighted gas savings per building type, therms</w:t>
      </w:r>
    </w:p>
    <w:p w:rsidR="00072F35" w:rsidRPr="00D8220B" w:rsidRDefault="00072F35" w:rsidP="00072F35">
      <w:pPr>
        <w:ind w:firstLine="720"/>
        <w:rPr>
          <w:rFonts w:asciiTheme="minorHAnsi" w:hAnsiTheme="minorHAnsi" w:cs="Arial"/>
          <w:sz w:val="22"/>
          <w:szCs w:val="22"/>
        </w:rPr>
      </w:pPr>
      <w:r w:rsidRPr="00D8220B">
        <w:rPr>
          <w:rFonts w:asciiTheme="minorHAnsi" w:hAnsiTheme="minorHAnsi" w:cs="Arial"/>
          <w:sz w:val="22"/>
          <w:szCs w:val="22"/>
        </w:rPr>
        <w:t>BGU</w:t>
      </w:r>
      <w:r w:rsidRPr="00D8220B">
        <w:rPr>
          <w:rFonts w:asciiTheme="minorHAnsi" w:hAnsiTheme="minorHAnsi" w:cs="Arial"/>
          <w:sz w:val="22"/>
          <w:szCs w:val="22"/>
          <w:vertAlign w:val="subscript"/>
        </w:rPr>
        <w:t>BV</w:t>
      </w:r>
      <w:r w:rsidRPr="00D8220B">
        <w:rPr>
          <w:rFonts w:asciiTheme="minorHAnsi" w:hAnsiTheme="minorHAnsi" w:cs="Arial"/>
          <w:sz w:val="22"/>
          <w:szCs w:val="22"/>
        </w:rPr>
        <w:tab/>
        <w:t>= baseline gas usage per building vintage, therms</w:t>
      </w:r>
      <w:r w:rsidRPr="00D8220B">
        <w:rPr>
          <w:rFonts w:asciiTheme="minorHAnsi" w:hAnsiTheme="minorHAnsi" w:cs="Arial"/>
          <w:sz w:val="22"/>
          <w:szCs w:val="22"/>
        </w:rPr>
        <w:tab/>
      </w:r>
    </w:p>
    <w:p w:rsidR="00072F35" w:rsidRPr="00D8220B" w:rsidRDefault="00072F35" w:rsidP="00072F35">
      <w:pPr>
        <w:ind w:firstLine="720"/>
        <w:rPr>
          <w:rFonts w:asciiTheme="minorHAnsi" w:hAnsiTheme="minorHAnsi" w:cs="Arial"/>
          <w:sz w:val="22"/>
          <w:szCs w:val="22"/>
        </w:rPr>
      </w:pPr>
      <w:r w:rsidRPr="00D8220B">
        <w:rPr>
          <w:rFonts w:asciiTheme="minorHAnsi" w:hAnsiTheme="minorHAnsi" w:cs="Arial"/>
          <w:sz w:val="22"/>
          <w:szCs w:val="22"/>
        </w:rPr>
        <w:t>PGU</w:t>
      </w:r>
      <w:r w:rsidRPr="00D8220B">
        <w:rPr>
          <w:rFonts w:asciiTheme="minorHAnsi" w:hAnsiTheme="minorHAnsi" w:cs="Arial"/>
          <w:sz w:val="22"/>
          <w:szCs w:val="22"/>
          <w:vertAlign w:val="subscript"/>
        </w:rPr>
        <w:t>BV</w:t>
      </w:r>
      <w:r w:rsidRPr="00D8220B">
        <w:rPr>
          <w:rFonts w:asciiTheme="minorHAnsi" w:hAnsiTheme="minorHAnsi" w:cs="Arial"/>
          <w:sz w:val="22"/>
          <w:szCs w:val="22"/>
        </w:rPr>
        <w:tab/>
        <w:t>= proposed gas usage per building vintage, therms</w:t>
      </w:r>
    </w:p>
    <w:p w:rsidR="00072F35" w:rsidRPr="00D8220B" w:rsidRDefault="00072F35" w:rsidP="00072F35">
      <w:pPr>
        <w:ind w:firstLine="720"/>
        <w:rPr>
          <w:rFonts w:asciiTheme="minorHAnsi" w:hAnsiTheme="minorHAnsi" w:cs="Arial"/>
          <w:sz w:val="22"/>
          <w:szCs w:val="22"/>
        </w:rPr>
      </w:pPr>
      <w:r w:rsidRPr="00D8220B">
        <w:rPr>
          <w:rFonts w:asciiTheme="minorHAnsi" w:hAnsiTheme="minorHAnsi" w:cs="Arial"/>
          <w:sz w:val="22"/>
          <w:szCs w:val="22"/>
        </w:rPr>
        <w:t>WF</w:t>
      </w:r>
      <w:r w:rsidRPr="00D8220B">
        <w:rPr>
          <w:rFonts w:asciiTheme="minorHAnsi" w:hAnsiTheme="minorHAnsi" w:cs="Arial"/>
          <w:sz w:val="22"/>
          <w:szCs w:val="22"/>
          <w:vertAlign w:val="subscript"/>
        </w:rPr>
        <w:t>BV</w:t>
      </w:r>
      <w:r w:rsidRPr="00D8220B">
        <w:rPr>
          <w:rFonts w:asciiTheme="minorHAnsi" w:hAnsiTheme="minorHAnsi" w:cs="Arial"/>
          <w:sz w:val="22"/>
          <w:szCs w:val="22"/>
        </w:rPr>
        <w:tab/>
        <w:t>= weighting factor per building vintage</w:t>
      </w:r>
      <w:r w:rsidR="00227654" w:rsidRPr="00D8220B">
        <w:rPr>
          <w:rFonts w:asciiTheme="minorHAnsi" w:hAnsiTheme="minorHAnsi"/>
          <w:sz w:val="22"/>
          <w:szCs w:val="22"/>
        </w:rPr>
        <w:fldChar w:fldCharType="begin"/>
      </w:r>
      <w:r w:rsidR="00227654" w:rsidRPr="00D8220B">
        <w:rPr>
          <w:rFonts w:asciiTheme="minorHAnsi" w:hAnsiTheme="minorHAnsi"/>
          <w:sz w:val="22"/>
          <w:szCs w:val="22"/>
        </w:rPr>
        <w:instrText xml:space="preserve"> NOTEREF _Ref404264251 \h  \* MERGEFORMAT </w:instrText>
      </w:r>
      <w:r w:rsidR="00227654" w:rsidRPr="00D8220B">
        <w:rPr>
          <w:rFonts w:asciiTheme="minorHAnsi" w:hAnsiTheme="minorHAnsi"/>
          <w:sz w:val="22"/>
          <w:szCs w:val="22"/>
        </w:rPr>
      </w:r>
      <w:r w:rsidR="00227654" w:rsidRPr="00D8220B">
        <w:rPr>
          <w:rFonts w:asciiTheme="minorHAnsi" w:hAnsiTheme="minorHAnsi"/>
          <w:sz w:val="22"/>
          <w:szCs w:val="22"/>
        </w:rPr>
        <w:fldChar w:fldCharType="separate"/>
      </w:r>
      <w:r w:rsidRPr="00D8220B">
        <w:rPr>
          <w:rFonts w:asciiTheme="minorHAnsi" w:hAnsiTheme="minorHAnsi" w:cs="Arial"/>
          <w:sz w:val="22"/>
          <w:szCs w:val="22"/>
          <w:vertAlign w:val="superscript"/>
        </w:rPr>
        <w:t>10</w:t>
      </w:r>
      <w:r w:rsidR="00227654" w:rsidRPr="00D8220B">
        <w:rPr>
          <w:rFonts w:asciiTheme="minorHAnsi" w:hAnsiTheme="minorHAnsi"/>
          <w:sz w:val="22"/>
          <w:szCs w:val="22"/>
        </w:rPr>
        <w:fldChar w:fldCharType="end"/>
      </w:r>
      <w:r w:rsidRPr="00D8220B">
        <w:rPr>
          <w:rFonts w:asciiTheme="minorHAnsi" w:hAnsiTheme="minorHAnsi" w:cs="Arial"/>
          <w:sz w:val="22"/>
          <w:szCs w:val="22"/>
        </w:rPr>
        <w:t>, no units</w:t>
      </w:r>
    </w:p>
    <w:p w:rsidR="00072F35" w:rsidRPr="00D8220B" w:rsidRDefault="00072F35" w:rsidP="00072F35">
      <w:pPr>
        <w:rPr>
          <w:rFonts w:asciiTheme="minorHAnsi" w:hAnsiTheme="minorHAnsi" w:cs="Arial"/>
          <w:sz w:val="22"/>
          <w:szCs w:val="22"/>
        </w:rPr>
      </w:pP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The weighted gas savings for each climate zone is then normalized to the square footage of each building type as shown in the formula below:</w:t>
      </w:r>
    </w:p>
    <w:p w:rsidR="00072F35" w:rsidRPr="00D8220B" w:rsidRDefault="00072F35" w:rsidP="00072F35">
      <w:pPr>
        <w:rPr>
          <w:rFonts w:asciiTheme="minorHAnsi" w:hAnsiTheme="minorHAnsi" w:cs="Arial"/>
          <w:sz w:val="22"/>
          <w:szCs w:val="22"/>
        </w:rPr>
      </w:pPr>
    </w:p>
    <w:p w:rsidR="00072F35" w:rsidRPr="00D8220B" w:rsidRDefault="00C10029" w:rsidP="00072F35">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NGS</m:t>
              </m:r>
            </m:e>
            <m:sub>
              <m:r>
                <w:rPr>
                  <w:rFonts w:ascii="Cambria Math" w:hAnsi="Cambria Math" w:cs="Arial"/>
                  <w:sz w:val="22"/>
                  <w:szCs w:val="22"/>
                </w:rPr>
                <m:t>BT</m:t>
              </m:r>
            </m:sub>
          </m:sSub>
          <m:r>
            <w:rPr>
              <w:rFonts w:ascii="Cambria Math" w:hAnsi="Cambria Math" w:cs="Arial"/>
              <w:sz w:val="22"/>
              <w:szCs w:val="22"/>
            </w:rPr>
            <m:t>=</m:t>
          </m:r>
          <m:f>
            <m:fPr>
              <m:type m:val="lin"/>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WGS</m:t>
                  </m:r>
                </m:e>
                <m:sub>
                  <m:r>
                    <w:rPr>
                      <w:rFonts w:ascii="Cambria Math" w:hAnsi="Cambria Math" w:cs="Arial"/>
                      <w:sz w:val="22"/>
                      <w:szCs w:val="22"/>
                    </w:rPr>
                    <m:t>BT</m:t>
                  </m:r>
                </m:sub>
              </m:sSub>
            </m:num>
            <m:den>
              <m:d>
                <m:dPr>
                  <m:ctrlPr>
                    <w:rPr>
                      <w:rFonts w:ascii="Cambria Math" w:hAnsi="Cambria Math" w:cs="Arial"/>
                      <w:i/>
                      <w:sz w:val="22"/>
                      <w:szCs w:val="22"/>
                    </w:rPr>
                  </m:ctrlPr>
                </m:dPr>
                <m:e>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A</m:t>
                          </m:r>
                        </m:e>
                        <m:sub>
                          <m:r>
                            <w:rPr>
                              <w:rFonts w:ascii="Cambria Math" w:hAnsi="Cambria Math" w:cs="Arial"/>
                              <w:sz w:val="22"/>
                              <w:szCs w:val="22"/>
                            </w:rPr>
                            <m:t>BT</m:t>
                          </m:r>
                        </m:sub>
                      </m:sSub>
                    </m:num>
                    <m:den>
                      <m:r>
                        <w:rPr>
                          <w:rFonts w:ascii="Cambria Math" w:hAnsi="Cambria Math" w:cs="Arial"/>
                          <w:sz w:val="22"/>
                          <w:szCs w:val="22"/>
                        </w:rPr>
                        <m:t>C</m:t>
                      </m:r>
                    </m:den>
                  </m:f>
                </m:e>
              </m:d>
            </m:den>
          </m:f>
        </m:oMath>
      </m:oMathPara>
    </w:p>
    <w:p w:rsidR="00072F35" w:rsidRDefault="00072F35" w:rsidP="00072F35">
      <w:pPr>
        <w:rPr>
          <w:rFonts w:ascii="Arial" w:hAnsi="Arial" w:cs="Arial"/>
          <w:sz w:val="22"/>
          <w:szCs w:val="22"/>
        </w:rPr>
      </w:pP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Where,</w:t>
      </w: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ab/>
        <w:t>NGS</w:t>
      </w:r>
      <w:r w:rsidRPr="00D8220B">
        <w:rPr>
          <w:rFonts w:asciiTheme="minorHAnsi" w:hAnsiTheme="minorHAnsi" w:cs="Arial"/>
          <w:sz w:val="22"/>
          <w:szCs w:val="22"/>
          <w:vertAlign w:val="subscript"/>
        </w:rPr>
        <w:t>BT</w:t>
      </w:r>
      <w:r w:rsidRPr="00D8220B">
        <w:rPr>
          <w:rFonts w:asciiTheme="minorHAnsi" w:hAnsiTheme="minorHAnsi" w:cs="Arial"/>
          <w:sz w:val="22"/>
          <w:szCs w:val="22"/>
        </w:rPr>
        <w:tab/>
        <w:t>= normalized gas savings, therms/ Area-1kFP</w:t>
      </w: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ab/>
        <w:t>A</w:t>
      </w:r>
      <w:r w:rsidRPr="00D8220B">
        <w:rPr>
          <w:rFonts w:asciiTheme="minorHAnsi" w:hAnsiTheme="minorHAnsi" w:cs="Arial"/>
          <w:sz w:val="22"/>
          <w:szCs w:val="22"/>
          <w:vertAlign w:val="subscript"/>
        </w:rPr>
        <w:t>BT</w:t>
      </w:r>
      <w:r w:rsidRPr="00D8220B">
        <w:rPr>
          <w:rFonts w:asciiTheme="minorHAnsi" w:hAnsiTheme="minorHAnsi" w:cs="Arial"/>
          <w:sz w:val="22"/>
          <w:szCs w:val="22"/>
        </w:rPr>
        <w:tab/>
        <w:t>= area of the building, sq ft</w:t>
      </w: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ab/>
        <w:t>C</w:t>
      </w:r>
      <w:r w:rsidRPr="00D8220B">
        <w:rPr>
          <w:rFonts w:asciiTheme="minorHAnsi" w:hAnsiTheme="minorHAnsi" w:cs="Arial"/>
          <w:sz w:val="22"/>
          <w:szCs w:val="22"/>
        </w:rPr>
        <w:tab/>
        <w:t>= per 1000 sq ft, 1000, no units</w:t>
      </w:r>
    </w:p>
    <w:p w:rsidR="00072F35" w:rsidRDefault="00072F35" w:rsidP="00072F35">
      <w:pPr>
        <w:rPr>
          <w:rFonts w:ascii="Arial" w:hAnsi="Arial" w:cs="Arial"/>
          <w:sz w:val="22"/>
          <w:szCs w:val="22"/>
        </w:rPr>
      </w:pP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Savings from the modeling results were multiplied by a factor of 25% as shown in the formula below:</w:t>
      </w:r>
    </w:p>
    <w:p w:rsidR="00072F35" w:rsidRPr="00D8220B" w:rsidRDefault="00072F35" w:rsidP="00072F35">
      <w:pPr>
        <w:rPr>
          <w:rFonts w:asciiTheme="minorHAnsi" w:hAnsiTheme="minorHAnsi" w:cs="Arial"/>
          <w:sz w:val="28"/>
          <w:szCs w:val="28"/>
        </w:rPr>
      </w:pPr>
    </w:p>
    <w:p w:rsidR="00072F35" w:rsidRPr="00D8220B" w:rsidRDefault="00C10029" w:rsidP="00072F35">
      <w:pPr>
        <w:rPr>
          <w:rFonts w:asciiTheme="minorHAnsi" w:hAnsiTheme="minorHAnsi"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GS</m:t>
              </m:r>
            </m:e>
            <m:sub>
              <m:r>
                <w:rPr>
                  <w:rFonts w:ascii="Cambria Math" w:hAnsi="Cambria Math" w:cs="Arial"/>
                  <w:sz w:val="22"/>
                  <w:szCs w:val="22"/>
                </w:rPr>
                <m:t>BT</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NGS</m:t>
              </m:r>
            </m:e>
            <m:sub>
              <m:r>
                <w:rPr>
                  <w:rFonts w:ascii="Cambria Math" w:hAnsi="Cambria Math" w:cs="Arial"/>
                  <w:sz w:val="22"/>
                  <w:szCs w:val="22"/>
                </w:rPr>
                <m:t>BT</m:t>
              </m:r>
            </m:sub>
          </m:sSub>
          <m:r>
            <w:rPr>
              <w:rFonts w:ascii="Cambria Math" w:hAnsi="Cambria Math" w:cs="Cambria Math"/>
              <w:sz w:val="22"/>
              <w:szCs w:val="22"/>
            </w:rPr>
            <m:t>*</m:t>
          </m:r>
          <m:r>
            <w:rPr>
              <w:rFonts w:ascii="Cambria Math" w:hAnsi="Cambria Math" w:cs="Arial"/>
              <w:sz w:val="22"/>
              <w:szCs w:val="22"/>
            </w:rPr>
            <m:t>GSA</m:t>
          </m:r>
        </m:oMath>
      </m:oMathPara>
    </w:p>
    <w:p w:rsidR="00072F35" w:rsidRPr="00D8220B" w:rsidRDefault="00072F35" w:rsidP="00072F35">
      <w:pPr>
        <w:rPr>
          <w:rFonts w:asciiTheme="minorHAnsi" w:hAnsiTheme="minorHAnsi" w:cs="Arial"/>
          <w:sz w:val="22"/>
          <w:szCs w:val="22"/>
        </w:rPr>
      </w:pP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Where,</w:t>
      </w: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ab/>
        <w:t>GS</w:t>
      </w:r>
      <w:r w:rsidRPr="00D8220B">
        <w:rPr>
          <w:rFonts w:asciiTheme="minorHAnsi" w:hAnsiTheme="minorHAnsi" w:cs="Arial"/>
          <w:sz w:val="22"/>
          <w:szCs w:val="22"/>
          <w:vertAlign w:val="subscript"/>
        </w:rPr>
        <w:t>BT</w:t>
      </w:r>
      <w:r w:rsidRPr="00D8220B">
        <w:rPr>
          <w:rFonts w:asciiTheme="minorHAnsi" w:hAnsiTheme="minorHAnsi" w:cs="Arial"/>
          <w:sz w:val="22"/>
          <w:szCs w:val="22"/>
        </w:rPr>
        <w:tab/>
        <w:t>= gas savings, kWh / Area-1kFP</w:t>
      </w:r>
    </w:p>
    <w:p w:rsidR="00072F35" w:rsidRPr="00D8220B" w:rsidRDefault="00072F35" w:rsidP="00072F35">
      <w:pPr>
        <w:rPr>
          <w:rFonts w:asciiTheme="minorHAnsi" w:hAnsiTheme="minorHAnsi" w:cs="Arial"/>
          <w:sz w:val="22"/>
          <w:szCs w:val="22"/>
        </w:rPr>
      </w:pPr>
      <w:r w:rsidRPr="00D8220B">
        <w:rPr>
          <w:rFonts w:asciiTheme="minorHAnsi" w:hAnsiTheme="minorHAnsi" w:cs="Arial"/>
          <w:sz w:val="22"/>
          <w:szCs w:val="22"/>
        </w:rPr>
        <w:tab/>
        <w:t>GSA</w:t>
      </w:r>
      <w:r w:rsidRPr="00D8220B">
        <w:rPr>
          <w:rFonts w:asciiTheme="minorHAnsi" w:hAnsiTheme="minorHAnsi" w:cs="Arial"/>
          <w:sz w:val="22"/>
          <w:szCs w:val="22"/>
        </w:rPr>
        <w:tab/>
        <w:t>= gross savings adjustment, 0.25, no units</w:t>
      </w:r>
    </w:p>
    <w:p w:rsidR="00072F35" w:rsidRPr="00D8220B" w:rsidRDefault="00072F35" w:rsidP="00072F35">
      <w:pPr>
        <w:rPr>
          <w:rFonts w:asciiTheme="minorHAnsi" w:hAnsiTheme="minorHAnsi" w:cs="Arial"/>
          <w:b/>
          <w:sz w:val="22"/>
          <w:szCs w:val="22"/>
        </w:rPr>
      </w:pPr>
    </w:p>
    <w:p w:rsidR="00072F35" w:rsidRPr="00D8220B" w:rsidRDefault="00072F35" w:rsidP="00072F35">
      <w:pPr>
        <w:rPr>
          <w:rFonts w:asciiTheme="minorHAnsi" w:hAnsiTheme="minorHAnsi" w:cs="Arial"/>
          <w:b/>
          <w:sz w:val="22"/>
          <w:szCs w:val="22"/>
        </w:rPr>
      </w:pPr>
      <w:r w:rsidRPr="00D8220B">
        <w:rPr>
          <w:rFonts w:asciiTheme="minorHAnsi" w:hAnsiTheme="minorHAnsi" w:cs="Arial"/>
          <w:b/>
          <w:sz w:val="22"/>
          <w:szCs w:val="22"/>
        </w:rPr>
        <w:t>Example for DM-XX – Primary School CZ07:</w:t>
      </w:r>
    </w:p>
    <w:p w:rsidR="00072F35" w:rsidRDefault="00072F35" w:rsidP="00072F35">
      <w:pPr>
        <w:ind w:left="720"/>
        <w:rPr>
          <w:rFonts w:asciiTheme="minorHAnsi" w:hAnsiTheme="minorHAnsi" w:cs="Arial"/>
          <w:sz w:val="22"/>
          <w:szCs w:val="22"/>
        </w:rPr>
      </w:pPr>
      <w:r w:rsidRPr="00D8220B">
        <w:rPr>
          <w:rFonts w:asciiTheme="minorHAnsi" w:hAnsiTheme="minorHAnsi" w:cs="Arial"/>
          <w:sz w:val="22"/>
          <w:szCs w:val="22"/>
        </w:rPr>
        <w:t>A table showing the energy savings and weighting factors for primary schools is shown in the table below:</w:t>
      </w:r>
    </w:p>
    <w:p w:rsidR="00B9722E" w:rsidRPr="00451245" w:rsidRDefault="00B9722E" w:rsidP="00B9722E">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18</w:t>
      </w:r>
      <w:r w:rsidRPr="00451245">
        <w:rPr>
          <w:rFonts w:asciiTheme="minorHAnsi" w:hAnsiTheme="minorHAnsi" w:cs="Arial"/>
          <w:sz w:val="22"/>
          <w:szCs w:val="22"/>
        </w:rPr>
        <w:t xml:space="preserve"> </w:t>
      </w:r>
      <w:r>
        <w:rPr>
          <w:rFonts w:asciiTheme="minorHAnsi" w:hAnsiTheme="minorHAnsi" w:cs="Arial"/>
          <w:b w:val="0"/>
          <w:sz w:val="22"/>
          <w:szCs w:val="22"/>
        </w:rPr>
        <w:t>Energy Savings and Weighting Factors for Primary Schools</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p>
    <w:tbl>
      <w:tblPr>
        <w:tblW w:w="6750"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0"/>
        <w:gridCol w:w="1620"/>
        <w:gridCol w:w="1543"/>
        <w:gridCol w:w="1697"/>
      </w:tblGrid>
      <w:tr w:rsidR="00072F35" w:rsidRPr="002720AC" w:rsidTr="00B9722E">
        <w:trPr>
          <w:trHeight w:val="593"/>
          <w:jc w:val="center"/>
        </w:trPr>
        <w:tc>
          <w:tcPr>
            <w:tcW w:w="1890" w:type="dxa"/>
            <w:shd w:val="clear" w:color="auto" w:fill="D9D9D9" w:themeFill="background1" w:themeFillShade="D9"/>
            <w:vAlign w:val="center"/>
          </w:tcPr>
          <w:p w:rsidR="00072F35" w:rsidRPr="00D8220B" w:rsidRDefault="00072F35" w:rsidP="00072F35">
            <w:pPr>
              <w:jc w:val="center"/>
              <w:rPr>
                <w:rFonts w:asciiTheme="minorHAnsi" w:hAnsiTheme="minorHAnsi" w:cs="Arial"/>
                <w:b/>
                <w:sz w:val="22"/>
                <w:szCs w:val="22"/>
              </w:rPr>
            </w:pPr>
            <w:r w:rsidRPr="00D8220B">
              <w:rPr>
                <w:rFonts w:asciiTheme="minorHAnsi" w:hAnsiTheme="minorHAnsi" w:cs="Arial"/>
                <w:b/>
                <w:sz w:val="22"/>
                <w:szCs w:val="22"/>
              </w:rPr>
              <w:t>Vintage</w:t>
            </w:r>
          </w:p>
        </w:tc>
        <w:tc>
          <w:tcPr>
            <w:tcW w:w="1620" w:type="dxa"/>
            <w:shd w:val="clear" w:color="auto" w:fill="D9D9D9" w:themeFill="background1" w:themeFillShade="D9"/>
            <w:vAlign w:val="center"/>
          </w:tcPr>
          <w:p w:rsidR="00072F35" w:rsidRPr="00D8220B" w:rsidRDefault="00072F35" w:rsidP="00072F35">
            <w:pPr>
              <w:jc w:val="center"/>
              <w:rPr>
                <w:rFonts w:asciiTheme="minorHAnsi" w:hAnsiTheme="minorHAnsi" w:cs="Arial"/>
                <w:b/>
                <w:sz w:val="22"/>
                <w:szCs w:val="22"/>
              </w:rPr>
            </w:pPr>
            <w:r w:rsidRPr="00D8220B">
              <w:rPr>
                <w:rFonts w:asciiTheme="minorHAnsi" w:hAnsiTheme="minorHAnsi" w:cs="Arial"/>
                <w:b/>
                <w:sz w:val="22"/>
                <w:szCs w:val="22"/>
              </w:rPr>
              <w:t>Baseline Gas Usage (therms)</w:t>
            </w:r>
          </w:p>
        </w:tc>
        <w:tc>
          <w:tcPr>
            <w:tcW w:w="1543" w:type="dxa"/>
            <w:shd w:val="clear" w:color="auto" w:fill="D9D9D9" w:themeFill="background1" w:themeFillShade="D9"/>
            <w:vAlign w:val="center"/>
          </w:tcPr>
          <w:p w:rsidR="00072F35" w:rsidRPr="00D8220B" w:rsidRDefault="00072F35" w:rsidP="00072F35">
            <w:pPr>
              <w:jc w:val="center"/>
              <w:rPr>
                <w:rFonts w:asciiTheme="minorHAnsi" w:hAnsiTheme="minorHAnsi" w:cs="Arial"/>
                <w:b/>
                <w:sz w:val="22"/>
                <w:szCs w:val="22"/>
              </w:rPr>
            </w:pPr>
            <w:r w:rsidRPr="00D8220B">
              <w:rPr>
                <w:rFonts w:asciiTheme="minorHAnsi" w:hAnsiTheme="minorHAnsi" w:cs="Arial"/>
                <w:b/>
                <w:sz w:val="22"/>
                <w:szCs w:val="22"/>
              </w:rPr>
              <w:t>Proposed Gas Usage (therms)</w:t>
            </w:r>
          </w:p>
        </w:tc>
        <w:tc>
          <w:tcPr>
            <w:tcW w:w="1697" w:type="dxa"/>
            <w:shd w:val="clear" w:color="auto" w:fill="D9D9D9" w:themeFill="background1" w:themeFillShade="D9"/>
            <w:vAlign w:val="center"/>
          </w:tcPr>
          <w:p w:rsidR="00072F35" w:rsidRPr="00D8220B" w:rsidRDefault="00072F35" w:rsidP="00072F35">
            <w:pPr>
              <w:ind w:right="72"/>
              <w:jc w:val="center"/>
              <w:rPr>
                <w:rFonts w:asciiTheme="minorHAnsi" w:hAnsiTheme="minorHAnsi" w:cs="Arial"/>
                <w:b/>
                <w:sz w:val="22"/>
                <w:szCs w:val="22"/>
              </w:rPr>
            </w:pPr>
            <w:r w:rsidRPr="00D8220B">
              <w:rPr>
                <w:rFonts w:asciiTheme="minorHAnsi" w:hAnsiTheme="minorHAnsi" w:cs="Arial"/>
                <w:b/>
                <w:sz w:val="22"/>
                <w:szCs w:val="22"/>
              </w:rPr>
              <w:t>Weighting Factors</w:t>
            </w:r>
          </w:p>
        </w:tc>
      </w:tr>
      <w:tr w:rsidR="00072F35" w:rsidRPr="002720AC" w:rsidTr="00B9722E">
        <w:trPr>
          <w:jc w:val="center"/>
        </w:trPr>
        <w:tc>
          <w:tcPr>
            <w:tcW w:w="1890" w:type="dxa"/>
            <w:tcBorders>
              <w:bottom w:val="single" w:sz="4" w:space="0" w:color="auto"/>
            </w:tcBorders>
            <w:shd w:val="clear" w:color="auto" w:fill="auto"/>
            <w:vAlign w:val="center"/>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1975</w:t>
            </w:r>
          </w:p>
        </w:tc>
        <w:tc>
          <w:tcPr>
            <w:tcW w:w="1620" w:type="dxa"/>
            <w:tcBorders>
              <w:bottom w:val="single" w:sz="4" w:space="0" w:color="auto"/>
            </w:tcBorders>
            <w:shd w:val="clear" w:color="auto" w:fill="auto"/>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11,048</w:t>
            </w:r>
          </w:p>
        </w:tc>
        <w:tc>
          <w:tcPr>
            <w:tcW w:w="1543" w:type="dxa"/>
            <w:tcBorders>
              <w:bottom w:val="single" w:sz="4" w:space="0" w:color="auto"/>
            </w:tcBorders>
            <w:shd w:val="clear" w:color="auto" w:fill="auto"/>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1,197</w:t>
            </w:r>
          </w:p>
        </w:tc>
        <w:tc>
          <w:tcPr>
            <w:tcW w:w="1697" w:type="dxa"/>
            <w:tcBorders>
              <w:bottom w:val="single" w:sz="4" w:space="0" w:color="auto"/>
            </w:tcBorders>
            <w:shd w:val="clear" w:color="auto" w:fill="auto"/>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0.5808</w:t>
            </w:r>
          </w:p>
        </w:tc>
      </w:tr>
      <w:tr w:rsidR="00072F35" w:rsidRPr="002720AC" w:rsidTr="00B9722E">
        <w:trPr>
          <w:jc w:val="center"/>
        </w:trPr>
        <w:tc>
          <w:tcPr>
            <w:tcW w:w="1890" w:type="dxa"/>
            <w:shd w:val="clear" w:color="auto" w:fill="F2F2F2" w:themeFill="background1" w:themeFillShade="F2"/>
            <w:vAlign w:val="center"/>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1985</w:t>
            </w:r>
          </w:p>
        </w:tc>
        <w:tc>
          <w:tcPr>
            <w:tcW w:w="1620" w:type="dxa"/>
            <w:shd w:val="clear" w:color="auto" w:fill="F2F2F2" w:themeFill="background1" w:themeFillShade="F2"/>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11,286</w:t>
            </w:r>
          </w:p>
        </w:tc>
        <w:tc>
          <w:tcPr>
            <w:tcW w:w="1543" w:type="dxa"/>
            <w:shd w:val="clear" w:color="auto" w:fill="F2F2F2" w:themeFill="background1" w:themeFillShade="F2"/>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1,194</w:t>
            </w:r>
          </w:p>
        </w:tc>
        <w:tc>
          <w:tcPr>
            <w:tcW w:w="1697" w:type="dxa"/>
            <w:shd w:val="clear" w:color="auto" w:fill="F2F2F2" w:themeFill="background1" w:themeFillShade="F2"/>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0.1507</w:t>
            </w:r>
          </w:p>
        </w:tc>
      </w:tr>
      <w:tr w:rsidR="00072F35" w:rsidRPr="002720AC" w:rsidTr="00B9722E">
        <w:trPr>
          <w:jc w:val="center"/>
        </w:trPr>
        <w:tc>
          <w:tcPr>
            <w:tcW w:w="1890" w:type="dxa"/>
            <w:tcBorders>
              <w:bottom w:val="single" w:sz="4" w:space="0" w:color="auto"/>
            </w:tcBorders>
            <w:shd w:val="clear" w:color="auto" w:fill="auto"/>
            <w:vAlign w:val="center"/>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1996</w:t>
            </w:r>
          </w:p>
        </w:tc>
        <w:tc>
          <w:tcPr>
            <w:tcW w:w="1620" w:type="dxa"/>
            <w:tcBorders>
              <w:bottom w:val="single" w:sz="4" w:space="0" w:color="auto"/>
            </w:tcBorders>
            <w:shd w:val="clear" w:color="auto" w:fill="auto"/>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13,550</w:t>
            </w:r>
          </w:p>
        </w:tc>
        <w:tc>
          <w:tcPr>
            <w:tcW w:w="1543" w:type="dxa"/>
            <w:tcBorders>
              <w:bottom w:val="single" w:sz="4" w:space="0" w:color="auto"/>
            </w:tcBorders>
            <w:shd w:val="clear" w:color="auto" w:fill="auto"/>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1,655</w:t>
            </w:r>
          </w:p>
        </w:tc>
        <w:tc>
          <w:tcPr>
            <w:tcW w:w="1697" w:type="dxa"/>
            <w:tcBorders>
              <w:bottom w:val="single" w:sz="4" w:space="0" w:color="auto"/>
            </w:tcBorders>
            <w:shd w:val="clear" w:color="auto" w:fill="auto"/>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0.1550</w:t>
            </w:r>
          </w:p>
        </w:tc>
      </w:tr>
      <w:tr w:rsidR="00072F35" w:rsidRPr="002720AC" w:rsidTr="00B9722E">
        <w:trPr>
          <w:jc w:val="center"/>
        </w:trPr>
        <w:tc>
          <w:tcPr>
            <w:tcW w:w="1890" w:type="dxa"/>
            <w:shd w:val="clear" w:color="auto" w:fill="F2F2F2" w:themeFill="background1" w:themeFillShade="F2"/>
            <w:vAlign w:val="center"/>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2003</w:t>
            </w:r>
          </w:p>
        </w:tc>
        <w:tc>
          <w:tcPr>
            <w:tcW w:w="1620" w:type="dxa"/>
            <w:shd w:val="clear" w:color="auto" w:fill="F2F2F2" w:themeFill="background1" w:themeFillShade="F2"/>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14,063</w:t>
            </w:r>
          </w:p>
        </w:tc>
        <w:tc>
          <w:tcPr>
            <w:tcW w:w="1543" w:type="dxa"/>
            <w:shd w:val="clear" w:color="auto" w:fill="F2F2F2" w:themeFill="background1" w:themeFillShade="F2"/>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1,796</w:t>
            </w:r>
          </w:p>
        </w:tc>
        <w:tc>
          <w:tcPr>
            <w:tcW w:w="1697" w:type="dxa"/>
            <w:shd w:val="clear" w:color="auto" w:fill="F2F2F2" w:themeFill="background1" w:themeFillShade="F2"/>
            <w:vAlign w:val="bottom"/>
          </w:tcPr>
          <w:p w:rsidR="00072F35" w:rsidRPr="00D8220B" w:rsidRDefault="00072F35" w:rsidP="00072F35">
            <w:pPr>
              <w:jc w:val="center"/>
              <w:rPr>
                <w:rFonts w:asciiTheme="minorHAnsi" w:hAnsiTheme="minorHAnsi" w:cs="Arial"/>
                <w:sz w:val="22"/>
                <w:szCs w:val="22"/>
              </w:rPr>
            </w:pPr>
            <w:r w:rsidRPr="00D8220B">
              <w:rPr>
                <w:rFonts w:asciiTheme="minorHAnsi" w:hAnsiTheme="minorHAnsi" w:cs="Arial"/>
                <w:sz w:val="22"/>
                <w:szCs w:val="22"/>
              </w:rPr>
              <w:t>0.1135</w:t>
            </w:r>
          </w:p>
        </w:tc>
      </w:tr>
    </w:tbl>
    <w:p w:rsidR="007F57C0" w:rsidRPr="000344AB" w:rsidRDefault="007F57C0" w:rsidP="007F57C0">
      <w:pPr>
        <w:rPr>
          <w:rFonts w:ascii="Arial" w:hAnsi="Arial" w:cs="Arial"/>
          <w:b/>
          <w:sz w:val="22"/>
          <w:szCs w:val="22"/>
        </w:rPr>
      </w:pPr>
    </w:p>
    <w:p w:rsidR="007F57C0" w:rsidRPr="00D8220B" w:rsidRDefault="007F57C0" w:rsidP="007F57C0">
      <w:pPr>
        <w:ind w:firstLine="720"/>
        <w:rPr>
          <w:rFonts w:asciiTheme="minorHAnsi" w:hAnsiTheme="minorHAnsi" w:cs="Arial"/>
          <w:sz w:val="22"/>
          <w:szCs w:val="22"/>
        </w:rPr>
      </w:pPr>
      <w:r w:rsidRPr="00D8220B">
        <w:rPr>
          <w:rFonts w:asciiTheme="minorHAnsi" w:hAnsiTheme="minorHAnsi" w:cs="Arial"/>
          <w:sz w:val="22"/>
          <w:szCs w:val="22"/>
        </w:rPr>
        <w:t>The weighted gas savings for primary school (EPr) in climate zone 7 (CZ07) is:</w:t>
      </w:r>
    </w:p>
    <w:p w:rsidR="007F57C0" w:rsidRPr="00D8220B" w:rsidRDefault="007F57C0" w:rsidP="007F57C0">
      <w:pPr>
        <w:rPr>
          <w:rFonts w:asciiTheme="minorHAnsi" w:hAnsiTheme="minorHAnsi" w:cs="Arial"/>
          <w:sz w:val="22"/>
          <w:szCs w:val="22"/>
        </w:rPr>
      </w:pPr>
    </w:p>
    <w:p w:rsidR="007F57C0" w:rsidRPr="00D8220B" w:rsidRDefault="00C10029" w:rsidP="007F57C0">
      <w:pPr>
        <w:ind w:left="720"/>
        <w:rPr>
          <w:rFonts w:asciiTheme="minorHAnsi" w:hAnsiTheme="minorHAnsi" w:cs="Arial"/>
          <w:sz w:val="22"/>
          <w:szCs w:val="22"/>
        </w:rPr>
      </w:pPr>
      <m:oMath>
        <m:sSub>
          <m:sSubPr>
            <m:ctrlPr>
              <w:rPr>
                <w:rFonts w:ascii="Cambria Math" w:hAnsi="Cambria Math" w:cs="Arial"/>
                <w:i/>
                <w:sz w:val="22"/>
                <w:szCs w:val="22"/>
              </w:rPr>
            </m:ctrlPr>
          </m:sSubPr>
          <m:e>
            <m:r>
              <w:rPr>
                <w:rFonts w:ascii="Cambria Math" w:hAnsi="Cambria Math" w:cs="Arial"/>
                <w:sz w:val="22"/>
                <w:szCs w:val="22"/>
              </w:rPr>
              <m:t>WGS</m:t>
            </m:r>
          </m:e>
          <m:sub>
            <m:r>
              <w:rPr>
                <w:rFonts w:ascii="Cambria Math" w:hAnsi="Cambria Math" w:cs="Arial"/>
                <w:sz w:val="22"/>
                <w:szCs w:val="22"/>
              </w:rPr>
              <m:t>EPr</m:t>
            </m:r>
          </m:sub>
        </m:sSub>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11,048</m:t>
            </m:r>
            <m:r>
              <w:rPr>
                <w:rFonts w:ascii="Cambria Math" w:hAnsi="Cambria Math" w:cs="Cambria Math"/>
                <w:sz w:val="22"/>
                <w:szCs w:val="22"/>
              </w:rPr>
              <m:t>*</m:t>
            </m:r>
            <m:r>
              <w:rPr>
                <w:rFonts w:ascii="Cambria Math" w:hAnsi="Cambria Math" w:cs="Arial"/>
                <w:sz w:val="22"/>
                <w:szCs w:val="22"/>
              </w:rPr>
              <m:t>0.5808-1,197</m:t>
            </m:r>
            <m:r>
              <w:rPr>
                <w:rFonts w:ascii="Cambria Math" w:hAnsi="Cambria Math" w:cs="Cambria Math"/>
                <w:sz w:val="22"/>
                <w:szCs w:val="22"/>
              </w:rPr>
              <m:t>*</m:t>
            </m:r>
            <m:r>
              <w:rPr>
                <w:rFonts w:ascii="Cambria Math" w:hAnsi="Cambria Math" w:cs="Arial"/>
                <w:sz w:val="22"/>
                <w:szCs w:val="22"/>
              </w:rPr>
              <m:t>0.5808</m:t>
            </m:r>
          </m:e>
        </m:d>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11,286</m:t>
            </m:r>
            <m:r>
              <w:rPr>
                <w:rFonts w:ascii="Cambria Math" w:hAnsi="Cambria Math" w:cs="Cambria Math"/>
                <w:sz w:val="22"/>
                <w:szCs w:val="22"/>
              </w:rPr>
              <m:t>*</m:t>
            </m:r>
            <m:r>
              <w:rPr>
                <w:rFonts w:ascii="Cambria Math" w:hAnsi="Cambria Math" w:cs="Arial"/>
                <w:sz w:val="22"/>
                <w:szCs w:val="22"/>
              </w:rPr>
              <m:t>0.1507-1,194</m:t>
            </m:r>
            <m:r>
              <w:rPr>
                <w:rFonts w:ascii="Cambria Math" w:hAnsi="Cambria Math" w:cs="Cambria Math"/>
                <w:sz w:val="22"/>
                <w:szCs w:val="22"/>
              </w:rPr>
              <m:t>*</m:t>
            </m:r>
            <m:r>
              <w:rPr>
                <w:rFonts w:ascii="Cambria Math" w:hAnsi="Cambria Math" w:cs="Arial"/>
                <w:sz w:val="22"/>
                <w:szCs w:val="22"/>
              </w:rPr>
              <m:t>0.1507</m:t>
            </m:r>
          </m:e>
        </m:d>
        <m:r>
          <w:rPr>
            <w:rFonts w:ascii="Cambria Math" w:hAnsi="Cambria Math" w:cs="Arial"/>
            <w:sz w:val="22"/>
            <w:szCs w:val="22"/>
          </w:rPr>
          <m:t>+</m:t>
        </m:r>
        <m:d>
          <m:dPr>
            <m:ctrlPr>
              <w:rPr>
                <w:rFonts w:ascii="Cambria Math" w:hAnsi="Cambria Math" w:cs="Arial"/>
                <w:i/>
                <w:sz w:val="22"/>
                <w:szCs w:val="22"/>
              </w:rPr>
            </m:ctrlPr>
          </m:dPr>
          <m:e>
            <m:r>
              <w:rPr>
                <w:rFonts w:ascii="Cambria Math" w:hAnsi="Cambria Math" w:cs="Arial"/>
                <w:sz w:val="22"/>
                <w:szCs w:val="22"/>
              </w:rPr>
              <m:t>13,550</m:t>
            </m:r>
            <m:r>
              <w:rPr>
                <w:rFonts w:ascii="Cambria Math" w:hAnsi="Cambria Math" w:cs="Cambria Math"/>
                <w:sz w:val="22"/>
                <w:szCs w:val="22"/>
              </w:rPr>
              <m:t>*</m:t>
            </m:r>
            <m:r>
              <w:rPr>
                <w:rFonts w:ascii="Cambria Math" w:hAnsi="Cambria Math" w:cs="Arial"/>
                <w:sz w:val="22"/>
                <w:szCs w:val="22"/>
              </w:rPr>
              <m:t>0.1550-1,655</m:t>
            </m:r>
            <m:r>
              <w:rPr>
                <w:rFonts w:ascii="Cambria Math" w:hAnsi="Cambria Math" w:cs="Cambria Math"/>
                <w:sz w:val="22"/>
                <w:szCs w:val="22"/>
              </w:rPr>
              <m:t>*</m:t>
            </m:r>
            <m:r>
              <w:rPr>
                <w:rFonts w:ascii="Cambria Math" w:hAnsi="Cambria Math" w:cs="Arial"/>
                <w:sz w:val="22"/>
                <w:szCs w:val="22"/>
              </w:rPr>
              <m:t>0.1550</m:t>
            </m:r>
          </m:e>
        </m:d>
        <m:r>
          <w:rPr>
            <w:rFonts w:ascii="Cambria Math" w:hAnsi="Cambria Math" w:cs="Arial"/>
            <w:sz w:val="22"/>
            <w:szCs w:val="22"/>
          </w:rPr>
          <m:t>+(14,063</m:t>
        </m:r>
        <m:r>
          <w:rPr>
            <w:rFonts w:ascii="Cambria Math" w:hAnsi="Cambria Math" w:cs="Cambria Math"/>
            <w:sz w:val="22"/>
            <w:szCs w:val="22"/>
          </w:rPr>
          <m:t>*</m:t>
        </m:r>
        <m:r>
          <w:rPr>
            <w:rFonts w:ascii="Cambria Math" w:hAnsi="Cambria Math" w:cs="Arial"/>
            <w:sz w:val="22"/>
            <w:szCs w:val="22"/>
          </w:rPr>
          <m:t>0.1135-1,796</m:t>
        </m:r>
        <m:r>
          <w:rPr>
            <w:rFonts w:ascii="Cambria Math" w:hAnsi="Cambria Math" w:cs="Cambria Math"/>
            <w:sz w:val="22"/>
            <w:szCs w:val="22"/>
          </w:rPr>
          <m:t>*</m:t>
        </m:r>
        <m:r>
          <w:rPr>
            <w:rFonts w:ascii="Cambria Math" w:hAnsi="Cambria Math" w:cs="Arial"/>
            <w:sz w:val="22"/>
            <w:szCs w:val="22"/>
          </w:rPr>
          <m:t>0.1135)</m:t>
        </m:r>
      </m:oMath>
      <w:r w:rsidR="007F57C0" w:rsidRPr="00D8220B">
        <w:rPr>
          <w:rFonts w:asciiTheme="minorHAnsi" w:hAnsiTheme="minorHAnsi" w:cs="Arial"/>
          <w:sz w:val="22"/>
          <w:szCs w:val="22"/>
        </w:rPr>
        <w:t xml:space="preserve"> </w:t>
      </w:r>
    </w:p>
    <w:p w:rsidR="007F57C0" w:rsidRPr="00D8220B" w:rsidRDefault="00C10029" w:rsidP="007F57C0">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WGS</m:t>
              </m:r>
            </m:e>
            <m:sub>
              <m:r>
                <w:rPr>
                  <w:rFonts w:ascii="Cambria Math" w:hAnsi="Cambria Math" w:cs="Arial"/>
                  <w:sz w:val="22"/>
                  <w:szCs w:val="22"/>
                </w:rPr>
                <m:t>EPr</m:t>
              </m:r>
            </m:sub>
          </m:sSub>
          <m:r>
            <w:rPr>
              <w:rFonts w:ascii="Cambria Math" w:hAnsi="Cambria Math" w:cs="Arial"/>
              <w:sz w:val="22"/>
              <w:szCs w:val="22"/>
            </w:rPr>
            <m:t>=10,478 therms</m:t>
          </m:r>
        </m:oMath>
      </m:oMathPara>
    </w:p>
    <w:p w:rsidR="007F57C0" w:rsidRPr="00D8220B" w:rsidRDefault="007F57C0" w:rsidP="007F57C0">
      <w:pPr>
        <w:ind w:left="720"/>
        <w:rPr>
          <w:rFonts w:asciiTheme="minorHAnsi" w:hAnsiTheme="minorHAnsi" w:cs="Arial"/>
          <w:sz w:val="22"/>
          <w:szCs w:val="22"/>
        </w:rPr>
      </w:pPr>
    </w:p>
    <w:p w:rsidR="007F57C0" w:rsidRPr="00D8220B" w:rsidRDefault="007F57C0" w:rsidP="007F57C0">
      <w:pPr>
        <w:ind w:firstLine="720"/>
        <w:rPr>
          <w:rFonts w:asciiTheme="minorHAnsi" w:hAnsiTheme="minorHAnsi" w:cs="Arial"/>
          <w:sz w:val="22"/>
          <w:szCs w:val="22"/>
        </w:rPr>
      </w:pPr>
      <w:r w:rsidRPr="00D8220B">
        <w:rPr>
          <w:rFonts w:asciiTheme="minorHAnsi" w:hAnsiTheme="minorHAnsi" w:cs="Arial"/>
          <w:sz w:val="22"/>
          <w:szCs w:val="22"/>
        </w:rPr>
        <w:t>The normalized gas savings for primary schools (EPr) in climate zone 7 (CZ07) is:</w:t>
      </w:r>
    </w:p>
    <w:p w:rsidR="007F57C0" w:rsidRPr="00D8220B" w:rsidRDefault="007F57C0" w:rsidP="007F57C0">
      <w:pPr>
        <w:ind w:left="720"/>
        <w:rPr>
          <w:rFonts w:asciiTheme="minorHAnsi" w:hAnsiTheme="minorHAnsi" w:cs="Arial"/>
          <w:sz w:val="22"/>
          <w:szCs w:val="22"/>
        </w:rPr>
      </w:pPr>
    </w:p>
    <w:p w:rsidR="007F57C0" w:rsidRPr="00D8220B" w:rsidRDefault="00C10029" w:rsidP="007F57C0">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NGS</m:t>
              </m:r>
            </m:e>
            <m:sub>
              <m:r>
                <w:rPr>
                  <w:rFonts w:ascii="Cambria Math" w:hAnsi="Cambria Math" w:cs="Arial"/>
                  <w:sz w:val="22"/>
                  <w:szCs w:val="22"/>
                </w:rPr>
                <m:t>EPr</m:t>
              </m:r>
            </m:sub>
          </m:sSub>
          <m:r>
            <w:rPr>
              <w:rFonts w:ascii="Cambria Math" w:hAnsi="Cambria Math" w:cs="Arial"/>
              <w:sz w:val="22"/>
              <w:szCs w:val="22"/>
            </w:rPr>
            <m:t xml:space="preserve">= </m:t>
          </m:r>
          <m:f>
            <m:fPr>
              <m:type m:val="lin"/>
              <m:ctrlPr>
                <w:rPr>
                  <w:rFonts w:ascii="Cambria Math" w:hAnsi="Cambria Math" w:cs="Arial"/>
                  <w:i/>
                  <w:sz w:val="22"/>
                  <w:szCs w:val="22"/>
                </w:rPr>
              </m:ctrlPr>
            </m:fPr>
            <m:num>
              <m:r>
                <w:rPr>
                  <w:rFonts w:ascii="Cambria Math" w:hAnsi="Cambria Math" w:cs="Arial"/>
                  <w:sz w:val="22"/>
                  <w:szCs w:val="22"/>
                </w:rPr>
                <m:t>10,478</m:t>
              </m:r>
            </m:num>
            <m:den>
              <m:d>
                <m:dPr>
                  <m:ctrlPr>
                    <w:rPr>
                      <w:rFonts w:ascii="Cambria Math" w:hAnsi="Cambria Math" w:cs="Arial"/>
                      <w:i/>
                      <w:sz w:val="22"/>
                      <w:szCs w:val="22"/>
                    </w:rPr>
                  </m:ctrlPr>
                </m:dPr>
                <m:e>
                  <m:f>
                    <m:fPr>
                      <m:ctrlPr>
                        <w:rPr>
                          <w:rFonts w:ascii="Cambria Math" w:hAnsi="Cambria Math" w:cs="Arial"/>
                          <w:i/>
                          <w:sz w:val="22"/>
                          <w:szCs w:val="22"/>
                        </w:rPr>
                      </m:ctrlPr>
                    </m:fPr>
                    <m:num>
                      <m:r>
                        <w:rPr>
                          <w:rFonts w:ascii="Cambria Math" w:hAnsi="Cambria Math" w:cs="Arial"/>
                          <w:sz w:val="22"/>
                          <w:szCs w:val="22"/>
                        </w:rPr>
                        <m:t>8,000</m:t>
                      </m:r>
                    </m:num>
                    <m:den>
                      <m:r>
                        <w:rPr>
                          <w:rFonts w:ascii="Cambria Math" w:hAnsi="Cambria Math" w:cs="Arial"/>
                          <w:sz w:val="22"/>
                          <w:szCs w:val="22"/>
                        </w:rPr>
                        <m:t>1,000</m:t>
                      </m:r>
                    </m:den>
                  </m:f>
                </m:e>
              </m:d>
            </m:den>
          </m:f>
        </m:oMath>
      </m:oMathPara>
    </w:p>
    <w:p w:rsidR="007F57C0" w:rsidRPr="00D8220B" w:rsidRDefault="00C10029" w:rsidP="007F57C0">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NGS</m:t>
              </m:r>
            </m:e>
            <m:sub>
              <m:r>
                <w:rPr>
                  <w:rFonts w:ascii="Cambria Math" w:hAnsi="Cambria Math" w:cs="Arial"/>
                  <w:sz w:val="22"/>
                  <w:szCs w:val="22"/>
                </w:rPr>
                <m:t>EPr</m:t>
              </m:r>
            </m:sub>
          </m:sSub>
          <m:r>
            <w:rPr>
              <w:rFonts w:ascii="Cambria Math" w:hAnsi="Cambria Math" w:cs="Arial"/>
              <w:sz w:val="22"/>
              <w:szCs w:val="22"/>
            </w:rPr>
            <m:t xml:space="preserve">=209.6 </m:t>
          </m:r>
          <m:f>
            <m:fPr>
              <m:type m:val="skw"/>
              <m:ctrlPr>
                <w:rPr>
                  <w:rFonts w:ascii="Cambria Math" w:hAnsi="Cambria Math" w:cs="Arial"/>
                  <w:i/>
                  <w:sz w:val="22"/>
                  <w:szCs w:val="22"/>
                </w:rPr>
              </m:ctrlPr>
            </m:fPr>
            <m:num>
              <m:r>
                <w:rPr>
                  <w:rFonts w:ascii="Cambria Math" w:hAnsi="Cambria Math" w:cs="Arial"/>
                  <w:sz w:val="22"/>
                  <w:szCs w:val="22"/>
                </w:rPr>
                <m:t>therms</m:t>
              </m:r>
            </m:num>
            <m:den>
              <m:r>
                <w:rPr>
                  <w:rFonts w:ascii="Cambria Math" w:hAnsi="Cambria Math" w:cs="Arial"/>
                  <w:sz w:val="22"/>
                  <w:szCs w:val="22"/>
                </w:rPr>
                <m:t>Area-1kFP</m:t>
              </m:r>
            </m:den>
          </m:f>
        </m:oMath>
      </m:oMathPara>
    </w:p>
    <w:p w:rsidR="007F57C0" w:rsidRPr="00D8220B" w:rsidRDefault="007F57C0" w:rsidP="007F57C0">
      <w:pPr>
        <w:ind w:left="720"/>
        <w:rPr>
          <w:rFonts w:asciiTheme="minorHAnsi" w:hAnsiTheme="minorHAnsi" w:cs="Arial"/>
          <w:sz w:val="22"/>
          <w:szCs w:val="22"/>
        </w:rPr>
      </w:pPr>
    </w:p>
    <w:p w:rsidR="007F57C0" w:rsidRPr="00D8220B" w:rsidRDefault="007F57C0" w:rsidP="007F57C0">
      <w:pPr>
        <w:ind w:firstLine="720"/>
        <w:rPr>
          <w:rFonts w:asciiTheme="minorHAnsi" w:hAnsiTheme="minorHAnsi" w:cs="Arial"/>
          <w:sz w:val="22"/>
          <w:szCs w:val="22"/>
        </w:rPr>
      </w:pPr>
      <w:r w:rsidRPr="00D8220B">
        <w:rPr>
          <w:rFonts w:asciiTheme="minorHAnsi" w:hAnsiTheme="minorHAnsi" w:cs="Arial"/>
          <w:sz w:val="22"/>
          <w:szCs w:val="22"/>
        </w:rPr>
        <w:t>The gas savings for primary schools (EPr) in climate zone 7 (CZ07) is:</w:t>
      </w:r>
    </w:p>
    <w:p w:rsidR="007F57C0" w:rsidRPr="00D8220B" w:rsidRDefault="007F57C0" w:rsidP="007F57C0">
      <w:pPr>
        <w:ind w:left="720"/>
        <w:rPr>
          <w:rFonts w:asciiTheme="minorHAnsi" w:hAnsiTheme="minorHAnsi" w:cs="Arial"/>
          <w:sz w:val="22"/>
          <w:szCs w:val="22"/>
        </w:rPr>
      </w:pPr>
    </w:p>
    <w:p w:rsidR="007F57C0" w:rsidRPr="00D8220B" w:rsidRDefault="00C10029" w:rsidP="007F57C0">
      <w:pPr>
        <w:ind w:left="720"/>
        <w:rPr>
          <w:rFonts w:asciiTheme="minorHAnsi" w:hAnsiTheme="minorHAnsi"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GS</m:t>
              </m:r>
            </m:e>
            <m:sub>
              <m:r>
                <w:rPr>
                  <w:rFonts w:ascii="Cambria Math" w:hAnsi="Cambria Math" w:cs="Arial"/>
                  <w:sz w:val="22"/>
                  <w:szCs w:val="22"/>
                </w:rPr>
                <m:t>EPr</m:t>
              </m:r>
            </m:sub>
          </m:sSub>
          <m:r>
            <w:rPr>
              <w:rFonts w:ascii="Cambria Math" w:hAnsi="Cambria Math" w:cs="Arial"/>
              <w:sz w:val="22"/>
              <w:szCs w:val="22"/>
            </w:rPr>
            <m:t xml:space="preserve">   = 209.6*0.25</m:t>
          </m:r>
        </m:oMath>
      </m:oMathPara>
    </w:p>
    <w:p w:rsidR="00072F35" w:rsidRPr="000344AB" w:rsidRDefault="00C10029" w:rsidP="00072F35">
      <w:pPr>
        <w:ind w:left="720"/>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GS</m:t>
              </m:r>
            </m:e>
            <m:sub>
              <m:r>
                <w:rPr>
                  <w:rFonts w:ascii="Cambria Math" w:hAnsi="Cambria Math" w:cs="Arial"/>
                  <w:sz w:val="22"/>
                  <w:szCs w:val="22"/>
                </w:rPr>
                <m:t xml:space="preserve">EPr    </m:t>
              </m:r>
            </m:sub>
          </m:sSub>
          <m:r>
            <w:rPr>
              <w:rFonts w:ascii="Cambria Math" w:hAnsi="Cambria Math" w:cs="Arial"/>
              <w:sz w:val="22"/>
              <w:szCs w:val="22"/>
            </w:rPr>
            <m:t xml:space="preserve">= 52.39 </m:t>
          </m:r>
          <m:f>
            <m:fPr>
              <m:type m:val="skw"/>
              <m:ctrlPr>
                <w:rPr>
                  <w:rFonts w:ascii="Cambria Math" w:hAnsi="Cambria Math" w:cs="Arial"/>
                  <w:i/>
                  <w:sz w:val="22"/>
                  <w:szCs w:val="22"/>
                </w:rPr>
              </m:ctrlPr>
            </m:fPr>
            <m:num>
              <m:r>
                <w:rPr>
                  <w:rFonts w:ascii="Cambria Math" w:hAnsi="Cambria Math" w:cs="Arial"/>
                  <w:sz w:val="22"/>
                  <w:szCs w:val="22"/>
                </w:rPr>
                <m:t>therms</m:t>
              </m:r>
            </m:num>
            <m:den>
              <m:r>
                <w:rPr>
                  <w:rFonts w:ascii="Cambria Math" w:hAnsi="Cambria Math" w:cs="Arial"/>
                  <w:sz w:val="22"/>
                  <w:szCs w:val="22"/>
                </w:rPr>
                <m:t>Area-1kFP</m:t>
              </m:r>
            </m:den>
          </m:f>
        </m:oMath>
      </m:oMathPara>
    </w:p>
    <w:p w:rsidR="00A22534" w:rsidRDefault="00A22534" w:rsidP="00072F35">
      <w:pPr>
        <w:rPr>
          <w:rFonts w:ascii="Arial" w:hAnsi="Arial" w:cs="Arial"/>
          <w:sz w:val="22"/>
          <w:szCs w:val="22"/>
        </w:rPr>
      </w:pPr>
    </w:p>
    <w:p w:rsidR="00B9722E" w:rsidRDefault="00B9722E" w:rsidP="00072F35">
      <w:pPr>
        <w:pStyle w:val="Heading2"/>
        <w:rPr>
          <w:rFonts w:asciiTheme="minorHAnsi" w:hAnsiTheme="minorHAnsi"/>
          <w:i w:val="0"/>
        </w:rPr>
      </w:pPr>
      <w:bookmarkStart w:id="53" w:name="_Toc404765885"/>
    </w:p>
    <w:p w:rsidR="00A22534" w:rsidRPr="00D8220B" w:rsidRDefault="00A22534" w:rsidP="00072F35">
      <w:pPr>
        <w:pStyle w:val="Heading2"/>
        <w:rPr>
          <w:rFonts w:asciiTheme="minorHAnsi" w:hAnsiTheme="minorHAnsi"/>
          <w:i w:val="0"/>
        </w:rPr>
      </w:pPr>
      <w:r w:rsidRPr="00D8220B">
        <w:rPr>
          <w:rFonts w:asciiTheme="minorHAnsi" w:hAnsiTheme="minorHAnsi"/>
          <w:i w:val="0"/>
        </w:rPr>
        <w:lastRenderedPageBreak/>
        <w:t>2.4. Demand Response Load Drop Evaluation</w:t>
      </w:r>
      <w:bookmarkEnd w:id="53"/>
    </w:p>
    <w:p w:rsidR="00A22534" w:rsidRPr="00D8220B" w:rsidRDefault="00A22534" w:rsidP="00A22534">
      <w:pPr>
        <w:rPr>
          <w:rFonts w:asciiTheme="minorHAnsi" w:hAnsiTheme="minorHAnsi" w:cs="Arial"/>
          <w:sz w:val="22"/>
          <w:szCs w:val="22"/>
        </w:rPr>
      </w:pPr>
      <w:r w:rsidRPr="00D8220B">
        <w:rPr>
          <w:rFonts w:asciiTheme="minorHAnsi" w:hAnsiTheme="minorHAnsi" w:cs="Arial"/>
          <w:sz w:val="22"/>
          <w:szCs w:val="22"/>
        </w:rPr>
        <w:t xml:space="preserve">Demand </w:t>
      </w:r>
      <w:r w:rsidR="00FB42F0" w:rsidRPr="00D8220B">
        <w:rPr>
          <w:rFonts w:asciiTheme="minorHAnsi" w:hAnsiTheme="minorHAnsi" w:cs="Arial"/>
          <w:sz w:val="22"/>
          <w:szCs w:val="22"/>
        </w:rPr>
        <w:t>r</w:t>
      </w:r>
      <w:r w:rsidRPr="00D8220B">
        <w:rPr>
          <w:rFonts w:asciiTheme="minorHAnsi" w:hAnsiTheme="minorHAnsi" w:cs="Arial"/>
          <w:sz w:val="22"/>
          <w:szCs w:val="22"/>
        </w:rPr>
        <w:t xml:space="preserve">esponse </w:t>
      </w:r>
      <w:r w:rsidR="00FB42F0" w:rsidRPr="00D8220B">
        <w:rPr>
          <w:rFonts w:asciiTheme="minorHAnsi" w:hAnsiTheme="minorHAnsi" w:cs="Arial"/>
          <w:sz w:val="22"/>
          <w:szCs w:val="22"/>
        </w:rPr>
        <w:t>l</w:t>
      </w:r>
      <w:r w:rsidRPr="00D8220B">
        <w:rPr>
          <w:rFonts w:asciiTheme="minorHAnsi" w:hAnsiTheme="minorHAnsi" w:cs="Arial"/>
          <w:sz w:val="22"/>
          <w:szCs w:val="22"/>
        </w:rPr>
        <w:t xml:space="preserve">oad </w:t>
      </w:r>
      <w:r w:rsidR="00FB42F0" w:rsidRPr="00D8220B">
        <w:rPr>
          <w:rFonts w:asciiTheme="minorHAnsi" w:hAnsiTheme="minorHAnsi" w:cs="Arial"/>
          <w:sz w:val="22"/>
          <w:szCs w:val="22"/>
        </w:rPr>
        <w:t>d</w:t>
      </w:r>
      <w:r w:rsidRPr="00D8220B">
        <w:rPr>
          <w:rFonts w:asciiTheme="minorHAnsi" w:hAnsiTheme="minorHAnsi" w:cs="Arial"/>
          <w:sz w:val="22"/>
          <w:szCs w:val="22"/>
        </w:rPr>
        <w:t>ro</w:t>
      </w:r>
      <w:r w:rsidR="00FB42F0" w:rsidRPr="00D8220B">
        <w:rPr>
          <w:rFonts w:asciiTheme="minorHAnsi" w:hAnsiTheme="minorHAnsi" w:cs="Arial"/>
          <w:sz w:val="22"/>
          <w:szCs w:val="22"/>
        </w:rPr>
        <w:t>p is evaluated Ex-Post, by site.</w:t>
      </w:r>
      <w:r w:rsidRPr="00D8220B">
        <w:rPr>
          <w:rFonts w:asciiTheme="minorHAnsi" w:hAnsiTheme="minorHAnsi" w:cs="Arial"/>
          <w:sz w:val="22"/>
          <w:szCs w:val="22"/>
        </w:rPr>
        <w:t xml:space="preserve"> </w:t>
      </w:r>
      <w:r w:rsidR="00FB42F0" w:rsidRPr="00D8220B">
        <w:rPr>
          <w:rFonts w:asciiTheme="minorHAnsi" w:hAnsiTheme="minorHAnsi" w:cs="Arial"/>
          <w:sz w:val="22"/>
          <w:szCs w:val="22"/>
        </w:rPr>
        <w:t>Th</w:t>
      </w:r>
      <w:r w:rsidRPr="00D8220B">
        <w:rPr>
          <w:rFonts w:asciiTheme="minorHAnsi" w:hAnsiTheme="minorHAnsi" w:cs="Arial"/>
          <w:sz w:val="22"/>
          <w:szCs w:val="22"/>
        </w:rPr>
        <w:t>erefore</w:t>
      </w:r>
      <w:r w:rsidR="00FB42F0" w:rsidRPr="00D8220B">
        <w:rPr>
          <w:rFonts w:asciiTheme="minorHAnsi" w:hAnsiTheme="minorHAnsi" w:cs="Arial"/>
          <w:sz w:val="22"/>
          <w:szCs w:val="22"/>
        </w:rPr>
        <w:t>,</w:t>
      </w:r>
      <w:r w:rsidRPr="00D8220B">
        <w:rPr>
          <w:rFonts w:asciiTheme="minorHAnsi" w:hAnsiTheme="minorHAnsi" w:cs="Arial"/>
          <w:sz w:val="22"/>
          <w:szCs w:val="22"/>
        </w:rPr>
        <w:t xml:space="preserve"> estimated savings are not included in this workpaper.  </w:t>
      </w:r>
      <w:r w:rsidR="00FB42F0" w:rsidRPr="00D8220B">
        <w:rPr>
          <w:rFonts w:asciiTheme="minorHAnsi" w:hAnsiTheme="minorHAnsi" w:cs="Arial"/>
          <w:sz w:val="22"/>
          <w:szCs w:val="22"/>
        </w:rPr>
        <w:t>The load drop from d</w:t>
      </w:r>
      <w:r w:rsidRPr="00D8220B">
        <w:rPr>
          <w:rFonts w:asciiTheme="minorHAnsi" w:hAnsiTheme="minorHAnsi" w:cs="Arial"/>
          <w:sz w:val="22"/>
          <w:szCs w:val="22"/>
        </w:rPr>
        <w:t xml:space="preserve">emand </w:t>
      </w:r>
      <w:r w:rsidR="00FB42F0" w:rsidRPr="00D8220B">
        <w:rPr>
          <w:rFonts w:asciiTheme="minorHAnsi" w:hAnsiTheme="minorHAnsi" w:cs="Arial"/>
          <w:sz w:val="22"/>
          <w:szCs w:val="22"/>
        </w:rPr>
        <w:t>r</w:t>
      </w:r>
      <w:r w:rsidRPr="00D8220B">
        <w:rPr>
          <w:rFonts w:asciiTheme="minorHAnsi" w:hAnsiTheme="minorHAnsi" w:cs="Arial"/>
          <w:sz w:val="22"/>
          <w:szCs w:val="22"/>
        </w:rPr>
        <w:t>esponse events is evaluated in the following manner:</w:t>
      </w:r>
    </w:p>
    <w:p w:rsidR="00A22534" w:rsidRPr="00D8220B" w:rsidRDefault="00A22534" w:rsidP="00A22534">
      <w:pPr>
        <w:kinsoku w:val="0"/>
        <w:overflowPunct w:val="0"/>
        <w:textAlignment w:val="baseline"/>
        <w:rPr>
          <w:rFonts w:asciiTheme="minorHAnsi" w:eastAsia="Verdana" w:hAnsiTheme="minorHAnsi" w:cs="Arial"/>
          <w:kern w:val="24"/>
          <w:sz w:val="22"/>
          <w:szCs w:val="22"/>
        </w:rPr>
      </w:pPr>
    </w:p>
    <w:p w:rsidR="00FB42F0" w:rsidRPr="00D8220B" w:rsidRDefault="00FB42F0" w:rsidP="00FB42F0">
      <w:pPr>
        <w:pStyle w:val="ListParagraph"/>
        <w:numPr>
          <w:ilvl w:val="0"/>
          <w:numId w:val="25"/>
        </w:numPr>
        <w:kinsoku w:val="0"/>
        <w:overflowPunct w:val="0"/>
        <w:textAlignment w:val="baseline"/>
        <w:rPr>
          <w:rFonts w:asciiTheme="minorHAnsi" w:eastAsia="Verdana" w:hAnsiTheme="minorHAnsi" w:cs="Arial"/>
          <w:kern w:val="24"/>
          <w:sz w:val="22"/>
          <w:szCs w:val="22"/>
        </w:rPr>
      </w:pPr>
      <w:r w:rsidRPr="00D8220B">
        <w:rPr>
          <w:rFonts w:asciiTheme="minorHAnsi" w:eastAsia="Verdana" w:hAnsiTheme="minorHAnsi" w:cs="Arial"/>
          <w:kern w:val="24"/>
          <w:sz w:val="22"/>
          <w:szCs w:val="22"/>
        </w:rPr>
        <w:t>T</w:t>
      </w:r>
      <w:r w:rsidR="00A22534" w:rsidRPr="00D8220B">
        <w:rPr>
          <w:rFonts w:asciiTheme="minorHAnsi" w:eastAsia="Verdana" w:hAnsiTheme="minorHAnsi" w:cs="Arial"/>
          <w:kern w:val="24"/>
          <w:sz w:val="22"/>
          <w:szCs w:val="22"/>
        </w:rPr>
        <w:t>he utilities calculate preliminary ex-post results for all de</w:t>
      </w:r>
      <w:r w:rsidRPr="00D8220B">
        <w:rPr>
          <w:rFonts w:asciiTheme="minorHAnsi" w:eastAsia="Verdana" w:hAnsiTheme="minorHAnsi" w:cs="Arial"/>
          <w:kern w:val="24"/>
          <w:sz w:val="22"/>
          <w:szCs w:val="22"/>
        </w:rPr>
        <w:t>mand response programs within 7-</w:t>
      </w:r>
      <w:r w:rsidR="00A22534" w:rsidRPr="00D8220B">
        <w:rPr>
          <w:rFonts w:asciiTheme="minorHAnsi" w:eastAsia="Verdana" w:hAnsiTheme="minorHAnsi" w:cs="Arial"/>
          <w:kern w:val="24"/>
          <w:sz w:val="22"/>
          <w:szCs w:val="22"/>
        </w:rPr>
        <w:t>days after an event using the hourly Smart Meter data of participants</w:t>
      </w:r>
      <w:r w:rsidRPr="00D8220B">
        <w:rPr>
          <w:rFonts w:asciiTheme="minorHAnsi" w:eastAsia="Verdana" w:hAnsiTheme="minorHAnsi" w:cs="Arial"/>
          <w:kern w:val="24"/>
          <w:sz w:val="22"/>
          <w:szCs w:val="22"/>
        </w:rPr>
        <w:t>.</w:t>
      </w:r>
    </w:p>
    <w:p w:rsidR="00A22534" w:rsidRPr="00D8220B" w:rsidRDefault="00A22534" w:rsidP="00FB42F0">
      <w:pPr>
        <w:pStyle w:val="ListParagraph"/>
        <w:numPr>
          <w:ilvl w:val="0"/>
          <w:numId w:val="25"/>
        </w:numPr>
        <w:kinsoku w:val="0"/>
        <w:overflowPunct w:val="0"/>
        <w:textAlignment w:val="baseline"/>
        <w:rPr>
          <w:rFonts w:asciiTheme="minorHAnsi" w:hAnsiTheme="minorHAnsi" w:cs="Arial"/>
          <w:sz w:val="22"/>
          <w:szCs w:val="22"/>
        </w:rPr>
      </w:pPr>
      <w:r w:rsidRPr="00D8220B">
        <w:rPr>
          <w:rFonts w:asciiTheme="minorHAnsi" w:eastAsia="Verdana" w:hAnsiTheme="minorHAnsi" w:cs="Arial"/>
          <w:kern w:val="24"/>
          <w:sz w:val="22"/>
          <w:szCs w:val="22"/>
        </w:rPr>
        <w:t>Preliminary ex-post results are reported to the CAISO and CPUC</w:t>
      </w:r>
      <w:r w:rsidR="00FB42F0" w:rsidRPr="00D8220B">
        <w:rPr>
          <w:rFonts w:asciiTheme="minorHAnsi" w:eastAsia="Verdana" w:hAnsiTheme="minorHAnsi" w:cs="Arial"/>
          <w:kern w:val="24"/>
          <w:sz w:val="22"/>
          <w:szCs w:val="22"/>
        </w:rPr>
        <w:t>. These</w:t>
      </w:r>
      <w:r w:rsidRPr="00D8220B">
        <w:rPr>
          <w:rFonts w:asciiTheme="minorHAnsi" w:eastAsia="Verdana" w:hAnsiTheme="minorHAnsi" w:cs="Arial"/>
          <w:kern w:val="24"/>
          <w:sz w:val="22"/>
          <w:szCs w:val="22"/>
        </w:rPr>
        <w:t xml:space="preserve"> are often used to pay customers and aggregators.</w:t>
      </w:r>
    </w:p>
    <w:p w:rsidR="00A22534" w:rsidRPr="00D8220B" w:rsidRDefault="00A22534" w:rsidP="00FB42F0">
      <w:pPr>
        <w:pStyle w:val="ListParagraph"/>
        <w:numPr>
          <w:ilvl w:val="0"/>
          <w:numId w:val="25"/>
        </w:numPr>
        <w:kinsoku w:val="0"/>
        <w:overflowPunct w:val="0"/>
        <w:textAlignment w:val="baseline"/>
        <w:rPr>
          <w:rFonts w:asciiTheme="minorHAnsi" w:hAnsiTheme="minorHAnsi" w:cs="Arial"/>
          <w:sz w:val="22"/>
          <w:szCs w:val="22"/>
        </w:rPr>
      </w:pPr>
      <w:r w:rsidRPr="00D8220B">
        <w:rPr>
          <w:rFonts w:asciiTheme="minorHAnsi" w:eastAsia="Verdana" w:hAnsiTheme="minorHAnsi" w:cs="Arial"/>
          <w:kern w:val="24"/>
          <w:sz w:val="22"/>
          <w:szCs w:val="22"/>
        </w:rPr>
        <w:t>The preliminary ex-post results inform the SDG&amp;E daily demand response forecasts.</w:t>
      </w:r>
    </w:p>
    <w:p w:rsidR="00FB42F0" w:rsidRPr="00D8220B" w:rsidRDefault="00FB42F0" w:rsidP="00FB42F0">
      <w:pPr>
        <w:pStyle w:val="ListParagraph"/>
        <w:kinsoku w:val="0"/>
        <w:overflowPunct w:val="0"/>
        <w:textAlignment w:val="baseline"/>
        <w:rPr>
          <w:rFonts w:asciiTheme="minorHAnsi" w:eastAsia="Verdana" w:hAnsiTheme="minorHAnsi" w:cs="Arial"/>
          <w:kern w:val="24"/>
          <w:sz w:val="22"/>
          <w:szCs w:val="22"/>
        </w:rPr>
      </w:pPr>
    </w:p>
    <w:p w:rsidR="00A22534" w:rsidRPr="00D8220B" w:rsidRDefault="00FB42F0" w:rsidP="00FB42F0">
      <w:pPr>
        <w:kinsoku w:val="0"/>
        <w:overflowPunct w:val="0"/>
        <w:textAlignment w:val="baseline"/>
        <w:rPr>
          <w:rFonts w:asciiTheme="minorHAnsi" w:eastAsia="Verdana" w:hAnsiTheme="minorHAnsi" w:cs="Arial"/>
          <w:kern w:val="24"/>
          <w:sz w:val="22"/>
          <w:szCs w:val="22"/>
        </w:rPr>
      </w:pPr>
      <w:r w:rsidRPr="00D8220B">
        <w:rPr>
          <w:rFonts w:asciiTheme="minorHAnsi" w:eastAsia="Verdana" w:hAnsiTheme="minorHAnsi" w:cs="Arial"/>
          <w:kern w:val="24"/>
          <w:sz w:val="22"/>
          <w:szCs w:val="22"/>
        </w:rPr>
        <w:t>E</w:t>
      </w:r>
      <w:r w:rsidR="00A22534" w:rsidRPr="00D8220B">
        <w:rPr>
          <w:rFonts w:asciiTheme="minorHAnsi" w:eastAsia="Verdana" w:hAnsiTheme="minorHAnsi" w:cs="Arial"/>
          <w:kern w:val="24"/>
          <w:sz w:val="22"/>
          <w:szCs w:val="22"/>
        </w:rPr>
        <w:t>ach demand response program is evaluated every year by a third party consultant on an ex-post basis</w:t>
      </w:r>
      <w:r w:rsidRPr="00D8220B">
        <w:rPr>
          <w:rFonts w:asciiTheme="minorHAnsi" w:eastAsia="Verdana" w:hAnsiTheme="minorHAnsi" w:cs="Arial"/>
          <w:kern w:val="24"/>
          <w:sz w:val="22"/>
          <w:szCs w:val="22"/>
        </w:rPr>
        <w:t>.</w:t>
      </w:r>
      <w:r w:rsidR="00A22534" w:rsidRPr="00D8220B" w:rsidDel="005A48E6">
        <w:rPr>
          <w:rFonts w:asciiTheme="minorHAnsi" w:hAnsiTheme="minorHAnsi" w:cs="Arial"/>
          <w:sz w:val="22"/>
          <w:szCs w:val="22"/>
        </w:rPr>
        <w:t xml:space="preserve"> </w:t>
      </w:r>
      <w:r w:rsidR="00A22534" w:rsidRPr="00D8220B">
        <w:rPr>
          <w:rFonts w:asciiTheme="minorHAnsi" w:eastAsia="Verdana" w:hAnsiTheme="minorHAnsi" w:cs="Arial"/>
          <w:kern w:val="24"/>
          <w:sz w:val="22"/>
          <w:szCs w:val="22"/>
        </w:rPr>
        <w:t>Eac</w:t>
      </w:r>
      <w:r w:rsidRPr="00D8220B">
        <w:rPr>
          <w:rFonts w:asciiTheme="minorHAnsi" w:eastAsia="Verdana" w:hAnsiTheme="minorHAnsi" w:cs="Arial"/>
          <w:kern w:val="24"/>
          <w:sz w:val="22"/>
          <w:szCs w:val="22"/>
        </w:rPr>
        <w:t>h evaluation also includes a 10-</w:t>
      </w:r>
      <w:r w:rsidR="00A22534" w:rsidRPr="00D8220B">
        <w:rPr>
          <w:rFonts w:asciiTheme="minorHAnsi" w:eastAsia="Verdana" w:hAnsiTheme="minorHAnsi" w:cs="Arial"/>
          <w:kern w:val="24"/>
          <w:sz w:val="22"/>
          <w:szCs w:val="22"/>
        </w:rPr>
        <w:t>year ex-ante forecast</w:t>
      </w:r>
      <w:r w:rsidRPr="00D8220B">
        <w:rPr>
          <w:rFonts w:asciiTheme="minorHAnsi" w:eastAsia="Verdana" w:hAnsiTheme="minorHAnsi" w:cs="Arial"/>
          <w:kern w:val="24"/>
          <w:sz w:val="22"/>
          <w:szCs w:val="22"/>
        </w:rPr>
        <w:t>.</w:t>
      </w:r>
      <w:r w:rsidR="00A22534" w:rsidRPr="00D8220B">
        <w:rPr>
          <w:rFonts w:asciiTheme="minorHAnsi" w:eastAsia="Verdana" w:hAnsiTheme="minorHAnsi" w:cs="Arial"/>
          <w:kern w:val="24"/>
          <w:sz w:val="22"/>
          <w:szCs w:val="22"/>
        </w:rPr>
        <w:t xml:space="preserve"> The ex-post results and ex-ante forecasts are filed with the CPUC on April </w:t>
      </w:r>
      <w:r w:rsidRPr="00D8220B">
        <w:rPr>
          <w:rFonts w:asciiTheme="minorHAnsi" w:eastAsia="Verdana" w:hAnsiTheme="minorHAnsi" w:cs="Arial"/>
          <w:kern w:val="24"/>
          <w:sz w:val="22"/>
          <w:szCs w:val="22"/>
        </w:rPr>
        <w:t>1</w:t>
      </w:r>
      <w:r w:rsidRPr="00D8220B">
        <w:rPr>
          <w:rFonts w:asciiTheme="minorHAnsi" w:eastAsia="Verdana" w:hAnsiTheme="minorHAnsi" w:cs="Arial"/>
          <w:kern w:val="24"/>
          <w:sz w:val="22"/>
          <w:szCs w:val="22"/>
          <w:vertAlign w:val="superscript"/>
        </w:rPr>
        <w:t>st</w:t>
      </w:r>
      <w:r w:rsidRPr="00D8220B">
        <w:rPr>
          <w:rFonts w:asciiTheme="minorHAnsi" w:eastAsia="Verdana" w:hAnsiTheme="minorHAnsi" w:cs="Arial"/>
          <w:kern w:val="24"/>
          <w:sz w:val="22"/>
          <w:szCs w:val="22"/>
        </w:rPr>
        <w:t xml:space="preserve"> </w:t>
      </w:r>
      <w:r w:rsidR="00A22534" w:rsidRPr="00D8220B">
        <w:rPr>
          <w:rFonts w:asciiTheme="minorHAnsi" w:eastAsia="Verdana" w:hAnsiTheme="minorHAnsi" w:cs="Arial"/>
          <w:kern w:val="24"/>
          <w:sz w:val="22"/>
          <w:szCs w:val="22"/>
        </w:rPr>
        <w:t xml:space="preserve">each year. The ex-ante forecasts filed April </w:t>
      </w:r>
      <w:r w:rsidRPr="00D8220B">
        <w:rPr>
          <w:rFonts w:asciiTheme="minorHAnsi" w:eastAsia="Verdana" w:hAnsiTheme="minorHAnsi" w:cs="Arial"/>
          <w:kern w:val="24"/>
          <w:sz w:val="22"/>
          <w:szCs w:val="22"/>
        </w:rPr>
        <w:t>1</w:t>
      </w:r>
      <w:r w:rsidRPr="00D8220B">
        <w:rPr>
          <w:rFonts w:asciiTheme="minorHAnsi" w:eastAsia="Verdana" w:hAnsiTheme="minorHAnsi" w:cs="Arial"/>
          <w:kern w:val="24"/>
          <w:sz w:val="22"/>
          <w:szCs w:val="22"/>
          <w:vertAlign w:val="superscript"/>
        </w:rPr>
        <w:t>st</w:t>
      </w:r>
      <w:r w:rsidRPr="00D8220B">
        <w:rPr>
          <w:rFonts w:asciiTheme="minorHAnsi" w:eastAsia="Verdana" w:hAnsiTheme="minorHAnsi" w:cs="Arial"/>
          <w:kern w:val="24"/>
          <w:sz w:val="22"/>
          <w:szCs w:val="22"/>
        </w:rPr>
        <w:t xml:space="preserve"> </w:t>
      </w:r>
      <w:r w:rsidR="00A22534" w:rsidRPr="00D8220B">
        <w:rPr>
          <w:rFonts w:asciiTheme="minorHAnsi" w:eastAsia="Verdana" w:hAnsiTheme="minorHAnsi" w:cs="Arial"/>
          <w:kern w:val="24"/>
          <w:sz w:val="22"/>
          <w:szCs w:val="22"/>
        </w:rPr>
        <w:t>are used in all resource planning proceedings that require a demand response forecast for the year.</w:t>
      </w:r>
    </w:p>
    <w:p w:rsidR="00A22534" w:rsidRPr="00D8220B" w:rsidRDefault="00A22534" w:rsidP="00A22534">
      <w:pPr>
        <w:kinsoku w:val="0"/>
        <w:overflowPunct w:val="0"/>
        <w:textAlignment w:val="baseline"/>
        <w:rPr>
          <w:rFonts w:asciiTheme="minorHAnsi" w:hAnsiTheme="minorHAnsi" w:cs="Arial"/>
          <w:sz w:val="22"/>
          <w:szCs w:val="22"/>
        </w:rPr>
      </w:pPr>
    </w:p>
    <w:p w:rsidR="00A22534" w:rsidRPr="00D8220B" w:rsidRDefault="00FB42F0" w:rsidP="00A941C1">
      <w:pPr>
        <w:textAlignment w:val="baseline"/>
        <w:rPr>
          <w:rFonts w:asciiTheme="minorHAnsi" w:hAnsiTheme="minorHAnsi" w:cs="Arial"/>
        </w:rPr>
      </w:pPr>
      <w:r w:rsidRPr="00D8220B">
        <w:rPr>
          <w:rFonts w:asciiTheme="minorHAnsi" w:eastAsia="Verdana" w:hAnsiTheme="minorHAnsi" w:cs="Arial"/>
          <w:kern w:val="24"/>
          <w:sz w:val="22"/>
          <w:szCs w:val="22"/>
        </w:rPr>
        <w:t>At a high level demand r</w:t>
      </w:r>
      <w:r w:rsidR="00A22534" w:rsidRPr="00D8220B">
        <w:rPr>
          <w:rFonts w:asciiTheme="minorHAnsi" w:eastAsia="Verdana" w:hAnsiTheme="minorHAnsi" w:cs="Arial"/>
          <w:kern w:val="24"/>
          <w:sz w:val="22"/>
          <w:szCs w:val="22"/>
        </w:rPr>
        <w:t>esponse ex-post results are calculated by comparing the energy use of customers on the event day to their energy use on similar days. Any conservation due to energy efficiency will lower energy use on both the similar days and the event days.</w:t>
      </w:r>
      <w:r w:rsidRPr="00D8220B">
        <w:rPr>
          <w:rFonts w:asciiTheme="minorHAnsi" w:eastAsia="Verdana" w:hAnsiTheme="minorHAnsi" w:cs="Arial"/>
          <w:kern w:val="24"/>
          <w:sz w:val="22"/>
          <w:szCs w:val="22"/>
        </w:rPr>
        <w:t xml:space="preserve"> </w:t>
      </w:r>
      <w:r w:rsidR="00A22534" w:rsidRPr="00D8220B">
        <w:rPr>
          <w:rFonts w:asciiTheme="minorHAnsi" w:eastAsia="Verdana" w:hAnsiTheme="minorHAnsi" w:cs="Arial"/>
          <w:kern w:val="24"/>
          <w:sz w:val="22"/>
          <w:szCs w:val="22"/>
        </w:rPr>
        <w:t xml:space="preserve">The estimated demand response results represent the incremental effect of the demand response event above and beyond any </w:t>
      </w:r>
      <w:r w:rsidR="00A22534" w:rsidRPr="00D8220B">
        <w:rPr>
          <w:rFonts w:asciiTheme="minorHAnsi" w:eastAsia="Verdana" w:hAnsiTheme="minorHAnsi" w:cs="Arial"/>
          <w:color w:val="000000" w:themeColor="text1"/>
          <w:kern w:val="24"/>
          <w:sz w:val="22"/>
          <w:szCs w:val="22"/>
        </w:rPr>
        <w:t xml:space="preserve">conservation from the </w:t>
      </w:r>
      <w:r w:rsidR="00A941C1" w:rsidRPr="00D8220B">
        <w:rPr>
          <w:rFonts w:asciiTheme="minorHAnsi" w:eastAsia="Verdana" w:hAnsiTheme="minorHAnsi" w:cs="Arial"/>
          <w:color w:val="000000" w:themeColor="text1"/>
          <w:kern w:val="24"/>
          <w:sz w:val="22"/>
          <w:szCs w:val="22"/>
        </w:rPr>
        <w:t>energy efficiency</w:t>
      </w:r>
      <w:r w:rsidR="00A22534" w:rsidRPr="00D8220B">
        <w:rPr>
          <w:rFonts w:asciiTheme="minorHAnsi" w:eastAsia="Verdana" w:hAnsiTheme="minorHAnsi" w:cs="Arial"/>
          <w:color w:val="000000" w:themeColor="text1"/>
          <w:kern w:val="24"/>
          <w:sz w:val="22"/>
          <w:szCs w:val="22"/>
        </w:rPr>
        <w:t xml:space="preserve"> program.</w:t>
      </w:r>
      <w:r w:rsidR="00A941C1" w:rsidRPr="00D8220B">
        <w:rPr>
          <w:rFonts w:asciiTheme="minorHAnsi" w:eastAsia="Verdana" w:hAnsiTheme="minorHAnsi" w:cs="Arial"/>
          <w:color w:val="000000" w:themeColor="text1"/>
          <w:kern w:val="24"/>
          <w:sz w:val="22"/>
          <w:szCs w:val="22"/>
        </w:rPr>
        <w:t xml:space="preserve"> </w:t>
      </w:r>
      <w:r w:rsidR="00A22534" w:rsidRPr="00D8220B">
        <w:rPr>
          <w:rFonts w:asciiTheme="minorHAnsi" w:eastAsia="Verdana" w:hAnsiTheme="minorHAnsi" w:cs="Arial"/>
          <w:color w:val="000000" w:themeColor="text1"/>
          <w:kern w:val="24"/>
          <w:sz w:val="22"/>
          <w:szCs w:val="22"/>
        </w:rPr>
        <w:t xml:space="preserve">Therefore there is no double counting of the </w:t>
      </w:r>
      <w:r w:rsidR="00A941C1" w:rsidRPr="00D8220B">
        <w:rPr>
          <w:rFonts w:asciiTheme="minorHAnsi" w:eastAsia="Verdana" w:hAnsiTheme="minorHAnsi" w:cs="Arial"/>
          <w:color w:val="000000" w:themeColor="text1"/>
          <w:kern w:val="24"/>
          <w:sz w:val="22"/>
          <w:szCs w:val="22"/>
        </w:rPr>
        <w:t>energy efficiency</w:t>
      </w:r>
      <w:r w:rsidR="00A22534" w:rsidRPr="00D8220B">
        <w:rPr>
          <w:rFonts w:asciiTheme="minorHAnsi" w:eastAsia="Verdana" w:hAnsiTheme="minorHAnsi" w:cs="Arial"/>
          <w:color w:val="000000" w:themeColor="text1"/>
          <w:kern w:val="24"/>
          <w:sz w:val="22"/>
          <w:szCs w:val="22"/>
        </w:rPr>
        <w:t xml:space="preserve"> results in the DR calculation</w:t>
      </w:r>
      <w:r w:rsidR="00A941C1" w:rsidRPr="00D8220B">
        <w:rPr>
          <w:rFonts w:asciiTheme="minorHAnsi" w:eastAsia="Verdana" w:hAnsiTheme="minorHAnsi" w:cs="Arial"/>
          <w:color w:val="000000" w:themeColor="text1"/>
          <w:kern w:val="24"/>
          <w:sz w:val="22"/>
          <w:szCs w:val="22"/>
        </w:rPr>
        <w:t>.</w:t>
      </w:r>
    </w:p>
    <w:p w:rsidR="00A22534" w:rsidRPr="000344AB" w:rsidRDefault="00A22534" w:rsidP="007F57C0">
      <w:pPr>
        <w:ind w:left="720"/>
        <w:rPr>
          <w:rFonts w:ascii="Arial" w:hAnsi="Arial" w:cs="Arial"/>
          <w:sz w:val="22"/>
          <w:szCs w:val="22"/>
        </w:rPr>
      </w:pPr>
    </w:p>
    <w:p w:rsidR="003F4FFF" w:rsidRPr="00D8220B" w:rsidRDefault="003F4FFF" w:rsidP="00864083">
      <w:pPr>
        <w:pStyle w:val="Heading1"/>
        <w:spacing w:before="0" w:after="0"/>
        <w:rPr>
          <w:rFonts w:asciiTheme="minorHAnsi" w:hAnsiTheme="minorHAnsi"/>
          <w:sz w:val="36"/>
          <w:szCs w:val="36"/>
        </w:rPr>
      </w:pPr>
      <w:bookmarkStart w:id="54" w:name="_Toc404765886"/>
      <w:r w:rsidRPr="00D8220B">
        <w:rPr>
          <w:rFonts w:asciiTheme="minorHAnsi" w:hAnsiTheme="minorHAnsi"/>
          <w:sz w:val="36"/>
          <w:szCs w:val="36"/>
        </w:rPr>
        <w:t>Section 3. Load Shapes</w:t>
      </w:r>
      <w:bookmarkEnd w:id="54"/>
      <w:r w:rsidRPr="00D8220B">
        <w:rPr>
          <w:rFonts w:asciiTheme="minorHAnsi" w:hAnsiTheme="minorHAnsi"/>
          <w:sz w:val="36"/>
          <w:szCs w:val="36"/>
        </w:rPr>
        <w:t xml:space="preserve"> </w:t>
      </w:r>
    </w:p>
    <w:p w:rsidR="00E2085B" w:rsidRPr="008850E7" w:rsidRDefault="00E2085B" w:rsidP="00E2085B">
      <w:pPr>
        <w:rPr>
          <w:rFonts w:asciiTheme="minorHAnsi" w:hAnsiTheme="minorHAnsi" w:cs="Arial"/>
          <w:sz w:val="22"/>
          <w:szCs w:val="22"/>
        </w:rPr>
      </w:pPr>
      <w:r w:rsidRPr="008850E7">
        <w:rPr>
          <w:rFonts w:asciiTheme="minorHAnsi" w:hAnsiTheme="minorHAnsi" w:cs="Arial"/>
          <w:sz w:val="22"/>
          <w:szCs w:val="22"/>
        </w:rPr>
        <w:t xml:space="preserve">For purposes of the net benefits estimates in the E3 calculator, what is required is a load shape that ideally represents the difference between the base equipment and the installed energy efficiency measure.  This difference load profile is what is called the Measure Load Shape and would be the preferred load shape for use in the net benefits calculations. The difference between the base case load shape and the measure load shape would be the most appropriate load shape; however, only end-use profiles are available. </w:t>
      </w:r>
    </w:p>
    <w:p w:rsidR="002619BA" w:rsidRDefault="002619BA" w:rsidP="00E2085B">
      <w:pPr>
        <w:pStyle w:val="Heading2"/>
      </w:pPr>
      <w:bookmarkStart w:id="55" w:name="_Toc173742996"/>
      <w:bookmarkStart w:id="56" w:name="_Toc380155056"/>
    </w:p>
    <w:p w:rsidR="00E2085B" w:rsidRPr="00D8220B" w:rsidRDefault="00E2085B" w:rsidP="00E2085B">
      <w:pPr>
        <w:pStyle w:val="Heading2"/>
        <w:rPr>
          <w:rFonts w:asciiTheme="minorHAnsi" w:hAnsiTheme="minorHAnsi"/>
          <w:i w:val="0"/>
        </w:rPr>
      </w:pPr>
      <w:bookmarkStart w:id="57" w:name="_Toc404765887"/>
      <w:r w:rsidRPr="00D8220B">
        <w:rPr>
          <w:rFonts w:asciiTheme="minorHAnsi" w:hAnsiTheme="minorHAnsi"/>
          <w:i w:val="0"/>
        </w:rPr>
        <w:t>3.1 Base Case Load Shapes</w:t>
      </w:r>
      <w:bookmarkEnd w:id="55"/>
      <w:bookmarkEnd w:id="56"/>
      <w:bookmarkEnd w:id="57"/>
    </w:p>
    <w:p w:rsidR="00E2085B" w:rsidRPr="00D8220B" w:rsidRDefault="00E2085B" w:rsidP="00E2085B">
      <w:pPr>
        <w:rPr>
          <w:rFonts w:asciiTheme="minorHAnsi" w:hAnsiTheme="minorHAnsi" w:cs="Arial"/>
          <w:sz w:val="22"/>
          <w:szCs w:val="22"/>
        </w:rPr>
      </w:pPr>
      <w:r w:rsidRPr="00D8220B">
        <w:rPr>
          <w:rFonts w:asciiTheme="minorHAnsi" w:hAnsiTheme="minorHAnsi" w:cs="Arial"/>
          <w:sz w:val="22"/>
          <w:szCs w:val="22"/>
        </w:rPr>
        <w:t xml:space="preserve">The closest load shape chosen for this measure is the </w:t>
      </w:r>
      <w:r w:rsidRPr="00D8220B">
        <w:rPr>
          <w:rFonts w:asciiTheme="minorHAnsi" w:hAnsiTheme="minorHAnsi" w:cs="Arial"/>
          <w:i/>
          <w:sz w:val="22"/>
          <w:szCs w:val="22"/>
        </w:rPr>
        <w:t xml:space="preserve">DEER: HVAC_Split-Package_HP </w:t>
      </w:r>
      <w:r w:rsidRPr="00D8220B">
        <w:rPr>
          <w:rFonts w:asciiTheme="minorHAnsi" w:hAnsiTheme="minorHAnsi" w:cs="Arial"/>
          <w:sz w:val="22"/>
          <w:szCs w:val="22"/>
        </w:rPr>
        <w:t xml:space="preserve">load shape.  See Table </w:t>
      </w:r>
      <w:r w:rsidR="008D1C89" w:rsidRPr="00D8220B">
        <w:rPr>
          <w:rFonts w:asciiTheme="minorHAnsi" w:hAnsiTheme="minorHAnsi" w:cs="Arial"/>
          <w:sz w:val="22"/>
          <w:szCs w:val="22"/>
        </w:rPr>
        <w:t>5</w:t>
      </w:r>
      <w:r w:rsidRPr="00D8220B">
        <w:rPr>
          <w:rFonts w:asciiTheme="minorHAnsi" w:hAnsiTheme="minorHAnsi" w:cs="Arial"/>
          <w:sz w:val="22"/>
          <w:szCs w:val="22"/>
        </w:rPr>
        <w:t xml:space="preserve"> for a list of all Building Types and Load Shapes.</w:t>
      </w:r>
    </w:p>
    <w:p w:rsidR="00CA3D16" w:rsidRDefault="00CA3D16" w:rsidP="00CA3D16"/>
    <w:p w:rsidR="00E2085B" w:rsidRPr="00D8220B" w:rsidRDefault="00B9722E" w:rsidP="00E2085B">
      <w:pPr>
        <w:pStyle w:val="Caption"/>
        <w:jc w:val="center"/>
        <w:rPr>
          <w:rFonts w:asciiTheme="minorHAnsi" w:hAnsiTheme="minorHAnsi" w:cs="Arial"/>
          <w:sz w:val="22"/>
          <w:szCs w:val="22"/>
        </w:rPr>
      </w:pPr>
      <w:bookmarkStart w:id="58" w:name="_Toc379545679"/>
      <w:r w:rsidRPr="00451245">
        <w:rPr>
          <w:rFonts w:asciiTheme="minorHAnsi" w:hAnsiTheme="minorHAnsi" w:cs="Arial"/>
          <w:sz w:val="22"/>
          <w:szCs w:val="22"/>
        </w:rPr>
        <w:t xml:space="preserve">Table </w:t>
      </w:r>
      <w:r>
        <w:rPr>
          <w:rFonts w:asciiTheme="minorHAnsi" w:hAnsiTheme="minorHAnsi" w:cs="Arial"/>
          <w:sz w:val="22"/>
          <w:szCs w:val="22"/>
        </w:rPr>
        <w:t>18</w:t>
      </w:r>
      <w:r w:rsidRPr="00451245">
        <w:rPr>
          <w:rFonts w:asciiTheme="minorHAnsi" w:hAnsiTheme="minorHAnsi" w:cs="Arial"/>
          <w:sz w:val="22"/>
          <w:szCs w:val="22"/>
        </w:rPr>
        <w:t xml:space="preserve"> </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r w:rsidR="00E2085B" w:rsidRPr="00B9722E">
        <w:rPr>
          <w:rFonts w:asciiTheme="minorHAnsi" w:hAnsiTheme="minorHAnsi" w:cs="Arial"/>
          <w:b w:val="0"/>
          <w:sz w:val="22"/>
          <w:szCs w:val="22"/>
        </w:rPr>
        <w:t>Building Types and Load Shapes</w:t>
      </w:r>
      <w:bookmarkEnd w:id="58"/>
      <w:r w:rsidR="006D05E1" w:rsidRPr="00D8220B">
        <w:rPr>
          <w:rFonts w:asciiTheme="minorHAnsi" w:hAnsiTheme="minorHAnsi" w:cs="Arial"/>
          <w:sz w:val="22"/>
          <w:szCs w:val="22"/>
        </w:rPr>
        <w:fldChar w:fldCharType="begin"/>
      </w:r>
      <w:r w:rsidR="00E2085B" w:rsidRPr="00D8220B">
        <w:rPr>
          <w:rFonts w:asciiTheme="minorHAnsi" w:hAnsiTheme="minorHAnsi"/>
          <w:sz w:val="22"/>
          <w:szCs w:val="22"/>
        </w:rPr>
        <w:instrText xml:space="preserve"> TC "</w:instrText>
      </w:r>
      <w:bookmarkStart w:id="59" w:name="_Toc380154934"/>
      <w:bookmarkStart w:id="60" w:name="_Toc404765919"/>
      <w:r w:rsidR="00E2085B" w:rsidRPr="00D8220B">
        <w:rPr>
          <w:rFonts w:asciiTheme="minorHAnsi" w:hAnsiTheme="minorHAnsi" w:cs="Arial"/>
          <w:sz w:val="22"/>
          <w:szCs w:val="22"/>
        </w:rPr>
        <w:instrText xml:space="preserve">Table </w:instrText>
      </w:r>
      <w:r w:rsidR="008D1C89" w:rsidRPr="00D8220B">
        <w:rPr>
          <w:rFonts w:asciiTheme="minorHAnsi" w:hAnsiTheme="minorHAnsi" w:cs="Arial"/>
          <w:sz w:val="22"/>
          <w:szCs w:val="22"/>
        </w:rPr>
        <w:instrText>5</w:instrText>
      </w:r>
      <w:r w:rsidR="00E2085B" w:rsidRPr="00D8220B">
        <w:rPr>
          <w:rFonts w:asciiTheme="minorHAnsi" w:hAnsiTheme="minorHAnsi" w:cs="Arial"/>
          <w:sz w:val="22"/>
          <w:szCs w:val="22"/>
        </w:rPr>
        <w:instrText>: Building Types and Load Shapes</w:instrText>
      </w:r>
      <w:bookmarkEnd w:id="59"/>
      <w:bookmarkEnd w:id="60"/>
      <w:r w:rsidR="00E2085B" w:rsidRPr="00D8220B">
        <w:rPr>
          <w:rFonts w:asciiTheme="minorHAnsi" w:hAnsiTheme="minorHAnsi"/>
          <w:sz w:val="22"/>
          <w:szCs w:val="22"/>
        </w:rPr>
        <w:instrText xml:space="preserve">" \f C \l "1" </w:instrText>
      </w:r>
      <w:r w:rsidR="006D05E1" w:rsidRPr="00D8220B">
        <w:rPr>
          <w:rFonts w:asciiTheme="minorHAnsi" w:hAnsiTheme="minorHAnsi" w:cs="Arial"/>
          <w:sz w:val="22"/>
          <w:szCs w:val="22"/>
        </w:rPr>
        <w:fldChar w:fldCharType="end"/>
      </w:r>
    </w:p>
    <w:tbl>
      <w:tblPr>
        <w:tblW w:w="5000" w:type="pct"/>
        <w:tblBorders>
          <w:insideH w:val="single" w:sz="18" w:space="0" w:color="FFFFFF"/>
          <w:insideV w:val="single" w:sz="18" w:space="0" w:color="FFFFFF"/>
        </w:tblBorders>
        <w:tblLook w:val="0020" w:firstRow="1" w:lastRow="0" w:firstColumn="0" w:lastColumn="0" w:noHBand="0" w:noVBand="0"/>
      </w:tblPr>
      <w:tblGrid>
        <w:gridCol w:w="2087"/>
        <w:gridCol w:w="3511"/>
        <w:gridCol w:w="3978"/>
      </w:tblGrid>
      <w:tr w:rsidR="00E2085B" w:rsidRPr="008971BC" w:rsidTr="008D1C89">
        <w:trPr>
          <w:trHeight w:val="458"/>
        </w:trPr>
        <w:tc>
          <w:tcPr>
            <w:tcW w:w="1090" w:type="pct"/>
            <w:shd w:val="pct20" w:color="000000" w:fill="FFFFFF"/>
            <w:vAlign w:val="center"/>
          </w:tcPr>
          <w:p w:rsidR="00E2085B" w:rsidRPr="00B9722E" w:rsidRDefault="00E2085B" w:rsidP="008D1C89">
            <w:pPr>
              <w:jc w:val="center"/>
              <w:rPr>
                <w:rFonts w:asciiTheme="minorHAnsi" w:hAnsiTheme="minorHAnsi" w:cs="Arial"/>
                <w:b/>
                <w:bCs/>
                <w:sz w:val="22"/>
                <w:szCs w:val="22"/>
              </w:rPr>
            </w:pPr>
            <w:r w:rsidRPr="00B9722E">
              <w:rPr>
                <w:rFonts w:asciiTheme="minorHAnsi" w:hAnsiTheme="minorHAnsi" w:cs="Arial"/>
                <w:b/>
                <w:bCs/>
                <w:sz w:val="22"/>
                <w:szCs w:val="22"/>
              </w:rPr>
              <w:t>Building Type</w:t>
            </w:r>
          </w:p>
        </w:tc>
        <w:tc>
          <w:tcPr>
            <w:tcW w:w="1833" w:type="pct"/>
            <w:shd w:val="pct20" w:color="000000" w:fill="FFFFFF"/>
            <w:vAlign w:val="center"/>
          </w:tcPr>
          <w:p w:rsidR="00E2085B" w:rsidRPr="00B9722E" w:rsidRDefault="00E2085B" w:rsidP="008D1C89">
            <w:pPr>
              <w:jc w:val="center"/>
              <w:rPr>
                <w:rFonts w:asciiTheme="minorHAnsi" w:hAnsiTheme="minorHAnsi" w:cs="Arial"/>
                <w:b/>
                <w:bCs/>
                <w:sz w:val="22"/>
                <w:szCs w:val="22"/>
              </w:rPr>
            </w:pPr>
            <w:r w:rsidRPr="00B9722E">
              <w:rPr>
                <w:rFonts w:asciiTheme="minorHAnsi" w:hAnsiTheme="minorHAnsi" w:cs="Arial"/>
                <w:b/>
                <w:bCs/>
                <w:sz w:val="22"/>
                <w:szCs w:val="22"/>
              </w:rPr>
              <w:t>E3 Alt. Building Type</w:t>
            </w:r>
          </w:p>
        </w:tc>
        <w:tc>
          <w:tcPr>
            <w:tcW w:w="2077" w:type="pct"/>
            <w:shd w:val="pct20" w:color="000000" w:fill="FFFFFF"/>
            <w:vAlign w:val="center"/>
          </w:tcPr>
          <w:p w:rsidR="00E2085B" w:rsidRPr="00B9722E" w:rsidRDefault="00E2085B" w:rsidP="008D1C89">
            <w:pPr>
              <w:jc w:val="center"/>
              <w:rPr>
                <w:rFonts w:asciiTheme="minorHAnsi" w:hAnsiTheme="minorHAnsi" w:cs="Arial"/>
                <w:b/>
                <w:bCs/>
                <w:sz w:val="22"/>
                <w:szCs w:val="22"/>
              </w:rPr>
            </w:pPr>
            <w:r w:rsidRPr="00B9722E">
              <w:rPr>
                <w:rFonts w:asciiTheme="minorHAnsi" w:hAnsiTheme="minorHAnsi" w:cs="Arial"/>
                <w:b/>
                <w:bCs/>
                <w:sz w:val="22"/>
                <w:szCs w:val="22"/>
              </w:rPr>
              <w:t>Load Shape</w:t>
            </w:r>
          </w:p>
        </w:tc>
      </w:tr>
      <w:tr w:rsidR="00E2085B" w:rsidRPr="008971BC" w:rsidTr="008850E7">
        <w:trPr>
          <w:trHeight w:val="288"/>
        </w:trPr>
        <w:tc>
          <w:tcPr>
            <w:tcW w:w="1090" w:type="pct"/>
            <w:tcBorders>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Asm</w:t>
            </w:r>
          </w:p>
        </w:tc>
        <w:tc>
          <w:tcPr>
            <w:tcW w:w="1833" w:type="pct"/>
            <w:tcBorders>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EPr</w:t>
            </w:r>
          </w:p>
        </w:tc>
        <w:tc>
          <w:tcPr>
            <w:tcW w:w="1833"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ESe</w:t>
            </w:r>
          </w:p>
        </w:tc>
        <w:tc>
          <w:tcPr>
            <w:tcW w:w="1833"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ECC</w:t>
            </w:r>
          </w:p>
        </w:tc>
        <w:tc>
          <w:tcPr>
            <w:tcW w:w="1833"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ERC</w:t>
            </w:r>
          </w:p>
        </w:tc>
        <w:tc>
          <w:tcPr>
            <w:tcW w:w="1833"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Gro</w:t>
            </w:r>
          </w:p>
        </w:tc>
        <w:tc>
          <w:tcPr>
            <w:tcW w:w="1833"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MBT</w:t>
            </w:r>
          </w:p>
        </w:tc>
        <w:tc>
          <w:tcPr>
            <w:tcW w:w="1833"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lastRenderedPageBreak/>
              <w:t>MLI</w:t>
            </w:r>
          </w:p>
        </w:tc>
        <w:tc>
          <w:tcPr>
            <w:tcW w:w="1833"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OfS</w:t>
            </w:r>
          </w:p>
        </w:tc>
        <w:tc>
          <w:tcPr>
            <w:tcW w:w="1833"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RSD</w:t>
            </w:r>
          </w:p>
        </w:tc>
        <w:tc>
          <w:tcPr>
            <w:tcW w:w="1833"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RFF</w:t>
            </w:r>
          </w:p>
        </w:tc>
        <w:tc>
          <w:tcPr>
            <w:tcW w:w="1833"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RtL</w:t>
            </w:r>
          </w:p>
        </w:tc>
        <w:tc>
          <w:tcPr>
            <w:tcW w:w="1833"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8971BC" w:rsidTr="008850E7">
        <w:trPr>
          <w:trHeight w:val="288"/>
        </w:trPr>
        <w:tc>
          <w:tcPr>
            <w:tcW w:w="1090"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RtS</w:t>
            </w:r>
          </w:p>
        </w:tc>
        <w:tc>
          <w:tcPr>
            <w:tcW w:w="1833"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pct5"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r w:rsidR="00E2085B" w:rsidRPr="00BD5C67" w:rsidTr="008850E7">
        <w:trPr>
          <w:trHeight w:val="288"/>
        </w:trPr>
        <w:tc>
          <w:tcPr>
            <w:tcW w:w="1090"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SCn</w:t>
            </w:r>
          </w:p>
        </w:tc>
        <w:tc>
          <w:tcPr>
            <w:tcW w:w="1833"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sz w:val="22"/>
                <w:szCs w:val="22"/>
              </w:rPr>
              <w:t>NON_RES</w:t>
            </w:r>
          </w:p>
        </w:tc>
        <w:tc>
          <w:tcPr>
            <w:tcW w:w="2077" w:type="pct"/>
            <w:tcBorders>
              <w:top w:val="single" w:sz="18" w:space="0" w:color="FFFFFF"/>
              <w:bottom w:val="single" w:sz="18" w:space="0" w:color="FFFFFF"/>
            </w:tcBorders>
            <w:shd w:val="clear" w:color="000000" w:fill="FFFFFF"/>
            <w:vAlign w:val="center"/>
          </w:tcPr>
          <w:p w:rsidR="00E2085B" w:rsidRPr="00D8220B" w:rsidRDefault="00E2085B" w:rsidP="008D1C89">
            <w:pPr>
              <w:jc w:val="center"/>
              <w:rPr>
                <w:rFonts w:asciiTheme="minorHAnsi" w:hAnsiTheme="minorHAnsi" w:cs="Arial"/>
                <w:sz w:val="22"/>
                <w:szCs w:val="22"/>
              </w:rPr>
            </w:pPr>
            <w:r w:rsidRPr="00D8220B">
              <w:rPr>
                <w:rFonts w:asciiTheme="minorHAnsi" w:hAnsiTheme="minorHAnsi" w:cs="Arial"/>
                <w:i/>
                <w:sz w:val="22"/>
                <w:szCs w:val="22"/>
              </w:rPr>
              <w:t>DEER: HVAC_Split-Package_HP</w:t>
            </w:r>
          </w:p>
        </w:tc>
      </w:tr>
    </w:tbl>
    <w:p w:rsidR="001B4497" w:rsidRDefault="001B4497" w:rsidP="001B4497">
      <w:pPr>
        <w:rPr>
          <w:rFonts w:ascii="Arial" w:hAnsi="Arial" w:cs="Arial"/>
          <w:sz w:val="28"/>
          <w:szCs w:val="28"/>
        </w:rPr>
      </w:pPr>
      <w:bookmarkStart w:id="61" w:name="_Toc380155057"/>
    </w:p>
    <w:p w:rsidR="002619BA" w:rsidRDefault="002619BA" w:rsidP="00E2085B">
      <w:pPr>
        <w:pStyle w:val="Heading2"/>
      </w:pPr>
    </w:p>
    <w:p w:rsidR="00E2085B" w:rsidRPr="00D8220B" w:rsidRDefault="00E2085B" w:rsidP="00E2085B">
      <w:pPr>
        <w:pStyle w:val="Heading2"/>
        <w:rPr>
          <w:rFonts w:asciiTheme="minorHAnsi" w:hAnsiTheme="minorHAnsi"/>
          <w:i w:val="0"/>
        </w:rPr>
      </w:pPr>
      <w:bookmarkStart w:id="62" w:name="_Toc404765888"/>
      <w:r w:rsidRPr="00D8220B">
        <w:rPr>
          <w:rFonts w:asciiTheme="minorHAnsi" w:hAnsiTheme="minorHAnsi"/>
          <w:i w:val="0"/>
        </w:rPr>
        <w:t>3.2 Measure Load Shapes</w:t>
      </w:r>
      <w:bookmarkEnd w:id="61"/>
      <w:bookmarkEnd w:id="62"/>
    </w:p>
    <w:p w:rsidR="00E2085B" w:rsidRPr="00D8220B" w:rsidRDefault="00E2085B" w:rsidP="00E2085B">
      <w:pPr>
        <w:rPr>
          <w:rFonts w:asciiTheme="minorHAnsi" w:hAnsiTheme="minorHAnsi" w:cs="Arial"/>
          <w:sz w:val="22"/>
          <w:szCs w:val="22"/>
        </w:rPr>
      </w:pPr>
      <w:r w:rsidRPr="00D8220B">
        <w:rPr>
          <w:rFonts w:asciiTheme="minorHAnsi" w:hAnsiTheme="minorHAnsi" w:cs="Arial"/>
          <w:sz w:val="22"/>
          <w:szCs w:val="22"/>
        </w:rPr>
        <w:t xml:space="preserve">There are no measure case load shapes applicable to this measure. The base case shape is to be used in the cost avoidance calculation. </w:t>
      </w:r>
    </w:p>
    <w:p w:rsidR="002619BA" w:rsidRDefault="002619BA" w:rsidP="00864083">
      <w:pPr>
        <w:pStyle w:val="Heading1"/>
        <w:keepLines/>
        <w:spacing w:before="0" w:after="0"/>
        <w:rPr>
          <w:i/>
          <w:sz w:val="28"/>
          <w:szCs w:val="28"/>
        </w:rPr>
      </w:pPr>
    </w:p>
    <w:p w:rsidR="003F4FFF" w:rsidRPr="00D8220B" w:rsidRDefault="003F4FFF" w:rsidP="00864083">
      <w:pPr>
        <w:pStyle w:val="Heading1"/>
        <w:keepLines/>
        <w:spacing w:before="0" w:after="0"/>
        <w:rPr>
          <w:rFonts w:asciiTheme="minorHAnsi" w:hAnsiTheme="minorHAnsi"/>
          <w:sz w:val="36"/>
          <w:szCs w:val="36"/>
        </w:rPr>
      </w:pPr>
      <w:bookmarkStart w:id="63" w:name="_Toc404765889"/>
      <w:r w:rsidRPr="00D8220B">
        <w:rPr>
          <w:rFonts w:asciiTheme="minorHAnsi" w:hAnsiTheme="minorHAnsi"/>
          <w:sz w:val="36"/>
          <w:szCs w:val="36"/>
        </w:rPr>
        <w:t>Section 4. Base Case &amp; Measure Costs</w:t>
      </w:r>
      <w:bookmarkEnd w:id="63"/>
    </w:p>
    <w:p w:rsidR="00842157" w:rsidRPr="00842157" w:rsidRDefault="00842157" w:rsidP="00842157"/>
    <w:p w:rsidR="003F4FFF" w:rsidRPr="00D8220B" w:rsidRDefault="003F4FFF" w:rsidP="00864083">
      <w:pPr>
        <w:pStyle w:val="Heading2"/>
        <w:rPr>
          <w:rFonts w:asciiTheme="minorHAnsi" w:hAnsiTheme="minorHAnsi"/>
          <w:i w:val="0"/>
        </w:rPr>
      </w:pPr>
      <w:bookmarkStart w:id="64" w:name="_Toc404765890"/>
      <w:r w:rsidRPr="00D8220B">
        <w:rPr>
          <w:rFonts w:asciiTheme="minorHAnsi" w:hAnsiTheme="minorHAnsi"/>
          <w:i w:val="0"/>
        </w:rPr>
        <w:t>4.1 Base Case(s) Costs</w:t>
      </w:r>
      <w:bookmarkEnd w:id="64"/>
    </w:p>
    <w:p w:rsidR="003F4FFF" w:rsidRDefault="003F4FFF" w:rsidP="00864083">
      <w:pPr>
        <w:rPr>
          <w:rFonts w:asciiTheme="minorHAnsi" w:hAnsiTheme="minorHAnsi" w:cs="Arial"/>
          <w:sz w:val="22"/>
          <w:szCs w:val="22"/>
        </w:rPr>
      </w:pPr>
      <w:r w:rsidRPr="00D8220B">
        <w:rPr>
          <w:rFonts w:asciiTheme="minorHAnsi" w:hAnsiTheme="minorHAnsi" w:cs="Arial"/>
          <w:sz w:val="22"/>
          <w:szCs w:val="22"/>
        </w:rPr>
        <w:t>The following Measure Application Types are appropriate to these measures. The Base Case Costs are</w:t>
      </w:r>
      <w:r w:rsidR="00E83110" w:rsidRPr="00D8220B">
        <w:rPr>
          <w:rFonts w:asciiTheme="minorHAnsi" w:hAnsiTheme="minorHAnsi" w:cs="Arial"/>
          <w:sz w:val="22"/>
          <w:szCs w:val="22"/>
        </w:rPr>
        <w:t xml:space="preserve"> based on leaving the existing thermostat in place, at no cost</w:t>
      </w:r>
      <w:r w:rsidRPr="00D8220B">
        <w:rPr>
          <w:rFonts w:asciiTheme="minorHAnsi" w:hAnsiTheme="minorHAnsi" w:cs="Arial"/>
          <w:sz w:val="22"/>
          <w:szCs w:val="22"/>
        </w:rPr>
        <w:t>:</w:t>
      </w:r>
    </w:p>
    <w:p w:rsidR="00B9722E" w:rsidRDefault="00B9722E" w:rsidP="00B9722E">
      <w:pPr>
        <w:pStyle w:val="Caption"/>
        <w:jc w:val="center"/>
        <w:rPr>
          <w:rFonts w:asciiTheme="minorHAnsi" w:hAnsiTheme="minorHAnsi" w:cs="Arial"/>
          <w:sz w:val="22"/>
          <w:szCs w:val="22"/>
        </w:rPr>
      </w:pPr>
    </w:p>
    <w:p w:rsidR="00B9722E" w:rsidRPr="00D8220B" w:rsidRDefault="00B9722E" w:rsidP="00B9722E">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19</w:t>
      </w:r>
      <w:r w:rsidRPr="00451245">
        <w:rPr>
          <w:rFonts w:asciiTheme="minorHAnsi" w:hAnsiTheme="minorHAnsi" w:cs="Arial"/>
          <w:sz w:val="22"/>
          <w:szCs w:val="22"/>
        </w:rPr>
        <w:t xml:space="preserve"> </w:t>
      </w:r>
      <w:r w:rsidRPr="00451245">
        <w:rPr>
          <w:rFonts w:asciiTheme="minorHAnsi" w:hAnsiTheme="minorHAnsi" w:cs="Arial"/>
          <w:sz w:val="22"/>
          <w:szCs w:val="22"/>
        </w:rPr>
        <w:fldChar w:fldCharType="begin"/>
      </w:r>
      <w:r w:rsidRPr="00451245">
        <w:rPr>
          <w:rFonts w:asciiTheme="minorHAnsi" w:hAnsiTheme="minorHAnsi"/>
          <w:sz w:val="22"/>
          <w:szCs w:val="22"/>
        </w:rPr>
        <w:instrText xml:space="preserve"> TC "</w:instrText>
      </w:r>
      <w:r w:rsidRPr="00451245">
        <w:rPr>
          <w:rFonts w:asciiTheme="minorHAnsi" w:hAnsiTheme="minorHAnsi" w:cs="Arial"/>
          <w:sz w:val="22"/>
          <w:szCs w:val="22"/>
        </w:rPr>
        <w:instrText>Table 3: TOU Adjustment Factors</w:instrText>
      </w:r>
      <w:r w:rsidRPr="00451245">
        <w:rPr>
          <w:rFonts w:asciiTheme="minorHAnsi" w:hAnsiTheme="minorHAnsi"/>
          <w:sz w:val="22"/>
          <w:szCs w:val="22"/>
        </w:rPr>
        <w:instrText xml:space="preserve">" \f C \l "1" </w:instrText>
      </w:r>
      <w:r w:rsidRPr="00451245">
        <w:rPr>
          <w:rFonts w:asciiTheme="minorHAnsi" w:hAnsiTheme="minorHAnsi" w:cs="Arial"/>
          <w:sz w:val="22"/>
          <w:szCs w:val="22"/>
        </w:rPr>
        <w:fldChar w:fldCharType="end"/>
      </w:r>
      <w:r>
        <w:rPr>
          <w:rFonts w:asciiTheme="minorHAnsi" w:hAnsiTheme="minorHAnsi" w:cs="Arial"/>
          <w:b w:val="0"/>
          <w:sz w:val="22"/>
          <w:szCs w:val="22"/>
        </w:rPr>
        <w:t>Base Case Costs</w:t>
      </w:r>
      <w:r w:rsidRPr="00D8220B">
        <w:rPr>
          <w:rFonts w:asciiTheme="minorHAnsi" w:hAnsiTheme="minorHAnsi" w:cs="Arial"/>
          <w:sz w:val="22"/>
          <w:szCs w:val="22"/>
        </w:rPr>
        <w:fldChar w:fldCharType="begin"/>
      </w:r>
      <w:r w:rsidRPr="00D8220B">
        <w:rPr>
          <w:rFonts w:asciiTheme="minorHAnsi" w:hAnsiTheme="minorHAnsi"/>
          <w:sz w:val="22"/>
          <w:szCs w:val="22"/>
        </w:rPr>
        <w:instrText xml:space="preserve"> TC "</w:instrText>
      </w:r>
      <w:r w:rsidRPr="00D8220B">
        <w:rPr>
          <w:rFonts w:asciiTheme="minorHAnsi" w:hAnsiTheme="minorHAnsi" w:cs="Arial"/>
          <w:sz w:val="22"/>
          <w:szCs w:val="22"/>
        </w:rPr>
        <w:instrText>Table 5: Building Types and Load Shapes</w:instrText>
      </w:r>
      <w:r w:rsidRPr="00D8220B">
        <w:rPr>
          <w:rFonts w:asciiTheme="minorHAnsi" w:hAnsiTheme="minorHAnsi"/>
          <w:sz w:val="22"/>
          <w:szCs w:val="22"/>
        </w:rPr>
        <w:instrText xml:space="preserve">" \f C \l "1" </w:instrText>
      </w:r>
      <w:r w:rsidRPr="00D8220B">
        <w:rPr>
          <w:rFonts w:asciiTheme="minorHAnsi" w:hAnsiTheme="minorHAnsi" w:cs="Arial"/>
          <w:sz w:val="22"/>
          <w:szCs w:val="22"/>
        </w:rPr>
        <w:fldChar w:fldCharType="end"/>
      </w:r>
    </w:p>
    <w:tbl>
      <w:tblPr>
        <w:tblW w:w="936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0"/>
        <w:gridCol w:w="1440"/>
        <w:gridCol w:w="1800"/>
        <w:gridCol w:w="1350"/>
        <w:gridCol w:w="990"/>
        <w:gridCol w:w="1440"/>
        <w:gridCol w:w="1260"/>
      </w:tblGrid>
      <w:tr w:rsidR="00BC42B2" w:rsidRPr="00DA7703" w:rsidTr="008850E7">
        <w:trPr>
          <w:jc w:val="center"/>
        </w:trPr>
        <w:tc>
          <w:tcPr>
            <w:tcW w:w="1080" w:type="dxa"/>
            <w:tcBorders>
              <w:bottom w:val="single" w:sz="4" w:space="0" w:color="auto"/>
            </w:tcBorders>
            <w:shd w:val="clear" w:color="auto" w:fill="D9D9D9" w:themeFill="background1" w:themeFillShade="D9"/>
            <w:vAlign w:val="center"/>
          </w:tcPr>
          <w:p w:rsidR="003F4FFF" w:rsidRPr="008850E7" w:rsidRDefault="003F4FFF" w:rsidP="00DA7703">
            <w:pPr>
              <w:jc w:val="center"/>
              <w:rPr>
                <w:rFonts w:asciiTheme="minorHAnsi" w:hAnsiTheme="minorHAnsi" w:cs="Arial"/>
                <w:b/>
                <w:sz w:val="22"/>
                <w:szCs w:val="22"/>
              </w:rPr>
            </w:pPr>
            <w:r w:rsidRPr="008850E7">
              <w:rPr>
                <w:rFonts w:asciiTheme="minorHAnsi" w:hAnsiTheme="minorHAnsi" w:cs="Arial"/>
                <w:b/>
                <w:sz w:val="22"/>
                <w:szCs w:val="22"/>
              </w:rPr>
              <w:t>Measure Code</w:t>
            </w:r>
          </w:p>
        </w:tc>
        <w:tc>
          <w:tcPr>
            <w:tcW w:w="1440" w:type="dxa"/>
            <w:tcBorders>
              <w:bottom w:val="single" w:sz="4" w:space="0" w:color="auto"/>
            </w:tcBorders>
            <w:shd w:val="clear" w:color="auto" w:fill="D9D9D9" w:themeFill="background1" w:themeFillShade="D9"/>
            <w:vAlign w:val="center"/>
          </w:tcPr>
          <w:p w:rsidR="003F4FFF" w:rsidRPr="008850E7" w:rsidRDefault="003F4FFF" w:rsidP="00DA7703">
            <w:pPr>
              <w:jc w:val="center"/>
              <w:rPr>
                <w:rFonts w:asciiTheme="minorHAnsi" w:hAnsiTheme="minorHAnsi" w:cs="Arial"/>
                <w:b/>
                <w:sz w:val="22"/>
                <w:szCs w:val="22"/>
              </w:rPr>
            </w:pPr>
            <w:r w:rsidRPr="008850E7">
              <w:rPr>
                <w:rFonts w:asciiTheme="minorHAnsi" w:hAnsiTheme="minorHAnsi" w:cs="Arial"/>
                <w:b/>
                <w:sz w:val="22"/>
                <w:szCs w:val="22"/>
              </w:rPr>
              <w:t>Measure Application Type</w:t>
            </w:r>
          </w:p>
        </w:tc>
        <w:tc>
          <w:tcPr>
            <w:tcW w:w="1800" w:type="dxa"/>
            <w:tcBorders>
              <w:bottom w:val="single" w:sz="4" w:space="0" w:color="auto"/>
            </w:tcBorders>
            <w:shd w:val="clear" w:color="auto" w:fill="D9D9D9" w:themeFill="background1" w:themeFillShade="D9"/>
            <w:vAlign w:val="center"/>
          </w:tcPr>
          <w:p w:rsidR="003F4FFF" w:rsidRPr="008850E7" w:rsidRDefault="003F4FFF" w:rsidP="00DA7703">
            <w:pPr>
              <w:jc w:val="center"/>
              <w:rPr>
                <w:rFonts w:asciiTheme="minorHAnsi" w:hAnsiTheme="minorHAnsi" w:cs="Arial"/>
                <w:b/>
                <w:sz w:val="22"/>
                <w:szCs w:val="22"/>
              </w:rPr>
            </w:pPr>
            <w:r w:rsidRPr="008850E7">
              <w:rPr>
                <w:rFonts w:asciiTheme="minorHAnsi" w:hAnsiTheme="minorHAnsi" w:cs="Arial"/>
                <w:b/>
                <w:sz w:val="22"/>
                <w:szCs w:val="22"/>
              </w:rPr>
              <w:t>Baseline</w:t>
            </w:r>
          </w:p>
        </w:tc>
        <w:tc>
          <w:tcPr>
            <w:tcW w:w="1350" w:type="dxa"/>
            <w:tcBorders>
              <w:bottom w:val="single" w:sz="4" w:space="0" w:color="auto"/>
            </w:tcBorders>
            <w:shd w:val="clear" w:color="auto" w:fill="D9D9D9" w:themeFill="background1" w:themeFillShade="D9"/>
            <w:vAlign w:val="center"/>
          </w:tcPr>
          <w:p w:rsidR="003F4FFF" w:rsidRPr="008850E7" w:rsidRDefault="00BC42B2" w:rsidP="00DA7703">
            <w:pPr>
              <w:jc w:val="center"/>
              <w:rPr>
                <w:rFonts w:asciiTheme="minorHAnsi" w:hAnsiTheme="minorHAnsi" w:cs="Arial"/>
                <w:b/>
                <w:sz w:val="22"/>
                <w:szCs w:val="22"/>
              </w:rPr>
            </w:pPr>
            <w:r w:rsidRPr="008850E7">
              <w:rPr>
                <w:rFonts w:asciiTheme="minorHAnsi" w:hAnsiTheme="minorHAnsi" w:cs="Arial"/>
                <w:b/>
                <w:sz w:val="22"/>
                <w:szCs w:val="22"/>
              </w:rPr>
              <w:t xml:space="preserve">Average </w:t>
            </w:r>
            <w:r w:rsidR="003F4FFF" w:rsidRPr="008850E7">
              <w:rPr>
                <w:rFonts w:asciiTheme="minorHAnsi" w:hAnsiTheme="minorHAnsi" w:cs="Arial"/>
                <w:b/>
                <w:sz w:val="22"/>
                <w:szCs w:val="22"/>
              </w:rPr>
              <w:t>Equipment Cost</w:t>
            </w:r>
          </w:p>
        </w:tc>
        <w:tc>
          <w:tcPr>
            <w:tcW w:w="990" w:type="dxa"/>
            <w:tcBorders>
              <w:bottom w:val="single" w:sz="4" w:space="0" w:color="auto"/>
            </w:tcBorders>
            <w:shd w:val="clear" w:color="auto" w:fill="D9D9D9" w:themeFill="background1" w:themeFillShade="D9"/>
            <w:vAlign w:val="center"/>
          </w:tcPr>
          <w:p w:rsidR="003F4FFF" w:rsidRPr="008850E7" w:rsidRDefault="00BC42B2" w:rsidP="00DA7703">
            <w:pPr>
              <w:jc w:val="center"/>
              <w:rPr>
                <w:rFonts w:asciiTheme="minorHAnsi" w:hAnsiTheme="minorHAnsi" w:cs="Arial"/>
                <w:b/>
                <w:sz w:val="22"/>
                <w:szCs w:val="22"/>
              </w:rPr>
            </w:pPr>
            <w:r w:rsidRPr="008850E7">
              <w:rPr>
                <w:rFonts w:asciiTheme="minorHAnsi" w:hAnsiTheme="minorHAnsi" w:cs="Arial"/>
                <w:b/>
                <w:sz w:val="22"/>
                <w:szCs w:val="22"/>
              </w:rPr>
              <w:t xml:space="preserve">Average </w:t>
            </w:r>
            <w:r w:rsidR="003F4FFF" w:rsidRPr="008850E7">
              <w:rPr>
                <w:rFonts w:asciiTheme="minorHAnsi" w:hAnsiTheme="minorHAnsi" w:cs="Arial"/>
                <w:b/>
                <w:sz w:val="22"/>
                <w:szCs w:val="22"/>
              </w:rPr>
              <w:t>Labor / Installation Cost</w:t>
            </w:r>
          </w:p>
        </w:tc>
        <w:tc>
          <w:tcPr>
            <w:tcW w:w="1440" w:type="dxa"/>
            <w:tcBorders>
              <w:bottom w:val="single" w:sz="4" w:space="0" w:color="auto"/>
            </w:tcBorders>
            <w:shd w:val="clear" w:color="auto" w:fill="D9D9D9" w:themeFill="background1" w:themeFillShade="D9"/>
            <w:vAlign w:val="center"/>
          </w:tcPr>
          <w:p w:rsidR="003F4FFF" w:rsidRPr="008850E7" w:rsidRDefault="003F4FFF" w:rsidP="00DA7703">
            <w:pPr>
              <w:jc w:val="center"/>
              <w:rPr>
                <w:rFonts w:asciiTheme="minorHAnsi" w:hAnsiTheme="minorHAnsi" w:cs="Arial"/>
                <w:b/>
                <w:sz w:val="22"/>
                <w:szCs w:val="22"/>
              </w:rPr>
            </w:pPr>
            <w:r w:rsidRPr="008850E7">
              <w:rPr>
                <w:rFonts w:asciiTheme="minorHAnsi" w:hAnsiTheme="minorHAnsi" w:cs="Arial"/>
                <w:b/>
                <w:sz w:val="22"/>
                <w:szCs w:val="22"/>
              </w:rPr>
              <w:t>Maintenance / Other Cost</w:t>
            </w:r>
          </w:p>
        </w:tc>
        <w:tc>
          <w:tcPr>
            <w:tcW w:w="1260" w:type="dxa"/>
            <w:tcBorders>
              <w:bottom w:val="single" w:sz="4" w:space="0" w:color="auto"/>
            </w:tcBorders>
            <w:shd w:val="clear" w:color="auto" w:fill="D9D9D9" w:themeFill="background1" w:themeFillShade="D9"/>
            <w:vAlign w:val="center"/>
          </w:tcPr>
          <w:p w:rsidR="003F4FFF" w:rsidRPr="008850E7" w:rsidRDefault="00BC42B2" w:rsidP="00DA7703">
            <w:pPr>
              <w:jc w:val="center"/>
              <w:rPr>
                <w:rFonts w:asciiTheme="minorHAnsi" w:hAnsiTheme="minorHAnsi" w:cs="Arial"/>
                <w:b/>
                <w:sz w:val="22"/>
                <w:szCs w:val="22"/>
              </w:rPr>
            </w:pPr>
            <w:r w:rsidRPr="008850E7">
              <w:rPr>
                <w:rFonts w:asciiTheme="minorHAnsi" w:hAnsiTheme="minorHAnsi" w:cs="Arial"/>
                <w:b/>
                <w:sz w:val="22"/>
                <w:szCs w:val="22"/>
              </w:rPr>
              <w:t xml:space="preserve">Average </w:t>
            </w:r>
            <w:r w:rsidR="003F4FFF" w:rsidRPr="008850E7">
              <w:rPr>
                <w:rFonts w:asciiTheme="minorHAnsi" w:hAnsiTheme="minorHAnsi" w:cs="Arial"/>
                <w:b/>
                <w:sz w:val="22"/>
                <w:szCs w:val="22"/>
              </w:rPr>
              <w:t>Total Base Case Cost</w:t>
            </w:r>
          </w:p>
        </w:tc>
      </w:tr>
      <w:tr w:rsidR="00443230" w:rsidRPr="00DA7703" w:rsidTr="00B9722E">
        <w:trPr>
          <w:jc w:val="center"/>
        </w:trPr>
        <w:tc>
          <w:tcPr>
            <w:tcW w:w="1080" w:type="dxa"/>
            <w:shd w:val="clear" w:color="auto" w:fill="FFFFFF" w:themeFill="background1"/>
            <w:vAlign w:val="center"/>
          </w:tcPr>
          <w:p w:rsidR="00443230" w:rsidRPr="008850E7" w:rsidRDefault="00E2085B" w:rsidP="00B9722E">
            <w:pPr>
              <w:jc w:val="center"/>
              <w:rPr>
                <w:rFonts w:asciiTheme="minorHAnsi" w:hAnsiTheme="minorHAnsi" w:cs="Arial"/>
                <w:sz w:val="22"/>
                <w:szCs w:val="22"/>
              </w:rPr>
            </w:pPr>
            <w:r w:rsidRPr="008850E7">
              <w:rPr>
                <w:rFonts w:asciiTheme="minorHAnsi" w:hAnsiTheme="minorHAnsi" w:cs="Arial"/>
                <w:sz w:val="22"/>
                <w:szCs w:val="22"/>
              </w:rPr>
              <w:t>DM-XX</w:t>
            </w:r>
          </w:p>
        </w:tc>
        <w:tc>
          <w:tcPr>
            <w:tcW w:w="1440" w:type="dxa"/>
            <w:shd w:val="clear" w:color="auto" w:fill="FFFFFF" w:themeFill="background1"/>
            <w:vAlign w:val="center"/>
          </w:tcPr>
          <w:p w:rsidR="00443230" w:rsidRPr="008850E7" w:rsidRDefault="00D93F66" w:rsidP="00B9722E">
            <w:pPr>
              <w:jc w:val="center"/>
              <w:rPr>
                <w:rFonts w:asciiTheme="minorHAnsi" w:hAnsiTheme="minorHAnsi" w:cs="Arial"/>
                <w:sz w:val="22"/>
                <w:szCs w:val="22"/>
              </w:rPr>
            </w:pPr>
            <w:r w:rsidRPr="008850E7">
              <w:rPr>
                <w:rFonts w:asciiTheme="minorHAnsi" w:hAnsiTheme="minorHAnsi" w:cs="Arial"/>
                <w:sz w:val="22"/>
                <w:szCs w:val="22"/>
              </w:rPr>
              <w:t>REA</w:t>
            </w:r>
          </w:p>
        </w:tc>
        <w:tc>
          <w:tcPr>
            <w:tcW w:w="1800" w:type="dxa"/>
            <w:shd w:val="clear" w:color="auto" w:fill="FFFFFF" w:themeFill="background1"/>
            <w:vAlign w:val="center"/>
          </w:tcPr>
          <w:p w:rsidR="00443230" w:rsidRPr="008850E7" w:rsidRDefault="00E2085B" w:rsidP="00B9722E">
            <w:pPr>
              <w:jc w:val="center"/>
              <w:rPr>
                <w:rFonts w:asciiTheme="minorHAnsi" w:hAnsiTheme="minorHAnsi" w:cs="Arial"/>
                <w:sz w:val="22"/>
                <w:szCs w:val="22"/>
              </w:rPr>
            </w:pPr>
            <w:r w:rsidRPr="008850E7">
              <w:rPr>
                <w:rFonts w:asciiTheme="minorHAnsi" w:hAnsiTheme="minorHAnsi" w:cs="Arial"/>
                <w:sz w:val="22"/>
                <w:szCs w:val="22"/>
              </w:rPr>
              <w:t>Existing Thermostats</w:t>
            </w:r>
          </w:p>
        </w:tc>
        <w:tc>
          <w:tcPr>
            <w:tcW w:w="1350" w:type="dxa"/>
            <w:shd w:val="clear" w:color="auto" w:fill="FFFFFF" w:themeFill="background1"/>
            <w:vAlign w:val="center"/>
          </w:tcPr>
          <w:p w:rsidR="00443230" w:rsidRPr="008850E7" w:rsidRDefault="00443230" w:rsidP="00B9722E">
            <w:pPr>
              <w:jc w:val="center"/>
              <w:rPr>
                <w:rFonts w:asciiTheme="minorHAnsi" w:hAnsiTheme="minorHAnsi" w:cs="Arial"/>
                <w:sz w:val="22"/>
                <w:szCs w:val="22"/>
              </w:rPr>
            </w:pPr>
            <w:r w:rsidRPr="008850E7">
              <w:rPr>
                <w:rFonts w:asciiTheme="minorHAnsi" w:hAnsiTheme="minorHAnsi" w:cs="Arial"/>
                <w:sz w:val="22"/>
                <w:szCs w:val="22"/>
              </w:rPr>
              <w:t>$</w:t>
            </w:r>
            <w:r w:rsidR="00E2085B" w:rsidRPr="008850E7">
              <w:rPr>
                <w:rFonts w:asciiTheme="minorHAnsi" w:hAnsiTheme="minorHAnsi" w:cs="Arial"/>
                <w:sz w:val="22"/>
                <w:szCs w:val="22"/>
              </w:rPr>
              <w:t>0.00</w:t>
            </w:r>
          </w:p>
        </w:tc>
        <w:tc>
          <w:tcPr>
            <w:tcW w:w="990" w:type="dxa"/>
            <w:shd w:val="clear" w:color="auto" w:fill="FFFFFF" w:themeFill="background1"/>
            <w:vAlign w:val="center"/>
          </w:tcPr>
          <w:p w:rsidR="00443230" w:rsidRPr="008850E7" w:rsidRDefault="00E2085B" w:rsidP="00B9722E">
            <w:pPr>
              <w:jc w:val="center"/>
              <w:rPr>
                <w:rFonts w:asciiTheme="minorHAnsi" w:hAnsiTheme="minorHAnsi" w:cs="Arial"/>
                <w:sz w:val="22"/>
                <w:szCs w:val="22"/>
              </w:rPr>
            </w:pPr>
            <w:r w:rsidRPr="008850E7">
              <w:rPr>
                <w:rFonts w:asciiTheme="minorHAnsi" w:hAnsiTheme="minorHAnsi" w:cs="Arial"/>
                <w:sz w:val="22"/>
                <w:szCs w:val="22"/>
              </w:rPr>
              <w:t>$0.00</w:t>
            </w:r>
          </w:p>
        </w:tc>
        <w:tc>
          <w:tcPr>
            <w:tcW w:w="1440" w:type="dxa"/>
            <w:shd w:val="clear" w:color="auto" w:fill="FFFFFF" w:themeFill="background1"/>
            <w:vAlign w:val="center"/>
          </w:tcPr>
          <w:p w:rsidR="00443230" w:rsidRPr="008850E7" w:rsidRDefault="00443230" w:rsidP="00B9722E">
            <w:pPr>
              <w:jc w:val="center"/>
              <w:rPr>
                <w:rFonts w:asciiTheme="minorHAnsi" w:hAnsiTheme="minorHAnsi" w:cs="Arial"/>
                <w:sz w:val="22"/>
                <w:szCs w:val="22"/>
              </w:rPr>
            </w:pPr>
            <w:r w:rsidRPr="008850E7">
              <w:rPr>
                <w:rFonts w:asciiTheme="minorHAnsi" w:hAnsiTheme="minorHAnsi" w:cs="Arial"/>
                <w:sz w:val="22"/>
                <w:szCs w:val="22"/>
              </w:rPr>
              <w:t>$ N/A</w:t>
            </w:r>
          </w:p>
        </w:tc>
        <w:tc>
          <w:tcPr>
            <w:tcW w:w="1260" w:type="dxa"/>
            <w:shd w:val="clear" w:color="auto" w:fill="FFFFFF" w:themeFill="background1"/>
            <w:vAlign w:val="center"/>
          </w:tcPr>
          <w:p w:rsidR="00443230" w:rsidRPr="008850E7" w:rsidRDefault="00443230" w:rsidP="00B9722E">
            <w:pPr>
              <w:jc w:val="center"/>
              <w:rPr>
                <w:rFonts w:asciiTheme="minorHAnsi" w:hAnsiTheme="minorHAnsi" w:cs="Arial"/>
                <w:sz w:val="22"/>
                <w:szCs w:val="22"/>
              </w:rPr>
            </w:pPr>
            <w:r w:rsidRPr="008850E7">
              <w:rPr>
                <w:rFonts w:asciiTheme="minorHAnsi" w:hAnsiTheme="minorHAnsi" w:cs="Arial"/>
                <w:sz w:val="22"/>
                <w:szCs w:val="22"/>
              </w:rPr>
              <w:t>$</w:t>
            </w:r>
            <w:r w:rsidR="00E2085B" w:rsidRPr="008850E7">
              <w:rPr>
                <w:rFonts w:asciiTheme="minorHAnsi" w:hAnsiTheme="minorHAnsi" w:cs="Arial"/>
                <w:sz w:val="22"/>
                <w:szCs w:val="22"/>
              </w:rPr>
              <w:t>0.00</w:t>
            </w:r>
          </w:p>
        </w:tc>
      </w:tr>
    </w:tbl>
    <w:p w:rsidR="00530D89" w:rsidRPr="008850E7" w:rsidRDefault="003F4FFF" w:rsidP="00530D89">
      <w:pPr>
        <w:rPr>
          <w:rFonts w:asciiTheme="minorHAnsi" w:hAnsiTheme="minorHAnsi" w:cs="Arial"/>
          <w:i/>
          <w:sz w:val="22"/>
          <w:szCs w:val="22"/>
        </w:rPr>
      </w:pPr>
      <w:r w:rsidRPr="008850E7">
        <w:rPr>
          <w:rFonts w:asciiTheme="minorHAnsi" w:hAnsiTheme="minorHAnsi" w:cs="Arial"/>
          <w:i/>
          <w:sz w:val="22"/>
          <w:szCs w:val="22"/>
        </w:rPr>
        <w:t xml:space="preserve">All </w:t>
      </w:r>
      <w:r w:rsidR="00836FE5" w:rsidRPr="008850E7">
        <w:rPr>
          <w:rFonts w:asciiTheme="minorHAnsi" w:hAnsiTheme="minorHAnsi" w:cs="Arial"/>
          <w:i/>
          <w:sz w:val="22"/>
          <w:szCs w:val="22"/>
        </w:rPr>
        <w:t xml:space="preserve">costs are noted as $ per </w:t>
      </w:r>
      <w:r w:rsidR="00E2085B" w:rsidRPr="008850E7">
        <w:rPr>
          <w:rFonts w:asciiTheme="minorHAnsi" w:hAnsiTheme="minorHAnsi" w:cs="Arial"/>
          <w:i/>
          <w:sz w:val="22"/>
          <w:szCs w:val="22"/>
        </w:rPr>
        <w:t>unit</w:t>
      </w:r>
    </w:p>
    <w:p w:rsidR="007B4970" w:rsidRDefault="007B4970" w:rsidP="00842157">
      <w:pPr>
        <w:rPr>
          <w:rFonts w:ascii="Arial" w:hAnsi="Arial" w:cs="Arial"/>
          <w:sz w:val="22"/>
          <w:szCs w:val="22"/>
        </w:rPr>
      </w:pPr>
    </w:p>
    <w:p w:rsidR="00E2085B" w:rsidRPr="008850E7" w:rsidRDefault="00E2085B" w:rsidP="00E2085B">
      <w:pPr>
        <w:rPr>
          <w:rFonts w:asciiTheme="minorHAnsi" w:hAnsiTheme="minorHAnsi" w:cs="Arial"/>
          <w:sz w:val="22"/>
          <w:szCs w:val="22"/>
        </w:rPr>
      </w:pPr>
      <w:r w:rsidRPr="008850E7">
        <w:rPr>
          <w:rFonts w:asciiTheme="minorHAnsi" w:hAnsiTheme="minorHAnsi" w:cs="Arial"/>
          <w:sz w:val="22"/>
          <w:szCs w:val="22"/>
        </w:rPr>
        <w:t>There are no base case costs since the base case is the customer’s existing equipment.</w:t>
      </w:r>
    </w:p>
    <w:p w:rsidR="00FC02CC" w:rsidRPr="00FC02CC" w:rsidRDefault="00FC02CC" w:rsidP="00FC02CC"/>
    <w:p w:rsidR="003F4FFF" w:rsidRPr="008850E7" w:rsidRDefault="003F4FFF" w:rsidP="00864083">
      <w:pPr>
        <w:pStyle w:val="Heading2"/>
        <w:keepLines/>
        <w:rPr>
          <w:rFonts w:asciiTheme="minorHAnsi" w:hAnsiTheme="minorHAnsi"/>
          <w:i w:val="0"/>
        </w:rPr>
      </w:pPr>
      <w:bookmarkStart w:id="65" w:name="_Toc404765891"/>
      <w:r w:rsidRPr="008850E7">
        <w:rPr>
          <w:rFonts w:asciiTheme="minorHAnsi" w:hAnsiTheme="minorHAnsi"/>
          <w:i w:val="0"/>
        </w:rPr>
        <w:t>4.2 Measure Case Costs</w:t>
      </w:r>
      <w:bookmarkEnd w:id="65"/>
    </w:p>
    <w:p w:rsidR="003F4FFF" w:rsidRPr="008850E7" w:rsidRDefault="003F4FFF" w:rsidP="00864083">
      <w:pPr>
        <w:rPr>
          <w:rFonts w:asciiTheme="minorHAnsi" w:hAnsiTheme="minorHAnsi" w:cs="Arial"/>
          <w:sz w:val="22"/>
          <w:szCs w:val="22"/>
        </w:rPr>
      </w:pPr>
      <w:r w:rsidRPr="008850E7">
        <w:rPr>
          <w:rFonts w:asciiTheme="minorHAnsi" w:hAnsiTheme="minorHAnsi" w:cs="Arial"/>
          <w:sz w:val="22"/>
          <w:szCs w:val="22"/>
        </w:rPr>
        <w:t>The following Measure Application Types are appropriate to these measures. The Measure Case Costs are</w:t>
      </w:r>
      <w:r w:rsidR="00E83110" w:rsidRPr="008850E7">
        <w:rPr>
          <w:rFonts w:asciiTheme="minorHAnsi" w:hAnsiTheme="minorHAnsi" w:cs="Arial"/>
          <w:sz w:val="22"/>
          <w:szCs w:val="22"/>
        </w:rPr>
        <w:t xml:space="preserve"> based on installing a new PCT</w:t>
      </w:r>
      <w:r w:rsidRPr="008850E7">
        <w:rPr>
          <w:rFonts w:asciiTheme="minorHAnsi" w:hAnsiTheme="minorHAnsi" w:cs="Arial"/>
          <w:sz w:val="22"/>
          <w:szCs w:val="22"/>
        </w:rPr>
        <w:t>:</w:t>
      </w:r>
    </w:p>
    <w:p w:rsidR="00881640" w:rsidRDefault="00881640" w:rsidP="00864083">
      <w:pPr>
        <w:pStyle w:val="Caption"/>
        <w:keepNext/>
        <w:jc w:val="center"/>
        <w:rPr>
          <w:rFonts w:ascii="Arial" w:hAnsi="Arial" w:cs="Arial"/>
          <w:sz w:val="22"/>
          <w:szCs w:val="22"/>
        </w:rPr>
      </w:pPr>
      <w:bookmarkStart w:id="66" w:name="_Toc327374755"/>
    </w:p>
    <w:p w:rsidR="00B9722E" w:rsidRPr="00D8220B" w:rsidRDefault="00B9722E" w:rsidP="00B9722E">
      <w:pPr>
        <w:pStyle w:val="Caption"/>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20</w:t>
      </w:r>
      <w:r w:rsidRPr="00451245">
        <w:rPr>
          <w:rFonts w:asciiTheme="minorHAnsi" w:hAnsiTheme="minorHAnsi" w:cs="Arial"/>
          <w:sz w:val="22"/>
          <w:szCs w:val="22"/>
        </w:rPr>
        <w:t xml:space="preserve"> </w:t>
      </w:r>
      <w:r w:rsidRPr="00B9722E">
        <w:rPr>
          <w:rFonts w:asciiTheme="minorHAnsi" w:hAnsiTheme="minorHAnsi" w:cs="Arial"/>
          <w:b w:val="0"/>
          <w:sz w:val="22"/>
          <w:szCs w:val="22"/>
        </w:rPr>
        <w:fldChar w:fldCharType="begin"/>
      </w:r>
      <w:r w:rsidRPr="00B9722E">
        <w:rPr>
          <w:rFonts w:asciiTheme="minorHAnsi" w:hAnsiTheme="minorHAnsi"/>
          <w:b w:val="0"/>
          <w:sz w:val="22"/>
          <w:szCs w:val="22"/>
        </w:rPr>
        <w:instrText xml:space="preserve"> TC "</w:instrText>
      </w:r>
      <w:r w:rsidRPr="00B9722E">
        <w:rPr>
          <w:rFonts w:asciiTheme="minorHAnsi" w:hAnsiTheme="minorHAnsi" w:cs="Arial"/>
          <w:b w:val="0"/>
          <w:sz w:val="22"/>
          <w:szCs w:val="22"/>
        </w:rPr>
        <w:instrText>Table 3: TOU Adjustment Factors</w:instrText>
      </w:r>
      <w:r w:rsidRPr="00B9722E">
        <w:rPr>
          <w:rFonts w:asciiTheme="minorHAnsi" w:hAnsiTheme="minorHAnsi"/>
          <w:b w:val="0"/>
          <w:sz w:val="22"/>
          <w:szCs w:val="22"/>
        </w:rPr>
        <w:instrText xml:space="preserve">" \f C \l "1" </w:instrText>
      </w:r>
      <w:r w:rsidRPr="00B9722E">
        <w:rPr>
          <w:rFonts w:asciiTheme="minorHAnsi" w:hAnsiTheme="minorHAnsi" w:cs="Arial"/>
          <w:b w:val="0"/>
          <w:sz w:val="22"/>
          <w:szCs w:val="22"/>
        </w:rPr>
        <w:fldChar w:fldCharType="end"/>
      </w:r>
      <w:r w:rsidRPr="00B9722E">
        <w:rPr>
          <w:rFonts w:asciiTheme="minorHAnsi" w:hAnsiTheme="minorHAnsi" w:cs="Arial"/>
          <w:b w:val="0"/>
          <w:sz w:val="22"/>
          <w:szCs w:val="22"/>
        </w:rPr>
        <w:t>Measure</w:t>
      </w:r>
      <w:r>
        <w:rPr>
          <w:rFonts w:asciiTheme="minorHAnsi" w:hAnsiTheme="minorHAnsi" w:cs="Arial"/>
          <w:b w:val="0"/>
          <w:sz w:val="22"/>
          <w:szCs w:val="22"/>
        </w:rPr>
        <w:t xml:space="preserve"> Case Costs</w:t>
      </w:r>
      <w:r w:rsidRPr="00D8220B">
        <w:rPr>
          <w:rFonts w:asciiTheme="minorHAnsi" w:hAnsiTheme="minorHAnsi" w:cs="Arial"/>
          <w:sz w:val="22"/>
          <w:szCs w:val="22"/>
        </w:rPr>
        <w:fldChar w:fldCharType="begin"/>
      </w:r>
      <w:r w:rsidRPr="00D8220B">
        <w:rPr>
          <w:rFonts w:asciiTheme="minorHAnsi" w:hAnsiTheme="minorHAnsi"/>
          <w:sz w:val="22"/>
          <w:szCs w:val="22"/>
        </w:rPr>
        <w:instrText xml:space="preserve"> TC "</w:instrText>
      </w:r>
      <w:r w:rsidRPr="00D8220B">
        <w:rPr>
          <w:rFonts w:asciiTheme="minorHAnsi" w:hAnsiTheme="minorHAnsi" w:cs="Arial"/>
          <w:sz w:val="22"/>
          <w:szCs w:val="22"/>
        </w:rPr>
        <w:instrText>Table 5: Building Types and Load Shapes</w:instrText>
      </w:r>
      <w:r w:rsidRPr="00D8220B">
        <w:rPr>
          <w:rFonts w:asciiTheme="minorHAnsi" w:hAnsiTheme="minorHAnsi"/>
          <w:sz w:val="22"/>
          <w:szCs w:val="22"/>
        </w:rPr>
        <w:instrText xml:space="preserve">" \f C \l "1" </w:instrText>
      </w:r>
      <w:r w:rsidRPr="00D8220B">
        <w:rPr>
          <w:rFonts w:asciiTheme="minorHAnsi" w:hAnsiTheme="minorHAnsi" w:cs="Arial"/>
          <w:sz w:val="22"/>
          <w:szCs w:val="22"/>
        </w:rPr>
        <w:fldChar w:fldCharType="end"/>
      </w:r>
    </w:p>
    <w:tbl>
      <w:tblPr>
        <w:tblW w:w="9473"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3"/>
        <w:gridCol w:w="1440"/>
        <w:gridCol w:w="1687"/>
        <w:gridCol w:w="1283"/>
        <w:gridCol w:w="1260"/>
        <w:gridCol w:w="1440"/>
        <w:gridCol w:w="1260"/>
      </w:tblGrid>
      <w:tr w:rsidR="00DA7703" w:rsidRPr="00DA7703" w:rsidTr="008850E7">
        <w:trPr>
          <w:jc w:val="center"/>
        </w:trPr>
        <w:tc>
          <w:tcPr>
            <w:tcW w:w="1103" w:type="dxa"/>
            <w:tcBorders>
              <w:bottom w:val="single" w:sz="4" w:space="0" w:color="auto"/>
            </w:tcBorders>
            <w:shd w:val="clear" w:color="auto" w:fill="D9D9D9" w:themeFill="background1" w:themeFillShade="D9"/>
            <w:vAlign w:val="center"/>
          </w:tcPr>
          <w:p w:rsidR="00DA7703" w:rsidRPr="008850E7" w:rsidRDefault="00DA7703" w:rsidP="00DA7703">
            <w:pPr>
              <w:jc w:val="center"/>
              <w:rPr>
                <w:rFonts w:asciiTheme="minorHAnsi" w:hAnsiTheme="minorHAnsi" w:cs="Arial"/>
                <w:b/>
                <w:sz w:val="22"/>
                <w:szCs w:val="22"/>
              </w:rPr>
            </w:pPr>
            <w:r w:rsidRPr="008850E7">
              <w:rPr>
                <w:rFonts w:asciiTheme="minorHAnsi" w:hAnsiTheme="minorHAnsi" w:cs="Arial"/>
                <w:b/>
                <w:sz w:val="22"/>
                <w:szCs w:val="22"/>
              </w:rPr>
              <w:t>Measure Code</w:t>
            </w:r>
          </w:p>
        </w:tc>
        <w:tc>
          <w:tcPr>
            <w:tcW w:w="1440" w:type="dxa"/>
            <w:tcBorders>
              <w:bottom w:val="single" w:sz="4" w:space="0" w:color="auto"/>
            </w:tcBorders>
            <w:shd w:val="clear" w:color="auto" w:fill="D9D9D9" w:themeFill="background1" w:themeFillShade="D9"/>
            <w:vAlign w:val="center"/>
          </w:tcPr>
          <w:p w:rsidR="00DA7703" w:rsidRPr="008850E7" w:rsidRDefault="00DA7703" w:rsidP="00DA7703">
            <w:pPr>
              <w:jc w:val="center"/>
              <w:rPr>
                <w:rFonts w:asciiTheme="minorHAnsi" w:hAnsiTheme="minorHAnsi" w:cs="Arial"/>
                <w:b/>
                <w:sz w:val="22"/>
                <w:szCs w:val="22"/>
              </w:rPr>
            </w:pPr>
            <w:r w:rsidRPr="008850E7">
              <w:rPr>
                <w:rFonts w:asciiTheme="minorHAnsi" w:hAnsiTheme="minorHAnsi" w:cs="Arial"/>
                <w:b/>
                <w:sz w:val="22"/>
                <w:szCs w:val="22"/>
              </w:rPr>
              <w:t>Measure Application Type</w:t>
            </w:r>
          </w:p>
        </w:tc>
        <w:tc>
          <w:tcPr>
            <w:tcW w:w="1687" w:type="dxa"/>
            <w:tcBorders>
              <w:bottom w:val="single" w:sz="4" w:space="0" w:color="auto"/>
            </w:tcBorders>
            <w:shd w:val="clear" w:color="auto" w:fill="D9D9D9" w:themeFill="background1" w:themeFillShade="D9"/>
            <w:vAlign w:val="center"/>
          </w:tcPr>
          <w:p w:rsidR="00DA7703" w:rsidRPr="008850E7" w:rsidRDefault="00DA7703" w:rsidP="001B4497">
            <w:pPr>
              <w:jc w:val="center"/>
              <w:rPr>
                <w:rFonts w:asciiTheme="minorHAnsi" w:hAnsiTheme="minorHAnsi" w:cs="Arial"/>
                <w:b/>
                <w:sz w:val="22"/>
                <w:szCs w:val="22"/>
              </w:rPr>
            </w:pPr>
            <w:r w:rsidRPr="008850E7">
              <w:rPr>
                <w:rFonts w:asciiTheme="minorHAnsi" w:hAnsiTheme="minorHAnsi" w:cs="Arial"/>
                <w:b/>
                <w:sz w:val="22"/>
                <w:szCs w:val="22"/>
              </w:rPr>
              <w:t>Baseline</w:t>
            </w:r>
          </w:p>
        </w:tc>
        <w:tc>
          <w:tcPr>
            <w:tcW w:w="1283" w:type="dxa"/>
            <w:tcBorders>
              <w:bottom w:val="single" w:sz="4" w:space="0" w:color="auto"/>
            </w:tcBorders>
            <w:shd w:val="clear" w:color="auto" w:fill="D9D9D9" w:themeFill="background1" w:themeFillShade="D9"/>
            <w:vAlign w:val="center"/>
          </w:tcPr>
          <w:p w:rsidR="00DA7703" w:rsidRPr="008850E7" w:rsidRDefault="00DA7703" w:rsidP="00DA7703">
            <w:pPr>
              <w:jc w:val="center"/>
              <w:rPr>
                <w:rFonts w:asciiTheme="minorHAnsi" w:hAnsiTheme="minorHAnsi" w:cs="Arial"/>
                <w:b/>
                <w:sz w:val="22"/>
                <w:szCs w:val="22"/>
              </w:rPr>
            </w:pPr>
            <w:r w:rsidRPr="008850E7">
              <w:rPr>
                <w:rFonts w:asciiTheme="minorHAnsi" w:hAnsiTheme="minorHAnsi" w:cs="Arial"/>
                <w:b/>
                <w:sz w:val="22"/>
                <w:szCs w:val="22"/>
              </w:rPr>
              <w:t>Average Equipment Cost</w:t>
            </w:r>
          </w:p>
        </w:tc>
        <w:tc>
          <w:tcPr>
            <w:tcW w:w="1260" w:type="dxa"/>
            <w:tcBorders>
              <w:bottom w:val="single" w:sz="4" w:space="0" w:color="auto"/>
            </w:tcBorders>
            <w:shd w:val="clear" w:color="auto" w:fill="D9D9D9" w:themeFill="background1" w:themeFillShade="D9"/>
            <w:vAlign w:val="center"/>
          </w:tcPr>
          <w:p w:rsidR="00DA7703" w:rsidRPr="008850E7" w:rsidRDefault="00DA7703" w:rsidP="00DA7703">
            <w:pPr>
              <w:jc w:val="center"/>
              <w:rPr>
                <w:rFonts w:asciiTheme="minorHAnsi" w:hAnsiTheme="minorHAnsi" w:cs="Arial"/>
                <w:b/>
                <w:sz w:val="22"/>
                <w:szCs w:val="22"/>
              </w:rPr>
            </w:pPr>
            <w:r w:rsidRPr="008850E7">
              <w:rPr>
                <w:rFonts w:asciiTheme="minorHAnsi" w:hAnsiTheme="minorHAnsi" w:cs="Arial"/>
                <w:b/>
                <w:sz w:val="22"/>
                <w:szCs w:val="22"/>
              </w:rPr>
              <w:t>Average Labor / Installation Cost</w:t>
            </w:r>
          </w:p>
        </w:tc>
        <w:tc>
          <w:tcPr>
            <w:tcW w:w="1440" w:type="dxa"/>
            <w:tcBorders>
              <w:bottom w:val="single" w:sz="4" w:space="0" w:color="auto"/>
            </w:tcBorders>
            <w:shd w:val="clear" w:color="auto" w:fill="D9D9D9" w:themeFill="background1" w:themeFillShade="D9"/>
            <w:vAlign w:val="center"/>
          </w:tcPr>
          <w:p w:rsidR="00DA7703" w:rsidRPr="008850E7" w:rsidRDefault="00DA7703" w:rsidP="00DA7703">
            <w:pPr>
              <w:jc w:val="center"/>
              <w:rPr>
                <w:rFonts w:asciiTheme="minorHAnsi" w:hAnsiTheme="minorHAnsi" w:cs="Arial"/>
                <w:b/>
                <w:sz w:val="22"/>
                <w:szCs w:val="22"/>
              </w:rPr>
            </w:pPr>
            <w:r w:rsidRPr="008850E7">
              <w:rPr>
                <w:rFonts w:asciiTheme="minorHAnsi" w:hAnsiTheme="minorHAnsi" w:cs="Arial"/>
                <w:b/>
                <w:sz w:val="22"/>
                <w:szCs w:val="22"/>
              </w:rPr>
              <w:t>Maintenance / Other Cost</w:t>
            </w:r>
          </w:p>
        </w:tc>
        <w:tc>
          <w:tcPr>
            <w:tcW w:w="1260" w:type="dxa"/>
            <w:tcBorders>
              <w:bottom w:val="single" w:sz="4" w:space="0" w:color="auto"/>
            </w:tcBorders>
            <w:shd w:val="clear" w:color="auto" w:fill="D9D9D9" w:themeFill="background1" w:themeFillShade="D9"/>
            <w:vAlign w:val="center"/>
          </w:tcPr>
          <w:p w:rsidR="00DA7703" w:rsidRPr="008850E7" w:rsidRDefault="00DA7703" w:rsidP="00DA7703">
            <w:pPr>
              <w:jc w:val="center"/>
              <w:rPr>
                <w:rFonts w:asciiTheme="minorHAnsi" w:hAnsiTheme="minorHAnsi" w:cs="Arial"/>
                <w:b/>
                <w:sz w:val="22"/>
                <w:szCs w:val="22"/>
              </w:rPr>
            </w:pPr>
            <w:r w:rsidRPr="008850E7">
              <w:rPr>
                <w:rFonts w:asciiTheme="minorHAnsi" w:hAnsiTheme="minorHAnsi" w:cs="Arial"/>
                <w:b/>
                <w:sz w:val="22"/>
                <w:szCs w:val="22"/>
              </w:rPr>
              <w:t>Average Total Measure Case Cost</w:t>
            </w:r>
          </w:p>
        </w:tc>
      </w:tr>
      <w:tr w:rsidR="008850E7" w:rsidRPr="00DA7703" w:rsidTr="008850E7">
        <w:trPr>
          <w:jc w:val="center"/>
        </w:trPr>
        <w:tc>
          <w:tcPr>
            <w:tcW w:w="1103" w:type="dxa"/>
            <w:shd w:val="clear" w:color="auto" w:fill="FFFFFF" w:themeFill="background1"/>
            <w:vAlign w:val="center"/>
          </w:tcPr>
          <w:p w:rsidR="00E2085B" w:rsidRPr="008850E7" w:rsidRDefault="00E2085B" w:rsidP="008D1C89">
            <w:pPr>
              <w:rPr>
                <w:rFonts w:asciiTheme="minorHAnsi" w:hAnsiTheme="minorHAnsi" w:cs="Arial"/>
                <w:sz w:val="22"/>
                <w:szCs w:val="22"/>
              </w:rPr>
            </w:pPr>
            <w:r w:rsidRPr="008850E7">
              <w:rPr>
                <w:rFonts w:asciiTheme="minorHAnsi" w:hAnsiTheme="minorHAnsi" w:cs="Arial"/>
                <w:sz w:val="22"/>
                <w:szCs w:val="22"/>
              </w:rPr>
              <w:t>DM-XX</w:t>
            </w:r>
          </w:p>
        </w:tc>
        <w:tc>
          <w:tcPr>
            <w:tcW w:w="1440" w:type="dxa"/>
            <w:shd w:val="clear" w:color="auto" w:fill="FFFFFF" w:themeFill="background1"/>
            <w:vAlign w:val="center"/>
          </w:tcPr>
          <w:p w:rsidR="00E2085B" w:rsidRPr="008850E7" w:rsidRDefault="00D93F66" w:rsidP="00C440FD">
            <w:pPr>
              <w:jc w:val="center"/>
              <w:rPr>
                <w:rFonts w:asciiTheme="minorHAnsi" w:hAnsiTheme="minorHAnsi" w:cs="Arial"/>
                <w:sz w:val="22"/>
                <w:szCs w:val="22"/>
              </w:rPr>
            </w:pPr>
            <w:r w:rsidRPr="008850E7">
              <w:rPr>
                <w:rFonts w:asciiTheme="minorHAnsi" w:hAnsiTheme="minorHAnsi" w:cs="Arial"/>
                <w:sz w:val="22"/>
                <w:szCs w:val="22"/>
              </w:rPr>
              <w:t>REA</w:t>
            </w:r>
          </w:p>
        </w:tc>
        <w:tc>
          <w:tcPr>
            <w:tcW w:w="1687" w:type="dxa"/>
            <w:shd w:val="clear" w:color="auto" w:fill="FFFFFF" w:themeFill="background1"/>
            <w:vAlign w:val="center"/>
          </w:tcPr>
          <w:p w:rsidR="00E2085B" w:rsidRPr="008850E7" w:rsidRDefault="00E2085B" w:rsidP="008D1C89">
            <w:pPr>
              <w:rPr>
                <w:rFonts w:asciiTheme="minorHAnsi" w:hAnsiTheme="minorHAnsi" w:cs="Arial"/>
                <w:sz w:val="22"/>
                <w:szCs w:val="22"/>
              </w:rPr>
            </w:pPr>
            <w:r w:rsidRPr="008850E7">
              <w:rPr>
                <w:rFonts w:asciiTheme="minorHAnsi" w:hAnsiTheme="minorHAnsi" w:cs="Arial"/>
                <w:sz w:val="22"/>
                <w:szCs w:val="22"/>
              </w:rPr>
              <w:t>Existing Thermostats</w:t>
            </w:r>
          </w:p>
        </w:tc>
        <w:tc>
          <w:tcPr>
            <w:tcW w:w="1283" w:type="dxa"/>
            <w:shd w:val="clear" w:color="auto" w:fill="FFFFFF" w:themeFill="background1"/>
            <w:vAlign w:val="center"/>
          </w:tcPr>
          <w:p w:rsidR="00E2085B" w:rsidRPr="008850E7" w:rsidRDefault="00E2085B" w:rsidP="00E2085B">
            <w:pPr>
              <w:jc w:val="center"/>
              <w:rPr>
                <w:rFonts w:asciiTheme="minorHAnsi" w:hAnsiTheme="minorHAnsi" w:cs="Arial"/>
                <w:sz w:val="22"/>
                <w:szCs w:val="22"/>
              </w:rPr>
            </w:pPr>
            <w:r w:rsidRPr="008850E7">
              <w:rPr>
                <w:rFonts w:asciiTheme="minorHAnsi" w:hAnsiTheme="minorHAnsi" w:cs="Arial"/>
                <w:sz w:val="22"/>
                <w:szCs w:val="22"/>
              </w:rPr>
              <w:t>$180.00</w:t>
            </w:r>
          </w:p>
        </w:tc>
        <w:tc>
          <w:tcPr>
            <w:tcW w:w="1260" w:type="dxa"/>
            <w:shd w:val="clear" w:color="auto" w:fill="FFFFFF" w:themeFill="background1"/>
            <w:vAlign w:val="center"/>
          </w:tcPr>
          <w:p w:rsidR="00E2085B" w:rsidRPr="008850E7" w:rsidRDefault="00E2085B" w:rsidP="00E2085B">
            <w:pPr>
              <w:jc w:val="center"/>
              <w:rPr>
                <w:rFonts w:asciiTheme="minorHAnsi" w:hAnsiTheme="minorHAnsi" w:cs="Arial"/>
                <w:sz w:val="22"/>
                <w:szCs w:val="22"/>
              </w:rPr>
            </w:pPr>
            <w:r w:rsidRPr="008850E7">
              <w:rPr>
                <w:rFonts w:asciiTheme="minorHAnsi" w:hAnsiTheme="minorHAnsi" w:cs="Arial"/>
                <w:sz w:val="22"/>
                <w:szCs w:val="22"/>
              </w:rPr>
              <w:t>$62.94</w:t>
            </w:r>
          </w:p>
        </w:tc>
        <w:tc>
          <w:tcPr>
            <w:tcW w:w="1440" w:type="dxa"/>
            <w:shd w:val="clear" w:color="auto" w:fill="FFFFFF" w:themeFill="background1"/>
            <w:vAlign w:val="center"/>
          </w:tcPr>
          <w:p w:rsidR="00E2085B" w:rsidRPr="008850E7" w:rsidRDefault="00E2085B" w:rsidP="00443230">
            <w:pPr>
              <w:jc w:val="center"/>
              <w:rPr>
                <w:rFonts w:asciiTheme="minorHAnsi" w:hAnsiTheme="minorHAnsi" w:cs="Arial"/>
                <w:sz w:val="22"/>
                <w:szCs w:val="22"/>
              </w:rPr>
            </w:pPr>
            <w:r w:rsidRPr="008850E7">
              <w:rPr>
                <w:rFonts w:asciiTheme="minorHAnsi" w:hAnsiTheme="minorHAnsi" w:cs="Arial"/>
                <w:sz w:val="22"/>
                <w:szCs w:val="22"/>
              </w:rPr>
              <w:t>$ N/A</w:t>
            </w:r>
          </w:p>
        </w:tc>
        <w:tc>
          <w:tcPr>
            <w:tcW w:w="1260" w:type="dxa"/>
            <w:shd w:val="clear" w:color="auto" w:fill="FFFFFF" w:themeFill="background1"/>
            <w:vAlign w:val="center"/>
          </w:tcPr>
          <w:p w:rsidR="00E2085B" w:rsidRPr="008850E7" w:rsidRDefault="00E2085B" w:rsidP="00E2085B">
            <w:pPr>
              <w:jc w:val="center"/>
              <w:rPr>
                <w:rFonts w:asciiTheme="minorHAnsi" w:hAnsiTheme="minorHAnsi" w:cs="Arial"/>
                <w:sz w:val="22"/>
                <w:szCs w:val="22"/>
              </w:rPr>
            </w:pPr>
            <w:r w:rsidRPr="008850E7">
              <w:rPr>
                <w:rFonts w:asciiTheme="minorHAnsi" w:hAnsiTheme="minorHAnsi" w:cs="Arial"/>
                <w:sz w:val="22"/>
                <w:szCs w:val="22"/>
              </w:rPr>
              <w:t>$242.94</w:t>
            </w:r>
          </w:p>
        </w:tc>
      </w:tr>
    </w:tbl>
    <w:bookmarkEnd w:id="66"/>
    <w:p w:rsidR="003F4FFF" w:rsidRPr="00A36F02" w:rsidRDefault="003F4FFF" w:rsidP="00864083">
      <w:pPr>
        <w:rPr>
          <w:rFonts w:asciiTheme="minorHAnsi" w:hAnsiTheme="minorHAnsi" w:cs="Arial"/>
          <w:i/>
          <w:sz w:val="22"/>
          <w:szCs w:val="22"/>
        </w:rPr>
      </w:pPr>
      <w:r w:rsidRPr="00A36F02">
        <w:rPr>
          <w:rFonts w:asciiTheme="minorHAnsi" w:hAnsiTheme="minorHAnsi" w:cs="Arial"/>
          <w:i/>
          <w:sz w:val="22"/>
          <w:szCs w:val="22"/>
        </w:rPr>
        <w:t>All co</w:t>
      </w:r>
      <w:r w:rsidR="00E2085B" w:rsidRPr="00A36F02">
        <w:rPr>
          <w:rFonts w:asciiTheme="minorHAnsi" w:hAnsiTheme="minorHAnsi" w:cs="Arial"/>
          <w:i/>
          <w:sz w:val="22"/>
          <w:szCs w:val="22"/>
        </w:rPr>
        <w:t>sts are noted as $ per unit</w:t>
      </w:r>
    </w:p>
    <w:p w:rsidR="00413149" w:rsidRDefault="00413149" w:rsidP="00413149">
      <w:pPr>
        <w:rPr>
          <w:rFonts w:ascii="Arial" w:hAnsi="Arial" w:cs="Arial"/>
          <w:sz w:val="22"/>
          <w:szCs w:val="22"/>
        </w:rPr>
      </w:pPr>
    </w:p>
    <w:p w:rsidR="00E2085B" w:rsidRDefault="00E10902" w:rsidP="00E2085B">
      <w:pPr>
        <w:rPr>
          <w:rFonts w:ascii="Arial" w:hAnsi="Arial" w:cs="Arial"/>
          <w:sz w:val="22"/>
          <w:szCs w:val="22"/>
        </w:rPr>
      </w:pPr>
      <w:r w:rsidRPr="008850E7">
        <w:rPr>
          <w:rFonts w:asciiTheme="minorHAnsi" w:hAnsiTheme="minorHAnsi" w:cs="Arial"/>
          <w:sz w:val="22"/>
          <w:szCs w:val="22"/>
        </w:rPr>
        <w:lastRenderedPageBreak/>
        <w:t>Material cost for the m</w:t>
      </w:r>
      <w:r w:rsidR="00E2085B" w:rsidRPr="008850E7">
        <w:rPr>
          <w:rFonts w:asciiTheme="minorHAnsi" w:hAnsiTheme="minorHAnsi" w:cs="Arial"/>
          <w:sz w:val="22"/>
          <w:szCs w:val="22"/>
        </w:rPr>
        <w:t xml:space="preserve">easure case </w:t>
      </w:r>
      <w:r w:rsidRPr="008850E7">
        <w:rPr>
          <w:rFonts w:asciiTheme="minorHAnsi" w:hAnsiTheme="minorHAnsi" w:cs="Arial"/>
          <w:sz w:val="22"/>
          <w:szCs w:val="22"/>
        </w:rPr>
        <w:t xml:space="preserve">was </w:t>
      </w:r>
      <w:r w:rsidR="00E2085B" w:rsidRPr="008850E7">
        <w:rPr>
          <w:rFonts w:asciiTheme="minorHAnsi" w:hAnsiTheme="minorHAnsi" w:cs="Arial"/>
          <w:sz w:val="22"/>
          <w:szCs w:val="22"/>
        </w:rPr>
        <w:t>provided by SDG&amp;E based on their cost for EcoBee model</w:t>
      </w:r>
      <w:r w:rsidRPr="008850E7">
        <w:rPr>
          <w:rFonts w:asciiTheme="minorHAnsi" w:hAnsiTheme="minorHAnsi" w:cs="Arial"/>
          <w:sz w:val="22"/>
          <w:szCs w:val="22"/>
        </w:rPr>
        <w:t xml:space="preserve"> PCTs</w:t>
      </w:r>
      <w:r w:rsidR="005D1B20" w:rsidRPr="008850E7">
        <w:rPr>
          <w:rFonts w:asciiTheme="minorHAnsi" w:hAnsiTheme="minorHAnsi" w:cs="Arial"/>
          <w:sz w:val="22"/>
          <w:szCs w:val="22"/>
        </w:rPr>
        <w:t>.</w:t>
      </w:r>
      <w:r w:rsidR="00E2085B" w:rsidRPr="008850E7">
        <w:rPr>
          <w:rFonts w:asciiTheme="minorHAnsi" w:hAnsiTheme="minorHAnsi" w:cs="Arial"/>
          <w:sz w:val="22"/>
          <w:szCs w:val="22"/>
        </w:rPr>
        <w:t xml:space="preserve"> </w:t>
      </w:r>
      <w:r w:rsidRPr="008850E7">
        <w:rPr>
          <w:rFonts w:asciiTheme="minorHAnsi" w:hAnsiTheme="minorHAnsi" w:cs="Arial"/>
          <w:sz w:val="22"/>
          <w:szCs w:val="22"/>
        </w:rPr>
        <w:t>Labor</w:t>
      </w:r>
      <w:r w:rsidR="00E2085B" w:rsidRPr="008850E7">
        <w:rPr>
          <w:rFonts w:asciiTheme="minorHAnsi" w:hAnsiTheme="minorHAnsi" w:cs="Arial"/>
          <w:sz w:val="22"/>
          <w:szCs w:val="22"/>
        </w:rPr>
        <w:t xml:space="preserve"> costs are </w:t>
      </w:r>
      <w:r w:rsidR="005D1B20" w:rsidRPr="008850E7">
        <w:rPr>
          <w:rFonts w:asciiTheme="minorHAnsi" w:hAnsiTheme="minorHAnsi" w:cs="Arial"/>
          <w:sz w:val="22"/>
          <w:szCs w:val="22"/>
        </w:rPr>
        <w:t xml:space="preserve">taken directly from DEER and </w:t>
      </w:r>
      <w:r w:rsidR="00E2085B" w:rsidRPr="008850E7">
        <w:rPr>
          <w:rFonts w:asciiTheme="minorHAnsi" w:hAnsiTheme="minorHAnsi" w:cs="Arial"/>
          <w:sz w:val="22"/>
          <w:szCs w:val="22"/>
        </w:rPr>
        <w:t xml:space="preserve">multiplied by a </w:t>
      </w:r>
      <w:r w:rsidR="005D1B20" w:rsidRPr="008850E7">
        <w:rPr>
          <w:rFonts w:asciiTheme="minorHAnsi" w:hAnsiTheme="minorHAnsi" w:cs="Arial"/>
          <w:sz w:val="22"/>
          <w:szCs w:val="22"/>
        </w:rPr>
        <w:t xml:space="preserve">climate </w:t>
      </w:r>
      <w:r w:rsidR="00E2085B" w:rsidRPr="008850E7">
        <w:rPr>
          <w:rFonts w:asciiTheme="minorHAnsi" w:hAnsiTheme="minorHAnsi" w:cs="Arial"/>
          <w:sz w:val="22"/>
          <w:szCs w:val="22"/>
        </w:rPr>
        <w:t xml:space="preserve">multiplier to account for cost variation in each climate zone. Costs can be found in Appendix </w:t>
      </w:r>
      <w:r w:rsidR="00B62384" w:rsidRPr="008850E7">
        <w:rPr>
          <w:rFonts w:asciiTheme="minorHAnsi" w:hAnsiTheme="minorHAnsi" w:cs="Arial"/>
          <w:sz w:val="22"/>
          <w:szCs w:val="22"/>
        </w:rPr>
        <w:t>B</w:t>
      </w:r>
      <w:r w:rsidR="00227654" w:rsidRPr="008850E7">
        <w:rPr>
          <w:rFonts w:asciiTheme="minorHAnsi" w:hAnsiTheme="minorHAnsi"/>
          <w:sz w:val="22"/>
          <w:szCs w:val="22"/>
        </w:rPr>
        <w:fldChar w:fldCharType="begin"/>
      </w:r>
      <w:r w:rsidR="00227654" w:rsidRPr="008850E7">
        <w:rPr>
          <w:rFonts w:asciiTheme="minorHAnsi" w:hAnsiTheme="minorHAnsi"/>
          <w:sz w:val="22"/>
          <w:szCs w:val="22"/>
        </w:rPr>
        <w:instrText xml:space="preserve"> NOTEREF _Ref404774991 \h  \* MERGEFORMAT </w:instrText>
      </w:r>
      <w:r w:rsidR="00227654" w:rsidRPr="008850E7">
        <w:rPr>
          <w:rFonts w:asciiTheme="minorHAnsi" w:hAnsiTheme="minorHAnsi"/>
          <w:sz w:val="22"/>
          <w:szCs w:val="22"/>
        </w:rPr>
      </w:r>
      <w:r w:rsidR="00227654" w:rsidRPr="008850E7">
        <w:rPr>
          <w:rFonts w:asciiTheme="minorHAnsi" w:hAnsiTheme="minorHAnsi"/>
          <w:sz w:val="22"/>
          <w:szCs w:val="22"/>
        </w:rPr>
        <w:fldChar w:fldCharType="separate"/>
      </w:r>
      <w:r w:rsidR="00B62384" w:rsidRPr="008850E7">
        <w:rPr>
          <w:rFonts w:asciiTheme="minorHAnsi" w:hAnsiTheme="minorHAnsi"/>
          <w:sz w:val="22"/>
          <w:szCs w:val="22"/>
        </w:rPr>
        <w:t>2</w:t>
      </w:r>
      <w:r w:rsidR="00227654" w:rsidRPr="008850E7">
        <w:rPr>
          <w:rFonts w:asciiTheme="minorHAnsi" w:hAnsiTheme="minorHAnsi"/>
          <w:sz w:val="22"/>
          <w:szCs w:val="22"/>
        </w:rPr>
        <w:fldChar w:fldCharType="end"/>
      </w:r>
      <w:r w:rsidR="00E2085B">
        <w:rPr>
          <w:rFonts w:ascii="Arial" w:hAnsi="Arial" w:cs="Arial"/>
          <w:sz w:val="22"/>
          <w:szCs w:val="22"/>
        </w:rPr>
        <w:t>.</w:t>
      </w:r>
    </w:p>
    <w:p w:rsidR="00B64EF2" w:rsidRPr="00B64EF2" w:rsidRDefault="00B64EF2" w:rsidP="00B64EF2"/>
    <w:p w:rsidR="003F4FFF" w:rsidRPr="008850E7" w:rsidRDefault="003F4FFF" w:rsidP="00864083">
      <w:pPr>
        <w:pStyle w:val="Heading2"/>
        <w:keepLines/>
        <w:rPr>
          <w:rFonts w:asciiTheme="minorHAnsi" w:hAnsiTheme="minorHAnsi"/>
          <w:i w:val="0"/>
          <w:sz w:val="32"/>
          <w:szCs w:val="32"/>
        </w:rPr>
      </w:pPr>
      <w:bookmarkStart w:id="67" w:name="_Toc404765892"/>
      <w:r w:rsidRPr="008850E7">
        <w:rPr>
          <w:rFonts w:asciiTheme="minorHAnsi" w:hAnsiTheme="minorHAnsi"/>
          <w:i w:val="0"/>
          <w:sz w:val="32"/>
          <w:szCs w:val="32"/>
        </w:rPr>
        <w:t>4.3 Incremental &amp; Full Measure Costs</w:t>
      </w:r>
      <w:bookmarkEnd w:id="67"/>
    </w:p>
    <w:p w:rsidR="003F4FFF" w:rsidRPr="00D8220B" w:rsidRDefault="003F4FFF" w:rsidP="00C218D5">
      <w:pPr>
        <w:pStyle w:val="Heading2"/>
        <w:rPr>
          <w:rFonts w:asciiTheme="minorHAnsi" w:hAnsiTheme="minorHAnsi"/>
          <w:i w:val="0"/>
        </w:rPr>
      </w:pPr>
      <w:bookmarkStart w:id="68" w:name="_Toc404765893"/>
      <w:r w:rsidRPr="00D8220B">
        <w:rPr>
          <w:rFonts w:asciiTheme="minorHAnsi" w:hAnsiTheme="minorHAnsi"/>
          <w:i w:val="0"/>
        </w:rPr>
        <w:t>4.3.1 Gross Measure Costs</w:t>
      </w:r>
      <w:bookmarkEnd w:id="68"/>
    </w:p>
    <w:p w:rsidR="00F127DE" w:rsidRPr="00D8220B" w:rsidRDefault="00F127DE" w:rsidP="00F127DE">
      <w:pPr>
        <w:rPr>
          <w:rFonts w:asciiTheme="minorHAnsi" w:hAnsiTheme="minorHAnsi" w:cs="Arial"/>
          <w:sz w:val="22"/>
          <w:szCs w:val="22"/>
        </w:rPr>
      </w:pPr>
      <w:r w:rsidRPr="00D8220B">
        <w:rPr>
          <w:rFonts w:asciiTheme="minorHAnsi" w:hAnsiTheme="minorHAnsi" w:cs="Arial"/>
          <w:sz w:val="22"/>
          <w:szCs w:val="22"/>
        </w:rPr>
        <w:t xml:space="preserve">Gross Measure Cost is the cost to install an energy efficient measure per the CPUC calculators. This definition implies a different meaning depending on the Measure Application type. </w:t>
      </w:r>
    </w:p>
    <w:p w:rsidR="00F127DE" w:rsidRPr="00D8220B" w:rsidRDefault="00F127DE" w:rsidP="00864083">
      <w:pPr>
        <w:rPr>
          <w:rFonts w:asciiTheme="minorHAnsi" w:hAnsiTheme="minorHAnsi" w:cs="Arial"/>
          <w:sz w:val="22"/>
          <w:szCs w:val="22"/>
        </w:rPr>
      </w:pPr>
    </w:p>
    <w:p w:rsidR="00F127DE" w:rsidRPr="00D8220B" w:rsidRDefault="00125CF7" w:rsidP="00F127DE">
      <w:pPr>
        <w:rPr>
          <w:rFonts w:asciiTheme="minorHAnsi" w:hAnsiTheme="minorHAnsi" w:cs="Arial"/>
          <w:sz w:val="22"/>
          <w:szCs w:val="22"/>
        </w:rPr>
      </w:pPr>
      <w:r w:rsidRPr="00D8220B">
        <w:rPr>
          <w:rFonts w:asciiTheme="minorHAnsi" w:hAnsiTheme="minorHAnsi" w:cs="Arial"/>
          <w:sz w:val="22"/>
          <w:szCs w:val="22"/>
        </w:rPr>
        <w:t xml:space="preserve">This Measure Application Types is: </w:t>
      </w:r>
      <w:r w:rsidR="00D93F66" w:rsidRPr="00D8220B">
        <w:rPr>
          <w:rFonts w:asciiTheme="minorHAnsi" w:hAnsiTheme="minorHAnsi" w:cs="Arial"/>
          <w:b/>
          <w:sz w:val="22"/>
          <w:szCs w:val="22"/>
        </w:rPr>
        <w:t>REA</w:t>
      </w:r>
      <w:r w:rsidRPr="00D8220B">
        <w:rPr>
          <w:rFonts w:asciiTheme="minorHAnsi" w:hAnsiTheme="minorHAnsi" w:cs="Arial"/>
          <w:b/>
          <w:sz w:val="22"/>
          <w:szCs w:val="22"/>
        </w:rPr>
        <w:t>,</w:t>
      </w:r>
      <w:r w:rsidRPr="00D8220B">
        <w:rPr>
          <w:rFonts w:asciiTheme="minorHAnsi" w:hAnsiTheme="minorHAnsi" w:cs="Arial"/>
          <w:sz w:val="22"/>
          <w:szCs w:val="22"/>
        </w:rPr>
        <w:t xml:space="preserve"> so the Gross Measure Cost (GMC) is represented by the equation below:</w:t>
      </w:r>
    </w:p>
    <w:p w:rsidR="00125CF7" w:rsidRPr="00D8220B" w:rsidRDefault="00125CF7" w:rsidP="00F127DE">
      <w:pPr>
        <w:rPr>
          <w:rFonts w:asciiTheme="minorHAnsi" w:hAnsiTheme="minorHAnsi" w:cs="Arial"/>
          <w:sz w:val="22"/>
          <w:szCs w:val="22"/>
        </w:rPr>
      </w:pPr>
    </w:p>
    <w:p w:rsidR="00F127DE" w:rsidRPr="00D8220B" w:rsidRDefault="00F127DE" w:rsidP="00E63D45">
      <w:pPr>
        <w:ind w:firstLine="720"/>
        <w:rPr>
          <w:rFonts w:asciiTheme="minorHAnsi" w:hAnsiTheme="minorHAnsi" w:cs="Arial"/>
          <w:sz w:val="22"/>
          <w:szCs w:val="22"/>
        </w:rPr>
      </w:pPr>
      <w:r w:rsidRPr="00D8220B">
        <w:rPr>
          <w:rFonts w:asciiTheme="minorHAnsi" w:hAnsiTheme="minorHAnsi" w:cs="Arial"/>
          <w:b/>
          <w:sz w:val="22"/>
          <w:szCs w:val="22"/>
        </w:rPr>
        <w:t>GMC</w:t>
      </w:r>
      <w:r w:rsidRPr="00D8220B">
        <w:rPr>
          <w:rFonts w:asciiTheme="minorHAnsi" w:hAnsiTheme="minorHAnsi" w:cs="Arial"/>
          <w:sz w:val="22"/>
          <w:szCs w:val="22"/>
        </w:rPr>
        <w:t xml:space="preserve"> = Measure Equi</w:t>
      </w:r>
      <w:r w:rsidR="00E63D45" w:rsidRPr="00D8220B">
        <w:rPr>
          <w:rFonts w:asciiTheme="minorHAnsi" w:hAnsiTheme="minorHAnsi" w:cs="Arial"/>
          <w:sz w:val="22"/>
          <w:szCs w:val="22"/>
        </w:rPr>
        <w:t>pment Cost + Measure Labor Cost</w:t>
      </w:r>
    </w:p>
    <w:p w:rsidR="00F127DE" w:rsidRPr="00D8220B" w:rsidRDefault="00F127DE" w:rsidP="00F127DE">
      <w:pPr>
        <w:rPr>
          <w:rFonts w:asciiTheme="minorHAnsi" w:hAnsiTheme="minorHAnsi" w:cs="Arial"/>
          <w:i/>
          <w:sz w:val="22"/>
          <w:szCs w:val="22"/>
        </w:rPr>
      </w:pPr>
    </w:p>
    <w:p w:rsidR="00F127DE" w:rsidRPr="00D8220B" w:rsidRDefault="00F127DE" w:rsidP="00F127DE">
      <w:pPr>
        <w:rPr>
          <w:rFonts w:asciiTheme="minorHAnsi" w:hAnsiTheme="minorHAnsi" w:cs="Arial"/>
          <w:b/>
          <w:sz w:val="22"/>
          <w:szCs w:val="22"/>
        </w:rPr>
      </w:pPr>
      <w:r w:rsidRPr="00D8220B">
        <w:rPr>
          <w:rFonts w:asciiTheme="minorHAnsi" w:hAnsiTheme="minorHAnsi" w:cs="Arial"/>
          <w:b/>
          <w:sz w:val="22"/>
          <w:szCs w:val="22"/>
        </w:rPr>
        <w:t>Example:</w:t>
      </w:r>
    </w:p>
    <w:p w:rsidR="00F127DE" w:rsidRPr="00D8220B" w:rsidRDefault="00F127DE" w:rsidP="00F127DE">
      <w:pPr>
        <w:rPr>
          <w:rFonts w:asciiTheme="minorHAnsi" w:hAnsiTheme="minorHAnsi" w:cs="Arial"/>
          <w:b/>
          <w:sz w:val="22"/>
          <w:szCs w:val="22"/>
        </w:rPr>
      </w:pPr>
    </w:p>
    <w:p w:rsidR="004C686B" w:rsidRPr="00D8220B" w:rsidRDefault="00F127DE" w:rsidP="00C218D5">
      <w:pPr>
        <w:ind w:firstLine="720"/>
        <w:rPr>
          <w:rFonts w:asciiTheme="minorHAnsi" w:hAnsiTheme="minorHAnsi" w:cs="Arial"/>
          <w:sz w:val="22"/>
          <w:szCs w:val="22"/>
        </w:rPr>
      </w:pPr>
      <w:r w:rsidRPr="00D8220B">
        <w:rPr>
          <w:rFonts w:asciiTheme="minorHAnsi" w:hAnsiTheme="minorHAnsi" w:cs="Arial"/>
          <w:sz w:val="22"/>
          <w:szCs w:val="22"/>
        </w:rPr>
        <w:t>GMC = $</w:t>
      </w:r>
      <w:r w:rsidR="00AF3FFA" w:rsidRPr="00D8220B">
        <w:rPr>
          <w:rFonts w:asciiTheme="minorHAnsi" w:hAnsiTheme="minorHAnsi" w:cs="Arial"/>
          <w:sz w:val="22"/>
          <w:szCs w:val="22"/>
        </w:rPr>
        <w:t>180.00 + 62.92</w:t>
      </w:r>
      <w:r w:rsidRPr="00D8220B">
        <w:rPr>
          <w:rFonts w:asciiTheme="minorHAnsi" w:hAnsiTheme="minorHAnsi" w:cs="Arial"/>
          <w:sz w:val="22"/>
          <w:szCs w:val="22"/>
        </w:rPr>
        <w:t>/</w:t>
      </w:r>
      <w:r w:rsidR="00E2085B" w:rsidRPr="00D8220B">
        <w:rPr>
          <w:rFonts w:asciiTheme="minorHAnsi" w:hAnsiTheme="minorHAnsi" w:cs="Arial"/>
          <w:sz w:val="22"/>
          <w:szCs w:val="22"/>
        </w:rPr>
        <w:t>unit</w:t>
      </w:r>
      <w:r w:rsidRPr="00D8220B">
        <w:rPr>
          <w:rFonts w:asciiTheme="minorHAnsi" w:hAnsiTheme="minorHAnsi" w:cs="Arial"/>
          <w:sz w:val="22"/>
          <w:szCs w:val="22"/>
        </w:rPr>
        <w:t xml:space="preserve"> = $</w:t>
      </w:r>
      <w:r w:rsidR="00F3361F" w:rsidRPr="00D8220B">
        <w:rPr>
          <w:rFonts w:asciiTheme="minorHAnsi" w:hAnsiTheme="minorHAnsi" w:cs="Arial"/>
          <w:sz w:val="22"/>
          <w:szCs w:val="22"/>
        </w:rPr>
        <w:t xml:space="preserve"> </w:t>
      </w:r>
      <w:r w:rsidR="00AF3FFA" w:rsidRPr="00D8220B">
        <w:rPr>
          <w:rFonts w:asciiTheme="minorHAnsi" w:hAnsiTheme="minorHAnsi" w:cs="Arial"/>
          <w:sz w:val="22"/>
          <w:szCs w:val="22"/>
        </w:rPr>
        <w:t>242.92</w:t>
      </w:r>
      <w:r w:rsidR="00F3361F" w:rsidRPr="00D8220B">
        <w:rPr>
          <w:rFonts w:asciiTheme="minorHAnsi" w:hAnsiTheme="minorHAnsi" w:cs="Arial"/>
          <w:sz w:val="22"/>
          <w:szCs w:val="22"/>
        </w:rPr>
        <w:t>/</w:t>
      </w:r>
      <w:r w:rsidR="00E2085B" w:rsidRPr="00D8220B">
        <w:rPr>
          <w:rFonts w:asciiTheme="minorHAnsi" w:hAnsiTheme="minorHAnsi" w:cs="Arial"/>
          <w:sz w:val="22"/>
          <w:szCs w:val="22"/>
        </w:rPr>
        <w:t>unit</w:t>
      </w:r>
    </w:p>
    <w:p w:rsidR="00AA008D" w:rsidRPr="00D8220B" w:rsidRDefault="00AA008D" w:rsidP="00C218D5">
      <w:pPr>
        <w:pStyle w:val="Heading2"/>
        <w:rPr>
          <w:rFonts w:asciiTheme="minorHAnsi" w:hAnsiTheme="minorHAnsi"/>
        </w:rPr>
      </w:pPr>
      <w:bookmarkStart w:id="69" w:name="_Ref189286871"/>
      <w:bookmarkStart w:id="70" w:name="_Toc225758844"/>
    </w:p>
    <w:p w:rsidR="009856A5" w:rsidRPr="00D8220B" w:rsidRDefault="009856A5" w:rsidP="009856A5">
      <w:pPr>
        <w:rPr>
          <w:rFonts w:asciiTheme="minorHAnsi" w:hAnsiTheme="minorHAnsi" w:cs="Arial"/>
          <w:b/>
          <w:sz w:val="22"/>
          <w:szCs w:val="22"/>
        </w:rPr>
      </w:pPr>
      <w:bookmarkStart w:id="71" w:name="_Toc404765894"/>
      <w:r w:rsidRPr="00D8220B">
        <w:rPr>
          <w:rFonts w:asciiTheme="minorHAnsi" w:hAnsiTheme="minorHAnsi" w:cs="Arial"/>
          <w:b/>
          <w:sz w:val="22"/>
          <w:szCs w:val="22"/>
        </w:rPr>
        <w:t>Base Case Costs and Measure Case Costs:</w:t>
      </w:r>
    </w:p>
    <w:p w:rsidR="009856A5" w:rsidRPr="00D8220B" w:rsidRDefault="009856A5" w:rsidP="009856A5">
      <w:pPr>
        <w:pStyle w:val="ListParagraph"/>
        <w:numPr>
          <w:ilvl w:val="0"/>
          <w:numId w:val="43"/>
        </w:numPr>
        <w:rPr>
          <w:rFonts w:asciiTheme="minorHAnsi" w:hAnsiTheme="minorHAnsi" w:cs="Arial"/>
          <w:sz w:val="22"/>
          <w:szCs w:val="22"/>
        </w:rPr>
      </w:pPr>
      <w:r w:rsidRPr="00D8220B">
        <w:rPr>
          <w:rFonts w:asciiTheme="minorHAnsi" w:hAnsiTheme="minorHAnsi" w:cs="Arial"/>
          <w:sz w:val="22"/>
          <w:szCs w:val="22"/>
        </w:rPr>
        <w:t xml:space="preserve">Costs of a PCT are based on manufacturer information gathered by SDG&amp;E. </w:t>
      </w:r>
    </w:p>
    <w:p w:rsidR="009856A5" w:rsidRPr="00D8220B" w:rsidRDefault="009856A5" w:rsidP="009856A5">
      <w:pPr>
        <w:pStyle w:val="ListParagraph"/>
        <w:numPr>
          <w:ilvl w:val="0"/>
          <w:numId w:val="43"/>
        </w:numPr>
        <w:rPr>
          <w:rFonts w:asciiTheme="minorHAnsi" w:hAnsiTheme="minorHAnsi" w:cs="Arial"/>
          <w:sz w:val="22"/>
          <w:szCs w:val="22"/>
        </w:rPr>
      </w:pPr>
      <w:r w:rsidRPr="00D8220B">
        <w:rPr>
          <w:rFonts w:asciiTheme="minorHAnsi" w:hAnsiTheme="minorHAnsi" w:cs="Arial"/>
          <w:sz w:val="22"/>
          <w:szCs w:val="22"/>
        </w:rPr>
        <w:t>Labor costs are based on the 2008 DEER Cost data</w:t>
      </w:r>
      <w:r w:rsidRPr="00D8220B">
        <w:rPr>
          <w:rFonts w:asciiTheme="minorHAnsi" w:hAnsiTheme="minorHAnsi"/>
          <w:sz w:val="22"/>
          <w:szCs w:val="22"/>
        </w:rPr>
        <w:fldChar w:fldCharType="begin"/>
      </w:r>
      <w:r w:rsidRPr="00D8220B">
        <w:rPr>
          <w:rFonts w:asciiTheme="minorHAnsi" w:hAnsiTheme="minorHAnsi"/>
          <w:sz w:val="22"/>
          <w:szCs w:val="22"/>
        </w:rPr>
        <w:instrText xml:space="preserve"> NOTEREF _Ref404774991 \h  \* MERGEFORMAT </w:instrText>
      </w:r>
      <w:r w:rsidRPr="00D8220B">
        <w:rPr>
          <w:rFonts w:asciiTheme="minorHAnsi" w:hAnsiTheme="minorHAnsi"/>
          <w:sz w:val="22"/>
          <w:szCs w:val="22"/>
        </w:rPr>
      </w:r>
      <w:r w:rsidRPr="00D8220B">
        <w:rPr>
          <w:rFonts w:asciiTheme="minorHAnsi" w:hAnsiTheme="minorHAnsi"/>
          <w:sz w:val="22"/>
          <w:szCs w:val="22"/>
        </w:rPr>
        <w:fldChar w:fldCharType="separate"/>
      </w:r>
      <w:r w:rsidRPr="00D8220B">
        <w:rPr>
          <w:rFonts w:asciiTheme="minorHAnsi" w:hAnsiTheme="minorHAnsi"/>
          <w:sz w:val="22"/>
          <w:szCs w:val="22"/>
        </w:rPr>
        <w:t>2</w:t>
      </w:r>
      <w:r w:rsidRPr="00D8220B">
        <w:rPr>
          <w:rFonts w:asciiTheme="minorHAnsi" w:hAnsiTheme="minorHAnsi"/>
          <w:sz w:val="22"/>
          <w:szCs w:val="22"/>
        </w:rPr>
        <w:fldChar w:fldCharType="end"/>
      </w:r>
      <w:r w:rsidRPr="00D8220B">
        <w:rPr>
          <w:rFonts w:asciiTheme="minorHAnsi" w:hAnsiTheme="minorHAnsi" w:cs="Arial"/>
          <w:sz w:val="22"/>
          <w:szCs w:val="22"/>
        </w:rPr>
        <w:t>.</w:t>
      </w:r>
    </w:p>
    <w:p w:rsidR="009856A5" w:rsidRPr="00D8220B" w:rsidRDefault="009856A5" w:rsidP="009856A5">
      <w:pPr>
        <w:pStyle w:val="ListParagraph"/>
        <w:numPr>
          <w:ilvl w:val="0"/>
          <w:numId w:val="43"/>
        </w:numPr>
        <w:rPr>
          <w:rFonts w:asciiTheme="minorHAnsi" w:hAnsiTheme="minorHAnsi" w:cs="Arial"/>
          <w:sz w:val="22"/>
          <w:szCs w:val="22"/>
        </w:rPr>
      </w:pPr>
      <w:r w:rsidRPr="00D8220B">
        <w:rPr>
          <w:rFonts w:asciiTheme="minorHAnsi" w:hAnsiTheme="minorHAnsi" w:cs="Arial"/>
          <w:sz w:val="22"/>
          <w:szCs w:val="22"/>
        </w:rPr>
        <w:t xml:space="preserve">The base case cost of equipment is assumed to be zero, or the cost of not replacing the existing thermostat. </w:t>
      </w:r>
    </w:p>
    <w:p w:rsidR="009856A5" w:rsidRDefault="009856A5" w:rsidP="009856A5">
      <w:pPr>
        <w:pStyle w:val="ListParagraph"/>
        <w:numPr>
          <w:ilvl w:val="0"/>
          <w:numId w:val="43"/>
        </w:numPr>
        <w:rPr>
          <w:rFonts w:asciiTheme="minorHAnsi" w:hAnsiTheme="minorHAnsi" w:cs="Arial"/>
          <w:sz w:val="22"/>
          <w:szCs w:val="22"/>
        </w:rPr>
      </w:pPr>
      <w:r w:rsidRPr="00D8220B">
        <w:rPr>
          <w:rFonts w:asciiTheme="minorHAnsi" w:hAnsiTheme="minorHAnsi" w:cs="Arial"/>
          <w:sz w:val="22"/>
          <w:szCs w:val="22"/>
        </w:rPr>
        <w:t xml:space="preserve">Material and labor costs were adjusted for each climate zone using the climate multipliers for each climate zone. </w:t>
      </w:r>
    </w:p>
    <w:p w:rsidR="00B9722E" w:rsidRPr="00D8220B" w:rsidRDefault="00B9722E" w:rsidP="00B9722E">
      <w:pPr>
        <w:pStyle w:val="Caption"/>
        <w:ind w:left="720"/>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21</w:t>
      </w:r>
      <w:r w:rsidRPr="00451245">
        <w:rPr>
          <w:rFonts w:asciiTheme="minorHAnsi" w:hAnsiTheme="minorHAnsi" w:cs="Arial"/>
          <w:sz w:val="22"/>
          <w:szCs w:val="22"/>
        </w:rPr>
        <w:t xml:space="preserve"> </w:t>
      </w:r>
      <w:r w:rsidRPr="00B9722E">
        <w:rPr>
          <w:rFonts w:asciiTheme="minorHAnsi" w:hAnsiTheme="minorHAnsi" w:cs="Arial"/>
          <w:b w:val="0"/>
          <w:sz w:val="22"/>
          <w:szCs w:val="22"/>
        </w:rPr>
        <w:fldChar w:fldCharType="begin"/>
      </w:r>
      <w:r w:rsidRPr="00B9722E">
        <w:rPr>
          <w:rFonts w:asciiTheme="minorHAnsi" w:hAnsiTheme="minorHAnsi"/>
          <w:b w:val="0"/>
          <w:sz w:val="22"/>
          <w:szCs w:val="22"/>
        </w:rPr>
        <w:instrText xml:space="preserve"> TC "</w:instrText>
      </w:r>
      <w:r w:rsidRPr="00B9722E">
        <w:rPr>
          <w:rFonts w:asciiTheme="minorHAnsi" w:hAnsiTheme="minorHAnsi" w:cs="Arial"/>
          <w:b w:val="0"/>
          <w:sz w:val="22"/>
          <w:szCs w:val="22"/>
        </w:rPr>
        <w:instrText>Table 3: TOU Adjustment Factors</w:instrText>
      </w:r>
      <w:r w:rsidRPr="00B9722E">
        <w:rPr>
          <w:rFonts w:asciiTheme="minorHAnsi" w:hAnsiTheme="minorHAnsi"/>
          <w:b w:val="0"/>
          <w:sz w:val="22"/>
          <w:szCs w:val="22"/>
        </w:rPr>
        <w:instrText xml:space="preserve">" \f C \l "1" </w:instrText>
      </w:r>
      <w:r w:rsidRPr="00B9722E">
        <w:rPr>
          <w:rFonts w:asciiTheme="minorHAnsi" w:hAnsiTheme="minorHAnsi" w:cs="Arial"/>
          <w:b w:val="0"/>
          <w:sz w:val="22"/>
          <w:szCs w:val="22"/>
        </w:rPr>
        <w:fldChar w:fldCharType="end"/>
      </w:r>
      <w:r>
        <w:rPr>
          <w:rFonts w:asciiTheme="minorHAnsi" w:hAnsiTheme="minorHAnsi" w:cs="Arial"/>
          <w:b w:val="0"/>
          <w:sz w:val="22"/>
          <w:szCs w:val="22"/>
        </w:rPr>
        <w:t>Incremental and Full Measure Costs</w:t>
      </w:r>
      <w:r w:rsidRPr="00D8220B">
        <w:rPr>
          <w:rFonts w:asciiTheme="minorHAnsi" w:hAnsiTheme="minorHAnsi" w:cs="Arial"/>
          <w:sz w:val="22"/>
          <w:szCs w:val="22"/>
        </w:rPr>
        <w:fldChar w:fldCharType="begin"/>
      </w:r>
      <w:r w:rsidRPr="00D8220B">
        <w:rPr>
          <w:rFonts w:asciiTheme="minorHAnsi" w:hAnsiTheme="minorHAnsi"/>
          <w:sz w:val="22"/>
          <w:szCs w:val="22"/>
        </w:rPr>
        <w:instrText xml:space="preserve"> TC "</w:instrText>
      </w:r>
      <w:r w:rsidRPr="00D8220B">
        <w:rPr>
          <w:rFonts w:asciiTheme="minorHAnsi" w:hAnsiTheme="minorHAnsi" w:cs="Arial"/>
          <w:sz w:val="22"/>
          <w:szCs w:val="22"/>
        </w:rPr>
        <w:instrText>Table 5: Building Types and Load Shapes</w:instrText>
      </w:r>
      <w:r w:rsidRPr="00D8220B">
        <w:rPr>
          <w:rFonts w:asciiTheme="minorHAnsi" w:hAnsiTheme="minorHAnsi"/>
          <w:sz w:val="22"/>
          <w:szCs w:val="22"/>
        </w:rPr>
        <w:instrText xml:space="preserve">" \f C \l "1" </w:instrText>
      </w:r>
      <w:r w:rsidRPr="00D8220B">
        <w:rPr>
          <w:rFonts w:asciiTheme="minorHAnsi" w:hAnsiTheme="minorHAnsi" w:cs="Arial"/>
          <w:sz w:val="22"/>
          <w:szCs w:val="22"/>
        </w:rPr>
        <w:fldChar w:fldCharType="end"/>
      </w:r>
    </w:p>
    <w:p w:rsidR="009856A5" w:rsidRDefault="009856A5" w:rsidP="009856A5">
      <w:pPr>
        <w:rPr>
          <w:rFonts w:ascii="Arial" w:hAnsi="Arial" w:cs="Arial"/>
          <w:sz w:val="22"/>
          <w:szCs w:val="22"/>
        </w:rPr>
      </w:pPr>
      <w:r>
        <w:rPr>
          <w:rFonts w:cs="Arial"/>
          <w:b/>
          <w:sz w:val="20"/>
          <w:szCs w:val="20"/>
        </w:rPr>
        <w:t xml:space="preserve"> </w:t>
      </w:r>
    </w:p>
    <w:tbl>
      <w:tblPr>
        <w:tblW w:w="6300"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1080"/>
        <w:gridCol w:w="1080"/>
        <w:gridCol w:w="900"/>
        <w:gridCol w:w="1170"/>
        <w:gridCol w:w="972"/>
      </w:tblGrid>
      <w:tr w:rsidR="008850E7" w:rsidRPr="00291BC9" w:rsidTr="008850E7">
        <w:trPr>
          <w:jc w:val="center"/>
        </w:trPr>
        <w:tc>
          <w:tcPr>
            <w:tcW w:w="1098" w:type="dxa"/>
            <w:shd w:val="clear" w:color="auto" w:fill="D9D9D9" w:themeFill="background1" w:themeFillShade="D9"/>
            <w:vAlign w:val="center"/>
          </w:tcPr>
          <w:p w:rsidR="008850E7" w:rsidRPr="00451245" w:rsidRDefault="008850E7" w:rsidP="00284436">
            <w:pPr>
              <w:keepNext/>
              <w:jc w:val="center"/>
              <w:rPr>
                <w:rFonts w:asciiTheme="minorHAnsi" w:hAnsiTheme="minorHAnsi" w:cs="Arial"/>
                <w:b/>
                <w:sz w:val="22"/>
                <w:szCs w:val="22"/>
              </w:rPr>
            </w:pPr>
            <w:r w:rsidRPr="00451245">
              <w:rPr>
                <w:rFonts w:asciiTheme="minorHAnsi" w:hAnsiTheme="minorHAnsi" w:cs="Arial"/>
                <w:b/>
                <w:sz w:val="22"/>
                <w:szCs w:val="22"/>
              </w:rPr>
              <w:t>Building type</w:t>
            </w:r>
          </w:p>
        </w:tc>
        <w:tc>
          <w:tcPr>
            <w:tcW w:w="1080" w:type="dxa"/>
            <w:shd w:val="clear" w:color="auto" w:fill="D9D9D9" w:themeFill="background1" w:themeFillShade="D9"/>
            <w:vAlign w:val="center"/>
          </w:tcPr>
          <w:p w:rsidR="008850E7" w:rsidRPr="00451245" w:rsidRDefault="008850E7" w:rsidP="00284436">
            <w:pPr>
              <w:keepNext/>
              <w:jc w:val="center"/>
              <w:rPr>
                <w:rFonts w:asciiTheme="minorHAnsi" w:hAnsiTheme="minorHAnsi" w:cs="Arial"/>
                <w:b/>
                <w:sz w:val="22"/>
                <w:szCs w:val="22"/>
              </w:rPr>
            </w:pPr>
            <w:r w:rsidRPr="00451245">
              <w:rPr>
                <w:rFonts w:asciiTheme="minorHAnsi" w:hAnsiTheme="minorHAnsi" w:cs="Arial"/>
                <w:b/>
                <w:sz w:val="22"/>
                <w:szCs w:val="22"/>
              </w:rPr>
              <w:t>Bldg Vintage</w:t>
            </w:r>
          </w:p>
        </w:tc>
        <w:tc>
          <w:tcPr>
            <w:tcW w:w="1080" w:type="dxa"/>
            <w:shd w:val="clear" w:color="auto" w:fill="D9D9D9" w:themeFill="background1" w:themeFillShade="D9"/>
            <w:vAlign w:val="center"/>
          </w:tcPr>
          <w:p w:rsidR="008850E7" w:rsidRPr="00451245" w:rsidRDefault="008850E7" w:rsidP="00284436">
            <w:pPr>
              <w:keepNext/>
              <w:jc w:val="center"/>
              <w:rPr>
                <w:rFonts w:asciiTheme="minorHAnsi" w:hAnsiTheme="minorHAnsi" w:cs="Arial"/>
                <w:b/>
                <w:sz w:val="22"/>
                <w:szCs w:val="22"/>
              </w:rPr>
            </w:pPr>
            <w:r w:rsidRPr="00451245">
              <w:rPr>
                <w:rFonts w:asciiTheme="minorHAnsi" w:hAnsiTheme="minorHAnsi" w:cs="Arial"/>
                <w:b/>
                <w:sz w:val="22"/>
                <w:szCs w:val="22"/>
              </w:rPr>
              <w:t>Climate Zone</w:t>
            </w:r>
          </w:p>
        </w:tc>
        <w:tc>
          <w:tcPr>
            <w:tcW w:w="900" w:type="dxa"/>
            <w:shd w:val="clear" w:color="auto" w:fill="D9D9D9" w:themeFill="background1" w:themeFillShade="D9"/>
            <w:vAlign w:val="center"/>
          </w:tcPr>
          <w:p w:rsidR="008850E7" w:rsidRPr="00451245" w:rsidRDefault="008850E7" w:rsidP="00284436">
            <w:pPr>
              <w:keepNext/>
              <w:jc w:val="center"/>
              <w:rPr>
                <w:rFonts w:asciiTheme="minorHAnsi" w:hAnsiTheme="minorHAnsi" w:cs="Arial"/>
                <w:b/>
                <w:sz w:val="22"/>
                <w:szCs w:val="22"/>
              </w:rPr>
            </w:pPr>
            <w:r w:rsidRPr="00451245">
              <w:rPr>
                <w:rFonts w:asciiTheme="minorHAnsi" w:hAnsiTheme="minorHAnsi" w:cs="Arial"/>
                <w:b/>
                <w:sz w:val="22"/>
                <w:szCs w:val="22"/>
              </w:rPr>
              <w:t>Base Case</w:t>
            </w:r>
          </w:p>
        </w:tc>
        <w:tc>
          <w:tcPr>
            <w:tcW w:w="1170" w:type="dxa"/>
            <w:shd w:val="clear" w:color="auto" w:fill="D9D9D9" w:themeFill="background1" w:themeFillShade="D9"/>
            <w:vAlign w:val="center"/>
          </w:tcPr>
          <w:p w:rsidR="008850E7" w:rsidRPr="00451245" w:rsidRDefault="008850E7" w:rsidP="00284436">
            <w:pPr>
              <w:keepNext/>
              <w:jc w:val="center"/>
              <w:rPr>
                <w:rFonts w:asciiTheme="minorHAnsi" w:hAnsiTheme="minorHAnsi" w:cs="Arial"/>
                <w:b/>
                <w:sz w:val="22"/>
                <w:szCs w:val="22"/>
              </w:rPr>
            </w:pPr>
            <w:r w:rsidRPr="00451245">
              <w:rPr>
                <w:rFonts w:asciiTheme="minorHAnsi" w:hAnsiTheme="minorHAnsi" w:cs="Arial"/>
                <w:b/>
                <w:sz w:val="22"/>
                <w:szCs w:val="22"/>
              </w:rPr>
              <w:t>Measure Case</w:t>
            </w:r>
          </w:p>
        </w:tc>
        <w:tc>
          <w:tcPr>
            <w:tcW w:w="972" w:type="dxa"/>
            <w:shd w:val="clear" w:color="auto" w:fill="D9D9D9" w:themeFill="background1" w:themeFillShade="D9"/>
            <w:vAlign w:val="center"/>
          </w:tcPr>
          <w:p w:rsidR="008850E7" w:rsidRPr="00451245" w:rsidRDefault="008850E7" w:rsidP="00284436">
            <w:pPr>
              <w:keepNext/>
              <w:jc w:val="center"/>
              <w:rPr>
                <w:rFonts w:asciiTheme="minorHAnsi" w:hAnsiTheme="minorHAnsi" w:cs="Arial"/>
                <w:b/>
                <w:sz w:val="22"/>
                <w:szCs w:val="22"/>
              </w:rPr>
            </w:pPr>
            <w:r w:rsidRPr="00451245">
              <w:rPr>
                <w:rFonts w:asciiTheme="minorHAnsi" w:hAnsiTheme="minorHAnsi" w:cs="Arial"/>
                <w:b/>
                <w:sz w:val="22"/>
                <w:szCs w:val="22"/>
              </w:rPr>
              <w:t>IMC</w:t>
            </w:r>
          </w:p>
        </w:tc>
      </w:tr>
      <w:tr w:rsidR="008850E7" w:rsidRPr="00291BC9" w:rsidTr="008850E7">
        <w:trPr>
          <w:jc w:val="center"/>
        </w:trPr>
        <w:tc>
          <w:tcPr>
            <w:tcW w:w="1098"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EPr</w:t>
            </w:r>
          </w:p>
        </w:tc>
        <w:tc>
          <w:tcPr>
            <w:tcW w:w="1080"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080"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CZ07</w:t>
            </w:r>
          </w:p>
        </w:tc>
        <w:tc>
          <w:tcPr>
            <w:tcW w:w="900"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$0.00</w:t>
            </w:r>
          </w:p>
        </w:tc>
        <w:tc>
          <w:tcPr>
            <w:tcW w:w="1170"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$241.85</w:t>
            </w:r>
          </w:p>
        </w:tc>
        <w:tc>
          <w:tcPr>
            <w:tcW w:w="972"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$241.85</w:t>
            </w:r>
          </w:p>
        </w:tc>
      </w:tr>
      <w:tr w:rsidR="008850E7" w:rsidRPr="00291BC9" w:rsidTr="008850E7">
        <w:trPr>
          <w:trHeight w:val="953"/>
          <w:jc w:val="center"/>
        </w:trPr>
        <w:tc>
          <w:tcPr>
            <w:tcW w:w="1098"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EPr</w:t>
            </w:r>
          </w:p>
        </w:tc>
        <w:tc>
          <w:tcPr>
            <w:tcW w:w="1080"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080"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CZ10</w:t>
            </w:r>
          </w:p>
        </w:tc>
        <w:tc>
          <w:tcPr>
            <w:tcW w:w="900"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$0.00</w:t>
            </w:r>
          </w:p>
        </w:tc>
        <w:tc>
          <w:tcPr>
            <w:tcW w:w="1170"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$242.98</w:t>
            </w:r>
          </w:p>
        </w:tc>
        <w:tc>
          <w:tcPr>
            <w:tcW w:w="972"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$242.98</w:t>
            </w:r>
          </w:p>
        </w:tc>
      </w:tr>
      <w:tr w:rsidR="008850E7" w:rsidRPr="00291BC9" w:rsidTr="008850E7">
        <w:trPr>
          <w:jc w:val="center"/>
        </w:trPr>
        <w:tc>
          <w:tcPr>
            <w:tcW w:w="1098"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EPr</w:t>
            </w:r>
          </w:p>
        </w:tc>
        <w:tc>
          <w:tcPr>
            <w:tcW w:w="1080"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080"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CZ14</w:t>
            </w:r>
          </w:p>
        </w:tc>
        <w:tc>
          <w:tcPr>
            <w:tcW w:w="900"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$0.00</w:t>
            </w:r>
          </w:p>
        </w:tc>
        <w:tc>
          <w:tcPr>
            <w:tcW w:w="1170"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$241.34</w:t>
            </w:r>
          </w:p>
        </w:tc>
        <w:tc>
          <w:tcPr>
            <w:tcW w:w="972" w:type="dxa"/>
            <w:tcBorders>
              <w:bottom w:val="single" w:sz="4" w:space="0" w:color="auto"/>
            </w:tcBorders>
            <w:shd w:val="clear" w:color="auto" w:fill="auto"/>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$241.34</w:t>
            </w:r>
          </w:p>
        </w:tc>
      </w:tr>
      <w:tr w:rsidR="008850E7" w:rsidRPr="00291BC9" w:rsidTr="008850E7">
        <w:trPr>
          <w:jc w:val="center"/>
        </w:trPr>
        <w:tc>
          <w:tcPr>
            <w:tcW w:w="1098"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EPr</w:t>
            </w:r>
          </w:p>
        </w:tc>
        <w:tc>
          <w:tcPr>
            <w:tcW w:w="1080"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Ex</w:t>
            </w:r>
          </w:p>
        </w:tc>
        <w:tc>
          <w:tcPr>
            <w:tcW w:w="1080"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CZ15</w:t>
            </w:r>
          </w:p>
        </w:tc>
        <w:tc>
          <w:tcPr>
            <w:tcW w:w="900"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$0.00</w:t>
            </w:r>
          </w:p>
        </w:tc>
        <w:tc>
          <w:tcPr>
            <w:tcW w:w="1170"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$242.59</w:t>
            </w:r>
          </w:p>
        </w:tc>
        <w:tc>
          <w:tcPr>
            <w:tcW w:w="972" w:type="dxa"/>
            <w:shd w:val="clear" w:color="auto" w:fill="F2F2F2" w:themeFill="background1" w:themeFillShade="F2"/>
            <w:vAlign w:val="center"/>
          </w:tcPr>
          <w:p w:rsidR="008850E7" w:rsidRPr="00451245" w:rsidRDefault="008850E7" w:rsidP="00284436">
            <w:pPr>
              <w:jc w:val="center"/>
              <w:rPr>
                <w:rFonts w:asciiTheme="minorHAnsi" w:hAnsiTheme="minorHAnsi" w:cs="Arial"/>
                <w:sz w:val="22"/>
                <w:szCs w:val="22"/>
              </w:rPr>
            </w:pPr>
            <w:r w:rsidRPr="00451245">
              <w:rPr>
                <w:rFonts w:asciiTheme="minorHAnsi" w:hAnsiTheme="minorHAnsi" w:cs="Arial"/>
                <w:sz w:val="22"/>
                <w:szCs w:val="22"/>
              </w:rPr>
              <w:t>$242.59</w:t>
            </w:r>
          </w:p>
        </w:tc>
      </w:tr>
    </w:tbl>
    <w:p w:rsidR="00D8220B" w:rsidRDefault="00D8220B"/>
    <w:p w:rsidR="00881640" w:rsidRPr="008850E7" w:rsidRDefault="00881640" w:rsidP="00C218D5">
      <w:pPr>
        <w:pStyle w:val="Heading2"/>
        <w:rPr>
          <w:rFonts w:asciiTheme="minorHAnsi" w:hAnsiTheme="minorHAnsi"/>
          <w:i w:val="0"/>
        </w:rPr>
      </w:pPr>
      <w:r w:rsidRPr="008850E7">
        <w:rPr>
          <w:rFonts w:asciiTheme="minorHAnsi" w:hAnsiTheme="minorHAnsi"/>
          <w:i w:val="0"/>
        </w:rPr>
        <w:t>4.3.2 Incremental Measure Costs</w:t>
      </w:r>
      <w:bookmarkEnd w:id="71"/>
    </w:p>
    <w:p w:rsidR="00881640" w:rsidRPr="008850E7" w:rsidRDefault="00125CF7" w:rsidP="00864083">
      <w:pPr>
        <w:rPr>
          <w:rFonts w:asciiTheme="minorHAnsi" w:hAnsiTheme="minorHAnsi" w:cs="Arial"/>
          <w:sz w:val="22"/>
          <w:szCs w:val="22"/>
        </w:rPr>
      </w:pPr>
      <w:r w:rsidRPr="008850E7">
        <w:rPr>
          <w:rFonts w:asciiTheme="minorHAnsi" w:hAnsiTheme="minorHAnsi" w:cs="Arial"/>
          <w:sz w:val="22"/>
          <w:szCs w:val="22"/>
        </w:rPr>
        <w:t>Incremental Measure Cost is the premium cost to install an energy efficient measure over a standard efficiency measure or code baseline measure. While IMC has a straightforward definition depending on the Measure Application type, the equation does vary.</w:t>
      </w:r>
      <w:r w:rsidRPr="008850E7">
        <w:rPr>
          <w:rFonts w:asciiTheme="minorHAnsi" w:hAnsiTheme="minorHAnsi" w:cs="Arial"/>
          <w:sz w:val="22"/>
          <w:szCs w:val="22"/>
        </w:rPr>
        <w:br/>
      </w:r>
    </w:p>
    <w:p w:rsidR="00881640" w:rsidRPr="008850E7" w:rsidRDefault="00881640" w:rsidP="00864083">
      <w:pPr>
        <w:rPr>
          <w:rFonts w:asciiTheme="minorHAnsi" w:hAnsiTheme="minorHAnsi" w:cs="Arial"/>
          <w:sz w:val="22"/>
          <w:szCs w:val="22"/>
        </w:rPr>
      </w:pPr>
      <w:r w:rsidRPr="008850E7">
        <w:rPr>
          <w:rFonts w:asciiTheme="minorHAnsi" w:hAnsiTheme="minorHAnsi" w:cs="Arial"/>
          <w:sz w:val="22"/>
          <w:szCs w:val="22"/>
        </w:rPr>
        <w:t xml:space="preserve">This Measure Application Types is: </w:t>
      </w:r>
      <w:r w:rsidR="00D93F66" w:rsidRPr="008850E7">
        <w:rPr>
          <w:rFonts w:asciiTheme="minorHAnsi" w:hAnsiTheme="minorHAnsi" w:cs="Arial"/>
          <w:b/>
          <w:sz w:val="22"/>
          <w:szCs w:val="22"/>
        </w:rPr>
        <w:t>REA</w:t>
      </w:r>
      <w:r w:rsidRPr="008850E7">
        <w:rPr>
          <w:rFonts w:asciiTheme="minorHAnsi" w:hAnsiTheme="minorHAnsi" w:cs="Arial"/>
          <w:b/>
          <w:sz w:val="22"/>
          <w:szCs w:val="22"/>
        </w:rPr>
        <w:t>,</w:t>
      </w:r>
      <w:r w:rsidRPr="008850E7">
        <w:rPr>
          <w:rFonts w:asciiTheme="minorHAnsi" w:hAnsiTheme="minorHAnsi" w:cs="Arial"/>
          <w:sz w:val="22"/>
          <w:szCs w:val="22"/>
        </w:rPr>
        <w:t xml:space="preserve"> so the Incremental Measure Cost (IMC) is represented by the appropriate equation below:</w:t>
      </w:r>
    </w:p>
    <w:p w:rsidR="00881640" w:rsidRPr="008850E7" w:rsidRDefault="00881640" w:rsidP="00864083">
      <w:pPr>
        <w:rPr>
          <w:rFonts w:asciiTheme="minorHAnsi" w:hAnsiTheme="minorHAnsi" w:cs="Arial"/>
          <w:sz w:val="22"/>
          <w:szCs w:val="22"/>
        </w:rPr>
      </w:pPr>
    </w:p>
    <w:p w:rsidR="00881640" w:rsidRPr="008850E7" w:rsidRDefault="00881640" w:rsidP="00E63D45">
      <w:pPr>
        <w:ind w:firstLine="720"/>
        <w:rPr>
          <w:rFonts w:asciiTheme="minorHAnsi" w:hAnsiTheme="minorHAnsi" w:cs="Arial"/>
          <w:sz w:val="22"/>
          <w:szCs w:val="22"/>
        </w:rPr>
      </w:pPr>
      <w:r w:rsidRPr="008850E7">
        <w:rPr>
          <w:rFonts w:asciiTheme="minorHAnsi" w:hAnsiTheme="minorHAnsi" w:cs="Arial"/>
          <w:b/>
          <w:sz w:val="22"/>
          <w:szCs w:val="22"/>
        </w:rPr>
        <w:t>IMC</w:t>
      </w:r>
      <w:r w:rsidR="00E63D45" w:rsidRPr="008850E7">
        <w:rPr>
          <w:rFonts w:asciiTheme="minorHAnsi" w:hAnsiTheme="minorHAnsi" w:cs="Arial"/>
          <w:sz w:val="22"/>
          <w:szCs w:val="22"/>
        </w:rPr>
        <w:t xml:space="preserve"> = </w:t>
      </w:r>
      <w:r w:rsidRPr="008850E7">
        <w:rPr>
          <w:rFonts w:asciiTheme="minorHAnsi" w:hAnsiTheme="minorHAnsi" w:cs="Arial"/>
          <w:sz w:val="22"/>
          <w:szCs w:val="22"/>
        </w:rPr>
        <w:t>Measure Equipment Cost + Measure Labor Cost</w:t>
      </w:r>
    </w:p>
    <w:p w:rsidR="00D34F30" w:rsidRPr="008850E7" w:rsidRDefault="00D34F30">
      <w:pPr>
        <w:rPr>
          <w:rFonts w:asciiTheme="minorHAnsi" w:hAnsiTheme="minorHAnsi" w:cs="Arial"/>
          <w:b/>
          <w:sz w:val="22"/>
          <w:szCs w:val="22"/>
        </w:rPr>
      </w:pPr>
    </w:p>
    <w:p w:rsidR="00CF4313" w:rsidRPr="008850E7" w:rsidRDefault="00CF4313" w:rsidP="00CF4313">
      <w:pPr>
        <w:rPr>
          <w:rFonts w:asciiTheme="minorHAnsi" w:hAnsiTheme="minorHAnsi" w:cs="Arial"/>
          <w:b/>
          <w:sz w:val="22"/>
          <w:szCs w:val="22"/>
        </w:rPr>
      </w:pPr>
      <w:r w:rsidRPr="008850E7">
        <w:rPr>
          <w:rFonts w:asciiTheme="minorHAnsi" w:hAnsiTheme="minorHAnsi" w:cs="Arial"/>
          <w:b/>
          <w:sz w:val="22"/>
          <w:szCs w:val="22"/>
        </w:rPr>
        <w:t>Example:</w:t>
      </w:r>
    </w:p>
    <w:p w:rsidR="00AF3FFA" w:rsidRDefault="00CF4313" w:rsidP="00AF3FFA">
      <w:pPr>
        <w:ind w:firstLine="720"/>
        <w:rPr>
          <w:rFonts w:asciiTheme="minorHAnsi" w:hAnsiTheme="minorHAnsi" w:cs="Arial"/>
          <w:sz w:val="22"/>
          <w:szCs w:val="22"/>
        </w:rPr>
      </w:pPr>
      <w:r w:rsidRPr="008850E7">
        <w:rPr>
          <w:rFonts w:asciiTheme="minorHAnsi" w:hAnsiTheme="minorHAnsi" w:cs="Arial"/>
          <w:sz w:val="22"/>
          <w:szCs w:val="22"/>
        </w:rPr>
        <w:t xml:space="preserve">IMC </w:t>
      </w:r>
      <w:r w:rsidR="00E2085B" w:rsidRPr="008850E7">
        <w:rPr>
          <w:rFonts w:asciiTheme="minorHAnsi" w:hAnsiTheme="minorHAnsi" w:cs="Arial"/>
          <w:sz w:val="22"/>
          <w:szCs w:val="22"/>
        </w:rPr>
        <w:t xml:space="preserve">= </w:t>
      </w:r>
      <w:r w:rsidR="00AF3FFA" w:rsidRPr="008850E7">
        <w:rPr>
          <w:rFonts w:asciiTheme="minorHAnsi" w:hAnsiTheme="minorHAnsi" w:cs="Arial"/>
          <w:sz w:val="22"/>
          <w:szCs w:val="22"/>
        </w:rPr>
        <w:t xml:space="preserve">$80.00 </w:t>
      </w:r>
      <w:r w:rsidR="00E63D45" w:rsidRPr="008850E7">
        <w:rPr>
          <w:rFonts w:asciiTheme="minorHAnsi" w:hAnsiTheme="minorHAnsi" w:cs="Arial"/>
          <w:sz w:val="22"/>
          <w:szCs w:val="22"/>
        </w:rPr>
        <w:t>+ 62.92</w:t>
      </w:r>
      <w:r w:rsidR="00AF3FFA" w:rsidRPr="008850E7">
        <w:rPr>
          <w:rFonts w:asciiTheme="minorHAnsi" w:hAnsiTheme="minorHAnsi" w:cs="Arial"/>
          <w:sz w:val="22"/>
          <w:szCs w:val="22"/>
        </w:rPr>
        <w:t>/unit = $ 242.92/unit</w:t>
      </w:r>
    </w:p>
    <w:p w:rsidR="00B9722E" w:rsidRDefault="00B9722E" w:rsidP="00B9722E">
      <w:pPr>
        <w:pStyle w:val="Caption"/>
        <w:ind w:left="720"/>
        <w:jc w:val="center"/>
        <w:rPr>
          <w:rFonts w:asciiTheme="minorHAnsi" w:hAnsiTheme="minorHAnsi" w:cs="Arial"/>
          <w:sz w:val="22"/>
          <w:szCs w:val="22"/>
        </w:rPr>
      </w:pPr>
    </w:p>
    <w:p w:rsidR="00B9722E" w:rsidRPr="00D8220B" w:rsidRDefault="00B9722E" w:rsidP="00B9722E">
      <w:pPr>
        <w:pStyle w:val="Caption"/>
        <w:ind w:left="720"/>
        <w:jc w:val="center"/>
        <w:rPr>
          <w:rFonts w:asciiTheme="minorHAnsi" w:hAnsiTheme="minorHAnsi" w:cs="Arial"/>
          <w:sz w:val="22"/>
          <w:szCs w:val="22"/>
        </w:rPr>
      </w:pPr>
      <w:r w:rsidRPr="00451245">
        <w:rPr>
          <w:rFonts w:asciiTheme="minorHAnsi" w:hAnsiTheme="minorHAnsi" w:cs="Arial"/>
          <w:sz w:val="22"/>
          <w:szCs w:val="22"/>
        </w:rPr>
        <w:t xml:space="preserve">Table </w:t>
      </w:r>
      <w:r>
        <w:rPr>
          <w:rFonts w:asciiTheme="minorHAnsi" w:hAnsiTheme="minorHAnsi" w:cs="Arial"/>
          <w:sz w:val="22"/>
          <w:szCs w:val="22"/>
        </w:rPr>
        <w:t>22</w:t>
      </w:r>
      <w:r w:rsidRPr="00451245">
        <w:rPr>
          <w:rFonts w:asciiTheme="minorHAnsi" w:hAnsiTheme="minorHAnsi" w:cs="Arial"/>
          <w:sz w:val="22"/>
          <w:szCs w:val="22"/>
        </w:rPr>
        <w:t xml:space="preserve"> </w:t>
      </w:r>
      <w:r w:rsidRPr="00B9722E">
        <w:rPr>
          <w:rFonts w:asciiTheme="minorHAnsi" w:hAnsiTheme="minorHAnsi" w:cs="Arial"/>
          <w:b w:val="0"/>
          <w:sz w:val="22"/>
          <w:szCs w:val="22"/>
        </w:rPr>
        <w:fldChar w:fldCharType="begin"/>
      </w:r>
      <w:r w:rsidRPr="00B9722E">
        <w:rPr>
          <w:rFonts w:asciiTheme="minorHAnsi" w:hAnsiTheme="minorHAnsi"/>
          <w:b w:val="0"/>
          <w:sz w:val="22"/>
          <w:szCs w:val="22"/>
        </w:rPr>
        <w:instrText xml:space="preserve"> TC "</w:instrText>
      </w:r>
      <w:r w:rsidRPr="00B9722E">
        <w:rPr>
          <w:rFonts w:asciiTheme="minorHAnsi" w:hAnsiTheme="minorHAnsi" w:cs="Arial"/>
          <w:b w:val="0"/>
          <w:sz w:val="22"/>
          <w:szCs w:val="22"/>
        </w:rPr>
        <w:instrText>Table 3: TOU Adjustment Factors</w:instrText>
      </w:r>
      <w:r w:rsidRPr="00B9722E">
        <w:rPr>
          <w:rFonts w:asciiTheme="minorHAnsi" w:hAnsiTheme="minorHAnsi"/>
          <w:b w:val="0"/>
          <w:sz w:val="22"/>
          <w:szCs w:val="22"/>
        </w:rPr>
        <w:instrText xml:space="preserve">" \f C \l "1" </w:instrText>
      </w:r>
      <w:r w:rsidRPr="00B9722E">
        <w:rPr>
          <w:rFonts w:asciiTheme="minorHAnsi" w:hAnsiTheme="minorHAnsi" w:cs="Arial"/>
          <w:b w:val="0"/>
          <w:sz w:val="22"/>
          <w:szCs w:val="22"/>
        </w:rPr>
        <w:fldChar w:fldCharType="end"/>
      </w:r>
      <w:r>
        <w:rPr>
          <w:rFonts w:asciiTheme="minorHAnsi" w:hAnsiTheme="minorHAnsi" w:cs="Arial"/>
          <w:b w:val="0"/>
          <w:sz w:val="22"/>
          <w:szCs w:val="22"/>
        </w:rPr>
        <w:t>Incremental and Full Measure Costs</w:t>
      </w:r>
      <w:r w:rsidRPr="00D8220B">
        <w:rPr>
          <w:rFonts w:asciiTheme="minorHAnsi" w:hAnsiTheme="minorHAnsi" w:cs="Arial"/>
          <w:sz w:val="22"/>
          <w:szCs w:val="22"/>
        </w:rPr>
        <w:fldChar w:fldCharType="begin"/>
      </w:r>
      <w:r w:rsidRPr="00D8220B">
        <w:rPr>
          <w:rFonts w:asciiTheme="minorHAnsi" w:hAnsiTheme="minorHAnsi"/>
          <w:sz w:val="22"/>
          <w:szCs w:val="22"/>
        </w:rPr>
        <w:instrText xml:space="preserve"> TC "</w:instrText>
      </w:r>
      <w:r w:rsidRPr="00D8220B">
        <w:rPr>
          <w:rFonts w:asciiTheme="minorHAnsi" w:hAnsiTheme="minorHAnsi" w:cs="Arial"/>
          <w:sz w:val="22"/>
          <w:szCs w:val="22"/>
        </w:rPr>
        <w:instrText>Table 5: Building Types and Load Shapes</w:instrText>
      </w:r>
      <w:r w:rsidRPr="00D8220B">
        <w:rPr>
          <w:rFonts w:asciiTheme="minorHAnsi" w:hAnsiTheme="minorHAnsi"/>
          <w:sz w:val="22"/>
          <w:szCs w:val="22"/>
        </w:rPr>
        <w:instrText xml:space="preserve">" \f C \l "1" </w:instrText>
      </w:r>
      <w:r w:rsidRPr="00D8220B">
        <w:rPr>
          <w:rFonts w:asciiTheme="minorHAnsi" w:hAnsiTheme="minorHAnsi" w:cs="Arial"/>
          <w:sz w:val="22"/>
          <w:szCs w:val="22"/>
        </w:rPr>
        <w:fldChar w:fldCharType="end"/>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718"/>
        <w:gridCol w:w="1604"/>
        <w:gridCol w:w="1416"/>
        <w:gridCol w:w="1412"/>
        <w:gridCol w:w="1837"/>
      </w:tblGrid>
      <w:tr w:rsidR="00842157" w:rsidRPr="00561F79" w:rsidTr="008850E7">
        <w:trPr>
          <w:jc w:val="center"/>
        </w:trPr>
        <w:tc>
          <w:tcPr>
            <w:tcW w:w="769" w:type="pct"/>
            <w:shd w:val="clear" w:color="auto" w:fill="D9D9D9" w:themeFill="background1" w:themeFillShade="D9"/>
            <w:vAlign w:val="center"/>
          </w:tcPr>
          <w:p w:rsidR="00842157" w:rsidRPr="008850E7" w:rsidRDefault="00842157" w:rsidP="00561F79">
            <w:pPr>
              <w:jc w:val="center"/>
              <w:rPr>
                <w:rFonts w:asciiTheme="minorHAnsi" w:hAnsiTheme="minorHAnsi" w:cs="Arial"/>
                <w:b/>
                <w:sz w:val="22"/>
                <w:szCs w:val="22"/>
              </w:rPr>
            </w:pPr>
            <w:r w:rsidRPr="008850E7">
              <w:rPr>
                <w:rFonts w:asciiTheme="minorHAnsi" w:hAnsiTheme="minorHAnsi" w:cs="Arial"/>
                <w:b/>
                <w:sz w:val="22"/>
                <w:szCs w:val="22"/>
              </w:rPr>
              <w:t>Measure ID</w:t>
            </w:r>
          </w:p>
        </w:tc>
        <w:tc>
          <w:tcPr>
            <w:tcW w:w="910" w:type="pct"/>
            <w:shd w:val="clear" w:color="auto" w:fill="D9D9D9" w:themeFill="background1" w:themeFillShade="D9"/>
            <w:vAlign w:val="center"/>
          </w:tcPr>
          <w:p w:rsidR="00842157" w:rsidRPr="008850E7" w:rsidRDefault="00842157" w:rsidP="00561F79">
            <w:pPr>
              <w:jc w:val="center"/>
              <w:rPr>
                <w:rFonts w:asciiTheme="minorHAnsi" w:hAnsiTheme="minorHAnsi" w:cs="Arial"/>
                <w:b/>
                <w:sz w:val="22"/>
                <w:szCs w:val="22"/>
              </w:rPr>
            </w:pPr>
            <w:r w:rsidRPr="008850E7">
              <w:rPr>
                <w:rFonts w:asciiTheme="minorHAnsi" w:hAnsiTheme="minorHAnsi" w:cs="Arial"/>
                <w:b/>
                <w:sz w:val="22"/>
                <w:szCs w:val="22"/>
              </w:rPr>
              <w:t>Measure Application Types</w:t>
            </w:r>
          </w:p>
        </w:tc>
        <w:tc>
          <w:tcPr>
            <w:tcW w:w="850" w:type="pct"/>
            <w:shd w:val="clear" w:color="auto" w:fill="D9D9D9" w:themeFill="background1" w:themeFillShade="D9"/>
            <w:vAlign w:val="center"/>
          </w:tcPr>
          <w:p w:rsidR="00842157" w:rsidRPr="008850E7" w:rsidRDefault="00842157" w:rsidP="00561F79">
            <w:pPr>
              <w:jc w:val="center"/>
              <w:rPr>
                <w:rFonts w:asciiTheme="minorHAnsi" w:hAnsiTheme="minorHAnsi" w:cs="Arial"/>
                <w:b/>
                <w:sz w:val="22"/>
                <w:szCs w:val="22"/>
              </w:rPr>
            </w:pPr>
            <w:r w:rsidRPr="008850E7">
              <w:rPr>
                <w:rFonts w:asciiTheme="minorHAnsi" w:hAnsiTheme="minorHAnsi" w:cs="Arial"/>
                <w:b/>
                <w:sz w:val="22"/>
                <w:szCs w:val="22"/>
              </w:rPr>
              <w:t>Average Base</w:t>
            </w:r>
            <w:r w:rsidR="00A8217C" w:rsidRPr="008850E7">
              <w:rPr>
                <w:rFonts w:asciiTheme="minorHAnsi" w:hAnsiTheme="minorHAnsi" w:cs="Arial"/>
                <w:b/>
                <w:sz w:val="22"/>
                <w:szCs w:val="22"/>
              </w:rPr>
              <w:t xml:space="preserve"> </w:t>
            </w:r>
            <w:r w:rsidRPr="008850E7">
              <w:rPr>
                <w:rFonts w:asciiTheme="minorHAnsi" w:hAnsiTheme="minorHAnsi" w:cs="Arial"/>
                <w:b/>
                <w:sz w:val="22"/>
                <w:szCs w:val="22"/>
              </w:rPr>
              <w:t>Case Total Cost</w:t>
            </w:r>
          </w:p>
        </w:tc>
        <w:tc>
          <w:tcPr>
            <w:tcW w:w="750" w:type="pct"/>
            <w:shd w:val="clear" w:color="auto" w:fill="D9D9D9" w:themeFill="background1" w:themeFillShade="D9"/>
            <w:vAlign w:val="center"/>
          </w:tcPr>
          <w:p w:rsidR="00842157" w:rsidRPr="008850E7" w:rsidRDefault="00842157" w:rsidP="00561F79">
            <w:pPr>
              <w:jc w:val="center"/>
              <w:rPr>
                <w:rFonts w:asciiTheme="minorHAnsi" w:hAnsiTheme="minorHAnsi" w:cs="Arial"/>
                <w:b/>
                <w:sz w:val="22"/>
                <w:szCs w:val="22"/>
              </w:rPr>
            </w:pPr>
            <w:r w:rsidRPr="008850E7">
              <w:rPr>
                <w:rFonts w:asciiTheme="minorHAnsi" w:hAnsiTheme="minorHAnsi" w:cs="Arial"/>
                <w:b/>
                <w:sz w:val="22"/>
                <w:szCs w:val="22"/>
              </w:rPr>
              <w:t>Average Measure Case Total Cost</w:t>
            </w:r>
          </w:p>
        </w:tc>
        <w:tc>
          <w:tcPr>
            <w:tcW w:w="748" w:type="pct"/>
            <w:shd w:val="clear" w:color="auto" w:fill="D9D9D9" w:themeFill="background1" w:themeFillShade="D9"/>
            <w:vAlign w:val="center"/>
          </w:tcPr>
          <w:p w:rsidR="00842157" w:rsidRPr="008850E7" w:rsidRDefault="00842157" w:rsidP="00561F79">
            <w:pPr>
              <w:jc w:val="center"/>
              <w:rPr>
                <w:rFonts w:asciiTheme="minorHAnsi" w:hAnsiTheme="minorHAnsi" w:cs="Arial"/>
                <w:b/>
                <w:sz w:val="22"/>
                <w:szCs w:val="22"/>
              </w:rPr>
            </w:pPr>
            <w:r w:rsidRPr="008850E7">
              <w:rPr>
                <w:rFonts w:asciiTheme="minorHAnsi" w:hAnsiTheme="minorHAnsi" w:cs="Arial"/>
                <w:b/>
                <w:sz w:val="22"/>
                <w:szCs w:val="22"/>
              </w:rPr>
              <w:t>Average Gross Measure Case Cost</w:t>
            </w:r>
          </w:p>
        </w:tc>
        <w:tc>
          <w:tcPr>
            <w:tcW w:w="973" w:type="pct"/>
            <w:shd w:val="clear" w:color="auto" w:fill="D9D9D9" w:themeFill="background1" w:themeFillShade="D9"/>
            <w:vAlign w:val="center"/>
          </w:tcPr>
          <w:p w:rsidR="00842157" w:rsidRPr="008850E7" w:rsidRDefault="00842157" w:rsidP="00561F79">
            <w:pPr>
              <w:jc w:val="center"/>
              <w:rPr>
                <w:rFonts w:asciiTheme="minorHAnsi" w:hAnsiTheme="minorHAnsi" w:cs="Arial"/>
                <w:b/>
                <w:sz w:val="22"/>
                <w:szCs w:val="22"/>
              </w:rPr>
            </w:pPr>
            <w:r w:rsidRPr="008850E7">
              <w:rPr>
                <w:rFonts w:asciiTheme="minorHAnsi" w:hAnsiTheme="minorHAnsi" w:cs="Arial"/>
                <w:b/>
                <w:sz w:val="22"/>
                <w:szCs w:val="22"/>
              </w:rPr>
              <w:t>Average Incremental Measure Cost</w:t>
            </w:r>
          </w:p>
        </w:tc>
      </w:tr>
      <w:tr w:rsidR="00443230" w:rsidRPr="00561F79" w:rsidTr="00561F79">
        <w:trPr>
          <w:trHeight w:val="278"/>
          <w:jc w:val="center"/>
        </w:trPr>
        <w:tc>
          <w:tcPr>
            <w:tcW w:w="769" w:type="pct"/>
            <w:shd w:val="clear" w:color="auto" w:fill="auto"/>
            <w:vAlign w:val="center"/>
          </w:tcPr>
          <w:p w:rsidR="00443230" w:rsidRPr="008850E7" w:rsidRDefault="001B4497" w:rsidP="00561F79">
            <w:pPr>
              <w:rPr>
                <w:rFonts w:asciiTheme="minorHAnsi" w:hAnsiTheme="minorHAnsi" w:cs="Arial"/>
                <w:sz w:val="22"/>
                <w:szCs w:val="22"/>
              </w:rPr>
            </w:pPr>
            <w:r w:rsidRPr="008850E7">
              <w:rPr>
                <w:rFonts w:asciiTheme="minorHAnsi" w:hAnsiTheme="minorHAnsi" w:cs="Arial"/>
                <w:sz w:val="22"/>
                <w:szCs w:val="22"/>
              </w:rPr>
              <w:t>DM-XX</w:t>
            </w:r>
          </w:p>
        </w:tc>
        <w:tc>
          <w:tcPr>
            <w:tcW w:w="910" w:type="pct"/>
            <w:shd w:val="clear" w:color="auto" w:fill="auto"/>
            <w:vAlign w:val="center"/>
          </w:tcPr>
          <w:p w:rsidR="00443230" w:rsidRPr="008850E7" w:rsidRDefault="00E63D45" w:rsidP="00561F79">
            <w:pPr>
              <w:jc w:val="center"/>
              <w:rPr>
                <w:rFonts w:asciiTheme="minorHAnsi" w:hAnsiTheme="minorHAnsi" w:cs="Arial"/>
                <w:sz w:val="22"/>
                <w:szCs w:val="22"/>
              </w:rPr>
            </w:pPr>
            <w:r w:rsidRPr="008850E7">
              <w:rPr>
                <w:rFonts w:asciiTheme="minorHAnsi" w:hAnsiTheme="minorHAnsi" w:cs="Arial"/>
                <w:sz w:val="22"/>
                <w:szCs w:val="22"/>
              </w:rPr>
              <w:t>REA</w:t>
            </w:r>
          </w:p>
        </w:tc>
        <w:tc>
          <w:tcPr>
            <w:tcW w:w="850" w:type="pct"/>
            <w:shd w:val="clear" w:color="auto" w:fill="auto"/>
            <w:vAlign w:val="center"/>
          </w:tcPr>
          <w:p w:rsidR="00443230" w:rsidRPr="008850E7" w:rsidRDefault="00443230" w:rsidP="00E2085B">
            <w:pPr>
              <w:jc w:val="center"/>
              <w:rPr>
                <w:rFonts w:asciiTheme="minorHAnsi" w:hAnsiTheme="minorHAnsi" w:cs="Arial"/>
                <w:sz w:val="22"/>
                <w:szCs w:val="22"/>
              </w:rPr>
            </w:pPr>
            <w:r w:rsidRPr="008850E7">
              <w:rPr>
                <w:rFonts w:asciiTheme="minorHAnsi" w:hAnsiTheme="minorHAnsi" w:cs="Arial"/>
                <w:sz w:val="22"/>
                <w:szCs w:val="22"/>
              </w:rPr>
              <w:t>$</w:t>
            </w:r>
            <w:r w:rsidR="00E2085B" w:rsidRPr="008850E7">
              <w:rPr>
                <w:rFonts w:asciiTheme="minorHAnsi" w:hAnsiTheme="minorHAnsi" w:cs="Arial"/>
                <w:sz w:val="22"/>
                <w:szCs w:val="22"/>
              </w:rPr>
              <w:t>0.00</w:t>
            </w:r>
          </w:p>
        </w:tc>
        <w:tc>
          <w:tcPr>
            <w:tcW w:w="750" w:type="pct"/>
            <w:shd w:val="clear" w:color="auto" w:fill="auto"/>
            <w:vAlign w:val="center"/>
          </w:tcPr>
          <w:p w:rsidR="00443230" w:rsidRPr="008850E7" w:rsidRDefault="00443230" w:rsidP="00E2085B">
            <w:pPr>
              <w:jc w:val="center"/>
              <w:rPr>
                <w:rFonts w:asciiTheme="minorHAnsi" w:hAnsiTheme="minorHAnsi" w:cs="Arial"/>
                <w:sz w:val="22"/>
                <w:szCs w:val="22"/>
              </w:rPr>
            </w:pPr>
            <w:r w:rsidRPr="008850E7">
              <w:rPr>
                <w:rFonts w:asciiTheme="minorHAnsi" w:hAnsiTheme="minorHAnsi" w:cs="Arial"/>
                <w:sz w:val="22"/>
                <w:szCs w:val="22"/>
              </w:rPr>
              <w:t>$</w:t>
            </w:r>
            <w:r w:rsidR="00E2085B" w:rsidRPr="008850E7">
              <w:rPr>
                <w:rFonts w:asciiTheme="minorHAnsi" w:hAnsiTheme="minorHAnsi" w:cs="Arial"/>
                <w:sz w:val="22"/>
                <w:szCs w:val="22"/>
              </w:rPr>
              <w:t>242.94</w:t>
            </w:r>
          </w:p>
        </w:tc>
        <w:tc>
          <w:tcPr>
            <w:tcW w:w="748" w:type="pct"/>
            <w:shd w:val="clear" w:color="auto" w:fill="auto"/>
            <w:vAlign w:val="center"/>
          </w:tcPr>
          <w:p w:rsidR="00443230" w:rsidRPr="008850E7" w:rsidRDefault="00443230" w:rsidP="00E2085B">
            <w:pPr>
              <w:jc w:val="center"/>
              <w:rPr>
                <w:rFonts w:asciiTheme="minorHAnsi" w:hAnsiTheme="minorHAnsi" w:cs="Arial"/>
                <w:sz w:val="22"/>
                <w:szCs w:val="22"/>
              </w:rPr>
            </w:pPr>
            <w:r w:rsidRPr="008850E7">
              <w:rPr>
                <w:rFonts w:asciiTheme="minorHAnsi" w:hAnsiTheme="minorHAnsi" w:cs="Arial"/>
                <w:sz w:val="22"/>
                <w:szCs w:val="22"/>
              </w:rPr>
              <w:t>$</w:t>
            </w:r>
            <w:r w:rsidR="00E2085B" w:rsidRPr="008850E7">
              <w:rPr>
                <w:rFonts w:asciiTheme="minorHAnsi" w:hAnsiTheme="minorHAnsi" w:cs="Arial"/>
                <w:sz w:val="22"/>
                <w:szCs w:val="22"/>
              </w:rPr>
              <w:t>242.94</w:t>
            </w:r>
          </w:p>
        </w:tc>
        <w:tc>
          <w:tcPr>
            <w:tcW w:w="973" w:type="pct"/>
            <w:shd w:val="clear" w:color="auto" w:fill="auto"/>
            <w:vAlign w:val="center"/>
          </w:tcPr>
          <w:p w:rsidR="00443230" w:rsidRPr="008850E7" w:rsidRDefault="00443230" w:rsidP="00E2085B">
            <w:pPr>
              <w:jc w:val="center"/>
              <w:rPr>
                <w:rFonts w:asciiTheme="minorHAnsi" w:hAnsiTheme="minorHAnsi" w:cs="Arial"/>
                <w:sz w:val="22"/>
                <w:szCs w:val="22"/>
              </w:rPr>
            </w:pPr>
            <w:r w:rsidRPr="008850E7">
              <w:rPr>
                <w:rFonts w:asciiTheme="minorHAnsi" w:hAnsiTheme="minorHAnsi" w:cs="Arial"/>
                <w:sz w:val="22"/>
                <w:szCs w:val="22"/>
              </w:rPr>
              <w:t>$</w:t>
            </w:r>
            <w:r w:rsidR="00E2085B" w:rsidRPr="008850E7">
              <w:rPr>
                <w:rFonts w:asciiTheme="minorHAnsi" w:hAnsiTheme="minorHAnsi" w:cs="Arial"/>
                <w:sz w:val="22"/>
                <w:szCs w:val="22"/>
              </w:rPr>
              <w:t>242.94</w:t>
            </w:r>
          </w:p>
        </w:tc>
      </w:tr>
    </w:tbl>
    <w:p w:rsidR="00881640" w:rsidRPr="008850E7" w:rsidRDefault="00E2085B" w:rsidP="00864083">
      <w:pPr>
        <w:rPr>
          <w:rFonts w:asciiTheme="minorHAnsi" w:hAnsiTheme="minorHAnsi" w:cs="Arial"/>
          <w:i/>
          <w:sz w:val="22"/>
          <w:szCs w:val="22"/>
        </w:rPr>
      </w:pPr>
      <w:r w:rsidRPr="008850E7">
        <w:rPr>
          <w:rFonts w:asciiTheme="minorHAnsi" w:hAnsiTheme="minorHAnsi" w:cs="Arial"/>
          <w:i/>
          <w:sz w:val="22"/>
          <w:szCs w:val="22"/>
        </w:rPr>
        <w:t>All costs are noted as $ per unit</w:t>
      </w:r>
    </w:p>
    <w:bookmarkEnd w:id="69"/>
    <w:bookmarkEnd w:id="70"/>
    <w:p w:rsidR="00E63D45" w:rsidRDefault="00E63D45">
      <w:pPr>
        <w:rPr>
          <w:rFonts w:ascii="Arial" w:hAnsi="Arial" w:cs="Arial"/>
          <w:b/>
          <w:bCs/>
          <w:color w:val="FF0000"/>
          <w:kern w:val="32"/>
          <w:sz w:val="32"/>
          <w:szCs w:val="32"/>
        </w:rPr>
      </w:pPr>
      <w:r>
        <w:rPr>
          <w:color w:val="FF0000"/>
        </w:rPr>
        <w:br w:type="page"/>
      </w:r>
    </w:p>
    <w:p w:rsidR="00DA1D64" w:rsidRPr="00D8220B" w:rsidRDefault="00DA1D64" w:rsidP="00864083">
      <w:pPr>
        <w:pStyle w:val="Heading1"/>
        <w:spacing w:before="0" w:after="0"/>
        <w:rPr>
          <w:rFonts w:asciiTheme="minorHAnsi" w:hAnsiTheme="minorHAnsi"/>
        </w:rPr>
      </w:pPr>
      <w:bookmarkStart w:id="72" w:name="_Toc226364461"/>
      <w:bookmarkStart w:id="73" w:name="_Toc404765896"/>
      <w:r w:rsidRPr="00D8220B">
        <w:rPr>
          <w:rFonts w:asciiTheme="minorHAnsi" w:hAnsiTheme="minorHAnsi"/>
        </w:rPr>
        <w:lastRenderedPageBreak/>
        <w:t>References</w:t>
      </w:r>
      <w:bookmarkEnd w:id="72"/>
      <w:bookmarkEnd w:id="73"/>
    </w:p>
    <w:p w:rsidR="00051FC5" w:rsidRPr="0066794C" w:rsidRDefault="00051FC5" w:rsidP="00864083">
      <w:pPr>
        <w:rPr>
          <w:rFonts w:ascii="Arial" w:hAnsi="Arial" w:cs="Arial"/>
          <w:color w:val="FF0000"/>
        </w:rPr>
      </w:pPr>
    </w:p>
    <w:sectPr w:rsidR="00051FC5" w:rsidRPr="0066794C" w:rsidSect="006113A7">
      <w:footerReference w:type="default" r:id="rId15"/>
      <w:endnotePr>
        <w:numFmt w:val="decimal"/>
      </w:endnotePr>
      <w:type w:val="continuous"/>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029" w:rsidRDefault="00C10029">
      <w:r>
        <w:separator/>
      </w:r>
    </w:p>
  </w:endnote>
  <w:endnote w:type="continuationSeparator" w:id="0">
    <w:p w:rsidR="00C10029" w:rsidRDefault="00C10029">
      <w:r>
        <w:continuationSeparator/>
      </w:r>
    </w:p>
  </w:endnote>
  <w:endnote w:id="1">
    <w:p w:rsidR="00284436" w:rsidRPr="00D8220B" w:rsidRDefault="00284436">
      <w:pPr>
        <w:pStyle w:val="EndnoteText"/>
        <w:rPr>
          <w:rFonts w:asciiTheme="minorHAnsi" w:hAnsiTheme="minorHAnsi" w:cs="Arial"/>
          <w:sz w:val="22"/>
          <w:szCs w:val="22"/>
        </w:rPr>
      </w:pPr>
      <w:r w:rsidRPr="00D8220B">
        <w:rPr>
          <w:rStyle w:val="EndnoteReference"/>
          <w:rFonts w:asciiTheme="minorHAnsi" w:hAnsiTheme="minorHAnsi" w:cs="Arial"/>
          <w:sz w:val="22"/>
          <w:szCs w:val="22"/>
        </w:rPr>
        <w:endnoteRef/>
      </w:r>
      <w:r w:rsidRPr="00D8220B">
        <w:rPr>
          <w:rFonts w:asciiTheme="minorHAnsi" w:hAnsiTheme="minorHAnsi" w:cs="Arial"/>
          <w:sz w:val="22"/>
          <w:szCs w:val="22"/>
        </w:rPr>
        <w:t xml:space="preserve"> Appendix A – Energy and Cost Savings SDGE DM-XX</w:t>
      </w:r>
    </w:p>
    <w:p w:rsidR="00284436" w:rsidRPr="00D8220B" w:rsidRDefault="00284436">
      <w:pPr>
        <w:pStyle w:val="EndnoteText"/>
        <w:rPr>
          <w:rFonts w:asciiTheme="minorHAnsi" w:hAnsiTheme="minorHAnsi"/>
          <w:sz w:val="22"/>
          <w:szCs w:val="22"/>
        </w:rPr>
      </w:pPr>
    </w:p>
  </w:endnote>
  <w:endnote w:id="2">
    <w:p w:rsidR="00284436" w:rsidRPr="00D8220B" w:rsidRDefault="00284436">
      <w:pPr>
        <w:pStyle w:val="EndnoteText"/>
        <w:rPr>
          <w:rFonts w:asciiTheme="minorHAnsi" w:hAnsiTheme="minorHAnsi" w:cs="Arial"/>
          <w:sz w:val="22"/>
          <w:szCs w:val="22"/>
        </w:rPr>
      </w:pPr>
      <w:r w:rsidRPr="00D8220B">
        <w:rPr>
          <w:rStyle w:val="EndnoteReference"/>
          <w:rFonts w:asciiTheme="minorHAnsi" w:hAnsiTheme="minorHAnsi" w:cs="Arial"/>
          <w:sz w:val="22"/>
          <w:szCs w:val="22"/>
        </w:rPr>
        <w:endnoteRef/>
      </w:r>
      <w:r w:rsidRPr="00D8220B">
        <w:rPr>
          <w:rFonts w:asciiTheme="minorHAnsi" w:hAnsiTheme="minorHAnsi" w:cs="Arial"/>
          <w:sz w:val="22"/>
          <w:szCs w:val="22"/>
        </w:rPr>
        <w:t xml:space="preserve"> Appendix B – DEER Cost Data 2008</w:t>
      </w:r>
    </w:p>
    <w:p w:rsidR="00284436" w:rsidRPr="00D8220B" w:rsidRDefault="00284436">
      <w:pPr>
        <w:pStyle w:val="EndnoteText"/>
        <w:rPr>
          <w:rFonts w:asciiTheme="minorHAnsi" w:hAnsiTheme="minorHAnsi" w:cs="Arial"/>
          <w:sz w:val="22"/>
          <w:szCs w:val="22"/>
        </w:rPr>
      </w:pPr>
    </w:p>
  </w:endnote>
  <w:endnote w:id="3">
    <w:p w:rsidR="00284436" w:rsidRPr="00D8220B" w:rsidRDefault="00284436">
      <w:pPr>
        <w:pStyle w:val="EndnoteText"/>
        <w:rPr>
          <w:rFonts w:asciiTheme="minorHAnsi" w:hAnsiTheme="minorHAnsi" w:cs="Arial"/>
          <w:sz w:val="22"/>
          <w:szCs w:val="22"/>
        </w:rPr>
      </w:pPr>
      <w:r w:rsidRPr="00D8220B">
        <w:rPr>
          <w:rStyle w:val="EndnoteReference"/>
          <w:rFonts w:asciiTheme="minorHAnsi" w:hAnsiTheme="minorHAnsi" w:cs="Arial"/>
          <w:sz w:val="22"/>
          <w:szCs w:val="22"/>
        </w:rPr>
        <w:endnoteRef/>
      </w:r>
      <w:r w:rsidRPr="00D8220B">
        <w:rPr>
          <w:rFonts w:asciiTheme="minorHAnsi" w:hAnsiTheme="minorHAnsi" w:cs="Arial"/>
          <w:sz w:val="22"/>
          <w:szCs w:val="22"/>
        </w:rPr>
        <w:t xml:space="preserve"> Appendix C – EUL</w:t>
      </w:r>
      <w:r w:rsidRPr="00D8220B">
        <w:rPr>
          <w:rFonts w:asciiTheme="minorHAnsi" w:hAnsiTheme="minorHAnsi" w:cs="Arial"/>
          <w:sz w:val="22"/>
          <w:szCs w:val="22"/>
        </w:rPr>
        <w:fldChar w:fldCharType="begin"/>
      </w:r>
      <w:r w:rsidRPr="00D8220B">
        <w:rPr>
          <w:rFonts w:asciiTheme="minorHAnsi" w:hAnsiTheme="minorHAnsi" w:cs="Arial"/>
          <w:sz w:val="22"/>
          <w:szCs w:val="22"/>
        </w:rPr>
        <w:instrText xml:space="preserve"> XE "EUL" </w:instrText>
      </w:r>
      <w:r w:rsidRPr="00D8220B">
        <w:rPr>
          <w:rFonts w:asciiTheme="minorHAnsi" w:hAnsiTheme="minorHAnsi" w:cs="Arial"/>
          <w:sz w:val="22"/>
          <w:szCs w:val="22"/>
        </w:rPr>
        <w:fldChar w:fldCharType="end"/>
      </w:r>
      <w:r w:rsidRPr="00D8220B">
        <w:rPr>
          <w:rFonts w:asciiTheme="minorHAnsi" w:hAnsiTheme="minorHAnsi" w:cs="Arial"/>
          <w:sz w:val="22"/>
          <w:szCs w:val="22"/>
        </w:rPr>
        <w:t xml:space="preserve"> and RUL Data from DEER2014</w:t>
      </w:r>
    </w:p>
    <w:p w:rsidR="00284436" w:rsidRPr="00D8220B" w:rsidRDefault="00284436">
      <w:pPr>
        <w:pStyle w:val="EndnoteText"/>
        <w:rPr>
          <w:rFonts w:asciiTheme="minorHAnsi" w:hAnsiTheme="minorHAnsi" w:cs="Arial"/>
          <w:sz w:val="22"/>
          <w:szCs w:val="22"/>
        </w:rPr>
      </w:pPr>
    </w:p>
  </w:endnote>
  <w:endnote w:id="4">
    <w:p w:rsidR="00284436" w:rsidRPr="00D8220B" w:rsidRDefault="00284436">
      <w:pPr>
        <w:pStyle w:val="EndnoteText"/>
        <w:rPr>
          <w:rFonts w:asciiTheme="minorHAnsi" w:hAnsiTheme="minorHAnsi" w:cs="Arial"/>
          <w:sz w:val="22"/>
          <w:szCs w:val="22"/>
        </w:rPr>
      </w:pPr>
      <w:r w:rsidRPr="00D8220B">
        <w:rPr>
          <w:rStyle w:val="EndnoteReference"/>
          <w:rFonts w:asciiTheme="minorHAnsi" w:hAnsiTheme="minorHAnsi" w:cs="Arial"/>
          <w:sz w:val="22"/>
          <w:szCs w:val="22"/>
        </w:rPr>
        <w:endnoteRef/>
      </w:r>
      <w:r w:rsidRPr="00D8220B">
        <w:rPr>
          <w:rFonts w:asciiTheme="minorHAnsi" w:hAnsiTheme="minorHAnsi" w:cs="Arial"/>
          <w:sz w:val="22"/>
          <w:szCs w:val="22"/>
        </w:rPr>
        <w:t xml:space="preserve"> Appendix D – SDG&amp;E Pre-Inspection Form</w:t>
      </w:r>
    </w:p>
    <w:p w:rsidR="00284436" w:rsidRPr="00D8220B" w:rsidRDefault="00284436">
      <w:pPr>
        <w:pStyle w:val="EndnoteText"/>
        <w:rPr>
          <w:rFonts w:asciiTheme="minorHAnsi" w:hAnsiTheme="minorHAnsi" w:cs="Arial"/>
          <w:sz w:val="22"/>
          <w:szCs w:val="22"/>
        </w:rPr>
      </w:pPr>
    </w:p>
  </w:endnote>
  <w:endnote w:id="5">
    <w:p w:rsidR="00284436" w:rsidRPr="00D8220B" w:rsidRDefault="00284436" w:rsidP="005D1B20">
      <w:pPr>
        <w:pStyle w:val="EndnoteText"/>
        <w:rPr>
          <w:rFonts w:asciiTheme="minorHAnsi" w:hAnsiTheme="minorHAnsi" w:cs="Arial"/>
          <w:sz w:val="22"/>
          <w:szCs w:val="22"/>
        </w:rPr>
      </w:pPr>
      <w:r w:rsidRPr="00D8220B">
        <w:rPr>
          <w:rStyle w:val="EndnoteReference"/>
          <w:rFonts w:asciiTheme="minorHAnsi" w:hAnsiTheme="minorHAnsi" w:cs="Arial"/>
          <w:sz w:val="22"/>
          <w:szCs w:val="22"/>
        </w:rPr>
        <w:endnoteRef/>
      </w:r>
      <w:r w:rsidRPr="00D8220B">
        <w:rPr>
          <w:rFonts w:asciiTheme="minorHAnsi" w:hAnsiTheme="minorHAnsi" w:cs="Arial"/>
          <w:sz w:val="22"/>
          <w:szCs w:val="22"/>
        </w:rPr>
        <w:t xml:space="preserve"> Appendix E – CPUC Non-Res HVAC Disposition</w:t>
      </w:r>
    </w:p>
    <w:p w:rsidR="00284436" w:rsidRPr="00D8220B" w:rsidRDefault="00284436">
      <w:pPr>
        <w:pStyle w:val="EndnoteText"/>
        <w:rPr>
          <w:rFonts w:asciiTheme="minorHAnsi" w:hAnsiTheme="minorHAnsi" w:cs="Arial"/>
          <w:sz w:val="22"/>
          <w:szCs w:val="22"/>
        </w:rPr>
      </w:pPr>
    </w:p>
  </w:endnote>
  <w:endnote w:id="6">
    <w:p w:rsidR="00284436" w:rsidRPr="00D8220B" w:rsidRDefault="00284436" w:rsidP="009856A5">
      <w:pPr>
        <w:pStyle w:val="EndnoteText"/>
        <w:rPr>
          <w:rFonts w:asciiTheme="minorHAnsi" w:hAnsiTheme="minorHAnsi" w:cs="Arial"/>
          <w:i/>
          <w:sz w:val="22"/>
          <w:szCs w:val="22"/>
        </w:rPr>
      </w:pPr>
      <w:r w:rsidRPr="00D8220B">
        <w:rPr>
          <w:rStyle w:val="EndnoteReference"/>
          <w:rFonts w:asciiTheme="minorHAnsi" w:hAnsiTheme="minorHAnsi" w:cs="Arial"/>
          <w:sz w:val="22"/>
          <w:szCs w:val="22"/>
        </w:rPr>
        <w:endnoteRef/>
      </w:r>
      <w:r w:rsidRPr="00D8220B">
        <w:rPr>
          <w:rFonts w:asciiTheme="minorHAnsi" w:hAnsiTheme="minorHAnsi" w:cs="Arial"/>
          <w:sz w:val="22"/>
          <w:szCs w:val="22"/>
        </w:rPr>
        <w:t xml:space="preserve"> Appendix I – 2004-05 DEER Prototype Inputs</w:t>
      </w:r>
    </w:p>
    <w:p w:rsidR="00284436" w:rsidRPr="00D8220B" w:rsidRDefault="00284436" w:rsidP="009856A5">
      <w:pPr>
        <w:pStyle w:val="EndnoteText"/>
        <w:rPr>
          <w:rFonts w:asciiTheme="minorHAnsi" w:hAnsiTheme="minorHAnsi" w:cs="Arial"/>
          <w:sz w:val="22"/>
          <w:szCs w:val="22"/>
        </w:rPr>
      </w:pPr>
    </w:p>
  </w:endnote>
  <w:endnote w:id="7">
    <w:p w:rsidR="00284436" w:rsidRPr="00D8220B" w:rsidRDefault="00284436" w:rsidP="009856A5">
      <w:pPr>
        <w:pStyle w:val="EndnoteText"/>
        <w:rPr>
          <w:rFonts w:asciiTheme="minorHAnsi" w:hAnsiTheme="minorHAnsi" w:cs="Arial"/>
          <w:sz w:val="22"/>
          <w:szCs w:val="22"/>
        </w:rPr>
      </w:pPr>
      <w:r w:rsidRPr="00D8220B">
        <w:rPr>
          <w:rStyle w:val="EndnoteReference"/>
          <w:rFonts w:asciiTheme="minorHAnsi" w:hAnsiTheme="minorHAnsi" w:cs="Arial"/>
          <w:sz w:val="22"/>
          <w:szCs w:val="22"/>
        </w:rPr>
        <w:endnoteRef/>
      </w:r>
      <w:r w:rsidRPr="00D8220B">
        <w:rPr>
          <w:rFonts w:asciiTheme="minorHAnsi" w:hAnsiTheme="minorHAnsi" w:cs="Arial"/>
          <w:sz w:val="22"/>
          <w:szCs w:val="22"/>
        </w:rPr>
        <w:t xml:space="preserve"> California Weather Files for 16 Climate Zones </w:t>
      </w:r>
      <w:hyperlink r:id="rId1" w:history="1">
        <w:r w:rsidRPr="00D8220B">
          <w:rPr>
            <w:rStyle w:val="Hyperlink"/>
            <w:rFonts w:asciiTheme="minorHAnsi" w:hAnsiTheme="minorHAnsi" w:cs="Arial"/>
            <w:color w:val="auto"/>
            <w:sz w:val="22"/>
            <w:szCs w:val="22"/>
          </w:rPr>
          <w:t>http://apps1.eere.energy.gov/buildings/energyplus/cfm/weather_data3.cfm/region=4_north_and_central_america_wmo_region_4/country=2_california_climate_zones/cname=California%20Climate%20Zones</w:t>
        </w:r>
      </w:hyperlink>
      <w:r w:rsidRPr="00D8220B">
        <w:rPr>
          <w:rFonts w:asciiTheme="minorHAnsi" w:hAnsiTheme="minorHAnsi" w:cs="Arial"/>
          <w:sz w:val="22"/>
          <w:szCs w:val="22"/>
        </w:rPr>
        <w:br/>
      </w:r>
    </w:p>
  </w:endnote>
  <w:endnote w:id="8">
    <w:p w:rsidR="00284436" w:rsidRPr="00D8220B" w:rsidRDefault="00284436">
      <w:pPr>
        <w:pStyle w:val="EndnoteText"/>
        <w:rPr>
          <w:rFonts w:asciiTheme="minorHAnsi" w:hAnsiTheme="minorHAnsi" w:cs="Arial"/>
          <w:sz w:val="22"/>
          <w:szCs w:val="22"/>
        </w:rPr>
      </w:pPr>
      <w:r w:rsidRPr="00D8220B">
        <w:rPr>
          <w:rStyle w:val="EndnoteReference"/>
          <w:rFonts w:asciiTheme="minorHAnsi" w:hAnsiTheme="minorHAnsi" w:cs="Arial"/>
          <w:sz w:val="22"/>
          <w:szCs w:val="22"/>
        </w:rPr>
        <w:endnoteRef/>
      </w:r>
      <w:r w:rsidRPr="00D8220B">
        <w:rPr>
          <w:rFonts w:asciiTheme="minorHAnsi" w:hAnsiTheme="minorHAnsi" w:cs="Arial"/>
          <w:sz w:val="22"/>
          <w:szCs w:val="22"/>
        </w:rPr>
        <w:t xml:space="preserve"> Appendix J – DEER Population Weights</w:t>
      </w:r>
    </w:p>
    <w:p w:rsidR="00284436" w:rsidRDefault="00284436">
      <w:pPr>
        <w:pStyle w:val="EndnoteText"/>
        <w:rPr>
          <w:rFonts w:ascii="Arial" w:hAnsi="Arial" w:cs="Arial"/>
          <w:sz w:val="22"/>
          <w:szCs w:val="22"/>
        </w:rPr>
      </w:pPr>
    </w:p>
    <w:p w:rsidR="00284436" w:rsidRPr="009856A5" w:rsidRDefault="00284436" w:rsidP="00D96B43">
      <w:pPr>
        <w:jc w:val="center"/>
        <w:rPr>
          <w:rFonts w:asciiTheme="minorHAnsi" w:hAnsiTheme="minorHAnsi" w:cs="Arial"/>
          <w:b/>
          <w:sz w:val="22"/>
          <w:szCs w:val="22"/>
        </w:rPr>
      </w:pPr>
      <w:r w:rsidRPr="009856A5">
        <w:rPr>
          <w:rFonts w:asciiTheme="minorHAnsi" w:hAnsiTheme="minorHAnsi" w:cs="Arial"/>
          <w:b/>
          <w:sz w:val="22"/>
          <w:szCs w:val="22"/>
        </w:rPr>
        <w:t>Table 4 - Baseline by Measure Application Type</w:t>
      </w:r>
      <w:r w:rsidRPr="009856A5">
        <w:rPr>
          <w:rFonts w:asciiTheme="minorHAnsi" w:hAnsiTheme="minorHAnsi" w:cs="Arial"/>
          <w:b/>
          <w:sz w:val="22"/>
          <w:szCs w:val="22"/>
        </w:rPr>
        <w:fldChar w:fldCharType="begin"/>
      </w:r>
      <w:r w:rsidRPr="009856A5">
        <w:rPr>
          <w:rFonts w:asciiTheme="minorHAnsi" w:hAnsiTheme="minorHAnsi"/>
          <w:sz w:val="22"/>
          <w:szCs w:val="22"/>
        </w:rPr>
        <w:instrText xml:space="preserve"> TC "</w:instrText>
      </w:r>
      <w:bookmarkStart w:id="44" w:name="_Toc404765918"/>
      <w:r w:rsidRPr="009856A5">
        <w:rPr>
          <w:rFonts w:asciiTheme="minorHAnsi" w:hAnsiTheme="minorHAnsi" w:cs="Arial"/>
          <w:b/>
          <w:sz w:val="22"/>
          <w:szCs w:val="22"/>
        </w:rPr>
        <w:instrText>Table 4: Baseline by Measure Application Type</w:instrText>
      </w:r>
      <w:bookmarkEnd w:id="44"/>
      <w:r w:rsidRPr="009856A5">
        <w:rPr>
          <w:rFonts w:asciiTheme="minorHAnsi" w:hAnsiTheme="minorHAnsi"/>
          <w:sz w:val="22"/>
          <w:szCs w:val="22"/>
        </w:rPr>
        <w:instrText xml:space="preserve">" \f C \l "1" </w:instrText>
      </w:r>
      <w:r w:rsidRPr="009856A5">
        <w:rPr>
          <w:rFonts w:asciiTheme="minorHAnsi" w:hAnsiTheme="minorHAnsi" w:cs="Arial"/>
          <w:b/>
          <w:sz w:val="22"/>
          <w:szCs w:val="22"/>
        </w:rPr>
        <w:fldChar w:fldCharType="end"/>
      </w:r>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284436" w:rsidRPr="00F82E81" w:rsidTr="00284436">
        <w:trPr>
          <w:trHeight w:val="927"/>
        </w:trPr>
        <w:tc>
          <w:tcPr>
            <w:tcW w:w="2808" w:type="dxa"/>
            <w:tcBorders>
              <w:bottom w:val="single" w:sz="18" w:space="0" w:color="FFFFFF"/>
            </w:tcBorders>
            <w:shd w:val="clear" w:color="auto" w:fill="D9D9D9" w:themeFill="background1" w:themeFillShade="D9"/>
            <w:vAlign w:val="center"/>
          </w:tcPr>
          <w:p w:rsidR="00284436" w:rsidRPr="009856A5" w:rsidRDefault="00284436" w:rsidP="00284436">
            <w:pPr>
              <w:jc w:val="center"/>
              <w:rPr>
                <w:rStyle w:val="Strong"/>
                <w:rFonts w:asciiTheme="minorHAnsi" w:hAnsiTheme="minorHAnsi" w:cs="Arial"/>
                <w:iCs/>
                <w:sz w:val="20"/>
                <w:szCs w:val="20"/>
              </w:rPr>
            </w:pPr>
            <w:bookmarkStart w:id="45" w:name="_Toc373323392"/>
            <w:r w:rsidRPr="009856A5">
              <w:rPr>
                <w:rStyle w:val="Strong"/>
                <w:rFonts w:asciiTheme="minorHAnsi" w:hAnsiTheme="minorHAnsi" w:cs="Arial"/>
                <w:bCs w:val="0"/>
                <w:sz w:val="20"/>
                <w:szCs w:val="20"/>
              </w:rPr>
              <w:t>Measure Application Type</w:t>
            </w:r>
            <w:bookmarkEnd w:id="45"/>
          </w:p>
        </w:tc>
        <w:tc>
          <w:tcPr>
            <w:tcW w:w="1710" w:type="dxa"/>
            <w:tcBorders>
              <w:bottom w:val="single" w:sz="18" w:space="0" w:color="FFFFFF"/>
            </w:tcBorders>
            <w:shd w:val="clear" w:color="auto" w:fill="D9D9D9" w:themeFill="background1" w:themeFillShade="D9"/>
            <w:vAlign w:val="center"/>
          </w:tcPr>
          <w:p w:rsidR="00284436" w:rsidRPr="009856A5" w:rsidRDefault="00284436" w:rsidP="00284436">
            <w:pPr>
              <w:jc w:val="center"/>
              <w:rPr>
                <w:rStyle w:val="Strong"/>
                <w:rFonts w:asciiTheme="minorHAnsi" w:hAnsiTheme="minorHAnsi" w:cs="Arial"/>
                <w:sz w:val="20"/>
                <w:szCs w:val="20"/>
              </w:rPr>
            </w:pPr>
            <w:bookmarkStart w:id="46" w:name="_Toc373323393"/>
            <w:r w:rsidRPr="009856A5">
              <w:rPr>
                <w:rStyle w:val="Strong"/>
                <w:rFonts w:asciiTheme="minorHAnsi" w:hAnsiTheme="minorHAnsi" w:cs="Arial"/>
                <w:bCs w:val="0"/>
                <w:sz w:val="20"/>
                <w:szCs w:val="20"/>
              </w:rPr>
              <w:t>Measure Life Basis</w:t>
            </w:r>
            <w:bookmarkEnd w:id="46"/>
          </w:p>
        </w:tc>
        <w:tc>
          <w:tcPr>
            <w:tcW w:w="2790" w:type="dxa"/>
            <w:tcBorders>
              <w:bottom w:val="single" w:sz="18" w:space="0" w:color="FFFFFF"/>
            </w:tcBorders>
            <w:shd w:val="clear" w:color="auto" w:fill="D9D9D9" w:themeFill="background1" w:themeFillShade="D9"/>
            <w:vAlign w:val="center"/>
          </w:tcPr>
          <w:p w:rsidR="00284436" w:rsidRPr="009856A5" w:rsidRDefault="00284436" w:rsidP="00284436">
            <w:pPr>
              <w:jc w:val="center"/>
              <w:rPr>
                <w:rStyle w:val="Strong"/>
                <w:rFonts w:asciiTheme="minorHAnsi" w:hAnsiTheme="minorHAnsi" w:cs="Arial"/>
                <w:sz w:val="20"/>
                <w:szCs w:val="20"/>
              </w:rPr>
            </w:pPr>
            <w:bookmarkStart w:id="47" w:name="_Toc373323394"/>
            <w:r w:rsidRPr="009856A5">
              <w:rPr>
                <w:rStyle w:val="Strong"/>
                <w:rFonts w:asciiTheme="minorHAnsi" w:hAnsiTheme="minorHAnsi" w:cs="Arial"/>
                <w:bCs w:val="0"/>
                <w:sz w:val="20"/>
                <w:szCs w:val="20"/>
              </w:rPr>
              <w:t>First Baseline Period: Energy Savings Baseline</w:t>
            </w:r>
            <w:bookmarkEnd w:id="47"/>
          </w:p>
        </w:tc>
        <w:tc>
          <w:tcPr>
            <w:tcW w:w="2268" w:type="dxa"/>
            <w:tcBorders>
              <w:bottom w:val="single" w:sz="18" w:space="0" w:color="FFFFFF"/>
            </w:tcBorders>
            <w:shd w:val="clear" w:color="auto" w:fill="D9D9D9" w:themeFill="background1" w:themeFillShade="D9"/>
            <w:vAlign w:val="center"/>
          </w:tcPr>
          <w:p w:rsidR="00284436" w:rsidRPr="009856A5" w:rsidRDefault="00284436" w:rsidP="00284436">
            <w:pPr>
              <w:jc w:val="center"/>
              <w:rPr>
                <w:rStyle w:val="Strong"/>
                <w:rFonts w:asciiTheme="minorHAnsi" w:hAnsiTheme="minorHAnsi" w:cs="Arial"/>
                <w:sz w:val="20"/>
                <w:szCs w:val="20"/>
              </w:rPr>
            </w:pPr>
            <w:bookmarkStart w:id="48" w:name="_Toc373323395"/>
            <w:r w:rsidRPr="009856A5">
              <w:rPr>
                <w:rStyle w:val="Strong"/>
                <w:rFonts w:asciiTheme="minorHAnsi" w:hAnsiTheme="minorHAnsi" w:cs="Arial"/>
                <w:bCs w:val="0"/>
                <w:sz w:val="20"/>
                <w:szCs w:val="20"/>
              </w:rPr>
              <w:t>Second Baseline Period: Energy Savings Baseline</w:t>
            </w:r>
            <w:bookmarkEnd w:id="48"/>
          </w:p>
        </w:tc>
      </w:tr>
      <w:tr w:rsidR="00284436" w:rsidRPr="00F82E81" w:rsidTr="00284436">
        <w:tc>
          <w:tcPr>
            <w:tcW w:w="2808" w:type="dxa"/>
            <w:shd w:val="clear" w:color="000000" w:fill="F2F2F2" w:themeFill="background1" w:themeFillShade="F2"/>
            <w:vAlign w:val="bottom"/>
          </w:tcPr>
          <w:p w:rsidR="00284436" w:rsidRPr="009856A5" w:rsidRDefault="00284436" w:rsidP="00284436">
            <w:pPr>
              <w:spacing w:before="120" w:after="120"/>
              <w:jc w:val="center"/>
              <w:rPr>
                <w:rStyle w:val="Strong"/>
                <w:rFonts w:asciiTheme="minorHAnsi" w:hAnsiTheme="minorHAnsi" w:cs="Arial"/>
                <w:b w:val="0"/>
                <w:sz w:val="20"/>
                <w:szCs w:val="20"/>
              </w:rPr>
            </w:pPr>
            <w:bookmarkStart w:id="49" w:name="_Toc324318349"/>
            <w:r w:rsidRPr="009856A5">
              <w:rPr>
                <w:rStyle w:val="Strong"/>
                <w:rFonts w:asciiTheme="minorHAnsi" w:hAnsiTheme="minorHAnsi" w:cs="Arial"/>
                <w:i/>
                <w:sz w:val="20"/>
                <w:szCs w:val="20"/>
              </w:rPr>
              <w:t>ER</w:t>
            </w:r>
            <w:r w:rsidRPr="009856A5">
              <w:rPr>
                <w:rStyle w:val="Strong"/>
                <w:rFonts w:asciiTheme="minorHAnsi" w:hAnsiTheme="minorHAnsi" w:cs="Arial"/>
                <w:sz w:val="20"/>
                <w:szCs w:val="20"/>
              </w:rPr>
              <w:t xml:space="preserve"> </w:t>
            </w:r>
            <w:r w:rsidRPr="009856A5">
              <w:rPr>
                <w:rStyle w:val="Strong"/>
                <w:rFonts w:asciiTheme="minorHAnsi" w:hAnsiTheme="minorHAnsi" w:cs="Arial"/>
                <w:b w:val="0"/>
                <w:sz w:val="20"/>
                <w:szCs w:val="20"/>
              </w:rPr>
              <w:t>(early retirement)</w:t>
            </w:r>
            <w:bookmarkEnd w:id="49"/>
          </w:p>
        </w:tc>
        <w:tc>
          <w:tcPr>
            <w:tcW w:w="1710" w:type="dxa"/>
            <w:shd w:val="clear" w:color="000000" w:fill="F2F2F2" w:themeFill="background1" w:themeFillShade="F2"/>
            <w:vAlign w:val="bottom"/>
          </w:tcPr>
          <w:p w:rsidR="00284436" w:rsidRPr="009856A5" w:rsidRDefault="00284436" w:rsidP="00284436">
            <w:pPr>
              <w:spacing w:before="120" w:after="120"/>
              <w:jc w:val="center"/>
              <w:rPr>
                <w:rStyle w:val="Strong"/>
                <w:rFonts w:asciiTheme="minorHAnsi" w:hAnsiTheme="minorHAnsi" w:cs="Arial"/>
                <w:b w:val="0"/>
                <w:sz w:val="20"/>
                <w:szCs w:val="20"/>
              </w:rPr>
            </w:pPr>
            <w:r w:rsidRPr="009856A5">
              <w:rPr>
                <w:rStyle w:val="Strong"/>
                <w:rFonts w:asciiTheme="minorHAnsi" w:hAnsiTheme="minorHAnsi" w:cs="Arial"/>
                <w:b w:val="0"/>
                <w:sz w:val="20"/>
                <w:szCs w:val="20"/>
              </w:rPr>
              <w:t>RUL/EUL-RUL</w:t>
            </w:r>
          </w:p>
        </w:tc>
        <w:tc>
          <w:tcPr>
            <w:tcW w:w="2790" w:type="dxa"/>
            <w:shd w:val="clear" w:color="000000" w:fill="F2F2F2" w:themeFill="background1" w:themeFillShade="F2"/>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Customer Average Baseline</w:t>
            </w:r>
          </w:p>
        </w:tc>
        <w:tc>
          <w:tcPr>
            <w:tcW w:w="2268" w:type="dxa"/>
            <w:shd w:val="clear" w:color="000000" w:fill="F2F2F2" w:themeFill="background1" w:themeFillShade="F2"/>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Code Baseline</w:t>
            </w:r>
          </w:p>
        </w:tc>
      </w:tr>
      <w:tr w:rsidR="00284436" w:rsidRPr="00F82E81" w:rsidTr="00284436">
        <w:tc>
          <w:tcPr>
            <w:tcW w:w="2808" w:type="dxa"/>
            <w:tcBorders>
              <w:bottom w:val="single" w:sz="18" w:space="0" w:color="FFFFFF"/>
            </w:tcBorders>
            <w:shd w:val="pct20" w:color="000000" w:fill="FFFFFF"/>
            <w:vAlign w:val="bottom"/>
          </w:tcPr>
          <w:p w:rsidR="00284436" w:rsidRPr="009856A5" w:rsidRDefault="00284436" w:rsidP="00284436">
            <w:pPr>
              <w:spacing w:before="120" w:after="120"/>
              <w:jc w:val="center"/>
              <w:rPr>
                <w:rStyle w:val="Strong"/>
                <w:rFonts w:asciiTheme="minorHAnsi" w:hAnsiTheme="minorHAnsi" w:cs="Arial"/>
                <w:sz w:val="20"/>
                <w:szCs w:val="20"/>
              </w:rPr>
            </w:pPr>
            <w:r w:rsidRPr="009856A5">
              <w:rPr>
                <w:rStyle w:val="Strong"/>
                <w:rFonts w:asciiTheme="minorHAnsi" w:hAnsiTheme="minorHAnsi" w:cs="Arial"/>
                <w:i/>
                <w:sz w:val="20"/>
                <w:szCs w:val="20"/>
              </w:rPr>
              <w:t>ROB</w:t>
            </w:r>
            <w:r w:rsidRPr="009856A5">
              <w:rPr>
                <w:rStyle w:val="Strong"/>
                <w:rFonts w:asciiTheme="minorHAnsi" w:hAnsiTheme="minorHAnsi" w:cs="Arial"/>
                <w:b w:val="0"/>
                <w:sz w:val="20"/>
                <w:szCs w:val="20"/>
              </w:rPr>
              <w:t xml:space="preserve"> (Replace on Burnout</w:t>
            </w:r>
            <w:r w:rsidRPr="009856A5">
              <w:rPr>
                <w:rStyle w:val="Strong"/>
                <w:rFonts w:asciiTheme="minorHAnsi" w:hAnsiTheme="minorHAnsi" w:cs="Arial"/>
                <w:b w:val="0"/>
                <w:sz w:val="20"/>
                <w:szCs w:val="20"/>
              </w:rPr>
              <w:fldChar w:fldCharType="begin"/>
            </w:r>
            <w:r w:rsidRPr="009856A5">
              <w:rPr>
                <w:rFonts w:asciiTheme="minorHAnsi" w:hAnsiTheme="minorHAnsi" w:cs="Arial"/>
                <w:sz w:val="20"/>
                <w:szCs w:val="20"/>
              </w:rPr>
              <w:instrText xml:space="preserve"> XE "</w:instrText>
            </w:r>
            <w:r w:rsidRPr="009856A5">
              <w:rPr>
                <w:rStyle w:val="Strong"/>
                <w:rFonts w:asciiTheme="minorHAnsi" w:hAnsiTheme="minorHAnsi" w:cs="Arial"/>
                <w:b w:val="0"/>
                <w:sz w:val="20"/>
                <w:szCs w:val="20"/>
              </w:rPr>
              <w:instrText>Replace on Burnout</w:instrText>
            </w:r>
            <w:r w:rsidRPr="009856A5">
              <w:rPr>
                <w:rFonts w:asciiTheme="minorHAnsi" w:hAnsiTheme="minorHAnsi" w:cs="Arial"/>
                <w:sz w:val="20"/>
                <w:szCs w:val="20"/>
              </w:rPr>
              <w:instrText xml:space="preserve">" </w:instrText>
            </w:r>
            <w:r w:rsidRPr="009856A5">
              <w:rPr>
                <w:rStyle w:val="Strong"/>
                <w:rFonts w:asciiTheme="minorHAnsi" w:hAnsiTheme="minorHAnsi" w:cs="Arial"/>
                <w:b w:val="0"/>
                <w:sz w:val="20"/>
                <w:szCs w:val="20"/>
              </w:rPr>
              <w:fldChar w:fldCharType="end"/>
            </w:r>
            <w:r w:rsidRPr="009856A5">
              <w:rPr>
                <w:rStyle w:val="Strong"/>
                <w:rFonts w:asciiTheme="minorHAnsi" w:hAnsiTheme="minorHAnsi" w:cs="Arial"/>
                <w:b w:val="0"/>
                <w:sz w:val="20"/>
                <w:szCs w:val="20"/>
              </w:rPr>
              <w:t xml:space="preserve">) </w:t>
            </w:r>
          </w:p>
        </w:tc>
        <w:tc>
          <w:tcPr>
            <w:tcW w:w="1710" w:type="dxa"/>
            <w:tcBorders>
              <w:bottom w:val="single" w:sz="18" w:space="0" w:color="FFFFFF"/>
            </w:tcBorders>
            <w:shd w:val="pct20" w:color="000000" w:fill="FFFFFF"/>
            <w:vAlign w:val="bottom"/>
          </w:tcPr>
          <w:p w:rsidR="00284436" w:rsidRPr="009856A5" w:rsidRDefault="00284436" w:rsidP="00284436">
            <w:pPr>
              <w:spacing w:before="120" w:after="120"/>
              <w:jc w:val="center"/>
              <w:rPr>
                <w:rStyle w:val="Strong"/>
                <w:rFonts w:asciiTheme="minorHAnsi" w:hAnsiTheme="minorHAnsi" w:cs="Arial"/>
                <w:sz w:val="20"/>
                <w:szCs w:val="20"/>
              </w:rPr>
            </w:pPr>
            <w:r w:rsidRPr="009856A5">
              <w:rPr>
                <w:rStyle w:val="Strong"/>
                <w:rFonts w:asciiTheme="minorHAnsi" w:hAnsiTheme="minorHAnsi" w:cs="Arial"/>
                <w:b w:val="0"/>
                <w:sz w:val="20"/>
                <w:szCs w:val="20"/>
              </w:rPr>
              <w:t>EUL</w:t>
            </w:r>
          </w:p>
        </w:tc>
        <w:tc>
          <w:tcPr>
            <w:tcW w:w="2790" w:type="dxa"/>
            <w:tcBorders>
              <w:bottom w:val="single" w:sz="18" w:space="0" w:color="FFFFFF"/>
            </w:tcBorders>
            <w:shd w:val="pct20" w:color="000000" w:fill="FFFFFF"/>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Code Baseline</w:t>
            </w:r>
          </w:p>
        </w:tc>
        <w:tc>
          <w:tcPr>
            <w:tcW w:w="2268" w:type="dxa"/>
            <w:tcBorders>
              <w:bottom w:val="single" w:sz="18" w:space="0" w:color="FFFFFF"/>
            </w:tcBorders>
            <w:shd w:val="pct20" w:color="000000" w:fill="FFFFFF"/>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N/A</w:t>
            </w:r>
          </w:p>
        </w:tc>
      </w:tr>
      <w:tr w:rsidR="00284436" w:rsidRPr="00F82E81" w:rsidTr="00284436">
        <w:tc>
          <w:tcPr>
            <w:tcW w:w="2808" w:type="dxa"/>
            <w:shd w:val="clear" w:color="000000" w:fill="F2F2F2" w:themeFill="background1" w:themeFillShade="F2"/>
            <w:vAlign w:val="bottom"/>
          </w:tcPr>
          <w:p w:rsidR="00284436" w:rsidRPr="009856A5" w:rsidRDefault="00284436" w:rsidP="00284436">
            <w:pPr>
              <w:spacing w:before="120" w:after="120"/>
              <w:jc w:val="center"/>
              <w:rPr>
                <w:rStyle w:val="Strong"/>
                <w:rFonts w:asciiTheme="minorHAnsi" w:hAnsiTheme="minorHAnsi" w:cs="Arial"/>
                <w:i/>
                <w:sz w:val="20"/>
                <w:szCs w:val="20"/>
              </w:rPr>
            </w:pPr>
            <w:r w:rsidRPr="009856A5">
              <w:rPr>
                <w:rStyle w:val="Strong"/>
                <w:rFonts w:asciiTheme="minorHAnsi" w:hAnsiTheme="minorHAnsi" w:cs="Arial"/>
                <w:i/>
                <w:sz w:val="20"/>
                <w:szCs w:val="20"/>
              </w:rPr>
              <w:t>NR</w:t>
            </w:r>
            <w:r w:rsidRPr="009856A5">
              <w:rPr>
                <w:rStyle w:val="Strong"/>
                <w:rFonts w:asciiTheme="minorHAnsi" w:hAnsiTheme="minorHAnsi" w:cs="Arial"/>
                <w:b w:val="0"/>
                <w:sz w:val="20"/>
                <w:szCs w:val="20"/>
              </w:rPr>
              <w:t xml:space="preserve"> (Normal Replacement</w:t>
            </w:r>
          </w:p>
        </w:tc>
        <w:tc>
          <w:tcPr>
            <w:tcW w:w="1710" w:type="dxa"/>
            <w:shd w:val="clear" w:color="000000" w:fill="F2F2F2" w:themeFill="background1" w:themeFillShade="F2"/>
            <w:vAlign w:val="bottom"/>
          </w:tcPr>
          <w:p w:rsidR="00284436" w:rsidRPr="009856A5" w:rsidRDefault="00284436" w:rsidP="00284436">
            <w:pPr>
              <w:spacing w:before="120" w:after="120"/>
              <w:jc w:val="center"/>
              <w:rPr>
                <w:rStyle w:val="Strong"/>
                <w:rFonts w:asciiTheme="minorHAnsi" w:hAnsiTheme="minorHAnsi" w:cs="Arial"/>
                <w:sz w:val="20"/>
                <w:szCs w:val="20"/>
              </w:rPr>
            </w:pPr>
            <w:r w:rsidRPr="009856A5">
              <w:rPr>
                <w:rStyle w:val="Strong"/>
                <w:rFonts w:asciiTheme="minorHAnsi" w:hAnsiTheme="minorHAnsi" w:cs="Arial"/>
                <w:b w:val="0"/>
                <w:sz w:val="20"/>
                <w:szCs w:val="20"/>
              </w:rPr>
              <w:t>EUL</w:t>
            </w:r>
          </w:p>
        </w:tc>
        <w:tc>
          <w:tcPr>
            <w:tcW w:w="2790" w:type="dxa"/>
            <w:shd w:val="clear" w:color="000000" w:fill="F2F2F2" w:themeFill="background1" w:themeFillShade="F2"/>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Code Baseline</w:t>
            </w:r>
          </w:p>
        </w:tc>
        <w:tc>
          <w:tcPr>
            <w:tcW w:w="2268" w:type="dxa"/>
            <w:shd w:val="clear" w:color="000000" w:fill="F2F2F2" w:themeFill="background1" w:themeFillShade="F2"/>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N/A</w:t>
            </w:r>
          </w:p>
        </w:tc>
      </w:tr>
      <w:tr w:rsidR="00284436" w:rsidRPr="00F82E81" w:rsidTr="00284436">
        <w:tc>
          <w:tcPr>
            <w:tcW w:w="2808" w:type="dxa"/>
            <w:tcBorders>
              <w:bottom w:val="single" w:sz="18" w:space="0" w:color="FFFFFF"/>
            </w:tcBorders>
            <w:shd w:val="pct20" w:color="000000" w:fill="FFFFFF"/>
            <w:vAlign w:val="bottom"/>
          </w:tcPr>
          <w:p w:rsidR="00284436" w:rsidRPr="009856A5" w:rsidRDefault="00284436" w:rsidP="00284436">
            <w:pPr>
              <w:spacing w:before="120" w:after="120"/>
              <w:jc w:val="center"/>
              <w:rPr>
                <w:rStyle w:val="Strong"/>
                <w:rFonts w:asciiTheme="minorHAnsi" w:hAnsiTheme="minorHAnsi" w:cs="Arial"/>
                <w:sz w:val="20"/>
                <w:szCs w:val="20"/>
              </w:rPr>
            </w:pPr>
            <w:r w:rsidRPr="009856A5">
              <w:rPr>
                <w:rStyle w:val="Strong"/>
                <w:rFonts w:asciiTheme="minorHAnsi" w:hAnsiTheme="minorHAnsi" w:cs="Arial"/>
                <w:sz w:val="20"/>
                <w:szCs w:val="20"/>
              </w:rPr>
              <w:t>REA</w:t>
            </w:r>
            <w:r w:rsidRPr="009856A5">
              <w:rPr>
                <w:rStyle w:val="Strong"/>
                <w:rFonts w:asciiTheme="minorHAnsi" w:hAnsiTheme="minorHAnsi" w:cs="Arial"/>
                <w:b w:val="0"/>
                <w:sz w:val="20"/>
                <w:szCs w:val="20"/>
              </w:rPr>
              <w:t xml:space="preserve"> (Retrofit Add-On)</w:t>
            </w:r>
          </w:p>
        </w:tc>
        <w:tc>
          <w:tcPr>
            <w:tcW w:w="1710" w:type="dxa"/>
            <w:tcBorders>
              <w:bottom w:val="single" w:sz="18" w:space="0" w:color="FFFFFF"/>
            </w:tcBorders>
            <w:shd w:val="pct20" w:color="000000" w:fill="FFFFFF"/>
            <w:vAlign w:val="bottom"/>
          </w:tcPr>
          <w:p w:rsidR="00284436" w:rsidRPr="009856A5" w:rsidRDefault="00284436" w:rsidP="00284436">
            <w:pPr>
              <w:spacing w:before="120" w:after="120"/>
              <w:jc w:val="center"/>
              <w:rPr>
                <w:rStyle w:val="Strong"/>
                <w:rFonts w:asciiTheme="minorHAnsi" w:hAnsiTheme="minorHAnsi" w:cs="Arial"/>
                <w:b w:val="0"/>
                <w:sz w:val="20"/>
                <w:szCs w:val="20"/>
              </w:rPr>
            </w:pPr>
            <w:r w:rsidRPr="009856A5">
              <w:rPr>
                <w:rStyle w:val="Strong"/>
                <w:rFonts w:asciiTheme="minorHAnsi" w:hAnsiTheme="minorHAnsi" w:cs="Arial"/>
                <w:b w:val="0"/>
                <w:sz w:val="20"/>
                <w:szCs w:val="20"/>
              </w:rPr>
              <w:t>EUL</w:t>
            </w:r>
          </w:p>
        </w:tc>
        <w:tc>
          <w:tcPr>
            <w:tcW w:w="2790" w:type="dxa"/>
            <w:tcBorders>
              <w:bottom w:val="single" w:sz="18" w:space="0" w:color="FFFFFF"/>
            </w:tcBorders>
            <w:shd w:val="pct20" w:color="000000" w:fill="FFFFFF"/>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Existing Baseline</w:t>
            </w:r>
          </w:p>
        </w:tc>
        <w:tc>
          <w:tcPr>
            <w:tcW w:w="2268" w:type="dxa"/>
            <w:tcBorders>
              <w:bottom w:val="single" w:sz="18" w:space="0" w:color="FFFFFF"/>
            </w:tcBorders>
            <w:shd w:val="pct20" w:color="000000" w:fill="FFFFFF"/>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Code Baseline</w:t>
            </w:r>
          </w:p>
        </w:tc>
      </w:tr>
      <w:tr w:rsidR="00284436" w:rsidRPr="00F82E81" w:rsidTr="00284436">
        <w:tc>
          <w:tcPr>
            <w:tcW w:w="2808" w:type="dxa"/>
            <w:shd w:val="clear" w:color="000000" w:fill="F2F2F2" w:themeFill="background1" w:themeFillShade="F2"/>
            <w:vAlign w:val="bottom"/>
          </w:tcPr>
          <w:p w:rsidR="00284436" w:rsidRPr="009856A5" w:rsidRDefault="00284436" w:rsidP="00284436">
            <w:pPr>
              <w:spacing w:before="120" w:after="120"/>
              <w:jc w:val="center"/>
              <w:rPr>
                <w:rStyle w:val="Strong"/>
                <w:rFonts w:asciiTheme="minorHAnsi" w:hAnsiTheme="minorHAnsi" w:cs="Arial"/>
                <w:sz w:val="20"/>
                <w:szCs w:val="20"/>
              </w:rPr>
            </w:pPr>
            <w:r w:rsidRPr="009856A5">
              <w:rPr>
                <w:rStyle w:val="Strong"/>
                <w:rFonts w:asciiTheme="minorHAnsi" w:hAnsiTheme="minorHAnsi" w:cs="Arial"/>
                <w:i/>
                <w:sz w:val="20"/>
                <w:szCs w:val="20"/>
              </w:rPr>
              <w:t>NC</w:t>
            </w:r>
            <w:r w:rsidRPr="009856A5">
              <w:rPr>
                <w:rStyle w:val="Strong"/>
                <w:rFonts w:asciiTheme="minorHAnsi" w:hAnsiTheme="minorHAnsi" w:cs="Arial"/>
                <w:b w:val="0"/>
                <w:sz w:val="20"/>
                <w:szCs w:val="20"/>
              </w:rPr>
              <w:t xml:space="preserve"> (New Construction</w:t>
            </w:r>
            <w:r w:rsidRPr="009856A5">
              <w:rPr>
                <w:rStyle w:val="Strong"/>
                <w:rFonts w:asciiTheme="minorHAnsi" w:hAnsiTheme="minorHAnsi" w:cs="Arial"/>
                <w:b w:val="0"/>
                <w:sz w:val="20"/>
                <w:szCs w:val="20"/>
              </w:rPr>
              <w:fldChar w:fldCharType="begin"/>
            </w:r>
            <w:r w:rsidRPr="009856A5">
              <w:rPr>
                <w:rFonts w:asciiTheme="minorHAnsi" w:hAnsiTheme="minorHAnsi" w:cs="Arial"/>
                <w:sz w:val="20"/>
                <w:szCs w:val="20"/>
              </w:rPr>
              <w:instrText xml:space="preserve"> XE "N</w:instrText>
            </w:r>
            <w:r w:rsidRPr="009856A5">
              <w:rPr>
                <w:rStyle w:val="Strong"/>
                <w:rFonts w:asciiTheme="minorHAnsi" w:hAnsiTheme="minorHAnsi" w:cs="Arial"/>
                <w:b w:val="0"/>
                <w:sz w:val="20"/>
                <w:szCs w:val="20"/>
              </w:rPr>
              <w:instrText>ew Construction</w:instrText>
            </w:r>
            <w:r w:rsidRPr="009856A5">
              <w:rPr>
                <w:rFonts w:asciiTheme="minorHAnsi" w:hAnsiTheme="minorHAnsi" w:cs="Arial"/>
                <w:sz w:val="20"/>
                <w:szCs w:val="20"/>
              </w:rPr>
              <w:instrText xml:space="preserve">" </w:instrText>
            </w:r>
            <w:r w:rsidRPr="009856A5">
              <w:rPr>
                <w:rStyle w:val="Strong"/>
                <w:rFonts w:asciiTheme="minorHAnsi" w:hAnsiTheme="minorHAnsi" w:cs="Arial"/>
                <w:b w:val="0"/>
                <w:sz w:val="20"/>
                <w:szCs w:val="20"/>
              </w:rPr>
              <w:fldChar w:fldCharType="end"/>
            </w:r>
            <w:r w:rsidRPr="009856A5">
              <w:rPr>
                <w:rStyle w:val="Strong"/>
                <w:rFonts w:asciiTheme="minorHAnsi" w:hAnsiTheme="minorHAnsi" w:cs="Arial"/>
                <w:b w:val="0"/>
                <w:sz w:val="20"/>
                <w:szCs w:val="20"/>
              </w:rPr>
              <w:t>)</w:t>
            </w:r>
          </w:p>
        </w:tc>
        <w:tc>
          <w:tcPr>
            <w:tcW w:w="1710" w:type="dxa"/>
            <w:shd w:val="clear" w:color="000000" w:fill="F2F2F2" w:themeFill="background1" w:themeFillShade="F2"/>
            <w:vAlign w:val="bottom"/>
          </w:tcPr>
          <w:p w:rsidR="00284436" w:rsidRPr="009856A5" w:rsidRDefault="00284436" w:rsidP="00284436">
            <w:pPr>
              <w:spacing w:before="120" w:after="120"/>
              <w:jc w:val="center"/>
              <w:rPr>
                <w:rStyle w:val="Strong"/>
                <w:rFonts w:asciiTheme="minorHAnsi" w:hAnsiTheme="minorHAnsi" w:cs="Arial"/>
                <w:b w:val="0"/>
                <w:sz w:val="20"/>
                <w:szCs w:val="20"/>
              </w:rPr>
            </w:pPr>
            <w:r w:rsidRPr="009856A5">
              <w:rPr>
                <w:rStyle w:val="Strong"/>
                <w:rFonts w:asciiTheme="minorHAnsi" w:hAnsiTheme="minorHAnsi" w:cs="Arial"/>
                <w:b w:val="0"/>
                <w:sz w:val="20"/>
                <w:szCs w:val="20"/>
              </w:rPr>
              <w:t>EUL</w:t>
            </w:r>
          </w:p>
        </w:tc>
        <w:tc>
          <w:tcPr>
            <w:tcW w:w="2790" w:type="dxa"/>
            <w:shd w:val="clear" w:color="000000" w:fill="F2F2F2" w:themeFill="background1" w:themeFillShade="F2"/>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Code Baseline</w:t>
            </w:r>
          </w:p>
        </w:tc>
        <w:tc>
          <w:tcPr>
            <w:tcW w:w="2268" w:type="dxa"/>
            <w:shd w:val="clear" w:color="000000" w:fill="F2F2F2" w:themeFill="background1" w:themeFillShade="F2"/>
            <w:vAlign w:val="bottom"/>
          </w:tcPr>
          <w:p w:rsidR="00284436" w:rsidRPr="009856A5" w:rsidRDefault="00284436" w:rsidP="00284436">
            <w:pPr>
              <w:spacing w:before="120" w:after="120"/>
              <w:jc w:val="center"/>
              <w:rPr>
                <w:rFonts w:asciiTheme="minorHAnsi" w:hAnsiTheme="minorHAnsi" w:cs="Arial"/>
                <w:sz w:val="20"/>
                <w:szCs w:val="20"/>
              </w:rPr>
            </w:pPr>
            <w:r w:rsidRPr="009856A5">
              <w:rPr>
                <w:rFonts w:asciiTheme="minorHAnsi" w:hAnsiTheme="minorHAnsi" w:cs="Arial"/>
                <w:sz w:val="20"/>
                <w:szCs w:val="20"/>
              </w:rPr>
              <w:t>N/A</w:t>
            </w:r>
          </w:p>
        </w:tc>
      </w:tr>
    </w:tbl>
    <w:p w:rsidR="00284436" w:rsidRDefault="00284436">
      <w:pPr>
        <w:pStyle w:val="EndnoteText"/>
      </w:pPr>
    </w:p>
    <w:tbl>
      <w:tblPr>
        <w:tblW w:w="8846" w:type="dxa"/>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433"/>
        <w:gridCol w:w="1375"/>
        <w:gridCol w:w="2786"/>
        <w:gridCol w:w="3252"/>
      </w:tblGrid>
      <w:tr w:rsidR="00284436" w:rsidRPr="00CA3D16" w:rsidTr="00D8220B">
        <w:trPr>
          <w:trHeight w:val="255"/>
          <w:jc w:val="center"/>
        </w:trPr>
        <w:tc>
          <w:tcPr>
            <w:tcW w:w="1406" w:type="dxa"/>
            <w:tcBorders>
              <w:bottom w:val="single" w:sz="18" w:space="0" w:color="FFFFFF"/>
            </w:tcBorders>
            <w:shd w:val="clear" w:color="auto" w:fill="D9D9D9" w:themeFill="background1" w:themeFillShade="D9"/>
            <w:noWrap/>
            <w:vAlign w:val="center"/>
          </w:tcPr>
          <w:p w:rsidR="00284436" w:rsidRPr="00D8220B" w:rsidRDefault="00284436" w:rsidP="00284436">
            <w:pPr>
              <w:jc w:val="center"/>
              <w:rPr>
                <w:rFonts w:asciiTheme="minorHAnsi" w:hAnsiTheme="minorHAnsi" w:cs="Arial"/>
                <w:b/>
                <w:sz w:val="22"/>
                <w:szCs w:val="22"/>
              </w:rPr>
            </w:pPr>
            <w:r w:rsidRPr="00D8220B">
              <w:rPr>
                <w:rFonts w:asciiTheme="minorHAnsi" w:hAnsiTheme="minorHAnsi" w:cs="Arial"/>
                <w:b/>
                <w:sz w:val="22"/>
                <w:szCs w:val="22"/>
              </w:rPr>
              <w:t>Measure Application Type</w:t>
            </w:r>
          </w:p>
        </w:tc>
        <w:tc>
          <w:tcPr>
            <w:tcW w:w="1402" w:type="dxa"/>
            <w:tcBorders>
              <w:bottom w:val="single" w:sz="18" w:space="0" w:color="FFFFFF"/>
            </w:tcBorders>
            <w:shd w:val="clear" w:color="auto" w:fill="D9D9D9" w:themeFill="background1" w:themeFillShade="D9"/>
            <w:vAlign w:val="center"/>
          </w:tcPr>
          <w:p w:rsidR="00284436" w:rsidRPr="00D8220B" w:rsidRDefault="00284436" w:rsidP="00284436">
            <w:pPr>
              <w:jc w:val="center"/>
              <w:rPr>
                <w:rFonts w:asciiTheme="minorHAnsi" w:hAnsiTheme="minorHAnsi" w:cs="Arial"/>
                <w:b/>
                <w:sz w:val="22"/>
                <w:szCs w:val="22"/>
              </w:rPr>
            </w:pPr>
            <w:r w:rsidRPr="00D8220B">
              <w:rPr>
                <w:rFonts w:asciiTheme="minorHAnsi" w:hAnsiTheme="minorHAnsi" w:cs="Arial"/>
                <w:b/>
                <w:sz w:val="22"/>
                <w:szCs w:val="22"/>
              </w:rPr>
              <w:t>Measure Life Basis</w:t>
            </w:r>
          </w:p>
        </w:tc>
        <w:tc>
          <w:tcPr>
            <w:tcW w:w="2786" w:type="dxa"/>
            <w:tcBorders>
              <w:bottom w:val="single" w:sz="18" w:space="0" w:color="FFFFFF"/>
            </w:tcBorders>
            <w:shd w:val="clear" w:color="auto" w:fill="D9D9D9" w:themeFill="background1" w:themeFillShade="D9"/>
            <w:noWrap/>
            <w:vAlign w:val="center"/>
          </w:tcPr>
          <w:p w:rsidR="00284436" w:rsidRPr="00D8220B" w:rsidRDefault="00284436" w:rsidP="00284436">
            <w:pPr>
              <w:jc w:val="center"/>
              <w:rPr>
                <w:rFonts w:asciiTheme="minorHAnsi" w:hAnsiTheme="minorHAnsi" w:cs="Arial"/>
                <w:b/>
                <w:sz w:val="22"/>
                <w:szCs w:val="22"/>
              </w:rPr>
            </w:pPr>
            <w:r w:rsidRPr="00D8220B">
              <w:rPr>
                <w:rFonts w:asciiTheme="minorHAnsi" w:hAnsiTheme="minorHAnsi" w:cs="Arial"/>
                <w:b/>
                <w:sz w:val="22"/>
                <w:szCs w:val="22"/>
              </w:rPr>
              <w:t>First Baseline Period Gross Measure Cost (RUL)</w:t>
            </w:r>
          </w:p>
        </w:tc>
        <w:tc>
          <w:tcPr>
            <w:tcW w:w="3252" w:type="dxa"/>
            <w:tcBorders>
              <w:bottom w:val="single" w:sz="18" w:space="0" w:color="FFFFFF"/>
            </w:tcBorders>
            <w:shd w:val="clear" w:color="auto" w:fill="D9D9D9" w:themeFill="background1" w:themeFillShade="D9"/>
            <w:noWrap/>
            <w:vAlign w:val="center"/>
          </w:tcPr>
          <w:p w:rsidR="00284436" w:rsidRPr="00D8220B" w:rsidRDefault="00284436" w:rsidP="00284436">
            <w:pPr>
              <w:jc w:val="center"/>
              <w:rPr>
                <w:rFonts w:asciiTheme="minorHAnsi" w:hAnsiTheme="minorHAnsi" w:cs="Arial"/>
                <w:b/>
                <w:sz w:val="22"/>
                <w:szCs w:val="22"/>
              </w:rPr>
            </w:pPr>
            <w:r w:rsidRPr="00D8220B">
              <w:rPr>
                <w:rFonts w:asciiTheme="minorHAnsi" w:hAnsiTheme="minorHAnsi" w:cs="Arial"/>
                <w:b/>
                <w:sz w:val="22"/>
                <w:szCs w:val="22"/>
              </w:rPr>
              <w:t>Second Baseline Period Gross Measure Cost (EUL – RUL)</w:t>
            </w:r>
          </w:p>
        </w:tc>
      </w:tr>
      <w:tr w:rsidR="00284436" w:rsidRPr="00AD6DC3" w:rsidTr="00D8220B">
        <w:trPr>
          <w:trHeight w:val="612"/>
          <w:jc w:val="center"/>
        </w:trPr>
        <w:tc>
          <w:tcPr>
            <w:tcW w:w="1406" w:type="dxa"/>
            <w:shd w:val="clear" w:color="auto" w:fill="FFFFFF" w:themeFill="background1"/>
            <w:noWrap/>
            <w:vAlign w:val="bottom"/>
          </w:tcPr>
          <w:p w:rsidR="00284436" w:rsidRPr="00D8220B" w:rsidRDefault="00284436" w:rsidP="00284436">
            <w:pPr>
              <w:spacing w:before="120" w:after="120"/>
              <w:jc w:val="center"/>
              <w:rPr>
                <w:rStyle w:val="Strong"/>
                <w:rFonts w:asciiTheme="minorHAnsi" w:hAnsiTheme="minorHAnsi" w:cs="Arial"/>
                <w:b w:val="0"/>
                <w:szCs w:val="22"/>
              </w:rPr>
            </w:pPr>
            <w:r w:rsidRPr="00D8220B">
              <w:rPr>
                <w:rStyle w:val="Strong"/>
                <w:rFonts w:asciiTheme="minorHAnsi" w:hAnsiTheme="minorHAnsi" w:cs="Arial"/>
                <w:i/>
                <w:szCs w:val="22"/>
              </w:rPr>
              <w:t>ER</w:t>
            </w:r>
            <w:r w:rsidRPr="00D8220B">
              <w:rPr>
                <w:rStyle w:val="Strong"/>
                <w:rFonts w:asciiTheme="minorHAnsi" w:hAnsiTheme="minorHAnsi" w:cs="Arial"/>
                <w:szCs w:val="22"/>
              </w:rPr>
              <w:t xml:space="preserve"> </w:t>
            </w:r>
            <w:r w:rsidRPr="00D8220B">
              <w:rPr>
                <w:rStyle w:val="Strong"/>
                <w:rFonts w:asciiTheme="minorHAnsi" w:hAnsiTheme="minorHAnsi" w:cs="Arial"/>
                <w:b w:val="0"/>
                <w:szCs w:val="22"/>
              </w:rPr>
              <w:t>(early retirement)</w:t>
            </w:r>
          </w:p>
        </w:tc>
        <w:tc>
          <w:tcPr>
            <w:tcW w:w="1402" w:type="dxa"/>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RUL/</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EUL-RUL</w:t>
            </w:r>
          </w:p>
        </w:tc>
        <w:tc>
          <w:tcPr>
            <w:tcW w:w="2786" w:type="dxa"/>
            <w:shd w:val="clear" w:color="auto" w:fill="FFFFFF" w:themeFill="background1"/>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Calculated as Full Gross Measure Cost</w:t>
            </w:r>
          </w:p>
        </w:tc>
        <w:tc>
          <w:tcPr>
            <w:tcW w:w="3252" w:type="dxa"/>
            <w:shd w:val="clear" w:color="auto" w:fill="FFFFFF" w:themeFill="background1"/>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 Base Case Equipment Cost</w:t>
            </w:r>
          </w:p>
        </w:tc>
      </w:tr>
      <w:tr w:rsidR="00284436" w:rsidRPr="00AD6DC3" w:rsidTr="00D8220B">
        <w:trPr>
          <w:trHeight w:val="170"/>
          <w:jc w:val="center"/>
        </w:trPr>
        <w:tc>
          <w:tcPr>
            <w:tcW w:w="1406" w:type="dxa"/>
            <w:tcBorders>
              <w:bottom w:val="single" w:sz="18" w:space="0" w:color="FFFFFF"/>
            </w:tcBorders>
            <w:shd w:val="pct5" w:color="000000" w:fill="FFFFFF"/>
            <w:noWrap/>
            <w:vAlign w:val="bottom"/>
          </w:tcPr>
          <w:p w:rsidR="00284436" w:rsidRPr="00D8220B" w:rsidRDefault="00284436" w:rsidP="00284436">
            <w:pPr>
              <w:spacing w:before="120" w:after="120"/>
              <w:jc w:val="center"/>
              <w:rPr>
                <w:rStyle w:val="Strong"/>
                <w:rFonts w:asciiTheme="minorHAnsi" w:hAnsiTheme="minorHAnsi" w:cs="Arial"/>
                <w:szCs w:val="22"/>
              </w:rPr>
            </w:pPr>
            <w:r w:rsidRPr="00D8220B">
              <w:rPr>
                <w:rStyle w:val="Strong"/>
                <w:rFonts w:asciiTheme="minorHAnsi" w:hAnsiTheme="minorHAnsi" w:cs="Arial"/>
                <w:i/>
                <w:szCs w:val="22"/>
              </w:rPr>
              <w:t>ROB</w:t>
            </w:r>
            <w:r w:rsidRPr="00D8220B">
              <w:rPr>
                <w:rStyle w:val="Strong"/>
                <w:rFonts w:asciiTheme="minorHAnsi" w:hAnsiTheme="minorHAnsi" w:cs="Arial"/>
                <w:b w:val="0"/>
                <w:szCs w:val="22"/>
              </w:rPr>
              <w:t xml:space="preserve"> (Replace on Burnout</w:t>
            </w:r>
            <w:r w:rsidRPr="00D8220B">
              <w:rPr>
                <w:rStyle w:val="Strong"/>
                <w:rFonts w:asciiTheme="minorHAnsi" w:hAnsiTheme="minorHAnsi" w:cs="Arial"/>
                <w:b w:val="0"/>
                <w:szCs w:val="22"/>
              </w:rPr>
              <w:fldChar w:fldCharType="begin"/>
            </w:r>
            <w:r w:rsidRPr="00D8220B">
              <w:rPr>
                <w:rFonts w:asciiTheme="minorHAnsi" w:hAnsiTheme="minorHAnsi" w:cs="Arial"/>
                <w:sz w:val="22"/>
                <w:szCs w:val="22"/>
              </w:rPr>
              <w:instrText xml:space="preserve"> XE "</w:instrText>
            </w:r>
            <w:r w:rsidRPr="00D8220B">
              <w:rPr>
                <w:rStyle w:val="Strong"/>
                <w:rFonts w:asciiTheme="minorHAnsi" w:hAnsiTheme="minorHAnsi" w:cs="Arial"/>
                <w:b w:val="0"/>
                <w:szCs w:val="22"/>
              </w:rPr>
              <w:instrText>Replace on Burnout</w:instrText>
            </w:r>
            <w:r w:rsidRPr="00D8220B">
              <w:rPr>
                <w:rFonts w:asciiTheme="minorHAnsi" w:hAnsiTheme="minorHAnsi" w:cs="Arial"/>
                <w:sz w:val="22"/>
                <w:szCs w:val="22"/>
              </w:rPr>
              <w:instrText xml:space="preserve">" </w:instrText>
            </w:r>
            <w:r w:rsidRPr="00D8220B">
              <w:rPr>
                <w:rStyle w:val="Strong"/>
                <w:rFonts w:asciiTheme="minorHAnsi" w:hAnsiTheme="minorHAnsi" w:cs="Arial"/>
                <w:b w:val="0"/>
                <w:szCs w:val="22"/>
              </w:rPr>
              <w:fldChar w:fldCharType="end"/>
            </w:r>
            <w:r w:rsidRPr="00D8220B">
              <w:rPr>
                <w:rStyle w:val="Strong"/>
                <w:rFonts w:asciiTheme="minorHAnsi" w:hAnsiTheme="minorHAnsi" w:cs="Arial"/>
                <w:b w:val="0"/>
                <w:szCs w:val="22"/>
              </w:rPr>
              <w:t xml:space="preserve">) </w:t>
            </w:r>
          </w:p>
        </w:tc>
        <w:tc>
          <w:tcPr>
            <w:tcW w:w="1402" w:type="dxa"/>
            <w:tcBorders>
              <w:bottom w:val="single" w:sz="18" w:space="0" w:color="FFFFFF"/>
            </w:tcBorders>
            <w:shd w:val="pct5" w:color="000000" w:fill="FFFFFF"/>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EUL</w:t>
            </w:r>
          </w:p>
        </w:tc>
        <w:tc>
          <w:tcPr>
            <w:tcW w:w="2786" w:type="dxa"/>
            <w:tcBorders>
              <w:bottom w:val="single" w:sz="18" w:space="0" w:color="FFFFFF"/>
            </w:tcBorders>
            <w:shd w:val="pct5" w:color="000000" w:fill="FFFFFF"/>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Calculated as Incremental Measure Cost</w:t>
            </w:r>
          </w:p>
        </w:tc>
        <w:tc>
          <w:tcPr>
            <w:tcW w:w="3252" w:type="dxa"/>
            <w:tcBorders>
              <w:bottom w:val="single" w:sz="18" w:space="0" w:color="FFFFFF"/>
            </w:tcBorders>
            <w:shd w:val="pct5" w:color="000000" w:fill="FFFFFF"/>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N/A</w:t>
            </w:r>
          </w:p>
        </w:tc>
      </w:tr>
      <w:tr w:rsidR="00284436" w:rsidRPr="00AD6DC3" w:rsidTr="00D8220B">
        <w:trPr>
          <w:trHeight w:val="170"/>
          <w:jc w:val="center"/>
        </w:trPr>
        <w:tc>
          <w:tcPr>
            <w:tcW w:w="1406" w:type="dxa"/>
            <w:tcBorders>
              <w:top w:val="single" w:sz="18" w:space="0" w:color="FFFFFF"/>
              <w:left w:val="single" w:sz="18" w:space="0" w:color="FFFFFF"/>
              <w:bottom w:val="single" w:sz="18" w:space="0" w:color="FFFFFF"/>
              <w:right w:val="single" w:sz="18" w:space="0" w:color="FFFFFF"/>
            </w:tcBorders>
            <w:shd w:val="clear" w:color="auto" w:fill="FFFFFF" w:themeFill="background1"/>
            <w:noWrap/>
            <w:vAlign w:val="bottom"/>
          </w:tcPr>
          <w:p w:rsidR="00284436" w:rsidRPr="00D8220B" w:rsidRDefault="00284436" w:rsidP="00284436">
            <w:pPr>
              <w:spacing w:before="120" w:after="120"/>
              <w:jc w:val="center"/>
              <w:rPr>
                <w:rStyle w:val="Strong"/>
                <w:rFonts w:asciiTheme="minorHAnsi" w:hAnsiTheme="minorHAnsi" w:cs="Arial"/>
                <w:i/>
                <w:szCs w:val="22"/>
              </w:rPr>
            </w:pPr>
            <w:r w:rsidRPr="00D8220B">
              <w:rPr>
                <w:rStyle w:val="Strong"/>
                <w:rFonts w:asciiTheme="minorHAnsi" w:hAnsiTheme="minorHAnsi" w:cs="Arial"/>
                <w:i/>
                <w:szCs w:val="22"/>
              </w:rPr>
              <w:t>NR</w:t>
            </w:r>
            <w:r w:rsidRPr="00D8220B">
              <w:rPr>
                <w:rStyle w:val="Strong"/>
                <w:rFonts w:asciiTheme="minorHAnsi" w:hAnsiTheme="minorHAnsi" w:cs="Arial"/>
                <w:b w:val="0"/>
                <w:szCs w:val="22"/>
              </w:rPr>
              <w:t xml:space="preserve"> (Normal Replacement</w:t>
            </w:r>
          </w:p>
        </w:tc>
        <w:tc>
          <w:tcPr>
            <w:tcW w:w="1402" w:type="dxa"/>
            <w:tcBorders>
              <w:top w:val="single" w:sz="18" w:space="0" w:color="FFFFFF"/>
              <w:left w:val="single" w:sz="18" w:space="0" w:color="FFFFFF"/>
              <w:bottom w:val="single" w:sz="18" w:space="0" w:color="FFFFFF"/>
              <w:right w:val="single" w:sz="18" w:space="0" w:color="FFFFFF"/>
            </w:tcBorders>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EUL</w:t>
            </w:r>
          </w:p>
        </w:tc>
        <w:tc>
          <w:tcPr>
            <w:tcW w:w="2786" w:type="dxa"/>
            <w:tcBorders>
              <w:top w:val="single" w:sz="18" w:space="0" w:color="FFFFFF"/>
              <w:left w:val="single" w:sz="18" w:space="0" w:color="FFFFFF"/>
              <w:bottom w:val="single" w:sz="18" w:space="0" w:color="FFFFFF"/>
              <w:right w:val="single" w:sz="18" w:space="0" w:color="FFFFFF"/>
            </w:tcBorders>
            <w:shd w:val="clear" w:color="auto" w:fill="FFFFFF" w:themeFill="background1"/>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Calculated as Incremental Measure Cost</w:t>
            </w:r>
          </w:p>
        </w:tc>
        <w:tc>
          <w:tcPr>
            <w:tcW w:w="3252" w:type="dxa"/>
            <w:tcBorders>
              <w:top w:val="single" w:sz="18" w:space="0" w:color="FFFFFF"/>
              <w:left w:val="single" w:sz="18" w:space="0" w:color="FFFFFF"/>
              <w:bottom w:val="single" w:sz="18" w:space="0" w:color="FFFFFF"/>
              <w:right w:val="single" w:sz="18" w:space="0" w:color="FFFFFF"/>
            </w:tcBorders>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N/A</w:t>
            </w:r>
          </w:p>
        </w:tc>
      </w:tr>
      <w:tr w:rsidR="00284436" w:rsidRPr="00AD6DC3" w:rsidTr="00D8220B">
        <w:trPr>
          <w:trHeight w:val="170"/>
          <w:jc w:val="center"/>
        </w:trPr>
        <w:tc>
          <w:tcPr>
            <w:tcW w:w="1406" w:type="dxa"/>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noWrap/>
            <w:vAlign w:val="bottom"/>
          </w:tcPr>
          <w:p w:rsidR="00284436" w:rsidRPr="00D8220B" w:rsidRDefault="00284436" w:rsidP="00284436">
            <w:pPr>
              <w:spacing w:before="120" w:after="120"/>
              <w:jc w:val="center"/>
              <w:rPr>
                <w:rStyle w:val="Strong"/>
                <w:rFonts w:asciiTheme="minorHAnsi" w:hAnsiTheme="minorHAnsi" w:cs="Arial"/>
                <w:szCs w:val="22"/>
              </w:rPr>
            </w:pPr>
            <w:r w:rsidRPr="00D8220B">
              <w:rPr>
                <w:rStyle w:val="Strong"/>
                <w:rFonts w:asciiTheme="minorHAnsi" w:hAnsiTheme="minorHAnsi" w:cs="Arial"/>
                <w:szCs w:val="22"/>
              </w:rPr>
              <w:t>REA</w:t>
            </w:r>
            <w:r w:rsidRPr="00D8220B">
              <w:rPr>
                <w:rStyle w:val="Strong"/>
                <w:rFonts w:asciiTheme="minorHAnsi" w:hAnsiTheme="minorHAnsi" w:cs="Arial"/>
                <w:b w:val="0"/>
                <w:szCs w:val="22"/>
              </w:rPr>
              <w:t xml:space="preserve"> (Retrofit Add-On)</w:t>
            </w:r>
          </w:p>
        </w:tc>
        <w:tc>
          <w:tcPr>
            <w:tcW w:w="1402" w:type="dxa"/>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EUL</w:t>
            </w:r>
          </w:p>
        </w:tc>
        <w:tc>
          <w:tcPr>
            <w:tcW w:w="2786" w:type="dxa"/>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Calculated as Full Gross Measure Cost</w:t>
            </w:r>
          </w:p>
        </w:tc>
        <w:tc>
          <w:tcPr>
            <w:tcW w:w="3252" w:type="dxa"/>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N/A</w:t>
            </w:r>
          </w:p>
        </w:tc>
      </w:tr>
      <w:tr w:rsidR="00284436" w:rsidRPr="00AD6DC3" w:rsidTr="00D8220B">
        <w:trPr>
          <w:trHeight w:val="170"/>
          <w:jc w:val="center"/>
        </w:trPr>
        <w:tc>
          <w:tcPr>
            <w:tcW w:w="1406" w:type="dxa"/>
            <w:tcBorders>
              <w:top w:val="single" w:sz="18" w:space="0" w:color="FFFFFF"/>
              <w:left w:val="single" w:sz="18" w:space="0" w:color="FFFFFF"/>
              <w:bottom w:val="single" w:sz="18" w:space="0" w:color="FFFFFF"/>
              <w:right w:val="single" w:sz="18" w:space="0" w:color="FFFFFF"/>
            </w:tcBorders>
            <w:shd w:val="clear" w:color="auto" w:fill="FFFFFF" w:themeFill="background1"/>
            <w:noWrap/>
            <w:vAlign w:val="bottom"/>
          </w:tcPr>
          <w:p w:rsidR="00284436" w:rsidRPr="00D8220B" w:rsidRDefault="00284436" w:rsidP="00284436">
            <w:pPr>
              <w:spacing w:before="120" w:after="120"/>
              <w:jc w:val="center"/>
              <w:rPr>
                <w:rStyle w:val="Strong"/>
                <w:rFonts w:asciiTheme="minorHAnsi" w:hAnsiTheme="minorHAnsi" w:cs="Arial"/>
                <w:szCs w:val="22"/>
              </w:rPr>
            </w:pPr>
            <w:r w:rsidRPr="00D8220B">
              <w:rPr>
                <w:rStyle w:val="Strong"/>
                <w:rFonts w:asciiTheme="minorHAnsi" w:hAnsiTheme="minorHAnsi" w:cs="Arial"/>
                <w:i/>
                <w:szCs w:val="22"/>
              </w:rPr>
              <w:t>NC</w:t>
            </w:r>
            <w:r w:rsidRPr="00D8220B">
              <w:rPr>
                <w:rStyle w:val="Strong"/>
                <w:rFonts w:asciiTheme="minorHAnsi" w:hAnsiTheme="minorHAnsi" w:cs="Arial"/>
                <w:b w:val="0"/>
                <w:szCs w:val="22"/>
              </w:rPr>
              <w:t xml:space="preserve"> (New Construction</w:t>
            </w:r>
            <w:r w:rsidRPr="00D8220B">
              <w:rPr>
                <w:rStyle w:val="Strong"/>
                <w:rFonts w:asciiTheme="minorHAnsi" w:hAnsiTheme="minorHAnsi" w:cs="Arial"/>
                <w:b w:val="0"/>
                <w:szCs w:val="22"/>
              </w:rPr>
              <w:fldChar w:fldCharType="begin"/>
            </w:r>
            <w:r w:rsidRPr="00D8220B">
              <w:rPr>
                <w:rFonts w:asciiTheme="minorHAnsi" w:hAnsiTheme="minorHAnsi" w:cs="Arial"/>
                <w:sz w:val="22"/>
                <w:szCs w:val="22"/>
              </w:rPr>
              <w:instrText xml:space="preserve"> XE "N</w:instrText>
            </w:r>
            <w:r w:rsidRPr="00D8220B">
              <w:rPr>
                <w:rStyle w:val="Strong"/>
                <w:rFonts w:asciiTheme="minorHAnsi" w:hAnsiTheme="minorHAnsi" w:cs="Arial"/>
                <w:b w:val="0"/>
                <w:szCs w:val="22"/>
              </w:rPr>
              <w:instrText>ew Construction</w:instrText>
            </w:r>
            <w:r w:rsidRPr="00D8220B">
              <w:rPr>
                <w:rFonts w:asciiTheme="minorHAnsi" w:hAnsiTheme="minorHAnsi" w:cs="Arial"/>
                <w:sz w:val="22"/>
                <w:szCs w:val="22"/>
              </w:rPr>
              <w:instrText xml:space="preserve">" </w:instrText>
            </w:r>
            <w:r w:rsidRPr="00D8220B">
              <w:rPr>
                <w:rStyle w:val="Strong"/>
                <w:rFonts w:asciiTheme="minorHAnsi" w:hAnsiTheme="minorHAnsi" w:cs="Arial"/>
                <w:b w:val="0"/>
                <w:szCs w:val="22"/>
              </w:rPr>
              <w:fldChar w:fldCharType="end"/>
            </w:r>
            <w:r w:rsidRPr="00D8220B">
              <w:rPr>
                <w:rStyle w:val="Strong"/>
                <w:rFonts w:asciiTheme="minorHAnsi" w:hAnsiTheme="minorHAnsi" w:cs="Arial"/>
                <w:b w:val="0"/>
                <w:szCs w:val="22"/>
              </w:rPr>
              <w:t>)</w:t>
            </w:r>
          </w:p>
        </w:tc>
        <w:tc>
          <w:tcPr>
            <w:tcW w:w="1402" w:type="dxa"/>
            <w:tcBorders>
              <w:top w:val="single" w:sz="18" w:space="0" w:color="FFFFFF"/>
              <w:left w:val="single" w:sz="18" w:space="0" w:color="FFFFFF"/>
              <w:bottom w:val="single" w:sz="18" w:space="0" w:color="FFFFFF"/>
              <w:right w:val="single" w:sz="18" w:space="0" w:color="FFFFFF"/>
            </w:tcBorders>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EUL</w:t>
            </w:r>
          </w:p>
        </w:tc>
        <w:tc>
          <w:tcPr>
            <w:tcW w:w="2786" w:type="dxa"/>
            <w:tcBorders>
              <w:top w:val="single" w:sz="18" w:space="0" w:color="FFFFFF"/>
              <w:left w:val="single" w:sz="18" w:space="0" w:color="FFFFFF"/>
              <w:bottom w:val="single" w:sz="18" w:space="0" w:color="FFFFFF"/>
              <w:right w:val="single" w:sz="18" w:space="0" w:color="FFFFFF"/>
            </w:tcBorders>
            <w:shd w:val="clear" w:color="auto" w:fill="FFFFFF" w:themeFill="background1"/>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Calculated as Incremental Measure Cost</w:t>
            </w:r>
          </w:p>
        </w:tc>
        <w:tc>
          <w:tcPr>
            <w:tcW w:w="3252" w:type="dxa"/>
            <w:tcBorders>
              <w:top w:val="single" w:sz="18" w:space="0" w:color="FFFFFF"/>
              <w:left w:val="single" w:sz="18" w:space="0" w:color="FFFFFF"/>
              <w:bottom w:val="single" w:sz="18" w:space="0" w:color="FFFFFF"/>
              <w:right w:val="single" w:sz="18" w:space="0" w:color="FFFFFF"/>
            </w:tcBorders>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N/A</w:t>
            </w:r>
          </w:p>
        </w:tc>
      </w:tr>
    </w:tbl>
    <w:p w:rsidR="00284436" w:rsidRDefault="00284436">
      <w:pPr>
        <w:pStyle w:val="EndnoteText"/>
      </w:pPr>
    </w:p>
    <w:p w:rsidR="00284436" w:rsidRDefault="00284436">
      <w:pPr>
        <w:pStyle w:val="EndnoteText"/>
      </w:pPr>
    </w:p>
    <w:p w:rsidR="00284436" w:rsidRDefault="00284436">
      <w:pPr>
        <w:pStyle w:val="EndnoteText"/>
      </w:pP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433"/>
        <w:gridCol w:w="3085"/>
        <w:gridCol w:w="2070"/>
        <w:gridCol w:w="2970"/>
      </w:tblGrid>
      <w:tr w:rsidR="00284436" w:rsidRPr="00AD6DC3" w:rsidTr="00D8220B">
        <w:trPr>
          <w:trHeight w:val="255"/>
        </w:trPr>
        <w:tc>
          <w:tcPr>
            <w:tcW w:w="1406" w:type="dxa"/>
            <w:tcBorders>
              <w:bottom w:val="single" w:sz="18" w:space="0" w:color="FFFFFF"/>
            </w:tcBorders>
            <w:shd w:val="clear" w:color="auto" w:fill="D9D9D9" w:themeFill="background1" w:themeFillShade="D9"/>
            <w:noWrap/>
            <w:vAlign w:val="center"/>
          </w:tcPr>
          <w:p w:rsidR="00284436" w:rsidRPr="00D8220B" w:rsidRDefault="00284436" w:rsidP="00D8220B">
            <w:pPr>
              <w:jc w:val="center"/>
              <w:rPr>
                <w:rFonts w:asciiTheme="minorHAnsi" w:hAnsiTheme="minorHAnsi" w:cs="Arial"/>
                <w:b/>
                <w:sz w:val="22"/>
                <w:szCs w:val="22"/>
              </w:rPr>
            </w:pPr>
            <w:r w:rsidRPr="00D8220B">
              <w:rPr>
                <w:rFonts w:asciiTheme="minorHAnsi" w:hAnsiTheme="minorHAnsi" w:cs="Arial"/>
                <w:b/>
                <w:sz w:val="22"/>
                <w:szCs w:val="22"/>
              </w:rPr>
              <w:t>Measure Application Type</w:t>
            </w:r>
          </w:p>
        </w:tc>
        <w:tc>
          <w:tcPr>
            <w:tcW w:w="3112" w:type="dxa"/>
            <w:tcBorders>
              <w:bottom w:val="single" w:sz="18" w:space="0" w:color="FFFFFF"/>
            </w:tcBorders>
            <w:shd w:val="clear" w:color="auto" w:fill="D9D9D9" w:themeFill="background1" w:themeFillShade="D9"/>
            <w:vAlign w:val="center"/>
          </w:tcPr>
          <w:p w:rsidR="00284436" w:rsidRPr="00D8220B" w:rsidRDefault="00284436" w:rsidP="00D8220B">
            <w:pPr>
              <w:jc w:val="center"/>
              <w:rPr>
                <w:rFonts w:asciiTheme="minorHAnsi" w:hAnsiTheme="minorHAnsi" w:cs="Arial"/>
                <w:b/>
                <w:sz w:val="22"/>
                <w:szCs w:val="22"/>
              </w:rPr>
            </w:pPr>
            <w:r w:rsidRPr="00D8220B">
              <w:rPr>
                <w:rFonts w:asciiTheme="minorHAnsi" w:hAnsiTheme="minorHAnsi" w:cs="Arial"/>
                <w:b/>
                <w:sz w:val="22"/>
                <w:szCs w:val="22"/>
              </w:rPr>
              <w:t>Gross Measure Cost</w:t>
            </w:r>
          </w:p>
          <w:p w:rsidR="00284436" w:rsidRPr="00D8220B" w:rsidRDefault="00284436" w:rsidP="00D8220B">
            <w:pPr>
              <w:jc w:val="center"/>
              <w:rPr>
                <w:rFonts w:asciiTheme="minorHAnsi" w:hAnsiTheme="minorHAnsi" w:cs="Arial"/>
                <w:b/>
                <w:sz w:val="22"/>
                <w:szCs w:val="22"/>
              </w:rPr>
            </w:pPr>
            <w:r w:rsidRPr="00D8220B">
              <w:rPr>
                <w:rFonts w:asciiTheme="minorHAnsi" w:hAnsiTheme="minorHAnsi" w:cs="Arial"/>
                <w:b/>
                <w:sz w:val="22"/>
                <w:szCs w:val="22"/>
              </w:rPr>
              <w:t>(RUL Period/First Baseline)</w:t>
            </w:r>
          </w:p>
        </w:tc>
        <w:tc>
          <w:tcPr>
            <w:tcW w:w="2070" w:type="dxa"/>
            <w:tcBorders>
              <w:bottom w:val="single" w:sz="18" w:space="0" w:color="FFFFFF"/>
            </w:tcBorders>
            <w:shd w:val="clear" w:color="auto" w:fill="D9D9D9" w:themeFill="background1" w:themeFillShade="D9"/>
            <w:noWrap/>
            <w:vAlign w:val="center"/>
          </w:tcPr>
          <w:p w:rsidR="00284436" w:rsidRPr="00D8220B" w:rsidRDefault="00284436" w:rsidP="00D8220B">
            <w:pPr>
              <w:jc w:val="center"/>
              <w:rPr>
                <w:rFonts w:asciiTheme="minorHAnsi" w:hAnsiTheme="minorHAnsi" w:cs="Arial"/>
                <w:b/>
                <w:sz w:val="22"/>
                <w:szCs w:val="22"/>
              </w:rPr>
            </w:pPr>
            <w:r w:rsidRPr="00D8220B">
              <w:rPr>
                <w:rFonts w:asciiTheme="minorHAnsi" w:hAnsiTheme="minorHAnsi" w:cs="Arial"/>
                <w:b/>
                <w:sz w:val="22"/>
                <w:szCs w:val="22"/>
              </w:rPr>
              <w:t>Gross Measure Cost</w:t>
            </w:r>
          </w:p>
          <w:p w:rsidR="00284436" w:rsidRPr="00D8220B" w:rsidRDefault="00284436" w:rsidP="00D8220B">
            <w:pPr>
              <w:jc w:val="center"/>
              <w:rPr>
                <w:rFonts w:asciiTheme="minorHAnsi" w:hAnsiTheme="minorHAnsi" w:cs="Arial"/>
                <w:b/>
                <w:sz w:val="22"/>
                <w:szCs w:val="22"/>
              </w:rPr>
            </w:pPr>
            <w:r w:rsidRPr="00D8220B">
              <w:rPr>
                <w:rFonts w:asciiTheme="minorHAnsi" w:hAnsiTheme="minorHAnsi" w:cs="Arial"/>
                <w:b/>
                <w:sz w:val="22"/>
                <w:szCs w:val="22"/>
              </w:rPr>
              <w:t>(EUL-RUL Period/ Second Baseline)</w:t>
            </w:r>
          </w:p>
        </w:tc>
        <w:tc>
          <w:tcPr>
            <w:tcW w:w="2970" w:type="dxa"/>
            <w:tcBorders>
              <w:bottom w:val="single" w:sz="18" w:space="0" w:color="FFFFFF"/>
            </w:tcBorders>
            <w:shd w:val="clear" w:color="auto" w:fill="D9D9D9" w:themeFill="background1" w:themeFillShade="D9"/>
            <w:noWrap/>
            <w:vAlign w:val="center"/>
          </w:tcPr>
          <w:p w:rsidR="00284436" w:rsidRPr="00D8220B" w:rsidRDefault="00284436" w:rsidP="00D8220B">
            <w:pPr>
              <w:jc w:val="center"/>
              <w:rPr>
                <w:rFonts w:asciiTheme="minorHAnsi" w:hAnsiTheme="minorHAnsi" w:cs="Arial"/>
                <w:b/>
                <w:sz w:val="22"/>
                <w:szCs w:val="22"/>
              </w:rPr>
            </w:pPr>
            <w:r w:rsidRPr="00D8220B">
              <w:rPr>
                <w:rFonts w:asciiTheme="minorHAnsi" w:hAnsiTheme="minorHAnsi" w:cs="Arial"/>
                <w:b/>
                <w:sz w:val="22"/>
                <w:szCs w:val="22"/>
              </w:rPr>
              <w:t>Incremental Measure Cost</w:t>
            </w:r>
          </w:p>
        </w:tc>
      </w:tr>
      <w:tr w:rsidR="00284436" w:rsidRPr="00AD6DC3" w:rsidTr="00D8220B">
        <w:trPr>
          <w:trHeight w:val="255"/>
        </w:trPr>
        <w:tc>
          <w:tcPr>
            <w:tcW w:w="1406" w:type="dxa"/>
            <w:shd w:val="clear" w:color="auto" w:fill="FFFFFF" w:themeFill="background1"/>
            <w:noWrap/>
            <w:vAlign w:val="bottom"/>
          </w:tcPr>
          <w:p w:rsidR="00284436" w:rsidRPr="00D8220B" w:rsidRDefault="00284436" w:rsidP="00284436">
            <w:pPr>
              <w:spacing w:before="120" w:after="120"/>
              <w:jc w:val="center"/>
              <w:rPr>
                <w:rStyle w:val="Strong"/>
                <w:rFonts w:asciiTheme="minorHAnsi" w:hAnsiTheme="minorHAnsi" w:cs="Arial"/>
                <w:b w:val="0"/>
                <w:szCs w:val="22"/>
              </w:rPr>
            </w:pPr>
            <w:r w:rsidRPr="00D8220B">
              <w:rPr>
                <w:rStyle w:val="Strong"/>
                <w:rFonts w:asciiTheme="minorHAnsi" w:hAnsiTheme="minorHAnsi" w:cs="Arial"/>
                <w:i/>
                <w:szCs w:val="22"/>
              </w:rPr>
              <w:t>ER</w:t>
            </w:r>
            <w:r w:rsidRPr="00D8220B">
              <w:rPr>
                <w:rStyle w:val="Strong"/>
                <w:rFonts w:asciiTheme="minorHAnsi" w:hAnsiTheme="minorHAnsi" w:cs="Arial"/>
                <w:szCs w:val="22"/>
              </w:rPr>
              <w:t xml:space="preserve"> </w:t>
            </w:r>
            <w:r w:rsidRPr="00D8220B">
              <w:rPr>
                <w:rStyle w:val="Strong"/>
                <w:rFonts w:asciiTheme="minorHAnsi" w:hAnsiTheme="minorHAnsi" w:cs="Arial"/>
                <w:b w:val="0"/>
                <w:szCs w:val="22"/>
              </w:rPr>
              <w:t>(early retirement)</w:t>
            </w:r>
          </w:p>
        </w:tc>
        <w:tc>
          <w:tcPr>
            <w:tcW w:w="3112" w:type="dxa"/>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Labor Cost</w:t>
            </w:r>
          </w:p>
        </w:tc>
        <w:tc>
          <w:tcPr>
            <w:tcW w:w="2070" w:type="dxa"/>
            <w:shd w:val="clear" w:color="auto" w:fill="FFFFFF" w:themeFill="background1"/>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(-1)x(Base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 Base Labor Cost)</w:t>
            </w:r>
          </w:p>
        </w:tc>
        <w:tc>
          <w:tcPr>
            <w:tcW w:w="2970" w:type="dxa"/>
            <w:shd w:val="clear" w:color="auto" w:fill="FFFFFF" w:themeFill="background1"/>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 Base Case Equipment Cost</w:t>
            </w:r>
          </w:p>
        </w:tc>
      </w:tr>
      <w:tr w:rsidR="00284436" w:rsidRPr="00AD6DC3" w:rsidTr="00D8220B">
        <w:trPr>
          <w:trHeight w:val="170"/>
        </w:trPr>
        <w:tc>
          <w:tcPr>
            <w:tcW w:w="1406" w:type="dxa"/>
            <w:tcBorders>
              <w:bottom w:val="single" w:sz="18" w:space="0" w:color="FFFFFF"/>
            </w:tcBorders>
            <w:shd w:val="pct5" w:color="000000" w:fill="FFFFFF"/>
            <w:noWrap/>
            <w:vAlign w:val="bottom"/>
          </w:tcPr>
          <w:p w:rsidR="00284436" w:rsidRPr="00D8220B" w:rsidRDefault="00284436" w:rsidP="00284436">
            <w:pPr>
              <w:spacing w:before="120" w:after="120"/>
              <w:jc w:val="center"/>
              <w:rPr>
                <w:rStyle w:val="Strong"/>
                <w:rFonts w:asciiTheme="minorHAnsi" w:hAnsiTheme="minorHAnsi" w:cs="Arial"/>
                <w:szCs w:val="22"/>
              </w:rPr>
            </w:pPr>
            <w:r w:rsidRPr="00D8220B">
              <w:rPr>
                <w:rStyle w:val="Strong"/>
                <w:rFonts w:asciiTheme="minorHAnsi" w:hAnsiTheme="minorHAnsi" w:cs="Arial"/>
                <w:i/>
                <w:szCs w:val="22"/>
              </w:rPr>
              <w:t>ROB</w:t>
            </w:r>
            <w:r w:rsidRPr="00D8220B">
              <w:rPr>
                <w:rStyle w:val="Strong"/>
                <w:rFonts w:asciiTheme="minorHAnsi" w:hAnsiTheme="minorHAnsi" w:cs="Arial"/>
                <w:b w:val="0"/>
                <w:szCs w:val="22"/>
              </w:rPr>
              <w:t xml:space="preserve"> (Replace on Burnout</w:t>
            </w:r>
            <w:r w:rsidRPr="00D8220B">
              <w:rPr>
                <w:rStyle w:val="Strong"/>
                <w:rFonts w:asciiTheme="minorHAnsi" w:hAnsiTheme="minorHAnsi" w:cs="Arial"/>
                <w:b w:val="0"/>
                <w:szCs w:val="22"/>
              </w:rPr>
              <w:fldChar w:fldCharType="begin"/>
            </w:r>
            <w:r w:rsidRPr="00D8220B">
              <w:rPr>
                <w:rFonts w:asciiTheme="minorHAnsi" w:hAnsiTheme="minorHAnsi" w:cs="Arial"/>
                <w:sz w:val="22"/>
                <w:szCs w:val="22"/>
              </w:rPr>
              <w:instrText xml:space="preserve"> XE "</w:instrText>
            </w:r>
            <w:r w:rsidRPr="00D8220B">
              <w:rPr>
                <w:rStyle w:val="Strong"/>
                <w:rFonts w:asciiTheme="minorHAnsi" w:hAnsiTheme="minorHAnsi" w:cs="Arial"/>
                <w:b w:val="0"/>
                <w:szCs w:val="22"/>
              </w:rPr>
              <w:instrText>Replace on Burnout</w:instrText>
            </w:r>
            <w:r w:rsidRPr="00D8220B">
              <w:rPr>
                <w:rFonts w:asciiTheme="minorHAnsi" w:hAnsiTheme="minorHAnsi" w:cs="Arial"/>
                <w:sz w:val="22"/>
                <w:szCs w:val="22"/>
              </w:rPr>
              <w:instrText xml:space="preserve">" </w:instrText>
            </w:r>
            <w:r w:rsidRPr="00D8220B">
              <w:rPr>
                <w:rStyle w:val="Strong"/>
                <w:rFonts w:asciiTheme="minorHAnsi" w:hAnsiTheme="minorHAnsi" w:cs="Arial"/>
                <w:b w:val="0"/>
                <w:szCs w:val="22"/>
              </w:rPr>
              <w:fldChar w:fldCharType="end"/>
            </w:r>
            <w:r w:rsidRPr="00D8220B">
              <w:rPr>
                <w:rStyle w:val="Strong"/>
                <w:rFonts w:asciiTheme="minorHAnsi" w:hAnsiTheme="minorHAnsi" w:cs="Arial"/>
                <w:b w:val="0"/>
                <w:szCs w:val="22"/>
              </w:rPr>
              <w:t xml:space="preserve">) </w:t>
            </w:r>
          </w:p>
        </w:tc>
        <w:tc>
          <w:tcPr>
            <w:tcW w:w="3112" w:type="dxa"/>
            <w:tcBorders>
              <w:bottom w:val="single" w:sz="18" w:space="0" w:color="FFFFFF"/>
            </w:tcBorders>
            <w:shd w:val="pct5" w:color="000000" w:fill="FFFFFF"/>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 Base Case Equipment Cost</w:t>
            </w:r>
          </w:p>
        </w:tc>
        <w:tc>
          <w:tcPr>
            <w:tcW w:w="2070" w:type="dxa"/>
            <w:tcBorders>
              <w:bottom w:val="single" w:sz="18" w:space="0" w:color="FFFFFF"/>
            </w:tcBorders>
            <w:shd w:val="pct5" w:color="000000" w:fill="FFFFFF"/>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N/A</w:t>
            </w:r>
          </w:p>
        </w:tc>
        <w:tc>
          <w:tcPr>
            <w:tcW w:w="2970" w:type="dxa"/>
            <w:tcBorders>
              <w:bottom w:val="single" w:sz="18" w:space="0" w:color="FFFFFF"/>
            </w:tcBorders>
            <w:shd w:val="pct5" w:color="000000" w:fill="FFFFFF"/>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 Base Case Equipment Cost</w:t>
            </w:r>
          </w:p>
        </w:tc>
      </w:tr>
      <w:tr w:rsidR="00284436" w:rsidRPr="00AD6DC3" w:rsidTr="00D8220B">
        <w:trPr>
          <w:trHeight w:val="170"/>
        </w:trPr>
        <w:tc>
          <w:tcPr>
            <w:tcW w:w="1406" w:type="dxa"/>
            <w:tcBorders>
              <w:top w:val="single" w:sz="18" w:space="0" w:color="FFFFFF"/>
              <w:left w:val="single" w:sz="18" w:space="0" w:color="FFFFFF"/>
              <w:bottom w:val="single" w:sz="18" w:space="0" w:color="FFFFFF"/>
              <w:right w:val="single" w:sz="18" w:space="0" w:color="FFFFFF"/>
            </w:tcBorders>
            <w:shd w:val="clear" w:color="auto" w:fill="FFFFFF" w:themeFill="background1"/>
            <w:noWrap/>
            <w:vAlign w:val="bottom"/>
          </w:tcPr>
          <w:p w:rsidR="00284436" w:rsidRPr="00D8220B" w:rsidRDefault="00284436" w:rsidP="00284436">
            <w:pPr>
              <w:spacing w:before="120" w:after="120"/>
              <w:jc w:val="center"/>
              <w:rPr>
                <w:rStyle w:val="Strong"/>
                <w:rFonts w:asciiTheme="minorHAnsi" w:hAnsiTheme="minorHAnsi" w:cs="Arial"/>
                <w:i/>
                <w:szCs w:val="22"/>
              </w:rPr>
            </w:pPr>
            <w:r w:rsidRPr="00D8220B">
              <w:rPr>
                <w:rStyle w:val="Strong"/>
                <w:rFonts w:asciiTheme="minorHAnsi" w:hAnsiTheme="minorHAnsi" w:cs="Arial"/>
                <w:i/>
                <w:szCs w:val="22"/>
              </w:rPr>
              <w:t>NR</w:t>
            </w:r>
            <w:r w:rsidRPr="00D8220B">
              <w:rPr>
                <w:rStyle w:val="Strong"/>
                <w:rFonts w:asciiTheme="minorHAnsi" w:hAnsiTheme="minorHAnsi" w:cs="Arial"/>
                <w:b w:val="0"/>
                <w:szCs w:val="22"/>
              </w:rPr>
              <w:t xml:space="preserve"> (Normal Replacement</w:t>
            </w:r>
          </w:p>
        </w:tc>
        <w:tc>
          <w:tcPr>
            <w:tcW w:w="3112" w:type="dxa"/>
            <w:tcBorders>
              <w:top w:val="single" w:sz="18" w:space="0" w:color="FFFFFF"/>
              <w:left w:val="single" w:sz="18" w:space="0" w:color="FFFFFF"/>
              <w:bottom w:val="single" w:sz="18" w:space="0" w:color="FFFFFF"/>
              <w:right w:val="single" w:sz="18" w:space="0" w:color="FFFFFF"/>
            </w:tcBorders>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FFFFFF" w:themeFill="background1"/>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 Base Case Equipment Cost</w:t>
            </w:r>
          </w:p>
        </w:tc>
      </w:tr>
      <w:tr w:rsidR="00284436" w:rsidRPr="00AD6DC3" w:rsidTr="00D8220B">
        <w:trPr>
          <w:trHeight w:val="170"/>
        </w:trPr>
        <w:tc>
          <w:tcPr>
            <w:tcW w:w="1406" w:type="dxa"/>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noWrap/>
            <w:vAlign w:val="bottom"/>
          </w:tcPr>
          <w:p w:rsidR="00284436" w:rsidRPr="00D8220B" w:rsidRDefault="00284436" w:rsidP="00284436">
            <w:pPr>
              <w:spacing w:before="120" w:after="120"/>
              <w:jc w:val="center"/>
              <w:rPr>
                <w:rStyle w:val="Strong"/>
                <w:rFonts w:asciiTheme="minorHAnsi" w:hAnsiTheme="minorHAnsi" w:cs="Arial"/>
                <w:szCs w:val="22"/>
              </w:rPr>
            </w:pPr>
            <w:r w:rsidRPr="00D8220B">
              <w:rPr>
                <w:rStyle w:val="Strong"/>
                <w:rFonts w:asciiTheme="minorHAnsi" w:hAnsiTheme="minorHAnsi" w:cs="Arial"/>
                <w:szCs w:val="22"/>
              </w:rPr>
              <w:t>REA</w:t>
            </w:r>
            <w:r w:rsidRPr="00D8220B">
              <w:rPr>
                <w:rStyle w:val="Strong"/>
                <w:rFonts w:asciiTheme="minorHAnsi" w:hAnsiTheme="minorHAnsi" w:cs="Arial"/>
                <w:b w:val="0"/>
                <w:szCs w:val="22"/>
              </w:rPr>
              <w:t xml:space="preserve"> (Retrofit Add-On)</w:t>
            </w:r>
          </w:p>
        </w:tc>
        <w:tc>
          <w:tcPr>
            <w:tcW w:w="3112" w:type="dxa"/>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Labor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F2F2F2" w:themeFill="background1" w:themeFillShade="F2"/>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Labor Cost</w:t>
            </w:r>
          </w:p>
        </w:tc>
      </w:tr>
      <w:tr w:rsidR="00284436" w:rsidRPr="00AD6DC3" w:rsidTr="00D8220B">
        <w:trPr>
          <w:trHeight w:val="170"/>
        </w:trPr>
        <w:tc>
          <w:tcPr>
            <w:tcW w:w="1406" w:type="dxa"/>
            <w:tcBorders>
              <w:top w:val="single" w:sz="18" w:space="0" w:color="FFFFFF"/>
              <w:left w:val="single" w:sz="18" w:space="0" w:color="FFFFFF"/>
              <w:bottom w:val="single" w:sz="18" w:space="0" w:color="FFFFFF"/>
              <w:right w:val="single" w:sz="18" w:space="0" w:color="FFFFFF"/>
            </w:tcBorders>
            <w:shd w:val="clear" w:color="auto" w:fill="FFFFFF" w:themeFill="background1"/>
            <w:noWrap/>
            <w:vAlign w:val="bottom"/>
          </w:tcPr>
          <w:p w:rsidR="00284436" w:rsidRPr="00D8220B" w:rsidRDefault="00284436" w:rsidP="00284436">
            <w:pPr>
              <w:spacing w:before="120" w:after="120"/>
              <w:jc w:val="center"/>
              <w:rPr>
                <w:rStyle w:val="Strong"/>
                <w:rFonts w:asciiTheme="minorHAnsi" w:hAnsiTheme="minorHAnsi" w:cs="Arial"/>
                <w:szCs w:val="22"/>
              </w:rPr>
            </w:pPr>
            <w:r w:rsidRPr="00D8220B">
              <w:rPr>
                <w:rStyle w:val="Strong"/>
                <w:rFonts w:asciiTheme="minorHAnsi" w:hAnsiTheme="minorHAnsi" w:cs="Arial"/>
                <w:i/>
                <w:szCs w:val="22"/>
              </w:rPr>
              <w:t>NC</w:t>
            </w:r>
            <w:r w:rsidRPr="00D8220B">
              <w:rPr>
                <w:rStyle w:val="Strong"/>
                <w:rFonts w:asciiTheme="minorHAnsi" w:hAnsiTheme="minorHAnsi" w:cs="Arial"/>
                <w:b w:val="0"/>
                <w:szCs w:val="22"/>
              </w:rPr>
              <w:t xml:space="preserve"> (New Construction</w:t>
            </w:r>
            <w:r w:rsidRPr="00D8220B">
              <w:rPr>
                <w:rStyle w:val="Strong"/>
                <w:rFonts w:asciiTheme="minorHAnsi" w:hAnsiTheme="minorHAnsi" w:cs="Arial"/>
                <w:b w:val="0"/>
                <w:szCs w:val="22"/>
              </w:rPr>
              <w:fldChar w:fldCharType="begin"/>
            </w:r>
            <w:r w:rsidRPr="00D8220B">
              <w:rPr>
                <w:rFonts w:asciiTheme="minorHAnsi" w:hAnsiTheme="minorHAnsi" w:cs="Arial"/>
                <w:sz w:val="22"/>
                <w:szCs w:val="22"/>
              </w:rPr>
              <w:instrText xml:space="preserve"> XE "N</w:instrText>
            </w:r>
            <w:r w:rsidRPr="00D8220B">
              <w:rPr>
                <w:rStyle w:val="Strong"/>
                <w:rFonts w:asciiTheme="minorHAnsi" w:hAnsiTheme="minorHAnsi" w:cs="Arial"/>
                <w:b w:val="0"/>
                <w:szCs w:val="22"/>
              </w:rPr>
              <w:instrText>ew Construction</w:instrText>
            </w:r>
            <w:r w:rsidRPr="00D8220B">
              <w:rPr>
                <w:rFonts w:asciiTheme="minorHAnsi" w:hAnsiTheme="minorHAnsi" w:cs="Arial"/>
                <w:sz w:val="22"/>
                <w:szCs w:val="22"/>
              </w:rPr>
              <w:instrText xml:space="preserve">" </w:instrText>
            </w:r>
            <w:r w:rsidRPr="00D8220B">
              <w:rPr>
                <w:rStyle w:val="Strong"/>
                <w:rFonts w:asciiTheme="minorHAnsi" w:hAnsiTheme="minorHAnsi" w:cs="Arial"/>
                <w:b w:val="0"/>
                <w:szCs w:val="22"/>
              </w:rPr>
              <w:fldChar w:fldCharType="end"/>
            </w:r>
            <w:r w:rsidRPr="00D8220B">
              <w:rPr>
                <w:rStyle w:val="Strong"/>
                <w:rFonts w:asciiTheme="minorHAnsi" w:hAnsiTheme="minorHAnsi" w:cs="Arial"/>
                <w:b w:val="0"/>
                <w:szCs w:val="22"/>
              </w:rPr>
              <w:t>)</w:t>
            </w:r>
          </w:p>
        </w:tc>
        <w:tc>
          <w:tcPr>
            <w:tcW w:w="3112" w:type="dxa"/>
            <w:tcBorders>
              <w:top w:val="single" w:sz="18" w:space="0" w:color="FFFFFF"/>
              <w:left w:val="single" w:sz="18" w:space="0" w:color="FFFFFF"/>
              <w:bottom w:val="single" w:sz="18" w:space="0" w:color="FFFFFF"/>
              <w:right w:val="single" w:sz="18" w:space="0" w:color="FFFFFF"/>
            </w:tcBorders>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FFFFFF" w:themeFill="background1"/>
            <w:noWrap/>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FFFFFF" w:themeFill="background1"/>
            <w:vAlign w:val="center"/>
          </w:tcPr>
          <w:p w:rsidR="00284436" w:rsidRPr="00D8220B" w:rsidRDefault="00284436" w:rsidP="00284436">
            <w:pPr>
              <w:jc w:val="center"/>
              <w:rPr>
                <w:rFonts w:asciiTheme="minorHAnsi" w:hAnsiTheme="minorHAnsi" w:cs="Arial"/>
                <w:sz w:val="22"/>
                <w:szCs w:val="22"/>
              </w:rPr>
            </w:pPr>
            <w:r w:rsidRPr="00D8220B">
              <w:rPr>
                <w:rFonts w:asciiTheme="minorHAnsi" w:hAnsiTheme="minorHAnsi" w:cs="Arial"/>
                <w:sz w:val="22"/>
                <w:szCs w:val="22"/>
              </w:rPr>
              <w:t>Measure Equipment Cost</w:t>
            </w:r>
          </w:p>
        </w:tc>
      </w:tr>
    </w:tbl>
    <w:p w:rsidR="00284436" w:rsidRDefault="0028443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LightCondense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alatino">
    <w:charset w:val="00"/>
    <w:family w:val="auto"/>
    <w:pitch w:val="variable"/>
    <w:sig w:usb0="A00002FF" w:usb1="7800205A" w:usb2="14600000" w:usb3="00000000" w:csb0="00000193"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36" w:rsidRDefault="0028443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4436" w:rsidRDefault="002844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36" w:rsidRPr="00846195" w:rsidRDefault="00284436"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w:t>
    </w:r>
    <w:r w:rsidRPr="00846195">
      <w:rPr>
        <w:rStyle w:val="PageNumber"/>
        <w:b/>
        <w:sz w:val="20"/>
        <w:szCs w:val="20"/>
      </w:rPr>
      <w:fldChar w:fldCharType="end"/>
    </w:r>
  </w:p>
  <w:p w:rsidR="00284436" w:rsidRDefault="00284436"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12/6/2013</w:t>
    </w:r>
  </w:p>
  <w:p w:rsidR="00284436" w:rsidRDefault="00284436" w:rsidP="00D7047A">
    <w:pPr>
      <w:pStyle w:val="Footer"/>
      <w:rPr>
        <w:b/>
        <w:sz w:val="20"/>
        <w:szCs w:val="20"/>
      </w:rPr>
    </w:pPr>
    <w:r>
      <w:rPr>
        <w:b/>
        <w:sz w:val="20"/>
        <w:szCs w:val="20"/>
      </w:rPr>
      <w:t>Pacific Gas &amp; Electric Company</w:t>
    </w:r>
  </w:p>
  <w:p w:rsidR="00284436" w:rsidRPr="00081FB4" w:rsidRDefault="00284436" w:rsidP="00D7047A">
    <w:pPr>
      <w:pStyle w:val="Footer"/>
      <w:rPr>
        <w:noProof/>
        <w:sz w:val="20"/>
        <w:szCs w:val="20"/>
      </w:rPr>
    </w:pPr>
    <w:r w:rsidRPr="00893A0F">
      <w:rPr>
        <w:noProof/>
        <w:sz w:val="20"/>
        <w:szCs w:val="20"/>
      </w:rPr>
      <w:t>PGECO</w:t>
    </w:r>
    <w:r>
      <w:rPr>
        <w:noProof/>
        <w:sz w:val="20"/>
        <w:szCs w:val="20"/>
      </w:rPr>
      <w:t>HVC101 R3</w:t>
    </w:r>
    <w:r w:rsidRPr="00893A0F">
      <w:rPr>
        <w:noProof/>
        <w:sz w:val="20"/>
        <w:szCs w:val="20"/>
      </w:rPr>
      <w:t xml:space="preserve"> </w:t>
    </w:r>
    <w:r>
      <w:rPr>
        <w:noProof/>
        <w:sz w:val="20"/>
        <w:szCs w:val="20"/>
      </w:rPr>
      <w:t>Large DHW Boiler</w:t>
    </w:r>
    <w:r w:rsidRPr="00893A0F">
      <w:rPr>
        <w:noProof/>
        <w:sz w:val="20"/>
        <w:szCs w:val="20"/>
      </w:rPr>
      <w:t>.doc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36" w:rsidRPr="00CF5CFF" w:rsidRDefault="00284436" w:rsidP="00D7047A">
    <w:pPr>
      <w:pStyle w:val="Footer"/>
      <w:jc w:val="right"/>
      <w:rPr>
        <w:rFonts w:asciiTheme="minorHAnsi" w:hAnsiTheme="minorHAnsi" w:cs="Arial"/>
        <w:b/>
        <w:sz w:val="36"/>
        <w:szCs w:val="36"/>
      </w:rPr>
    </w:pPr>
    <w:r w:rsidRPr="00CF5CFF">
      <w:rPr>
        <w:rFonts w:asciiTheme="minorHAnsi" w:hAnsiTheme="minorHAnsi" w:cs="Arial"/>
        <w:b/>
        <w:sz w:val="36"/>
        <w:szCs w:val="36"/>
      </w:rPr>
      <w:t>June 28, 2016</w:t>
    </w:r>
  </w:p>
  <w:p w:rsidR="00284436" w:rsidRDefault="0028443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36" w:rsidRPr="00846195" w:rsidRDefault="00284436" w:rsidP="00D34F30">
    <w:pPr>
      <w:pStyle w:val="Footer"/>
      <w:framePr w:wrap="around" w:vAnchor="text" w:hAnchor="page" w:x="6076" w:y="6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51754A">
      <w:rPr>
        <w:rStyle w:val="PageNumber"/>
        <w:b/>
        <w:noProof/>
        <w:sz w:val="20"/>
        <w:szCs w:val="20"/>
      </w:rPr>
      <w:t>2</w:t>
    </w:r>
    <w:r w:rsidRPr="00846195">
      <w:rPr>
        <w:rStyle w:val="PageNumber"/>
        <w:b/>
        <w:sz w:val="20"/>
        <w:szCs w:val="20"/>
      </w:rPr>
      <w:fldChar w:fldCharType="end"/>
    </w:r>
  </w:p>
  <w:p w:rsidR="00284436" w:rsidRPr="00CF5CFF" w:rsidRDefault="00284436" w:rsidP="00D7047A">
    <w:pPr>
      <w:pStyle w:val="Footer"/>
      <w:pBdr>
        <w:top w:val="single" w:sz="4" w:space="1" w:color="auto"/>
      </w:pBdr>
      <w:tabs>
        <w:tab w:val="clear" w:pos="8640"/>
        <w:tab w:val="right" w:pos="9360"/>
      </w:tabs>
      <w:rPr>
        <w:rFonts w:asciiTheme="minorHAnsi" w:hAnsiTheme="minorHAnsi"/>
        <w:b/>
        <w:sz w:val="22"/>
        <w:szCs w:val="22"/>
      </w:rPr>
    </w:pPr>
    <w:r w:rsidRPr="00CF5CFF">
      <w:rPr>
        <w:rFonts w:asciiTheme="minorHAnsi" w:hAnsiTheme="minorHAnsi"/>
        <w:b/>
        <w:sz w:val="22"/>
        <w:szCs w:val="22"/>
      </w:rPr>
      <w:t>WPSDGENRHC0026 Revision 3</w:t>
    </w:r>
    <w:r w:rsidRPr="00CF5CFF">
      <w:rPr>
        <w:rFonts w:asciiTheme="minorHAnsi" w:hAnsiTheme="minorHAnsi"/>
        <w:b/>
        <w:sz w:val="22"/>
        <w:szCs w:val="22"/>
      </w:rPr>
      <w:tab/>
    </w:r>
    <w:r w:rsidRPr="00CF5CFF">
      <w:rPr>
        <w:rFonts w:asciiTheme="minorHAnsi" w:hAnsiTheme="minorHAnsi"/>
        <w:b/>
        <w:sz w:val="22"/>
        <w:szCs w:val="22"/>
      </w:rPr>
      <w:tab/>
      <w:t>06/28/2016</w:t>
    </w:r>
  </w:p>
  <w:p w:rsidR="00284436" w:rsidRPr="00CF5CFF" w:rsidRDefault="00284436" w:rsidP="00D7047A">
    <w:pPr>
      <w:pStyle w:val="Footer"/>
      <w:rPr>
        <w:rFonts w:asciiTheme="minorHAnsi" w:hAnsiTheme="minorHAnsi"/>
        <w:b/>
        <w:sz w:val="22"/>
        <w:szCs w:val="22"/>
      </w:rPr>
    </w:pPr>
    <w:r w:rsidRPr="00CF5CFF">
      <w:rPr>
        <w:rFonts w:asciiTheme="minorHAnsi" w:hAnsiTheme="minorHAnsi"/>
        <w:b/>
        <w:sz w:val="22"/>
        <w:szCs w:val="22"/>
      </w:rPr>
      <w:t>San Diego Gas &amp; Electric Company</w:t>
    </w:r>
  </w:p>
  <w:p w:rsidR="00284436" w:rsidRPr="00D7047A" w:rsidRDefault="00284436" w:rsidP="00660047">
    <w:pPr>
      <w:pStyle w:val="Footer"/>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029" w:rsidRDefault="00C10029">
      <w:r>
        <w:separator/>
      </w:r>
    </w:p>
  </w:footnote>
  <w:footnote w:type="continuationSeparator" w:id="0">
    <w:p w:rsidR="00C10029" w:rsidRDefault="00C10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36" w:rsidRDefault="002844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36" w:rsidRDefault="00284436" w:rsidP="001A573F">
    <w:pPr>
      <w:pStyle w:val="Header"/>
      <w:jc w:val="right"/>
    </w:pPr>
  </w:p>
  <w:p w:rsidR="00284436" w:rsidRDefault="00284436"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36" w:rsidRDefault="002844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115D"/>
    <w:multiLevelType w:val="hybridMultilevel"/>
    <w:tmpl w:val="AA2CCFAE"/>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A02D03"/>
    <w:multiLevelType w:val="hybridMultilevel"/>
    <w:tmpl w:val="554E13AC"/>
    <w:lvl w:ilvl="0" w:tplc="72C8C0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39544F"/>
    <w:multiLevelType w:val="hybridMultilevel"/>
    <w:tmpl w:val="57223A44"/>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3C6FD8"/>
    <w:multiLevelType w:val="hybridMultilevel"/>
    <w:tmpl w:val="20BAC2BA"/>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A69744F"/>
    <w:multiLevelType w:val="hybridMultilevel"/>
    <w:tmpl w:val="9CD2CDB6"/>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B455E49"/>
    <w:multiLevelType w:val="hybridMultilevel"/>
    <w:tmpl w:val="AB38F1C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1B6F1EAC"/>
    <w:multiLevelType w:val="hybridMultilevel"/>
    <w:tmpl w:val="E7206EC0"/>
    <w:lvl w:ilvl="0" w:tplc="C50E3C5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065756C"/>
    <w:multiLevelType w:val="hybridMultilevel"/>
    <w:tmpl w:val="06E839D0"/>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2B0E7D"/>
    <w:multiLevelType w:val="hybridMultilevel"/>
    <w:tmpl w:val="ED0A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270E6FA4"/>
    <w:multiLevelType w:val="hybridMultilevel"/>
    <w:tmpl w:val="5CC0861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FB0082"/>
    <w:multiLevelType w:val="hybridMultilevel"/>
    <w:tmpl w:val="2F901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Garamond-LightCondense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Garamond-LightCondense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Garamond-LightCondense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21">
    <w:nsid w:val="359F4055"/>
    <w:multiLevelType w:val="hybridMultilevel"/>
    <w:tmpl w:val="6C9E59F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3612BE6"/>
    <w:multiLevelType w:val="hybridMultilevel"/>
    <w:tmpl w:val="9702C08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175963"/>
    <w:multiLevelType w:val="hybridMultilevel"/>
    <w:tmpl w:val="C8642BA2"/>
    <w:lvl w:ilvl="0" w:tplc="DCDED1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8EE269F"/>
    <w:multiLevelType w:val="hybridMultilevel"/>
    <w:tmpl w:val="940ACD8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A44C63"/>
    <w:multiLevelType w:val="hybridMultilevel"/>
    <w:tmpl w:val="AB38F1C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6262E79"/>
    <w:multiLevelType w:val="hybridMultilevel"/>
    <w:tmpl w:val="48BA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4701D0"/>
    <w:multiLevelType w:val="hybridMultilevel"/>
    <w:tmpl w:val="666E2204"/>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3">
    <w:nsid w:val="60450D27"/>
    <w:multiLevelType w:val="hybridMultilevel"/>
    <w:tmpl w:val="8236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61664B8C"/>
    <w:multiLevelType w:val="hybridMultilevel"/>
    <w:tmpl w:val="EA94D65C"/>
    <w:lvl w:ilvl="0" w:tplc="CF02058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BD4DFE"/>
    <w:multiLevelType w:val="hybridMultilevel"/>
    <w:tmpl w:val="7C7031C4"/>
    <w:lvl w:ilvl="0" w:tplc="C50E3C5E">
      <w:start w:val="1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4B12F02"/>
    <w:multiLevelType w:val="hybridMultilevel"/>
    <w:tmpl w:val="4AD08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8253EC"/>
    <w:multiLevelType w:val="hybridMultilevel"/>
    <w:tmpl w:val="14D8036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5076336"/>
    <w:multiLevelType w:val="hybridMultilevel"/>
    <w:tmpl w:val="8FEA8AF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820856"/>
    <w:multiLevelType w:val="singleLevel"/>
    <w:tmpl w:val="6C78A414"/>
    <w:lvl w:ilvl="0">
      <w:start w:val="1"/>
      <w:numFmt w:val="decimal"/>
      <w:lvlText w:val="%1."/>
      <w:legacy w:legacy="1" w:legacySpace="0" w:legacyIndent="0"/>
      <w:lvlJc w:val="left"/>
    </w:lvl>
  </w:abstractNum>
  <w:abstractNum w:abstractNumId="43">
    <w:nsid w:val="792018DB"/>
    <w:multiLevelType w:val="hybridMultilevel"/>
    <w:tmpl w:val="A2588882"/>
    <w:lvl w:ilvl="0" w:tplc="C50E3C5E">
      <w:start w:val="1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667D8D"/>
    <w:multiLevelType w:val="hybridMultilevel"/>
    <w:tmpl w:val="17D25968"/>
    <w:lvl w:ilvl="0" w:tplc="572E1A1E">
      <w:start w:val="1"/>
      <w:numFmt w:val="lowerLetter"/>
      <w:lvlText w:val="(%1)"/>
      <w:lvlJc w:val="left"/>
      <w:pPr>
        <w:ind w:left="1080" w:hanging="360"/>
      </w:pPr>
      <w:rPr>
        <w:rFonts w:hint="default"/>
      </w:rPr>
    </w:lvl>
    <w:lvl w:ilvl="1" w:tplc="83864B4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C581147"/>
    <w:multiLevelType w:val="hybridMultilevel"/>
    <w:tmpl w:val="78E2E644"/>
    <w:lvl w:ilvl="0" w:tplc="7862EA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DD06857"/>
    <w:multiLevelType w:val="hybridMultilevel"/>
    <w:tmpl w:val="2C6EE4D6"/>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8"/>
  </w:num>
  <w:num w:numId="4">
    <w:abstractNumId w:val="13"/>
  </w:num>
  <w:num w:numId="5">
    <w:abstractNumId w:val="42"/>
  </w:num>
  <w:num w:numId="6">
    <w:abstractNumId w:val="20"/>
  </w:num>
  <w:num w:numId="7">
    <w:abstractNumId w:val="9"/>
  </w:num>
  <w:num w:numId="8">
    <w:abstractNumId w:val="23"/>
  </w:num>
  <w:num w:numId="9">
    <w:abstractNumId w:val="17"/>
  </w:num>
  <w:num w:numId="10">
    <w:abstractNumId w:val="3"/>
  </w:num>
  <w:num w:numId="11">
    <w:abstractNumId w:val="32"/>
  </w:num>
  <w:num w:numId="12">
    <w:abstractNumId w:val="34"/>
  </w:num>
  <w:num w:numId="13">
    <w:abstractNumId w:val="5"/>
  </w:num>
  <w:num w:numId="14">
    <w:abstractNumId w:val="45"/>
  </w:num>
  <w:num w:numId="15">
    <w:abstractNumId w:val="24"/>
  </w:num>
  <w:num w:numId="16">
    <w:abstractNumId w:val="27"/>
  </w:num>
  <w:num w:numId="17">
    <w:abstractNumId w:val="1"/>
  </w:num>
  <w:num w:numId="18">
    <w:abstractNumId w:val="16"/>
  </w:num>
  <w:num w:numId="19">
    <w:abstractNumId w:val="39"/>
  </w:num>
  <w:num w:numId="20">
    <w:abstractNumId w:val="40"/>
  </w:num>
  <w:num w:numId="21">
    <w:abstractNumId w:val="19"/>
  </w:num>
  <w:num w:numId="22">
    <w:abstractNumId w:val="15"/>
  </w:num>
  <w:num w:numId="23">
    <w:abstractNumId w:val="30"/>
  </w:num>
  <w:num w:numId="24">
    <w:abstractNumId w:val="33"/>
  </w:num>
  <w:num w:numId="25">
    <w:abstractNumId w:val="37"/>
  </w:num>
  <w:num w:numId="26">
    <w:abstractNumId w:val="44"/>
  </w:num>
  <w:num w:numId="27">
    <w:abstractNumId w:val="43"/>
  </w:num>
  <w:num w:numId="28">
    <w:abstractNumId w:val="2"/>
  </w:num>
  <w:num w:numId="29">
    <w:abstractNumId w:val="26"/>
  </w:num>
  <w:num w:numId="30">
    <w:abstractNumId w:val="12"/>
  </w:num>
  <w:num w:numId="31">
    <w:abstractNumId w:val="10"/>
  </w:num>
  <w:num w:numId="32">
    <w:abstractNumId w:val="41"/>
  </w:num>
  <w:num w:numId="33">
    <w:abstractNumId w:val="21"/>
  </w:num>
  <w:num w:numId="34">
    <w:abstractNumId w:val="47"/>
  </w:num>
  <w:num w:numId="35">
    <w:abstractNumId w:val="31"/>
  </w:num>
  <w:num w:numId="36">
    <w:abstractNumId w:val="36"/>
  </w:num>
  <w:num w:numId="37">
    <w:abstractNumId w:val="28"/>
  </w:num>
  <w:num w:numId="38">
    <w:abstractNumId w:val="25"/>
  </w:num>
  <w:num w:numId="39">
    <w:abstractNumId w:val="18"/>
  </w:num>
  <w:num w:numId="40">
    <w:abstractNumId w:val="7"/>
  </w:num>
  <w:num w:numId="41">
    <w:abstractNumId w:val="0"/>
  </w:num>
  <w:num w:numId="42">
    <w:abstractNumId w:val="14"/>
  </w:num>
  <w:num w:numId="43">
    <w:abstractNumId w:val="6"/>
  </w:num>
  <w:num w:numId="44">
    <w:abstractNumId w:val="35"/>
  </w:num>
  <w:num w:numId="45">
    <w:abstractNumId w:val="46"/>
  </w:num>
  <w:num w:numId="46">
    <w:abstractNumId w:val="11"/>
  </w:num>
  <w:num w:numId="47">
    <w:abstractNumId w:val="29"/>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1F2"/>
    <w:rsid w:val="0000127B"/>
    <w:rsid w:val="00002642"/>
    <w:rsid w:val="000050CC"/>
    <w:rsid w:val="00005E70"/>
    <w:rsid w:val="00012F86"/>
    <w:rsid w:val="0001420B"/>
    <w:rsid w:val="00014740"/>
    <w:rsid w:val="00014742"/>
    <w:rsid w:val="000170B5"/>
    <w:rsid w:val="00017488"/>
    <w:rsid w:val="0002118E"/>
    <w:rsid w:val="00021DE9"/>
    <w:rsid w:val="00022172"/>
    <w:rsid w:val="00022413"/>
    <w:rsid w:val="00023102"/>
    <w:rsid w:val="00023F16"/>
    <w:rsid w:val="00023F36"/>
    <w:rsid w:val="00024AA9"/>
    <w:rsid w:val="00026F78"/>
    <w:rsid w:val="000272C2"/>
    <w:rsid w:val="0003064A"/>
    <w:rsid w:val="00031DE6"/>
    <w:rsid w:val="00032B63"/>
    <w:rsid w:val="00033989"/>
    <w:rsid w:val="000344AB"/>
    <w:rsid w:val="000351CB"/>
    <w:rsid w:val="000373B0"/>
    <w:rsid w:val="000374A5"/>
    <w:rsid w:val="00037E1E"/>
    <w:rsid w:val="00041878"/>
    <w:rsid w:val="00044365"/>
    <w:rsid w:val="00044570"/>
    <w:rsid w:val="000448A5"/>
    <w:rsid w:val="0004503A"/>
    <w:rsid w:val="00046D10"/>
    <w:rsid w:val="00050D0C"/>
    <w:rsid w:val="00051FC5"/>
    <w:rsid w:val="00052561"/>
    <w:rsid w:val="00053CD8"/>
    <w:rsid w:val="0005535A"/>
    <w:rsid w:val="00055973"/>
    <w:rsid w:val="00056DB9"/>
    <w:rsid w:val="000571F6"/>
    <w:rsid w:val="0005796E"/>
    <w:rsid w:val="00057C09"/>
    <w:rsid w:val="00063A83"/>
    <w:rsid w:val="00063FA7"/>
    <w:rsid w:val="0006490F"/>
    <w:rsid w:val="00066D5B"/>
    <w:rsid w:val="000678A2"/>
    <w:rsid w:val="00067EB5"/>
    <w:rsid w:val="000701EB"/>
    <w:rsid w:val="00071190"/>
    <w:rsid w:val="000719AA"/>
    <w:rsid w:val="00072F35"/>
    <w:rsid w:val="00073184"/>
    <w:rsid w:val="00073E7D"/>
    <w:rsid w:val="000749EA"/>
    <w:rsid w:val="00075E07"/>
    <w:rsid w:val="00077161"/>
    <w:rsid w:val="00077DC4"/>
    <w:rsid w:val="000802BA"/>
    <w:rsid w:val="000814B9"/>
    <w:rsid w:val="00081FB4"/>
    <w:rsid w:val="00082EE1"/>
    <w:rsid w:val="000830EB"/>
    <w:rsid w:val="000842B9"/>
    <w:rsid w:val="0008537D"/>
    <w:rsid w:val="00085DF5"/>
    <w:rsid w:val="00086594"/>
    <w:rsid w:val="00087378"/>
    <w:rsid w:val="00094943"/>
    <w:rsid w:val="00095610"/>
    <w:rsid w:val="00095C1D"/>
    <w:rsid w:val="000966CC"/>
    <w:rsid w:val="000A1ADB"/>
    <w:rsid w:val="000A2490"/>
    <w:rsid w:val="000A2FB3"/>
    <w:rsid w:val="000A48F2"/>
    <w:rsid w:val="000A5152"/>
    <w:rsid w:val="000A7376"/>
    <w:rsid w:val="000B0B1E"/>
    <w:rsid w:val="000B2A6B"/>
    <w:rsid w:val="000B368B"/>
    <w:rsid w:val="000B3D6E"/>
    <w:rsid w:val="000B71D2"/>
    <w:rsid w:val="000C0FD3"/>
    <w:rsid w:val="000C23B1"/>
    <w:rsid w:val="000C4909"/>
    <w:rsid w:val="000C56C0"/>
    <w:rsid w:val="000C5FFA"/>
    <w:rsid w:val="000D47BE"/>
    <w:rsid w:val="000D4BF3"/>
    <w:rsid w:val="000D5047"/>
    <w:rsid w:val="000D5790"/>
    <w:rsid w:val="000D64B7"/>
    <w:rsid w:val="000D6DA4"/>
    <w:rsid w:val="000E0350"/>
    <w:rsid w:val="000E096D"/>
    <w:rsid w:val="000E132D"/>
    <w:rsid w:val="000E1C56"/>
    <w:rsid w:val="000E273A"/>
    <w:rsid w:val="000E31B5"/>
    <w:rsid w:val="000E4FEF"/>
    <w:rsid w:val="000E6E80"/>
    <w:rsid w:val="000F0069"/>
    <w:rsid w:val="000F0629"/>
    <w:rsid w:val="000F0C5D"/>
    <w:rsid w:val="000F11DD"/>
    <w:rsid w:val="000F16B4"/>
    <w:rsid w:val="000F2774"/>
    <w:rsid w:val="000F3B0B"/>
    <w:rsid w:val="000F3DB7"/>
    <w:rsid w:val="000F4AAD"/>
    <w:rsid w:val="001009E0"/>
    <w:rsid w:val="0010148F"/>
    <w:rsid w:val="00101E3D"/>
    <w:rsid w:val="00102BF4"/>
    <w:rsid w:val="00105438"/>
    <w:rsid w:val="0010696F"/>
    <w:rsid w:val="001076B9"/>
    <w:rsid w:val="00111AE5"/>
    <w:rsid w:val="0011438C"/>
    <w:rsid w:val="00114C1F"/>
    <w:rsid w:val="00115131"/>
    <w:rsid w:val="00115EB1"/>
    <w:rsid w:val="0012128C"/>
    <w:rsid w:val="00121D23"/>
    <w:rsid w:val="00123BBB"/>
    <w:rsid w:val="001248A3"/>
    <w:rsid w:val="00124F32"/>
    <w:rsid w:val="001252C2"/>
    <w:rsid w:val="0012584A"/>
    <w:rsid w:val="00125CF7"/>
    <w:rsid w:val="00126483"/>
    <w:rsid w:val="00126A4E"/>
    <w:rsid w:val="00127CC8"/>
    <w:rsid w:val="0013046A"/>
    <w:rsid w:val="0013080C"/>
    <w:rsid w:val="0013087E"/>
    <w:rsid w:val="00132D97"/>
    <w:rsid w:val="00133198"/>
    <w:rsid w:val="00133C60"/>
    <w:rsid w:val="00136D56"/>
    <w:rsid w:val="0013783C"/>
    <w:rsid w:val="001379BA"/>
    <w:rsid w:val="0014398A"/>
    <w:rsid w:val="001455D6"/>
    <w:rsid w:val="001475F6"/>
    <w:rsid w:val="001476F5"/>
    <w:rsid w:val="00150EC7"/>
    <w:rsid w:val="00150FCE"/>
    <w:rsid w:val="00152436"/>
    <w:rsid w:val="00152F83"/>
    <w:rsid w:val="00153516"/>
    <w:rsid w:val="00154BE6"/>
    <w:rsid w:val="00155EF5"/>
    <w:rsid w:val="00156F17"/>
    <w:rsid w:val="00160367"/>
    <w:rsid w:val="00161B73"/>
    <w:rsid w:val="00161E02"/>
    <w:rsid w:val="00161EE3"/>
    <w:rsid w:val="00163256"/>
    <w:rsid w:val="00163CC0"/>
    <w:rsid w:val="0016455B"/>
    <w:rsid w:val="00165151"/>
    <w:rsid w:val="00165364"/>
    <w:rsid w:val="00167F2B"/>
    <w:rsid w:val="0017179F"/>
    <w:rsid w:val="00171812"/>
    <w:rsid w:val="00172149"/>
    <w:rsid w:val="00173499"/>
    <w:rsid w:val="00174F03"/>
    <w:rsid w:val="00175673"/>
    <w:rsid w:val="00176431"/>
    <w:rsid w:val="00181C0B"/>
    <w:rsid w:val="001822FC"/>
    <w:rsid w:val="0018290E"/>
    <w:rsid w:val="00182AE8"/>
    <w:rsid w:val="001835E1"/>
    <w:rsid w:val="00183C8E"/>
    <w:rsid w:val="00184037"/>
    <w:rsid w:val="0018529C"/>
    <w:rsid w:val="00187474"/>
    <w:rsid w:val="001926AE"/>
    <w:rsid w:val="001937FB"/>
    <w:rsid w:val="00193C2F"/>
    <w:rsid w:val="001946B1"/>
    <w:rsid w:val="00194E14"/>
    <w:rsid w:val="001965AF"/>
    <w:rsid w:val="00196D7C"/>
    <w:rsid w:val="00197A23"/>
    <w:rsid w:val="001A13D5"/>
    <w:rsid w:val="001A3026"/>
    <w:rsid w:val="001A4516"/>
    <w:rsid w:val="001A4B5E"/>
    <w:rsid w:val="001A550C"/>
    <w:rsid w:val="001A573F"/>
    <w:rsid w:val="001A5C3F"/>
    <w:rsid w:val="001A6402"/>
    <w:rsid w:val="001A64C6"/>
    <w:rsid w:val="001A7081"/>
    <w:rsid w:val="001A70AD"/>
    <w:rsid w:val="001A73E3"/>
    <w:rsid w:val="001B03AC"/>
    <w:rsid w:val="001B238D"/>
    <w:rsid w:val="001B242B"/>
    <w:rsid w:val="001B3350"/>
    <w:rsid w:val="001B35C1"/>
    <w:rsid w:val="001B4497"/>
    <w:rsid w:val="001B45F2"/>
    <w:rsid w:val="001B4ACB"/>
    <w:rsid w:val="001B5E15"/>
    <w:rsid w:val="001B75E6"/>
    <w:rsid w:val="001B792D"/>
    <w:rsid w:val="001B79D3"/>
    <w:rsid w:val="001B7D84"/>
    <w:rsid w:val="001C1257"/>
    <w:rsid w:val="001C2942"/>
    <w:rsid w:val="001C295C"/>
    <w:rsid w:val="001C2E2C"/>
    <w:rsid w:val="001C58BF"/>
    <w:rsid w:val="001C64DB"/>
    <w:rsid w:val="001C6C57"/>
    <w:rsid w:val="001D0A48"/>
    <w:rsid w:val="001D0AF0"/>
    <w:rsid w:val="001D0FE0"/>
    <w:rsid w:val="001D11CE"/>
    <w:rsid w:val="001D16C2"/>
    <w:rsid w:val="001D1B62"/>
    <w:rsid w:val="001D1CEA"/>
    <w:rsid w:val="001D3F48"/>
    <w:rsid w:val="001D483C"/>
    <w:rsid w:val="001D54AF"/>
    <w:rsid w:val="001E091B"/>
    <w:rsid w:val="001E1B64"/>
    <w:rsid w:val="001E37BA"/>
    <w:rsid w:val="001E3AE3"/>
    <w:rsid w:val="001E7CA0"/>
    <w:rsid w:val="001F0078"/>
    <w:rsid w:val="001F2B40"/>
    <w:rsid w:val="001F4083"/>
    <w:rsid w:val="001F60D5"/>
    <w:rsid w:val="001F627F"/>
    <w:rsid w:val="001F6E49"/>
    <w:rsid w:val="001F7023"/>
    <w:rsid w:val="00200174"/>
    <w:rsid w:val="0020165C"/>
    <w:rsid w:val="0020665C"/>
    <w:rsid w:val="002067A1"/>
    <w:rsid w:val="00207275"/>
    <w:rsid w:val="00210392"/>
    <w:rsid w:val="00210724"/>
    <w:rsid w:val="00211BAC"/>
    <w:rsid w:val="00212277"/>
    <w:rsid w:val="002154B2"/>
    <w:rsid w:val="002160CA"/>
    <w:rsid w:val="00216BB5"/>
    <w:rsid w:val="002170D6"/>
    <w:rsid w:val="002203EA"/>
    <w:rsid w:val="0022055B"/>
    <w:rsid w:val="0022067C"/>
    <w:rsid w:val="002207C3"/>
    <w:rsid w:val="0022370C"/>
    <w:rsid w:val="0022428B"/>
    <w:rsid w:val="00224D3E"/>
    <w:rsid w:val="002251F7"/>
    <w:rsid w:val="002257FA"/>
    <w:rsid w:val="00225AB8"/>
    <w:rsid w:val="0022619C"/>
    <w:rsid w:val="00227654"/>
    <w:rsid w:val="00227D72"/>
    <w:rsid w:val="002310B4"/>
    <w:rsid w:val="002311FF"/>
    <w:rsid w:val="00231D53"/>
    <w:rsid w:val="002345CF"/>
    <w:rsid w:val="00235694"/>
    <w:rsid w:val="002378D5"/>
    <w:rsid w:val="0024233E"/>
    <w:rsid w:val="00243BAC"/>
    <w:rsid w:val="00244BD6"/>
    <w:rsid w:val="00245A56"/>
    <w:rsid w:val="002466F4"/>
    <w:rsid w:val="002522C9"/>
    <w:rsid w:val="00252352"/>
    <w:rsid w:val="00255067"/>
    <w:rsid w:val="0025738E"/>
    <w:rsid w:val="002574CF"/>
    <w:rsid w:val="002619BA"/>
    <w:rsid w:val="002628B9"/>
    <w:rsid w:val="00262E86"/>
    <w:rsid w:val="002635D8"/>
    <w:rsid w:val="002644BC"/>
    <w:rsid w:val="00264B03"/>
    <w:rsid w:val="00265769"/>
    <w:rsid w:val="00270E6F"/>
    <w:rsid w:val="00270FD7"/>
    <w:rsid w:val="00271117"/>
    <w:rsid w:val="002720AC"/>
    <w:rsid w:val="00272BAB"/>
    <w:rsid w:val="0027323D"/>
    <w:rsid w:val="0027474D"/>
    <w:rsid w:val="00274A7E"/>
    <w:rsid w:val="00275E2C"/>
    <w:rsid w:val="0027624D"/>
    <w:rsid w:val="00276918"/>
    <w:rsid w:val="00276ED1"/>
    <w:rsid w:val="0027792C"/>
    <w:rsid w:val="00283D87"/>
    <w:rsid w:val="00284436"/>
    <w:rsid w:val="002856F0"/>
    <w:rsid w:val="00285AF5"/>
    <w:rsid w:val="0028709C"/>
    <w:rsid w:val="002913D0"/>
    <w:rsid w:val="00291BC9"/>
    <w:rsid w:val="00291D75"/>
    <w:rsid w:val="0029371D"/>
    <w:rsid w:val="00293EFD"/>
    <w:rsid w:val="00295B67"/>
    <w:rsid w:val="0029708E"/>
    <w:rsid w:val="0029775E"/>
    <w:rsid w:val="002A0446"/>
    <w:rsid w:val="002A2C2E"/>
    <w:rsid w:val="002A4B6C"/>
    <w:rsid w:val="002A5382"/>
    <w:rsid w:val="002B0ECF"/>
    <w:rsid w:val="002B166E"/>
    <w:rsid w:val="002B3CCC"/>
    <w:rsid w:val="002B7CE7"/>
    <w:rsid w:val="002C12FA"/>
    <w:rsid w:val="002C1979"/>
    <w:rsid w:val="002C21F9"/>
    <w:rsid w:val="002C23B7"/>
    <w:rsid w:val="002C26EB"/>
    <w:rsid w:val="002C321E"/>
    <w:rsid w:val="002C42E0"/>
    <w:rsid w:val="002C4B0C"/>
    <w:rsid w:val="002C4F1C"/>
    <w:rsid w:val="002C518C"/>
    <w:rsid w:val="002C53DD"/>
    <w:rsid w:val="002C6F5A"/>
    <w:rsid w:val="002C6FDB"/>
    <w:rsid w:val="002C7B46"/>
    <w:rsid w:val="002D098B"/>
    <w:rsid w:val="002D0DA1"/>
    <w:rsid w:val="002D0F51"/>
    <w:rsid w:val="002D12AC"/>
    <w:rsid w:val="002D27DC"/>
    <w:rsid w:val="002D4621"/>
    <w:rsid w:val="002E0043"/>
    <w:rsid w:val="002E029C"/>
    <w:rsid w:val="002E11C8"/>
    <w:rsid w:val="002E40A2"/>
    <w:rsid w:val="002E47B4"/>
    <w:rsid w:val="002E5671"/>
    <w:rsid w:val="002E77D8"/>
    <w:rsid w:val="002E7C0C"/>
    <w:rsid w:val="002F105C"/>
    <w:rsid w:val="002F11A3"/>
    <w:rsid w:val="002F1ED1"/>
    <w:rsid w:val="002F26A9"/>
    <w:rsid w:val="002F3610"/>
    <w:rsid w:val="002F3FE5"/>
    <w:rsid w:val="002F4E8C"/>
    <w:rsid w:val="002F5E33"/>
    <w:rsid w:val="002F6081"/>
    <w:rsid w:val="002F66AC"/>
    <w:rsid w:val="0030104F"/>
    <w:rsid w:val="0030114D"/>
    <w:rsid w:val="00301498"/>
    <w:rsid w:val="00301C91"/>
    <w:rsid w:val="00302B74"/>
    <w:rsid w:val="003032B7"/>
    <w:rsid w:val="0030390D"/>
    <w:rsid w:val="0030550A"/>
    <w:rsid w:val="00305C88"/>
    <w:rsid w:val="00306DD7"/>
    <w:rsid w:val="0030734B"/>
    <w:rsid w:val="00311969"/>
    <w:rsid w:val="00311B2F"/>
    <w:rsid w:val="0031272B"/>
    <w:rsid w:val="003129E8"/>
    <w:rsid w:val="00313644"/>
    <w:rsid w:val="00315AB7"/>
    <w:rsid w:val="003161A3"/>
    <w:rsid w:val="00316A0B"/>
    <w:rsid w:val="00324AFE"/>
    <w:rsid w:val="00324D0F"/>
    <w:rsid w:val="003256F9"/>
    <w:rsid w:val="003259CD"/>
    <w:rsid w:val="0032657A"/>
    <w:rsid w:val="00333E01"/>
    <w:rsid w:val="00333E6A"/>
    <w:rsid w:val="00335017"/>
    <w:rsid w:val="0033626F"/>
    <w:rsid w:val="00340DAD"/>
    <w:rsid w:val="0034135A"/>
    <w:rsid w:val="003419BE"/>
    <w:rsid w:val="00344A93"/>
    <w:rsid w:val="003455D8"/>
    <w:rsid w:val="00345971"/>
    <w:rsid w:val="00345DE6"/>
    <w:rsid w:val="0034647B"/>
    <w:rsid w:val="003468D2"/>
    <w:rsid w:val="00350382"/>
    <w:rsid w:val="00350891"/>
    <w:rsid w:val="00353DC2"/>
    <w:rsid w:val="00355210"/>
    <w:rsid w:val="00355C8F"/>
    <w:rsid w:val="00356017"/>
    <w:rsid w:val="00357077"/>
    <w:rsid w:val="00357F8C"/>
    <w:rsid w:val="00362067"/>
    <w:rsid w:val="00362839"/>
    <w:rsid w:val="00363FBF"/>
    <w:rsid w:val="0036440B"/>
    <w:rsid w:val="003736F7"/>
    <w:rsid w:val="00374640"/>
    <w:rsid w:val="003766DD"/>
    <w:rsid w:val="0037707D"/>
    <w:rsid w:val="00377407"/>
    <w:rsid w:val="00377531"/>
    <w:rsid w:val="00381BB7"/>
    <w:rsid w:val="0038391A"/>
    <w:rsid w:val="00383B74"/>
    <w:rsid w:val="00387CCC"/>
    <w:rsid w:val="00391C77"/>
    <w:rsid w:val="00392734"/>
    <w:rsid w:val="00392B5E"/>
    <w:rsid w:val="00392C05"/>
    <w:rsid w:val="00393618"/>
    <w:rsid w:val="00393D41"/>
    <w:rsid w:val="003942ED"/>
    <w:rsid w:val="00395845"/>
    <w:rsid w:val="0039761A"/>
    <w:rsid w:val="003A0DE6"/>
    <w:rsid w:val="003A1B51"/>
    <w:rsid w:val="003A4329"/>
    <w:rsid w:val="003A47D4"/>
    <w:rsid w:val="003A4ABF"/>
    <w:rsid w:val="003A648E"/>
    <w:rsid w:val="003A66D0"/>
    <w:rsid w:val="003A740A"/>
    <w:rsid w:val="003A7DD4"/>
    <w:rsid w:val="003B1D4D"/>
    <w:rsid w:val="003B1D79"/>
    <w:rsid w:val="003B3615"/>
    <w:rsid w:val="003B384E"/>
    <w:rsid w:val="003B44BB"/>
    <w:rsid w:val="003B51DE"/>
    <w:rsid w:val="003C0071"/>
    <w:rsid w:val="003C19B1"/>
    <w:rsid w:val="003C1A85"/>
    <w:rsid w:val="003C27C4"/>
    <w:rsid w:val="003C3A3C"/>
    <w:rsid w:val="003C48C5"/>
    <w:rsid w:val="003C5915"/>
    <w:rsid w:val="003C5980"/>
    <w:rsid w:val="003C6DFA"/>
    <w:rsid w:val="003D04BC"/>
    <w:rsid w:val="003D36AD"/>
    <w:rsid w:val="003D3F36"/>
    <w:rsid w:val="003D5191"/>
    <w:rsid w:val="003D5704"/>
    <w:rsid w:val="003D5828"/>
    <w:rsid w:val="003D60B8"/>
    <w:rsid w:val="003D6579"/>
    <w:rsid w:val="003E04D8"/>
    <w:rsid w:val="003E24CE"/>
    <w:rsid w:val="003E287F"/>
    <w:rsid w:val="003E3441"/>
    <w:rsid w:val="003E3941"/>
    <w:rsid w:val="003E540D"/>
    <w:rsid w:val="003E7422"/>
    <w:rsid w:val="003E7CF9"/>
    <w:rsid w:val="003E7D3D"/>
    <w:rsid w:val="003E7E0A"/>
    <w:rsid w:val="003F0439"/>
    <w:rsid w:val="003F0CBE"/>
    <w:rsid w:val="003F1897"/>
    <w:rsid w:val="003F2817"/>
    <w:rsid w:val="003F3107"/>
    <w:rsid w:val="003F3160"/>
    <w:rsid w:val="003F3419"/>
    <w:rsid w:val="003F3DED"/>
    <w:rsid w:val="003F43AB"/>
    <w:rsid w:val="003F49E6"/>
    <w:rsid w:val="003F4FFF"/>
    <w:rsid w:val="003F57BD"/>
    <w:rsid w:val="003F5B70"/>
    <w:rsid w:val="003F6E7C"/>
    <w:rsid w:val="004018B3"/>
    <w:rsid w:val="00401984"/>
    <w:rsid w:val="00402824"/>
    <w:rsid w:val="0040323C"/>
    <w:rsid w:val="00403FBE"/>
    <w:rsid w:val="004078BB"/>
    <w:rsid w:val="004117E0"/>
    <w:rsid w:val="00413149"/>
    <w:rsid w:val="0041339D"/>
    <w:rsid w:val="004148A5"/>
    <w:rsid w:val="00414A5B"/>
    <w:rsid w:val="00415754"/>
    <w:rsid w:val="0041615D"/>
    <w:rsid w:val="004162E3"/>
    <w:rsid w:val="004203DD"/>
    <w:rsid w:val="00421990"/>
    <w:rsid w:val="00421ED8"/>
    <w:rsid w:val="0042297B"/>
    <w:rsid w:val="00422F19"/>
    <w:rsid w:val="00423B48"/>
    <w:rsid w:val="00425C29"/>
    <w:rsid w:val="00425CE6"/>
    <w:rsid w:val="00425FE9"/>
    <w:rsid w:val="00427131"/>
    <w:rsid w:val="00427D15"/>
    <w:rsid w:val="004304AE"/>
    <w:rsid w:val="00431602"/>
    <w:rsid w:val="00431666"/>
    <w:rsid w:val="004323E9"/>
    <w:rsid w:val="00432C65"/>
    <w:rsid w:val="004339ED"/>
    <w:rsid w:val="00433B89"/>
    <w:rsid w:val="00434285"/>
    <w:rsid w:val="0043466C"/>
    <w:rsid w:val="00435469"/>
    <w:rsid w:val="00435C34"/>
    <w:rsid w:val="00436F7E"/>
    <w:rsid w:val="00437947"/>
    <w:rsid w:val="00440771"/>
    <w:rsid w:val="00441249"/>
    <w:rsid w:val="0044128D"/>
    <w:rsid w:val="004419D3"/>
    <w:rsid w:val="00441A81"/>
    <w:rsid w:val="0044295D"/>
    <w:rsid w:val="00442BCF"/>
    <w:rsid w:val="00442FAF"/>
    <w:rsid w:val="00443230"/>
    <w:rsid w:val="0044337C"/>
    <w:rsid w:val="00445790"/>
    <w:rsid w:val="004457DB"/>
    <w:rsid w:val="004464AA"/>
    <w:rsid w:val="00446895"/>
    <w:rsid w:val="00450273"/>
    <w:rsid w:val="004509A5"/>
    <w:rsid w:val="00451245"/>
    <w:rsid w:val="004517E4"/>
    <w:rsid w:val="00451B66"/>
    <w:rsid w:val="00452F17"/>
    <w:rsid w:val="00453A77"/>
    <w:rsid w:val="00454170"/>
    <w:rsid w:val="004551F3"/>
    <w:rsid w:val="00455856"/>
    <w:rsid w:val="004563F1"/>
    <w:rsid w:val="00456BC8"/>
    <w:rsid w:val="00456EE0"/>
    <w:rsid w:val="004602EC"/>
    <w:rsid w:val="004610EA"/>
    <w:rsid w:val="004617A6"/>
    <w:rsid w:val="00461BBE"/>
    <w:rsid w:val="0046239D"/>
    <w:rsid w:val="004628C3"/>
    <w:rsid w:val="0046329A"/>
    <w:rsid w:val="00463C1C"/>
    <w:rsid w:val="00463E28"/>
    <w:rsid w:val="0046498A"/>
    <w:rsid w:val="004659CA"/>
    <w:rsid w:val="00465CF5"/>
    <w:rsid w:val="00465F2E"/>
    <w:rsid w:val="00467FE9"/>
    <w:rsid w:val="00470DB5"/>
    <w:rsid w:val="00474025"/>
    <w:rsid w:val="00474E68"/>
    <w:rsid w:val="00475E34"/>
    <w:rsid w:val="00476B67"/>
    <w:rsid w:val="0048008C"/>
    <w:rsid w:val="004809C9"/>
    <w:rsid w:val="00480BAD"/>
    <w:rsid w:val="00480C7E"/>
    <w:rsid w:val="0048184C"/>
    <w:rsid w:val="00482239"/>
    <w:rsid w:val="00486CF9"/>
    <w:rsid w:val="00486DF6"/>
    <w:rsid w:val="00487828"/>
    <w:rsid w:val="00487D95"/>
    <w:rsid w:val="00492048"/>
    <w:rsid w:val="00493555"/>
    <w:rsid w:val="00493BA6"/>
    <w:rsid w:val="004967A2"/>
    <w:rsid w:val="004967EC"/>
    <w:rsid w:val="00497CD3"/>
    <w:rsid w:val="004A07BF"/>
    <w:rsid w:val="004A092B"/>
    <w:rsid w:val="004A2D46"/>
    <w:rsid w:val="004A3A35"/>
    <w:rsid w:val="004A46C4"/>
    <w:rsid w:val="004A6FCA"/>
    <w:rsid w:val="004A74F0"/>
    <w:rsid w:val="004B0F48"/>
    <w:rsid w:val="004B2B9D"/>
    <w:rsid w:val="004B2C5F"/>
    <w:rsid w:val="004B2CFB"/>
    <w:rsid w:val="004B4489"/>
    <w:rsid w:val="004B506E"/>
    <w:rsid w:val="004B5757"/>
    <w:rsid w:val="004B65B8"/>
    <w:rsid w:val="004C0667"/>
    <w:rsid w:val="004C2227"/>
    <w:rsid w:val="004C3412"/>
    <w:rsid w:val="004C34AB"/>
    <w:rsid w:val="004C4DAB"/>
    <w:rsid w:val="004C4E2A"/>
    <w:rsid w:val="004C56D1"/>
    <w:rsid w:val="004C572C"/>
    <w:rsid w:val="004C686B"/>
    <w:rsid w:val="004C6B9C"/>
    <w:rsid w:val="004D0E10"/>
    <w:rsid w:val="004D2C76"/>
    <w:rsid w:val="004D476D"/>
    <w:rsid w:val="004D58D5"/>
    <w:rsid w:val="004D71AF"/>
    <w:rsid w:val="004D7301"/>
    <w:rsid w:val="004E0B91"/>
    <w:rsid w:val="004E43A4"/>
    <w:rsid w:val="004E7A29"/>
    <w:rsid w:val="004F12E7"/>
    <w:rsid w:val="004F1DB8"/>
    <w:rsid w:val="004F2381"/>
    <w:rsid w:val="004F3292"/>
    <w:rsid w:val="004F3EDB"/>
    <w:rsid w:val="004F5357"/>
    <w:rsid w:val="004F5438"/>
    <w:rsid w:val="004F55EC"/>
    <w:rsid w:val="004F61DD"/>
    <w:rsid w:val="004F6640"/>
    <w:rsid w:val="005012FE"/>
    <w:rsid w:val="00501673"/>
    <w:rsid w:val="00502569"/>
    <w:rsid w:val="00502B5F"/>
    <w:rsid w:val="005035F8"/>
    <w:rsid w:val="00503BDE"/>
    <w:rsid w:val="00505FDF"/>
    <w:rsid w:val="00506204"/>
    <w:rsid w:val="00511171"/>
    <w:rsid w:val="00512A4B"/>
    <w:rsid w:val="005136CC"/>
    <w:rsid w:val="00513858"/>
    <w:rsid w:val="005139D2"/>
    <w:rsid w:val="0051403B"/>
    <w:rsid w:val="00514B37"/>
    <w:rsid w:val="00514EEC"/>
    <w:rsid w:val="00515715"/>
    <w:rsid w:val="0051594E"/>
    <w:rsid w:val="0051754A"/>
    <w:rsid w:val="00521874"/>
    <w:rsid w:val="00521920"/>
    <w:rsid w:val="005246B1"/>
    <w:rsid w:val="0052688F"/>
    <w:rsid w:val="00527A8C"/>
    <w:rsid w:val="00530281"/>
    <w:rsid w:val="00530B04"/>
    <w:rsid w:val="00530D89"/>
    <w:rsid w:val="00531E03"/>
    <w:rsid w:val="00533A0B"/>
    <w:rsid w:val="005346A6"/>
    <w:rsid w:val="00535C1D"/>
    <w:rsid w:val="0053683E"/>
    <w:rsid w:val="00537B0D"/>
    <w:rsid w:val="005403E8"/>
    <w:rsid w:val="00542990"/>
    <w:rsid w:val="00542A98"/>
    <w:rsid w:val="00542F66"/>
    <w:rsid w:val="00543A39"/>
    <w:rsid w:val="005453C5"/>
    <w:rsid w:val="0054599C"/>
    <w:rsid w:val="00545A84"/>
    <w:rsid w:val="005471B9"/>
    <w:rsid w:val="00547480"/>
    <w:rsid w:val="00551046"/>
    <w:rsid w:val="0055169D"/>
    <w:rsid w:val="00551EF3"/>
    <w:rsid w:val="005521E2"/>
    <w:rsid w:val="00553781"/>
    <w:rsid w:val="00553DCA"/>
    <w:rsid w:val="00554084"/>
    <w:rsid w:val="00554611"/>
    <w:rsid w:val="00554842"/>
    <w:rsid w:val="00555CE5"/>
    <w:rsid w:val="00556575"/>
    <w:rsid w:val="005565EE"/>
    <w:rsid w:val="00557E24"/>
    <w:rsid w:val="00560593"/>
    <w:rsid w:val="00560E6F"/>
    <w:rsid w:val="0056163A"/>
    <w:rsid w:val="00561F79"/>
    <w:rsid w:val="00562217"/>
    <w:rsid w:val="00563BE5"/>
    <w:rsid w:val="005644EF"/>
    <w:rsid w:val="00565148"/>
    <w:rsid w:val="00567397"/>
    <w:rsid w:val="005702B7"/>
    <w:rsid w:val="00571395"/>
    <w:rsid w:val="00571DF6"/>
    <w:rsid w:val="00574FBD"/>
    <w:rsid w:val="005773BB"/>
    <w:rsid w:val="00580D33"/>
    <w:rsid w:val="00585C83"/>
    <w:rsid w:val="00586604"/>
    <w:rsid w:val="00586E35"/>
    <w:rsid w:val="005910C8"/>
    <w:rsid w:val="005929F3"/>
    <w:rsid w:val="00592F58"/>
    <w:rsid w:val="005931C3"/>
    <w:rsid w:val="00597C03"/>
    <w:rsid w:val="005A028F"/>
    <w:rsid w:val="005A07A8"/>
    <w:rsid w:val="005A1F9D"/>
    <w:rsid w:val="005A21F6"/>
    <w:rsid w:val="005A25A1"/>
    <w:rsid w:val="005A290E"/>
    <w:rsid w:val="005A2F5D"/>
    <w:rsid w:val="005A3157"/>
    <w:rsid w:val="005A3798"/>
    <w:rsid w:val="005A3A30"/>
    <w:rsid w:val="005A5726"/>
    <w:rsid w:val="005A67E5"/>
    <w:rsid w:val="005A7302"/>
    <w:rsid w:val="005A7C16"/>
    <w:rsid w:val="005B0F9F"/>
    <w:rsid w:val="005B5BB4"/>
    <w:rsid w:val="005B7208"/>
    <w:rsid w:val="005C2844"/>
    <w:rsid w:val="005C53C5"/>
    <w:rsid w:val="005C6D98"/>
    <w:rsid w:val="005C73FB"/>
    <w:rsid w:val="005C7752"/>
    <w:rsid w:val="005C7F3F"/>
    <w:rsid w:val="005D1B20"/>
    <w:rsid w:val="005D3E80"/>
    <w:rsid w:val="005D4792"/>
    <w:rsid w:val="005D4BEE"/>
    <w:rsid w:val="005D6266"/>
    <w:rsid w:val="005E08E0"/>
    <w:rsid w:val="005E2187"/>
    <w:rsid w:val="005E3490"/>
    <w:rsid w:val="005E4ABC"/>
    <w:rsid w:val="005E4FE9"/>
    <w:rsid w:val="005E5696"/>
    <w:rsid w:val="005E6564"/>
    <w:rsid w:val="005F19E0"/>
    <w:rsid w:val="005F3E20"/>
    <w:rsid w:val="005F57B5"/>
    <w:rsid w:val="005F5A76"/>
    <w:rsid w:val="005F71EC"/>
    <w:rsid w:val="005F7AA1"/>
    <w:rsid w:val="006009E6"/>
    <w:rsid w:val="00602905"/>
    <w:rsid w:val="00604FAE"/>
    <w:rsid w:val="00607605"/>
    <w:rsid w:val="006077BC"/>
    <w:rsid w:val="0061001E"/>
    <w:rsid w:val="0061090B"/>
    <w:rsid w:val="00610A9B"/>
    <w:rsid w:val="00610B3C"/>
    <w:rsid w:val="006113A7"/>
    <w:rsid w:val="006113D9"/>
    <w:rsid w:val="00611BD9"/>
    <w:rsid w:val="00612805"/>
    <w:rsid w:val="00612869"/>
    <w:rsid w:val="00613172"/>
    <w:rsid w:val="006132A6"/>
    <w:rsid w:val="006146EE"/>
    <w:rsid w:val="0061694D"/>
    <w:rsid w:val="00617AD5"/>
    <w:rsid w:val="00620BA8"/>
    <w:rsid w:val="00622319"/>
    <w:rsid w:val="00623394"/>
    <w:rsid w:val="0062416A"/>
    <w:rsid w:val="00624EFB"/>
    <w:rsid w:val="00625FB3"/>
    <w:rsid w:val="00626052"/>
    <w:rsid w:val="00626129"/>
    <w:rsid w:val="00632A52"/>
    <w:rsid w:val="00634414"/>
    <w:rsid w:val="00636012"/>
    <w:rsid w:val="00636987"/>
    <w:rsid w:val="006403DD"/>
    <w:rsid w:val="00640AE6"/>
    <w:rsid w:val="00640BB6"/>
    <w:rsid w:val="00642FCD"/>
    <w:rsid w:val="006433B2"/>
    <w:rsid w:val="00643E1F"/>
    <w:rsid w:val="00646C25"/>
    <w:rsid w:val="006479E3"/>
    <w:rsid w:val="00647E8C"/>
    <w:rsid w:val="00650950"/>
    <w:rsid w:val="00650CAA"/>
    <w:rsid w:val="0065143A"/>
    <w:rsid w:val="0065193C"/>
    <w:rsid w:val="00652691"/>
    <w:rsid w:val="00652DD9"/>
    <w:rsid w:val="00652E68"/>
    <w:rsid w:val="00654145"/>
    <w:rsid w:val="006559C8"/>
    <w:rsid w:val="00656143"/>
    <w:rsid w:val="00657405"/>
    <w:rsid w:val="00660047"/>
    <w:rsid w:val="006605C2"/>
    <w:rsid w:val="00661864"/>
    <w:rsid w:val="00662DF8"/>
    <w:rsid w:val="00663837"/>
    <w:rsid w:val="00663A00"/>
    <w:rsid w:val="00663B07"/>
    <w:rsid w:val="006646F9"/>
    <w:rsid w:val="00664FA6"/>
    <w:rsid w:val="00665845"/>
    <w:rsid w:val="0066632E"/>
    <w:rsid w:val="00667527"/>
    <w:rsid w:val="0066794C"/>
    <w:rsid w:val="00667B4E"/>
    <w:rsid w:val="00670235"/>
    <w:rsid w:val="006706DC"/>
    <w:rsid w:val="00671BB1"/>
    <w:rsid w:val="00672230"/>
    <w:rsid w:val="00681E5C"/>
    <w:rsid w:val="00681F38"/>
    <w:rsid w:val="00682637"/>
    <w:rsid w:val="006832A4"/>
    <w:rsid w:val="0068391C"/>
    <w:rsid w:val="0068419D"/>
    <w:rsid w:val="006846E9"/>
    <w:rsid w:val="006872DB"/>
    <w:rsid w:val="00691999"/>
    <w:rsid w:val="00694929"/>
    <w:rsid w:val="00695ED2"/>
    <w:rsid w:val="006967B0"/>
    <w:rsid w:val="006973F2"/>
    <w:rsid w:val="0069784E"/>
    <w:rsid w:val="006A0D9C"/>
    <w:rsid w:val="006A1022"/>
    <w:rsid w:val="006A1A83"/>
    <w:rsid w:val="006A2C4B"/>
    <w:rsid w:val="006A541C"/>
    <w:rsid w:val="006A55D2"/>
    <w:rsid w:val="006A60EC"/>
    <w:rsid w:val="006A63D0"/>
    <w:rsid w:val="006B229A"/>
    <w:rsid w:val="006B3E21"/>
    <w:rsid w:val="006B42B8"/>
    <w:rsid w:val="006B50B9"/>
    <w:rsid w:val="006B6104"/>
    <w:rsid w:val="006B6240"/>
    <w:rsid w:val="006B63A2"/>
    <w:rsid w:val="006B6E87"/>
    <w:rsid w:val="006B7290"/>
    <w:rsid w:val="006B763D"/>
    <w:rsid w:val="006B7BC4"/>
    <w:rsid w:val="006B7C25"/>
    <w:rsid w:val="006B7EDD"/>
    <w:rsid w:val="006C1C28"/>
    <w:rsid w:val="006C20DF"/>
    <w:rsid w:val="006C2918"/>
    <w:rsid w:val="006C29DF"/>
    <w:rsid w:val="006C2F62"/>
    <w:rsid w:val="006C31AA"/>
    <w:rsid w:val="006C558C"/>
    <w:rsid w:val="006C5E5C"/>
    <w:rsid w:val="006C6D55"/>
    <w:rsid w:val="006D0365"/>
    <w:rsid w:val="006D037D"/>
    <w:rsid w:val="006D05E1"/>
    <w:rsid w:val="006D2068"/>
    <w:rsid w:val="006D2374"/>
    <w:rsid w:val="006D249D"/>
    <w:rsid w:val="006D3725"/>
    <w:rsid w:val="006D3D6F"/>
    <w:rsid w:val="006D421B"/>
    <w:rsid w:val="006D4AE1"/>
    <w:rsid w:val="006D52A7"/>
    <w:rsid w:val="006D52D8"/>
    <w:rsid w:val="006D53EE"/>
    <w:rsid w:val="006D5AAB"/>
    <w:rsid w:val="006D675F"/>
    <w:rsid w:val="006D7A90"/>
    <w:rsid w:val="006E0111"/>
    <w:rsid w:val="006E08CC"/>
    <w:rsid w:val="006E1548"/>
    <w:rsid w:val="006E227A"/>
    <w:rsid w:val="006E3709"/>
    <w:rsid w:val="006E3C13"/>
    <w:rsid w:val="006E5CB3"/>
    <w:rsid w:val="006E743A"/>
    <w:rsid w:val="006F0139"/>
    <w:rsid w:val="006F214B"/>
    <w:rsid w:val="006F2158"/>
    <w:rsid w:val="006F2841"/>
    <w:rsid w:val="006F28C7"/>
    <w:rsid w:val="006F4D73"/>
    <w:rsid w:val="006F52ED"/>
    <w:rsid w:val="006F5B88"/>
    <w:rsid w:val="007001DD"/>
    <w:rsid w:val="00700F12"/>
    <w:rsid w:val="00701F5D"/>
    <w:rsid w:val="0070443C"/>
    <w:rsid w:val="007057D3"/>
    <w:rsid w:val="00706992"/>
    <w:rsid w:val="00706C40"/>
    <w:rsid w:val="00706CFB"/>
    <w:rsid w:val="0070733C"/>
    <w:rsid w:val="00711407"/>
    <w:rsid w:val="00712316"/>
    <w:rsid w:val="00712407"/>
    <w:rsid w:val="00712477"/>
    <w:rsid w:val="007129CD"/>
    <w:rsid w:val="00721A54"/>
    <w:rsid w:val="00721C75"/>
    <w:rsid w:val="00722152"/>
    <w:rsid w:val="007228DB"/>
    <w:rsid w:val="00723862"/>
    <w:rsid w:val="00724D84"/>
    <w:rsid w:val="00726983"/>
    <w:rsid w:val="0072705B"/>
    <w:rsid w:val="007274E1"/>
    <w:rsid w:val="007279D8"/>
    <w:rsid w:val="00730EB0"/>
    <w:rsid w:val="00731859"/>
    <w:rsid w:val="00732CD0"/>
    <w:rsid w:val="00733275"/>
    <w:rsid w:val="00735A4C"/>
    <w:rsid w:val="00735CB1"/>
    <w:rsid w:val="00735CF0"/>
    <w:rsid w:val="00736D00"/>
    <w:rsid w:val="007407BB"/>
    <w:rsid w:val="00740904"/>
    <w:rsid w:val="00741B0E"/>
    <w:rsid w:val="00741F74"/>
    <w:rsid w:val="00742672"/>
    <w:rsid w:val="00742E8A"/>
    <w:rsid w:val="00742F07"/>
    <w:rsid w:val="00742FD5"/>
    <w:rsid w:val="007431B7"/>
    <w:rsid w:val="0074506B"/>
    <w:rsid w:val="00745482"/>
    <w:rsid w:val="007459F5"/>
    <w:rsid w:val="00746DDC"/>
    <w:rsid w:val="007475AA"/>
    <w:rsid w:val="00750504"/>
    <w:rsid w:val="0075061C"/>
    <w:rsid w:val="00752B28"/>
    <w:rsid w:val="007536D9"/>
    <w:rsid w:val="0075456B"/>
    <w:rsid w:val="00754727"/>
    <w:rsid w:val="00754D25"/>
    <w:rsid w:val="00755961"/>
    <w:rsid w:val="00756A18"/>
    <w:rsid w:val="00757590"/>
    <w:rsid w:val="00757EA6"/>
    <w:rsid w:val="00760AF9"/>
    <w:rsid w:val="007652CE"/>
    <w:rsid w:val="0076572D"/>
    <w:rsid w:val="00765936"/>
    <w:rsid w:val="00766071"/>
    <w:rsid w:val="007663E5"/>
    <w:rsid w:val="00766C83"/>
    <w:rsid w:val="00767D6C"/>
    <w:rsid w:val="0077091B"/>
    <w:rsid w:val="00770A1E"/>
    <w:rsid w:val="0077416A"/>
    <w:rsid w:val="0077436E"/>
    <w:rsid w:val="00774708"/>
    <w:rsid w:val="0077569C"/>
    <w:rsid w:val="00775A32"/>
    <w:rsid w:val="00777BE6"/>
    <w:rsid w:val="00780284"/>
    <w:rsid w:val="007816ED"/>
    <w:rsid w:val="007821CF"/>
    <w:rsid w:val="00782651"/>
    <w:rsid w:val="00783DAC"/>
    <w:rsid w:val="00784500"/>
    <w:rsid w:val="00785112"/>
    <w:rsid w:val="00786700"/>
    <w:rsid w:val="00786F05"/>
    <w:rsid w:val="007878B9"/>
    <w:rsid w:val="007931BC"/>
    <w:rsid w:val="00793646"/>
    <w:rsid w:val="00794E75"/>
    <w:rsid w:val="0079521E"/>
    <w:rsid w:val="00795519"/>
    <w:rsid w:val="00796071"/>
    <w:rsid w:val="0079668B"/>
    <w:rsid w:val="00796D77"/>
    <w:rsid w:val="00797066"/>
    <w:rsid w:val="00797ECA"/>
    <w:rsid w:val="007A0CB6"/>
    <w:rsid w:val="007A1510"/>
    <w:rsid w:val="007A2A41"/>
    <w:rsid w:val="007A3FB0"/>
    <w:rsid w:val="007A4D97"/>
    <w:rsid w:val="007A5289"/>
    <w:rsid w:val="007A5D2F"/>
    <w:rsid w:val="007A67A0"/>
    <w:rsid w:val="007A768C"/>
    <w:rsid w:val="007A7853"/>
    <w:rsid w:val="007B2BAC"/>
    <w:rsid w:val="007B2CAC"/>
    <w:rsid w:val="007B3E4A"/>
    <w:rsid w:val="007B44FB"/>
    <w:rsid w:val="007B4970"/>
    <w:rsid w:val="007B4F0C"/>
    <w:rsid w:val="007B5C33"/>
    <w:rsid w:val="007C0E38"/>
    <w:rsid w:val="007C1421"/>
    <w:rsid w:val="007C18E3"/>
    <w:rsid w:val="007C1DEB"/>
    <w:rsid w:val="007C459A"/>
    <w:rsid w:val="007C4E08"/>
    <w:rsid w:val="007D1C63"/>
    <w:rsid w:val="007D229A"/>
    <w:rsid w:val="007D2F4C"/>
    <w:rsid w:val="007D3DFF"/>
    <w:rsid w:val="007D3F38"/>
    <w:rsid w:val="007D4DB8"/>
    <w:rsid w:val="007E2197"/>
    <w:rsid w:val="007E3304"/>
    <w:rsid w:val="007E4D1F"/>
    <w:rsid w:val="007E6321"/>
    <w:rsid w:val="007F14BA"/>
    <w:rsid w:val="007F1E48"/>
    <w:rsid w:val="007F34B9"/>
    <w:rsid w:val="007F3D79"/>
    <w:rsid w:val="007F40E3"/>
    <w:rsid w:val="007F4313"/>
    <w:rsid w:val="007F4605"/>
    <w:rsid w:val="007F57C0"/>
    <w:rsid w:val="007F5841"/>
    <w:rsid w:val="007F6580"/>
    <w:rsid w:val="007F6C7D"/>
    <w:rsid w:val="00800FE4"/>
    <w:rsid w:val="00801249"/>
    <w:rsid w:val="008026F6"/>
    <w:rsid w:val="00803F84"/>
    <w:rsid w:val="008043AC"/>
    <w:rsid w:val="00805B61"/>
    <w:rsid w:val="00806070"/>
    <w:rsid w:val="00806EE8"/>
    <w:rsid w:val="00811365"/>
    <w:rsid w:val="00811D89"/>
    <w:rsid w:val="00812EE9"/>
    <w:rsid w:val="00814500"/>
    <w:rsid w:val="008148DB"/>
    <w:rsid w:val="008211DF"/>
    <w:rsid w:val="00822F77"/>
    <w:rsid w:val="0082354A"/>
    <w:rsid w:val="008255D2"/>
    <w:rsid w:val="008318F5"/>
    <w:rsid w:val="00832ADC"/>
    <w:rsid w:val="00833AF7"/>
    <w:rsid w:val="00834023"/>
    <w:rsid w:val="008346D1"/>
    <w:rsid w:val="00835579"/>
    <w:rsid w:val="008357E5"/>
    <w:rsid w:val="00836BF1"/>
    <w:rsid w:val="00836F9B"/>
    <w:rsid w:val="00836FE5"/>
    <w:rsid w:val="00837487"/>
    <w:rsid w:val="00840D16"/>
    <w:rsid w:val="00842157"/>
    <w:rsid w:val="00843B20"/>
    <w:rsid w:val="00844106"/>
    <w:rsid w:val="00844B27"/>
    <w:rsid w:val="00844D29"/>
    <w:rsid w:val="00846195"/>
    <w:rsid w:val="00846FA0"/>
    <w:rsid w:val="008479B6"/>
    <w:rsid w:val="00851FAF"/>
    <w:rsid w:val="00852E07"/>
    <w:rsid w:val="00855AA5"/>
    <w:rsid w:val="00856B9B"/>
    <w:rsid w:val="00857671"/>
    <w:rsid w:val="0086002F"/>
    <w:rsid w:val="0086032D"/>
    <w:rsid w:val="00861906"/>
    <w:rsid w:val="00861B01"/>
    <w:rsid w:val="00863F9D"/>
    <w:rsid w:val="00864083"/>
    <w:rsid w:val="008645F9"/>
    <w:rsid w:val="0086628A"/>
    <w:rsid w:val="00871279"/>
    <w:rsid w:val="008716A7"/>
    <w:rsid w:val="008723F4"/>
    <w:rsid w:val="008723F6"/>
    <w:rsid w:val="00872913"/>
    <w:rsid w:val="00873F82"/>
    <w:rsid w:val="00874B7B"/>
    <w:rsid w:val="00874F25"/>
    <w:rsid w:val="00875B3F"/>
    <w:rsid w:val="00876126"/>
    <w:rsid w:val="00880CA5"/>
    <w:rsid w:val="008814EE"/>
    <w:rsid w:val="00881640"/>
    <w:rsid w:val="008817B1"/>
    <w:rsid w:val="008822AE"/>
    <w:rsid w:val="008832FA"/>
    <w:rsid w:val="008834BB"/>
    <w:rsid w:val="008840FA"/>
    <w:rsid w:val="008846D2"/>
    <w:rsid w:val="00884E2F"/>
    <w:rsid w:val="008850E7"/>
    <w:rsid w:val="00885E14"/>
    <w:rsid w:val="008862EB"/>
    <w:rsid w:val="00890F95"/>
    <w:rsid w:val="00892377"/>
    <w:rsid w:val="0089311A"/>
    <w:rsid w:val="0089384D"/>
    <w:rsid w:val="00893A0F"/>
    <w:rsid w:val="00893B17"/>
    <w:rsid w:val="008946C3"/>
    <w:rsid w:val="008948E0"/>
    <w:rsid w:val="0089528C"/>
    <w:rsid w:val="00895FC6"/>
    <w:rsid w:val="008A0089"/>
    <w:rsid w:val="008A43EB"/>
    <w:rsid w:val="008A6CE2"/>
    <w:rsid w:val="008A6E15"/>
    <w:rsid w:val="008B034D"/>
    <w:rsid w:val="008B0BBC"/>
    <w:rsid w:val="008B13FB"/>
    <w:rsid w:val="008B245C"/>
    <w:rsid w:val="008B34BD"/>
    <w:rsid w:val="008B4153"/>
    <w:rsid w:val="008B4F64"/>
    <w:rsid w:val="008B5356"/>
    <w:rsid w:val="008B609A"/>
    <w:rsid w:val="008B7927"/>
    <w:rsid w:val="008C04C6"/>
    <w:rsid w:val="008C30E5"/>
    <w:rsid w:val="008C4770"/>
    <w:rsid w:val="008C6AD1"/>
    <w:rsid w:val="008C71B5"/>
    <w:rsid w:val="008C71DF"/>
    <w:rsid w:val="008D1C89"/>
    <w:rsid w:val="008E0A03"/>
    <w:rsid w:val="008E0E8C"/>
    <w:rsid w:val="008E36B3"/>
    <w:rsid w:val="008E431F"/>
    <w:rsid w:val="008E47A3"/>
    <w:rsid w:val="008E5E12"/>
    <w:rsid w:val="008E613B"/>
    <w:rsid w:val="008E6290"/>
    <w:rsid w:val="008F0D2A"/>
    <w:rsid w:val="008F12D4"/>
    <w:rsid w:val="008F17A0"/>
    <w:rsid w:val="008F1814"/>
    <w:rsid w:val="008F23EF"/>
    <w:rsid w:val="008F27E1"/>
    <w:rsid w:val="008F2FE7"/>
    <w:rsid w:val="008F386F"/>
    <w:rsid w:val="008F48E1"/>
    <w:rsid w:val="008F5BD0"/>
    <w:rsid w:val="008F6A71"/>
    <w:rsid w:val="008F7B36"/>
    <w:rsid w:val="009003FE"/>
    <w:rsid w:val="00901955"/>
    <w:rsid w:val="00901E21"/>
    <w:rsid w:val="00903AD6"/>
    <w:rsid w:val="00903C95"/>
    <w:rsid w:val="00904272"/>
    <w:rsid w:val="009046D4"/>
    <w:rsid w:val="00904793"/>
    <w:rsid w:val="009048C4"/>
    <w:rsid w:val="009058DB"/>
    <w:rsid w:val="00907053"/>
    <w:rsid w:val="0091026E"/>
    <w:rsid w:val="009104F7"/>
    <w:rsid w:val="0091058D"/>
    <w:rsid w:val="00911711"/>
    <w:rsid w:val="00911FD2"/>
    <w:rsid w:val="00912323"/>
    <w:rsid w:val="0091339B"/>
    <w:rsid w:val="00913858"/>
    <w:rsid w:val="00913A0F"/>
    <w:rsid w:val="00914959"/>
    <w:rsid w:val="00914BBC"/>
    <w:rsid w:val="00914D65"/>
    <w:rsid w:val="00915CE6"/>
    <w:rsid w:val="009162DA"/>
    <w:rsid w:val="00916321"/>
    <w:rsid w:val="009168A1"/>
    <w:rsid w:val="00917583"/>
    <w:rsid w:val="00917C2A"/>
    <w:rsid w:val="0092106C"/>
    <w:rsid w:val="00923248"/>
    <w:rsid w:val="00923BC4"/>
    <w:rsid w:val="00924681"/>
    <w:rsid w:val="0092622E"/>
    <w:rsid w:val="00926605"/>
    <w:rsid w:val="00927047"/>
    <w:rsid w:val="00930877"/>
    <w:rsid w:val="00930D20"/>
    <w:rsid w:val="009313C8"/>
    <w:rsid w:val="00931417"/>
    <w:rsid w:val="009314F2"/>
    <w:rsid w:val="0093382B"/>
    <w:rsid w:val="00936E2B"/>
    <w:rsid w:val="00937012"/>
    <w:rsid w:val="0094003D"/>
    <w:rsid w:val="00941397"/>
    <w:rsid w:val="0094273F"/>
    <w:rsid w:val="009439B0"/>
    <w:rsid w:val="0094403C"/>
    <w:rsid w:val="0094555E"/>
    <w:rsid w:val="0094574A"/>
    <w:rsid w:val="00945CB0"/>
    <w:rsid w:val="0094610A"/>
    <w:rsid w:val="0094667E"/>
    <w:rsid w:val="00946A66"/>
    <w:rsid w:val="00947686"/>
    <w:rsid w:val="00951188"/>
    <w:rsid w:val="00951AF4"/>
    <w:rsid w:val="00951FCF"/>
    <w:rsid w:val="0095252C"/>
    <w:rsid w:val="00953461"/>
    <w:rsid w:val="00955CBA"/>
    <w:rsid w:val="00956A95"/>
    <w:rsid w:val="00957086"/>
    <w:rsid w:val="00957442"/>
    <w:rsid w:val="00960F2F"/>
    <w:rsid w:val="009613BF"/>
    <w:rsid w:val="009634F6"/>
    <w:rsid w:val="00963B5E"/>
    <w:rsid w:val="00963FA0"/>
    <w:rsid w:val="0096491F"/>
    <w:rsid w:val="00964FCB"/>
    <w:rsid w:val="00965435"/>
    <w:rsid w:val="0096789B"/>
    <w:rsid w:val="009721C4"/>
    <w:rsid w:val="00974E95"/>
    <w:rsid w:val="00975425"/>
    <w:rsid w:val="00975F2D"/>
    <w:rsid w:val="00976408"/>
    <w:rsid w:val="0097687A"/>
    <w:rsid w:val="00976962"/>
    <w:rsid w:val="00977BF5"/>
    <w:rsid w:val="00981D6D"/>
    <w:rsid w:val="00981F74"/>
    <w:rsid w:val="0098302D"/>
    <w:rsid w:val="00983899"/>
    <w:rsid w:val="0098434F"/>
    <w:rsid w:val="009856A5"/>
    <w:rsid w:val="00987608"/>
    <w:rsid w:val="009907D3"/>
    <w:rsid w:val="00990CC6"/>
    <w:rsid w:val="009918A1"/>
    <w:rsid w:val="00992031"/>
    <w:rsid w:val="009943A0"/>
    <w:rsid w:val="009953BC"/>
    <w:rsid w:val="0099543E"/>
    <w:rsid w:val="0099560C"/>
    <w:rsid w:val="009963D2"/>
    <w:rsid w:val="009A00D8"/>
    <w:rsid w:val="009A04C7"/>
    <w:rsid w:val="009A0568"/>
    <w:rsid w:val="009A0AF9"/>
    <w:rsid w:val="009A16BE"/>
    <w:rsid w:val="009A1A4F"/>
    <w:rsid w:val="009A210C"/>
    <w:rsid w:val="009A2337"/>
    <w:rsid w:val="009A2E00"/>
    <w:rsid w:val="009A355A"/>
    <w:rsid w:val="009A3B09"/>
    <w:rsid w:val="009A5369"/>
    <w:rsid w:val="009A557E"/>
    <w:rsid w:val="009A5CE8"/>
    <w:rsid w:val="009A5FBE"/>
    <w:rsid w:val="009A7074"/>
    <w:rsid w:val="009A7B5A"/>
    <w:rsid w:val="009A7F79"/>
    <w:rsid w:val="009B1119"/>
    <w:rsid w:val="009B27EB"/>
    <w:rsid w:val="009B2BDC"/>
    <w:rsid w:val="009B3B2B"/>
    <w:rsid w:val="009B5F5D"/>
    <w:rsid w:val="009B6201"/>
    <w:rsid w:val="009B73BA"/>
    <w:rsid w:val="009C0EEA"/>
    <w:rsid w:val="009C10D9"/>
    <w:rsid w:val="009C13C0"/>
    <w:rsid w:val="009C20A2"/>
    <w:rsid w:val="009C3649"/>
    <w:rsid w:val="009C425A"/>
    <w:rsid w:val="009C4F43"/>
    <w:rsid w:val="009C5CA7"/>
    <w:rsid w:val="009D03F8"/>
    <w:rsid w:val="009D1A99"/>
    <w:rsid w:val="009D1DF4"/>
    <w:rsid w:val="009D37F3"/>
    <w:rsid w:val="009D7A24"/>
    <w:rsid w:val="009E00E4"/>
    <w:rsid w:val="009E0D20"/>
    <w:rsid w:val="009E0F6B"/>
    <w:rsid w:val="009E175A"/>
    <w:rsid w:val="009E1DB3"/>
    <w:rsid w:val="009E2964"/>
    <w:rsid w:val="009E32CE"/>
    <w:rsid w:val="009E3EB3"/>
    <w:rsid w:val="009E3F86"/>
    <w:rsid w:val="009E423C"/>
    <w:rsid w:val="009E5D18"/>
    <w:rsid w:val="009E7AFF"/>
    <w:rsid w:val="009E7DCD"/>
    <w:rsid w:val="009F005A"/>
    <w:rsid w:val="009F16E1"/>
    <w:rsid w:val="009F54D8"/>
    <w:rsid w:val="009F55F9"/>
    <w:rsid w:val="009F5CC0"/>
    <w:rsid w:val="009F6842"/>
    <w:rsid w:val="009F6F8B"/>
    <w:rsid w:val="009F7164"/>
    <w:rsid w:val="00A02F0A"/>
    <w:rsid w:val="00A03BAC"/>
    <w:rsid w:val="00A03C5A"/>
    <w:rsid w:val="00A06A53"/>
    <w:rsid w:val="00A06A54"/>
    <w:rsid w:val="00A07821"/>
    <w:rsid w:val="00A103E8"/>
    <w:rsid w:val="00A1074D"/>
    <w:rsid w:val="00A10863"/>
    <w:rsid w:val="00A11172"/>
    <w:rsid w:val="00A127DD"/>
    <w:rsid w:val="00A12D4A"/>
    <w:rsid w:val="00A14E6C"/>
    <w:rsid w:val="00A15510"/>
    <w:rsid w:val="00A15AEC"/>
    <w:rsid w:val="00A16482"/>
    <w:rsid w:val="00A167EC"/>
    <w:rsid w:val="00A16D01"/>
    <w:rsid w:val="00A172E6"/>
    <w:rsid w:val="00A17D1C"/>
    <w:rsid w:val="00A209A2"/>
    <w:rsid w:val="00A22534"/>
    <w:rsid w:val="00A24C8D"/>
    <w:rsid w:val="00A2542A"/>
    <w:rsid w:val="00A25718"/>
    <w:rsid w:val="00A26F15"/>
    <w:rsid w:val="00A277D0"/>
    <w:rsid w:val="00A30E37"/>
    <w:rsid w:val="00A32930"/>
    <w:rsid w:val="00A339BA"/>
    <w:rsid w:val="00A34641"/>
    <w:rsid w:val="00A34674"/>
    <w:rsid w:val="00A3494F"/>
    <w:rsid w:val="00A35CD2"/>
    <w:rsid w:val="00A35CF8"/>
    <w:rsid w:val="00A360E7"/>
    <w:rsid w:val="00A36F02"/>
    <w:rsid w:val="00A400FB"/>
    <w:rsid w:val="00A43C4F"/>
    <w:rsid w:val="00A443D1"/>
    <w:rsid w:val="00A456B3"/>
    <w:rsid w:val="00A45C78"/>
    <w:rsid w:val="00A47BFE"/>
    <w:rsid w:val="00A50DBA"/>
    <w:rsid w:val="00A51808"/>
    <w:rsid w:val="00A51D78"/>
    <w:rsid w:val="00A51EA8"/>
    <w:rsid w:val="00A547BE"/>
    <w:rsid w:val="00A549C3"/>
    <w:rsid w:val="00A561A8"/>
    <w:rsid w:val="00A562A6"/>
    <w:rsid w:val="00A60011"/>
    <w:rsid w:val="00A63635"/>
    <w:rsid w:val="00A63A73"/>
    <w:rsid w:val="00A66581"/>
    <w:rsid w:val="00A6703C"/>
    <w:rsid w:val="00A7007B"/>
    <w:rsid w:val="00A71623"/>
    <w:rsid w:val="00A73BD7"/>
    <w:rsid w:val="00A8059F"/>
    <w:rsid w:val="00A8217C"/>
    <w:rsid w:val="00A84B87"/>
    <w:rsid w:val="00A84D4B"/>
    <w:rsid w:val="00A84FD0"/>
    <w:rsid w:val="00A8592D"/>
    <w:rsid w:val="00A8629D"/>
    <w:rsid w:val="00A90D08"/>
    <w:rsid w:val="00A91E88"/>
    <w:rsid w:val="00A92A0B"/>
    <w:rsid w:val="00A93FFF"/>
    <w:rsid w:val="00A941C1"/>
    <w:rsid w:val="00A95746"/>
    <w:rsid w:val="00A96D45"/>
    <w:rsid w:val="00A97045"/>
    <w:rsid w:val="00A973EE"/>
    <w:rsid w:val="00AA008D"/>
    <w:rsid w:val="00AA18DD"/>
    <w:rsid w:val="00AA1F91"/>
    <w:rsid w:val="00AA3687"/>
    <w:rsid w:val="00AA4A07"/>
    <w:rsid w:val="00AA5CE1"/>
    <w:rsid w:val="00AB184B"/>
    <w:rsid w:val="00AB2D9E"/>
    <w:rsid w:val="00AB33FA"/>
    <w:rsid w:val="00AB4404"/>
    <w:rsid w:val="00AB603C"/>
    <w:rsid w:val="00AB684A"/>
    <w:rsid w:val="00AC0375"/>
    <w:rsid w:val="00AC154C"/>
    <w:rsid w:val="00AC21EE"/>
    <w:rsid w:val="00AC3B22"/>
    <w:rsid w:val="00AC4101"/>
    <w:rsid w:val="00AC5597"/>
    <w:rsid w:val="00AC71C4"/>
    <w:rsid w:val="00AD0116"/>
    <w:rsid w:val="00AD1B42"/>
    <w:rsid w:val="00AD1F9C"/>
    <w:rsid w:val="00AD2871"/>
    <w:rsid w:val="00AD322C"/>
    <w:rsid w:val="00AD3AAD"/>
    <w:rsid w:val="00AD4B84"/>
    <w:rsid w:val="00AD5D06"/>
    <w:rsid w:val="00AE115E"/>
    <w:rsid w:val="00AE1F0B"/>
    <w:rsid w:val="00AE23BE"/>
    <w:rsid w:val="00AE2EAC"/>
    <w:rsid w:val="00AE5772"/>
    <w:rsid w:val="00AF0AC0"/>
    <w:rsid w:val="00AF16E0"/>
    <w:rsid w:val="00AF36C7"/>
    <w:rsid w:val="00AF3FFA"/>
    <w:rsid w:val="00AF49A0"/>
    <w:rsid w:val="00AF4CA9"/>
    <w:rsid w:val="00AF4FF5"/>
    <w:rsid w:val="00AF5012"/>
    <w:rsid w:val="00AF5B52"/>
    <w:rsid w:val="00AF7879"/>
    <w:rsid w:val="00B0033D"/>
    <w:rsid w:val="00B00818"/>
    <w:rsid w:val="00B008BF"/>
    <w:rsid w:val="00B052BA"/>
    <w:rsid w:val="00B07460"/>
    <w:rsid w:val="00B1022B"/>
    <w:rsid w:val="00B10338"/>
    <w:rsid w:val="00B1151C"/>
    <w:rsid w:val="00B11E06"/>
    <w:rsid w:val="00B12EF9"/>
    <w:rsid w:val="00B13099"/>
    <w:rsid w:val="00B1397D"/>
    <w:rsid w:val="00B16978"/>
    <w:rsid w:val="00B16BE4"/>
    <w:rsid w:val="00B17EBB"/>
    <w:rsid w:val="00B21714"/>
    <w:rsid w:val="00B2258B"/>
    <w:rsid w:val="00B237C6"/>
    <w:rsid w:val="00B24A6F"/>
    <w:rsid w:val="00B260D9"/>
    <w:rsid w:val="00B278DB"/>
    <w:rsid w:val="00B27DE8"/>
    <w:rsid w:val="00B27EBD"/>
    <w:rsid w:val="00B30757"/>
    <w:rsid w:val="00B30D4F"/>
    <w:rsid w:val="00B30D5C"/>
    <w:rsid w:val="00B341D2"/>
    <w:rsid w:val="00B3434E"/>
    <w:rsid w:val="00B34A3E"/>
    <w:rsid w:val="00B351FD"/>
    <w:rsid w:val="00B35BFD"/>
    <w:rsid w:val="00B3793E"/>
    <w:rsid w:val="00B40B13"/>
    <w:rsid w:val="00B421F2"/>
    <w:rsid w:val="00B42822"/>
    <w:rsid w:val="00B42C54"/>
    <w:rsid w:val="00B4395A"/>
    <w:rsid w:val="00B4553E"/>
    <w:rsid w:val="00B45901"/>
    <w:rsid w:val="00B46773"/>
    <w:rsid w:val="00B47091"/>
    <w:rsid w:val="00B47E14"/>
    <w:rsid w:val="00B51359"/>
    <w:rsid w:val="00B52BB4"/>
    <w:rsid w:val="00B54256"/>
    <w:rsid w:val="00B545F4"/>
    <w:rsid w:val="00B55B45"/>
    <w:rsid w:val="00B56303"/>
    <w:rsid w:val="00B56411"/>
    <w:rsid w:val="00B56D7B"/>
    <w:rsid w:val="00B573DA"/>
    <w:rsid w:val="00B57599"/>
    <w:rsid w:val="00B57FB2"/>
    <w:rsid w:val="00B61F2F"/>
    <w:rsid w:val="00B62384"/>
    <w:rsid w:val="00B64A63"/>
    <w:rsid w:val="00B64EF2"/>
    <w:rsid w:val="00B64F62"/>
    <w:rsid w:val="00B65321"/>
    <w:rsid w:val="00B65D3A"/>
    <w:rsid w:val="00B66898"/>
    <w:rsid w:val="00B7164C"/>
    <w:rsid w:val="00B71E2C"/>
    <w:rsid w:val="00B74B19"/>
    <w:rsid w:val="00B807AB"/>
    <w:rsid w:val="00B80F53"/>
    <w:rsid w:val="00B8152D"/>
    <w:rsid w:val="00B8165D"/>
    <w:rsid w:val="00B82E26"/>
    <w:rsid w:val="00B83787"/>
    <w:rsid w:val="00B86A75"/>
    <w:rsid w:val="00B910F3"/>
    <w:rsid w:val="00B91A7C"/>
    <w:rsid w:val="00B91D9E"/>
    <w:rsid w:val="00B92952"/>
    <w:rsid w:val="00B92CCC"/>
    <w:rsid w:val="00B93F2D"/>
    <w:rsid w:val="00B9412D"/>
    <w:rsid w:val="00B95022"/>
    <w:rsid w:val="00B95AC6"/>
    <w:rsid w:val="00B95FBC"/>
    <w:rsid w:val="00B9722E"/>
    <w:rsid w:val="00B97C44"/>
    <w:rsid w:val="00BA05AE"/>
    <w:rsid w:val="00BA1B98"/>
    <w:rsid w:val="00BA22F7"/>
    <w:rsid w:val="00BA2C79"/>
    <w:rsid w:val="00BA2FA3"/>
    <w:rsid w:val="00BA4375"/>
    <w:rsid w:val="00BA458B"/>
    <w:rsid w:val="00BA46E0"/>
    <w:rsid w:val="00BA548B"/>
    <w:rsid w:val="00BA6418"/>
    <w:rsid w:val="00BA6671"/>
    <w:rsid w:val="00BA7D18"/>
    <w:rsid w:val="00BB04BB"/>
    <w:rsid w:val="00BB3A8F"/>
    <w:rsid w:val="00BB4412"/>
    <w:rsid w:val="00BB5572"/>
    <w:rsid w:val="00BC2214"/>
    <w:rsid w:val="00BC2543"/>
    <w:rsid w:val="00BC2A83"/>
    <w:rsid w:val="00BC42B2"/>
    <w:rsid w:val="00BD0D15"/>
    <w:rsid w:val="00BD33EA"/>
    <w:rsid w:val="00BD5425"/>
    <w:rsid w:val="00BD62F0"/>
    <w:rsid w:val="00BD7280"/>
    <w:rsid w:val="00BE06A4"/>
    <w:rsid w:val="00BE12A4"/>
    <w:rsid w:val="00BE1758"/>
    <w:rsid w:val="00BE282B"/>
    <w:rsid w:val="00BE4687"/>
    <w:rsid w:val="00BE5E8F"/>
    <w:rsid w:val="00BE7372"/>
    <w:rsid w:val="00BE785D"/>
    <w:rsid w:val="00BF0332"/>
    <w:rsid w:val="00BF2BFE"/>
    <w:rsid w:val="00BF54C3"/>
    <w:rsid w:val="00BF5FCC"/>
    <w:rsid w:val="00C0256C"/>
    <w:rsid w:val="00C02827"/>
    <w:rsid w:val="00C069A2"/>
    <w:rsid w:val="00C069EC"/>
    <w:rsid w:val="00C07D9B"/>
    <w:rsid w:val="00C10029"/>
    <w:rsid w:val="00C10A63"/>
    <w:rsid w:val="00C17416"/>
    <w:rsid w:val="00C1748F"/>
    <w:rsid w:val="00C201F2"/>
    <w:rsid w:val="00C21125"/>
    <w:rsid w:val="00C218D5"/>
    <w:rsid w:val="00C219B8"/>
    <w:rsid w:val="00C221D5"/>
    <w:rsid w:val="00C2280A"/>
    <w:rsid w:val="00C23D12"/>
    <w:rsid w:val="00C2609C"/>
    <w:rsid w:val="00C2652B"/>
    <w:rsid w:val="00C30598"/>
    <w:rsid w:val="00C312B0"/>
    <w:rsid w:val="00C332FD"/>
    <w:rsid w:val="00C347D4"/>
    <w:rsid w:val="00C37B98"/>
    <w:rsid w:val="00C4031E"/>
    <w:rsid w:val="00C4076B"/>
    <w:rsid w:val="00C440FD"/>
    <w:rsid w:val="00C45360"/>
    <w:rsid w:val="00C45C85"/>
    <w:rsid w:val="00C45D69"/>
    <w:rsid w:val="00C501D8"/>
    <w:rsid w:val="00C51681"/>
    <w:rsid w:val="00C52B91"/>
    <w:rsid w:val="00C5300B"/>
    <w:rsid w:val="00C533E6"/>
    <w:rsid w:val="00C54DA2"/>
    <w:rsid w:val="00C56730"/>
    <w:rsid w:val="00C6024F"/>
    <w:rsid w:val="00C60319"/>
    <w:rsid w:val="00C60CE3"/>
    <w:rsid w:val="00C61FFE"/>
    <w:rsid w:val="00C63D95"/>
    <w:rsid w:val="00C64B94"/>
    <w:rsid w:val="00C650AE"/>
    <w:rsid w:val="00C6512C"/>
    <w:rsid w:val="00C65842"/>
    <w:rsid w:val="00C7036F"/>
    <w:rsid w:val="00C7064F"/>
    <w:rsid w:val="00C7070C"/>
    <w:rsid w:val="00C71513"/>
    <w:rsid w:val="00C7380E"/>
    <w:rsid w:val="00C739BF"/>
    <w:rsid w:val="00C7449B"/>
    <w:rsid w:val="00C75229"/>
    <w:rsid w:val="00C7647E"/>
    <w:rsid w:val="00C76C24"/>
    <w:rsid w:val="00C80E3F"/>
    <w:rsid w:val="00C81BD1"/>
    <w:rsid w:val="00C85C21"/>
    <w:rsid w:val="00C86848"/>
    <w:rsid w:val="00C871AC"/>
    <w:rsid w:val="00C8756C"/>
    <w:rsid w:val="00C90663"/>
    <w:rsid w:val="00C90E2B"/>
    <w:rsid w:val="00C92E70"/>
    <w:rsid w:val="00C93DCA"/>
    <w:rsid w:val="00C93E64"/>
    <w:rsid w:val="00C966A7"/>
    <w:rsid w:val="00CA071B"/>
    <w:rsid w:val="00CA0DD1"/>
    <w:rsid w:val="00CA3D16"/>
    <w:rsid w:val="00CA4507"/>
    <w:rsid w:val="00CA5466"/>
    <w:rsid w:val="00CA734B"/>
    <w:rsid w:val="00CB0475"/>
    <w:rsid w:val="00CB0AD1"/>
    <w:rsid w:val="00CB0F78"/>
    <w:rsid w:val="00CB1B1E"/>
    <w:rsid w:val="00CB1DB5"/>
    <w:rsid w:val="00CB2C4F"/>
    <w:rsid w:val="00CB3583"/>
    <w:rsid w:val="00CB4540"/>
    <w:rsid w:val="00CB6741"/>
    <w:rsid w:val="00CB6A8C"/>
    <w:rsid w:val="00CC34FF"/>
    <w:rsid w:val="00CC44F0"/>
    <w:rsid w:val="00CC4D44"/>
    <w:rsid w:val="00CC644C"/>
    <w:rsid w:val="00CC6DB2"/>
    <w:rsid w:val="00CC7FCC"/>
    <w:rsid w:val="00CD0E5B"/>
    <w:rsid w:val="00CD0FE9"/>
    <w:rsid w:val="00CD29E4"/>
    <w:rsid w:val="00CD396E"/>
    <w:rsid w:val="00CD3C2D"/>
    <w:rsid w:val="00CD3C38"/>
    <w:rsid w:val="00CD4590"/>
    <w:rsid w:val="00CD5104"/>
    <w:rsid w:val="00CD5E2E"/>
    <w:rsid w:val="00CD6046"/>
    <w:rsid w:val="00CD60D3"/>
    <w:rsid w:val="00CE06A5"/>
    <w:rsid w:val="00CE202E"/>
    <w:rsid w:val="00CE2229"/>
    <w:rsid w:val="00CE28F2"/>
    <w:rsid w:val="00CE374E"/>
    <w:rsid w:val="00CE3D22"/>
    <w:rsid w:val="00CE475A"/>
    <w:rsid w:val="00CE5033"/>
    <w:rsid w:val="00CE6ADE"/>
    <w:rsid w:val="00CE7E7E"/>
    <w:rsid w:val="00CF0534"/>
    <w:rsid w:val="00CF1DA6"/>
    <w:rsid w:val="00CF266F"/>
    <w:rsid w:val="00CF3FF0"/>
    <w:rsid w:val="00CF41AF"/>
    <w:rsid w:val="00CF4313"/>
    <w:rsid w:val="00CF4567"/>
    <w:rsid w:val="00CF53AB"/>
    <w:rsid w:val="00CF5CFF"/>
    <w:rsid w:val="00CF6815"/>
    <w:rsid w:val="00D026AC"/>
    <w:rsid w:val="00D04520"/>
    <w:rsid w:val="00D04D3D"/>
    <w:rsid w:val="00D06C45"/>
    <w:rsid w:val="00D1143A"/>
    <w:rsid w:val="00D11B02"/>
    <w:rsid w:val="00D1202C"/>
    <w:rsid w:val="00D12617"/>
    <w:rsid w:val="00D13F06"/>
    <w:rsid w:val="00D15411"/>
    <w:rsid w:val="00D16DDF"/>
    <w:rsid w:val="00D16E24"/>
    <w:rsid w:val="00D171B6"/>
    <w:rsid w:val="00D17F75"/>
    <w:rsid w:val="00D20486"/>
    <w:rsid w:val="00D210DB"/>
    <w:rsid w:val="00D228D8"/>
    <w:rsid w:val="00D22D01"/>
    <w:rsid w:val="00D3044A"/>
    <w:rsid w:val="00D31439"/>
    <w:rsid w:val="00D32596"/>
    <w:rsid w:val="00D33677"/>
    <w:rsid w:val="00D34F30"/>
    <w:rsid w:val="00D35742"/>
    <w:rsid w:val="00D36BDD"/>
    <w:rsid w:val="00D3706F"/>
    <w:rsid w:val="00D373EC"/>
    <w:rsid w:val="00D404A4"/>
    <w:rsid w:val="00D4130E"/>
    <w:rsid w:val="00D4180D"/>
    <w:rsid w:val="00D41B01"/>
    <w:rsid w:val="00D42875"/>
    <w:rsid w:val="00D42B44"/>
    <w:rsid w:val="00D44417"/>
    <w:rsid w:val="00D44A14"/>
    <w:rsid w:val="00D47738"/>
    <w:rsid w:val="00D47A1A"/>
    <w:rsid w:val="00D47D36"/>
    <w:rsid w:val="00D502EB"/>
    <w:rsid w:val="00D51A9B"/>
    <w:rsid w:val="00D51D95"/>
    <w:rsid w:val="00D53EC6"/>
    <w:rsid w:val="00D55A00"/>
    <w:rsid w:val="00D56F49"/>
    <w:rsid w:val="00D56F77"/>
    <w:rsid w:val="00D60DB3"/>
    <w:rsid w:val="00D61E9F"/>
    <w:rsid w:val="00D62CC8"/>
    <w:rsid w:val="00D63232"/>
    <w:rsid w:val="00D63D90"/>
    <w:rsid w:val="00D6402F"/>
    <w:rsid w:val="00D64983"/>
    <w:rsid w:val="00D66918"/>
    <w:rsid w:val="00D7034E"/>
    <w:rsid w:val="00D7047A"/>
    <w:rsid w:val="00D712E8"/>
    <w:rsid w:val="00D719E9"/>
    <w:rsid w:val="00D72225"/>
    <w:rsid w:val="00D7335E"/>
    <w:rsid w:val="00D73550"/>
    <w:rsid w:val="00D80185"/>
    <w:rsid w:val="00D8220B"/>
    <w:rsid w:val="00D838F7"/>
    <w:rsid w:val="00D83A1B"/>
    <w:rsid w:val="00D845DA"/>
    <w:rsid w:val="00D8479E"/>
    <w:rsid w:val="00D868F1"/>
    <w:rsid w:val="00D87D64"/>
    <w:rsid w:val="00D87EFF"/>
    <w:rsid w:val="00D90F47"/>
    <w:rsid w:val="00D91AE6"/>
    <w:rsid w:val="00D922A2"/>
    <w:rsid w:val="00D93125"/>
    <w:rsid w:val="00D93F66"/>
    <w:rsid w:val="00D941E0"/>
    <w:rsid w:val="00D95840"/>
    <w:rsid w:val="00D96B43"/>
    <w:rsid w:val="00DA1603"/>
    <w:rsid w:val="00DA1D64"/>
    <w:rsid w:val="00DA23DC"/>
    <w:rsid w:val="00DA2B67"/>
    <w:rsid w:val="00DA3C9A"/>
    <w:rsid w:val="00DA4704"/>
    <w:rsid w:val="00DA554C"/>
    <w:rsid w:val="00DA589B"/>
    <w:rsid w:val="00DA5980"/>
    <w:rsid w:val="00DA5BF6"/>
    <w:rsid w:val="00DA5F07"/>
    <w:rsid w:val="00DA7703"/>
    <w:rsid w:val="00DB0EF6"/>
    <w:rsid w:val="00DB2668"/>
    <w:rsid w:val="00DB2CE5"/>
    <w:rsid w:val="00DB3794"/>
    <w:rsid w:val="00DB3C96"/>
    <w:rsid w:val="00DB42FB"/>
    <w:rsid w:val="00DB4C2D"/>
    <w:rsid w:val="00DB520B"/>
    <w:rsid w:val="00DB72E4"/>
    <w:rsid w:val="00DB7AEE"/>
    <w:rsid w:val="00DC1187"/>
    <w:rsid w:val="00DC39C4"/>
    <w:rsid w:val="00DC3D93"/>
    <w:rsid w:val="00DC4568"/>
    <w:rsid w:val="00DC680B"/>
    <w:rsid w:val="00DC6AFC"/>
    <w:rsid w:val="00DC6D29"/>
    <w:rsid w:val="00DD0910"/>
    <w:rsid w:val="00DD0941"/>
    <w:rsid w:val="00DD0CC5"/>
    <w:rsid w:val="00DD1241"/>
    <w:rsid w:val="00DD1331"/>
    <w:rsid w:val="00DD1C47"/>
    <w:rsid w:val="00DD268E"/>
    <w:rsid w:val="00DD2826"/>
    <w:rsid w:val="00DD3BCF"/>
    <w:rsid w:val="00DD4139"/>
    <w:rsid w:val="00DD49FE"/>
    <w:rsid w:val="00DD5FEF"/>
    <w:rsid w:val="00DD6B5E"/>
    <w:rsid w:val="00DE059D"/>
    <w:rsid w:val="00DE0602"/>
    <w:rsid w:val="00DE0664"/>
    <w:rsid w:val="00DE0E3C"/>
    <w:rsid w:val="00DE13E8"/>
    <w:rsid w:val="00DE1826"/>
    <w:rsid w:val="00DE4BF6"/>
    <w:rsid w:val="00DE52A5"/>
    <w:rsid w:val="00DE5325"/>
    <w:rsid w:val="00DE5D46"/>
    <w:rsid w:val="00DE69D0"/>
    <w:rsid w:val="00DE6D2B"/>
    <w:rsid w:val="00DE6DBF"/>
    <w:rsid w:val="00DE7070"/>
    <w:rsid w:val="00DE77A3"/>
    <w:rsid w:val="00DF02F6"/>
    <w:rsid w:val="00DF0993"/>
    <w:rsid w:val="00DF163F"/>
    <w:rsid w:val="00DF21B8"/>
    <w:rsid w:val="00DF284F"/>
    <w:rsid w:val="00DF31EE"/>
    <w:rsid w:val="00DF3395"/>
    <w:rsid w:val="00DF7681"/>
    <w:rsid w:val="00E00443"/>
    <w:rsid w:val="00E0118C"/>
    <w:rsid w:val="00E02D36"/>
    <w:rsid w:val="00E03431"/>
    <w:rsid w:val="00E04E43"/>
    <w:rsid w:val="00E05E74"/>
    <w:rsid w:val="00E065D9"/>
    <w:rsid w:val="00E10902"/>
    <w:rsid w:val="00E114EF"/>
    <w:rsid w:val="00E1241D"/>
    <w:rsid w:val="00E13D0D"/>
    <w:rsid w:val="00E1414D"/>
    <w:rsid w:val="00E149CE"/>
    <w:rsid w:val="00E16AC4"/>
    <w:rsid w:val="00E17C58"/>
    <w:rsid w:val="00E2085B"/>
    <w:rsid w:val="00E2178D"/>
    <w:rsid w:val="00E2263B"/>
    <w:rsid w:val="00E22DDE"/>
    <w:rsid w:val="00E23958"/>
    <w:rsid w:val="00E23AD4"/>
    <w:rsid w:val="00E23BEC"/>
    <w:rsid w:val="00E23EC3"/>
    <w:rsid w:val="00E24D4A"/>
    <w:rsid w:val="00E24E4D"/>
    <w:rsid w:val="00E2539D"/>
    <w:rsid w:val="00E25D14"/>
    <w:rsid w:val="00E25F8C"/>
    <w:rsid w:val="00E2618B"/>
    <w:rsid w:val="00E267F1"/>
    <w:rsid w:val="00E26938"/>
    <w:rsid w:val="00E27EDD"/>
    <w:rsid w:val="00E3217E"/>
    <w:rsid w:val="00E36907"/>
    <w:rsid w:val="00E3704F"/>
    <w:rsid w:val="00E4039E"/>
    <w:rsid w:val="00E42126"/>
    <w:rsid w:val="00E42438"/>
    <w:rsid w:val="00E42772"/>
    <w:rsid w:val="00E43B55"/>
    <w:rsid w:val="00E44F08"/>
    <w:rsid w:val="00E45DBD"/>
    <w:rsid w:val="00E465E7"/>
    <w:rsid w:val="00E47A3A"/>
    <w:rsid w:val="00E5039D"/>
    <w:rsid w:val="00E528AF"/>
    <w:rsid w:val="00E52FAD"/>
    <w:rsid w:val="00E530C2"/>
    <w:rsid w:val="00E53131"/>
    <w:rsid w:val="00E5420A"/>
    <w:rsid w:val="00E5518E"/>
    <w:rsid w:val="00E56222"/>
    <w:rsid w:val="00E566D8"/>
    <w:rsid w:val="00E56BD1"/>
    <w:rsid w:val="00E57743"/>
    <w:rsid w:val="00E577C9"/>
    <w:rsid w:val="00E62DD3"/>
    <w:rsid w:val="00E63D45"/>
    <w:rsid w:val="00E641D8"/>
    <w:rsid w:val="00E64B11"/>
    <w:rsid w:val="00E65130"/>
    <w:rsid w:val="00E6542F"/>
    <w:rsid w:val="00E66D8F"/>
    <w:rsid w:val="00E6742D"/>
    <w:rsid w:val="00E67F6F"/>
    <w:rsid w:val="00E71060"/>
    <w:rsid w:val="00E71707"/>
    <w:rsid w:val="00E71EF1"/>
    <w:rsid w:val="00E726FE"/>
    <w:rsid w:val="00E731C6"/>
    <w:rsid w:val="00E740C4"/>
    <w:rsid w:val="00E74686"/>
    <w:rsid w:val="00E74750"/>
    <w:rsid w:val="00E76686"/>
    <w:rsid w:val="00E80520"/>
    <w:rsid w:val="00E80A07"/>
    <w:rsid w:val="00E818D4"/>
    <w:rsid w:val="00E81A01"/>
    <w:rsid w:val="00E81BD0"/>
    <w:rsid w:val="00E81D4A"/>
    <w:rsid w:val="00E8297B"/>
    <w:rsid w:val="00E83110"/>
    <w:rsid w:val="00E83C98"/>
    <w:rsid w:val="00E840FE"/>
    <w:rsid w:val="00E847DC"/>
    <w:rsid w:val="00E84DBD"/>
    <w:rsid w:val="00E86E3D"/>
    <w:rsid w:val="00E873A0"/>
    <w:rsid w:val="00E879E5"/>
    <w:rsid w:val="00E90A99"/>
    <w:rsid w:val="00E9124C"/>
    <w:rsid w:val="00E9128A"/>
    <w:rsid w:val="00E91BFD"/>
    <w:rsid w:val="00E91C15"/>
    <w:rsid w:val="00E93BF9"/>
    <w:rsid w:val="00E943E8"/>
    <w:rsid w:val="00E945CE"/>
    <w:rsid w:val="00E94FAF"/>
    <w:rsid w:val="00E96293"/>
    <w:rsid w:val="00E96E5C"/>
    <w:rsid w:val="00E97091"/>
    <w:rsid w:val="00EA007C"/>
    <w:rsid w:val="00EA0340"/>
    <w:rsid w:val="00EA0528"/>
    <w:rsid w:val="00EA0C10"/>
    <w:rsid w:val="00EA347E"/>
    <w:rsid w:val="00EA4E02"/>
    <w:rsid w:val="00EA6276"/>
    <w:rsid w:val="00EB048C"/>
    <w:rsid w:val="00EB1358"/>
    <w:rsid w:val="00EB2C67"/>
    <w:rsid w:val="00EB367C"/>
    <w:rsid w:val="00EB43BA"/>
    <w:rsid w:val="00EB46D0"/>
    <w:rsid w:val="00EB4700"/>
    <w:rsid w:val="00EB4927"/>
    <w:rsid w:val="00EB7F72"/>
    <w:rsid w:val="00EC002A"/>
    <w:rsid w:val="00EC4357"/>
    <w:rsid w:val="00EC49A4"/>
    <w:rsid w:val="00EC4EF3"/>
    <w:rsid w:val="00EC6D48"/>
    <w:rsid w:val="00EC7B2D"/>
    <w:rsid w:val="00ED16C8"/>
    <w:rsid w:val="00ED20C9"/>
    <w:rsid w:val="00ED21EE"/>
    <w:rsid w:val="00ED37E1"/>
    <w:rsid w:val="00ED3B31"/>
    <w:rsid w:val="00ED4D07"/>
    <w:rsid w:val="00ED4EC4"/>
    <w:rsid w:val="00ED516C"/>
    <w:rsid w:val="00ED6C04"/>
    <w:rsid w:val="00EE04B4"/>
    <w:rsid w:val="00EE3912"/>
    <w:rsid w:val="00EE4040"/>
    <w:rsid w:val="00EE4094"/>
    <w:rsid w:val="00EE4D57"/>
    <w:rsid w:val="00EE53FF"/>
    <w:rsid w:val="00EE5E83"/>
    <w:rsid w:val="00EE6954"/>
    <w:rsid w:val="00EE7092"/>
    <w:rsid w:val="00EF2F5C"/>
    <w:rsid w:val="00EF3CF0"/>
    <w:rsid w:val="00EF4DB0"/>
    <w:rsid w:val="00EF52E2"/>
    <w:rsid w:val="00EF6717"/>
    <w:rsid w:val="00EF7590"/>
    <w:rsid w:val="00EF7DA1"/>
    <w:rsid w:val="00F02000"/>
    <w:rsid w:val="00F024CA"/>
    <w:rsid w:val="00F027AA"/>
    <w:rsid w:val="00F03117"/>
    <w:rsid w:val="00F03373"/>
    <w:rsid w:val="00F0354F"/>
    <w:rsid w:val="00F04E6A"/>
    <w:rsid w:val="00F054C5"/>
    <w:rsid w:val="00F06C92"/>
    <w:rsid w:val="00F07B96"/>
    <w:rsid w:val="00F1013F"/>
    <w:rsid w:val="00F103C1"/>
    <w:rsid w:val="00F107BF"/>
    <w:rsid w:val="00F10A99"/>
    <w:rsid w:val="00F127DE"/>
    <w:rsid w:val="00F138A2"/>
    <w:rsid w:val="00F14C80"/>
    <w:rsid w:val="00F154EB"/>
    <w:rsid w:val="00F16032"/>
    <w:rsid w:val="00F2002D"/>
    <w:rsid w:val="00F20632"/>
    <w:rsid w:val="00F20E56"/>
    <w:rsid w:val="00F23690"/>
    <w:rsid w:val="00F23738"/>
    <w:rsid w:val="00F247F2"/>
    <w:rsid w:val="00F303A6"/>
    <w:rsid w:val="00F306C5"/>
    <w:rsid w:val="00F30846"/>
    <w:rsid w:val="00F30CAB"/>
    <w:rsid w:val="00F32479"/>
    <w:rsid w:val="00F327DF"/>
    <w:rsid w:val="00F32E2C"/>
    <w:rsid w:val="00F33121"/>
    <w:rsid w:val="00F3361F"/>
    <w:rsid w:val="00F33769"/>
    <w:rsid w:val="00F356D2"/>
    <w:rsid w:val="00F358DA"/>
    <w:rsid w:val="00F36DEB"/>
    <w:rsid w:val="00F36FF8"/>
    <w:rsid w:val="00F37F86"/>
    <w:rsid w:val="00F406FD"/>
    <w:rsid w:val="00F40D24"/>
    <w:rsid w:val="00F414D0"/>
    <w:rsid w:val="00F41756"/>
    <w:rsid w:val="00F45077"/>
    <w:rsid w:val="00F4722B"/>
    <w:rsid w:val="00F47D9D"/>
    <w:rsid w:val="00F50558"/>
    <w:rsid w:val="00F50A8E"/>
    <w:rsid w:val="00F511D5"/>
    <w:rsid w:val="00F52AC7"/>
    <w:rsid w:val="00F531A8"/>
    <w:rsid w:val="00F544D2"/>
    <w:rsid w:val="00F55847"/>
    <w:rsid w:val="00F57142"/>
    <w:rsid w:val="00F5756D"/>
    <w:rsid w:val="00F62D81"/>
    <w:rsid w:val="00F62F79"/>
    <w:rsid w:val="00F630A2"/>
    <w:rsid w:val="00F643B2"/>
    <w:rsid w:val="00F6450E"/>
    <w:rsid w:val="00F652AB"/>
    <w:rsid w:val="00F65942"/>
    <w:rsid w:val="00F65BE2"/>
    <w:rsid w:val="00F65E84"/>
    <w:rsid w:val="00F6612D"/>
    <w:rsid w:val="00F67651"/>
    <w:rsid w:val="00F67998"/>
    <w:rsid w:val="00F67B9D"/>
    <w:rsid w:val="00F71052"/>
    <w:rsid w:val="00F7230A"/>
    <w:rsid w:val="00F72AA0"/>
    <w:rsid w:val="00F73AD4"/>
    <w:rsid w:val="00F7404F"/>
    <w:rsid w:val="00F761F7"/>
    <w:rsid w:val="00F76A40"/>
    <w:rsid w:val="00F76FB6"/>
    <w:rsid w:val="00F77282"/>
    <w:rsid w:val="00F7749B"/>
    <w:rsid w:val="00F808C4"/>
    <w:rsid w:val="00F80C07"/>
    <w:rsid w:val="00F814BB"/>
    <w:rsid w:val="00F8183B"/>
    <w:rsid w:val="00F82E81"/>
    <w:rsid w:val="00F82FF7"/>
    <w:rsid w:val="00F83A7D"/>
    <w:rsid w:val="00F85BC0"/>
    <w:rsid w:val="00F87264"/>
    <w:rsid w:val="00F908E9"/>
    <w:rsid w:val="00F94BD1"/>
    <w:rsid w:val="00F94FE1"/>
    <w:rsid w:val="00F96295"/>
    <w:rsid w:val="00F96D19"/>
    <w:rsid w:val="00F97E2B"/>
    <w:rsid w:val="00FA0D9B"/>
    <w:rsid w:val="00FA2A2E"/>
    <w:rsid w:val="00FA3FAE"/>
    <w:rsid w:val="00FA56D6"/>
    <w:rsid w:val="00FA595F"/>
    <w:rsid w:val="00FA6C24"/>
    <w:rsid w:val="00FA7D41"/>
    <w:rsid w:val="00FB0D0F"/>
    <w:rsid w:val="00FB338F"/>
    <w:rsid w:val="00FB3BA5"/>
    <w:rsid w:val="00FB42F0"/>
    <w:rsid w:val="00FB651A"/>
    <w:rsid w:val="00FC02CC"/>
    <w:rsid w:val="00FC0CB3"/>
    <w:rsid w:val="00FC2999"/>
    <w:rsid w:val="00FC2C0F"/>
    <w:rsid w:val="00FC5465"/>
    <w:rsid w:val="00FC5A41"/>
    <w:rsid w:val="00FC697F"/>
    <w:rsid w:val="00FC70B3"/>
    <w:rsid w:val="00FC765F"/>
    <w:rsid w:val="00FD1861"/>
    <w:rsid w:val="00FD3DCC"/>
    <w:rsid w:val="00FD3F5C"/>
    <w:rsid w:val="00FD5375"/>
    <w:rsid w:val="00FD5B82"/>
    <w:rsid w:val="00FD61A3"/>
    <w:rsid w:val="00FD66C9"/>
    <w:rsid w:val="00FD772E"/>
    <w:rsid w:val="00FD79F6"/>
    <w:rsid w:val="00FE0371"/>
    <w:rsid w:val="00FE1258"/>
    <w:rsid w:val="00FE1A39"/>
    <w:rsid w:val="00FE2025"/>
    <w:rsid w:val="00FE31D0"/>
    <w:rsid w:val="00FE3581"/>
    <w:rsid w:val="00FE7212"/>
    <w:rsid w:val="00FE7778"/>
    <w:rsid w:val="00FE7A3F"/>
    <w:rsid w:val="00FF0B6A"/>
    <w:rsid w:val="00FF10F6"/>
    <w:rsid w:val="00FF1A66"/>
    <w:rsid w:val="00FF4970"/>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A548B"/>
    <w:pPr>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B92CCC"/>
    <w:pPr>
      <w:widowControl w:val="0"/>
      <w:spacing w:after="120"/>
    </w:pPr>
    <w:rPr>
      <w:szCs w:val="20"/>
    </w:rPr>
  </w:style>
  <w:style w:type="character" w:customStyle="1" w:styleId="BodyTextChar">
    <w:name w:val="Body Text Char"/>
    <w:aliases w:val=" Char Char"/>
    <w:basedOn w:val="DefaultParagraphFont"/>
    <w:link w:val="BodyText"/>
    <w:rsid w:val="00B92CCC"/>
    <w:rPr>
      <w:sz w:val="24"/>
    </w:rPr>
  </w:style>
  <w:style w:type="table" w:customStyle="1" w:styleId="TableGrid1">
    <w:name w:val="Table Grid1"/>
    <w:basedOn w:val="TableNormal"/>
    <w:next w:val="TableGrid"/>
    <w:rsid w:val="00DB4C2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279D8"/>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A548B"/>
    <w:pPr>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paragraph" w:styleId="BodyText">
    <w:name w:val="Body Text"/>
    <w:aliases w:val=" Char"/>
    <w:basedOn w:val="Normal"/>
    <w:link w:val="BodyTextChar"/>
    <w:rsid w:val="00B92CCC"/>
    <w:pPr>
      <w:widowControl w:val="0"/>
      <w:spacing w:after="120"/>
    </w:pPr>
    <w:rPr>
      <w:szCs w:val="20"/>
    </w:rPr>
  </w:style>
  <w:style w:type="character" w:customStyle="1" w:styleId="BodyTextChar">
    <w:name w:val="Body Text Char"/>
    <w:aliases w:val=" Char Char"/>
    <w:basedOn w:val="DefaultParagraphFont"/>
    <w:link w:val="BodyText"/>
    <w:rsid w:val="00B92CCC"/>
    <w:rPr>
      <w:sz w:val="24"/>
    </w:rPr>
  </w:style>
  <w:style w:type="table" w:customStyle="1" w:styleId="TableGrid1">
    <w:name w:val="Table Grid1"/>
    <w:basedOn w:val="TableNormal"/>
    <w:next w:val="TableGrid"/>
    <w:rsid w:val="00DB4C2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279D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556">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199852">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415093">
      <w:bodyDiv w:val="1"/>
      <w:marLeft w:val="0"/>
      <w:marRight w:val="0"/>
      <w:marTop w:val="0"/>
      <w:marBottom w:val="0"/>
      <w:divBdr>
        <w:top w:val="none" w:sz="0" w:space="0" w:color="auto"/>
        <w:left w:val="none" w:sz="0" w:space="0" w:color="auto"/>
        <w:bottom w:val="none" w:sz="0" w:space="0" w:color="auto"/>
        <w:right w:val="none" w:sz="0" w:space="0" w:color="auto"/>
      </w:divBdr>
    </w:div>
    <w:div w:id="37620187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93899192">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06179779">
      <w:bodyDiv w:val="1"/>
      <w:marLeft w:val="0"/>
      <w:marRight w:val="0"/>
      <w:marTop w:val="0"/>
      <w:marBottom w:val="0"/>
      <w:divBdr>
        <w:top w:val="none" w:sz="0" w:space="0" w:color="auto"/>
        <w:left w:val="none" w:sz="0" w:space="0" w:color="auto"/>
        <w:bottom w:val="none" w:sz="0" w:space="0" w:color="auto"/>
        <w:right w:val="none" w:sz="0" w:space="0" w:color="auto"/>
      </w:divBdr>
    </w:div>
    <w:div w:id="707681418">
      <w:bodyDiv w:val="1"/>
      <w:marLeft w:val="0"/>
      <w:marRight w:val="0"/>
      <w:marTop w:val="0"/>
      <w:marBottom w:val="0"/>
      <w:divBdr>
        <w:top w:val="none" w:sz="0" w:space="0" w:color="auto"/>
        <w:left w:val="none" w:sz="0" w:space="0" w:color="auto"/>
        <w:bottom w:val="none" w:sz="0" w:space="0" w:color="auto"/>
        <w:right w:val="none" w:sz="0" w:space="0" w:color="auto"/>
      </w:divBdr>
    </w:div>
    <w:div w:id="708411245">
      <w:bodyDiv w:val="1"/>
      <w:marLeft w:val="0"/>
      <w:marRight w:val="0"/>
      <w:marTop w:val="0"/>
      <w:marBottom w:val="0"/>
      <w:divBdr>
        <w:top w:val="none" w:sz="0" w:space="0" w:color="auto"/>
        <w:left w:val="none" w:sz="0" w:space="0" w:color="auto"/>
        <w:bottom w:val="none" w:sz="0" w:space="0" w:color="auto"/>
        <w:right w:val="none" w:sz="0" w:space="0" w:color="auto"/>
      </w:divBdr>
    </w:div>
    <w:div w:id="759761822">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6535071">
      <w:bodyDiv w:val="1"/>
      <w:marLeft w:val="0"/>
      <w:marRight w:val="0"/>
      <w:marTop w:val="0"/>
      <w:marBottom w:val="0"/>
      <w:divBdr>
        <w:top w:val="none" w:sz="0" w:space="0" w:color="auto"/>
        <w:left w:val="none" w:sz="0" w:space="0" w:color="auto"/>
        <w:bottom w:val="none" w:sz="0" w:space="0" w:color="auto"/>
        <w:right w:val="none" w:sz="0" w:space="0" w:color="auto"/>
      </w:divBdr>
    </w:div>
    <w:div w:id="944389228">
      <w:bodyDiv w:val="1"/>
      <w:marLeft w:val="0"/>
      <w:marRight w:val="0"/>
      <w:marTop w:val="0"/>
      <w:marBottom w:val="0"/>
      <w:divBdr>
        <w:top w:val="none" w:sz="0" w:space="0" w:color="auto"/>
        <w:left w:val="none" w:sz="0" w:space="0" w:color="auto"/>
        <w:bottom w:val="none" w:sz="0" w:space="0" w:color="auto"/>
        <w:right w:val="none" w:sz="0" w:space="0" w:color="auto"/>
      </w:divBdr>
    </w:div>
    <w:div w:id="949359968">
      <w:bodyDiv w:val="1"/>
      <w:marLeft w:val="0"/>
      <w:marRight w:val="0"/>
      <w:marTop w:val="0"/>
      <w:marBottom w:val="0"/>
      <w:divBdr>
        <w:top w:val="none" w:sz="0" w:space="0" w:color="auto"/>
        <w:left w:val="none" w:sz="0" w:space="0" w:color="auto"/>
        <w:bottom w:val="none" w:sz="0" w:space="0" w:color="auto"/>
        <w:right w:val="none" w:sz="0" w:space="0" w:color="auto"/>
      </w:divBdr>
    </w:div>
    <w:div w:id="1064328871">
      <w:bodyDiv w:val="1"/>
      <w:marLeft w:val="0"/>
      <w:marRight w:val="0"/>
      <w:marTop w:val="0"/>
      <w:marBottom w:val="0"/>
      <w:divBdr>
        <w:top w:val="none" w:sz="0" w:space="0" w:color="auto"/>
        <w:left w:val="none" w:sz="0" w:space="0" w:color="auto"/>
        <w:bottom w:val="none" w:sz="0" w:space="0" w:color="auto"/>
        <w:right w:val="none" w:sz="0" w:space="0" w:color="auto"/>
      </w:divBdr>
    </w:div>
    <w:div w:id="1140459046">
      <w:bodyDiv w:val="1"/>
      <w:marLeft w:val="0"/>
      <w:marRight w:val="0"/>
      <w:marTop w:val="0"/>
      <w:marBottom w:val="0"/>
      <w:divBdr>
        <w:top w:val="none" w:sz="0" w:space="0" w:color="auto"/>
        <w:left w:val="none" w:sz="0" w:space="0" w:color="auto"/>
        <w:bottom w:val="none" w:sz="0" w:space="0" w:color="auto"/>
        <w:right w:val="none" w:sz="0" w:space="0" w:color="auto"/>
      </w:divBdr>
    </w:div>
    <w:div w:id="1190414129">
      <w:bodyDiv w:val="1"/>
      <w:marLeft w:val="0"/>
      <w:marRight w:val="0"/>
      <w:marTop w:val="0"/>
      <w:marBottom w:val="0"/>
      <w:divBdr>
        <w:top w:val="none" w:sz="0" w:space="0" w:color="auto"/>
        <w:left w:val="none" w:sz="0" w:space="0" w:color="auto"/>
        <w:bottom w:val="none" w:sz="0" w:space="0" w:color="auto"/>
        <w:right w:val="none" w:sz="0" w:space="0" w:color="auto"/>
      </w:divBdr>
    </w:div>
    <w:div w:id="120017021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32038424">
      <w:bodyDiv w:val="1"/>
      <w:marLeft w:val="0"/>
      <w:marRight w:val="0"/>
      <w:marTop w:val="0"/>
      <w:marBottom w:val="0"/>
      <w:divBdr>
        <w:top w:val="none" w:sz="0" w:space="0" w:color="auto"/>
        <w:left w:val="none" w:sz="0" w:space="0" w:color="auto"/>
        <w:bottom w:val="none" w:sz="0" w:space="0" w:color="auto"/>
        <w:right w:val="none" w:sz="0" w:space="0" w:color="auto"/>
      </w:divBdr>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2486907">
      <w:bodyDiv w:val="1"/>
      <w:marLeft w:val="0"/>
      <w:marRight w:val="0"/>
      <w:marTop w:val="0"/>
      <w:marBottom w:val="0"/>
      <w:divBdr>
        <w:top w:val="none" w:sz="0" w:space="0" w:color="auto"/>
        <w:left w:val="none" w:sz="0" w:space="0" w:color="auto"/>
        <w:bottom w:val="none" w:sz="0" w:space="0" w:color="auto"/>
        <w:right w:val="none" w:sz="0" w:space="0" w:color="auto"/>
      </w:divBdr>
    </w:div>
    <w:div w:id="1379235544">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40048429">
      <w:bodyDiv w:val="1"/>
      <w:marLeft w:val="0"/>
      <w:marRight w:val="0"/>
      <w:marTop w:val="0"/>
      <w:marBottom w:val="0"/>
      <w:divBdr>
        <w:top w:val="none" w:sz="0" w:space="0" w:color="auto"/>
        <w:left w:val="none" w:sz="0" w:space="0" w:color="auto"/>
        <w:bottom w:val="none" w:sz="0" w:space="0" w:color="auto"/>
        <w:right w:val="none" w:sz="0" w:space="0" w:color="auto"/>
      </w:divBdr>
    </w:div>
    <w:div w:id="157943882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34170354">
      <w:bodyDiv w:val="1"/>
      <w:marLeft w:val="0"/>
      <w:marRight w:val="0"/>
      <w:marTop w:val="0"/>
      <w:marBottom w:val="0"/>
      <w:divBdr>
        <w:top w:val="none" w:sz="0" w:space="0" w:color="auto"/>
        <w:left w:val="none" w:sz="0" w:space="0" w:color="auto"/>
        <w:bottom w:val="none" w:sz="0" w:space="0" w:color="auto"/>
        <w:right w:val="none" w:sz="0" w:space="0" w:color="auto"/>
      </w:divBdr>
    </w:div>
    <w:div w:id="1690789445">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81154497">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64135498">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87416840">
      <w:bodyDiv w:val="1"/>
      <w:marLeft w:val="0"/>
      <w:marRight w:val="0"/>
      <w:marTop w:val="0"/>
      <w:marBottom w:val="0"/>
      <w:divBdr>
        <w:top w:val="none" w:sz="0" w:space="0" w:color="auto"/>
        <w:left w:val="none" w:sz="0" w:space="0" w:color="auto"/>
        <w:bottom w:val="none" w:sz="0" w:space="0" w:color="auto"/>
        <w:right w:val="none" w:sz="0" w:space="0" w:color="auto"/>
      </w:divBdr>
    </w:div>
    <w:div w:id="2089376867">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hyperlink" Target="http://apps1.eere.energy.gov/buildings/energyplus/cfm/weather_data3.cfm/region=4_north_and_central_america_wmo_region_4/country=2_california_climate_zones/cname=California%20Climate%20Zo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9FCFE4FD-C818-4527-B93D-C62D95847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824</TotalTime>
  <Pages>24</Pages>
  <Words>6362</Words>
  <Characters>36267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42544</CharactersWithSpaces>
  <SharedDoc>false</SharedDoc>
  <HLinks>
    <vt:vector size="198" baseType="variant">
      <vt:variant>
        <vt:i4>1507390</vt:i4>
      </vt:variant>
      <vt:variant>
        <vt:i4>197</vt:i4>
      </vt:variant>
      <vt:variant>
        <vt:i4>0</vt:i4>
      </vt:variant>
      <vt:variant>
        <vt:i4>5</vt:i4>
      </vt:variant>
      <vt:variant>
        <vt:lpwstr/>
      </vt:variant>
      <vt:variant>
        <vt:lpwstr>_Toc378256035</vt:lpwstr>
      </vt:variant>
      <vt:variant>
        <vt:i4>1507390</vt:i4>
      </vt:variant>
      <vt:variant>
        <vt:i4>191</vt:i4>
      </vt:variant>
      <vt:variant>
        <vt:i4>0</vt:i4>
      </vt:variant>
      <vt:variant>
        <vt:i4>5</vt:i4>
      </vt:variant>
      <vt:variant>
        <vt:lpwstr/>
      </vt:variant>
      <vt:variant>
        <vt:lpwstr>_Toc378256034</vt:lpwstr>
      </vt:variant>
      <vt:variant>
        <vt:i4>1507390</vt:i4>
      </vt:variant>
      <vt:variant>
        <vt:i4>185</vt:i4>
      </vt:variant>
      <vt:variant>
        <vt:i4>0</vt:i4>
      </vt:variant>
      <vt:variant>
        <vt:i4>5</vt:i4>
      </vt:variant>
      <vt:variant>
        <vt:lpwstr/>
      </vt:variant>
      <vt:variant>
        <vt:lpwstr>_Toc378256033</vt:lpwstr>
      </vt:variant>
      <vt:variant>
        <vt:i4>1245246</vt:i4>
      </vt:variant>
      <vt:variant>
        <vt:i4>176</vt:i4>
      </vt:variant>
      <vt:variant>
        <vt:i4>0</vt:i4>
      </vt:variant>
      <vt:variant>
        <vt:i4>5</vt:i4>
      </vt:variant>
      <vt:variant>
        <vt:lpwstr/>
      </vt:variant>
      <vt:variant>
        <vt:lpwstr>_Toc378256072</vt:lpwstr>
      </vt:variant>
      <vt:variant>
        <vt:i4>1245246</vt:i4>
      </vt:variant>
      <vt:variant>
        <vt:i4>170</vt:i4>
      </vt:variant>
      <vt:variant>
        <vt:i4>0</vt:i4>
      </vt:variant>
      <vt:variant>
        <vt:i4>5</vt:i4>
      </vt:variant>
      <vt:variant>
        <vt:lpwstr/>
      </vt:variant>
      <vt:variant>
        <vt:lpwstr>_Toc378256071</vt:lpwstr>
      </vt:variant>
      <vt:variant>
        <vt:i4>1245246</vt:i4>
      </vt:variant>
      <vt:variant>
        <vt:i4>164</vt:i4>
      </vt:variant>
      <vt:variant>
        <vt:i4>0</vt:i4>
      </vt:variant>
      <vt:variant>
        <vt:i4>5</vt:i4>
      </vt:variant>
      <vt:variant>
        <vt:lpwstr/>
      </vt:variant>
      <vt:variant>
        <vt:lpwstr>_Toc378256070</vt:lpwstr>
      </vt:variant>
      <vt:variant>
        <vt:i4>1179710</vt:i4>
      </vt:variant>
      <vt:variant>
        <vt:i4>158</vt:i4>
      </vt:variant>
      <vt:variant>
        <vt:i4>0</vt:i4>
      </vt:variant>
      <vt:variant>
        <vt:i4>5</vt:i4>
      </vt:variant>
      <vt:variant>
        <vt:lpwstr/>
      </vt:variant>
      <vt:variant>
        <vt:lpwstr>_Toc378256069</vt:lpwstr>
      </vt:variant>
      <vt:variant>
        <vt:i4>1179710</vt:i4>
      </vt:variant>
      <vt:variant>
        <vt:i4>152</vt:i4>
      </vt:variant>
      <vt:variant>
        <vt:i4>0</vt:i4>
      </vt:variant>
      <vt:variant>
        <vt:i4>5</vt:i4>
      </vt:variant>
      <vt:variant>
        <vt:lpwstr/>
      </vt:variant>
      <vt:variant>
        <vt:lpwstr>_Toc378256068</vt:lpwstr>
      </vt:variant>
      <vt:variant>
        <vt:i4>1179710</vt:i4>
      </vt:variant>
      <vt:variant>
        <vt:i4>146</vt:i4>
      </vt:variant>
      <vt:variant>
        <vt:i4>0</vt:i4>
      </vt:variant>
      <vt:variant>
        <vt:i4>5</vt:i4>
      </vt:variant>
      <vt:variant>
        <vt:lpwstr/>
      </vt:variant>
      <vt:variant>
        <vt:lpwstr>_Toc378256067</vt:lpwstr>
      </vt:variant>
      <vt:variant>
        <vt:i4>1179710</vt:i4>
      </vt:variant>
      <vt:variant>
        <vt:i4>140</vt:i4>
      </vt:variant>
      <vt:variant>
        <vt:i4>0</vt:i4>
      </vt:variant>
      <vt:variant>
        <vt:i4>5</vt:i4>
      </vt:variant>
      <vt:variant>
        <vt:lpwstr/>
      </vt:variant>
      <vt:variant>
        <vt:lpwstr>_Toc378256066</vt:lpwstr>
      </vt:variant>
      <vt:variant>
        <vt:i4>1179710</vt:i4>
      </vt:variant>
      <vt:variant>
        <vt:i4>134</vt:i4>
      </vt:variant>
      <vt:variant>
        <vt:i4>0</vt:i4>
      </vt:variant>
      <vt:variant>
        <vt:i4>5</vt:i4>
      </vt:variant>
      <vt:variant>
        <vt:lpwstr/>
      </vt:variant>
      <vt:variant>
        <vt:lpwstr>_Toc378256065</vt:lpwstr>
      </vt:variant>
      <vt:variant>
        <vt:i4>1179710</vt:i4>
      </vt:variant>
      <vt:variant>
        <vt:i4>128</vt:i4>
      </vt:variant>
      <vt:variant>
        <vt:i4>0</vt:i4>
      </vt:variant>
      <vt:variant>
        <vt:i4>5</vt:i4>
      </vt:variant>
      <vt:variant>
        <vt:lpwstr/>
      </vt:variant>
      <vt:variant>
        <vt:lpwstr>_Toc378256064</vt:lpwstr>
      </vt:variant>
      <vt:variant>
        <vt:i4>1179710</vt:i4>
      </vt:variant>
      <vt:variant>
        <vt:i4>122</vt:i4>
      </vt:variant>
      <vt:variant>
        <vt:i4>0</vt:i4>
      </vt:variant>
      <vt:variant>
        <vt:i4>5</vt:i4>
      </vt:variant>
      <vt:variant>
        <vt:lpwstr/>
      </vt:variant>
      <vt:variant>
        <vt:lpwstr>_Toc378256063</vt:lpwstr>
      </vt:variant>
      <vt:variant>
        <vt:i4>1179710</vt:i4>
      </vt:variant>
      <vt:variant>
        <vt:i4>116</vt:i4>
      </vt:variant>
      <vt:variant>
        <vt:i4>0</vt:i4>
      </vt:variant>
      <vt:variant>
        <vt:i4>5</vt:i4>
      </vt:variant>
      <vt:variant>
        <vt:lpwstr/>
      </vt:variant>
      <vt:variant>
        <vt:lpwstr>_Toc378256062</vt:lpwstr>
      </vt:variant>
      <vt:variant>
        <vt:i4>1179710</vt:i4>
      </vt:variant>
      <vt:variant>
        <vt:i4>110</vt:i4>
      </vt:variant>
      <vt:variant>
        <vt:i4>0</vt:i4>
      </vt:variant>
      <vt:variant>
        <vt:i4>5</vt:i4>
      </vt:variant>
      <vt:variant>
        <vt:lpwstr/>
      </vt:variant>
      <vt:variant>
        <vt:lpwstr>_Toc378256061</vt:lpwstr>
      </vt:variant>
      <vt:variant>
        <vt:i4>1179710</vt:i4>
      </vt:variant>
      <vt:variant>
        <vt:i4>104</vt:i4>
      </vt:variant>
      <vt:variant>
        <vt:i4>0</vt:i4>
      </vt:variant>
      <vt:variant>
        <vt:i4>5</vt:i4>
      </vt:variant>
      <vt:variant>
        <vt:lpwstr/>
      </vt:variant>
      <vt:variant>
        <vt:lpwstr>_Toc378256060</vt:lpwstr>
      </vt:variant>
      <vt:variant>
        <vt:i4>1114174</vt:i4>
      </vt:variant>
      <vt:variant>
        <vt:i4>98</vt:i4>
      </vt:variant>
      <vt:variant>
        <vt:i4>0</vt:i4>
      </vt:variant>
      <vt:variant>
        <vt:i4>5</vt:i4>
      </vt:variant>
      <vt:variant>
        <vt:lpwstr/>
      </vt:variant>
      <vt:variant>
        <vt:lpwstr>_Toc378256059</vt:lpwstr>
      </vt:variant>
      <vt:variant>
        <vt:i4>1114174</vt:i4>
      </vt:variant>
      <vt:variant>
        <vt:i4>92</vt:i4>
      </vt:variant>
      <vt:variant>
        <vt:i4>0</vt:i4>
      </vt:variant>
      <vt:variant>
        <vt:i4>5</vt:i4>
      </vt:variant>
      <vt:variant>
        <vt:lpwstr/>
      </vt:variant>
      <vt:variant>
        <vt:lpwstr>_Toc378256058</vt:lpwstr>
      </vt:variant>
      <vt:variant>
        <vt:i4>1114174</vt:i4>
      </vt:variant>
      <vt:variant>
        <vt:i4>86</vt:i4>
      </vt:variant>
      <vt:variant>
        <vt:i4>0</vt:i4>
      </vt:variant>
      <vt:variant>
        <vt:i4>5</vt:i4>
      </vt:variant>
      <vt:variant>
        <vt:lpwstr/>
      </vt:variant>
      <vt:variant>
        <vt:lpwstr>_Toc378256057</vt:lpwstr>
      </vt:variant>
      <vt:variant>
        <vt:i4>1114174</vt:i4>
      </vt:variant>
      <vt:variant>
        <vt:i4>80</vt:i4>
      </vt:variant>
      <vt:variant>
        <vt:i4>0</vt:i4>
      </vt:variant>
      <vt:variant>
        <vt:i4>5</vt:i4>
      </vt:variant>
      <vt:variant>
        <vt:lpwstr/>
      </vt:variant>
      <vt:variant>
        <vt:lpwstr>_Toc378256056</vt:lpwstr>
      </vt:variant>
      <vt:variant>
        <vt:i4>1114174</vt:i4>
      </vt:variant>
      <vt:variant>
        <vt:i4>74</vt:i4>
      </vt:variant>
      <vt:variant>
        <vt:i4>0</vt:i4>
      </vt:variant>
      <vt:variant>
        <vt:i4>5</vt:i4>
      </vt:variant>
      <vt:variant>
        <vt:lpwstr/>
      </vt:variant>
      <vt:variant>
        <vt:lpwstr>_Toc378256055</vt:lpwstr>
      </vt:variant>
      <vt:variant>
        <vt:i4>1114174</vt:i4>
      </vt:variant>
      <vt:variant>
        <vt:i4>68</vt:i4>
      </vt:variant>
      <vt:variant>
        <vt:i4>0</vt:i4>
      </vt:variant>
      <vt:variant>
        <vt:i4>5</vt:i4>
      </vt:variant>
      <vt:variant>
        <vt:lpwstr/>
      </vt:variant>
      <vt:variant>
        <vt:lpwstr>_Toc378256054</vt:lpwstr>
      </vt:variant>
      <vt:variant>
        <vt:i4>1114174</vt:i4>
      </vt:variant>
      <vt:variant>
        <vt:i4>62</vt:i4>
      </vt:variant>
      <vt:variant>
        <vt:i4>0</vt:i4>
      </vt:variant>
      <vt:variant>
        <vt:i4>5</vt:i4>
      </vt:variant>
      <vt:variant>
        <vt:lpwstr/>
      </vt:variant>
      <vt:variant>
        <vt:lpwstr>_Toc378256053</vt:lpwstr>
      </vt:variant>
      <vt:variant>
        <vt:i4>1114174</vt:i4>
      </vt:variant>
      <vt:variant>
        <vt:i4>56</vt:i4>
      </vt:variant>
      <vt:variant>
        <vt:i4>0</vt:i4>
      </vt:variant>
      <vt:variant>
        <vt:i4>5</vt:i4>
      </vt:variant>
      <vt:variant>
        <vt:lpwstr/>
      </vt:variant>
      <vt:variant>
        <vt:lpwstr>_Toc378256052</vt:lpwstr>
      </vt:variant>
      <vt:variant>
        <vt:i4>1114174</vt:i4>
      </vt:variant>
      <vt:variant>
        <vt:i4>50</vt:i4>
      </vt:variant>
      <vt:variant>
        <vt:i4>0</vt:i4>
      </vt:variant>
      <vt:variant>
        <vt:i4>5</vt:i4>
      </vt:variant>
      <vt:variant>
        <vt:lpwstr/>
      </vt:variant>
      <vt:variant>
        <vt:lpwstr>_Toc378256051</vt:lpwstr>
      </vt:variant>
      <vt:variant>
        <vt:i4>1114174</vt:i4>
      </vt:variant>
      <vt:variant>
        <vt:i4>44</vt:i4>
      </vt:variant>
      <vt:variant>
        <vt:i4>0</vt:i4>
      </vt:variant>
      <vt:variant>
        <vt:i4>5</vt:i4>
      </vt:variant>
      <vt:variant>
        <vt:lpwstr/>
      </vt:variant>
      <vt:variant>
        <vt:lpwstr>_Toc378256050</vt:lpwstr>
      </vt:variant>
      <vt:variant>
        <vt:i4>1048638</vt:i4>
      </vt:variant>
      <vt:variant>
        <vt:i4>38</vt:i4>
      </vt:variant>
      <vt:variant>
        <vt:i4>0</vt:i4>
      </vt:variant>
      <vt:variant>
        <vt:i4>5</vt:i4>
      </vt:variant>
      <vt:variant>
        <vt:lpwstr/>
      </vt:variant>
      <vt:variant>
        <vt:lpwstr>_Toc378256049</vt:lpwstr>
      </vt:variant>
      <vt:variant>
        <vt:i4>1048638</vt:i4>
      </vt:variant>
      <vt:variant>
        <vt:i4>32</vt:i4>
      </vt:variant>
      <vt:variant>
        <vt:i4>0</vt:i4>
      </vt:variant>
      <vt:variant>
        <vt:i4>5</vt:i4>
      </vt:variant>
      <vt:variant>
        <vt:lpwstr/>
      </vt:variant>
      <vt:variant>
        <vt:lpwstr>_Toc378256048</vt:lpwstr>
      </vt:variant>
      <vt:variant>
        <vt:i4>1048638</vt:i4>
      </vt:variant>
      <vt:variant>
        <vt:i4>26</vt:i4>
      </vt:variant>
      <vt:variant>
        <vt:i4>0</vt:i4>
      </vt:variant>
      <vt:variant>
        <vt:i4>5</vt:i4>
      </vt:variant>
      <vt:variant>
        <vt:lpwstr/>
      </vt:variant>
      <vt:variant>
        <vt:lpwstr>_Toc378256047</vt:lpwstr>
      </vt:variant>
      <vt:variant>
        <vt:i4>1048638</vt:i4>
      </vt:variant>
      <vt:variant>
        <vt:i4>20</vt:i4>
      </vt:variant>
      <vt:variant>
        <vt:i4>0</vt:i4>
      </vt:variant>
      <vt:variant>
        <vt:i4>5</vt:i4>
      </vt:variant>
      <vt:variant>
        <vt:lpwstr/>
      </vt:variant>
      <vt:variant>
        <vt:lpwstr>_Toc378256046</vt:lpwstr>
      </vt:variant>
      <vt:variant>
        <vt:i4>1048638</vt:i4>
      </vt:variant>
      <vt:variant>
        <vt:i4>14</vt:i4>
      </vt:variant>
      <vt:variant>
        <vt:i4>0</vt:i4>
      </vt:variant>
      <vt:variant>
        <vt:i4>5</vt:i4>
      </vt:variant>
      <vt:variant>
        <vt:lpwstr/>
      </vt:variant>
      <vt:variant>
        <vt:lpwstr>_Toc378256045</vt:lpwstr>
      </vt:variant>
      <vt:variant>
        <vt:i4>1048638</vt:i4>
      </vt:variant>
      <vt:variant>
        <vt:i4>8</vt:i4>
      </vt:variant>
      <vt:variant>
        <vt:i4>0</vt:i4>
      </vt:variant>
      <vt:variant>
        <vt:i4>5</vt:i4>
      </vt:variant>
      <vt:variant>
        <vt:lpwstr/>
      </vt:variant>
      <vt:variant>
        <vt:lpwstr>_Toc378256044</vt:lpwstr>
      </vt:variant>
      <vt:variant>
        <vt:i4>1048638</vt:i4>
      </vt:variant>
      <vt:variant>
        <vt:i4>2</vt:i4>
      </vt:variant>
      <vt:variant>
        <vt:i4>0</vt:i4>
      </vt:variant>
      <vt:variant>
        <vt:i4>5</vt:i4>
      </vt:variant>
      <vt:variant>
        <vt:lpwstr/>
      </vt:variant>
      <vt:variant>
        <vt:lpwstr>_Toc378256043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Martin Vu</cp:lastModifiedBy>
  <cp:revision>13</cp:revision>
  <cp:lastPrinted>2014-03-26T19:51:00Z</cp:lastPrinted>
  <dcterms:created xsi:type="dcterms:W3CDTF">2016-06-28T17:26:00Z</dcterms:created>
  <dcterms:modified xsi:type="dcterms:W3CDTF">2016-06-30T07:13:00Z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