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DA690B" w:rsidP="00DA690B">
      <w:pPr>
        <w:jc w:val="right"/>
        <w:rPr>
          <w:rFonts w:asciiTheme="minorHAnsi" w:hAnsiTheme="minorHAnsi" w:cstheme="minorHAnsi"/>
          <w:b/>
          <w:sz w:val="48"/>
          <w:szCs w:val="48"/>
        </w:rPr>
      </w:pPr>
      <w:bookmarkStart w:id="0" w:name="_Toc153189646"/>
      <w:bookmarkStart w:id="1" w:name="_Toc214003082"/>
      <w:bookmarkStart w:id="2" w:name="_GoBack"/>
      <w:bookmarkEnd w:id="2"/>
      <w:r w:rsidRPr="00EB34FC">
        <w:rPr>
          <w:rFonts w:asciiTheme="minorHAnsi" w:hAnsiTheme="minorHAnsi" w:cstheme="minorHAnsi"/>
          <w:b/>
          <w:sz w:val="48"/>
          <w:szCs w:val="48"/>
        </w:rPr>
        <w:t xml:space="preserve">Work Paper </w:t>
      </w:r>
      <w:bookmarkEnd w:id="0"/>
      <w:r w:rsidR="00A51B7B">
        <w:rPr>
          <w:rFonts w:asciiTheme="minorHAnsi" w:hAnsiTheme="minorHAnsi" w:cstheme="minorHAnsi"/>
          <w:b/>
          <w:sz w:val="48"/>
          <w:szCs w:val="48"/>
        </w:rPr>
        <w:t>WPSDGE</w:t>
      </w:r>
      <w:r w:rsidR="00AA5789">
        <w:rPr>
          <w:rFonts w:asciiTheme="minorHAnsi" w:hAnsiTheme="minorHAnsi" w:cstheme="minorHAnsi"/>
          <w:b/>
          <w:sz w:val="48"/>
          <w:szCs w:val="48"/>
        </w:rPr>
        <w:t>NRHC0023</w:t>
      </w:r>
    </w:p>
    <w:p w:rsidR="00DA690B" w:rsidRPr="00EB34FC" w:rsidRDefault="00DA690B" w:rsidP="00DA690B">
      <w:pPr>
        <w:jc w:val="right"/>
        <w:rPr>
          <w:rFonts w:asciiTheme="minorHAnsi" w:hAnsiTheme="minorHAnsi" w:cstheme="minorHAnsi"/>
          <w:b/>
          <w:sz w:val="48"/>
          <w:szCs w:val="48"/>
        </w:rPr>
      </w:pPr>
      <w:bookmarkStart w:id="3" w:name="_Toc153189647"/>
      <w:r w:rsidRPr="00EB34FC">
        <w:rPr>
          <w:rFonts w:asciiTheme="minorHAnsi" w:hAnsiTheme="minorHAnsi" w:cstheme="minorHAnsi"/>
          <w:b/>
          <w:sz w:val="48"/>
          <w:szCs w:val="48"/>
        </w:rPr>
        <w:t>Revision</w:t>
      </w:r>
      <w:bookmarkEnd w:id="3"/>
      <w:r w:rsidRPr="00EB34FC">
        <w:rPr>
          <w:rFonts w:asciiTheme="minorHAnsi" w:hAnsiTheme="minorHAnsi" w:cstheme="minorHAnsi"/>
          <w:b/>
          <w:sz w:val="48"/>
          <w:szCs w:val="48"/>
        </w:rPr>
        <w:t xml:space="preserve"> </w:t>
      </w:r>
      <w:r w:rsidR="00AA5789">
        <w:rPr>
          <w:rFonts w:asciiTheme="minorHAnsi" w:hAnsiTheme="minorHAnsi" w:cstheme="minorHAnsi"/>
          <w:b/>
          <w:sz w:val="48"/>
          <w:szCs w:val="48"/>
        </w:rPr>
        <w:t>1</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A51B7B" w:rsidRPr="00EB34FC" w:rsidRDefault="00A51B7B" w:rsidP="00A51B7B">
      <w:pPr>
        <w:pBdr>
          <w:bottom w:val="single" w:sz="4" w:space="1" w:color="auto"/>
        </w:pBdr>
        <w:rPr>
          <w:rFonts w:asciiTheme="minorHAnsi" w:hAnsiTheme="minorHAnsi" w:cstheme="minorHAnsi"/>
          <w:b/>
          <w:sz w:val="36"/>
          <w:szCs w:val="36"/>
        </w:rPr>
      </w:pPr>
      <w:r>
        <w:rPr>
          <w:rFonts w:asciiTheme="minorHAnsi" w:hAnsiTheme="minorHAnsi" w:cstheme="minorHAnsi"/>
          <w:b/>
          <w:sz w:val="36"/>
          <w:szCs w:val="36"/>
        </w:rPr>
        <w:t>San Diego Gas &amp; Electric</w:t>
      </w:r>
    </w:p>
    <w:p w:rsidR="00A51B7B" w:rsidRPr="005A0798" w:rsidRDefault="00A51B7B" w:rsidP="00A51B7B">
      <w:pPr>
        <w:rPr>
          <w:rFonts w:asciiTheme="minorHAnsi" w:hAnsiTheme="minorHAnsi" w:cstheme="minorHAnsi"/>
          <w:b/>
          <w:sz w:val="32"/>
        </w:rPr>
      </w:pPr>
      <w:r w:rsidRPr="005A0798">
        <w:rPr>
          <w:rFonts w:asciiTheme="minorHAnsi" w:hAnsiTheme="minorHAnsi" w:cstheme="minorHAnsi"/>
          <w:b/>
          <w:sz w:val="32"/>
        </w:rPr>
        <w:t>Energy Efficiency Engineering</w:t>
      </w:r>
    </w:p>
    <w:p w:rsidR="00DA690B" w:rsidRPr="00EB34FC" w:rsidRDefault="00DA690B" w:rsidP="00DA690B">
      <w:pPr>
        <w:rPr>
          <w:rFonts w:asciiTheme="minorHAnsi" w:hAnsiTheme="minorHAnsi" w:cstheme="minorHAnsi"/>
        </w:rPr>
      </w:pPr>
    </w:p>
    <w:p w:rsidR="00DA690B" w:rsidRPr="00EB34FC" w:rsidRDefault="009D0753" w:rsidP="009D0753">
      <w:pPr>
        <w:tabs>
          <w:tab w:val="left" w:pos="8190"/>
        </w:tabs>
        <w:rPr>
          <w:rFonts w:asciiTheme="minorHAnsi" w:hAnsiTheme="minorHAnsi" w:cstheme="minorHAnsi"/>
        </w:rPr>
      </w:pPr>
      <w:r>
        <w:rPr>
          <w:rFonts w:asciiTheme="minorHAnsi" w:hAnsiTheme="minorHAnsi" w:cstheme="minorHAnsi"/>
        </w:rPr>
        <w:tab/>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AA5789" w:rsidRDefault="00AA5789" w:rsidP="00DA690B">
      <w:pPr>
        <w:rPr>
          <w:rFonts w:asciiTheme="minorHAnsi" w:hAnsiTheme="minorHAnsi" w:cstheme="minorHAnsi"/>
          <w:b/>
          <w:sz w:val="72"/>
          <w:szCs w:val="72"/>
        </w:rPr>
      </w:pPr>
      <w:bookmarkStart w:id="4" w:name="_Toc153189650"/>
      <w:r w:rsidRPr="00AA5789">
        <w:rPr>
          <w:rFonts w:asciiTheme="minorHAnsi" w:hAnsiTheme="minorHAnsi" w:cstheme="minorHAnsi"/>
          <w:b/>
          <w:sz w:val="72"/>
          <w:szCs w:val="72"/>
        </w:rPr>
        <w:t xml:space="preserve">Unitary Air Cooled Commercial Air Conditioning and Heat Pump Units Under 65 </w:t>
      </w:r>
      <w:proofErr w:type="spellStart"/>
      <w:r w:rsidRPr="00AA5789">
        <w:rPr>
          <w:rFonts w:asciiTheme="minorHAnsi" w:hAnsiTheme="minorHAnsi" w:cstheme="minorHAnsi"/>
          <w:b/>
          <w:sz w:val="72"/>
          <w:szCs w:val="72"/>
        </w:rPr>
        <w:t>kBtu</w:t>
      </w:r>
      <w:proofErr w:type="spellEnd"/>
      <w:r w:rsidRPr="00AA5789">
        <w:rPr>
          <w:rFonts w:asciiTheme="minorHAnsi" w:hAnsiTheme="minorHAnsi" w:cstheme="minorHAnsi"/>
          <w:b/>
          <w:sz w:val="72"/>
          <w:szCs w:val="72"/>
        </w:rPr>
        <w:t>/h</w:t>
      </w:r>
    </w:p>
    <w:bookmarkEnd w:id="4"/>
    <w:p w:rsidR="00EB34FC" w:rsidRPr="00BD3931" w:rsidRDefault="00EB34FC" w:rsidP="00EB34FC">
      <w:pPr>
        <w:rPr>
          <w:rFonts w:asciiTheme="minorHAnsi" w:hAnsiTheme="minorHAnsi" w:cstheme="minorHAnsi"/>
          <w:sz w:val="22"/>
          <w:szCs w:val="22"/>
        </w:rPr>
      </w:pPr>
    </w:p>
    <w:p w:rsidR="00EB34FC" w:rsidRPr="00BD3931" w:rsidRDefault="00EB34FC" w:rsidP="00DA690B">
      <w:pPr>
        <w:rPr>
          <w:rFonts w:asciiTheme="minorHAnsi" w:hAnsiTheme="minorHAnsi" w:cstheme="minorHAnsi"/>
          <w:sz w:val="22"/>
          <w:szCs w:val="22"/>
        </w:rPr>
        <w:sectPr w:rsidR="00EB34FC" w:rsidRPr="00BD3931">
          <w:footerReference w:type="default" r:id="rId10"/>
          <w:pgSz w:w="12240" w:h="15840"/>
          <w:pgMar w:top="1440" w:right="1440" w:bottom="1440" w:left="1440" w:header="720" w:footer="720" w:gutter="0"/>
          <w:cols w:space="720"/>
          <w:docGrid w:linePitch="360"/>
        </w:sectPr>
      </w:pPr>
    </w:p>
    <w:p w:rsidR="00EE0279" w:rsidRPr="00EE0279" w:rsidRDefault="00EE0279" w:rsidP="00EE0279">
      <w:pPr>
        <w:keepNext/>
        <w:spacing w:before="240" w:after="120"/>
        <w:outlineLvl w:val="0"/>
        <w:rPr>
          <w:rFonts w:asciiTheme="minorHAnsi" w:hAnsiTheme="minorHAnsi" w:cstheme="minorHAnsi"/>
        </w:rPr>
      </w:pPr>
      <w:bookmarkStart w:id="5" w:name="_Toc304800192"/>
      <w:bookmarkStart w:id="6" w:name="_Toc324318330"/>
      <w:bookmarkStart w:id="7" w:name="_Toc324340474"/>
      <w:bookmarkStart w:id="8" w:name="_Toc324433427"/>
      <w:r w:rsidRPr="00EE0279">
        <w:rPr>
          <w:rFonts w:asciiTheme="minorHAnsi" w:hAnsiTheme="minorHAnsi" w:cstheme="minorHAnsi"/>
          <w:b/>
          <w:smallCaps/>
          <w:kern w:val="32"/>
          <w:sz w:val="36"/>
        </w:rPr>
        <w:lastRenderedPageBreak/>
        <w:t>At-a-Glance Summary</w:t>
      </w:r>
      <w:bookmarkEnd w:id="5"/>
      <w:bookmarkEnd w:id="6"/>
      <w:bookmarkEnd w:id="7"/>
      <w:bookmarkEnd w:id="8"/>
    </w:p>
    <w:tbl>
      <w:tblPr>
        <w:tblStyle w:val="TableContemporary"/>
        <w:tblW w:w="9648" w:type="dxa"/>
        <w:tblLook w:val="01E0" w:firstRow="1" w:lastRow="1" w:firstColumn="1" w:lastColumn="1" w:noHBand="0" w:noVBand="0"/>
      </w:tblPr>
      <w:tblGrid>
        <w:gridCol w:w="3618"/>
        <w:gridCol w:w="6030"/>
      </w:tblGrid>
      <w:tr w:rsidR="00EE0279" w:rsidRPr="00697868" w:rsidTr="002B0DD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b w:val="0"/>
                <w:bCs w:val="0"/>
              </w:rPr>
              <w:t>Applicable Measure Codes:</w:t>
            </w:r>
          </w:p>
        </w:tc>
        <w:tc>
          <w:tcPr>
            <w:tcW w:w="6030" w:type="dxa"/>
          </w:tcPr>
          <w:p w:rsidR="00EE0279" w:rsidRPr="00E53EDA" w:rsidRDefault="00EE0279" w:rsidP="002B0DD9">
            <w:pPr>
              <w:rPr>
                <w:rFonts w:asciiTheme="minorHAnsi" w:hAnsiTheme="minorHAnsi"/>
              </w:rPr>
            </w:pPr>
          </w:p>
        </w:tc>
      </w:tr>
      <w:tr w:rsidR="00EE0279" w:rsidRPr="00697868" w:rsidTr="002B0DD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b/>
              </w:rPr>
            </w:pPr>
            <w:r w:rsidRPr="00E53EDA">
              <w:rPr>
                <w:rFonts w:asciiTheme="minorHAnsi" w:hAnsiTheme="minorHAnsi"/>
              </w:rPr>
              <w:t xml:space="preserve">Measure Description: </w:t>
            </w:r>
          </w:p>
        </w:tc>
        <w:tc>
          <w:tcPr>
            <w:tcW w:w="6030" w:type="dxa"/>
          </w:tcPr>
          <w:p w:rsidR="00AA5789" w:rsidRPr="00AA5789" w:rsidRDefault="00AA5789" w:rsidP="00AA5789">
            <w:pPr>
              <w:rPr>
                <w:rFonts w:asciiTheme="minorHAnsi" w:hAnsiTheme="minorHAnsi" w:cstheme="minorBidi"/>
              </w:rPr>
            </w:pPr>
            <w:r w:rsidRPr="00AA5789">
              <w:rPr>
                <w:rFonts w:asciiTheme="minorHAnsi" w:hAnsiTheme="minorHAnsi" w:cstheme="minorBidi"/>
              </w:rPr>
              <w:t xml:space="preserve">Measure Case 1: Unitary air cooled air conditioning (AC) or heat pump (HP) unit with cooling capacity under 65 </w:t>
            </w:r>
            <w:proofErr w:type="spellStart"/>
            <w:r w:rsidRPr="00AA5789">
              <w:rPr>
                <w:rFonts w:asciiTheme="minorHAnsi" w:hAnsiTheme="minorHAnsi" w:cstheme="minorBidi"/>
              </w:rPr>
              <w:t>kBtu</w:t>
            </w:r>
            <w:proofErr w:type="spellEnd"/>
            <w:r w:rsidRPr="00AA5789">
              <w:rPr>
                <w:rFonts w:asciiTheme="minorHAnsi" w:hAnsiTheme="minorHAnsi" w:cstheme="minorBidi"/>
              </w:rPr>
              <w:t>/h, meeting minimum SEER or EER requirements</w:t>
            </w:r>
          </w:p>
          <w:p w:rsidR="00EE0279" w:rsidRPr="00AA5789" w:rsidRDefault="00AA5789" w:rsidP="00AA5789">
            <w:pPr>
              <w:rPr>
                <w:rFonts w:asciiTheme="minorHAnsi" w:hAnsiTheme="minorHAnsi" w:cstheme="minorBidi"/>
              </w:rPr>
            </w:pPr>
            <w:r w:rsidRPr="00AA5789">
              <w:rPr>
                <w:rFonts w:asciiTheme="minorHAnsi" w:hAnsiTheme="minorHAnsi" w:cstheme="minorBidi"/>
              </w:rPr>
              <w:t xml:space="preserve">Measure 2 Case (To Code): Unitary air cooled air conditioning (AC) or heat pump (HP) unit with cooling capacity under 65 </w:t>
            </w:r>
            <w:proofErr w:type="spellStart"/>
            <w:r w:rsidRPr="00AA5789">
              <w:rPr>
                <w:rFonts w:asciiTheme="minorHAnsi" w:hAnsiTheme="minorHAnsi" w:cstheme="minorBidi"/>
              </w:rPr>
              <w:t>kBtu</w:t>
            </w:r>
            <w:proofErr w:type="spellEnd"/>
            <w:r w:rsidRPr="00AA5789">
              <w:rPr>
                <w:rFonts w:asciiTheme="minorHAnsi" w:hAnsiTheme="minorHAnsi" w:cstheme="minorBidi"/>
              </w:rPr>
              <w:t>/h, SEER 13</w:t>
            </w:r>
          </w:p>
        </w:tc>
      </w:tr>
      <w:tr w:rsidR="00EE0279" w:rsidRPr="00697868" w:rsidTr="002B0DD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Base Case Description:</w:t>
            </w:r>
          </w:p>
        </w:tc>
        <w:tc>
          <w:tcPr>
            <w:tcW w:w="6030" w:type="dxa"/>
          </w:tcPr>
          <w:p w:rsidR="00AA5789" w:rsidRPr="00AA5789" w:rsidRDefault="00AA5789" w:rsidP="00AA5789">
            <w:pPr>
              <w:rPr>
                <w:rFonts w:asciiTheme="minorHAnsi" w:hAnsiTheme="minorHAnsi" w:cstheme="minorBidi"/>
              </w:rPr>
            </w:pPr>
            <w:r w:rsidRPr="00AA5789">
              <w:rPr>
                <w:rFonts w:asciiTheme="minorHAnsi" w:hAnsiTheme="minorHAnsi" w:cstheme="minorBidi"/>
              </w:rPr>
              <w:t xml:space="preserve">Base Case 1: AC or HP unit with cooling capacity under 65 </w:t>
            </w:r>
            <w:proofErr w:type="spellStart"/>
            <w:r w:rsidRPr="00AA5789">
              <w:rPr>
                <w:rFonts w:asciiTheme="minorHAnsi" w:hAnsiTheme="minorHAnsi" w:cstheme="minorBidi"/>
              </w:rPr>
              <w:t>kBtu</w:t>
            </w:r>
            <w:proofErr w:type="spellEnd"/>
            <w:r w:rsidRPr="00AA5789">
              <w:rPr>
                <w:rFonts w:asciiTheme="minorHAnsi" w:hAnsiTheme="minorHAnsi" w:cstheme="minorBidi"/>
              </w:rPr>
              <w:t>/h, SEER 13</w:t>
            </w:r>
          </w:p>
          <w:p w:rsidR="00EE0279" w:rsidRPr="00AA5789" w:rsidRDefault="00AA5789" w:rsidP="00AA5789">
            <w:pPr>
              <w:rPr>
                <w:rFonts w:asciiTheme="minorHAnsi" w:hAnsiTheme="minorHAnsi" w:cstheme="minorBidi"/>
              </w:rPr>
            </w:pPr>
            <w:r w:rsidRPr="00AA5789">
              <w:rPr>
                <w:rFonts w:asciiTheme="minorHAnsi" w:hAnsiTheme="minorHAnsi" w:cstheme="minorBidi"/>
              </w:rPr>
              <w:t xml:space="preserve">Base Case 2 (To Code): Customer existing AC or HP unit with cooling capacity under 65 </w:t>
            </w:r>
            <w:proofErr w:type="spellStart"/>
            <w:r w:rsidRPr="00AA5789">
              <w:rPr>
                <w:rFonts w:asciiTheme="minorHAnsi" w:hAnsiTheme="minorHAnsi" w:cstheme="minorBidi"/>
              </w:rPr>
              <w:t>kBtu</w:t>
            </w:r>
            <w:proofErr w:type="spellEnd"/>
            <w:r w:rsidRPr="00AA5789">
              <w:rPr>
                <w:rFonts w:asciiTheme="minorHAnsi" w:hAnsiTheme="minorHAnsi" w:cstheme="minorBidi"/>
              </w:rPr>
              <w:t>/h</w:t>
            </w:r>
          </w:p>
        </w:tc>
      </w:tr>
      <w:tr w:rsidR="00EE0279" w:rsidRPr="00697868" w:rsidTr="002B0DD9">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 xml:space="preserve">Energy Impact Common Units: </w:t>
            </w:r>
          </w:p>
        </w:tc>
        <w:tc>
          <w:tcPr>
            <w:tcW w:w="6030" w:type="dxa"/>
          </w:tcPr>
          <w:p w:rsidR="00EE0279" w:rsidRPr="00E53EDA" w:rsidRDefault="00AA5789" w:rsidP="002B0DD9">
            <w:pPr>
              <w:rPr>
                <w:rFonts w:asciiTheme="minorHAnsi" w:hAnsiTheme="minorHAnsi"/>
              </w:rPr>
            </w:pPr>
            <w:r>
              <w:rPr>
                <w:rFonts w:asciiTheme="minorHAnsi" w:hAnsiTheme="minorHAnsi" w:cs="Arial"/>
                <w:sz w:val="20"/>
                <w:szCs w:val="20"/>
              </w:rPr>
              <w:t>Per ton</w:t>
            </w:r>
          </w:p>
        </w:tc>
      </w:tr>
      <w:tr w:rsidR="00EE0279" w:rsidRPr="00697868" w:rsidTr="002B0DD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Energy Savings :</w:t>
            </w:r>
          </w:p>
        </w:tc>
        <w:tc>
          <w:tcPr>
            <w:tcW w:w="6030" w:type="dxa"/>
          </w:tcPr>
          <w:p w:rsidR="00EE0279" w:rsidRPr="00E53EDA" w:rsidRDefault="00EE0279" w:rsidP="00EE0279">
            <w:pPr>
              <w:rPr>
                <w:rFonts w:asciiTheme="minorHAnsi" w:hAnsiTheme="minorHAnsi"/>
              </w:rPr>
            </w:pPr>
            <w:r w:rsidRPr="00E53EDA">
              <w:rPr>
                <w:rFonts w:asciiTheme="minorHAnsi" w:hAnsiTheme="minorHAnsi" w:cstheme="minorBidi"/>
              </w:rPr>
              <w:t xml:space="preserve">Refer to </w:t>
            </w:r>
            <w:r>
              <w:rPr>
                <w:rFonts w:asciiTheme="minorHAnsi" w:hAnsiTheme="minorHAnsi" w:cstheme="minorBidi"/>
              </w:rPr>
              <w:t>Ex-Ante Database</w:t>
            </w:r>
          </w:p>
        </w:tc>
      </w:tr>
      <w:tr w:rsidR="00EE0279" w:rsidRPr="00697868" w:rsidTr="002B0DD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Gross Measure Cost ($/unit)</w:t>
            </w:r>
          </w:p>
        </w:tc>
        <w:tc>
          <w:tcPr>
            <w:tcW w:w="6030" w:type="dxa"/>
          </w:tcPr>
          <w:p w:rsidR="00EE0279" w:rsidRPr="00E53EDA" w:rsidRDefault="00EE0279" w:rsidP="002B0DD9">
            <w:pPr>
              <w:rPr>
                <w:rFonts w:asciiTheme="minorHAnsi" w:hAnsiTheme="minorHAnsi"/>
              </w:rPr>
            </w:pPr>
            <w:r w:rsidRPr="00E53EDA">
              <w:rPr>
                <w:rFonts w:asciiTheme="minorHAnsi" w:hAnsiTheme="minorHAnsi" w:cstheme="minorBidi"/>
              </w:rPr>
              <w:t xml:space="preserve">Refer to </w:t>
            </w:r>
            <w:r>
              <w:rPr>
                <w:rFonts w:asciiTheme="minorHAnsi" w:hAnsiTheme="minorHAnsi" w:cstheme="minorBidi"/>
              </w:rPr>
              <w:t>Ex-Ante Database</w:t>
            </w:r>
          </w:p>
        </w:tc>
      </w:tr>
      <w:tr w:rsidR="00EE0279" w:rsidRPr="00697868" w:rsidTr="002B0DD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 xml:space="preserve">Measure Incremental Cost ($/unit): </w:t>
            </w:r>
          </w:p>
        </w:tc>
        <w:tc>
          <w:tcPr>
            <w:tcW w:w="6030" w:type="dxa"/>
          </w:tcPr>
          <w:p w:rsidR="00EE0279" w:rsidRPr="00E53EDA" w:rsidRDefault="00EE0279" w:rsidP="002B0DD9">
            <w:pPr>
              <w:rPr>
                <w:rFonts w:asciiTheme="minorHAnsi" w:hAnsiTheme="minorHAnsi"/>
              </w:rPr>
            </w:pPr>
            <w:r w:rsidRPr="00E53EDA">
              <w:rPr>
                <w:rFonts w:asciiTheme="minorHAnsi" w:hAnsiTheme="minorHAnsi" w:cstheme="minorBidi"/>
              </w:rPr>
              <w:t xml:space="preserve">Refer to </w:t>
            </w:r>
            <w:r>
              <w:rPr>
                <w:rFonts w:asciiTheme="minorHAnsi" w:hAnsiTheme="minorHAnsi" w:cstheme="minorBidi"/>
              </w:rPr>
              <w:t>Ex-Ante Database</w:t>
            </w:r>
          </w:p>
        </w:tc>
      </w:tr>
      <w:tr w:rsidR="00EE0279" w:rsidRPr="00697868" w:rsidTr="002B0DD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E0279" w:rsidRPr="00E53EDA" w:rsidRDefault="00EE0279" w:rsidP="00EE0279">
            <w:pPr>
              <w:rPr>
                <w:rFonts w:asciiTheme="minorHAnsi" w:hAnsiTheme="minorHAnsi"/>
              </w:rPr>
            </w:pPr>
            <w:r w:rsidRPr="00E53EDA">
              <w:rPr>
                <w:rFonts w:asciiTheme="minorHAnsi" w:hAnsiTheme="minorHAnsi"/>
              </w:rPr>
              <w:t>Effective Useful Life (</w:t>
            </w:r>
            <w:r>
              <w:rPr>
                <w:rFonts w:asciiTheme="minorHAnsi" w:hAnsiTheme="minorHAnsi"/>
              </w:rPr>
              <w:t>ID</w:t>
            </w:r>
            <w:r w:rsidRPr="00E53EDA">
              <w:rPr>
                <w:rFonts w:asciiTheme="minorHAnsi" w:hAnsiTheme="minorHAnsi"/>
              </w:rPr>
              <w:t xml:space="preserve">): </w:t>
            </w:r>
          </w:p>
        </w:tc>
        <w:tc>
          <w:tcPr>
            <w:tcW w:w="6030" w:type="dxa"/>
          </w:tcPr>
          <w:p w:rsidR="00EE0279" w:rsidRDefault="00AA5789" w:rsidP="002B0DD9">
            <w:pPr>
              <w:rPr>
                <w:rFonts w:asciiTheme="minorHAnsi" w:hAnsiTheme="minorHAnsi"/>
              </w:rPr>
            </w:pPr>
            <w:r w:rsidRPr="00AA5789">
              <w:rPr>
                <w:rFonts w:asciiTheme="minorHAnsi" w:hAnsiTheme="minorHAnsi"/>
              </w:rPr>
              <w:t>EUL ID HVAC-</w:t>
            </w:r>
            <w:proofErr w:type="spellStart"/>
            <w:r w:rsidRPr="00AA5789">
              <w:rPr>
                <w:rFonts w:asciiTheme="minorHAnsi" w:hAnsiTheme="minorHAnsi"/>
              </w:rPr>
              <w:t>airAC</w:t>
            </w:r>
            <w:proofErr w:type="spellEnd"/>
          </w:p>
          <w:p w:rsidR="00AA5789" w:rsidRPr="00E53EDA" w:rsidRDefault="00AA5789" w:rsidP="002B0DD9">
            <w:pPr>
              <w:rPr>
                <w:rFonts w:asciiTheme="minorHAnsi" w:hAnsiTheme="minorHAnsi"/>
              </w:rPr>
            </w:pPr>
            <w:r w:rsidRPr="00AA5789">
              <w:rPr>
                <w:rFonts w:asciiTheme="minorHAnsi" w:hAnsiTheme="minorHAnsi"/>
              </w:rPr>
              <w:t>EUL ID HVAC-</w:t>
            </w:r>
            <w:proofErr w:type="spellStart"/>
            <w:r w:rsidRPr="00AA5789">
              <w:rPr>
                <w:rFonts w:asciiTheme="minorHAnsi" w:hAnsiTheme="minorHAnsi"/>
              </w:rPr>
              <w:t>airHP</w:t>
            </w:r>
            <w:proofErr w:type="spellEnd"/>
          </w:p>
        </w:tc>
      </w:tr>
      <w:tr w:rsidR="00EE0279" w:rsidRPr="00697868" w:rsidTr="002B0DD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Measure Application Type:</w:t>
            </w:r>
          </w:p>
        </w:tc>
        <w:tc>
          <w:tcPr>
            <w:tcW w:w="6030" w:type="dxa"/>
          </w:tcPr>
          <w:p w:rsidR="00AA5789" w:rsidRPr="00AA5789" w:rsidRDefault="00AA5789" w:rsidP="00AA5789">
            <w:pPr>
              <w:rPr>
                <w:rFonts w:asciiTheme="minorHAnsi" w:hAnsiTheme="minorHAnsi"/>
              </w:rPr>
            </w:pPr>
            <w:r w:rsidRPr="00AA5789">
              <w:rPr>
                <w:rFonts w:asciiTheme="minorHAnsi" w:hAnsiTheme="minorHAnsi"/>
              </w:rPr>
              <w:t>Measure 1: ROB, NEW</w:t>
            </w:r>
          </w:p>
          <w:p w:rsidR="00EE0279" w:rsidRPr="00E53EDA" w:rsidRDefault="00AA5789" w:rsidP="00AA5789">
            <w:pPr>
              <w:rPr>
                <w:rFonts w:asciiTheme="minorHAnsi" w:hAnsiTheme="minorHAnsi"/>
              </w:rPr>
            </w:pPr>
            <w:r w:rsidRPr="00AA5789">
              <w:rPr>
                <w:rFonts w:asciiTheme="minorHAnsi" w:hAnsiTheme="minorHAnsi"/>
              </w:rPr>
              <w:t>Measure 2 (To Code): RET</w:t>
            </w:r>
          </w:p>
        </w:tc>
      </w:tr>
      <w:tr w:rsidR="00EE0279" w:rsidRPr="00697868" w:rsidTr="002B0DD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Net-to-Gross Ratios</w:t>
            </w:r>
            <w:r>
              <w:rPr>
                <w:rFonts w:asciiTheme="minorHAnsi" w:hAnsiTheme="minorHAnsi"/>
              </w:rPr>
              <w:t xml:space="preserve"> (ID)</w:t>
            </w:r>
            <w:r w:rsidRPr="00E53EDA">
              <w:rPr>
                <w:rFonts w:asciiTheme="minorHAnsi" w:hAnsiTheme="minorHAnsi"/>
              </w:rPr>
              <w:t xml:space="preserve">: </w:t>
            </w:r>
          </w:p>
        </w:tc>
        <w:tc>
          <w:tcPr>
            <w:tcW w:w="6030" w:type="dxa"/>
          </w:tcPr>
          <w:p w:rsidR="00EE0279" w:rsidRPr="00E53EDA" w:rsidRDefault="00AA5789" w:rsidP="002B0DD9">
            <w:pPr>
              <w:rPr>
                <w:rFonts w:asciiTheme="minorHAnsi" w:hAnsiTheme="minorHAnsi"/>
              </w:rPr>
            </w:pPr>
            <w:proofErr w:type="spellStart"/>
            <w:r w:rsidRPr="00AA5789">
              <w:rPr>
                <w:rFonts w:asciiTheme="minorHAnsi" w:hAnsiTheme="minorHAnsi"/>
              </w:rPr>
              <w:t>NonRes</w:t>
            </w:r>
            <w:proofErr w:type="spellEnd"/>
            <w:r w:rsidRPr="00AA5789">
              <w:rPr>
                <w:rFonts w:asciiTheme="minorHAnsi" w:hAnsiTheme="minorHAnsi"/>
              </w:rPr>
              <w:t>-</w:t>
            </w:r>
            <w:proofErr w:type="spellStart"/>
            <w:r w:rsidRPr="00AA5789">
              <w:rPr>
                <w:rFonts w:asciiTheme="minorHAnsi" w:hAnsiTheme="minorHAnsi"/>
              </w:rPr>
              <w:t>sAll</w:t>
            </w:r>
            <w:proofErr w:type="spellEnd"/>
            <w:r w:rsidRPr="00AA5789">
              <w:rPr>
                <w:rFonts w:asciiTheme="minorHAnsi" w:hAnsiTheme="minorHAnsi"/>
              </w:rPr>
              <w:t>-</w:t>
            </w:r>
            <w:proofErr w:type="spellStart"/>
            <w:r w:rsidRPr="00AA5789">
              <w:rPr>
                <w:rFonts w:asciiTheme="minorHAnsi" w:hAnsiTheme="minorHAnsi"/>
              </w:rPr>
              <w:t>mHVAC</w:t>
            </w:r>
            <w:proofErr w:type="spellEnd"/>
            <w:r w:rsidRPr="00AA5789">
              <w:rPr>
                <w:rFonts w:asciiTheme="minorHAnsi" w:hAnsiTheme="minorHAnsi"/>
              </w:rPr>
              <w:t>-DX-up</w:t>
            </w:r>
          </w:p>
        </w:tc>
      </w:tr>
      <w:tr w:rsidR="00EE0279" w:rsidRPr="00697868" w:rsidTr="002B0DD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EE0279" w:rsidRPr="00E53EDA" w:rsidRDefault="00EE0279" w:rsidP="002B0DD9">
            <w:pPr>
              <w:rPr>
                <w:rFonts w:asciiTheme="minorHAnsi" w:hAnsiTheme="minorHAnsi"/>
              </w:rPr>
            </w:pPr>
            <w:r w:rsidRPr="00E53EDA">
              <w:rPr>
                <w:rFonts w:asciiTheme="minorHAnsi" w:hAnsiTheme="minorHAnsi"/>
              </w:rPr>
              <w:t>Important Comments:</w:t>
            </w:r>
          </w:p>
        </w:tc>
        <w:tc>
          <w:tcPr>
            <w:tcW w:w="6030" w:type="dxa"/>
          </w:tcPr>
          <w:p w:rsidR="00EE0279" w:rsidRPr="00E53EDA" w:rsidRDefault="00331609" w:rsidP="002B0DD9">
            <w:pPr>
              <w:rPr>
                <w:rFonts w:asciiTheme="minorHAnsi" w:hAnsiTheme="minorHAnsi"/>
              </w:rPr>
            </w:pPr>
            <w:r w:rsidRPr="00331609">
              <w:rPr>
                <w:rFonts w:asciiTheme="minorHAnsi" w:hAnsiTheme="minorHAnsi"/>
              </w:rPr>
              <w:t xml:space="preserve">Adopted SCE </w:t>
            </w:r>
            <w:proofErr w:type="spellStart"/>
            <w:r w:rsidRPr="00331609">
              <w:rPr>
                <w:rFonts w:asciiTheme="minorHAnsi" w:hAnsiTheme="minorHAnsi"/>
              </w:rPr>
              <w:t>workpaper</w:t>
            </w:r>
            <w:proofErr w:type="spellEnd"/>
            <w:r w:rsidRPr="00331609">
              <w:rPr>
                <w:rFonts w:asciiTheme="minorHAnsi" w:hAnsiTheme="minorHAnsi"/>
              </w:rPr>
              <w:t xml:space="preserve"> WPSCEHC12.3 and updated per the 2013 Title 24 Code.</w:t>
            </w:r>
          </w:p>
        </w:tc>
      </w:tr>
    </w:tbl>
    <w:p w:rsidR="00EE0279" w:rsidRPr="005328DA" w:rsidRDefault="00EE0279" w:rsidP="00EE0279">
      <w:pPr>
        <w:rPr>
          <w:b/>
          <w:smallCaps/>
          <w:kern w:val="32"/>
          <w:sz w:val="36"/>
        </w:rPr>
      </w:pPr>
    </w:p>
    <w:p w:rsidR="00EE0279" w:rsidRPr="005328DA" w:rsidRDefault="00EE0279" w:rsidP="00EE0279">
      <w:pPr>
        <w:rPr>
          <w:b/>
          <w:smallCaps/>
          <w:kern w:val="32"/>
          <w:sz w:val="36"/>
        </w:rPr>
      </w:pPr>
      <w:r w:rsidRPr="005328DA">
        <w:rPr>
          <w:b/>
          <w:smallCaps/>
          <w:kern w:val="32"/>
          <w:sz w:val="36"/>
        </w:rPr>
        <w:br w:type="page"/>
      </w: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AA5789" w:rsidRPr="005734A4"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rsidR="00AA5789" w:rsidRPr="00BB4E34" w:rsidRDefault="00AA5789" w:rsidP="002B0DD9">
            <w:pPr>
              <w:jc w:val="center"/>
              <w:rPr>
                <w:rFonts w:ascii="Calibri" w:hAnsi="Calibri" w:cs="Calibri"/>
                <w:sz w:val="20"/>
                <w:szCs w:val="20"/>
              </w:rPr>
            </w:pPr>
            <w:r>
              <w:rPr>
                <w:rFonts w:ascii="Calibri" w:hAnsi="Calibri" w:cs="Calibri"/>
                <w:sz w:val="20"/>
                <w:szCs w:val="20"/>
              </w:rPr>
              <w:t>0</w:t>
            </w:r>
          </w:p>
        </w:tc>
        <w:tc>
          <w:tcPr>
            <w:tcW w:w="802" w:type="pct"/>
          </w:tcPr>
          <w:p w:rsidR="00AA5789" w:rsidRPr="00BB4E34" w:rsidRDefault="00AA5789" w:rsidP="002B0DD9">
            <w:pPr>
              <w:jc w:val="center"/>
              <w:rPr>
                <w:rFonts w:ascii="Calibri" w:hAnsi="Calibri" w:cs="Calibri"/>
                <w:sz w:val="20"/>
                <w:szCs w:val="20"/>
              </w:rPr>
            </w:pPr>
            <w:r>
              <w:rPr>
                <w:rFonts w:ascii="Calibri" w:hAnsi="Calibri" w:cs="Calibri"/>
                <w:sz w:val="20"/>
                <w:szCs w:val="20"/>
              </w:rPr>
              <w:t>10/18/12</w:t>
            </w:r>
          </w:p>
        </w:tc>
        <w:tc>
          <w:tcPr>
            <w:tcW w:w="1203" w:type="pct"/>
          </w:tcPr>
          <w:p w:rsidR="00AA5789" w:rsidRPr="00BB4E34" w:rsidRDefault="00AA5789" w:rsidP="002B0DD9">
            <w:pPr>
              <w:jc w:val="center"/>
              <w:rPr>
                <w:rFonts w:ascii="Calibri" w:hAnsi="Calibri" w:cs="Calibri"/>
                <w:sz w:val="20"/>
                <w:szCs w:val="20"/>
              </w:rPr>
            </w:pPr>
            <w:r>
              <w:rPr>
                <w:rFonts w:ascii="Calibri" w:hAnsi="Calibri" w:cs="Calibri"/>
                <w:sz w:val="20"/>
                <w:szCs w:val="20"/>
              </w:rPr>
              <w:t xml:space="preserve">Charles </w:t>
            </w:r>
            <w:proofErr w:type="spellStart"/>
            <w:r>
              <w:rPr>
                <w:rFonts w:ascii="Calibri" w:hAnsi="Calibri" w:cs="Calibri"/>
                <w:sz w:val="20"/>
                <w:szCs w:val="20"/>
              </w:rPr>
              <w:t>Harmstead</w:t>
            </w:r>
            <w:proofErr w:type="spellEnd"/>
            <w:r>
              <w:rPr>
                <w:rFonts w:ascii="Calibri" w:hAnsi="Calibri" w:cs="Calibri"/>
                <w:sz w:val="20"/>
                <w:szCs w:val="20"/>
              </w:rPr>
              <w:t>/SDGE</w:t>
            </w:r>
          </w:p>
        </w:tc>
        <w:tc>
          <w:tcPr>
            <w:tcW w:w="2199" w:type="pct"/>
          </w:tcPr>
          <w:p w:rsidR="00AA5789" w:rsidRDefault="00AA5789" w:rsidP="002B0DD9">
            <w:pPr>
              <w:rPr>
                <w:rFonts w:ascii="Calibri" w:hAnsi="Calibri" w:cs="Calibri"/>
                <w:sz w:val="20"/>
                <w:szCs w:val="20"/>
              </w:rPr>
            </w:pPr>
            <w:r>
              <w:rPr>
                <w:rFonts w:ascii="Calibri" w:hAnsi="Calibri" w:cs="Calibri"/>
                <w:sz w:val="20"/>
                <w:szCs w:val="20"/>
              </w:rPr>
              <w:t>Adopted from SCE work paper SCE13HC012, Rev 0 dated May 30, 2012 and revised on 5/16/12 to Rev 1 with scaling factors and heat pumps added.</w:t>
            </w:r>
          </w:p>
          <w:p w:rsidR="00AA5789" w:rsidRDefault="00AA5789" w:rsidP="002B0DD9">
            <w:pPr>
              <w:rPr>
                <w:rFonts w:ascii="Calibri" w:hAnsi="Calibri" w:cs="Calibri"/>
                <w:sz w:val="20"/>
                <w:szCs w:val="20"/>
              </w:rPr>
            </w:pPr>
            <w:r>
              <w:rPr>
                <w:rFonts w:ascii="Calibri" w:hAnsi="Calibri" w:cs="Calibri"/>
                <w:sz w:val="20"/>
                <w:szCs w:val="20"/>
              </w:rPr>
              <w:t>This revision included the following changes:</w:t>
            </w:r>
          </w:p>
          <w:p w:rsidR="00AA5789" w:rsidRDefault="00AA5789" w:rsidP="002B0DD9">
            <w:pPr>
              <w:rPr>
                <w:rFonts w:ascii="Calibri" w:hAnsi="Calibri" w:cs="Calibri"/>
                <w:sz w:val="20"/>
                <w:szCs w:val="20"/>
              </w:rPr>
            </w:pPr>
            <w:r>
              <w:rPr>
                <w:rFonts w:ascii="Calibri" w:hAnsi="Calibri" w:cs="Calibri"/>
                <w:sz w:val="20"/>
                <w:szCs w:val="20"/>
              </w:rPr>
              <w:t xml:space="preserve">Created SDGE </w:t>
            </w:r>
            <w:proofErr w:type="spellStart"/>
            <w:r>
              <w:rPr>
                <w:rFonts w:ascii="Calibri" w:hAnsi="Calibri" w:cs="Calibri"/>
                <w:sz w:val="20"/>
                <w:szCs w:val="20"/>
              </w:rPr>
              <w:t>workpaper</w:t>
            </w:r>
            <w:proofErr w:type="spellEnd"/>
            <w:r>
              <w:rPr>
                <w:rFonts w:ascii="Calibri" w:hAnsi="Calibri" w:cs="Calibri"/>
                <w:sz w:val="20"/>
                <w:szCs w:val="20"/>
              </w:rPr>
              <w:t xml:space="preserve"> number</w:t>
            </w:r>
          </w:p>
          <w:p w:rsidR="00AA5789" w:rsidRDefault="00AA5789" w:rsidP="002B0DD9">
            <w:pPr>
              <w:rPr>
                <w:rFonts w:ascii="Calibri" w:hAnsi="Calibri" w:cs="Calibri"/>
                <w:sz w:val="20"/>
                <w:szCs w:val="20"/>
              </w:rPr>
            </w:pPr>
            <w:r>
              <w:rPr>
                <w:rFonts w:ascii="Calibri" w:hAnsi="Calibri" w:cs="Calibri"/>
                <w:sz w:val="20"/>
                <w:szCs w:val="20"/>
              </w:rPr>
              <w:t>Modified Core Measures Summary Table  for SDGE IOU climate zone-all measure options.  Updated Costing and NTG Summary Table for all measure options</w:t>
            </w:r>
          </w:p>
          <w:p w:rsidR="00AA5789" w:rsidRDefault="00AA5789" w:rsidP="002B0DD9">
            <w:pPr>
              <w:rPr>
                <w:rFonts w:ascii="Calibri" w:hAnsi="Calibri" w:cs="Calibri"/>
                <w:sz w:val="20"/>
                <w:szCs w:val="20"/>
              </w:rPr>
            </w:pPr>
            <w:r>
              <w:rPr>
                <w:rFonts w:ascii="Calibri" w:hAnsi="Calibri" w:cs="Calibri"/>
                <w:sz w:val="20"/>
                <w:szCs w:val="20"/>
              </w:rPr>
              <w:t>Removed reference to Solution codes</w:t>
            </w:r>
          </w:p>
          <w:p w:rsidR="00AA5789" w:rsidRDefault="00AA5789" w:rsidP="002B0DD9">
            <w:pPr>
              <w:rPr>
                <w:rFonts w:ascii="Calibri" w:hAnsi="Calibri" w:cs="Calibri"/>
                <w:sz w:val="20"/>
                <w:szCs w:val="20"/>
              </w:rPr>
            </w:pPr>
            <w:r>
              <w:rPr>
                <w:rFonts w:ascii="Calibri" w:hAnsi="Calibri" w:cs="Calibri"/>
                <w:sz w:val="20"/>
                <w:szCs w:val="20"/>
              </w:rPr>
              <w:t>Revised Delivery Mechanism wording to replace Distributor with Contractor  This is a third party and contractor program</w:t>
            </w:r>
          </w:p>
          <w:p w:rsidR="00AA5789" w:rsidRDefault="00AA5789" w:rsidP="002B0DD9">
            <w:pPr>
              <w:rPr>
                <w:rFonts w:ascii="Calibri" w:hAnsi="Calibri" w:cs="Calibri"/>
              </w:rPr>
            </w:pPr>
            <w:r>
              <w:rPr>
                <w:rFonts w:ascii="Calibri" w:hAnsi="Calibri" w:cs="Calibri"/>
                <w:sz w:val="20"/>
                <w:szCs w:val="20"/>
              </w:rPr>
              <w:t>Added a</w:t>
            </w:r>
            <w:r w:rsidRPr="00E6421E">
              <w:rPr>
                <w:rFonts w:ascii="Calibri" w:hAnsi="Calibri" w:cs="Calibri"/>
                <w:sz w:val="20"/>
                <w:szCs w:val="20"/>
              </w:rPr>
              <w:t xml:space="preserve">ttachment 11/6/12- </w:t>
            </w:r>
            <w:r>
              <w:rPr>
                <w:rFonts w:ascii="Calibri" w:hAnsi="Calibri" w:cs="Calibri"/>
                <w:sz w:val="20"/>
                <w:szCs w:val="20"/>
              </w:rPr>
              <w:t>“</w:t>
            </w:r>
            <w:r w:rsidRPr="00E6421E">
              <w:rPr>
                <w:rFonts w:ascii="Calibri" w:hAnsi="Calibri" w:cs="Calibri"/>
                <w:sz w:val="20"/>
                <w:szCs w:val="20"/>
              </w:rPr>
              <w:t>Packaged, Split, Packaged Heat Pump, &amp; Split Heat Pump</w:t>
            </w:r>
            <w:r>
              <w:rPr>
                <w:rFonts w:ascii="Calibri" w:hAnsi="Calibri" w:cs="Calibri"/>
                <w:sz w:val="20"/>
                <w:szCs w:val="20"/>
              </w:rPr>
              <w:t xml:space="preserve">” providing </w:t>
            </w:r>
            <w:r w:rsidRPr="00E6421E">
              <w:rPr>
                <w:rFonts w:ascii="Calibri" w:hAnsi="Calibri" w:cs="Calibri"/>
                <w:sz w:val="20"/>
                <w:szCs w:val="20"/>
              </w:rPr>
              <w:t xml:space="preserve"> Energy and Demand Savings developed from DEER 2011</w:t>
            </w:r>
            <w:r>
              <w:rPr>
                <w:rFonts w:ascii="Calibri" w:hAnsi="Calibri" w:cs="Calibri"/>
                <w:sz w:val="20"/>
                <w:szCs w:val="20"/>
              </w:rPr>
              <w:t xml:space="preserve"> for SEER 14, SEER 15, SEER 16, SEER 17 air Conditioning units and heat pumps</w:t>
            </w:r>
          </w:p>
          <w:p w:rsidR="00AA5789" w:rsidRPr="00BB4E34" w:rsidRDefault="00AA5789" w:rsidP="002B0DD9">
            <w:pPr>
              <w:rPr>
                <w:rFonts w:ascii="Calibri" w:hAnsi="Calibri" w:cs="Calibri"/>
                <w:sz w:val="20"/>
                <w:szCs w:val="20"/>
              </w:rPr>
            </w:pPr>
          </w:p>
        </w:tc>
      </w:tr>
      <w:tr w:rsidR="00AA5789" w:rsidRPr="005734A4"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rsidR="00AA5789" w:rsidRPr="005734A4" w:rsidRDefault="00AA5789" w:rsidP="002B0DD9">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rsidR="00AA5789" w:rsidRPr="005734A4" w:rsidRDefault="00AA5789" w:rsidP="002B0DD9">
            <w:pPr>
              <w:jc w:val="center"/>
              <w:rPr>
                <w:rFonts w:asciiTheme="minorHAnsi" w:hAnsiTheme="minorHAnsi" w:cstheme="minorHAnsi"/>
                <w:sz w:val="20"/>
                <w:szCs w:val="20"/>
              </w:rPr>
            </w:pPr>
            <w:r>
              <w:rPr>
                <w:rFonts w:asciiTheme="minorHAnsi" w:hAnsiTheme="minorHAnsi" w:cstheme="minorHAnsi"/>
                <w:sz w:val="20"/>
                <w:szCs w:val="20"/>
              </w:rPr>
              <w:t>08/29</w:t>
            </w:r>
            <w:r w:rsidRPr="005734A4">
              <w:rPr>
                <w:rFonts w:asciiTheme="minorHAnsi" w:hAnsiTheme="minorHAnsi" w:cstheme="minorHAnsi"/>
                <w:sz w:val="20"/>
                <w:szCs w:val="20"/>
              </w:rPr>
              <w:t>/20</w:t>
            </w:r>
            <w:r>
              <w:rPr>
                <w:rFonts w:asciiTheme="minorHAnsi" w:hAnsiTheme="minorHAnsi" w:cstheme="minorHAnsi"/>
                <w:sz w:val="20"/>
                <w:szCs w:val="20"/>
              </w:rPr>
              <w:t>14</w:t>
            </w:r>
          </w:p>
        </w:tc>
        <w:tc>
          <w:tcPr>
            <w:tcW w:w="1203" w:type="pct"/>
          </w:tcPr>
          <w:p w:rsidR="00AA5789" w:rsidRPr="005734A4" w:rsidRDefault="00AA5789" w:rsidP="002B0DD9">
            <w:pPr>
              <w:rPr>
                <w:rFonts w:asciiTheme="minorHAnsi" w:hAnsiTheme="minorHAnsi" w:cstheme="minorHAnsi"/>
                <w:sz w:val="20"/>
                <w:szCs w:val="20"/>
              </w:rPr>
            </w:pPr>
            <w:r>
              <w:rPr>
                <w:rFonts w:asciiTheme="minorHAnsi" w:hAnsiTheme="minorHAnsi" w:cstheme="minorHAnsi"/>
                <w:sz w:val="20"/>
                <w:szCs w:val="20"/>
              </w:rPr>
              <w:t>Martin Vu/RMS Energy Consulting, LLC</w:t>
            </w:r>
          </w:p>
        </w:tc>
        <w:tc>
          <w:tcPr>
            <w:tcW w:w="2199" w:type="pct"/>
          </w:tcPr>
          <w:p w:rsidR="00AA5789" w:rsidRPr="005734A4" w:rsidRDefault="00AA5789" w:rsidP="002B0DD9">
            <w:pPr>
              <w:rPr>
                <w:rFonts w:asciiTheme="minorHAnsi" w:hAnsiTheme="minorHAnsi" w:cstheme="minorHAnsi"/>
                <w:sz w:val="20"/>
                <w:szCs w:val="20"/>
              </w:rPr>
            </w:pPr>
            <w:r>
              <w:rPr>
                <w:rFonts w:asciiTheme="minorHAnsi" w:hAnsiTheme="minorHAnsi" w:cstheme="minorHAnsi"/>
                <w:bCs/>
                <w:sz w:val="20"/>
                <w:szCs w:val="20"/>
              </w:rPr>
              <w:t xml:space="preserve">Adopted SCE </w:t>
            </w:r>
            <w:proofErr w:type="spellStart"/>
            <w:r>
              <w:rPr>
                <w:rFonts w:asciiTheme="minorHAnsi" w:hAnsiTheme="minorHAnsi" w:cstheme="minorHAnsi"/>
                <w:bCs/>
                <w:sz w:val="20"/>
                <w:szCs w:val="20"/>
              </w:rPr>
              <w:t>workpaper</w:t>
            </w:r>
            <w:proofErr w:type="spellEnd"/>
            <w:r>
              <w:rPr>
                <w:rFonts w:asciiTheme="minorHAnsi" w:hAnsiTheme="minorHAnsi" w:cstheme="minorHAnsi"/>
                <w:bCs/>
                <w:sz w:val="20"/>
                <w:szCs w:val="20"/>
              </w:rPr>
              <w:t xml:space="preserve"> WPSCEHC12.3 and updated per the 2013 Title 24 Code.</w:t>
            </w:r>
          </w:p>
        </w:tc>
      </w:tr>
    </w:tbl>
    <w:p w:rsidR="009500DC" w:rsidRDefault="009500DC" w:rsidP="00DA690B">
      <w:pPr>
        <w:rPr>
          <w:rFonts w:asciiTheme="minorHAnsi" w:hAnsiTheme="minorHAnsi" w:cstheme="minorHAnsi"/>
        </w:rPr>
        <w:sectPr w:rsidR="009500DC" w:rsidSect="009500DC">
          <w:footerReference w:type="default" r:id="rId11"/>
          <w:pgSz w:w="12240" w:h="15840"/>
          <w:pgMar w:top="1440" w:right="1440" w:bottom="1440" w:left="1440" w:header="720" w:footer="720" w:gutter="0"/>
          <w:pgNumType w:fmt="lowerRoman"/>
          <w:cols w:space="720"/>
          <w:docGrid w:linePitch="360"/>
        </w:sectPr>
      </w:pPr>
    </w:p>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Section 1. General Measure &amp; Baseline Data</w:t>
      </w:r>
      <w:bookmarkEnd w:id="1"/>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AA5789" w:rsidRPr="00AA5789" w:rsidRDefault="00AA5789" w:rsidP="00AA5789">
      <w:pPr>
        <w:spacing w:before="60" w:after="240"/>
        <w:rPr>
          <w:rFonts w:ascii="Calibri" w:hAnsi="Calibri" w:cs="Calibri"/>
          <w:sz w:val="22"/>
        </w:rPr>
      </w:pPr>
      <w:r w:rsidRPr="00AA5789">
        <w:rPr>
          <w:rFonts w:ascii="Calibri" w:hAnsi="Calibri" w:cs="Calibri"/>
          <w:b/>
          <w:sz w:val="22"/>
        </w:rPr>
        <w:t>Measure Description</w:t>
      </w:r>
      <w:r w:rsidRPr="00AA5789">
        <w:rPr>
          <w:rFonts w:ascii="Calibri" w:hAnsi="Calibri" w:cs="Calibri"/>
          <w:sz w:val="22"/>
        </w:rPr>
        <w:t xml:space="preserve">: Air cooled air conditioning or heat pump units with cooling capacities </w:t>
      </w:r>
      <w:r>
        <w:rPr>
          <w:rFonts w:ascii="Calibri" w:hAnsi="Calibri" w:cs="Calibri"/>
          <w:sz w:val="22"/>
        </w:rPr>
        <w:t>&lt;</w:t>
      </w:r>
      <w:r w:rsidRPr="00AA5789">
        <w:rPr>
          <w:rFonts w:ascii="Calibri" w:hAnsi="Calibri" w:cs="Calibri"/>
          <w:sz w:val="22"/>
        </w:rPr>
        <w:t xml:space="preserve"> 65 </w:t>
      </w:r>
      <w:proofErr w:type="spellStart"/>
      <w:r w:rsidRPr="00AA5789">
        <w:rPr>
          <w:rFonts w:ascii="Calibri" w:hAnsi="Calibri" w:cs="Calibri"/>
          <w:sz w:val="22"/>
        </w:rPr>
        <w:t>kBtuh</w:t>
      </w:r>
      <w:proofErr w:type="spellEnd"/>
      <w:r w:rsidRPr="00AA5789">
        <w:rPr>
          <w:rFonts w:ascii="Calibri" w:hAnsi="Calibri" w:cs="Calibri"/>
          <w:sz w:val="22"/>
        </w:rPr>
        <w:t xml:space="preserve">, for use in non-residential buildings, meeting the minimum efficiency requirements listed in </w:t>
      </w:r>
      <w:r w:rsidRPr="00AA5789">
        <w:rPr>
          <w:rFonts w:ascii="Calibri" w:hAnsi="Calibri" w:cs="Calibri"/>
          <w:sz w:val="22"/>
        </w:rPr>
        <w:fldChar w:fldCharType="begin"/>
      </w:r>
      <w:r w:rsidRPr="00AA5789">
        <w:rPr>
          <w:rFonts w:ascii="Calibri" w:hAnsi="Calibri" w:cs="Calibri"/>
          <w:sz w:val="22"/>
        </w:rPr>
        <w:instrText xml:space="preserve"> REF _Ref389640366 \h </w:instrText>
      </w:r>
      <w:r w:rsidRPr="00AA5789">
        <w:rPr>
          <w:rFonts w:ascii="Calibri" w:hAnsi="Calibri" w:cs="Calibri"/>
          <w:sz w:val="22"/>
        </w:rPr>
      </w:r>
      <w:r w:rsidRPr="00AA5789">
        <w:rPr>
          <w:rFonts w:ascii="Calibri" w:hAnsi="Calibri" w:cs="Calibri"/>
          <w:sz w:val="22"/>
        </w:rPr>
        <w:fldChar w:fldCharType="separate"/>
      </w:r>
      <w:r w:rsidRPr="00AA5789">
        <w:rPr>
          <w:rFonts w:ascii="Calibri" w:hAnsi="Calibri" w:cs="Calibri"/>
          <w:sz w:val="22"/>
        </w:rPr>
        <w:t>Table 2</w:t>
      </w:r>
      <w:r w:rsidRPr="00AA5789">
        <w:rPr>
          <w:rFonts w:ascii="Calibri" w:hAnsi="Calibri" w:cs="Calibri"/>
          <w:sz w:val="22"/>
        </w:rPr>
        <w:fldChar w:fldCharType="end"/>
      </w:r>
      <w:r w:rsidRPr="00AA5789">
        <w:rPr>
          <w:rFonts w:ascii="Calibri" w:hAnsi="Calibri" w:cs="Calibri"/>
          <w:sz w:val="22"/>
        </w:rPr>
        <w:t>.</w:t>
      </w:r>
    </w:p>
    <w:p w:rsidR="00AA5789" w:rsidRDefault="00AA5789" w:rsidP="00AA5789">
      <w:pPr>
        <w:spacing w:before="40" w:after="40"/>
        <w:rPr>
          <w:rFonts w:ascii="Calibri" w:hAnsi="Calibri" w:cs="Calibri"/>
          <w:sz w:val="22"/>
        </w:rPr>
      </w:pPr>
      <w:r w:rsidRPr="00AA5789">
        <w:rPr>
          <w:rFonts w:ascii="Calibri" w:hAnsi="Calibri" w:cs="Calibri"/>
          <w:b/>
          <w:sz w:val="22"/>
        </w:rPr>
        <w:t>Base Case Description</w:t>
      </w:r>
      <w:r w:rsidRPr="00AA5789">
        <w:rPr>
          <w:rFonts w:ascii="Calibri" w:hAnsi="Calibri" w:cs="Calibri"/>
          <w:sz w:val="22"/>
        </w:rPr>
        <w:t xml:space="preserve">: Air cooled air conditioning units with cooling capacities </w:t>
      </w:r>
      <w:r>
        <w:rPr>
          <w:rFonts w:ascii="Calibri" w:hAnsi="Calibri" w:cs="Calibri"/>
          <w:sz w:val="22"/>
        </w:rPr>
        <w:t>&lt;</w:t>
      </w:r>
      <w:r w:rsidRPr="00AA5789">
        <w:rPr>
          <w:rFonts w:ascii="Calibri" w:hAnsi="Calibri" w:cs="Calibri"/>
          <w:sz w:val="22"/>
        </w:rPr>
        <w:t xml:space="preserve"> 65 </w:t>
      </w:r>
      <w:proofErr w:type="spellStart"/>
      <w:r w:rsidRPr="00AA5789">
        <w:rPr>
          <w:rFonts w:ascii="Calibri" w:hAnsi="Calibri" w:cs="Calibri"/>
          <w:sz w:val="22"/>
        </w:rPr>
        <w:t>kBtu</w:t>
      </w:r>
      <w:proofErr w:type="spellEnd"/>
      <w:r w:rsidRPr="00AA5789">
        <w:rPr>
          <w:rFonts w:ascii="Calibri" w:hAnsi="Calibri" w:cs="Calibri"/>
          <w:sz w:val="22"/>
        </w:rPr>
        <w:t>/h, for use in non-residential buildings, meeting the federal minimum efficiency standard of 13 SEER.</w:t>
      </w:r>
    </w:p>
    <w:p w:rsidR="002B0DD9" w:rsidRDefault="002B0DD9" w:rsidP="00AA5789">
      <w:pPr>
        <w:jc w:val="center"/>
        <w:rPr>
          <w:rFonts w:asciiTheme="minorHAnsi" w:hAnsiTheme="minorHAnsi" w:cstheme="minorHAnsi"/>
          <w:b/>
          <w:bCs/>
          <w:sz w:val="22"/>
          <w:szCs w:val="22"/>
        </w:rPr>
      </w:pPr>
    </w:p>
    <w:p w:rsidR="00AA5789" w:rsidRPr="00AA5789" w:rsidRDefault="00AA5789" w:rsidP="00AA5789">
      <w:pPr>
        <w:jc w:val="center"/>
        <w:rPr>
          <w:rFonts w:asciiTheme="minorHAnsi" w:hAnsiTheme="minorHAnsi" w:cstheme="minorHAnsi"/>
          <w:b/>
          <w:bCs/>
          <w:sz w:val="22"/>
          <w:szCs w:val="22"/>
        </w:rPr>
      </w:pPr>
      <w:r>
        <w:rPr>
          <w:rFonts w:asciiTheme="minorHAnsi" w:hAnsiTheme="minorHAnsi" w:cstheme="minorHAnsi"/>
          <w:b/>
          <w:bCs/>
          <w:sz w:val="22"/>
          <w:szCs w:val="22"/>
        </w:rPr>
        <w:t>Table 1</w:t>
      </w:r>
      <w:r w:rsidRPr="00AA5789">
        <w:rPr>
          <w:rFonts w:asciiTheme="minorHAnsi" w:hAnsiTheme="minorHAnsi" w:cstheme="minorHAnsi"/>
          <w:b/>
          <w:bCs/>
          <w:sz w:val="22"/>
          <w:szCs w:val="22"/>
        </w:rPr>
        <w:t xml:space="preserve"> Measure Names</w:t>
      </w:r>
    </w:p>
    <w:tbl>
      <w:tblPr>
        <w:tblStyle w:val="TableContemporary1"/>
        <w:tblW w:w="0" w:type="auto"/>
        <w:jc w:val="center"/>
        <w:tblInd w:w="-1300" w:type="dxa"/>
        <w:tblLook w:val="04A0" w:firstRow="1" w:lastRow="0" w:firstColumn="1" w:lastColumn="0" w:noHBand="0" w:noVBand="1"/>
      </w:tblPr>
      <w:tblGrid>
        <w:gridCol w:w="1420"/>
        <w:gridCol w:w="7920"/>
      </w:tblGrid>
      <w:tr w:rsidR="00AA5789" w:rsidRPr="00AA5789" w:rsidTr="002B0DD9">
        <w:trPr>
          <w:cnfStyle w:val="100000000000" w:firstRow="1" w:lastRow="0" w:firstColumn="0" w:lastColumn="0" w:oddVBand="0" w:evenVBand="0" w:oddHBand="0" w:evenHBand="0" w:firstRowFirstColumn="0" w:firstRowLastColumn="0" w:lastRowFirstColumn="0" w:lastRowLastColumn="0"/>
          <w:jc w:val="center"/>
        </w:trPr>
        <w:tc>
          <w:tcPr>
            <w:tcW w:w="1420" w:type="dxa"/>
          </w:tcPr>
          <w:p w:rsidR="00AA5789" w:rsidRPr="00AA5789" w:rsidRDefault="00AA5789" w:rsidP="00AA5789">
            <w:pPr>
              <w:rPr>
                <w:rFonts w:asciiTheme="minorHAnsi" w:hAnsiTheme="minorHAnsi" w:cstheme="minorHAnsi"/>
                <w:sz w:val="20"/>
                <w:szCs w:val="20"/>
              </w:rPr>
            </w:pPr>
            <w:r w:rsidRPr="00AA5789">
              <w:rPr>
                <w:rFonts w:asciiTheme="minorHAnsi" w:hAnsiTheme="minorHAnsi" w:cstheme="minorHAnsi"/>
                <w:sz w:val="20"/>
                <w:szCs w:val="20"/>
              </w:rPr>
              <w:t>Solution Code</w:t>
            </w:r>
          </w:p>
        </w:tc>
        <w:tc>
          <w:tcPr>
            <w:tcW w:w="7920" w:type="dxa"/>
          </w:tcPr>
          <w:p w:rsidR="00AA5789" w:rsidRPr="00AA5789" w:rsidRDefault="00AA5789" w:rsidP="00AA5789">
            <w:pPr>
              <w:rPr>
                <w:rFonts w:asciiTheme="minorHAnsi" w:hAnsiTheme="minorHAnsi" w:cstheme="minorHAnsi"/>
                <w:sz w:val="20"/>
                <w:szCs w:val="20"/>
              </w:rPr>
            </w:pPr>
            <w:r w:rsidRPr="00AA5789">
              <w:rPr>
                <w:rFonts w:asciiTheme="minorHAnsi" w:hAnsiTheme="minorHAnsi" w:cstheme="minorHAnsi"/>
                <w:sz w:val="20"/>
                <w:szCs w:val="20"/>
              </w:rPr>
              <w:t>Measure name</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AC-71098</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 SEER (11.6 EER/12 EER)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AC-98037</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 SEER (11.6 EER/12 EER)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AC-87165</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15 SEER (12 EER/12.5 EER)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AC-85741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15 SEER (12 EER/12.5 EER)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AC-79354</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16 SEER (12.4 EER/13 EER)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AC-93613</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16 SEER (12.4 EER/13 EER)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AC-98011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17 SEER (13 EER/13.5 EER)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AC-16981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17 SEER (13 EER/13.5 EER)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AC-96253</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18 SEER (14 EER/14 EER)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AC-74823</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18 SEER (14 EER/14 EER)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AC-40394</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 SEER (11.6 EER/12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AC-19661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 SEER (11.6 EER/12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AC-38463</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14.5 SEER (12 EER/12.5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AC-59802</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14.5 SEER (12 EER/12.5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AC-68505</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15 SEER (12 EER/12.5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AC-30431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15 SEER (12 EER/12.5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AC-89113</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16 SEER (12.4 EER/13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AC-32647</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16 SEER (12.4 EER/13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AC-10277</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17 SEER (13 EER/13.5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AC-46126</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17 SEER (13 EER/13.5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AC-59791</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18 SEER (14 EER/14 EER)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AC-16146</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18 SEER (14 EER/14 EER) Heat Pump</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AC-80742</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To Code Savings Portion Package/Split System Air Conditioner DX Equipment</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AC-14070</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To Code Savings Portion Package/Split System Air Conditioner DX Equipment</w:t>
            </w:r>
          </w:p>
        </w:tc>
      </w:tr>
      <w:tr w:rsidR="00AA5789" w:rsidRPr="00AA578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AC-99735</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&lt;55kBtu/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To Code Savings Portion Heat Pump</w:t>
            </w:r>
          </w:p>
        </w:tc>
      </w:tr>
      <w:tr w:rsidR="00AA5789" w:rsidRPr="00AA578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420" w:type="dxa"/>
            <w:vAlign w:val="bottom"/>
          </w:tcPr>
          <w:p w:rsidR="00AA5789" w:rsidRPr="00AA5789" w:rsidRDefault="00AA5789" w:rsidP="00AA5789">
            <w:pPr>
              <w:rPr>
                <w:rFonts w:ascii="Calibri" w:hAnsi="Calibri"/>
                <w:color w:val="000000"/>
                <w:sz w:val="20"/>
                <w:szCs w:val="20"/>
              </w:rPr>
            </w:pPr>
            <w:r w:rsidRPr="00AA5789">
              <w:rPr>
                <w:rFonts w:ascii="Calibri" w:hAnsi="Calibri"/>
                <w:color w:val="000000"/>
                <w:sz w:val="20"/>
                <w:szCs w:val="20"/>
              </w:rPr>
              <w:t>AC-35797</w:t>
            </w:r>
          </w:p>
        </w:tc>
        <w:tc>
          <w:tcPr>
            <w:tcW w:w="7920" w:type="dxa"/>
            <w:vAlign w:val="bottom"/>
          </w:tcPr>
          <w:p w:rsidR="00AA5789" w:rsidRPr="00AA5789" w:rsidRDefault="00AA5789" w:rsidP="00AA5789">
            <w:pPr>
              <w:rPr>
                <w:rFonts w:ascii="Calibri" w:hAnsi="Calibri" w:cs="Arial"/>
                <w:color w:val="000000"/>
                <w:sz w:val="20"/>
                <w:szCs w:val="20"/>
              </w:rPr>
            </w:pPr>
            <w:r w:rsidRPr="00AA5789">
              <w:rPr>
                <w:rFonts w:ascii="Calibri" w:hAnsi="Calibri" w:cs="Arial"/>
                <w:color w:val="000000"/>
                <w:sz w:val="20"/>
                <w:szCs w:val="20"/>
              </w:rPr>
              <w:t>55-64kBtu/</w:t>
            </w:r>
            <w:proofErr w:type="spellStart"/>
            <w:r w:rsidRPr="00AA5789">
              <w:rPr>
                <w:rFonts w:ascii="Calibri" w:hAnsi="Calibri" w:cs="Arial"/>
                <w:color w:val="000000"/>
                <w:sz w:val="20"/>
                <w:szCs w:val="20"/>
              </w:rPr>
              <w:t>hr</w:t>
            </w:r>
            <w:proofErr w:type="spellEnd"/>
            <w:r w:rsidRPr="00AA5789">
              <w:rPr>
                <w:rFonts w:ascii="Calibri" w:hAnsi="Calibri" w:cs="Arial"/>
                <w:color w:val="000000"/>
                <w:sz w:val="20"/>
                <w:szCs w:val="20"/>
              </w:rPr>
              <w:t xml:space="preserve"> To Code Savings Portion Heat Pump</w:t>
            </w:r>
          </w:p>
        </w:tc>
      </w:tr>
    </w:tbl>
    <w:p w:rsidR="002B0DD9" w:rsidRPr="002B0DD9" w:rsidRDefault="002B0DD9" w:rsidP="002B0DD9">
      <w:pPr>
        <w:keepNext/>
        <w:spacing w:before="240" w:after="60"/>
        <w:outlineLvl w:val="1"/>
        <w:rPr>
          <w:rFonts w:asciiTheme="minorHAnsi" w:hAnsiTheme="minorHAnsi" w:cstheme="minorHAnsi"/>
          <w:b/>
          <w:bCs/>
          <w:sz w:val="26"/>
          <w:szCs w:val="26"/>
        </w:rPr>
      </w:pPr>
      <w:r w:rsidRPr="002B0DD9">
        <w:rPr>
          <w:rFonts w:asciiTheme="minorHAnsi" w:hAnsiTheme="minorHAnsi" w:cstheme="minorHAnsi"/>
          <w:b/>
          <w:bCs/>
          <w:sz w:val="26"/>
          <w:szCs w:val="26"/>
        </w:rPr>
        <w:t>1.1b Technical Description</w:t>
      </w:r>
    </w:p>
    <w:p w:rsidR="002B0DD9" w:rsidRPr="002B0DD9" w:rsidRDefault="002B0DD9" w:rsidP="002B0DD9">
      <w:pPr>
        <w:tabs>
          <w:tab w:val="num" w:pos="360"/>
        </w:tabs>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A unitary system is an air conditioning system that cools one or a few spaces, in contrast to a centralized system where a chiller serves most or all of the building. Unitary systems use direct expansion, are usually factory designed, and are available as packaged or split systems for commercial use. A split system consists of an indoor unit (fan, cooling coil, heating elements, filter) connected by refrigerant </w:t>
      </w:r>
      <w:r w:rsidRPr="002B0DD9">
        <w:rPr>
          <w:rFonts w:asciiTheme="minorHAnsi" w:hAnsiTheme="minorHAnsi" w:cstheme="minorHAnsi"/>
          <w:sz w:val="22"/>
          <w:szCs w:val="22"/>
        </w:rPr>
        <w:lastRenderedPageBreak/>
        <w:t>piping to an outdoor unit (fan, compressor, condenser, expansion valve). A packaged system incorporates all the equipment into a single unit that is typically mounted on the roof. Heat pumps allow the refrigeration cycle to run in reverse and can therefore provide heating or cooling to the conditioned space.</w:t>
      </w:r>
    </w:p>
    <w:p w:rsidR="00E16609" w:rsidRPr="000F130A" w:rsidRDefault="002B0DD9" w:rsidP="00E16609">
      <w:pPr>
        <w:pStyle w:val="Heading3"/>
        <w:rPr>
          <w:rFonts w:asciiTheme="minorHAnsi" w:hAnsiTheme="minorHAnsi" w:cstheme="minorHAnsi"/>
        </w:rPr>
      </w:pPr>
      <w:r>
        <w:rPr>
          <w:rFonts w:asciiTheme="minorHAnsi" w:hAnsiTheme="minorHAnsi" w:cstheme="minorHAnsi"/>
        </w:rPr>
        <w:t>1.1c</w:t>
      </w:r>
      <w:r w:rsidR="00E16609" w:rsidRPr="000F130A">
        <w:rPr>
          <w:rFonts w:asciiTheme="minorHAnsi" w:hAnsiTheme="minorHAnsi" w:cstheme="minorHAnsi"/>
        </w:rPr>
        <w:t xml:space="preserve"> Delivery and Incentive Mechanism</w:t>
      </w:r>
    </w:p>
    <w:p w:rsidR="002B0DD9" w:rsidRDefault="002B0DD9" w:rsidP="002B0DD9">
      <w:pPr>
        <w:tabs>
          <w:tab w:val="num" w:pos="360"/>
        </w:tabs>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The delivery method is </w:t>
      </w:r>
      <w:r w:rsidRPr="002B0DD9">
        <w:rPr>
          <w:rFonts w:asciiTheme="minorHAnsi" w:hAnsiTheme="minorHAnsi" w:cstheme="minorHAnsi"/>
          <w:b/>
          <w:sz w:val="22"/>
          <w:szCs w:val="22"/>
        </w:rPr>
        <w:t>Upstream Programs – Up-Stream Incentive</w:t>
      </w:r>
      <w:r w:rsidRPr="002B0DD9">
        <w:rPr>
          <w:rFonts w:asciiTheme="minorHAnsi" w:hAnsiTheme="minorHAnsi" w:cstheme="minorHAnsi"/>
          <w:sz w:val="22"/>
          <w:szCs w:val="22"/>
        </w:rPr>
        <w:t>. Incentives are provided to the HVAC equipment distributor, who provides site installation information for each unit.</w:t>
      </w:r>
      <w:r>
        <w:rPr>
          <w:rFonts w:asciiTheme="minorHAnsi" w:hAnsiTheme="minorHAnsi" w:cstheme="minorHAnsi"/>
          <w:sz w:val="22"/>
          <w:szCs w:val="22"/>
        </w:rPr>
        <w:t xml:space="preserve"> </w:t>
      </w:r>
    </w:p>
    <w:p w:rsidR="002B0DD9" w:rsidRDefault="002B0DD9" w:rsidP="002B0DD9">
      <w:pPr>
        <w:tabs>
          <w:tab w:val="num" w:pos="360"/>
        </w:tabs>
        <w:spacing w:before="40" w:after="40"/>
        <w:rPr>
          <w:rFonts w:asciiTheme="minorHAnsi" w:hAnsiTheme="minorHAnsi" w:cstheme="minorHAnsi"/>
          <w:sz w:val="22"/>
          <w:szCs w:val="22"/>
        </w:rPr>
      </w:pPr>
    </w:p>
    <w:p w:rsidR="002B0DD9" w:rsidRPr="002B0DD9" w:rsidRDefault="002B0DD9" w:rsidP="002B0DD9">
      <w:pPr>
        <w:tabs>
          <w:tab w:val="num" w:pos="360"/>
        </w:tabs>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The install type for the Upstream Prescriptive rebate is </w:t>
      </w:r>
      <w:r w:rsidRPr="002B0DD9">
        <w:rPr>
          <w:rFonts w:asciiTheme="minorHAnsi" w:hAnsiTheme="minorHAnsi" w:cstheme="minorHAnsi"/>
          <w:b/>
          <w:sz w:val="22"/>
          <w:szCs w:val="22"/>
        </w:rPr>
        <w:t>Replace-On Burnout (ROB) and New Construction (NEW)</w:t>
      </w:r>
      <w:r w:rsidRPr="002B0DD9">
        <w:rPr>
          <w:rFonts w:asciiTheme="minorHAnsi" w:hAnsiTheme="minorHAnsi" w:cstheme="minorHAnsi"/>
          <w:sz w:val="22"/>
          <w:szCs w:val="22"/>
        </w:rPr>
        <w:t>.</w:t>
      </w:r>
      <w:r>
        <w:rPr>
          <w:rFonts w:asciiTheme="minorHAnsi" w:hAnsiTheme="minorHAnsi" w:cstheme="minorHAnsi"/>
          <w:sz w:val="22"/>
          <w:szCs w:val="22"/>
        </w:rPr>
        <w:t xml:space="preserve"> </w:t>
      </w:r>
      <w:r w:rsidRPr="002B0DD9">
        <w:rPr>
          <w:rFonts w:asciiTheme="minorHAnsi" w:hAnsiTheme="minorHAnsi" w:cstheme="minorHAnsi"/>
          <w:sz w:val="22"/>
          <w:szCs w:val="22"/>
        </w:rPr>
        <w:t xml:space="preserve">Additionally, an early retirement measure will also be offered through the HVAC optimization program as </w:t>
      </w:r>
      <w:r w:rsidRPr="002B0DD9">
        <w:rPr>
          <w:rFonts w:asciiTheme="minorHAnsi" w:hAnsiTheme="minorHAnsi" w:cstheme="minorHAnsi"/>
          <w:b/>
          <w:sz w:val="22"/>
          <w:szCs w:val="22"/>
        </w:rPr>
        <w:t>Retrofit (RET)</w:t>
      </w:r>
      <w:r w:rsidRPr="002B0DD9">
        <w:rPr>
          <w:rFonts w:asciiTheme="minorHAnsi" w:hAnsiTheme="minorHAnsi" w:cstheme="minorHAnsi"/>
          <w:sz w:val="22"/>
          <w:szCs w:val="22"/>
        </w:rPr>
        <w:t xml:space="preserve">. In this delivery approach, units identified through the HVAC optimization program as still functional, but needing replacement, will be retired prematurely. The program will provide incentives to the contractor for this to occur. </w:t>
      </w:r>
    </w:p>
    <w:p w:rsidR="00E16609" w:rsidRPr="000F130A" w:rsidRDefault="002B0DD9" w:rsidP="00E16609">
      <w:pPr>
        <w:pStyle w:val="Heading3"/>
        <w:rPr>
          <w:rFonts w:asciiTheme="minorHAnsi" w:hAnsiTheme="minorHAnsi" w:cstheme="minorHAnsi"/>
        </w:rPr>
      </w:pPr>
      <w:r>
        <w:rPr>
          <w:rFonts w:asciiTheme="minorHAnsi" w:hAnsiTheme="minorHAnsi" w:cstheme="minorHAnsi"/>
        </w:rPr>
        <w:t>1.1d</w:t>
      </w:r>
      <w:r w:rsidR="00E16609" w:rsidRPr="000F130A">
        <w:rPr>
          <w:rFonts w:asciiTheme="minorHAnsi" w:hAnsiTheme="minorHAnsi" w:cstheme="minorHAnsi"/>
        </w:rPr>
        <w:t xml:space="preserve"> Measure Requirements</w:t>
      </w:r>
    </w:p>
    <w:p w:rsidR="002B0DD9" w:rsidRPr="002B0DD9" w:rsidRDefault="002B0DD9" w:rsidP="002B0DD9">
      <w:pPr>
        <w:rPr>
          <w:rFonts w:ascii="Calibri" w:hAnsi="Calibri" w:cs="Calibri"/>
          <w:sz w:val="22"/>
        </w:rPr>
      </w:pPr>
      <w:r w:rsidRPr="002B0DD9">
        <w:rPr>
          <w:rFonts w:ascii="Calibri" w:hAnsi="Calibri" w:cs="Calibri"/>
          <w:sz w:val="22"/>
        </w:rPr>
        <w:t>For early retirement offerings, identified as “To Code Savings Portion,” within this work paper:</w:t>
      </w:r>
    </w:p>
    <w:p w:rsidR="002B0DD9" w:rsidRPr="002B0DD9" w:rsidRDefault="002B0DD9" w:rsidP="002B0DD9">
      <w:pPr>
        <w:rPr>
          <w:rFonts w:asciiTheme="minorHAnsi" w:hAnsiTheme="minorHAnsi" w:cs="Calibri"/>
          <w:sz w:val="22"/>
          <w:szCs w:val="22"/>
        </w:rPr>
      </w:pP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The HVAC Early Retirement will utilize the CPUC’s Early Retirement (ER) Savings methodology, but only claim the portion of savings that remain after the Replace on Burnout (ROB) savings is claimed by Upstream Program.</w:t>
      </w: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 xml:space="preserve">Initial leads for the program will be generated from participants in the Quality Maintenance (QM) and Quality Renovation (QR) Programs. Maintenance records and analyses performed for the QM and QR program will be collected to help verify unit operation. Additional information on existing EER and operating efficiency may be collected on some applications to help document the existing baseline. </w:t>
      </w: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Program requirement including pre-inspection and verification are in place to ensure that equipment is Early Retirement (ER, previously RET) and ROB or New Construction (NEW). The program will require pre-inspections on 75% of installations for the first 3 months, but target a 100% inspection rate. Pre-inspections will inspect nameplate information such as manufacturing year, visual verification of unit operation, or perform verification readings including: amperage, supply air temperature, outdoor air temperature, and mixed air temperature. After 3 months, the program will adjust the inspection percentage based on the pass-fail rates. Two rebates will be paid for Early Retirement Installation, but savings will only be claimed once.</w:t>
      </w: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Certain evidence must be provided to participate in this program, including:</w:t>
      </w:r>
    </w:p>
    <w:p w:rsidR="002B0DD9" w:rsidRPr="002B0DD9" w:rsidRDefault="002B0DD9" w:rsidP="002B0DD9">
      <w:pPr>
        <w:numPr>
          <w:ilvl w:val="1"/>
          <w:numId w:val="9"/>
        </w:numPr>
        <w:contextualSpacing/>
        <w:rPr>
          <w:rFonts w:asciiTheme="minorHAnsi" w:hAnsiTheme="minorHAnsi"/>
          <w:color w:val="000000"/>
          <w:sz w:val="22"/>
          <w:szCs w:val="22"/>
        </w:rPr>
      </w:pPr>
      <w:r w:rsidRPr="002B0DD9">
        <w:rPr>
          <w:rFonts w:asciiTheme="minorHAnsi" w:hAnsiTheme="minorHAnsi"/>
          <w:color w:val="000000"/>
          <w:sz w:val="22"/>
          <w:szCs w:val="22"/>
        </w:rPr>
        <w:t xml:space="preserve">Pre-inspection data to evaluate that the units are still operating </w:t>
      </w:r>
    </w:p>
    <w:p w:rsidR="002B0DD9" w:rsidRPr="002B0DD9" w:rsidRDefault="002B0DD9" w:rsidP="002B0DD9">
      <w:pPr>
        <w:numPr>
          <w:ilvl w:val="1"/>
          <w:numId w:val="9"/>
        </w:numPr>
        <w:contextualSpacing/>
        <w:rPr>
          <w:rFonts w:asciiTheme="minorHAnsi" w:hAnsiTheme="minorHAnsi"/>
          <w:color w:val="000000"/>
          <w:sz w:val="22"/>
          <w:szCs w:val="22"/>
        </w:rPr>
      </w:pPr>
      <w:r w:rsidRPr="002B0DD9">
        <w:rPr>
          <w:rFonts w:asciiTheme="minorHAnsi" w:hAnsiTheme="minorHAnsi"/>
          <w:color w:val="000000"/>
          <w:sz w:val="22"/>
          <w:szCs w:val="22"/>
        </w:rPr>
        <w:t>Customer statement that the existing equipment is still in proper working condition and will continue to operate at least one year</w:t>
      </w: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The evidence below will be asked to be provided by the contractor or customer, but because it may not always be available, will not be a requirement for program participation:</w:t>
      </w:r>
    </w:p>
    <w:p w:rsidR="002B0DD9" w:rsidRPr="002B0DD9" w:rsidRDefault="002B0DD9" w:rsidP="002B0DD9">
      <w:pPr>
        <w:numPr>
          <w:ilvl w:val="1"/>
          <w:numId w:val="9"/>
        </w:numPr>
        <w:contextualSpacing/>
        <w:rPr>
          <w:rFonts w:asciiTheme="minorHAnsi" w:hAnsiTheme="minorHAnsi"/>
          <w:color w:val="000000"/>
          <w:sz w:val="22"/>
          <w:szCs w:val="22"/>
        </w:rPr>
      </w:pPr>
      <w:r w:rsidRPr="002B0DD9">
        <w:rPr>
          <w:rFonts w:asciiTheme="minorHAnsi" w:hAnsiTheme="minorHAnsi"/>
          <w:color w:val="000000"/>
          <w:sz w:val="22"/>
          <w:szCs w:val="22"/>
        </w:rPr>
        <w:t>Make, model and serial number of existing equipment</w:t>
      </w:r>
    </w:p>
    <w:p w:rsidR="002B0DD9" w:rsidRPr="002B0DD9" w:rsidRDefault="002B0DD9" w:rsidP="002B0DD9">
      <w:pPr>
        <w:numPr>
          <w:ilvl w:val="1"/>
          <w:numId w:val="9"/>
        </w:numPr>
        <w:contextualSpacing/>
        <w:rPr>
          <w:rFonts w:asciiTheme="minorHAnsi" w:hAnsiTheme="minorHAnsi"/>
          <w:color w:val="000000"/>
          <w:sz w:val="22"/>
          <w:szCs w:val="22"/>
        </w:rPr>
      </w:pPr>
      <w:r w:rsidRPr="002B0DD9">
        <w:rPr>
          <w:rFonts w:asciiTheme="minorHAnsi" w:hAnsiTheme="minorHAnsi"/>
          <w:color w:val="000000"/>
          <w:sz w:val="22"/>
          <w:szCs w:val="22"/>
        </w:rPr>
        <w:t>Records of ongoing equipment maintenance and performance</w:t>
      </w:r>
    </w:p>
    <w:p w:rsidR="002B0DD9" w:rsidRPr="002B0DD9" w:rsidRDefault="002B0DD9" w:rsidP="002B0DD9">
      <w:pPr>
        <w:numPr>
          <w:ilvl w:val="1"/>
          <w:numId w:val="9"/>
        </w:numPr>
        <w:contextualSpacing/>
        <w:rPr>
          <w:rFonts w:asciiTheme="minorHAnsi" w:hAnsiTheme="minorHAnsi"/>
          <w:color w:val="000000"/>
          <w:sz w:val="22"/>
          <w:szCs w:val="22"/>
        </w:rPr>
      </w:pPr>
      <w:r w:rsidRPr="002B0DD9">
        <w:rPr>
          <w:rFonts w:asciiTheme="minorHAnsi" w:hAnsiTheme="minorHAnsi"/>
          <w:color w:val="000000"/>
          <w:sz w:val="22"/>
          <w:szCs w:val="22"/>
        </w:rPr>
        <w:t>Existing equipment installation dates and invoices</w:t>
      </w:r>
    </w:p>
    <w:p w:rsidR="002B0DD9" w:rsidRPr="002B0DD9" w:rsidRDefault="002B0DD9" w:rsidP="002B0DD9">
      <w:pPr>
        <w:numPr>
          <w:ilvl w:val="0"/>
          <w:numId w:val="9"/>
        </w:numPr>
        <w:contextualSpacing/>
        <w:rPr>
          <w:rFonts w:asciiTheme="minorHAnsi" w:hAnsiTheme="minorHAnsi"/>
          <w:color w:val="000000"/>
          <w:sz w:val="22"/>
          <w:szCs w:val="22"/>
        </w:rPr>
      </w:pPr>
      <w:r w:rsidRPr="002B0DD9">
        <w:rPr>
          <w:rFonts w:asciiTheme="minorHAnsi" w:hAnsiTheme="minorHAnsi"/>
          <w:color w:val="000000"/>
          <w:sz w:val="22"/>
          <w:szCs w:val="22"/>
        </w:rPr>
        <w:t xml:space="preserve">The above evidence, any other evidence, and the sampling rate of this evidence, will be used to demonstrate the preponderance of evidence of program-induced early retirement </w:t>
      </w:r>
      <w:r w:rsidRPr="002B0DD9">
        <w:rPr>
          <w:rFonts w:asciiTheme="minorHAnsi" w:hAnsiTheme="minorHAnsi"/>
          <w:color w:val="000000"/>
          <w:sz w:val="22"/>
          <w:szCs w:val="22"/>
        </w:rPr>
        <w:lastRenderedPageBreak/>
        <w:t xml:space="preserve">through ongoing EM&amp;V coordination. Other evidence may include emails, notes, and customer statements that help demonstrate evidence of how the early retirement program accelerated the early retirement of the existing unit and if any additional drivers other than energy efficiency helped influence the decision for early retirement. </w:t>
      </w:r>
    </w:p>
    <w:p w:rsidR="002B0DD9" w:rsidRDefault="002B0DD9" w:rsidP="002B0DD9">
      <w:pPr>
        <w:rPr>
          <w:rFonts w:ascii="Calibri" w:hAnsi="Calibri" w:cs="Calibri"/>
          <w:b/>
          <w:sz w:val="22"/>
        </w:rPr>
      </w:pPr>
    </w:p>
    <w:p w:rsidR="002B0DD9" w:rsidRPr="002B0DD9" w:rsidRDefault="002B0DD9" w:rsidP="002B0DD9">
      <w:pPr>
        <w:rPr>
          <w:rFonts w:ascii="Calibri" w:hAnsi="Calibri" w:cs="Calibri"/>
          <w:b/>
          <w:sz w:val="22"/>
        </w:rPr>
      </w:pPr>
      <w:r w:rsidRPr="002B0DD9">
        <w:rPr>
          <w:rFonts w:ascii="Calibri" w:hAnsi="Calibri" w:cs="Calibri"/>
          <w:b/>
          <w:sz w:val="22"/>
        </w:rPr>
        <w:t>Efficiency Requirements</w:t>
      </w:r>
    </w:p>
    <w:p w:rsidR="002B0DD9" w:rsidRPr="002B0DD9" w:rsidRDefault="002B0DD9" w:rsidP="002B0DD9">
      <w:pPr>
        <w:rPr>
          <w:rFonts w:ascii="Calibri" w:hAnsi="Calibri" w:cs="Calibri"/>
          <w:sz w:val="22"/>
        </w:rPr>
      </w:pPr>
      <w:r w:rsidRPr="002B0DD9">
        <w:rPr>
          <w:rFonts w:ascii="Calibri" w:hAnsi="Calibri" w:cs="Calibri"/>
          <w:sz w:val="22"/>
        </w:rPr>
        <w:t xml:space="preserve">The minimum tier efficiency requirements are listed in </w:t>
      </w:r>
      <w:r w:rsidRPr="002B0DD9">
        <w:rPr>
          <w:rFonts w:ascii="Calibri" w:hAnsi="Calibri" w:cs="Calibri"/>
          <w:sz w:val="22"/>
        </w:rPr>
        <w:fldChar w:fldCharType="begin"/>
      </w:r>
      <w:r w:rsidRPr="002B0DD9">
        <w:rPr>
          <w:rFonts w:ascii="Calibri" w:hAnsi="Calibri" w:cs="Calibri"/>
          <w:sz w:val="22"/>
        </w:rPr>
        <w:instrText xml:space="preserve"> REF _Ref389640366 \h </w:instrText>
      </w:r>
      <w:r w:rsidRPr="002B0DD9">
        <w:rPr>
          <w:rFonts w:ascii="Calibri" w:hAnsi="Calibri" w:cs="Calibri"/>
          <w:sz w:val="22"/>
        </w:rPr>
      </w:r>
      <w:r w:rsidRPr="002B0DD9">
        <w:rPr>
          <w:rFonts w:ascii="Calibri" w:hAnsi="Calibri" w:cs="Calibri"/>
          <w:sz w:val="22"/>
        </w:rPr>
        <w:fldChar w:fldCharType="separate"/>
      </w:r>
      <w:r w:rsidRPr="002B0DD9">
        <w:rPr>
          <w:rFonts w:ascii="Calibri" w:hAnsi="Calibri" w:cs="Calibri"/>
          <w:sz w:val="22"/>
        </w:rPr>
        <w:t>Table 2</w:t>
      </w:r>
      <w:r w:rsidRPr="002B0DD9">
        <w:rPr>
          <w:rFonts w:ascii="Calibri" w:hAnsi="Calibri" w:cs="Calibri"/>
          <w:sz w:val="22"/>
        </w:rPr>
        <w:fldChar w:fldCharType="end"/>
      </w:r>
      <w:r w:rsidRPr="002B0DD9">
        <w:rPr>
          <w:rFonts w:ascii="Calibri" w:hAnsi="Calibri" w:cs="Calibri"/>
          <w:sz w:val="22"/>
        </w:rPr>
        <w:t>. Tier 1 and 2 specifications are derived from the Tier 1 and 2 CEE Commercial Unitary Air Conditioner Specifications. Tiers 3, 4, and 5 have been added to promote higher efficiency units offered by the HVAC industry.</w:t>
      </w:r>
    </w:p>
    <w:p w:rsidR="002B0DD9" w:rsidRPr="002B0DD9" w:rsidRDefault="002B0DD9" w:rsidP="002B0DD9">
      <w:pPr>
        <w:rPr>
          <w:rFonts w:ascii="Calibri" w:hAnsi="Calibri" w:cs="Calibri"/>
          <w:sz w:val="22"/>
        </w:rPr>
      </w:pPr>
    </w:p>
    <w:p w:rsidR="002B0DD9" w:rsidRPr="002B0DD9" w:rsidRDefault="002B0DD9" w:rsidP="002B0DD9">
      <w:pPr>
        <w:keepNext/>
        <w:jc w:val="center"/>
        <w:rPr>
          <w:rFonts w:ascii="Calibri" w:hAnsi="Calibri" w:cs="Calibri"/>
          <w:b/>
          <w:bCs/>
          <w:sz w:val="22"/>
          <w:szCs w:val="3276"/>
        </w:rPr>
      </w:pPr>
      <w:bookmarkStart w:id="9" w:name="_Ref389640366"/>
      <w:r w:rsidRPr="002B0DD9">
        <w:rPr>
          <w:rFonts w:ascii="Calibri" w:hAnsi="Calibri" w:cs="Calibri"/>
          <w:b/>
          <w:bCs/>
          <w:sz w:val="22"/>
          <w:szCs w:val="3276"/>
        </w:rPr>
        <w:t xml:space="preserve">Table </w:t>
      </w:r>
      <w:r w:rsidRPr="002B0DD9">
        <w:rPr>
          <w:rFonts w:ascii="Calibri" w:hAnsi="Calibri" w:cs="Calibri"/>
          <w:b/>
          <w:bCs/>
          <w:sz w:val="22"/>
          <w:szCs w:val="3276"/>
        </w:rPr>
        <w:fldChar w:fldCharType="begin"/>
      </w:r>
      <w:r w:rsidRPr="002B0DD9">
        <w:rPr>
          <w:rFonts w:ascii="Calibri" w:hAnsi="Calibri" w:cs="Calibri"/>
          <w:b/>
          <w:bCs/>
          <w:sz w:val="22"/>
          <w:szCs w:val="3276"/>
        </w:rPr>
        <w:instrText xml:space="preserve"> SEQ Table \* ARABIC </w:instrText>
      </w:r>
      <w:r w:rsidRPr="002B0DD9">
        <w:rPr>
          <w:rFonts w:ascii="Calibri" w:hAnsi="Calibri" w:cs="Calibri"/>
          <w:b/>
          <w:bCs/>
          <w:sz w:val="22"/>
          <w:szCs w:val="3276"/>
        </w:rPr>
        <w:fldChar w:fldCharType="separate"/>
      </w:r>
      <w:r w:rsidRPr="002B0DD9">
        <w:rPr>
          <w:rFonts w:ascii="Calibri" w:hAnsi="Calibri" w:cs="Calibri"/>
          <w:b/>
          <w:bCs/>
          <w:noProof/>
          <w:sz w:val="22"/>
          <w:szCs w:val="3276"/>
        </w:rPr>
        <w:t>2</w:t>
      </w:r>
      <w:r w:rsidRPr="002B0DD9">
        <w:rPr>
          <w:rFonts w:ascii="Calibri" w:hAnsi="Calibri" w:cs="Calibri"/>
          <w:b/>
          <w:bCs/>
          <w:sz w:val="22"/>
          <w:szCs w:val="3276"/>
        </w:rPr>
        <w:fldChar w:fldCharType="end"/>
      </w:r>
      <w:bookmarkEnd w:id="9"/>
      <w:r w:rsidRPr="002B0DD9">
        <w:rPr>
          <w:rFonts w:ascii="Calibri" w:hAnsi="Calibri" w:cs="Calibri"/>
          <w:b/>
          <w:bCs/>
          <w:sz w:val="22"/>
          <w:szCs w:val="3276"/>
        </w:rPr>
        <w:t xml:space="preserve"> Minimum Efficiency Requirements</w:t>
      </w:r>
    </w:p>
    <w:tbl>
      <w:tblPr>
        <w:tblStyle w:val="TableContemporary2"/>
        <w:tblW w:w="0" w:type="auto"/>
        <w:jc w:val="center"/>
        <w:tblInd w:w="-916" w:type="dxa"/>
        <w:tblLook w:val="01E0" w:firstRow="1" w:lastRow="1" w:firstColumn="1" w:lastColumn="1" w:noHBand="0" w:noVBand="0"/>
      </w:tblPr>
      <w:tblGrid>
        <w:gridCol w:w="2356"/>
        <w:gridCol w:w="1440"/>
        <w:gridCol w:w="1440"/>
        <w:gridCol w:w="1440"/>
      </w:tblGrid>
      <w:tr w:rsidR="002B0DD9" w:rsidRPr="002B0DD9" w:rsidTr="002B0DD9">
        <w:trPr>
          <w:cnfStyle w:val="100000000000" w:firstRow="1" w:lastRow="0" w:firstColumn="0" w:lastColumn="0" w:oddVBand="0" w:evenVBand="0" w:oddHBand="0" w:evenHBand="0" w:firstRowFirstColumn="0" w:firstRowLastColumn="0" w:lastRowFirstColumn="0" w:lastRowLastColumn="0"/>
          <w:trHeight w:val="513"/>
          <w:jc w:val="center"/>
        </w:trPr>
        <w:tc>
          <w:tcPr>
            <w:tcW w:w="2356" w:type="dxa"/>
          </w:tcPr>
          <w:p w:rsidR="002B0DD9" w:rsidRPr="002B0DD9" w:rsidRDefault="002B0DD9" w:rsidP="002B0DD9">
            <w:pPr>
              <w:jc w:val="center"/>
              <w:rPr>
                <w:rFonts w:ascii="Calibri" w:hAnsi="Calibri" w:cs="Calibri"/>
                <w:b w:val="0"/>
                <w:bCs w:val="0"/>
                <w:sz w:val="20"/>
                <w:szCs w:val="20"/>
              </w:rPr>
            </w:pPr>
          </w:p>
        </w:tc>
        <w:tc>
          <w:tcPr>
            <w:tcW w:w="1440" w:type="dxa"/>
          </w:tcPr>
          <w:p w:rsidR="002B0DD9" w:rsidRPr="002B0DD9" w:rsidRDefault="002B0DD9" w:rsidP="002B0DD9">
            <w:pPr>
              <w:jc w:val="center"/>
              <w:rPr>
                <w:rFonts w:ascii="Calibri" w:hAnsi="Calibri" w:cs="Calibri"/>
                <w:b w:val="0"/>
                <w:bCs w:val="0"/>
                <w:sz w:val="20"/>
                <w:szCs w:val="20"/>
              </w:rPr>
            </w:pPr>
            <w:r w:rsidRPr="002B0DD9">
              <w:rPr>
                <w:rFonts w:ascii="Calibri" w:hAnsi="Calibri" w:cs="Calibri"/>
                <w:sz w:val="20"/>
                <w:szCs w:val="20"/>
              </w:rPr>
              <w:t>Program Tier</w:t>
            </w:r>
          </w:p>
        </w:tc>
        <w:tc>
          <w:tcPr>
            <w:tcW w:w="1440" w:type="dxa"/>
          </w:tcPr>
          <w:p w:rsidR="002B0DD9" w:rsidRPr="002B0DD9" w:rsidRDefault="002B0DD9" w:rsidP="002B0DD9">
            <w:pPr>
              <w:jc w:val="center"/>
              <w:rPr>
                <w:rFonts w:ascii="Calibri" w:hAnsi="Calibri" w:cs="Calibri"/>
                <w:b w:val="0"/>
                <w:bCs w:val="0"/>
                <w:sz w:val="20"/>
                <w:szCs w:val="20"/>
              </w:rPr>
            </w:pPr>
            <w:r w:rsidRPr="002B0DD9">
              <w:rPr>
                <w:rFonts w:ascii="Calibri" w:hAnsi="Calibri" w:cs="Calibri"/>
                <w:sz w:val="20"/>
                <w:szCs w:val="20"/>
              </w:rPr>
              <w:t>Minimum SEER</w:t>
            </w:r>
          </w:p>
        </w:tc>
        <w:tc>
          <w:tcPr>
            <w:tcW w:w="1440" w:type="dxa"/>
          </w:tcPr>
          <w:p w:rsidR="002B0DD9" w:rsidRPr="002B0DD9" w:rsidRDefault="002B0DD9" w:rsidP="002B0DD9">
            <w:pPr>
              <w:jc w:val="center"/>
              <w:rPr>
                <w:rFonts w:ascii="Calibri" w:hAnsi="Calibri" w:cs="Calibri"/>
                <w:b w:val="0"/>
                <w:bCs w:val="0"/>
                <w:sz w:val="20"/>
                <w:szCs w:val="20"/>
              </w:rPr>
            </w:pPr>
            <w:r w:rsidRPr="002B0DD9">
              <w:rPr>
                <w:rFonts w:ascii="Calibri" w:hAnsi="Calibri" w:cs="Calibri"/>
                <w:sz w:val="20"/>
                <w:szCs w:val="20"/>
              </w:rPr>
              <w:t>Minimum EER</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val="restart"/>
          </w:tcPr>
          <w:p w:rsidR="002B0DD9" w:rsidRPr="002B0DD9" w:rsidRDefault="002B0DD9" w:rsidP="002B0DD9">
            <w:pPr>
              <w:jc w:val="center"/>
              <w:rPr>
                <w:rFonts w:ascii="Calibri" w:hAnsi="Calibri" w:cs="Calibri"/>
                <w:b/>
                <w:sz w:val="20"/>
                <w:szCs w:val="20"/>
              </w:rPr>
            </w:pPr>
            <w:r w:rsidRPr="002B0DD9">
              <w:rPr>
                <w:rFonts w:ascii="Calibri" w:hAnsi="Calibri" w:cs="Calibri"/>
                <w:b/>
                <w:sz w:val="20"/>
                <w:szCs w:val="20"/>
              </w:rPr>
              <w:t>Packaged Air Conditioner</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Min. Title 24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10.8</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1</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11.6</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2</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15.0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3</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16.0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12.4</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17.0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18.0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val="restart"/>
          </w:tcPr>
          <w:p w:rsidR="002B0DD9" w:rsidRPr="002B0DD9" w:rsidRDefault="002B0DD9" w:rsidP="002B0DD9">
            <w:pPr>
              <w:jc w:val="center"/>
              <w:rPr>
                <w:rFonts w:ascii="Calibri" w:hAnsi="Calibri" w:cs="Calibri"/>
                <w:b/>
                <w:sz w:val="20"/>
                <w:szCs w:val="20"/>
              </w:rPr>
            </w:pPr>
            <w:r w:rsidRPr="002B0DD9">
              <w:rPr>
                <w:rFonts w:ascii="Calibri" w:hAnsi="Calibri" w:cs="Calibri"/>
                <w:b/>
                <w:sz w:val="20"/>
                <w:szCs w:val="20"/>
              </w:rPr>
              <w:t>Split System Air Conditioner</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Min. Title 24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10.8</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1</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2</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15.0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12.5</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3</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16.0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17.0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13.5</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18.0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val="restart"/>
          </w:tcPr>
          <w:p w:rsidR="002B0DD9" w:rsidRPr="002B0DD9" w:rsidRDefault="002B0DD9" w:rsidP="002B0DD9">
            <w:pPr>
              <w:jc w:val="center"/>
              <w:rPr>
                <w:rFonts w:ascii="Calibri" w:hAnsi="Calibri" w:cs="Calibri"/>
                <w:b/>
                <w:sz w:val="20"/>
                <w:szCs w:val="20"/>
              </w:rPr>
            </w:pPr>
            <w:r w:rsidRPr="002B0DD9">
              <w:rPr>
                <w:rFonts w:ascii="Calibri" w:hAnsi="Calibri" w:cs="Calibri"/>
                <w:b/>
                <w:sz w:val="20"/>
                <w:szCs w:val="20"/>
              </w:rPr>
              <w:t>Packaged Air Cooled Heat Pump</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Min. Title 24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10.8</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1</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11.6</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2</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15.0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3</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16.0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12.4</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17.0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b/>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18.0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val="restart"/>
          </w:tcPr>
          <w:p w:rsidR="002B0DD9" w:rsidRPr="002B0DD9" w:rsidRDefault="002B0DD9" w:rsidP="002B0DD9">
            <w:pPr>
              <w:jc w:val="center"/>
              <w:rPr>
                <w:rFonts w:ascii="Calibri" w:hAnsi="Calibri" w:cs="Calibri"/>
                <w:b/>
                <w:sz w:val="20"/>
                <w:szCs w:val="20"/>
              </w:rPr>
            </w:pPr>
            <w:r w:rsidRPr="002B0DD9">
              <w:rPr>
                <w:rFonts w:ascii="Calibri" w:hAnsi="Calibri" w:cs="Calibri"/>
                <w:b/>
                <w:sz w:val="20"/>
                <w:szCs w:val="20"/>
              </w:rPr>
              <w:t>Split System Air Cooled Heat Pump</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Min. Title 24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10.8</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1</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2</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15.0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12.5</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3</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16.0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4</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17.0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13.5</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356" w:type="dxa"/>
            <w:vMerge/>
          </w:tcPr>
          <w:p w:rsidR="002B0DD9" w:rsidRPr="002B0DD9" w:rsidRDefault="002B0DD9" w:rsidP="002B0DD9">
            <w:pPr>
              <w:jc w:val="center"/>
              <w:rPr>
                <w:rFonts w:ascii="Calibri" w:hAnsi="Calibri" w:cs="Calibri"/>
                <w:sz w:val="20"/>
                <w:szCs w:val="20"/>
              </w:rPr>
            </w:pP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Tier 5</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18.0</w:t>
            </w:r>
          </w:p>
        </w:tc>
        <w:tc>
          <w:tcPr>
            <w:tcW w:w="144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14.0</w:t>
            </w:r>
          </w:p>
        </w:tc>
      </w:tr>
    </w:tbl>
    <w:p w:rsidR="002B0DD9" w:rsidRPr="002B0DD9" w:rsidRDefault="002B0DD9" w:rsidP="002B0DD9">
      <w:pPr>
        <w:rPr>
          <w:rFonts w:ascii="Calibri" w:hAnsi="Calibri" w:cs="Calibri"/>
          <w:sz w:val="22"/>
        </w:rPr>
      </w:pPr>
    </w:p>
    <w:p w:rsidR="002B0DD9" w:rsidRPr="002B0DD9" w:rsidRDefault="002B0DD9" w:rsidP="002B0DD9">
      <w:pPr>
        <w:rPr>
          <w:rFonts w:ascii="Calibri" w:hAnsi="Calibri" w:cs="Calibri"/>
          <w:sz w:val="22"/>
        </w:rPr>
      </w:pPr>
      <w:r w:rsidRPr="002B0DD9">
        <w:rPr>
          <w:rFonts w:ascii="Calibri" w:hAnsi="Calibri" w:cs="Calibri"/>
          <w:sz w:val="22"/>
        </w:rPr>
        <w:t xml:space="preserve">In order to qualify for the program, units must meet either the SEER or EER requirement; units are not required to meet both specifications.  </w:t>
      </w:r>
    </w:p>
    <w:p w:rsidR="002B0DD9" w:rsidRPr="002B0DD9" w:rsidRDefault="002B0DD9" w:rsidP="002B0DD9">
      <w:pPr>
        <w:rPr>
          <w:rFonts w:ascii="Calibri" w:hAnsi="Calibri" w:cs="Calibri"/>
          <w:sz w:val="22"/>
        </w:rPr>
      </w:pPr>
    </w:p>
    <w:p w:rsidR="002B0DD9" w:rsidRPr="002B0DD9" w:rsidRDefault="002B0DD9" w:rsidP="002B0DD9">
      <w:pPr>
        <w:rPr>
          <w:rFonts w:ascii="Calibri" w:hAnsi="Calibri" w:cs="Calibri"/>
          <w:b/>
          <w:sz w:val="22"/>
        </w:rPr>
      </w:pPr>
      <w:r w:rsidRPr="002B0DD9">
        <w:rPr>
          <w:rFonts w:ascii="Calibri" w:hAnsi="Calibri" w:cs="Calibri"/>
          <w:b/>
          <w:sz w:val="22"/>
        </w:rPr>
        <w:lastRenderedPageBreak/>
        <w:t>Eligibility Requirements</w:t>
      </w:r>
    </w:p>
    <w:p w:rsidR="002B0DD9" w:rsidRPr="002B0DD9" w:rsidRDefault="002B0DD9" w:rsidP="002B0DD9">
      <w:pPr>
        <w:numPr>
          <w:ilvl w:val="0"/>
          <w:numId w:val="10"/>
        </w:numPr>
        <w:contextualSpacing/>
        <w:rPr>
          <w:rFonts w:ascii="Calibri" w:hAnsi="Calibri" w:cs="Calibri"/>
          <w:sz w:val="22"/>
        </w:rPr>
      </w:pPr>
      <w:r w:rsidRPr="002B0DD9">
        <w:rPr>
          <w:rFonts w:ascii="Calibri" w:hAnsi="Calibri" w:cs="Calibri"/>
          <w:sz w:val="22"/>
        </w:rPr>
        <w:t>All unitary DX equipment is eligible. Central systems and DHW systems are not eligible.</w:t>
      </w:r>
    </w:p>
    <w:p w:rsidR="002B0DD9" w:rsidRPr="002B0DD9" w:rsidRDefault="002B0DD9" w:rsidP="002B0DD9">
      <w:pPr>
        <w:numPr>
          <w:ilvl w:val="0"/>
          <w:numId w:val="10"/>
        </w:numPr>
        <w:contextualSpacing/>
        <w:rPr>
          <w:rFonts w:ascii="Calibri" w:hAnsi="Calibri" w:cs="Calibri"/>
          <w:sz w:val="22"/>
        </w:rPr>
      </w:pPr>
      <w:r w:rsidRPr="002B0DD9">
        <w:rPr>
          <w:rFonts w:ascii="Calibri" w:hAnsi="Calibri" w:cs="Calibri"/>
          <w:sz w:val="22"/>
        </w:rPr>
        <w:t xml:space="preserve">Replacement must be like for like: HP for HP; AC-only for AC-only. </w:t>
      </w:r>
    </w:p>
    <w:p w:rsidR="002B0DD9" w:rsidRPr="002B0DD9" w:rsidRDefault="002B0DD9" w:rsidP="002B0DD9">
      <w:pPr>
        <w:numPr>
          <w:ilvl w:val="0"/>
          <w:numId w:val="10"/>
        </w:numPr>
        <w:contextualSpacing/>
        <w:rPr>
          <w:rFonts w:ascii="Calibri" w:hAnsi="Calibri" w:cs="Calibri"/>
          <w:sz w:val="22"/>
        </w:rPr>
      </w:pPr>
      <w:r w:rsidRPr="002B0DD9">
        <w:rPr>
          <w:rFonts w:ascii="Calibri" w:hAnsi="Calibri" w:cs="Calibri"/>
          <w:sz w:val="22"/>
        </w:rPr>
        <w:t>Specifically under the Early Retirement program applicability, only contractors actively participating in the HVAC Optimization Program are allowed to participate in this Program.  Part of the application process will include verification procedures for ensuring that equipment is installed and operational.</w:t>
      </w:r>
    </w:p>
    <w:p w:rsidR="002B0DD9" w:rsidRPr="002B0DD9" w:rsidRDefault="002B0DD9" w:rsidP="002B0DD9">
      <w:pPr>
        <w:numPr>
          <w:ilvl w:val="0"/>
          <w:numId w:val="10"/>
        </w:numPr>
        <w:contextualSpacing/>
        <w:rPr>
          <w:rFonts w:ascii="Calibri" w:hAnsi="Calibri" w:cs="Calibri"/>
          <w:sz w:val="22"/>
        </w:rPr>
      </w:pPr>
      <w:r w:rsidRPr="002B0DD9">
        <w:rPr>
          <w:rFonts w:ascii="Calibri" w:hAnsi="Calibri" w:cs="Calibri"/>
          <w:sz w:val="22"/>
        </w:rPr>
        <w:t xml:space="preserve">Retrofitted HVAC equipment must have cooling capacity (e.g., Btu/h) within +/- 5% of existing equipment OR contractor must provide a load calculation verifying that the new unit is sized correctly for the load.   </w:t>
      </w:r>
    </w:p>
    <w:p w:rsidR="002B0DD9" w:rsidRPr="002B0DD9" w:rsidRDefault="002B0DD9" w:rsidP="002B0DD9">
      <w:pPr>
        <w:numPr>
          <w:ilvl w:val="0"/>
          <w:numId w:val="10"/>
        </w:numPr>
        <w:spacing w:before="40" w:after="40"/>
        <w:rPr>
          <w:rFonts w:ascii="Calibri" w:hAnsi="Calibri" w:cs="Calibri"/>
          <w:sz w:val="22"/>
        </w:rPr>
      </w:pPr>
      <w:r w:rsidRPr="002B0DD9">
        <w:rPr>
          <w:rFonts w:ascii="Calibri" w:hAnsi="Calibri" w:cs="Calibri"/>
          <w:sz w:val="22"/>
        </w:rPr>
        <w:t>All non-residential building types and vintages are eligible for the upstream rebate.</w:t>
      </w:r>
    </w:p>
    <w:p w:rsidR="00E16609" w:rsidRPr="002B0DD9" w:rsidRDefault="00824F1C" w:rsidP="002B0DD9">
      <w:pPr>
        <w:pStyle w:val="Heading3"/>
        <w:rPr>
          <w:rFonts w:asciiTheme="minorHAnsi" w:hAnsiTheme="minorHAnsi" w:cstheme="minorHAnsi"/>
        </w:rPr>
      </w:pPr>
      <w:bookmarkStart w:id="10" w:name="_Toc214003084"/>
      <w:r>
        <w:rPr>
          <w:rFonts w:asciiTheme="minorHAnsi" w:hAnsiTheme="minorHAnsi" w:cstheme="minorHAnsi"/>
        </w:rPr>
        <w:t xml:space="preserve">1.2  </w:t>
      </w:r>
      <w:r w:rsidR="00E16609" w:rsidRPr="000F130A">
        <w:rPr>
          <w:rFonts w:asciiTheme="minorHAnsi" w:hAnsiTheme="minorHAnsi" w:cstheme="minorHAnsi"/>
        </w:rPr>
        <w:t>DEER Differences Analysis</w:t>
      </w:r>
      <w:bookmarkEnd w:id="10"/>
    </w:p>
    <w:p w:rsidR="002B0DD9" w:rsidRPr="002B0DD9" w:rsidRDefault="002B0DD9" w:rsidP="002B0DD9">
      <w:pPr>
        <w:rPr>
          <w:rFonts w:ascii="Calibri" w:hAnsi="Calibri" w:cs="Calibri"/>
          <w:sz w:val="22"/>
        </w:rPr>
      </w:pPr>
      <w:r w:rsidRPr="002B0DD9">
        <w:rPr>
          <w:rFonts w:ascii="Calibri" w:hAnsi="Calibri" w:cs="Calibri"/>
          <w:sz w:val="22"/>
        </w:rPr>
        <w:t>The Database for Energy Efficient Resources (DEER</w:t>
      </w:r>
      <w:r w:rsidRPr="002B0DD9">
        <w:rPr>
          <w:rFonts w:ascii="Calibri" w:hAnsi="Calibri" w:cs="Calibri"/>
          <w:sz w:val="22"/>
        </w:rPr>
        <w:fldChar w:fldCharType="begin"/>
      </w:r>
      <w:r w:rsidRPr="002B0DD9">
        <w:rPr>
          <w:rFonts w:ascii="Calibri" w:hAnsi="Calibri" w:cs="Calibri"/>
          <w:sz w:val="22"/>
        </w:rPr>
        <w:instrText xml:space="preserve"> XE "DEER" </w:instrText>
      </w:r>
      <w:r w:rsidRPr="002B0DD9">
        <w:rPr>
          <w:rFonts w:ascii="Calibri" w:hAnsi="Calibri" w:cs="Calibri"/>
          <w:sz w:val="22"/>
        </w:rPr>
        <w:fldChar w:fldCharType="end"/>
      </w:r>
      <w:r w:rsidRPr="002B0DD9">
        <w:rPr>
          <w:rFonts w:ascii="Calibri" w:hAnsi="Calibri" w:cs="Calibri"/>
          <w:sz w:val="22"/>
        </w:rPr>
        <w:t xml:space="preserve">) Version 2014 includes measure for split and packaged commercial AC units &lt;55 </w:t>
      </w:r>
      <w:proofErr w:type="spellStart"/>
      <w:r w:rsidRPr="002B0DD9">
        <w:rPr>
          <w:rFonts w:ascii="Calibri" w:hAnsi="Calibri" w:cs="Calibri"/>
          <w:sz w:val="22"/>
        </w:rPr>
        <w:t>kBtu</w:t>
      </w:r>
      <w:proofErr w:type="spellEnd"/>
      <w:r w:rsidRPr="002B0DD9">
        <w:rPr>
          <w:rFonts w:ascii="Calibri" w:hAnsi="Calibri" w:cs="Calibri"/>
          <w:sz w:val="22"/>
        </w:rPr>
        <w:t xml:space="preserve">/h and 55-64 </w:t>
      </w:r>
      <w:proofErr w:type="spellStart"/>
      <w:r w:rsidRPr="002B0DD9">
        <w:rPr>
          <w:rFonts w:ascii="Calibri" w:hAnsi="Calibri" w:cs="Calibri"/>
          <w:sz w:val="22"/>
        </w:rPr>
        <w:t>kBtu</w:t>
      </w:r>
      <w:proofErr w:type="spellEnd"/>
      <w:r w:rsidRPr="002B0DD9">
        <w:rPr>
          <w:rFonts w:ascii="Calibri" w:hAnsi="Calibri" w:cs="Calibri"/>
          <w:sz w:val="22"/>
        </w:rPr>
        <w:t xml:space="preserve">/h up to 14 SEER, but not 15, 16, 17, or 18 SEER. DEER also contains 14 and 15 SEER packaged heat pumps and 14.5 and 15 SEER split heat pumps &lt;55 </w:t>
      </w:r>
      <w:proofErr w:type="spellStart"/>
      <w:r w:rsidRPr="002B0DD9">
        <w:rPr>
          <w:rFonts w:ascii="Calibri" w:hAnsi="Calibri" w:cs="Calibri"/>
          <w:sz w:val="22"/>
        </w:rPr>
        <w:t>kBtu</w:t>
      </w:r>
      <w:proofErr w:type="spellEnd"/>
      <w:r w:rsidRPr="002B0DD9">
        <w:rPr>
          <w:rFonts w:ascii="Calibri" w:hAnsi="Calibri" w:cs="Calibri"/>
          <w:sz w:val="22"/>
        </w:rPr>
        <w:t xml:space="preserve">/h or 55-64 </w:t>
      </w:r>
      <w:proofErr w:type="spellStart"/>
      <w:r w:rsidRPr="002B0DD9">
        <w:rPr>
          <w:rFonts w:ascii="Calibri" w:hAnsi="Calibri" w:cs="Calibri"/>
          <w:sz w:val="22"/>
        </w:rPr>
        <w:t>kBtu</w:t>
      </w:r>
      <w:proofErr w:type="spellEnd"/>
      <w:r w:rsidRPr="002B0DD9">
        <w:rPr>
          <w:rFonts w:ascii="Calibri" w:hAnsi="Calibri" w:cs="Calibri"/>
          <w:sz w:val="22"/>
        </w:rPr>
        <w:t xml:space="preserve">/h, but it does not contain 15, 16, 17, or 18 SEER heat pumps. These DEER measures were scaled to estimate savings for 15, 16, 17 and 18 SEER savings. </w:t>
      </w:r>
    </w:p>
    <w:p w:rsidR="002B0DD9" w:rsidRDefault="002B0DD9" w:rsidP="002B0DD9">
      <w:pPr>
        <w:keepNext/>
        <w:jc w:val="center"/>
        <w:rPr>
          <w:rFonts w:asciiTheme="minorHAnsi" w:hAnsiTheme="minorHAnsi" w:cstheme="minorHAnsi"/>
          <w:b/>
          <w:bCs/>
          <w:sz w:val="22"/>
          <w:szCs w:val="22"/>
        </w:rPr>
      </w:pPr>
    </w:p>
    <w:p w:rsidR="002B0DD9" w:rsidRPr="002B0DD9" w:rsidRDefault="002B0DD9" w:rsidP="002B0DD9">
      <w:pPr>
        <w:keepNext/>
        <w:jc w:val="center"/>
        <w:rPr>
          <w:rFonts w:asciiTheme="minorHAnsi" w:hAnsiTheme="minorHAnsi" w:cstheme="minorHAnsi"/>
          <w:b/>
          <w:bCs/>
          <w:sz w:val="22"/>
          <w:szCs w:val="22"/>
        </w:rPr>
      </w:pPr>
      <w:r>
        <w:rPr>
          <w:rFonts w:asciiTheme="minorHAnsi" w:hAnsiTheme="minorHAnsi" w:cstheme="minorHAnsi"/>
          <w:b/>
          <w:bCs/>
          <w:sz w:val="22"/>
          <w:szCs w:val="22"/>
        </w:rPr>
        <w:t>Table 3</w:t>
      </w:r>
      <w:r w:rsidRPr="002B0DD9">
        <w:rPr>
          <w:rFonts w:asciiTheme="minorHAnsi" w:hAnsiTheme="minorHAnsi" w:cstheme="minorHAnsi"/>
          <w:b/>
          <w:bCs/>
          <w:sz w:val="22"/>
          <w:szCs w:val="22"/>
        </w:rPr>
        <w:t xml:space="preserve"> DEER Difference Summary</w:t>
      </w:r>
    </w:p>
    <w:tbl>
      <w:tblPr>
        <w:tblStyle w:val="TableContemporary3"/>
        <w:tblW w:w="0" w:type="auto"/>
        <w:jc w:val="center"/>
        <w:tblInd w:w="-4618" w:type="dxa"/>
        <w:tblLook w:val="04A0" w:firstRow="1" w:lastRow="0" w:firstColumn="1" w:lastColumn="0" w:noHBand="0" w:noVBand="1"/>
      </w:tblPr>
      <w:tblGrid>
        <w:gridCol w:w="3173"/>
        <w:gridCol w:w="5513"/>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2B0DD9" w:rsidRPr="002B0DD9" w:rsidRDefault="002B0DD9" w:rsidP="002B0DD9">
            <w:pPr>
              <w:jc w:val="center"/>
              <w:rPr>
                <w:rFonts w:asciiTheme="minorHAnsi" w:hAnsiTheme="minorHAnsi" w:cstheme="minorHAnsi"/>
                <w:color w:val="FF0000"/>
                <w:sz w:val="20"/>
                <w:szCs w:val="20"/>
              </w:rPr>
            </w:pPr>
            <w:r w:rsidRPr="002B0DD9">
              <w:rPr>
                <w:rFonts w:asciiTheme="minorHAnsi" w:hAnsiTheme="minorHAnsi" w:cstheme="minorHAnsi"/>
                <w:sz w:val="20"/>
                <w:szCs w:val="20"/>
              </w:rPr>
              <w:t>DEER Difference Summary Table</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Modified DEER Methodology</w:t>
            </w:r>
          </w:p>
        </w:tc>
        <w:tc>
          <w:tcPr>
            <w:tcW w:w="5513" w:type="dxa"/>
            <w:vAlign w:val="center"/>
          </w:tcPr>
          <w:p w:rsidR="002B0DD9" w:rsidRPr="002B0DD9" w:rsidRDefault="002B0DD9" w:rsidP="002B0DD9">
            <w:pPr>
              <w:jc w:val="center"/>
              <w:rPr>
                <w:rFonts w:asciiTheme="minorHAnsi" w:hAnsiTheme="minorHAnsi" w:cstheme="minorHAnsi"/>
                <w:b/>
                <w:sz w:val="20"/>
                <w:szCs w:val="20"/>
              </w:rPr>
            </w:pPr>
            <w:r w:rsidRPr="002B0DD9">
              <w:rPr>
                <w:rFonts w:asciiTheme="minorHAnsi" w:hAnsiTheme="minorHAnsi" w:cstheme="minorHAnsi"/>
                <w:sz w:val="20"/>
                <w:szCs w:val="20"/>
              </w:rPr>
              <w:t>Yes</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Scaled DEER Measure</w:t>
            </w:r>
          </w:p>
        </w:tc>
        <w:tc>
          <w:tcPr>
            <w:tcW w:w="5513" w:type="dxa"/>
            <w:vAlign w:val="center"/>
          </w:tcPr>
          <w:p w:rsidR="002B0DD9" w:rsidRPr="002B0DD9" w:rsidRDefault="002B0DD9" w:rsidP="002B0DD9">
            <w:pPr>
              <w:jc w:val="center"/>
              <w:rPr>
                <w:rFonts w:asciiTheme="minorHAnsi" w:hAnsiTheme="minorHAnsi" w:cstheme="minorHAnsi"/>
                <w:color w:val="FF0000"/>
                <w:sz w:val="20"/>
                <w:szCs w:val="20"/>
              </w:rPr>
            </w:pPr>
            <w:r w:rsidRPr="002B0DD9">
              <w:rPr>
                <w:rFonts w:asciiTheme="minorHAnsi" w:hAnsiTheme="minorHAnsi" w:cstheme="minorHAnsi"/>
                <w:sz w:val="20"/>
                <w:szCs w:val="20"/>
              </w:rPr>
              <w:t>Yes</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DEER Building Prototypes Used</w:t>
            </w:r>
          </w:p>
        </w:tc>
        <w:tc>
          <w:tcPr>
            <w:tcW w:w="5513" w:type="dxa"/>
            <w:vAlign w:val="center"/>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No</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Deviation from DEER</w:t>
            </w:r>
          </w:p>
        </w:tc>
        <w:tc>
          <w:tcPr>
            <w:tcW w:w="5513" w:type="dxa"/>
            <w:vAlign w:val="center"/>
          </w:tcPr>
          <w:p w:rsidR="002B0DD9" w:rsidRPr="002B0DD9" w:rsidRDefault="002B0DD9" w:rsidP="002B0DD9">
            <w:pPr>
              <w:jc w:val="center"/>
              <w:rPr>
                <w:rFonts w:asciiTheme="minorHAnsi" w:hAnsiTheme="minorHAnsi" w:cstheme="minorHAnsi"/>
                <w:color w:val="FF0000"/>
                <w:sz w:val="20"/>
                <w:szCs w:val="20"/>
              </w:rPr>
            </w:pPr>
            <w:r w:rsidRPr="002B0DD9">
              <w:rPr>
                <w:rFonts w:ascii="Calibri" w:hAnsi="Calibri" w:cs="Calibri"/>
                <w:color w:val="000000"/>
                <w:sz w:val="20"/>
                <w:szCs w:val="20"/>
              </w:rPr>
              <w:t>Scaling factors are developed to determine savings for measures not in DEER.</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DEER Version</w:t>
            </w:r>
          </w:p>
        </w:tc>
        <w:tc>
          <w:tcPr>
            <w:tcW w:w="5513" w:type="dxa"/>
            <w:vAlign w:val="center"/>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DEER 2014 v2.0.1</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2B0DD9" w:rsidRPr="002B0DD9" w:rsidRDefault="002B0DD9" w:rsidP="002B0DD9">
            <w:pPr>
              <w:rPr>
                <w:rFonts w:asciiTheme="minorHAnsi" w:hAnsiTheme="minorHAnsi" w:cstheme="minorHAnsi"/>
                <w:sz w:val="20"/>
                <w:szCs w:val="20"/>
              </w:rPr>
            </w:pPr>
            <w:r w:rsidRPr="002B0DD9">
              <w:rPr>
                <w:rFonts w:asciiTheme="minorHAnsi" w:hAnsiTheme="minorHAnsi" w:cstheme="minorHAnsi"/>
                <w:sz w:val="20"/>
                <w:szCs w:val="20"/>
              </w:rPr>
              <w:t>DEER Run ID and Measure Name (Sample)</w:t>
            </w:r>
          </w:p>
        </w:tc>
        <w:tc>
          <w:tcPr>
            <w:tcW w:w="5513" w:type="dxa"/>
            <w:vAlign w:val="center"/>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NE-HVAC-airAC-Pkg-lt55kBtuh-14p0seer</w:t>
            </w:r>
          </w:p>
          <w:p w:rsidR="002B0DD9" w:rsidRPr="002B0DD9" w:rsidRDefault="002B0DD9" w:rsidP="002B0DD9">
            <w:pPr>
              <w:jc w:val="center"/>
              <w:rPr>
                <w:rFonts w:asciiTheme="minorHAnsi" w:hAnsiTheme="minorHAnsi" w:cstheme="minorHAnsi"/>
                <w:sz w:val="20"/>
                <w:szCs w:val="20"/>
              </w:rPr>
            </w:pPr>
            <w:r w:rsidRPr="002B0DD9">
              <w:rPr>
                <w:rFonts w:ascii="Calibri" w:hAnsi="Calibri" w:cs="Calibri"/>
                <w:color w:val="000000"/>
                <w:sz w:val="20"/>
                <w:szCs w:val="20"/>
              </w:rPr>
              <w:t>NE-HVAC-airHP-Pkg-lt55kBtuh-14p0seer-8p0hspf</w:t>
            </w:r>
          </w:p>
        </w:tc>
      </w:tr>
    </w:tbl>
    <w:p w:rsidR="002B0DD9" w:rsidRDefault="002B0DD9" w:rsidP="002B0DD9">
      <w:pPr>
        <w:spacing w:before="40" w:after="40"/>
        <w:rPr>
          <w:rFonts w:asciiTheme="minorHAnsi" w:hAnsiTheme="minorHAnsi" w:cstheme="minorHAnsi"/>
          <w:b/>
          <w:sz w:val="22"/>
          <w:szCs w:val="22"/>
        </w:rPr>
      </w:pPr>
      <w:bookmarkStart w:id="11" w:name="_Toc214003087"/>
    </w:p>
    <w:p w:rsidR="002B0DD9" w:rsidRPr="002B0DD9" w:rsidRDefault="002B0DD9" w:rsidP="002B0DD9">
      <w:pPr>
        <w:spacing w:before="40" w:after="40"/>
        <w:rPr>
          <w:rFonts w:asciiTheme="minorHAnsi" w:hAnsiTheme="minorHAnsi" w:cstheme="minorHAnsi"/>
          <w:b/>
          <w:sz w:val="22"/>
          <w:szCs w:val="22"/>
        </w:rPr>
      </w:pPr>
      <w:proofErr w:type="spellStart"/>
      <w:r w:rsidRPr="002B0DD9">
        <w:rPr>
          <w:rFonts w:asciiTheme="minorHAnsi" w:hAnsiTheme="minorHAnsi" w:cstheme="minorHAnsi"/>
          <w:b/>
          <w:sz w:val="22"/>
          <w:szCs w:val="22"/>
        </w:rPr>
        <w:t>READi</w:t>
      </w:r>
      <w:proofErr w:type="spellEnd"/>
      <w:r w:rsidRPr="002B0DD9">
        <w:rPr>
          <w:rFonts w:asciiTheme="minorHAnsi" w:hAnsiTheme="minorHAnsi" w:cstheme="minorHAnsi"/>
          <w:b/>
          <w:sz w:val="22"/>
          <w:szCs w:val="22"/>
        </w:rPr>
        <w:t xml:space="preserve"> Technology Fields</w:t>
      </w:r>
    </w:p>
    <w:p w:rsidR="002B0DD9" w:rsidRPr="002B0DD9" w:rsidRDefault="002B0DD9" w:rsidP="002B0DD9">
      <w:pPr>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To support the development of the ED ex ante tables, select fields from the </w:t>
      </w:r>
      <w:proofErr w:type="spellStart"/>
      <w:r w:rsidRPr="002B0DD9">
        <w:rPr>
          <w:rFonts w:asciiTheme="minorHAnsi" w:hAnsiTheme="minorHAnsi" w:cstheme="minorHAnsi"/>
          <w:sz w:val="22"/>
          <w:szCs w:val="22"/>
        </w:rPr>
        <w:t>ex ante</w:t>
      </w:r>
      <w:proofErr w:type="spellEnd"/>
      <w:r w:rsidRPr="002B0DD9">
        <w:rPr>
          <w:rFonts w:asciiTheme="minorHAnsi" w:hAnsiTheme="minorHAnsi" w:cstheme="minorHAnsi"/>
          <w:sz w:val="22"/>
          <w:szCs w:val="22"/>
        </w:rPr>
        <w:t xml:space="preserve"> database will be identified in the </w:t>
      </w:r>
      <w:proofErr w:type="spellStart"/>
      <w:r w:rsidRPr="002B0DD9">
        <w:rPr>
          <w:rFonts w:asciiTheme="minorHAnsi" w:hAnsiTheme="minorHAnsi" w:cstheme="minorHAnsi"/>
          <w:sz w:val="22"/>
          <w:szCs w:val="22"/>
        </w:rPr>
        <w:t>workpaper</w:t>
      </w:r>
      <w:proofErr w:type="spellEnd"/>
      <w:r w:rsidRPr="002B0DD9">
        <w:rPr>
          <w:rFonts w:asciiTheme="minorHAnsi" w:hAnsiTheme="minorHAnsi" w:cstheme="minorHAnsi"/>
          <w:sz w:val="22"/>
          <w:szCs w:val="22"/>
        </w:rPr>
        <w:t xml:space="preserve">. For a full set of values associated with the measures in the </w:t>
      </w:r>
      <w:proofErr w:type="spellStart"/>
      <w:r w:rsidRPr="002B0DD9">
        <w:rPr>
          <w:rFonts w:asciiTheme="minorHAnsi" w:hAnsiTheme="minorHAnsi" w:cstheme="minorHAnsi"/>
          <w:sz w:val="22"/>
          <w:szCs w:val="22"/>
        </w:rPr>
        <w:t>workpaper</w:t>
      </w:r>
      <w:proofErr w:type="spellEnd"/>
      <w:r w:rsidRPr="002B0DD9">
        <w:rPr>
          <w:rFonts w:asciiTheme="minorHAnsi" w:hAnsiTheme="minorHAnsi" w:cstheme="minorHAnsi"/>
          <w:sz w:val="22"/>
          <w:szCs w:val="22"/>
        </w:rPr>
        <w:t xml:space="preserve"> refer the Excel calculation template. </w:t>
      </w:r>
    </w:p>
    <w:p w:rsidR="002B0DD9" w:rsidRPr="002B0DD9" w:rsidRDefault="002B0DD9" w:rsidP="002B0DD9">
      <w:pPr>
        <w:jc w:val="center"/>
        <w:rPr>
          <w:rFonts w:asciiTheme="minorHAnsi" w:hAnsiTheme="minorHAnsi" w:cstheme="minorHAnsi"/>
          <w:b/>
          <w:bCs/>
          <w:sz w:val="22"/>
          <w:szCs w:val="22"/>
        </w:rPr>
      </w:pPr>
      <w:r>
        <w:rPr>
          <w:rFonts w:asciiTheme="minorHAnsi" w:hAnsiTheme="minorHAnsi" w:cstheme="minorHAnsi"/>
          <w:b/>
          <w:bCs/>
          <w:sz w:val="22"/>
          <w:szCs w:val="22"/>
        </w:rPr>
        <w:t>Table 4</w:t>
      </w:r>
      <w:r w:rsidRPr="002B0DD9">
        <w:rPr>
          <w:rFonts w:asciiTheme="minorHAnsi" w:hAnsiTheme="minorHAnsi" w:cstheme="minorHAnsi"/>
          <w:b/>
          <w:bCs/>
          <w:sz w:val="22"/>
          <w:szCs w:val="22"/>
        </w:rPr>
        <w:t xml:space="preserve"> </w:t>
      </w:r>
      <w:proofErr w:type="spellStart"/>
      <w:r w:rsidRPr="002B0DD9">
        <w:rPr>
          <w:rFonts w:asciiTheme="minorHAnsi" w:hAnsiTheme="minorHAnsi" w:cstheme="minorHAnsi"/>
          <w:b/>
          <w:bCs/>
          <w:sz w:val="22"/>
          <w:szCs w:val="22"/>
        </w:rPr>
        <w:t>READi</w:t>
      </w:r>
      <w:proofErr w:type="spellEnd"/>
      <w:r w:rsidRPr="002B0DD9">
        <w:rPr>
          <w:rFonts w:asciiTheme="minorHAnsi" w:hAnsiTheme="minorHAnsi" w:cstheme="minorHAnsi"/>
          <w:b/>
          <w:bCs/>
          <w:sz w:val="22"/>
          <w:szCs w:val="22"/>
        </w:rPr>
        <w:t xml:space="preserve"> Tech IDs</w:t>
      </w:r>
    </w:p>
    <w:tbl>
      <w:tblPr>
        <w:tblStyle w:val="TableContemporary4"/>
        <w:tblW w:w="0" w:type="auto"/>
        <w:jc w:val="center"/>
        <w:tblLook w:val="04A0" w:firstRow="1" w:lastRow="0" w:firstColumn="1" w:lastColumn="0" w:noHBand="0" w:noVBand="1"/>
      </w:tblPr>
      <w:tblGrid>
        <w:gridCol w:w="2448"/>
        <w:gridCol w:w="6030"/>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proofErr w:type="spellStart"/>
            <w:r w:rsidRPr="002B0DD9">
              <w:rPr>
                <w:rFonts w:asciiTheme="minorHAnsi" w:hAnsiTheme="minorHAnsi" w:cstheme="minorHAnsi"/>
                <w:sz w:val="20"/>
                <w:szCs w:val="22"/>
              </w:rPr>
              <w:t>READi</w:t>
            </w:r>
            <w:proofErr w:type="spellEnd"/>
            <w:r w:rsidRPr="002B0DD9">
              <w:rPr>
                <w:rFonts w:asciiTheme="minorHAnsi" w:hAnsiTheme="minorHAnsi" w:cstheme="minorHAnsi"/>
                <w:sz w:val="20"/>
                <w:szCs w:val="22"/>
              </w:rPr>
              <w:t xml:space="preserve"> Field Name</w:t>
            </w:r>
          </w:p>
        </w:tc>
        <w:tc>
          <w:tcPr>
            <w:tcW w:w="6030"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Values included in this </w:t>
            </w:r>
            <w:proofErr w:type="spellStart"/>
            <w:r w:rsidRPr="002B0DD9">
              <w:rPr>
                <w:rFonts w:asciiTheme="minorHAnsi" w:hAnsiTheme="minorHAnsi" w:cstheme="minorHAnsi"/>
                <w:sz w:val="20"/>
                <w:szCs w:val="22"/>
              </w:rPr>
              <w:t>workpaper</w:t>
            </w:r>
            <w:proofErr w:type="spellEnd"/>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proofErr w:type="spellStart"/>
            <w:r w:rsidRPr="002B0DD9">
              <w:rPr>
                <w:rFonts w:asciiTheme="minorHAnsi" w:hAnsiTheme="minorHAnsi" w:cstheme="minorHAnsi"/>
                <w:sz w:val="20"/>
                <w:szCs w:val="22"/>
              </w:rPr>
              <w:t>Measue</w:t>
            </w:r>
            <w:proofErr w:type="spellEnd"/>
            <w:r w:rsidRPr="002B0DD9">
              <w:rPr>
                <w:rFonts w:asciiTheme="minorHAnsi" w:hAnsiTheme="minorHAnsi" w:cstheme="minorHAnsi"/>
                <w:sz w:val="20"/>
                <w:szCs w:val="22"/>
              </w:rPr>
              <w:t xml:space="preserve"> Case </w:t>
            </w:r>
            <w:proofErr w:type="spellStart"/>
            <w:r w:rsidRPr="002B0DD9">
              <w:rPr>
                <w:rFonts w:asciiTheme="minorHAnsi" w:hAnsiTheme="minorHAnsi" w:cstheme="minorHAnsi"/>
                <w:sz w:val="20"/>
                <w:szCs w:val="22"/>
              </w:rPr>
              <w:t>UseCategory</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HVAC</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Measure Case </w:t>
            </w:r>
            <w:proofErr w:type="spellStart"/>
            <w:r w:rsidRPr="002B0DD9">
              <w:rPr>
                <w:rFonts w:asciiTheme="minorHAnsi" w:hAnsiTheme="minorHAnsi" w:cstheme="minorHAnsi"/>
                <w:sz w:val="20"/>
                <w:szCs w:val="22"/>
              </w:rPr>
              <w:t>UseSubCats</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Space Cooling, Space Heating and Cooling</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Measure Case </w:t>
            </w:r>
            <w:proofErr w:type="spellStart"/>
            <w:r w:rsidRPr="002B0DD9">
              <w:rPr>
                <w:rFonts w:asciiTheme="minorHAnsi" w:hAnsiTheme="minorHAnsi" w:cstheme="minorHAnsi"/>
                <w:sz w:val="20"/>
                <w:szCs w:val="22"/>
              </w:rPr>
              <w:t>TechGroups</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proofErr w:type="spellStart"/>
            <w:r w:rsidRPr="002B0DD9">
              <w:rPr>
                <w:rFonts w:asciiTheme="minorHAnsi" w:hAnsiTheme="minorHAnsi" w:cstheme="minorHAnsi"/>
                <w:sz w:val="20"/>
                <w:szCs w:val="22"/>
              </w:rPr>
              <w:t>dX</w:t>
            </w:r>
            <w:proofErr w:type="spellEnd"/>
            <w:r w:rsidRPr="002B0DD9">
              <w:rPr>
                <w:rFonts w:asciiTheme="minorHAnsi" w:hAnsiTheme="minorHAnsi" w:cstheme="minorHAnsi"/>
                <w:sz w:val="20"/>
                <w:szCs w:val="22"/>
              </w:rPr>
              <w:t xml:space="preserve"> AC Equipment, dx HP Equipment</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Measure Case </w:t>
            </w:r>
            <w:proofErr w:type="spellStart"/>
            <w:r w:rsidRPr="002B0DD9">
              <w:rPr>
                <w:rFonts w:asciiTheme="minorHAnsi" w:hAnsiTheme="minorHAnsi" w:cstheme="minorHAnsi"/>
                <w:sz w:val="20"/>
                <w:szCs w:val="22"/>
              </w:rPr>
              <w:t>TechTypes</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SEER Rated Split System AC, SEER Rated Split System HP</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Base Case </w:t>
            </w:r>
            <w:proofErr w:type="spellStart"/>
            <w:r w:rsidRPr="002B0DD9">
              <w:rPr>
                <w:rFonts w:asciiTheme="minorHAnsi" w:hAnsiTheme="minorHAnsi" w:cstheme="minorHAnsi"/>
                <w:sz w:val="20"/>
                <w:szCs w:val="22"/>
              </w:rPr>
              <w:t>TechGroups</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proofErr w:type="spellStart"/>
            <w:r w:rsidRPr="002B0DD9">
              <w:rPr>
                <w:rFonts w:asciiTheme="minorHAnsi" w:hAnsiTheme="minorHAnsi" w:cstheme="minorHAnsi"/>
                <w:sz w:val="20"/>
                <w:szCs w:val="22"/>
              </w:rPr>
              <w:t>dX</w:t>
            </w:r>
            <w:proofErr w:type="spellEnd"/>
            <w:r w:rsidRPr="002B0DD9">
              <w:rPr>
                <w:rFonts w:asciiTheme="minorHAnsi" w:hAnsiTheme="minorHAnsi" w:cstheme="minorHAnsi"/>
                <w:sz w:val="20"/>
                <w:szCs w:val="22"/>
              </w:rPr>
              <w:t xml:space="preserve"> AC Equipment, dx HP Equipment</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 xml:space="preserve">Base Case </w:t>
            </w:r>
            <w:proofErr w:type="spellStart"/>
            <w:r w:rsidRPr="002B0DD9">
              <w:rPr>
                <w:rFonts w:asciiTheme="minorHAnsi" w:hAnsiTheme="minorHAnsi" w:cstheme="minorHAnsi"/>
                <w:sz w:val="20"/>
                <w:szCs w:val="22"/>
              </w:rPr>
              <w:t>TechTypes</w:t>
            </w:r>
            <w:proofErr w:type="spellEnd"/>
          </w:p>
        </w:tc>
        <w:tc>
          <w:tcPr>
            <w:tcW w:w="6030" w:type="dxa"/>
          </w:tcPr>
          <w:p w:rsidR="002B0DD9" w:rsidRPr="002B0DD9" w:rsidRDefault="002B0DD9" w:rsidP="002B0DD9">
            <w:pPr>
              <w:spacing w:before="40" w:after="40"/>
              <w:rPr>
                <w:rFonts w:asciiTheme="minorHAnsi" w:hAnsiTheme="minorHAnsi" w:cstheme="minorHAnsi"/>
                <w:sz w:val="20"/>
                <w:szCs w:val="22"/>
              </w:rPr>
            </w:pPr>
            <w:r w:rsidRPr="002B0DD9">
              <w:rPr>
                <w:rFonts w:asciiTheme="minorHAnsi" w:hAnsiTheme="minorHAnsi" w:cstheme="minorHAnsi"/>
                <w:sz w:val="20"/>
                <w:szCs w:val="22"/>
              </w:rPr>
              <w:t>SEER Rated Split System AC, SEER Rated Split System HP</w:t>
            </w:r>
          </w:p>
        </w:tc>
      </w:tr>
    </w:tbl>
    <w:p w:rsidR="00E16609" w:rsidRPr="000F130A" w:rsidRDefault="00824F1C" w:rsidP="00824F1C">
      <w:pPr>
        <w:pStyle w:val="Heading2"/>
        <w:rPr>
          <w:rFonts w:asciiTheme="minorHAnsi" w:hAnsiTheme="minorHAnsi" w:cstheme="minorHAnsi"/>
        </w:rPr>
      </w:pPr>
      <w:r>
        <w:rPr>
          <w:rFonts w:asciiTheme="minorHAnsi" w:hAnsiTheme="minorHAnsi" w:cstheme="minorHAnsi"/>
        </w:rPr>
        <w:lastRenderedPageBreak/>
        <w:t xml:space="preserve">1.3  </w:t>
      </w:r>
      <w:r w:rsidR="00E16609" w:rsidRPr="000F130A">
        <w:rPr>
          <w:rFonts w:asciiTheme="minorHAnsi" w:hAnsiTheme="minorHAnsi" w:cstheme="minorHAnsi"/>
        </w:rPr>
        <w:t xml:space="preserve">Code Analysis </w:t>
      </w:r>
      <w:bookmarkEnd w:id="11"/>
    </w:p>
    <w:p w:rsidR="002B0DD9" w:rsidRPr="002B0DD9" w:rsidRDefault="002B0DD9" w:rsidP="002B0DD9">
      <w:pPr>
        <w:keepNext/>
        <w:spacing w:before="240" w:after="60"/>
        <w:outlineLvl w:val="2"/>
        <w:rPr>
          <w:rFonts w:ascii="Calibri" w:hAnsi="Calibri" w:cs="Calibri"/>
          <w:b/>
          <w:bCs/>
          <w:sz w:val="22"/>
          <w:szCs w:val="22"/>
        </w:rPr>
      </w:pPr>
      <w:r w:rsidRPr="002B0DD9">
        <w:rPr>
          <w:rFonts w:ascii="Calibri" w:hAnsi="Calibri" w:cs="Calibri"/>
          <w:b/>
          <w:bCs/>
          <w:sz w:val="22"/>
          <w:szCs w:val="22"/>
        </w:rPr>
        <w:t>Code of Federal Regulations (10 CFR 430.32(c)):</w:t>
      </w:r>
    </w:p>
    <w:p w:rsidR="002B0DD9" w:rsidRPr="002B0DD9" w:rsidRDefault="002B0DD9" w:rsidP="002B0DD9">
      <w:pPr>
        <w:spacing w:after="240"/>
        <w:rPr>
          <w:rFonts w:ascii="Calibri" w:hAnsi="Calibri" w:cs="Calibri"/>
          <w:sz w:val="22"/>
          <w:szCs w:val="22"/>
          <w:lang w:eastAsia="x-none"/>
        </w:rPr>
      </w:pPr>
      <w:r w:rsidRPr="002B0DD9">
        <w:rPr>
          <w:rFonts w:ascii="Calibri" w:hAnsi="Calibri" w:cs="Calibri"/>
          <w:sz w:val="22"/>
          <w:szCs w:val="22"/>
          <w:lang w:val="x-none" w:eastAsia="x-none"/>
        </w:rPr>
        <w:t>Per Federal Register technical amendment to the Code of Federal Regulations</w:t>
      </w:r>
      <w:r w:rsidRPr="002B0DD9">
        <w:rPr>
          <w:rFonts w:ascii="Calibri" w:hAnsi="Calibri" w:cs="Calibri"/>
          <w:sz w:val="22"/>
          <w:szCs w:val="22"/>
          <w:lang w:eastAsia="x-none"/>
        </w:rPr>
        <w:t xml:space="preserve"> [393]</w:t>
      </w:r>
      <w:r w:rsidRPr="002B0DD9">
        <w:rPr>
          <w:rFonts w:ascii="Calibri" w:hAnsi="Calibri" w:cs="Calibri"/>
          <w:sz w:val="22"/>
          <w:szCs w:val="22"/>
          <w:lang w:val="x-none" w:eastAsia="x-none"/>
        </w:rPr>
        <w:t>,</w:t>
      </w:r>
      <w:r w:rsidRPr="002B0DD9">
        <w:rPr>
          <w:rFonts w:ascii="Calibri" w:hAnsi="Calibri" w:cs="Calibri"/>
          <w:sz w:val="22"/>
          <w:szCs w:val="22"/>
          <w:lang w:eastAsia="x-none"/>
        </w:rPr>
        <w:t xml:space="preserve"> the</w:t>
      </w:r>
      <w:r w:rsidRPr="002B0DD9">
        <w:rPr>
          <w:rFonts w:ascii="Calibri" w:hAnsi="Calibri" w:cs="Calibri"/>
          <w:sz w:val="22"/>
          <w:szCs w:val="22"/>
          <w:lang w:val="x-none" w:eastAsia="x-none"/>
        </w:rPr>
        <w:t xml:space="preserve"> SEER</w:t>
      </w:r>
      <w:r w:rsidRPr="002B0DD9">
        <w:rPr>
          <w:rFonts w:ascii="Calibri" w:hAnsi="Calibri" w:cs="Calibri"/>
          <w:sz w:val="22"/>
          <w:szCs w:val="22"/>
          <w:lang w:eastAsia="x-none"/>
        </w:rPr>
        <w:t xml:space="preserve"> 13</w:t>
      </w:r>
      <w:r w:rsidRPr="002B0DD9">
        <w:rPr>
          <w:rFonts w:ascii="Calibri" w:hAnsi="Calibri" w:cs="Calibri"/>
          <w:sz w:val="22"/>
          <w:szCs w:val="22"/>
          <w:lang w:val="x-none" w:eastAsia="x-none"/>
        </w:rPr>
        <w:t xml:space="preserve"> standard will apply to conventional [single phase] central air conditioners manufactured on or after January 23, 2006</w:t>
      </w:r>
      <w:r w:rsidRPr="002B0DD9">
        <w:rPr>
          <w:rFonts w:ascii="Calibri" w:hAnsi="Calibri" w:cs="Calibri"/>
          <w:sz w:val="22"/>
          <w:szCs w:val="22"/>
          <w:lang w:eastAsia="x-none"/>
        </w:rPr>
        <w:t>, and before January 1, 2015:</w:t>
      </w:r>
    </w:p>
    <w:tbl>
      <w:tblPr>
        <w:tblStyle w:val="TableGrid1"/>
        <w:tblW w:w="0" w:type="auto"/>
        <w:tblLook w:val="04A0" w:firstRow="1" w:lastRow="0" w:firstColumn="1" w:lastColumn="0" w:noHBand="0" w:noVBand="1"/>
      </w:tblPr>
      <w:tblGrid>
        <w:gridCol w:w="9576"/>
      </w:tblGrid>
      <w:tr w:rsidR="002B0DD9" w:rsidRPr="002B0DD9" w:rsidTr="002B0DD9">
        <w:tc>
          <w:tcPr>
            <w:tcW w:w="9576" w:type="dxa"/>
          </w:tcPr>
          <w:p w:rsidR="002B0DD9" w:rsidRPr="002B0DD9" w:rsidRDefault="002B0DD9" w:rsidP="002B0DD9">
            <w:pPr>
              <w:spacing w:after="240"/>
              <w:rPr>
                <w:rFonts w:ascii="Calibri" w:hAnsi="Calibri" w:cs="Calibri"/>
                <w:sz w:val="22"/>
                <w:szCs w:val="22"/>
                <w:lang w:eastAsia="x-none"/>
              </w:rPr>
            </w:pPr>
            <w:r w:rsidRPr="002B0DD9">
              <w:rPr>
                <w:noProof/>
                <w:szCs w:val="20"/>
              </w:rPr>
              <w:drawing>
                <wp:inline distT="0" distB="0" distL="0" distR="0" wp14:anchorId="210200B9" wp14:editId="64E26CFB">
                  <wp:extent cx="5943600" cy="51809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5180965"/>
                          </a:xfrm>
                          <a:prstGeom prst="rect">
                            <a:avLst/>
                          </a:prstGeom>
                        </pic:spPr>
                      </pic:pic>
                    </a:graphicData>
                  </a:graphic>
                </wp:inline>
              </w:drawing>
            </w:r>
          </w:p>
          <w:p w:rsidR="002B0DD9" w:rsidRPr="002B0DD9" w:rsidRDefault="002B0DD9" w:rsidP="002B0DD9">
            <w:pPr>
              <w:spacing w:after="240"/>
              <w:rPr>
                <w:rFonts w:ascii="Calibri" w:hAnsi="Calibri" w:cs="Calibri"/>
                <w:sz w:val="22"/>
                <w:szCs w:val="22"/>
                <w:lang w:eastAsia="x-none"/>
              </w:rPr>
            </w:pPr>
            <w:r w:rsidRPr="002B0DD9">
              <w:rPr>
                <w:noProof/>
                <w:szCs w:val="20"/>
              </w:rPr>
              <w:lastRenderedPageBreak/>
              <w:drawing>
                <wp:inline distT="0" distB="0" distL="0" distR="0" wp14:anchorId="5D7BC6BA" wp14:editId="7083BCD6">
                  <wp:extent cx="5943600" cy="22713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2271395"/>
                          </a:xfrm>
                          <a:prstGeom prst="rect">
                            <a:avLst/>
                          </a:prstGeom>
                        </pic:spPr>
                      </pic:pic>
                    </a:graphicData>
                  </a:graphic>
                </wp:inline>
              </w:drawing>
            </w:r>
          </w:p>
        </w:tc>
      </w:tr>
    </w:tbl>
    <w:p w:rsidR="002B0DD9" w:rsidRPr="002B0DD9" w:rsidRDefault="002B0DD9" w:rsidP="002B0DD9">
      <w:pPr>
        <w:keepNext/>
        <w:spacing w:before="240" w:after="60"/>
        <w:ind w:left="720" w:hanging="720"/>
        <w:outlineLvl w:val="2"/>
        <w:rPr>
          <w:rFonts w:ascii="Calibri" w:hAnsi="Calibri" w:cs="Calibri"/>
          <w:b/>
          <w:bCs/>
          <w:sz w:val="22"/>
          <w:szCs w:val="22"/>
        </w:rPr>
      </w:pPr>
      <w:r w:rsidRPr="002B0DD9">
        <w:rPr>
          <w:rFonts w:ascii="Calibri" w:hAnsi="Calibri" w:cs="Calibri"/>
          <w:b/>
          <w:bCs/>
          <w:sz w:val="22"/>
          <w:szCs w:val="22"/>
        </w:rPr>
        <w:lastRenderedPageBreak/>
        <w:t>EISA 2007 (42 USC 6313 &amp; 42 USC 17001):</w:t>
      </w:r>
    </w:p>
    <w:p w:rsidR="002B0DD9" w:rsidRPr="002B0DD9" w:rsidRDefault="002B0DD9" w:rsidP="002B0DD9">
      <w:pPr>
        <w:spacing w:after="240"/>
        <w:rPr>
          <w:rFonts w:ascii="Calibri" w:hAnsi="Calibri" w:cs="Calibri"/>
          <w:sz w:val="22"/>
          <w:szCs w:val="22"/>
          <w:lang w:val="x-none" w:eastAsia="x-none"/>
        </w:rPr>
      </w:pPr>
      <w:r w:rsidRPr="002B0DD9">
        <w:rPr>
          <w:rFonts w:ascii="Calibri" w:hAnsi="Calibri" w:cs="Calibri"/>
          <w:sz w:val="22"/>
          <w:szCs w:val="22"/>
          <w:lang w:val="x-none" w:eastAsia="x-none"/>
        </w:rPr>
        <w:t>On December 19, 2007, federal code 42 USC 17001 known as the ‘Energy Independence and Security Act of 2007’</w:t>
      </w:r>
      <w:r w:rsidRPr="002B0DD9">
        <w:rPr>
          <w:rFonts w:ascii="Calibri" w:hAnsi="Calibri" w:cs="Calibri"/>
          <w:sz w:val="22"/>
          <w:szCs w:val="22"/>
          <w:lang w:eastAsia="x-none"/>
        </w:rPr>
        <w:t xml:space="preserve"> [427]</w:t>
      </w:r>
      <w:r w:rsidRPr="002B0DD9">
        <w:rPr>
          <w:rFonts w:ascii="Calibri" w:hAnsi="Calibri" w:cs="Calibri"/>
          <w:sz w:val="22"/>
          <w:szCs w:val="22"/>
          <w:lang w:val="x-none" w:eastAsia="x-none"/>
        </w:rPr>
        <w:t xml:space="preserve"> was enacted which in part modified 42 USC 6313 as follows:</w:t>
      </w:r>
    </w:p>
    <w:p w:rsidR="002B0DD9" w:rsidRPr="002B0DD9" w:rsidRDefault="002B0DD9" w:rsidP="002B0DD9">
      <w:pPr>
        <w:shd w:val="clear" w:color="auto" w:fill="FFFFFF"/>
        <w:spacing w:after="120"/>
        <w:ind w:left="1440" w:hanging="360"/>
        <w:rPr>
          <w:rFonts w:ascii="Calibri" w:hAnsi="Calibri" w:cs="Calibri"/>
          <w:sz w:val="22"/>
          <w:szCs w:val="22"/>
        </w:rPr>
      </w:pPr>
      <w:r w:rsidRPr="002B0DD9">
        <w:rPr>
          <w:rFonts w:ascii="Calibri" w:hAnsi="Calibri" w:cs="Calibri"/>
          <w:sz w:val="22"/>
          <w:szCs w:val="22"/>
        </w:rPr>
        <w:t>``(D) For equipment manufactured on or after the later of January 1, 2008, or the date that is 180 days after the date of enactment of the Energy Independence and Security Act of 2007—</w:t>
      </w:r>
    </w:p>
    <w:p w:rsidR="002B0DD9" w:rsidRPr="002B0DD9" w:rsidRDefault="002B0DD9" w:rsidP="002B0DD9">
      <w:pPr>
        <w:spacing w:after="120"/>
        <w:ind w:left="1440"/>
        <w:rPr>
          <w:rFonts w:ascii="Calibri" w:hAnsi="Calibri" w:cs="Calibri"/>
          <w:sz w:val="22"/>
          <w:szCs w:val="22"/>
          <w:lang w:val="x-none" w:eastAsia="x-none"/>
        </w:rPr>
      </w:pPr>
      <w:r w:rsidRPr="002B0DD9">
        <w:rPr>
          <w:rFonts w:ascii="Calibri" w:hAnsi="Calibri" w:cs="Calibri"/>
          <w:sz w:val="22"/>
          <w:szCs w:val="22"/>
          <w:lang w:val="x-none" w:eastAsia="x-none"/>
        </w:rPr>
        <w:t>[NOTE: As 42 USC 17001 was enacted as Public Law No: 110-140 Dec 19, 2007, adding 180 days means paragraph (D) became effective on June 16, 2008.]</w:t>
      </w:r>
    </w:p>
    <w:p w:rsidR="002B0DD9" w:rsidRPr="002B0DD9" w:rsidRDefault="002B0DD9" w:rsidP="002B0DD9">
      <w:pPr>
        <w:ind w:left="1800" w:hanging="360"/>
        <w:rPr>
          <w:rFonts w:ascii="Calibri" w:hAnsi="Calibri" w:cs="Calibri"/>
          <w:sz w:val="22"/>
          <w:szCs w:val="22"/>
        </w:rPr>
      </w:pPr>
      <w:r w:rsidRPr="002B0DD9">
        <w:rPr>
          <w:rFonts w:ascii="Calibri" w:hAnsi="Calibri" w:cs="Calibri"/>
          <w:sz w:val="22"/>
          <w:szCs w:val="22"/>
        </w:rPr>
        <w:t>``(</w:t>
      </w:r>
      <w:proofErr w:type="spellStart"/>
      <w:r w:rsidRPr="002B0DD9">
        <w:rPr>
          <w:rFonts w:ascii="Calibri" w:hAnsi="Calibri" w:cs="Calibri"/>
          <w:sz w:val="22"/>
          <w:szCs w:val="22"/>
        </w:rPr>
        <w:t>i</w:t>
      </w:r>
      <w:proofErr w:type="spellEnd"/>
      <w:r w:rsidRPr="002B0DD9">
        <w:rPr>
          <w:rFonts w:ascii="Calibri" w:hAnsi="Calibri" w:cs="Calibri"/>
          <w:sz w:val="22"/>
          <w:szCs w:val="22"/>
        </w:rPr>
        <w:t>) the minimum seasonal energy efficiency ratio of air-cooled 3-phase electric central air conditioners and central air conditioning heat pumps less than 65,000 Btu per hour (cooling capacity), split systems, shall be 13.0;</w:t>
      </w:r>
    </w:p>
    <w:p w:rsidR="002B0DD9" w:rsidRPr="002B0DD9" w:rsidRDefault="002B0DD9" w:rsidP="002B0DD9">
      <w:pPr>
        <w:ind w:left="1800" w:hanging="360"/>
        <w:rPr>
          <w:rFonts w:ascii="Calibri" w:hAnsi="Calibri" w:cs="Calibri"/>
          <w:sz w:val="22"/>
          <w:szCs w:val="22"/>
        </w:rPr>
      </w:pPr>
      <w:r w:rsidRPr="002B0DD9">
        <w:rPr>
          <w:rFonts w:ascii="Calibri" w:hAnsi="Calibri" w:cs="Calibri"/>
          <w:sz w:val="22"/>
          <w:szCs w:val="22"/>
        </w:rPr>
        <w:t>``(ii) the minimum seasonal energy efficiency ratio of air-cooled 3-phase electric central air conditioners and central air conditioning heat pumps less than 65,000 Btu per hour (cooling capacity), single package, shall be 13.0;</w:t>
      </w:r>
    </w:p>
    <w:p w:rsidR="002B0DD9" w:rsidRPr="002B0DD9" w:rsidRDefault="002B0DD9" w:rsidP="002B0DD9">
      <w:pPr>
        <w:ind w:left="1800" w:hanging="360"/>
        <w:rPr>
          <w:rFonts w:ascii="Calibri" w:hAnsi="Calibri" w:cs="Calibri"/>
          <w:sz w:val="22"/>
          <w:szCs w:val="22"/>
        </w:rPr>
      </w:pPr>
      <w:r w:rsidRPr="002B0DD9">
        <w:rPr>
          <w:rFonts w:ascii="Calibri" w:hAnsi="Calibri" w:cs="Calibri"/>
          <w:sz w:val="22"/>
          <w:szCs w:val="22"/>
        </w:rPr>
        <w:t>``(iii) the minimum heating seasonal performance factor of air-cooled 3-phase electric central air conditioning heat pumps less than 65,000 Btu per hour (cooling capacity), split systems, shall be 7.7; and</w:t>
      </w:r>
    </w:p>
    <w:p w:rsidR="002B0DD9" w:rsidRPr="002B0DD9" w:rsidRDefault="002B0DD9" w:rsidP="002B0DD9">
      <w:pPr>
        <w:spacing w:after="120"/>
        <w:ind w:left="1800" w:hanging="360"/>
        <w:rPr>
          <w:rFonts w:ascii="Calibri" w:hAnsi="Calibri" w:cs="Calibri"/>
          <w:sz w:val="22"/>
          <w:szCs w:val="22"/>
        </w:rPr>
      </w:pPr>
      <w:r w:rsidRPr="002B0DD9">
        <w:rPr>
          <w:rFonts w:ascii="Calibri" w:hAnsi="Calibri" w:cs="Calibri"/>
          <w:sz w:val="22"/>
          <w:szCs w:val="22"/>
        </w:rPr>
        <w:t>``(iv) the minimum heating seasonal performance factor of air-cooled 3-phase electric central air conditioning heat pumps less than 65,000 Btu per hour (cooling capacity), single package, shall be 7.7.'';</w:t>
      </w:r>
    </w:p>
    <w:p w:rsidR="002B0DD9" w:rsidRPr="002B0DD9" w:rsidRDefault="002B0DD9" w:rsidP="002B0DD9">
      <w:pPr>
        <w:keepNext/>
        <w:spacing w:before="240" w:after="60"/>
        <w:outlineLvl w:val="2"/>
        <w:rPr>
          <w:rFonts w:ascii="Arial" w:hAnsi="Arial" w:cs="Arial"/>
          <w:b/>
          <w:bCs/>
          <w:sz w:val="22"/>
          <w:szCs w:val="22"/>
        </w:rPr>
      </w:pPr>
      <w:r w:rsidRPr="002B0DD9">
        <w:rPr>
          <w:rFonts w:ascii="Calibri" w:hAnsi="Calibri" w:cs="Calibri"/>
          <w:b/>
          <w:bCs/>
          <w:sz w:val="22"/>
          <w:szCs w:val="22"/>
        </w:rPr>
        <w:t>California Title 20 2014:</w:t>
      </w:r>
    </w:p>
    <w:p w:rsidR="002B0DD9" w:rsidRPr="002B0DD9" w:rsidRDefault="002B0DD9" w:rsidP="002B0DD9">
      <w:pPr>
        <w:spacing w:before="120"/>
        <w:rPr>
          <w:rFonts w:ascii="Calibri" w:hAnsi="Calibri" w:cs="Calibri"/>
          <w:sz w:val="22"/>
          <w:szCs w:val="22"/>
        </w:rPr>
      </w:pPr>
      <w:r w:rsidRPr="002B0DD9">
        <w:rPr>
          <w:rFonts w:ascii="Calibri" w:hAnsi="Calibri" w:cs="Calibri"/>
          <w:sz w:val="22"/>
          <w:szCs w:val="22"/>
        </w:rPr>
        <w:t>Appliance Efficiency Regulations [422] under California Code of Regulations Title 20, Section 1605.1 (c) (1) states “The EER, SEER, COP, HSPF, and SCOP, as applicable, of all central air conditioners, including computer room air conditioners, shall be not less than the applicable values shown in Tables C-2, C-3, C-4, C-5, and C-6.”</w:t>
      </w:r>
    </w:p>
    <w:tbl>
      <w:tblPr>
        <w:tblStyle w:val="TableGrid1"/>
        <w:tblW w:w="0" w:type="auto"/>
        <w:tblLook w:val="04A0" w:firstRow="1" w:lastRow="0" w:firstColumn="1" w:lastColumn="0" w:noHBand="0" w:noVBand="1"/>
      </w:tblPr>
      <w:tblGrid>
        <w:gridCol w:w="9288"/>
      </w:tblGrid>
      <w:tr w:rsidR="002B0DD9" w:rsidRPr="002B0DD9" w:rsidTr="002B0DD9">
        <w:trPr>
          <w:trHeight w:val="8917"/>
        </w:trPr>
        <w:tc>
          <w:tcPr>
            <w:tcW w:w="9288" w:type="dxa"/>
          </w:tcPr>
          <w:p w:rsidR="002B0DD9" w:rsidRPr="002B0DD9" w:rsidRDefault="002B0DD9" w:rsidP="002B0DD9">
            <w:pPr>
              <w:spacing w:before="120"/>
              <w:rPr>
                <w:rFonts w:ascii="Calibri" w:hAnsi="Calibri" w:cs="Calibri"/>
                <w:sz w:val="22"/>
                <w:szCs w:val="22"/>
              </w:rPr>
            </w:pPr>
            <w:r w:rsidRPr="002B0DD9">
              <w:rPr>
                <w:noProof/>
              </w:rPr>
              <w:lastRenderedPageBreak/>
              <w:drawing>
                <wp:inline distT="0" distB="0" distL="0" distR="0" wp14:anchorId="62AE9D37" wp14:editId="5FD22A2F">
                  <wp:extent cx="5518140" cy="5698541"/>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18551" cy="5698965"/>
                          </a:xfrm>
                          <a:prstGeom prst="rect">
                            <a:avLst/>
                          </a:prstGeom>
                        </pic:spPr>
                      </pic:pic>
                    </a:graphicData>
                  </a:graphic>
                </wp:inline>
              </w:drawing>
            </w:r>
          </w:p>
        </w:tc>
      </w:tr>
    </w:tbl>
    <w:p w:rsidR="002B0DD9" w:rsidRPr="002B0DD9" w:rsidRDefault="002B0DD9" w:rsidP="002B0DD9">
      <w:pPr>
        <w:keepNext/>
        <w:spacing w:before="240" w:after="60"/>
        <w:outlineLvl w:val="2"/>
        <w:rPr>
          <w:rFonts w:ascii="Calibri" w:hAnsi="Calibri" w:cs="Calibri"/>
          <w:b/>
          <w:bCs/>
          <w:sz w:val="22"/>
          <w:szCs w:val="22"/>
        </w:rPr>
      </w:pPr>
      <w:r w:rsidRPr="002B0DD9">
        <w:rPr>
          <w:rFonts w:ascii="Calibri" w:hAnsi="Calibri" w:cs="Calibri"/>
          <w:b/>
          <w:bCs/>
          <w:sz w:val="22"/>
          <w:szCs w:val="22"/>
        </w:rPr>
        <w:t>California Title 24 2013:</w:t>
      </w:r>
    </w:p>
    <w:p w:rsidR="002B0DD9" w:rsidRPr="002B0DD9" w:rsidRDefault="002B0DD9" w:rsidP="002B0DD9">
      <w:pPr>
        <w:rPr>
          <w:rFonts w:asciiTheme="minorHAnsi" w:hAnsiTheme="minorHAnsi"/>
          <w:sz w:val="22"/>
          <w:szCs w:val="22"/>
        </w:rPr>
      </w:pPr>
      <w:r w:rsidRPr="002B0DD9">
        <w:rPr>
          <w:rFonts w:asciiTheme="minorHAnsi" w:hAnsiTheme="minorHAnsi"/>
          <w:sz w:val="22"/>
          <w:szCs w:val="22"/>
        </w:rPr>
        <w:t>Title 24 [355] does not address the measures in this work paper; it provides requirements for unitary AC and HP units ≥ 65k Btu/h</w:t>
      </w:r>
    </w:p>
    <w:p w:rsidR="002B0DD9" w:rsidRPr="002B0DD9" w:rsidRDefault="002B0DD9" w:rsidP="002B0DD9">
      <w:pPr>
        <w:keepNext/>
        <w:jc w:val="center"/>
        <w:rPr>
          <w:rFonts w:asciiTheme="minorHAnsi" w:hAnsiTheme="minorHAnsi" w:cstheme="minorHAnsi"/>
          <w:b/>
          <w:bCs/>
          <w:sz w:val="22"/>
          <w:szCs w:val="22"/>
        </w:rPr>
      </w:pPr>
      <w:r>
        <w:rPr>
          <w:rFonts w:asciiTheme="minorHAnsi" w:hAnsiTheme="minorHAnsi" w:cstheme="minorHAnsi"/>
          <w:b/>
          <w:bCs/>
          <w:sz w:val="22"/>
          <w:szCs w:val="22"/>
        </w:rPr>
        <w:t>Table 5</w:t>
      </w:r>
      <w:r w:rsidRPr="002B0DD9">
        <w:rPr>
          <w:rFonts w:asciiTheme="minorHAnsi" w:hAnsiTheme="minorHAnsi" w:cstheme="minorHAnsi"/>
          <w:b/>
          <w:bCs/>
          <w:sz w:val="22"/>
          <w:szCs w:val="22"/>
        </w:rPr>
        <w:t xml:space="preserve"> Code Summary</w:t>
      </w:r>
    </w:p>
    <w:tbl>
      <w:tblPr>
        <w:tblStyle w:val="TableContemporary5"/>
        <w:tblW w:w="8027" w:type="dxa"/>
        <w:jc w:val="center"/>
        <w:tblInd w:w="-4933" w:type="dxa"/>
        <w:tblLook w:val="04A0" w:firstRow="1" w:lastRow="0" w:firstColumn="1" w:lastColumn="0" w:noHBand="0" w:noVBand="1"/>
      </w:tblPr>
      <w:tblGrid>
        <w:gridCol w:w="1854"/>
        <w:gridCol w:w="4352"/>
        <w:gridCol w:w="1821"/>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Code</w:t>
            </w:r>
          </w:p>
        </w:tc>
        <w:tc>
          <w:tcPr>
            <w:tcW w:w="4352" w:type="dxa"/>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Applicable Code Reference</w:t>
            </w:r>
          </w:p>
        </w:tc>
        <w:tc>
          <w:tcPr>
            <w:tcW w:w="1821" w:type="dxa"/>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Effective Dates</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Code of Federal Regulations</w:t>
            </w:r>
          </w:p>
        </w:tc>
        <w:tc>
          <w:tcPr>
            <w:tcW w:w="4352"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10 CFR 430.32 Conventional [single phase] central air conditioners</w:t>
            </w:r>
          </w:p>
        </w:tc>
        <w:tc>
          <w:tcPr>
            <w:tcW w:w="1821"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January 23, 2006</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EISA 2007</w:t>
            </w:r>
          </w:p>
        </w:tc>
        <w:tc>
          <w:tcPr>
            <w:tcW w:w="4352"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Air-cooled 3-phase electric central air conditioners and central air conditioning heat pumps less than 65,000 Btu per hour, single package</w:t>
            </w:r>
          </w:p>
        </w:tc>
        <w:tc>
          <w:tcPr>
            <w:tcW w:w="1821"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June 16, 2008</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Title 20 (2014)</w:t>
            </w:r>
          </w:p>
        </w:tc>
        <w:tc>
          <w:tcPr>
            <w:tcW w:w="4352"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Central Air Conditioners Other than Water-Source Heat Pumps Below 240,000 Btu/</w:t>
            </w:r>
            <w:proofErr w:type="spellStart"/>
            <w:r w:rsidRPr="002B0DD9">
              <w:rPr>
                <w:rFonts w:ascii="Calibri" w:hAnsi="Calibri" w:cs="Calibri"/>
                <w:sz w:val="20"/>
                <w:szCs w:val="20"/>
              </w:rPr>
              <w:t>hr</w:t>
            </w:r>
            <w:proofErr w:type="spellEnd"/>
          </w:p>
        </w:tc>
        <w:tc>
          <w:tcPr>
            <w:tcW w:w="1821" w:type="dxa"/>
            <w:vAlign w:val="center"/>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January 23, 2006</w:t>
            </w:r>
          </w:p>
        </w:tc>
      </w:tr>
    </w:tbl>
    <w:p w:rsidR="00E16609" w:rsidRPr="00824F1C" w:rsidRDefault="00824F1C" w:rsidP="00824F1C">
      <w:pPr>
        <w:pStyle w:val="Heading2"/>
        <w:rPr>
          <w:rFonts w:asciiTheme="minorHAnsi" w:hAnsiTheme="minorHAnsi" w:cstheme="minorHAnsi"/>
        </w:rPr>
      </w:pPr>
      <w:bookmarkStart w:id="12" w:name="_Toc214003088"/>
      <w:r>
        <w:rPr>
          <w:rFonts w:asciiTheme="minorHAnsi" w:hAnsiTheme="minorHAnsi" w:cstheme="minorHAnsi"/>
        </w:rPr>
        <w:lastRenderedPageBreak/>
        <w:t xml:space="preserve">1.4  </w:t>
      </w:r>
      <w:r w:rsidR="00E16609" w:rsidRPr="00824F1C">
        <w:rPr>
          <w:rFonts w:asciiTheme="minorHAnsi" w:hAnsiTheme="minorHAnsi" w:cstheme="minorHAnsi"/>
        </w:rPr>
        <w:t>Measure Effective Useful Life</w:t>
      </w:r>
      <w:bookmarkEnd w:id="12"/>
    </w:p>
    <w:p w:rsidR="002B0DD9" w:rsidRPr="002B0DD9" w:rsidRDefault="002B0DD9" w:rsidP="002B0DD9">
      <w:pPr>
        <w:spacing w:after="120"/>
        <w:rPr>
          <w:rFonts w:ascii="Calibri" w:hAnsi="Calibri" w:cs="Calibri"/>
          <w:sz w:val="22"/>
          <w:szCs w:val="22"/>
        </w:rPr>
      </w:pPr>
      <w:r w:rsidRPr="002B0DD9">
        <w:rPr>
          <w:rFonts w:ascii="Calibri" w:hAnsi="Calibri" w:cs="Calibri"/>
          <w:sz w:val="22"/>
          <w:szCs w:val="22"/>
        </w:rPr>
        <w:t>Refer to the Ex-Ante Database for the EUL values.</w:t>
      </w:r>
    </w:p>
    <w:p w:rsidR="002B0DD9" w:rsidRPr="002B0DD9" w:rsidRDefault="002B0DD9" w:rsidP="002B0DD9">
      <w:pPr>
        <w:keepLines/>
        <w:jc w:val="center"/>
        <w:rPr>
          <w:rFonts w:ascii="Calibri" w:hAnsi="Calibri" w:cs="Calibri"/>
          <w:b/>
          <w:bCs/>
          <w:sz w:val="22"/>
          <w:szCs w:val="3276"/>
        </w:rPr>
      </w:pPr>
      <w:r>
        <w:rPr>
          <w:rFonts w:ascii="Calibri" w:hAnsi="Calibri" w:cs="Calibri"/>
          <w:b/>
          <w:bCs/>
          <w:sz w:val="22"/>
          <w:szCs w:val="3276"/>
        </w:rPr>
        <w:t>Table 6</w:t>
      </w:r>
      <w:r w:rsidRPr="002B0DD9">
        <w:rPr>
          <w:rFonts w:ascii="Calibri" w:hAnsi="Calibri" w:cs="Calibri"/>
          <w:b/>
          <w:bCs/>
          <w:sz w:val="22"/>
          <w:szCs w:val="3276"/>
        </w:rPr>
        <w:t xml:space="preserve"> EUL Value/Methodology</w:t>
      </w:r>
    </w:p>
    <w:tbl>
      <w:tblPr>
        <w:tblStyle w:val="TableContemporaryBlackHeader1"/>
        <w:tblW w:w="7254" w:type="dxa"/>
        <w:jc w:val="center"/>
        <w:tblLook w:val="04A0" w:firstRow="1" w:lastRow="0" w:firstColumn="1" w:lastColumn="0" w:noHBand="0" w:noVBand="1"/>
      </w:tblPr>
      <w:tblGrid>
        <w:gridCol w:w="1388"/>
        <w:gridCol w:w="1525"/>
        <w:gridCol w:w="1591"/>
        <w:gridCol w:w="2750"/>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1388" w:type="dxa"/>
          </w:tcPr>
          <w:p w:rsidR="002B0DD9" w:rsidRPr="002B0DD9" w:rsidRDefault="002B0DD9" w:rsidP="002B0DD9">
            <w:pPr>
              <w:rPr>
                <w:rFonts w:ascii="Calibri" w:hAnsi="Calibri" w:cs="Calibri"/>
                <w:sz w:val="20"/>
                <w:szCs w:val="20"/>
              </w:rPr>
            </w:pPr>
            <w:r w:rsidRPr="002B0DD9">
              <w:rPr>
                <w:rFonts w:ascii="Calibri" w:hAnsi="Calibri" w:cs="Calibri"/>
                <w:sz w:val="20"/>
                <w:szCs w:val="20"/>
              </w:rPr>
              <w:t>EUL ID</w:t>
            </w:r>
          </w:p>
        </w:tc>
        <w:tc>
          <w:tcPr>
            <w:tcW w:w="1525" w:type="dxa"/>
          </w:tcPr>
          <w:p w:rsidR="002B0DD9" w:rsidRPr="002B0DD9" w:rsidRDefault="002B0DD9" w:rsidP="002B0DD9">
            <w:pPr>
              <w:rPr>
                <w:rFonts w:ascii="Calibri" w:hAnsi="Calibri" w:cs="Calibri"/>
                <w:sz w:val="20"/>
                <w:szCs w:val="20"/>
              </w:rPr>
            </w:pPr>
            <w:r w:rsidRPr="002B0DD9">
              <w:rPr>
                <w:rFonts w:ascii="Calibri" w:hAnsi="Calibri" w:cs="Calibri"/>
                <w:sz w:val="20"/>
                <w:szCs w:val="20"/>
              </w:rPr>
              <w:t>Market</w:t>
            </w:r>
          </w:p>
        </w:tc>
        <w:tc>
          <w:tcPr>
            <w:tcW w:w="1591" w:type="dxa"/>
          </w:tcPr>
          <w:p w:rsidR="002B0DD9" w:rsidRPr="002B0DD9" w:rsidRDefault="002B0DD9" w:rsidP="002B0DD9">
            <w:pPr>
              <w:rPr>
                <w:rFonts w:ascii="Calibri" w:hAnsi="Calibri" w:cs="Calibri"/>
                <w:sz w:val="20"/>
                <w:szCs w:val="20"/>
              </w:rPr>
            </w:pPr>
            <w:proofErr w:type="spellStart"/>
            <w:r w:rsidRPr="002B0DD9">
              <w:rPr>
                <w:rFonts w:ascii="Calibri" w:hAnsi="Calibri" w:cs="Calibri"/>
                <w:sz w:val="20"/>
                <w:szCs w:val="20"/>
              </w:rPr>
              <w:t>Enduse</w:t>
            </w:r>
            <w:proofErr w:type="spellEnd"/>
          </w:p>
        </w:tc>
        <w:tc>
          <w:tcPr>
            <w:tcW w:w="2750" w:type="dxa"/>
          </w:tcPr>
          <w:p w:rsidR="002B0DD9" w:rsidRPr="002B0DD9" w:rsidRDefault="002B0DD9" w:rsidP="002B0DD9">
            <w:pPr>
              <w:rPr>
                <w:rFonts w:ascii="Calibri" w:hAnsi="Calibri" w:cs="Calibri"/>
                <w:sz w:val="20"/>
                <w:szCs w:val="20"/>
              </w:rPr>
            </w:pPr>
            <w:r w:rsidRPr="002B0DD9">
              <w:rPr>
                <w:rFonts w:ascii="Calibri" w:hAnsi="Calibri" w:cs="Calibri"/>
                <w:sz w:val="20"/>
                <w:szCs w:val="20"/>
              </w:rPr>
              <w:t>Measure</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Height w:val="243"/>
          <w:jc w:val="center"/>
        </w:trPr>
        <w:tc>
          <w:tcPr>
            <w:tcW w:w="1388" w:type="dxa"/>
          </w:tcPr>
          <w:p w:rsidR="002B0DD9" w:rsidRPr="002B0DD9" w:rsidRDefault="002B0DD9" w:rsidP="002B0DD9">
            <w:pPr>
              <w:rPr>
                <w:rFonts w:ascii="Calibri" w:hAnsi="Calibri" w:cs="Calibri"/>
                <w:sz w:val="20"/>
                <w:szCs w:val="20"/>
              </w:rPr>
            </w:pPr>
            <w:r w:rsidRPr="002B0DD9">
              <w:rPr>
                <w:rFonts w:ascii="Calibri" w:hAnsi="Calibri" w:cs="Calibri"/>
                <w:sz w:val="20"/>
                <w:szCs w:val="20"/>
              </w:rPr>
              <w:t>HVAC-</w:t>
            </w:r>
            <w:proofErr w:type="spellStart"/>
            <w:r w:rsidRPr="002B0DD9">
              <w:rPr>
                <w:rFonts w:ascii="Calibri" w:hAnsi="Calibri" w:cs="Calibri"/>
                <w:sz w:val="20"/>
                <w:szCs w:val="20"/>
              </w:rPr>
              <w:t>airAC</w:t>
            </w:r>
            <w:proofErr w:type="spellEnd"/>
          </w:p>
          <w:p w:rsidR="002B0DD9" w:rsidRPr="002B0DD9" w:rsidRDefault="002B0DD9" w:rsidP="002B0DD9">
            <w:pPr>
              <w:rPr>
                <w:rFonts w:ascii="Calibri" w:hAnsi="Calibri" w:cs="Calibri"/>
                <w:sz w:val="20"/>
                <w:szCs w:val="20"/>
                <w:highlight w:val="yellow"/>
              </w:rPr>
            </w:pPr>
            <w:r w:rsidRPr="002B0DD9">
              <w:rPr>
                <w:rFonts w:ascii="Calibri" w:hAnsi="Calibri" w:cs="Calibri"/>
                <w:sz w:val="20"/>
                <w:szCs w:val="20"/>
              </w:rPr>
              <w:t>HVAC-</w:t>
            </w:r>
            <w:proofErr w:type="spellStart"/>
            <w:r w:rsidRPr="002B0DD9">
              <w:rPr>
                <w:rFonts w:ascii="Calibri" w:hAnsi="Calibri" w:cs="Calibri"/>
                <w:sz w:val="20"/>
                <w:szCs w:val="20"/>
              </w:rPr>
              <w:t>airHP</w:t>
            </w:r>
            <w:proofErr w:type="spellEnd"/>
          </w:p>
        </w:tc>
        <w:tc>
          <w:tcPr>
            <w:tcW w:w="1525" w:type="dxa"/>
          </w:tcPr>
          <w:p w:rsidR="002B0DD9" w:rsidRPr="002B0DD9" w:rsidRDefault="002B0DD9" w:rsidP="002B0DD9">
            <w:pPr>
              <w:rPr>
                <w:rFonts w:ascii="Calibri" w:hAnsi="Calibri" w:cs="Calibri"/>
                <w:sz w:val="20"/>
                <w:szCs w:val="20"/>
              </w:rPr>
            </w:pPr>
            <w:r w:rsidRPr="002B0DD9">
              <w:rPr>
                <w:rFonts w:ascii="Calibri" w:hAnsi="Calibri" w:cs="Calibri"/>
                <w:sz w:val="20"/>
                <w:szCs w:val="20"/>
              </w:rPr>
              <w:t>Non-Residential</w:t>
            </w:r>
          </w:p>
        </w:tc>
        <w:tc>
          <w:tcPr>
            <w:tcW w:w="1591" w:type="dxa"/>
          </w:tcPr>
          <w:p w:rsidR="002B0DD9" w:rsidRPr="002B0DD9" w:rsidRDefault="002B0DD9" w:rsidP="002B0DD9">
            <w:pPr>
              <w:rPr>
                <w:rFonts w:ascii="Calibri" w:hAnsi="Calibri" w:cs="Calibri"/>
                <w:sz w:val="20"/>
                <w:szCs w:val="20"/>
              </w:rPr>
            </w:pPr>
            <w:r w:rsidRPr="003C3977">
              <w:rPr>
                <w:rFonts w:ascii="Calibri" w:hAnsi="Calibri" w:cs="Calibri"/>
                <w:sz w:val="20"/>
                <w:szCs w:val="20"/>
              </w:rPr>
              <w:t>HVAC – Split/Package</w:t>
            </w:r>
          </w:p>
        </w:tc>
        <w:tc>
          <w:tcPr>
            <w:tcW w:w="2750" w:type="dxa"/>
          </w:tcPr>
          <w:p w:rsidR="002B0DD9" w:rsidRPr="002B0DD9" w:rsidRDefault="002B0DD9" w:rsidP="002B0DD9">
            <w:pPr>
              <w:rPr>
                <w:rFonts w:ascii="Calibri" w:hAnsi="Calibri" w:cs="Calibri"/>
                <w:sz w:val="20"/>
                <w:szCs w:val="20"/>
              </w:rPr>
            </w:pPr>
            <w:r w:rsidRPr="003C3977">
              <w:rPr>
                <w:rFonts w:ascii="Calibri" w:hAnsi="Calibri" w:cs="Calibri"/>
                <w:sz w:val="20"/>
                <w:szCs w:val="20"/>
              </w:rPr>
              <w:t>Air Conditioners / Heat Pumps (split and unitary)</w:t>
            </w:r>
          </w:p>
        </w:tc>
      </w:tr>
    </w:tbl>
    <w:p w:rsidR="00E16609" w:rsidRPr="00441957" w:rsidRDefault="00824F1C" w:rsidP="00824F1C">
      <w:pPr>
        <w:pStyle w:val="Heading2"/>
        <w:rPr>
          <w:rFonts w:asciiTheme="minorHAnsi" w:hAnsiTheme="minorHAnsi" w:cstheme="minorHAnsi"/>
        </w:rPr>
      </w:pPr>
      <w:bookmarkStart w:id="13" w:name="_Toc214003089"/>
      <w:r>
        <w:rPr>
          <w:rFonts w:asciiTheme="minorHAnsi" w:hAnsiTheme="minorHAnsi" w:cstheme="minorHAnsi"/>
        </w:rPr>
        <w:t xml:space="preserve">1.5  </w:t>
      </w:r>
      <w:r w:rsidR="004E01F5" w:rsidRPr="000F130A">
        <w:rPr>
          <w:rFonts w:asciiTheme="minorHAnsi" w:hAnsiTheme="minorHAnsi" w:cstheme="minorHAnsi"/>
        </w:rPr>
        <w:t xml:space="preserve">Net-to-Gross Ratios </w:t>
      </w:r>
      <w:r w:rsidR="00E16609" w:rsidRPr="000F130A">
        <w:rPr>
          <w:rFonts w:asciiTheme="minorHAnsi" w:hAnsiTheme="minorHAnsi" w:cstheme="minorHAnsi"/>
        </w:rPr>
        <w:t>for Different Program Strategies</w:t>
      </w:r>
      <w:bookmarkEnd w:id="13"/>
    </w:p>
    <w:p w:rsidR="002B0DD9" w:rsidRPr="002B0DD9" w:rsidRDefault="002B0DD9" w:rsidP="002B0DD9">
      <w:pPr>
        <w:spacing w:after="120"/>
        <w:rPr>
          <w:rFonts w:ascii="Calibri" w:hAnsi="Calibri" w:cs="Calibri"/>
          <w:sz w:val="22"/>
          <w:szCs w:val="22"/>
        </w:rPr>
      </w:pPr>
      <w:r w:rsidRPr="002B0DD9">
        <w:rPr>
          <w:rFonts w:ascii="Calibri" w:hAnsi="Calibri" w:cs="Calibri"/>
          <w:sz w:val="22"/>
          <w:szCs w:val="22"/>
        </w:rPr>
        <w:t>Refer to the Ex-Ante Database for the NTG values.</w:t>
      </w:r>
    </w:p>
    <w:p w:rsidR="002B0DD9" w:rsidRPr="002B0DD9" w:rsidRDefault="002B0DD9" w:rsidP="002B0DD9">
      <w:pPr>
        <w:jc w:val="center"/>
        <w:rPr>
          <w:rFonts w:asciiTheme="minorHAnsi" w:hAnsiTheme="minorHAnsi" w:cstheme="minorHAnsi"/>
          <w:b/>
          <w:bCs/>
          <w:sz w:val="22"/>
          <w:szCs w:val="22"/>
        </w:rPr>
      </w:pPr>
      <w:r w:rsidRPr="002B0DD9">
        <w:rPr>
          <w:rFonts w:asciiTheme="minorHAnsi" w:hAnsiTheme="minorHAnsi" w:cstheme="minorHAnsi"/>
          <w:b/>
          <w:bCs/>
          <w:sz w:val="22"/>
          <w:szCs w:val="22"/>
        </w:rPr>
        <w:t xml:space="preserve">Table </w:t>
      </w:r>
      <w:r>
        <w:rPr>
          <w:rFonts w:asciiTheme="minorHAnsi" w:hAnsiTheme="minorHAnsi" w:cstheme="minorHAnsi"/>
          <w:b/>
          <w:bCs/>
          <w:sz w:val="22"/>
          <w:szCs w:val="22"/>
        </w:rPr>
        <w:t>7</w:t>
      </w:r>
      <w:r w:rsidRPr="002B0DD9">
        <w:rPr>
          <w:rFonts w:asciiTheme="minorHAnsi" w:hAnsiTheme="minorHAnsi" w:cstheme="minorHAnsi"/>
          <w:b/>
          <w:bCs/>
          <w:sz w:val="22"/>
          <w:szCs w:val="22"/>
        </w:rPr>
        <w:t xml:space="preserve"> Net-to-Gross Ratio</w:t>
      </w:r>
    </w:p>
    <w:tbl>
      <w:tblPr>
        <w:tblStyle w:val="TableContemporary4"/>
        <w:tblW w:w="4006" w:type="pct"/>
        <w:jc w:val="center"/>
        <w:tblInd w:w="1186" w:type="dxa"/>
        <w:tblLook w:val="01E0" w:firstRow="1" w:lastRow="1" w:firstColumn="1" w:lastColumn="1" w:noHBand="0" w:noVBand="0"/>
      </w:tblPr>
      <w:tblGrid>
        <w:gridCol w:w="1357"/>
        <w:gridCol w:w="2949"/>
        <w:gridCol w:w="905"/>
        <w:gridCol w:w="1168"/>
        <w:gridCol w:w="1293"/>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884" w:type="pct"/>
            <w:vAlign w:val="center"/>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NTGR_ID*</w:t>
            </w:r>
          </w:p>
        </w:tc>
        <w:tc>
          <w:tcPr>
            <w:tcW w:w="1922" w:type="pct"/>
            <w:vAlign w:val="center"/>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Description*</w:t>
            </w:r>
          </w:p>
        </w:tc>
        <w:tc>
          <w:tcPr>
            <w:tcW w:w="590" w:type="pct"/>
            <w:vAlign w:val="center"/>
          </w:tcPr>
          <w:p w:rsidR="002B0DD9" w:rsidRPr="002B0DD9" w:rsidRDefault="002B0DD9" w:rsidP="002B0DD9">
            <w:pPr>
              <w:jc w:val="center"/>
              <w:rPr>
                <w:rFonts w:asciiTheme="minorHAnsi" w:hAnsiTheme="minorHAnsi" w:cstheme="minorHAnsi"/>
                <w:sz w:val="20"/>
                <w:szCs w:val="20"/>
              </w:rPr>
            </w:pPr>
            <w:r w:rsidRPr="002B0DD9">
              <w:rPr>
                <w:rFonts w:asciiTheme="minorHAnsi" w:hAnsiTheme="minorHAnsi" w:cstheme="minorHAnsi"/>
                <w:sz w:val="20"/>
                <w:szCs w:val="20"/>
              </w:rPr>
              <w:t>Sector*</w:t>
            </w:r>
          </w:p>
        </w:tc>
        <w:tc>
          <w:tcPr>
            <w:tcW w:w="761" w:type="pct"/>
            <w:vAlign w:val="center"/>
          </w:tcPr>
          <w:p w:rsidR="002B0DD9" w:rsidRPr="002B0DD9" w:rsidRDefault="002B0DD9" w:rsidP="002B0DD9">
            <w:pPr>
              <w:jc w:val="center"/>
              <w:rPr>
                <w:rFonts w:asciiTheme="minorHAnsi" w:hAnsiTheme="minorHAnsi" w:cstheme="minorHAnsi"/>
                <w:sz w:val="20"/>
                <w:szCs w:val="20"/>
              </w:rPr>
            </w:pPr>
            <w:proofErr w:type="spellStart"/>
            <w:r w:rsidRPr="002B0DD9">
              <w:rPr>
                <w:rFonts w:asciiTheme="minorHAnsi" w:hAnsiTheme="minorHAnsi" w:cstheme="minorHAnsi"/>
                <w:sz w:val="20"/>
                <w:szCs w:val="20"/>
              </w:rPr>
              <w:t>BldgType</w:t>
            </w:r>
            <w:proofErr w:type="spellEnd"/>
            <w:r w:rsidRPr="002B0DD9">
              <w:rPr>
                <w:rFonts w:asciiTheme="minorHAnsi" w:hAnsiTheme="minorHAnsi" w:cstheme="minorHAnsi"/>
                <w:sz w:val="20"/>
                <w:szCs w:val="20"/>
              </w:rPr>
              <w:t>*</w:t>
            </w:r>
          </w:p>
        </w:tc>
        <w:tc>
          <w:tcPr>
            <w:tcW w:w="843" w:type="pct"/>
          </w:tcPr>
          <w:p w:rsidR="002B0DD9" w:rsidRPr="002B0DD9" w:rsidRDefault="002B0DD9" w:rsidP="002B0DD9">
            <w:pPr>
              <w:jc w:val="center"/>
              <w:rPr>
                <w:rFonts w:asciiTheme="minorHAnsi" w:hAnsiTheme="minorHAnsi" w:cstheme="minorHAnsi"/>
                <w:sz w:val="20"/>
                <w:szCs w:val="20"/>
              </w:rPr>
            </w:pPr>
            <w:proofErr w:type="spellStart"/>
            <w:r w:rsidRPr="002B0DD9">
              <w:rPr>
                <w:rFonts w:asciiTheme="minorHAnsi" w:hAnsiTheme="minorHAnsi" w:cstheme="minorHAnsi"/>
                <w:sz w:val="20"/>
                <w:szCs w:val="20"/>
              </w:rPr>
              <w:t>ProgDelivID</w:t>
            </w:r>
            <w:proofErr w:type="spellEnd"/>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884" w:type="pct"/>
            <w:vAlign w:val="center"/>
          </w:tcPr>
          <w:p w:rsidR="002B0DD9" w:rsidRPr="003C3977" w:rsidRDefault="002B0DD9" w:rsidP="002B0DD9">
            <w:pPr>
              <w:jc w:val="center"/>
              <w:rPr>
                <w:rFonts w:ascii="Calibri" w:hAnsi="Calibri" w:cs="Calibri"/>
                <w:sz w:val="20"/>
                <w:szCs w:val="20"/>
              </w:rPr>
            </w:pPr>
            <w:proofErr w:type="spellStart"/>
            <w:r w:rsidRPr="00E40DAD">
              <w:rPr>
                <w:rFonts w:ascii="Calibri" w:hAnsi="Calibri" w:cs="Calibri"/>
                <w:sz w:val="20"/>
                <w:szCs w:val="20"/>
              </w:rPr>
              <w:t>NonRes</w:t>
            </w:r>
            <w:proofErr w:type="spellEnd"/>
            <w:r w:rsidRPr="00E40DAD">
              <w:rPr>
                <w:rFonts w:ascii="Calibri" w:hAnsi="Calibri" w:cs="Calibri"/>
                <w:sz w:val="20"/>
                <w:szCs w:val="20"/>
              </w:rPr>
              <w:t>-</w:t>
            </w:r>
            <w:proofErr w:type="spellStart"/>
            <w:r w:rsidRPr="00E40DAD">
              <w:rPr>
                <w:rFonts w:ascii="Calibri" w:hAnsi="Calibri" w:cs="Calibri"/>
                <w:sz w:val="20"/>
                <w:szCs w:val="20"/>
              </w:rPr>
              <w:t>sAll</w:t>
            </w:r>
            <w:proofErr w:type="spellEnd"/>
            <w:r w:rsidRPr="00E40DAD">
              <w:rPr>
                <w:rFonts w:ascii="Calibri" w:hAnsi="Calibri" w:cs="Calibri"/>
                <w:sz w:val="20"/>
                <w:szCs w:val="20"/>
              </w:rPr>
              <w:t>-</w:t>
            </w:r>
            <w:proofErr w:type="spellStart"/>
            <w:r w:rsidRPr="00E40DAD">
              <w:rPr>
                <w:rFonts w:ascii="Calibri" w:hAnsi="Calibri" w:cs="Calibri"/>
                <w:sz w:val="20"/>
                <w:szCs w:val="20"/>
              </w:rPr>
              <w:t>mHVAC</w:t>
            </w:r>
            <w:proofErr w:type="spellEnd"/>
            <w:r w:rsidRPr="00E40DAD">
              <w:rPr>
                <w:rFonts w:ascii="Calibri" w:hAnsi="Calibri" w:cs="Calibri"/>
                <w:sz w:val="20"/>
                <w:szCs w:val="20"/>
              </w:rPr>
              <w:t>-DX-up</w:t>
            </w:r>
          </w:p>
        </w:tc>
        <w:tc>
          <w:tcPr>
            <w:tcW w:w="1922" w:type="pct"/>
            <w:vAlign w:val="center"/>
          </w:tcPr>
          <w:p w:rsidR="002B0DD9" w:rsidRPr="003C3977" w:rsidRDefault="002B0DD9" w:rsidP="002B0DD9">
            <w:pPr>
              <w:jc w:val="center"/>
              <w:rPr>
                <w:rFonts w:ascii="Calibri" w:hAnsi="Calibri" w:cs="Calibri"/>
                <w:sz w:val="20"/>
                <w:szCs w:val="20"/>
              </w:rPr>
            </w:pPr>
            <w:r w:rsidRPr="00E40DAD">
              <w:rPr>
                <w:rFonts w:ascii="Calibri" w:hAnsi="Calibri" w:cs="Calibri"/>
                <w:sz w:val="20"/>
                <w:szCs w:val="20"/>
              </w:rPr>
              <w:t>All package and split system AC &amp; HP replacements</w:t>
            </w:r>
          </w:p>
        </w:tc>
        <w:tc>
          <w:tcPr>
            <w:tcW w:w="590" w:type="pct"/>
            <w:vAlign w:val="center"/>
          </w:tcPr>
          <w:p w:rsidR="002B0DD9" w:rsidRPr="003C3977" w:rsidRDefault="002B0DD9" w:rsidP="002B0DD9">
            <w:pPr>
              <w:jc w:val="center"/>
              <w:rPr>
                <w:rFonts w:ascii="Calibri" w:hAnsi="Calibri" w:cs="Calibri"/>
                <w:sz w:val="20"/>
                <w:szCs w:val="20"/>
              </w:rPr>
            </w:pPr>
            <w:r>
              <w:rPr>
                <w:rFonts w:ascii="Calibri" w:hAnsi="Calibri" w:cs="Calibri"/>
                <w:sz w:val="20"/>
                <w:szCs w:val="20"/>
              </w:rPr>
              <w:t>Com</w:t>
            </w:r>
          </w:p>
        </w:tc>
        <w:tc>
          <w:tcPr>
            <w:tcW w:w="761" w:type="pct"/>
            <w:vAlign w:val="center"/>
          </w:tcPr>
          <w:p w:rsidR="002B0DD9" w:rsidRPr="003C3977" w:rsidRDefault="002B0DD9" w:rsidP="002B0DD9">
            <w:pPr>
              <w:jc w:val="center"/>
              <w:rPr>
                <w:rFonts w:ascii="Calibri" w:hAnsi="Calibri" w:cs="Calibri"/>
                <w:sz w:val="20"/>
                <w:szCs w:val="20"/>
              </w:rPr>
            </w:pPr>
            <w:r>
              <w:rPr>
                <w:rFonts w:ascii="Calibri" w:hAnsi="Calibri" w:cs="Calibri"/>
                <w:sz w:val="20"/>
                <w:szCs w:val="20"/>
              </w:rPr>
              <w:t>Com</w:t>
            </w:r>
          </w:p>
        </w:tc>
        <w:tc>
          <w:tcPr>
            <w:tcW w:w="843" w:type="pct"/>
            <w:vAlign w:val="center"/>
          </w:tcPr>
          <w:p w:rsidR="002B0DD9" w:rsidRPr="003C3977" w:rsidRDefault="002B0DD9" w:rsidP="002B0DD9">
            <w:pPr>
              <w:jc w:val="center"/>
              <w:rPr>
                <w:rFonts w:ascii="Calibri" w:hAnsi="Calibri" w:cs="Calibri"/>
                <w:sz w:val="20"/>
                <w:szCs w:val="20"/>
              </w:rPr>
            </w:pPr>
            <w:proofErr w:type="spellStart"/>
            <w:r w:rsidRPr="00E40DAD">
              <w:rPr>
                <w:rFonts w:ascii="Calibri" w:hAnsi="Calibri" w:cs="Calibri"/>
                <w:sz w:val="20"/>
                <w:szCs w:val="20"/>
              </w:rPr>
              <w:t>PreRebUp</w:t>
            </w:r>
            <w:proofErr w:type="spellEnd"/>
          </w:p>
        </w:tc>
      </w:tr>
    </w:tbl>
    <w:p w:rsidR="00E16609" w:rsidRPr="000F130A" w:rsidRDefault="00824F1C" w:rsidP="00824F1C">
      <w:pPr>
        <w:pStyle w:val="Heading2"/>
        <w:rPr>
          <w:rFonts w:asciiTheme="minorHAnsi" w:hAnsiTheme="minorHAnsi" w:cstheme="minorHAnsi"/>
        </w:rPr>
      </w:pPr>
      <w:r>
        <w:rPr>
          <w:rFonts w:asciiTheme="minorHAnsi" w:hAnsiTheme="minorHAnsi" w:cstheme="minorHAnsi"/>
        </w:rPr>
        <w:t xml:space="preserve">1.6  </w:t>
      </w:r>
      <w:r w:rsidR="00E16609" w:rsidRPr="000F130A">
        <w:rPr>
          <w:rFonts w:asciiTheme="minorHAnsi" w:hAnsiTheme="minorHAnsi" w:cstheme="minorHAnsi"/>
        </w:rPr>
        <w:t>Time-of-Use Adjustment Factor</w:t>
      </w:r>
    </w:p>
    <w:p w:rsidR="002B0DD9" w:rsidRPr="002B0DD9" w:rsidRDefault="002B0DD9" w:rsidP="002B0DD9">
      <w:pPr>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As directed by the CPUC in decision 06-06-063 dated June 29, 2006, time-of-use (TOU) adjustment factors are to be applied for residential A/C and commercial A/C (packaged and split-system direct-expansion cooling) measures only.   Since this is an A/C measure, the TOU adjustment factor is </w:t>
      </w:r>
      <w:r>
        <w:rPr>
          <w:rFonts w:asciiTheme="minorHAnsi" w:hAnsiTheme="minorHAnsi" w:cstheme="minorHAnsi"/>
          <w:sz w:val="22"/>
          <w:szCs w:val="22"/>
        </w:rPr>
        <w:t>10</w:t>
      </w:r>
      <w:r w:rsidRPr="002B0DD9">
        <w:rPr>
          <w:rFonts w:asciiTheme="minorHAnsi" w:hAnsiTheme="minorHAnsi" w:cstheme="minorHAnsi"/>
          <w:sz w:val="22"/>
          <w:szCs w:val="22"/>
        </w:rPr>
        <w:t>0.  Additionally, if a measure is assigned a DEER08 load shape, i.e. the load shape starts with “DEER:” the TOU assigned to that measure should also be zero.</w:t>
      </w:r>
    </w:p>
    <w:p w:rsidR="002B0DD9" w:rsidRPr="002B0DD9" w:rsidRDefault="002B0DD9" w:rsidP="002B0DD9">
      <w:pPr>
        <w:keepNext/>
        <w:jc w:val="center"/>
        <w:rPr>
          <w:rFonts w:asciiTheme="minorHAnsi" w:hAnsiTheme="minorHAnsi" w:cstheme="minorHAnsi"/>
          <w:b/>
          <w:bCs/>
          <w:sz w:val="22"/>
          <w:szCs w:val="22"/>
        </w:rPr>
      </w:pPr>
      <w:r w:rsidRPr="002B0DD9">
        <w:rPr>
          <w:rFonts w:asciiTheme="minorHAnsi" w:hAnsiTheme="minorHAnsi" w:cstheme="minorHAnsi"/>
          <w:b/>
          <w:bCs/>
          <w:sz w:val="22"/>
          <w:szCs w:val="22"/>
        </w:rPr>
        <w:t xml:space="preserve">Table </w:t>
      </w:r>
      <w:r w:rsidR="00BD41CE">
        <w:rPr>
          <w:rFonts w:asciiTheme="minorHAnsi" w:hAnsiTheme="minorHAnsi" w:cstheme="minorHAnsi"/>
          <w:b/>
          <w:bCs/>
          <w:sz w:val="22"/>
          <w:szCs w:val="22"/>
        </w:rPr>
        <w:t>8</w:t>
      </w:r>
      <w:r w:rsidRPr="002B0DD9">
        <w:rPr>
          <w:rFonts w:asciiTheme="minorHAnsi" w:hAnsiTheme="minorHAnsi" w:cstheme="minorHAnsi"/>
          <w:b/>
          <w:bCs/>
          <w:sz w:val="22"/>
          <w:szCs w:val="22"/>
        </w:rPr>
        <w:t xml:space="preserve"> TOU Summary Table</w:t>
      </w:r>
    </w:p>
    <w:tbl>
      <w:tblPr>
        <w:tblStyle w:val="TableContemporaryBlackHeader2"/>
        <w:tblW w:w="2900" w:type="pct"/>
        <w:jc w:val="center"/>
        <w:tblInd w:w="108" w:type="dxa"/>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2988"/>
        <w:gridCol w:w="2566"/>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2690" w:type="pct"/>
            <w:tcBorders>
              <w:bottom w:val="single" w:sz="18" w:space="0" w:color="FFFFFF"/>
            </w:tcBorders>
            <w:shd w:val="clear" w:color="auto" w:fill="CCCCCC"/>
          </w:tcPr>
          <w:p w:rsidR="002B0DD9" w:rsidRPr="002B0DD9" w:rsidRDefault="002B0DD9" w:rsidP="002B0DD9">
            <w:pPr>
              <w:jc w:val="center"/>
              <w:rPr>
                <w:rFonts w:asciiTheme="minorHAnsi" w:hAnsiTheme="minorHAnsi" w:cstheme="minorHAnsi"/>
                <w:sz w:val="20"/>
                <w:szCs w:val="20"/>
                <w:highlight w:val="yellow"/>
              </w:rPr>
            </w:pPr>
            <w:r w:rsidRPr="002B0DD9">
              <w:rPr>
                <w:rFonts w:asciiTheme="minorHAnsi" w:hAnsiTheme="minorHAnsi" w:cstheme="minorHAnsi"/>
                <w:sz w:val="20"/>
                <w:szCs w:val="20"/>
              </w:rPr>
              <w:t>Measure</w:t>
            </w:r>
          </w:p>
        </w:tc>
        <w:tc>
          <w:tcPr>
            <w:tcW w:w="2310" w:type="pct"/>
            <w:tcBorders>
              <w:bottom w:val="single" w:sz="18" w:space="0" w:color="FFFFFF"/>
            </w:tcBorders>
            <w:shd w:val="clear" w:color="auto" w:fill="CCCCCC"/>
          </w:tcPr>
          <w:p w:rsidR="002B0DD9" w:rsidRPr="002B0DD9" w:rsidRDefault="002B0DD9" w:rsidP="002B0DD9">
            <w:pPr>
              <w:jc w:val="center"/>
              <w:rPr>
                <w:rFonts w:asciiTheme="minorHAnsi" w:hAnsiTheme="minorHAnsi" w:cstheme="minorHAnsi"/>
                <w:sz w:val="20"/>
                <w:szCs w:val="20"/>
                <w:highlight w:val="yellow"/>
              </w:rPr>
            </w:pPr>
            <w:r w:rsidRPr="002B0DD9">
              <w:rPr>
                <w:rFonts w:asciiTheme="minorHAnsi" w:hAnsiTheme="minorHAnsi" w:cstheme="minorHAnsi"/>
                <w:sz w:val="20"/>
                <w:szCs w:val="20"/>
              </w:rPr>
              <w:t>%</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690" w:type="pct"/>
            <w:shd w:val="clear" w:color="auto" w:fill="F3F3F3"/>
          </w:tcPr>
          <w:p w:rsidR="002B0DD9" w:rsidRPr="002B0DD9" w:rsidRDefault="002B0DD9" w:rsidP="002B0DD9">
            <w:pPr>
              <w:rPr>
                <w:rFonts w:asciiTheme="minorHAnsi" w:hAnsiTheme="minorHAnsi" w:cstheme="minorHAnsi"/>
                <w:sz w:val="20"/>
                <w:szCs w:val="20"/>
              </w:rPr>
            </w:pPr>
            <w:r w:rsidRPr="00E40DAD">
              <w:rPr>
                <w:rFonts w:ascii="Calibri" w:hAnsi="Calibri" w:cs="Calibri"/>
                <w:sz w:val="20"/>
                <w:szCs w:val="20"/>
              </w:rPr>
              <w:t>All package and split system AC &amp; HP replacements</w:t>
            </w:r>
          </w:p>
        </w:tc>
        <w:tc>
          <w:tcPr>
            <w:tcW w:w="2310" w:type="pct"/>
            <w:shd w:val="clear" w:color="auto" w:fill="F3F3F3"/>
            <w:vAlign w:val="center"/>
          </w:tcPr>
          <w:p w:rsidR="002B0DD9" w:rsidRPr="002B0DD9" w:rsidRDefault="002B0DD9" w:rsidP="002B0DD9">
            <w:pPr>
              <w:jc w:val="center"/>
              <w:rPr>
                <w:rFonts w:asciiTheme="minorHAnsi" w:hAnsiTheme="minorHAnsi" w:cstheme="minorHAnsi"/>
                <w:sz w:val="20"/>
                <w:szCs w:val="20"/>
              </w:rPr>
            </w:pPr>
            <w:r>
              <w:rPr>
                <w:rFonts w:asciiTheme="minorHAnsi" w:hAnsiTheme="minorHAnsi" w:cstheme="minorHAnsi"/>
                <w:sz w:val="20"/>
                <w:szCs w:val="20"/>
              </w:rPr>
              <w:t>10</w:t>
            </w:r>
            <w:r w:rsidRPr="002B0DD9">
              <w:rPr>
                <w:rFonts w:asciiTheme="minorHAnsi" w:hAnsiTheme="minorHAnsi" w:cstheme="minorHAnsi"/>
                <w:sz w:val="20"/>
                <w:szCs w:val="20"/>
              </w:rPr>
              <w:t>0</w:t>
            </w:r>
          </w:p>
        </w:tc>
      </w:tr>
    </w:tbl>
    <w:p w:rsidR="00E16609" w:rsidRPr="00560934" w:rsidRDefault="00E16609" w:rsidP="00560934">
      <w:pPr>
        <w:pStyle w:val="Heading1"/>
        <w:keepNext w:val="0"/>
        <w:rPr>
          <w:rFonts w:asciiTheme="minorHAnsi" w:hAnsiTheme="minorHAnsi" w:cstheme="minorHAnsi"/>
        </w:rPr>
      </w:pPr>
      <w:bookmarkStart w:id="14" w:name="_Toc214003090"/>
      <w:r w:rsidRPr="00560934">
        <w:rPr>
          <w:rFonts w:asciiTheme="minorHAnsi" w:hAnsiTheme="minorHAnsi" w:cstheme="minorHAnsi"/>
        </w:rPr>
        <w:t>Section 2. Energy Savings &amp; Demand Reduction Calculations</w:t>
      </w:r>
      <w:bookmarkEnd w:id="14"/>
    </w:p>
    <w:p w:rsidR="003A69B5" w:rsidRPr="00567C8C" w:rsidRDefault="003A69B5" w:rsidP="003A69B5">
      <w:pPr>
        <w:pStyle w:val="Heading2"/>
      </w:pPr>
      <w:r w:rsidRPr="00567C8C">
        <w:t>2.</w:t>
      </w:r>
      <w:r>
        <w:t>1</w:t>
      </w:r>
      <w:r w:rsidRPr="00567C8C">
        <w:t xml:space="preserve"> </w:t>
      </w:r>
      <w:r>
        <w:t xml:space="preserve"> Energy Savings &amp; Demand Reduction Calculations</w:t>
      </w:r>
    </w:p>
    <w:p w:rsidR="002B0DD9" w:rsidRPr="002B0DD9" w:rsidRDefault="002B0DD9" w:rsidP="002B0DD9">
      <w:pPr>
        <w:rPr>
          <w:rFonts w:ascii="Calibri" w:hAnsi="Calibri" w:cs="Calibri"/>
          <w:sz w:val="22"/>
          <w:szCs w:val="20"/>
        </w:rPr>
      </w:pPr>
      <w:r w:rsidRPr="002B0DD9">
        <w:rPr>
          <w:rFonts w:ascii="Calibri" w:hAnsi="Calibri" w:cs="Calibri"/>
          <w:sz w:val="22"/>
          <w:szCs w:val="20"/>
        </w:rPr>
        <w:t>DEER 2014 contains the following measures that are relevant to this work paper:</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 xml:space="preserve">SEER 14 Commercial AC, for size ranges &lt;55 </w:t>
      </w:r>
      <w:proofErr w:type="spellStart"/>
      <w:r w:rsidRPr="002B0DD9">
        <w:rPr>
          <w:rFonts w:ascii="Calibri" w:hAnsi="Calibri" w:cs="Calibri"/>
          <w:sz w:val="22"/>
          <w:szCs w:val="20"/>
        </w:rPr>
        <w:t>kBtu</w:t>
      </w:r>
      <w:proofErr w:type="spellEnd"/>
      <w:r w:rsidRPr="002B0DD9">
        <w:rPr>
          <w:rFonts w:ascii="Calibri" w:hAnsi="Calibri" w:cs="Calibri"/>
          <w:sz w:val="22"/>
          <w:szCs w:val="20"/>
        </w:rPr>
        <w:t xml:space="preserve">/h and 55-64 </w:t>
      </w:r>
      <w:proofErr w:type="spellStart"/>
      <w:r w:rsidRPr="002B0DD9">
        <w:rPr>
          <w:rFonts w:ascii="Calibri" w:hAnsi="Calibri" w:cs="Calibri"/>
          <w:sz w:val="22"/>
          <w:szCs w:val="20"/>
        </w:rPr>
        <w:t>kBtu</w:t>
      </w:r>
      <w:proofErr w:type="spellEnd"/>
      <w:r w:rsidRPr="002B0DD9">
        <w:rPr>
          <w:rFonts w:ascii="Calibri" w:hAnsi="Calibri" w:cs="Calibri"/>
          <w:sz w:val="22"/>
          <w:szCs w:val="20"/>
        </w:rPr>
        <w:t>/h, packaged and split</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 xml:space="preserve">SEER 14 (packaged only), 14.5 (split only), 15 (packaged and split) Commercial Heat Pump, for size ranges &lt;55 </w:t>
      </w:r>
      <w:proofErr w:type="spellStart"/>
      <w:r w:rsidRPr="002B0DD9">
        <w:rPr>
          <w:rFonts w:ascii="Calibri" w:hAnsi="Calibri" w:cs="Calibri"/>
          <w:sz w:val="22"/>
          <w:szCs w:val="20"/>
        </w:rPr>
        <w:t>kBtu</w:t>
      </w:r>
      <w:proofErr w:type="spellEnd"/>
      <w:r w:rsidRPr="002B0DD9">
        <w:rPr>
          <w:rFonts w:ascii="Calibri" w:hAnsi="Calibri" w:cs="Calibri"/>
          <w:sz w:val="22"/>
          <w:szCs w:val="20"/>
        </w:rPr>
        <w:t xml:space="preserve">/h and 55-64 </w:t>
      </w:r>
      <w:proofErr w:type="spellStart"/>
      <w:r w:rsidRPr="002B0DD9">
        <w:rPr>
          <w:rFonts w:ascii="Calibri" w:hAnsi="Calibri" w:cs="Calibri"/>
          <w:sz w:val="22"/>
          <w:szCs w:val="20"/>
        </w:rPr>
        <w:t>kBtu</w:t>
      </w:r>
      <w:proofErr w:type="spellEnd"/>
      <w:r w:rsidRPr="002B0DD9">
        <w:rPr>
          <w:rFonts w:ascii="Calibri" w:hAnsi="Calibri" w:cs="Calibri"/>
          <w:sz w:val="22"/>
          <w:szCs w:val="20"/>
        </w:rPr>
        <w:t>/h</w:t>
      </w:r>
    </w:p>
    <w:p w:rsidR="002B0DD9" w:rsidRPr="002B0DD9" w:rsidRDefault="002B0DD9" w:rsidP="002B0DD9">
      <w:pPr>
        <w:numPr>
          <w:ilvl w:val="1"/>
          <w:numId w:val="10"/>
        </w:numPr>
        <w:contextualSpacing/>
        <w:rPr>
          <w:rFonts w:ascii="Calibri" w:hAnsi="Calibri" w:cs="Calibri"/>
          <w:i/>
          <w:sz w:val="22"/>
          <w:szCs w:val="22"/>
        </w:rPr>
      </w:pPr>
      <w:r w:rsidRPr="002B0DD9">
        <w:rPr>
          <w:rFonts w:ascii="Calibri" w:hAnsi="Calibri" w:cs="Calibri"/>
          <w:i/>
          <w:sz w:val="22"/>
          <w:szCs w:val="22"/>
        </w:rPr>
        <w:t>Note: Some of the DEER heat pump savings are negative for certain climate zones.</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SEER 14, 15, 16, 17, 18 Residential AC, split only</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SEER 14, 15, 16 Residential HP</w:t>
      </w:r>
    </w:p>
    <w:p w:rsidR="002B0DD9" w:rsidRPr="002B0DD9" w:rsidRDefault="002B0DD9" w:rsidP="002B0DD9">
      <w:pPr>
        <w:rPr>
          <w:rFonts w:ascii="Calibri" w:hAnsi="Calibri" w:cs="Calibri"/>
          <w:sz w:val="22"/>
          <w:szCs w:val="20"/>
        </w:rPr>
      </w:pPr>
    </w:p>
    <w:p w:rsidR="002B0DD9" w:rsidRPr="002B0DD9" w:rsidRDefault="002B0DD9" w:rsidP="002B0DD9">
      <w:pPr>
        <w:rPr>
          <w:rFonts w:ascii="Calibri" w:hAnsi="Calibri" w:cs="Calibri"/>
          <w:sz w:val="22"/>
          <w:szCs w:val="20"/>
        </w:rPr>
      </w:pPr>
      <w:r w:rsidRPr="002B0DD9">
        <w:rPr>
          <w:rFonts w:ascii="Calibri" w:hAnsi="Calibri" w:cs="Calibri"/>
          <w:sz w:val="22"/>
          <w:szCs w:val="20"/>
        </w:rPr>
        <w:t>If a measure was available from DEER, the DEER savings were used. The following measures were not available, so their savings were calculated by scaling existing DEER measures:</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 xml:space="preserve">SEER 15, 16, 17, 18 Commercial AC, for size ranges &lt;55 </w:t>
      </w:r>
      <w:proofErr w:type="spellStart"/>
      <w:r w:rsidRPr="002B0DD9">
        <w:rPr>
          <w:rFonts w:ascii="Calibri" w:hAnsi="Calibri" w:cs="Calibri"/>
          <w:sz w:val="22"/>
          <w:szCs w:val="20"/>
        </w:rPr>
        <w:t>kBtu</w:t>
      </w:r>
      <w:proofErr w:type="spellEnd"/>
      <w:r w:rsidRPr="002B0DD9">
        <w:rPr>
          <w:rFonts w:ascii="Calibri" w:hAnsi="Calibri" w:cs="Calibri"/>
          <w:sz w:val="22"/>
          <w:szCs w:val="20"/>
        </w:rPr>
        <w:t xml:space="preserve">/h and 55-64 </w:t>
      </w:r>
      <w:proofErr w:type="spellStart"/>
      <w:r w:rsidRPr="002B0DD9">
        <w:rPr>
          <w:rFonts w:ascii="Calibri" w:hAnsi="Calibri" w:cs="Calibri"/>
          <w:sz w:val="22"/>
          <w:szCs w:val="20"/>
        </w:rPr>
        <w:t>kBtu</w:t>
      </w:r>
      <w:proofErr w:type="spellEnd"/>
      <w:r w:rsidRPr="002B0DD9">
        <w:rPr>
          <w:rFonts w:ascii="Calibri" w:hAnsi="Calibri" w:cs="Calibri"/>
          <w:sz w:val="22"/>
          <w:szCs w:val="20"/>
        </w:rPr>
        <w:t>/h</w:t>
      </w:r>
    </w:p>
    <w:p w:rsidR="002B0DD9" w:rsidRPr="002B0DD9" w:rsidRDefault="002B0DD9" w:rsidP="002B0DD9">
      <w:pPr>
        <w:numPr>
          <w:ilvl w:val="0"/>
          <w:numId w:val="10"/>
        </w:numPr>
        <w:rPr>
          <w:rFonts w:ascii="Calibri" w:hAnsi="Calibri" w:cs="Calibri"/>
          <w:sz w:val="22"/>
          <w:szCs w:val="20"/>
        </w:rPr>
      </w:pPr>
      <w:r w:rsidRPr="002B0DD9">
        <w:rPr>
          <w:rFonts w:ascii="Calibri" w:hAnsi="Calibri" w:cs="Calibri"/>
          <w:sz w:val="22"/>
          <w:szCs w:val="20"/>
        </w:rPr>
        <w:t xml:space="preserve">SEER 16, 17, 18 Commercial Heat Pump, for size ranges &lt;55 </w:t>
      </w:r>
      <w:proofErr w:type="spellStart"/>
      <w:r w:rsidRPr="002B0DD9">
        <w:rPr>
          <w:rFonts w:ascii="Calibri" w:hAnsi="Calibri" w:cs="Calibri"/>
          <w:sz w:val="22"/>
          <w:szCs w:val="20"/>
        </w:rPr>
        <w:t>kBtu</w:t>
      </w:r>
      <w:proofErr w:type="spellEnd"/>
      <w:r w:rsidRPr="002B0DD9">
        <w:rPr>
          <w:rFonts w:ascii="Calibri" w:hAnsi="Calibri" w:cs="Calibri"/>
          <w:sz w:val="22"/>
          <w:szCs w:val="20"/>
        </w:rPr>
        <w:t xml:space="preserve">/h and 55-64 </w:t>
      </w:r>
      <w:proofErr w:type="spellStart"/>
      <w:r w:rsidRPr="002B0DD9">
        <w:rPr>
          <w:rFonts w:ascii="Calibri" w:hAnsi="Calibri" w:cs="Calibri"/>
          <w:sz w:val="22"/>
          <w:szCs w:val="20"/>
        </w:rPr>
        <w:t>kBtu</w:t>
      </w:r>
      <w:proofErr w:type="spellEnd"/>
      <w:r w:rsidRPr="002B0DD9">
        <w:rPr>
          <w:rFonts w:ascii="Calibri" w:hAnsi="Calibri" w:cs="Calibri"/>
          <w:sz w:val="22"/>
          <w:szCs w:val="20"/>
        </w:rPr>
        <w:t>/h</w:t>
      </w:r>
    </w:p>
    <w:p w:rsidR="002B0DD9" w:rsidRPr="002B0DD9" w:rsidRDefault="002B0DD9" w:rsidP="002B0DD9">
      <w:pPr>
        <w:rPr>
          <w:rFonts w:ascii="Calibri" w:hAnsi="Calibri" w:cs="Calibri"/>
          <w:sz w:val="22"/>
          <w:szCs w:val="22"/>
        </w:rPr>
      </w:pPr>
    </w:p>
    <w:p w:rsidR="002B0DD9" w:rsidRDefault="002B0DD9" w:rsidP="002B0DD9">
      <w:pPr>
        <w:rPr>
          <w:rFonts w:ascii="Calibri" w:hAnsi="Calibri" w:cs="Calibri"/>
          <w:sz w:val="22"/>
          <w:szCs w:val="22"/>
        </w:rPr>
      </w:pPr>
    </w:p>
    <w:p w:rsidR="00331609" w:rsidRPr="002B0DD9" w:rsidRDefault="00331609" w:rsidP="002B0DD9">
      <w:pPr>
        <w:rPr>
          <w:rFonts w:ascii="Calibri" w:hAnsi="Calibri" w:cs="Calibri"/>
          <w:sz w:val="22"/>
          <w:szCs w:val="22"/>
        </w:rPr>
      </w:pPr>
    </w:p>
    <w:p w:rsidR="002B0DD9" w:rsidRPr="002B0DD9" w:rsidRDefault="002B0DD9" w:rsidP="002B0DD9">
      <w:pPr>
        <w:rPr>
          <w:rFonts w:ascii="Calibri" w:hAnsi="Calibri" w:cs="Calibri"/>
          <w:b/>
          <w:sz w:val="22"/>
          <w:szCs w:val="22"/>
        </w:rPr>
      </w:pPr>
      <w:r w:rsidRPr="002B0DD9">
        <w:rPr>
          <w:rFonts w:ascii="Calibri" w:hAnsi="Calibri" w:cs="Calibri"/>
          <w:b/>
          <w:sz w:val="22"/>
          <w:szCs w:val="22"/>
        </w:rPr>
        <w:lastRenderedPageBreak/>
        <w:t>Scaling Factors</w:t>
      </w: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The DEER residential AC measures are used to scale the commercial measures. It is assumed that the ratio of savings between a SEER 15 and SEER 14 residential AC unit is the same as it is for commercial AC units. This assumption is extended (i.e. ratios of 16 to 14 SEER, 17 to 14 SEER, and 18 to 14 SEER are the same for residential and commercial) in order to develop estimates for all measures in this work paper. </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u w:val="single"/>
        </w:rPr>
      </w:pPr>
      <w:r w:rsidRPr="002B0DD9">
        <w:rPr>
          <w:rFonts w:ascii="Calibri" w:hAnsi="Calibri" w:cs="Calibri"/>
          <w:sz w:val="22"/>
          <w:szCs w:val="22"/>
          <w:u w:val="single"/>
        </w:rPr>
        <w:t>Example: SEER 15 commercial AC unit, Assembly building type, climate zone 6, &lt; 55k BTU/h:</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ab/>
        <w:t>SEER 14 Residential Split AC kWh Savings Above Code (average of SFM, MFM, DMO) = 13.53</w:t>
      </w:r>
    </w:p>
    <w:p w:rsidR="002B0DD9" w:rsidRPr="002B0DD9" w:rsidRDefault="002B0DD9" w:rsidP="002B0DD9">
      <w:pPr>
        <w:rPr>
          <w:rFonts w:ascii="Calibri" w:hAnsi="Calibri" w:cs="Calibri"/>
          <w:sz w:val="22"/>
          <w:szCs w:val="22"/>
        </w:rPr>
      </w:pPr>
      <w:r w:rsidRPr="002B0DD9">
        <w:rPr>
          <w:rFonts w:ascii="Calibri" w:hAnsi="Calibri" w:cs="Calibri"/>
          <w:sz w:val="22"/>
          <w:szCs w:val="22"/>
        </w:rPr>
        <w:tab/>
        <w:t>SEER 15 Residential Split AC kWh Savings Above Code (average of SFM, MFM, DMO) = 29.70</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t>Scaling Factor = 29.70 / 13.53 = 2.19458</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p>
    <w:p w:rsidR="002B0DD9" w:rsidRPr="002B0DD9" w:rsidRDefault="002B0DD9" w:rsidP="002B0DD9">
      <w:pPr>
        <w:rPr>
          <w:rFonts w:ascii="Calibri" w:hAnsi="Calibri" w:cs="Calibri"/>
          <w:sz w:val="22"/>
          <w:szCs w:val="22"/>
        </w:rPr>
      </w:pPr>
      <w:r w:rsidRPr="002B0DD9">
        <w:rPr>
          <w:rFonts w:ascii="Calibri" w:hAnsi="Calibri" w:cs="Calibri"/>
          <w:sz w:val="22"/>
          <w:szCs w:val="22"/>
        </w:rPr>
        <w:tab/>
        <w:t>SEER 14 Commercial AC kWh Savings Above Code (average of split and packaged) = 286</w:t>
      </w:r>
    </w:p>
    <w:p w:rsidR="002B0DD9" w:rsidRPr="002B0DD9" w:rsidRDefault="002B0DD9" w:rsidP="002B0DD9">
      <w:pPr>
        <w:rPr>
          <w:rFonts w:ascii="Calibri" w:hAnsi="Calibri" w:cs="Calibri"/>
          <w:sz w:val="22"/>
          <w:szCs w:val="22"/>
        </w:rPr>
      </w:pPr>
      <w:r w:rsidRPr="002B0DD9">
        <w:rPr>
          <w:rFonts w:ascii="Calibri" w:hAnsi="Calibri" w:cs="Calibri"/>
          <w:sz w:val="22"/>
          <w:szCs w:val="22"/>
        </w:rPr>
        <w:tab/>
        <w:t>SEER 15 Commercial AC Scaled DEER kWh Savings Above Code</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14 SEER Commercial AC kWh Savings * Scaling Factor</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286 * 2.19458</w:t>
      </w:r>
    </w:p>
    <w:p w:rsidR="002B0DD9" w:rsidRPr="002B0DD9" w:rsidRDefault="002B0DD9" w:rsidP="002B0DD9">
      <w:pPr>
        <w:rPr>
          <w:rFonts w:ascii="Calibri" w:hAnsi="Calibri" w:cs="Calibri"/>
          <w:sz w:val="22"/>
          <w:szCs w:val="22"/>
          <w:u w:val="single"/>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627.65</w:t>
      </w:r>
    </w:p>
    <w:p w:rsidR="002B0DD9" w:rsidRPr="002B0DD9" w:rsidRDefault="002B0DD9" w:rsidP="002B0DD9">
      <w:pPr>
        <w:rPr>
          <w:rFonts w:ascii="Calibri" w:hAnsi="Calibri" w:cs="Calibri"/>
          <w:sz w:val="22"/>
          <w:szCs w:val="22"/>
          <w:u w:val="single"/>
        </w:rPr>
      </w:pPr>
    </w:p>
    <w:p w:rsidR="002B0DD9" w:rsidRPr="002B0DD9" w:rsidRDefault="00BD41CE" w:rsidP="002B0DD9">
      <w:pPr>
        <w:rPr>
          <w:rFonts w:ascii="Calibri" w:hAnsi="Calibri" w:cs="Calibri"/>
          <w:sz w:val="22"/>
          <w:szCs w:val="22"/>
          <w:u w:val="single"/>
        </w:rPr>
      </w:pPr>
      <w:r>
        <w:rPr>
          <w:rFonts w:ascii="Calibri" w:hAnsi="Calibri" w:cs="Calibri"/>
          <w:sz w:val="22"/>
          <w:szCs w:val="22"/>
        </w:rPr>
        <w:t>Table 9</w:t>
      </w:r>
      <w:r w:rsidR="002B0DD9" w:rsidRPr="002B0DD9">
        <w:rPr>
          <w:rFonts w:ascii="Calibri" w:hAnsi="Calibri" w:cs="Calibri"/>
          <w:sz w:val="22"/>
          <w:szCs w:val="22"/>
        </w:rPr>
        <w:t xml:space="preserve"> shows sample scaling factors for climate zone 6. Note that since only up to SEER 16 residential HP measures were available in DEER, the 17 and 18 SEER commercial HP measures used the AC scaling factors.</w:t>
      </w:r>
    </w:p>
    <w:p w:rsidR="002B0DD9" w:rsidRPr="002B0DD9" w:rsidRDefault="002B0DD9" w:rsidP="002B0DD9">
      <w:pPr>
        <w:rPr>
          <w:rFonts w:ascii="Calibri" w:hAnsi="Calibri" w:cs="Calibri"/>
          <w:sz w:val="22"/>
          <w:szCs w:val="22"/>
          <w:u w:val="single"/>
        </w:rPr>
      </w:pPr>
    </w:p>
    <w:p w:rsidR="002B0DD9" w:rsidRPr="002B0DD9" w:rsidRDefault="00BD41CE" w:rsidP="002B0DD9">
      <w:pPr>
        <w:jc w:val="center"/>
        <w:rPr>
          <w:rFonts w:asciiTheme="minorHAnsi" w:hAnsiTheme="minorHAnsi" w:cs="Calibri"/>
          <w:b/>
          <w:bCs/>
          <w:sz w:val="22"/>
          <w:szCs w:val="22"/>
        </w:rPr>
      </w:pPr>
      <w:r>
        <w:rPr>
          <w:rFonts w:asciiTheme="minorHAnsi" w:hAnsiTheme="minorHAnsi"/>
          <w:b/>
          <w:bCs/>
          <w:sz w:val="22"/>
          <w:szCs w:val="22"/>
        </w:rPr>
        <w:t>Table 9</w:t>
      </w:r>
      <w:r w:rsidR="002B0DD9" w:rsidRPr="002B0DD9">
        <w:rPr>
          <w:rFonts w:asciiTheme="minorHAnsi" w:hAnsiTheme="minorHAnsi"/>
          <w:b/>
          <w:bCs/>
          <w:sz w:val="22"/>
          <w:szCs w:val="22"/>
        </w:rPr>
        <w:t xml:space="preserve"> </w:t>
      </w:r>
      <w:r w:rsidR="002B0DD9" w:rsidRPr="002B0DD9">
        <w:rPr>
          <w:rFonts w:asciiTheme="minorHAnsi" w:hAnsiTheme="minorHAnsi" w:cs="Calibri"/>
          <w:b/>
          <w:bCs/>
          <w:sz w:val="22"/>
          <w:szCs w:val="22"/>
        </w:rPr>
        <w:t>Sample Scaling Factors</w:t>
      </w:r>
    </w:p>
    <w:tbl>
      <w:tblPr>
        <w:tblStyle w:val="TableContemporary6"/>
        <w:tblW w:w="5122" w:type="pct"/>
        <w:tblInd w:w="108" w:type="dxa"/>
        <w:tblLook w:val="01E0" w:firstRow="1" w:lastRow="1" w:firstColumn="1" w:lastColumn="1" w:noHBand="0" w:noVBand="0"/>
      </w:tblPr>
      <w:tblGrid>
        <w:gridCol w:w="819"/>
        <w:gridCol w:w="659"/>
        <w:gridCol w:w="971"/>
        <w:gridCol w:w="1018"/>
        <w:gridCol w:w="1207"/>
        <w:gridCol w:w="795"/>
        <w:gridCol w:w="795"/>
        <w:gridCol w:w="838"/>
        <w:gridCol w:w="2708"/>
      </w:tblGrid>
      <w:tr w:rsidR="002B0DD9" w:rsidRPr="002B0DD9" w:rsidTr="002B0DD9">
        <w:trPr>
          <w:cnfStyle w:val="100000000000" w:firstRow="1" w:lastRow="0" w:firstColumn="0" w:lastColumn="0" w:oddVBand="0" w:evenVBand="0" w:oddHBand="0" w:evenHBand="0" w:firstRowFirstColumn="0" w:firstRowLastColumn="0" w:lastRowFirstColumn="0" w:lastRowLastColumn="0"/>
        </w:trPr>
        <w:tc>
          <w:tcPr>
            <w:tcW w:w="417"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System</w:t>
            </w:r>
          </w:p>
        </w:tc>
        <w:tc>
          <w:tcPr>
            <w:tcW w:w="336"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SEER</w:t>
            </w:r>
          </w:p>
        </w:tc>
        <w:tc>
          <w:tcPr>
            <w:tcW w:w="495"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kWh/ton savings</w:t>
            </w:r>
          </w:p>
        </w:tc>
        <w:tc>
          <w:tcPr>
            <w:tcW w:w="519"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kW/ton savings</w:t>
            </w:r>
          </w:p>
        </w:tc>
        <w:tc>
          <w:tcPr>
            <w:tcW w:w="615" w:type="pct"/>
          </w:tcPr>
          <w:p w:rsidR="002B0DD9" w:rsidRPr="002B0DD9" w:rsidRDefault="002B0DD9" w:rsidP="002B0DD9">
            <w:pPr>
              <w:jc w:val="center"/>
              <w:rPr>
                <w:rFonts w:ascii="Calibri" w:hAnsi="Calibri" w:cs="Calibri"/>
                <w:bCs w:val="0"/>
                <w:color w:val="000000"/>
                <w:sz w:val="20"/>
                <w:szCs w:val="22"/>
              </w:rPr>
            </w:pPr>
            <w:proofErr w:type="spellStart"/>
            <w:r w:rsidRPr="002B0DD9">
              <w:rPr>
                <w:rFonts w:ascii="Calibri" w:hAnsi="Calibri" w:cs="Calibri"/>
                <w:bCs w:val="0"/>
                <w:color w:val="000000"/>
                <w:sz w:val="20"/>
                <w:szCs w:val="22"/>
              </w:rPr>
              <w:t>Therms</w:t>
            </w:r>
            <w:proofErr w:type="spellEnd"/>
            <w:r w:rsidRPr="002B0DD9">
              <w:rPr>
                <w:rFonts w:ascii="Calibri" w:hAnsi="Calibri" w:cs="Calibri"/>
                <w:bCs w:val="0"/>
                <w:color w:val="000000"/>
                <w:sz w:val="20"/>
                <w:szCs w:val="22"/>
              </w:rPr>
              <w:t>/ton savings</w:t>
            </w:r>
          </w:p>
        </w:tc>
        <w:tc>
          <w:tcPr>
            <w:tcW w:w="405"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kWh Scaling Factor</w:t>
            </w:r>
          </w:p>
        </w:tc>
        <w:tc>
          <w:tcPr>
            <w:tcW w:w="405"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kW Scaling Factor</w:t>
            </w:r>
          </w:p>
        </w:tc>
        <w:tc>
          <w:tcPr>
            <w:tcW w:w="427" w:type="pct"/>
          </w:tcPr>
          <w:p w:rsidR="002B0DD9" w:rsidRPr="002B0DD9" w:rsidRDefault="002B0DD9" w:rsidP="002B0DD9">
            <w:pPr>
              <w:jc w:val="center"/>
              <w:rPr>
                <w:rFonts w:ascii="Calibri" w:hAnsi="Calibri" w:cs="Calibri"/>
                <w:bCs w:val="0"/>
                <w:color w:val="000000"/>
                <w:sz w:val="20"/>
                <w:szCs w:val="22"/>
              </w:rPr>
            </w:pPr>
            <w:proofErr w:type="spellStart"/>
            <w:r w:rsidRPr="002B0DD9">
              <w:rPr>
                <w:rFonts w:ascii="Calibri" w:hAnsi="Calibri" w:cs="Calibri"/>
                <w:bCs w:val="0"/>
                <w:color w:val="000000"/>
                <w:sz w:val="20"/>
                <w:szCs w:val="22"/>
              </w:rPr>
              <w:t>Therms</w:t>
            </w:r>
            <w:proofErr w:type="spellEnd"/>
            <w:r w:rsidRPr="002B0DD9">
              <w:rPr>
                <w:rFonts w:ascii="Calibri" w:hAnsi="Calibri" w:cs="Calibri"/>
                <w:bCs w:val="0"/>
                <w:color w:val="000000"/>
                <w:sz w:val="20"/>
                <w:szCs w:val="22"/>
              </w:rPr>
              <w:t xml:space="preserve"> Scaling Factor</w:t>
            </w:r>
          </w:p>
        </w:tc>
        <w:tc>
          <w:tcPr>
            <w:tcW w:w="1380"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Comments</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2"/>
              </w:rPr>
              <w:t>AC</w:t>
            </w:r>
          </w:p>
        </w:tc>
        <w:tc>
          <w:tcPr>
            <w:tcW w:w="336"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14</w:t>
            </w:r>
          </w:p>
        </w:tc>
        <w:tc>
          <w:tcPr>
            <w:tcW w:w="49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13.53</w:t>
            </w:r>
          </w:p>
        </w:tc>
        <w:tc>
          <w:tcPr>
            <w:tcW w:w="519"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0.00630</w:t>
            </w:r>
          </w:p>
        </w:tc>
        <w:tc>
          <w:tcPr>
            <w:tcW w:w="61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-0.274</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27"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1380" w:type="pct"/>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No scaling; in DEER already.</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2"/>
              </w:rPr>
              <w:t>AC</w:t>
            </w:r>
          </w:p>
        </w:tc>
        <w:tc>
          <w:tcPr>
            <w:tcW w:w="336"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15</w:t>
            </w:r>
          </w:p>
        </w:tc>
        <w:tc>
          <w:tcPr>
            <w:tcW w:w="49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29.70</w:t>
            </w:r>
          </w:p>
        </w:tc>
        <w:tc>
          <w:tcPr>
            <w:tcW w:w="519"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0.01361</w:t>
            </w:r>
          </w:p>
        </w:tc>
        <w:tc>
          <w:tcPr>
            <w:tcW w:w="61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-0.500</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2.19</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2.16</w:t>
            </w:r>
          </w:p>
        </w:tc>
        <w:tc>
          <w:tcPr>
            <w:tcW w:w="427"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1.82</w:t>
            </w:r>
          </w:p>
        </w:tc>
        <w:tc>
          <w:tcPr>
            <w:tcW w:w="1380" w:type="pct"/>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Scales off of SEER 14 AC.</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2"/>
              </w:rPr>
              <w:t>AC</w:t>
            </w:r>
          </w:p>
        </w:tc>
        <w:tc>
          <w:tcPr>
            <w:tcW w:w="336"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16</w:t>
            </w:r>
          </w:p>
        </w:tc>
        <w:tc>
          <w:tcPr>
            <w:tcW w:w="49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20.97</w:t>
            </w:r>
          </w:p>
        </w:tc>
        <w:tc>
          <w:tcPr>
            <w:tcW w:w="519"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0.00850</w:t>
            </w:r>
          </w:p>
        </w:tc>
        <w:tc>
          <w:tcPr>
            <w:tcW w:w="61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-0.290</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1.55</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1.35</w:t>
            </w:r>
          </w:p>
        </w:tc>
        <w:tc>
          <w:tcPr>
            <w:tcW w:w="427"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1.06</w:t>
            </w:r>
          </w:p>
        </w:tc>
        <w:tc>
          <w:tcPr>
            <w:tcW w:w="1380" w:type="pct"/>
          </w:tcPr>
          <w:p w:rsidR="002B0DD9" w:rsidRPr="002B0DD9" w:rsidRDefault="002B0DD9" w:rsidP="002B0DD9">
            <w:pPr>
              <w:jc w:val="center"/>
            </w:pPr>
            <w:r w:rsidRPr="002B0DD9">
              <w:rPr>
                <w:rFonts w:ascii="Calibri" w:hAnsi="Calibri"/>
                <w:color w:val="000000"/>
                <w:sz w:val="20"/>
                <w:szCs w:val="20"/>
              </w:rPr>
              <w:t>Scales off of SEER 14 AC.</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2"/>
              </w:rPr>
              <w:t>AC</w:t>
            </w:r>
          </w:p>
        </w:tc>
        <w:tc>
          <w:tcPr>
            <w:tcW w:w="336"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17</w:t>
            </w:r>
          </w:p>
        </w:tc>
        <w:tc>
          <w:tcPr>
            <w:tcW w:w="49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41.00</w:t>
            </w:r>
          </w:p>
        </w:tc>
        <w:tc>
          <w:tcPr>
            <w:tcW w:w="519"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0.01913</w:t>
            </w:r>
          </w:p>
        </w:tc>
        <w:tc>
          <w:tcPr>
            <w:tcW w:w="61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-0.552</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3.03</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3.04</w:t>
            </w:r>
          </w:p>
        </w:tc>
        <w:tc>
          <w:tcPr>
            <w:tcW w:w="427"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2.01</w:t>
            </w:r>
          </w:p>
        </w:tc>
        <w:tc>
          <w:tcPr>
            <w:tcW w:w="1380" w:type="pct"/>
          </w:tcPr>
          <w:p w:rsidR="002B0DD9" w:rsidRPr="002B0DD9" w:rsidRDefault="002B0DD9" w:rsidP="002B0DD9">
            <w:pPr>
              <w:jc w:val="center"/>
            </w:pPr>
            <w:r w:rsidRPr="002B0DD9">
              <w:rPr>
                <w:rFonts w:ascii="Calibri" w:hAnsi="Calibri"/>
                <w:color w:val="000000"/>
                <w:sz w:val="20"/>
                <w:szCs w:val="20"/>
              </w:rPr>
              <w:t>Scales off of SEER 14 AC.</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2"/>
              </w:rPr>
              <w:t>AC</w:t>
            </w:r>
          </w:p>
        </w:tc>
        <w:tc>
          <w:tcPr>
            <w:tcW w:w="336"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18</w:t>
            </w:r>
          </w:p>
        </w:tc>
        <w:tc>
          <w:tcPr>
            <w:tcW w:w="49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47.93</w:t>
            </w:r>
          </w:p>
        </w:tc>
        <w:tc>
          <w:tcPr>
            <w:tcW w:w="519"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0.02577</w:t>
            </w:r>
          </w:p>
        </w:tc>
        <w:tc>
          <w:tcPr>
            <w:tcW w:w="61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-0.485</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3.54</w:t>
            </w:r>
          </w:p>
        </w:tc>
        <w:tc>
          <w:tcPr>
            <w:tcW w:w="405"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4.09</w:t>
            </w:r>
          </w:p>
        </w:tc>
        <w:tc>
          <w:tcPr>
            <w:tcW w:w="427" w:type="pct"/>
            <w:vAlign w:val="center"/>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1.77</w:t>
            </w:r>
          </w:p>
        </w:tc>
        <w:tc>
          <w:tcPr>
            <w:tcW w:w="1380" w:type="pct"/>
          </w:tcPr>
          <w:p w:rsidR="002B0DD9" w:rsidRPr="002B0DD9" w:rsidRDefault="002B0DD9" w:rsidP="002B0DD9">
            <w:pPr>
              <w:jc w:val="center"/>
            </w:pPr>
            <w:r w:rsidRPr="002B0DD9">
              <w:rPr>
                <w:rFonts w:ascii="Calibri" w:hAnsi="Calibri"/>
                <w:color w:val="000000"/>
                <w:sz w:val="20"/>
                <w:szCs w:val="20"/>
              </w:rPr>
              <w:t>Scales off of SEER 14 AC.</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14</w:t>
            </w:r>
          </w:p>
        </w:tc>
        <w:tc>
          <w:tcPr>
            <w:tcW w:w="49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48.30</w:t>
            </w:r>
          </w:p>
        </w:tc>
        <w:tc>
          <w:tcPr>
            <w:tcW w:w="519"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0.00536</w:t>
            </w:r>
          </w:p>
        </w:tc>
        <w:tc>
          <w:tcPr>
            <w:tcW w:w="61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0.00</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1380" w:type="pct"/>
          </w:tcPr>
          <w:p w:rsidR="002B0DD9" w:rsidRPr="002B0DD9" w:rsidRDefault="002B0DD9" w:rsidP="002B0DD9">
            <w:pPr>
              <w:jc w:val="center"/>
            </w:pPr>
            <w:r w:rsidRPr="002B0DD9">
              <w:rPr>
                <w:rFonts w:ascii="Calibri" w:hAnsi="Calibri"/>
                <w:color w:val="000000"/>
                <w:sz w:val="20"/>
                <w:szCs w:val="20"/>
              </w:rPr>
              <w:t>No scaling; in DEER already.</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14.5</w:t>
            </w:r>
          </w:p>
        </w:tc>
        <w:tc>
          <w:tcPr>
            <w:tcW w:w="495" w:type="pct"/>
          </w:tcPr>
          <w:p w:rsidR="002B0DD9" w:rsidRPr="002B0DD9" w:rsidRDefault="002B0DD9" w:rsidP="002B0DD9">
            <w:pPr>
              <w:jc w:val="center"/>
            </w:pPr>
            <w:r w:rsidRPr="002B0DD9">
              <w:rPr>
                <w:rFonts w:ascii="Calibri" w:hAnsi="Calibri"/>
                <w:color w:val="000000"/>
                <w:sz w:val="20"/>
                <w:szCs w:val="20"/>
              </w:rPr>
              <w:t>N/A</w:t>
            </w:r>
          </w:p>
        </w:tc>
        <w:tc>
          <w:tcPr>
            <w:tcW w:w="519" w:type="pct"/>
          </w:tcPr>
          <w:p w:rsidR="002B0DD9" w:rsidRPr="002B0DD9" w:rsidRDefault="002B0DD9" w:rsidP="002B0DD9">
            <w:pPr>
              <w:jc w:val="center"/>
            </w:pPr>
            <w:r w:rsidRPr="002B0DD9">
              <w:rPr>
                <w:rFonts w:ascii="Calibri" w:hAnsi="Calibri"/>
                <w:color w:val="000000"/>
                <w:sz w:val="20"/>
                <w:szCs w:val="20"/>
              </w:rPr>
              <w:t>N/A</w:t>
            </w:r>
          </w:p>
        </w:tc>
        <w:tc>
          <w:tcPr>
            <w:tcW w:w="615" w:type="pct"/>
          </w:tcPr>
          <w:p w:rsidR="002B0DD9" w:rsidRPr="002B0DD9" w:rsidRDefault="002B0DD9" w:rsidP="002B0DD9">
            <w:pPr>
              <w:jc w:val="center"/>
            </w:pPr>
            <w:r w:rsidRPr="002B0DD9">
              <w:rPr>
                <w:rFonts w:ascii="Calibri" w:hAnsi="Calibri"/>
                <w:color w:val="000000"/>
                <w:sz w:val="20"/>
                <w:szCs w:val="20"/>
              </w:rPr>
              <w:t>N/A</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1380" w:type="pct"/>
          </w:tcPr>
          <w:p w:rsidR="002B0DD9" w:rsidRPr="002B0DD9" w:rsidRDefault="002B0DD9" w:rsidP="002B0DD9">
            <w:pPr>
              <w:jc w:val="center"/>
            </w:pPr>
            <w:r w:rsidRPr="002B0DD9">
              <w:rPr>
                <w:rFonts w:ascii="Calibri" w:hAnsi="Calibri"/>
                <w:color w:val="000000"/>
                <w:sz w:val="20"/>
                <w:szCs w:val="20"/>
              </w:rPr>
              <w:t>No scaling; in DEER already.</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15</w:t>
            </w:r>
          </w:p>
        </w:tc>
        <w:tc>
          <w:tcPr>
            <w:tcW w:w="49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93.07</w:t>
            </w:r>
          </w:p>
        </w:tc>
        <w:tc>
          <w:tcPr>
            <w:tcW w:w="519"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0.02179</w:t>
            </w:r>
          </w:p>
        </w:tc>
        <w:tc>
          <w:tcPr>
            <w:tcW w:w="61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0.011</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1.00</w:t>
            </w:r>
          </w:p>
        </w:tc>
        <w:tc>
          <w:tcPr>
            <w:tcW w:w="1380" w:type="pct"/>
          </w:tcPr>
          <w:p w:rsidR="002B0DD9" w:rsidRPr="002B0DD9" w:rsidRDefault="002B0DD9" w:rsidP="002B0DD9">
            <w:pPr>
              <w:jc w:val="center"/>
            </w:pPr>
            <w:r w:rsidRPr="002B0DD9">
              <w:rPr>
                <w:rFonts w:ascii="Calibri" w:hAnsi="Calibri"/>
                <w:color w:val="000000"/>
                <w:sz w:val="20"/>
                <w:szCs w:val="20"/>
              </w:rPr>
              <w:t>No scaling; in DEER already.</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16</w:t>
            </w:r>
          </w:p>
        </w:tc>
        <w:tc>
          <w:tcPr>
            <w:tcW w:w="49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118.87</w:t>
            </w:r>
          </w:p>
        </w:tc>
        <w:tc>
          <w:tcPr>
            <w:tcW w:w="519"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0.01250</w:t>
            </w:r>
          </w:p>
        </w:tc>
        <w:tc>
          <w:tcPr>
            <w:tcW w:w="61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0.015</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1.28</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0.57</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1.31</w:t>
            </w:r>
          </w:p>
        </w:tc>
        <w:tc>
          <w:tcPr>
            <w:tcW w:w="1380" w:type="pct"/>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Scales off of SEER 15 HP.</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17</w:t>
            </w:r>
          </w:p>
        </w:tc>
        <w:tc>
          <w:tcPr>
            <w:tcW w:w="495" w:type="pct"/>
          </w:tcPr>
          <w:p w:rsidR="002B0DD9" w:rsidRPr="002B0DD9" w:rsidRDefault="002B0DD9" w:rsidP="002B0DD9">
            <w:pPr>
              <w:jc w:val="center"/>
            </w:pPr>
            <w:r w:rsidRPr="002B0DD9">
              <w:rPr>
                <w:rFonts w:ascii="Calibri" w:hAnsi="Calibri"/>
                <w:color w:val="000000"/>
                <w:sz w:val="20"/>
                <w:szCs w:val="20"/>
              </w:rPr>
              <w:t>N/A</w:t>
            </w:r>
          </w:p>
        </w:tc>
        <w:tc>
          <w:tcPr>
            <w:tcW w:w="519" w:type="pct"/>
          </w:tcPr>
          <w:p w:rsidR="002B0DD9" w:rsidRPr="002B0DD9" w:rsidRDefault="002B0DD9" w:rsidP="002B0DD9">
            <w:pPr>
              <w:jc w:val="center"/>
            </w:pPr>
            <w:r w:rsidRPr="002B0DD9">
              <w:rPr>
                <w:rFonts w:ascii="Calibri" w:hAnsi="Calibri"/>
                <w:color w:val="000000"/>
                <w:sz w:val="20"/>
                <w:szCs w:val="20"/>
              </w:rPr>
              <w:t>N/A</w:t>
            </w:r>
          </w:p>
        </w:tc>
        <w:tc>
          <w:tcPr>
            <w:tcW w:w="615" w:type="pct"/>
          </w:tcPr>
          <w:p w:rsidR="002B0DD9" w:rsidRPr="002B0DD9" w:rsidRDefault="002B0DD9" w:rsidP="002B0DD9">
            <w:pPr>
              <w:jc w:val="center"/>
            </w:pPr>
            <w:r w:rsidRPr="002B0DD9">
              <w:rPr>
                <w:rFonts w:ascii="Calibri" w:hAnsi="Calibri"/>
                <w:color w:val="000000"/>
                <w:sz w:val="20"/>
                <w:szCs w:val="20"/>
              </w:rPr>
              <w:t>N/A</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3.03</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3.04</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2.01</w:t>
            </w:r>
          </w:p>
        </w:tc>
        <w:tc>
          <w:tcPr>
            <w:tcW w:w="1380" w:type="pct"/>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Same as SEER 17 AC factor.</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417" w:type="pct"/>
            <w:vAlign w:val="center"/>
          </w:tcPr>
          <w:p w:rsidR="002B0DD9" w:rsidRPr="002B0DD9" w:rsidRDefault="002B0DD9" w:rsidP="002B0DD9">
            <w:pPr>
              <w:jc w:val="center"/>
            </w:pPr>
            <w:r w:rsidRPr="002B0DD9">
              <w:rPr>
                <w:rFonts w:ascii="Calibri" w:hAnsi="Calibri" w:cs="Calibri"/>
                <w:color w:val="000000"/>
                <w:sz w:val="20"/>
                <w:szCs w:val="20"/>
              </w:rPr>
              <w:t>HP</w:t>
            </w:r>
          </w:p>
        </w:tc>
        <w:tc>
          <w:tcPr>
            <w:tcW w:w="33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18</w:t>
            </w:r>
          </w:p>
        </w:tc>
        <w:tc>
          <w:tcPr>
            <w:tcW w:w="495" w:type="pct"/>
          </w:tcPr>
          <w:p w:rsidR="002B0DD9" w:rsidRPr="002B0DD9" w:rsidRDefault="002B0DD9" w:rsidP="002B0DD9">
            <w:pPr>
              <w:jc w:val="center"/>
            </w:pPr>
            <w:r w:rsidRPr="002B0DD9">
              <w:rPr>
                <w:rFonts w:ascii="Calibri" w:hAnsi="Calibri"/>
                <w:color w:val="000000"/>
                <w:sz w:val="20"/>
                <w:szCs w:val="20"/>
              </w:rPr>
              <w:t>N/A</w:t>
            </w:r>
          </w:p>
        </w:tc>
        <w:tc>
          <w:tcPr>
            <w:tcW w:w="519" w:type="pct"/>
          </w:tcPr>
          <w:p w:rsidR="002B0DD9" w:rsidRPr="002B0DD9" w:rsidRDefault="002B0DD9" w:rsidP="002B0DD9">
            <w:pPr>
              <w:jc w:val="center"/>
            </w:pPr>
            <w:r w:rsidRPr="002B0DD9">
              <w:rPr>
                <w:rFonts w:ascii="Calibri" w:hAnsi="Calibri"/>
                <w:color w:val="000000"/>
                <w:sz w:val="20"/>
                <w:szCs w:val="20"/>
              </w:rPr>
              <w:t>N/A</w:t>
            </w:r>
          </w:p>
        </w:tc>
        <w:tc>
          <w:tcPr>
            <w:tcW w:w="615" w:type="pct"/>
          </w:tcPr>
          <w:p w:rsidR="002B0DD9" w:rsidRPr="002B0DD9" w:rsidRDefault="002B0DD9" w:rsidP="002B0DD9">
            <w:pPr>
              <w:jc w:val="center"/>
            </w:pPr>
            <w:r w:rsidRPr="002B0DD9">
              <w:rPr>
                <w:rFonts w:ascii="Calibri" w:hAnsi="Calibri"/>
                <w:color w:val="000000"/>
                <w:sz w:val="20"/>
                <w:szCs w:val="20"/>
              </w:rPr>
              <w:t>N/A</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3.54</w:t>
            </w:r>
          </w:p>
        </w:tc>
        <w:tc>
          <w:tcPr>
            <w:tcW w:w="405"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4.09</w:t>
            </w:r>
          </w:p>
        </w:tc>
        <w:tc>
          <w:tcPr>
            <w:tcW w:w="427" w:type="pct"/>
            <w:vAlign w:val="bottom"/>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1.77</w:t>
            </w:r>
          </w:p>
        </w:tc>
        <w:tc>
          <w:tcPr>
            <w:tcW w:w="1380" w:type="pct"/>
          </w:tcPr>
          <w:p w:rsidR="002B0DD9" w:rsidRPr="002B0DD9" w:rsidRDefault="002B0DD9" w:rsidP="002B0DD9">
            <w:pPr>
              <w:jc w:val="center"/>
              <w:rPr>
                <w:rFonts w:ascii="Calibri" w:hAnsi="Calibri"/>
                <w:color w:val="000000"/>
                <w:sz w:val="20"/>
                <w:szCs w:val="20"/>
              </w:rPr>
            </w:pPr>
            <w:r w:rsidRPr="002B0DD9">
              <w:rPr>
                <w:rFonts w:ascii="Calibri" w:hAnsi="Calibri"/>
                <w:color w:val="000000"/>
                <w:sz w:val="20"/>
                <w:szCs w:val="20"/>
              </w:rPr>
              <w:t>Same as SEER 18 AC factor.</w:t>
            </w:r>
          </w:p>
        </w:tc>
      </w:tr>
    </w:tbl>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All measure savings are listed </w:t>
      </w:r>
      <w:r w:rsidR="00331609">
        <w:rPr>
          <w:rFonts w:ascii="Calibri" w:hAnsi="Calibri" w:cs="Calibri"/>
          <w:iCs/>
          <w:sz w:val="22"/>
          <w:szCs w:val="22"/>
        </w:rPr>
        <w:t>in the ex-ante database</w:t>
      </w:r>
      <w:r w:rsidRPr="002B0DD9">
        <w:rPr>
          <w:rFonts w:ascii="Calibri" w:hAnsi="Calibri" w:cs="Calibri"/>
          <w:iCs/>
          <w:sz w:val="22"/>
          <w:szCs w:val="22"/>
        </w:rPr>
        <w:t xml:space="preserve">. </w:t>
      </w:r>
    </w:p>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b/>
          <w:iCs/>
          <w:sz w:val="22"/>
          <w:szCs w:val="22"/>
        </w:rPr>
      </w:pPr>
      <w:r w:rsidRPr="002B0DD9">
        <w:rPr>
          <w:rFonts w:ascii="Calibri" w:hAnsi="Calibri" w:cs="Calibri"/>
          <w:b/>
          <w:iCs/>
          <w:sz w:val="22"/>
          <w:szCs w:val="22"/>
        </w:rPr>
        <w:t>Discussion of Scaling Factors</w:t>
      </w: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The scaling approach assumes that residential split AC units scale similarly to commercial units. It also assumes that the EER values for residential split AC units are the same as for commercial units. </w:t>
      </w:r>
    </w:p>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Data from the AHRI and from the 2010-2012 SCE and PG&amp;E Program show that the EER values for SEER 16 and 17 three phase commercial package units (99% of the units submitted under this measure) are </w:t>
      </w:r>
      <w:r w:rsidRPr="002B0DD9">
        <w:rPr>
          <w:rFonts w:ascii="Calibri" w:hAnsi="Calibri" w:cs="Calibri"/>
          <w:iCs/>
          <w:sz w:val="22"/>
          <w:szCs w:val="22"/>
        </w:rPr>
        <w:lastRenderedPageBreak/>
        <w:t xml:space="preserve">much higher than the EER values modeled in the residential HVAC measures. The average EER of SEER 14, 15, 16, and 17 three phase package AC units from AHRI and the 2010-2012 SCE and PG&amp;E Program are compared to the average EER for DEER residential split AC measures in </w:t>
      </w:r>
      <w:r w:rsidR="00BD41CE">
        <w:rPr>
          <w:rFonts w:ascii="Calibri" w:hAnsi="Calibri" w:cs="Calibri"/>
          <w:iCs/>
          <w:sz w:val="22"/>
          <w:szCs w:val="22"/>
        </w:rPr>
        <w:t>Table 10.</w:t>
      </w:r>
    </w:p>
    <w:p w:rsidR="002B0DD9" w:rsidRPr="002B0DD9" w:rsidRDefault="002B0DD9" w:rsidP="002B0DD9">
      <w:pPr>
        <w:rPr>
          <w:rFonts w:ascii="Calibri" w:hAnsi="Calibri" w:cs="Calibri"/>
          <w:iCs/>
          <w:sz w:val="22"/>
          <w:szCs w:val="22"/>
        </w:rPr>
      </w:pPr>
    </w:p>
    <w:p w:rsidR="002B0DD9" w:rsidRPr="002B0DD9" w:rsidRDefault="00BD41CE" w:rsidP="002B0DD9">
      <w:pPr>
        <w:jc w:val="center"/>
        <w:rPr>
          <w:rFonts w:ascii="Calibri" w:hAnsi="Calibri" w:cs="Calibri"/>
          <w:b/>
          <w:bCs/>
          <w:sz w:val="22"/>
          <w:szCs w:val="3276"/>
        </w:rPr>
      </w:pPr>
      <w:r>
        <w:rPr>
          <w:rFonts w:ascii="Calibri" w:hAnsi="Calibri" w:cs="Calibri"/>
          <w:b/>
          <w:bCs/>
          <w:sz w:val="22"/>
          <w:szCs w:val="3276"/>
        </w:rPr>
        <w:t>Table 10</w:t>
      </w:r>
      <w:r w:rsidR="002B0DD9" w:rsidRPr="002B0DD9">
        <w:rPr>
          <w:rFonts w:ascii="Calibri" w:hAnsi="Calibri" w:cs="Calibri"/>
          <w:b/>
          <w:bCs/>
          <w:sz w:val="22"/>
          <w:szCs w:val="3276"/>
        </w:rPr>
        <w:t xml:space="preserve"> Average EER Values of Three Phase Packaged Commercial AC Units</w:t>
      </w:r>
    </w:p>
    <w:tbl>
      <w:tblPr>
        <w:tblStyle w:val="TableContemporary6"/>
        <w:tblW w:w="5000" w:type="pct"/>
        <w:tblLook w:val="01E0" w:firstRow="1" w:lastRow="1" w:firstColumn="1" w:lastColumn="1" w:noHBand="0" w:noVBand="0"/>
      </w:tblPr>
      <w:tblGrid>
        <w:gridCol w:w="2095"/>
        <w:gridCol w:w="2743"/>
        <w:gridCol w:w="2369"/>
        <w:gridCol w:w="2369"/>
      </w:tblGrid>
      <w:tr w:rsidR="002B0DD9" w:rsidRPr="002B0DD9" w:rsidTr="002B0DD9">
        <w:trPr>
          <w:cnfStyle w:val="100000000000" w:firstRow="1" w:lastRow="0" w:firstColumn="0" w:lastColumn="0" w:oddVBand="0" w:evenVBand="0" w:oddHBand="0" w:evenHBand="0" w:firstRowFirstColumn="0" w:firstRowLastColumn="0" w:lastRowFirstColumn="0" w:lastRowLastColumn="0"/>
        </w:trPr>
        <w:tc>
          <w:tcPr>
            <w:tcW w:w="1094"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SEER</w:t>
            </w:r>
          </w:p>
        </w:tc>
        <w:tc>
          <w:tcPr>
            <w:tcW w:w="1432"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Average EER for 3 Phase Package AC &lt;65kBtuh in AHRI database</w:t>
            </w:r>
          </w:p>
        </w:tc>
        <w:tc>
          <w:tcPr>
            <w:tcW w:w="1237"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Average EER for 3 Phase Package and Split AC &lt;65kBtuh in 2010-2012 PG&amp;E and SCE Upstream HVAC Program</w:t>
            </w:r>
          </w:p>
        </w:tc>
        <w:tc>
          <w:tcPr>
            <w:tcW w:w="1237" w:type="pct"/>
          </w:tcPr>
          <w:p w:rsidR="002B0DD9" w:rsidRPr="002B0DD9" w:rsidRDefault="002B0DD9" w:rsidP="002B0DD9">
            <w:pPr>
              <w:jc w:val="center"/>
              <w:rPr>
                <w:rFonts w:ascii="Calibri" w:hAnsi="Calibri" w:cs="Calibri"/>
                <w:bCs w:val="0"/>
                <w:color w:val="000000"/>
                <w:sz w:val="20"/>
                <w:szCs w:val="22"/>
              </w:rPr>
            </w:pPr>
            <w:r w:rsidRPr="002B0DD9">
              <w:rPr>
                <w:rFonts w:ascii="Calibri" w:hAnsi="Calibri" w:cs="Calibri"/>
                <w:bCs w:val="0"/>
                <w:color w:val="000000"/>
                <w:sz w:val="20"/>
                <w:szCs w:val="22"/>
              </w:rPr>
              <w:t>Average EER for DEER Residential Split AC Measures</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1094"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14-14.99</w:t>
            </w:r>
          </w:p>
        </w:tc>
        <w:tc>
          <w:tcPr>
            <w:tcW w:w="1432"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12.02</w:t>
            </w:r>
          </w:p>
        </w:tc>
        <w:tc>
          <w:tcPr>
            <w:tcW w:w="1237"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11.93</w:t>
            </w:r>
          </w:p>
        </w:tc>
        <w:tc>
          <w:tcPr>
            <w:tcW w:w="1237" w:type="pct"/>
          </w:tcPr>
          <w:p w:rsidR="002B0DD9" w:rsidRPr="002B0DD9" w:rsidRDefault="002B0DD9" w:rsidP="002B0DD9">
            <w:pPr>
              <w:jc w:val="center"/>
              <w:rPr>
                <w:rFonts w:ascii="Calibri" w:hAnsi="Calibri" w:cs="Calibri"/>
                <w:bCs/>
                <w:color w:val="000000"/>
                <w:sz w:val="20"/>
                <w:szCs w:val="22"/>
              </w:rPr>
            </w:pPr>
            <w:r w:rsidRPr="002B0DD9">
              <w:rPr>
                <w:rFonts w:ascii="Calibri" w:hAnsi="Calibri" w:cs="Calibri"/>
                <w:bCs/>
                <w:color w:val="000000"/>
                <w:sz w:val="20"/>
                <w:szCs w:val="22"/>
              </w:rPr>
              <w:t>12.15</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1094"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15-15.99</w:t>
            </w:r>
          </w:p>
        </w:tc>
        <w:tc>
          <w:tcPr>
            <w:tcW w:w="1432"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12.52</w:t>
            </w:r>
          </w:p>
        </w:tc>
        <w:tc>
          <w:tcPr>
            <w:tcW w:w="1237"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12.73</w:t>
            </w:r>
          </w:p>
        </w:tc>
        <w:tc>
          <w:tcPr>
            <w:tcW w:w="1237" w:type="pct"/>
          </w:tcPr>
          <w:p w:rsidR="002B0DD9" w:rsidRPr="002B0DD9" w:rsidRDefault="002B0DD9" w:rsidP="002B0DD9">
            <w:pPr>
              <w:jc w:val="center"/>
              <w:rPr>
                <w:rFonts w:ascii="Calibri" w:hAnsi="Calibri" w:cs="Calibri"/>
                <w:bCs/>
                <w:color w:val="000000"/>
                <w:sz w:val="20"/>
                <w:szCs w:val="22"/>
              </w:rPr>
            </w:pPr>
            <w:r w:rsidRPr="002B0DD9">
              <w:rPr>
                <w:rFonts w:ascii="Calibri" w:hAnsi="Calibri" w:cs="Calibri"/>
                <w:bCs/>
                <w:color w:val="000000"/>
                <w:sz w:val="20"/>
                <w:szCs w:val="22"/>
              </w:rPr>
              <w:t>12.72</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1094"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16-16.99</w:t>
            </w:r>
          </w:p>
        </w:tc>
        <w:tc>
          <w:tcPr>
            <w:tcW w:w="1432"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13.07</w:t>
            </w:r>
          </w:p>
        </w:tc>
        <w:tc>
          <w:tcPr>
            <w:tcW w:w="1237"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13.83</w:t>
            </w:r>
          </w:p>
        </w:tc>
        <w:tc>
          <w:tcPr>
            <w:tcW w:w="1237" w:type="pct"/>
          </w:tcPr>
          <w:p w:rsidR="002B0DD9" w:rsidRPr="002B0DD9" w:rsidRDefault="002B0DD9" w:rsidP="002B0DD9">
            <w:pPr>
              <w:jc w:val="center"/>
              <w:rPr>
                <w:rFonts w:ascii="Calibri" w:hAnsi="Calibri" w:cs="Calibri"/>
                <w:bCs/>
                <w:color w:val="000000"/>
                <w:sz w:val="20"/>
                <w:szCs w:val="22"/>
              </w:rPr>
            </w:pPr>
            <w:r w:rsidRPr="002B0DD9">
              <w:rPr>
                <w:rFonts w:ascii="Calibri" w:hAnsi="Calibri" w:cs="Calibri"/>
                <w:bCs/>
                <w:color w:val="000000"/>
                <w:sz w:val="20"/>
                <w:szCs w:val="22"/>
              </w:rPr>
              <w:t>11.61</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1094"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17+</w:t>
            </w:r>
          </w:p>
        </w:tc>
        <w:tc>
          <w:tcPr>
            <w:tcW w:w="1432"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13.23</w:t>
            </w:r>
          </w:p>
        </w:tc>
        <w:tc>
          <w:tcPr>
            <w:tcW w:w="1237" w:type="pct"/>
          </w:tcPr>
          <w:p w:rsidR="002B0DD9" w:rsidRPr="002B0DD9" w:rsidRDefault="002B0DD9" w:rsidP="002B0DD9">
            <w:pPr>
              <w:jc w:val="center"/>
              <w:rPr>
                <w:rFonts w:ascii="Calibri" w:hAnsi="Calibri" w:cs="Calibri"/>
                <w:color w:val="000000"/>
                <w:sz w:val="20"/>
                <w:szCs w:val="22"/>
              </w:rPr>
            </w:pPr>
            <w:r w:rsidRPr="002B0DD9">
              <w:rPr>
                <w:rFonts w:ascii="Calibri" w:hAnsi="Calibri" w:cs="Calibri"/>
                <w:color w:val="000000"/>
                <w:sz w:val="20"/>
                <w:szCs w:val="22"/>
              </w:rPr>
              <w:t>12.66</w:t>
            </w:r>
          </w:p>
        </w:tc>
        <w:tc>
          <w:tcPr>
            <w:tcW w:w="1237" w:type="pct"/>
          </w:tcPr>
          <w:p w:rsidR="002B0DD9" w:rsidRPr="002B0DD9" w:rsidRDefault="002B0DD9" w:rsidP="002B0DD9">
            <w:pPr>
              <w:jc w:val="center"/>
              <w:rPr>
                <w:rFonts w:ascii="Calibri" w:hAnsi="Calibri" w:cs="Calibri"/>
                <w:bCs/>
                <w:color w:val="000000"/>
                <w:sz w:val="20"/>
                <w:szCs w:val="22"/>
              </w:rPr>
            </w:pPr>
            <w:r w:rsidRPr="002B0DD9">
              <w:rPr>
                <w:rFonts w:ascii="Calibri" w:hAnsi="Calibri" w:cs="Calibri"/>
                <w:bCs/>
                <w:color w:val="000000"/>
                <w:sz w:val="20"/>
                <w:szCs w:val="22"/>
              </w:rPr>
              <w:t>12.28</w:t>
            </w:r>
          </w:p>
        </w:tc>
      </w:tr>
    </w:tbl>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The EER values for the DEER residential measures are significantly lower than values found in both the program data and the AHRI database for SEER 16 and 17 measures. Because the residential scaling factor is used, the SEER 16 and 17 AC units may actually have lower savings and less demand reduction than SEER 15 units.  </w:t>
      </w:r>
    </w:p>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In addition to higher SEER residential units having lower EERs, residential savings load shapes are different from commercial load shapes. Commercial building are highly dependent on internal loads and operate on three phase power, while residential systems are much more dependent on the building shell than on internal loads and operate on single phase power.  Furthermore, residential buildings have far fewer annual run time hours, which leads to less total savings, and are often unoccupied during peak hours. This fundamental difference in the operation of the air conditioning systems makes it unlikely that the scaling ratio of residential savings can accurately describe the scaling ratio for commercial savings.  </w:t>
      </w:r>
    </w:p>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iCs/>
          <w:sz w:val="22"/>
          <w:szCs w:val="22"/>
        </w:rPr>
      </w:pPr>
      <w:r w:rsidRPr="002B0DD9">
        <w:rPr>
          <w:rFonts w:ascii="Calibri" w:hAnsi="Calibri" w:cs="Calibri"/>
          <w:iCs/>
          <w:sz w:val="22"/>
          <w:szCs w:val="22"/>
        </w:rPr>
        <w:t xml:space="preserve">Ultimately these higher SEER units should be modeled in </w:t>
      </w:r>
      <w:proofErr w:type="spellStart"/>
      <w:r w:rsidRPr="002B0DD9">
        <w:rPr>
          <w:rFonts w:ascii="Calibri" w:hAnsi="Calibri" w:cs="Calibri"/>
          <w:iCs/>
          <w:sz w:val="22"/>
          <w:szCs w:val="22"/>
        </w:rPr>
        <w:t>eQUEST</w:t>
      </w:r>
      <w:proofErr w:type="spellEnd"/>
      <w:r w:rsidRPr="002B0DD9">
        <w:rPr>
          <w:rFonts w:ascii="Calibri" w:hAnsi="Calibri" w:cs="Calibri"/>
          <w:iCs/>
          <w:sz w:val="22"/>
          <w:szCs w:val="22"/>
        </w:rPr>
        <w:t xml:space="preserve"> and added to the DEER database.  This will allow programs to accurately claim savings for higher SEER units, and enable programs to effectively promote higher SEER commercial AC units. Until these units are modeled, scaling factors must be used to estimate savings.  The residential scaling factors derived above do not accurately represent savings for commercial units. In place of the residential scaling factor, it is recommended that a scaling factor is derived by taking the ratio of commercial unit’s seasonal and full load kW/ton ratings as outlined below.</w:t>
      </w:r>
    </w:p>
    <w:p w:rsidR="002B0DD9" w:rsidRPr="002B0DD9" w:rsidRDefault="002B0DD9" w:rsidP="002B0DD9">
      <w:pPr>
        <w:rPr>
          <w:rFonts w:ascii="Calibri" w:hAnsi="Calibri" w:cs="Calibri"/>
          <w:iCs/>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EER Energy Efficiency Ratio and SEER, the Seasonal Energy Efficiency Ratio, are expressed in units of Btu/Watt-hour. This can be converted into kW/ton using the following equation:</w:t>
      </w:r>
    </w:p>
    <w:p w:rsidR="002B0DD9" w:rsidRPr="002B0DD9" w:rsidRDefault="002B0DD9" w:rsidP="002B0DD9">
      <w:pPr>
        <w:rPr>
          <w:rFonts w:ascii="Calibri" w:hAnsi="Calibri" w:cs="Calibri"/>
          <w:sz w:val="22"/>
          <w:szCs w:val="22"/>
        </w:rPr>
      </w:pPr>
    </w:p>
    <w:p w:rsidR="002B0DD9" w:rsidRPr="002B0DD9" w:rsidRDefault="002B0DD9" w:rsidP="002B0DD9">
      <w:pPr>
        <w:ind w:firstLine="720"/>
        <w:jc w:val="center"/>
        <w:rPr>
          <w:rFonts w:ascii="Calibri" w:hAnsi="Calibri" w:cs="Calibri"/>
          <w:sz w:val="22"/>
          <w:szCs w:val="22"/>
        </w:rPr>
      </w:pPr>
      <w:r w:rsidRPr="002B0DD9">
        <w:rPr>
          <w:rFonts w:ascii="Calibri" w:hAnsi="Calibri" w:cs="Calibri"/>
          <w:sz w:val="22"/>
          <w:szCs w:val="22"/>
        </w:rPr>
        <w:t>kW/ton = 12/(</w:t>
      </w:r>
      <w:proofErr w:type="spellStart"/>
      <w:r w:rsidRPr="002B0DD9">
        <w:rPr>
          <w:rFonts w:ascii="Calibri" w:hAnsi="Calibri" w:cs="Calibri"/>
          <w:sz w:val="22"/>
          <w:szCs w:val="22"/>
        </w:rPr>
        <w:t>Btuh</w:t>
      </w:r>
      <w:proofErr w:type="spellEnd"/>
      <w:r w:rsidRPr="002B0DD9">
        <w:rPr>
          <w:rFonts w:ascii="Calibri" w:hAnsi="Calibri" w:cs="Calibri"/>
          <w:sz w:val="22"/>
          <w:szCs w:val="22"/>
        </w:rPr>
        <w:t>/watt)</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Therefore EER or SEER could be expressed in terms of kW/ton. The table below shows the equivalent kW/ton values for SEER ratings. As the equipment is less than 65 </w:t>
      </w:r>
      <w:proofErr w:type="spellStart"/>
      <w:r w:rsidRPr="002B0DD9">
        <w:rPr>
          <w:rFonts w:ascii="Calibri" w:hAnsi="Calibri" w:cs="Calibri"/>
          <w:sz w:val="22"/>
          <w:szCs w:val="22"/>
        </w:rPr>
        <w:t>kBtu</w:t>
      </w:r>
      <w:proofErr w:type="spellEnd"/>
      <w:r w:rsidRPr="002B0DD9">
        <w:rPr>
          <w:rFonts w:ascii="Calibri" w:hAnsi="Calibri" w:cs="Calibri"/>
          <w:sz w:val="22"/>
          <w:szCs w:val="22"/>
        </w:rPr>
        <w:t>/</w:t>
      </w:r>
      <w:proofErr w:type="spellStart"/>
      <w:r w:rsidRPr="002B0DD9">
        <w:rPr>
          <w:rFonts w:ascii="Calibri" w:hAnsi="Calibri" w:cs="Calibri"/>
          <w:sz w:val="22"/>
          <w:szCs w:val="22"/>
        </w:rPr>
        <w:t>hr</w:t>
      </w:r>
      <w:proofErr w:type="spellEnd"/>
      <w:r w:rsidRPr="002B0DD9">
        <w:rPr>
          <w:rFonts w:ascii="Calibri" w:hAnsi="Calibri" w:cs="Calibri"/>
          <w:sz w:val="22"/>
          <w:szCs w:val="22"/>
        </w:rPr>
        <w:t>, SEER is used rather than EER.</w:t>
      </w:r>
    </w:p>
    <w:p w:rsidR="002B0DD9" w:rsidRPr="002B0DD9" w:rsidRDefault="002B0DD9" w:rsidP="002B0DD9">
      <w:pPr>
        <w:rPr>
          <w:rFonts w:ascii="Calibri" w:hAnsi="Calibri" w:cs="Calibri"/>
          <w:b/>
          <w:bCs/>
          <w:sz w:val="22"/>
          <w:szCs w:val="3276"/>
        </w:rPr>
      </w:pPr>
    </w:p>
    <w:p w:rsidR="002B0DD9" w:rsidRPr="002B0DD9" w:rsidRDefault="002B0DD9" w:rsidP="002B0DD9">
      <w:pPr>
        <w:jc w:val="center"/>
        <w:rPr>
          <w:rFonts w:ascii="Calibri" w:hAnsi="Calibri" w:cs="Calibri"/>
          <w:b/>
          <w:bCs/>
          <w:sz w:val="22"/>
          <w:szCs w:val="3276"/>
        </w:rPr>
      </w:pPr>
    </w:p>
    <w:p w:rsidR="002B0DD9" w:rsidRPr="002B0DD9" w:rsidRDefault="002B0DD9" w:rsidP="002B0DD9">
      <w:pPr>
        <w:jc w:val="center"/>
        <w:rPr>
          <w:rFonts w:ascii="Calibri" w:hAnsi="Calibri" w:cs="Calibri"/>
          <w:b/>
          <w:bCs/>
          <w:sz w:val="22"/>
          <w:szCs w:val="3276"/>
        </w:rPr>
      </w:pPr>
    </w:p>
    <w:p w:rsidR="002B0DD9" w:rsidRPr="002B0DD9" w:rsidRDefault="002B0DD9" w:rsidP="002B0DD9">
      <w:pPr>
        <w:jc w:val="center"/>
        <w:rPr>
          <w:rFonts w:ascii="Calibri" w:hAnsi="Calibri" w:cs="Calibri"/>
          <w:b/>
          <w:bCs/>
          <w:sz w:val="22"/>
          <w:szCs w:val="3276"/>
        </w:rPr>
      </w:pPr>
    </w:p>
    <w:p w:rsidR="002B0DD9" w:rsidRPr="002B0DD9" w:rsidRDefault="002B0DD9" w:rsidP="002B0DD9">
      <w:pPr>
        <w:jc w:val="center"/>
        <w:rPr>
          <w:rFonts w:ascii="Calibri" w:hAnsi="Calibri" w:cs="Calibri"/>
          <w:b/>
          <w:bCs/>
          <w:sz w:val="22"/>
          <w:szCs w:val="3276"/>
        </w:rPr>
      </w:pPr>
    </w:p>
    <w:p w:rsidR="002B0DD9" w:rsidRPr="002B0DD9" w:rsidRDefault="00BD41CE" w:rsidP="002B0DD9">
      <w:pPr>
        <w:jc w:val="center"/>
        <w:rPr>
          <w:rFonts w:ascii="Calibri" w:hAnsi="Calibri" w:cs="Calibri"/>
          <w:b/>
          <w:bCs/>
          <w:sz w:val="22"/>
          <w:szCs w:val="3276"/>
        </w:rPr>
      </w:pPr>
      <w:r>
        <w:rPr>
          <w:rFonts w:ascii="Calibri" w:hAnsi="Calibri" w:cs="Calibri"/>
          <w:b/>
          <w:bCs/>
          <w:sz w:val="22"/>
          <w:szCs w:val="3276"/>
        </w:rPr>
        <w:t>Table 11</w:t>
      </w:r>
      <w:r w:rsidR="002B0DD9" w:rsidRPr="002B0DD9">
        <w:rPr>
          <w:rFonts w:ascii="Calibri" w:hAnsi="Calibri" w:cs="Calibri"/>
          <w:b/>
          <w:bCs/>
          <w:sz w:val="22"/>
          <w:szCs w:val="3276"/>
        </w:rPr>
        <w:t xml:space="preserve"> Equivalent kW/ton Values for SEER Ratings</w:t>
      </w:r>
    </w:p>
    <w:tbl>
      <w:tblPr>
        <w:tblStyle w:val="TableContemporary6"/>
        <w:tblW w:w="0" w:type="auto"/>
        <w:jc w:val="center"/>
        <w:tblLook w:val="04A0" w:firstRow="1" w:lastRow="0" w:firstColumn="1" w:lastColumn="0" w:noHBand="0" w:noVBand="1"/>
      </w:tblPr>
      <w:tblGrid>
        <w:gridCol w:w="2178"/>
        <w:gridCol w:w="2790"/>
      </w:tblGrid>
      <w:tr w:rsidR="002B0DD9" w:rsidRPr="002B0DD9" w:rsidTr="002B0DD9">
        <w:trPr>
          <w:cnfStyle w:val="100000000000" w:firstRow="1" w:lastRow="0" w:firstColumn="0" w:lastColumn="0" w:oddVBand="0" w:evenVBand="0" w:oddHBand="0" w:evenHBand="0"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bCs w:val="0"/>
                <w:sz w:val="20"/>
                <w:szCs w:val="20"/>
              </w:rPr>
            </w:pPr>
            <w:r w:rsidRPr="002B0DD9">
              <w:rPr>
                <w:rFonts w:ascii="Calibri" w:hAnsi="Calibri" w:cs="Calibri"/>
                <w:bCs w:val="0"/>
                <w:sz w:val="20"/>
                <w:szCs w:val="20"/>
              </w:rPr>
              <w:t>SEER</w:t>
            </w:r>
          </w:p>
        </w:tc>
        <w:tc>
          <w:tcPr>
            <w:tcW w:w="2790" w:type="dxa"/>
          </w:tcPr>
          <w:p w:rsidR="002B0DD9" w:rsidRPr="002B0DD9" w:rsidRDefault="002B0DD9" w:rsidP="002B0DD9">
            <w:pPr>
              <w:jc w:val="center"/>
              <w:rPr>
                <w:rFonts w:ascii="Calibri" w:hAnsi="Calibri" w:cs="Calibri"/>
                <w:bCs w:val="0"/>
                <w:sz w:val="20"/>
                <w:szCs w:val="20"/>
              </w:rPr>
            </w:pPr>
            <w:r w:rsidRPr="002B0DD9">
              <w:rPr>
                <w:rFonts w:ascii="Calibri" w:hAnsi="Calibri" w:cs="Calibri"/>
                <w:bCs w:val="0"/>
                <w:sz w:val="20"/>
                <w:szCs w:val="20"/>
              </w:rPr>
              <w:t>kW/ton</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13</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0.923</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14</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0.857</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15</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0.800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52"/>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16</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0.750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17</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0.706</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2178"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18</w:t>
            </w:r>
          </w:p>
        </w:tc>
        <w:tc>
          <w:tcPr>
            <w:tcW w:w="2790" w:type="dxa"/>
          </w:tcPr>
          <w:p w:rsidR="002B0DD9" w:rsidRPr="002B0DD9" w:rsidRDefault="002B0DD9" w:rsidP="002B0DD9">
            <w:pPr>
              <w:jc w:val="center"/>
              <w:rPr>
                <w:rFonts w:ascii="Calibri" w:hAnsi="Calibri" w:cs="Calibri"/>
                <w:sz w:val="20"/>
                <w:szCs w:val="20"/>
              </w:rPr>
            </w:pPr>
            <w:r w:rsidRPr="002B0DD9">
              <w:rPr>
                <w:rFonts w:ascii="Calibri" w:hAnsi="Calibri" w:cs="Calibri"/>
                <w:sz w:val="20"/>
                <w:szCs w:val="20"/>
              </w:rPr>
              <w:t>0.667</w:t>
            </w:r>
          </w:p>
        </w:tc>
      </w:tr>
    </w:tbl>
    <w:p w:rsidR="002B0DD9" w:rsidRPr="002B0DD9" w:rsidRDefault="002B0DD9" w:rsidP="002B0DD9">
      <w:pPr>
        <w:rPr>
          <w:rFonts w:ascii="Calibri" w:hAnsi="Calibri" w:cs="Calibri"/>
        </w:rPr>
      </w:pPr>
    </w:p>
    <w:p w:rsidR="002B0DD9" w:rsidRPr="002B0DD9" w:rsidRDefault="002B0DD9" w:rsidP="002B0DD9">
      <w:pPr>
        <w:rPr>
          <w:rFonts w:ascii="Calibri" w:hAnsi="Calibri" w:cs="Calibri"/>
          <w:sz w:val="22"/>
        </w:rPr>
      </w:pPr>
      <w:r w:rsidRPr="002B0DD9">
        <w:rPr>
          <w:rFonts w:ascii="Calibri" w:hAnsi="Calibri" w:cs="Calibri"/>
          <w:sz w:val="22"/>
        </w:rPr>
        <w:t xml:space="preserve">The difference in kW/ton per SEER is lowered as SEER values get higher. This can be seen in Figure 1.  </w:t>
      </w:r>
    </w:p>
    <w:p w:rsidR="002B0DD9" w:rsidRPr="002B0DD9" w:rsidRDefault="002B0DD9" w:rsidP="002B0DD9">
      <w:pPr>
        <w:rPr>
          <w:rFonts w:ascii="Calibri" w:hAnsi="Calibri" w:cs="Calibri"/>
        </w:rPr>
      </w:pPr>
    </w:p>
    <w:p w:rsidR="002B0DD9" w:rsidRPr="002B0DD9" w:rsidRDefault="002B0DD9" w:rsidP="002B0DD9">
      <w:pPr>
        <w:keepNext/>
        <w:jc w:val="center"/>
      </w:pPr>
      <w:r w:rsidRPr="002B0DD9">
        <w:rPr>
          <w:noProof/>
        </w:rPr>
        <w:drawing>
          <wp:inline distT="0" distB="0" distL="0" distR="0" wp14:anchorId="62AC9E9E" wp14:editId="134DF0FD">
            <wp:extent cx="4572000" cy="2743200"/>
            <wp:effectExtent l="0" t="0" r="19050" b="1905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B0DD9" w:rsidRPr="002B0DD9" w:rsidRDefault="002B0DD9" w:rsidP="002B0DD9">
      <w:pPr>
        <w:keepNext/>
        <w:spacing w:before="240" w:after="120"/>
        <w:jc w:val="center"/>
        <w:rPr>
          <w:rFonts w:ascii="Calibri" w:hAnsi="Calibri" w:cs="Calibri"/>
          <w:b/>
          <w:bCs/>
          <w:sz w:val="22"/>
          <w:szCs w:val="20"/>
        </w:rPr>
      </w:pPr>
      <w:r w:rsidRPr="002B0DD9">
        <w:rPr>
          <w:rFonts w:ascii="Calibri" w:hAnsi="Calibri" w:cs="Calibri"/>
          <w:b/>
          <w:bCs/>
          <w:sz w:val="22"/>
          <w:szCs w:val="20"/>
        </w:rPr>
        <w:t xml:space="preserve">Figure </w:t>
      </w:r>
      <w:r w:rsidRPr="002B0DD9">
        <w:rPr>
          <w:rFonts w:ascii="Calibri" w:hAnsi="Calibri" w:cs="Calibri"/>
          <w:b/>
          <w:bCs/>
          <w:sz w:val="22"/>
          <w:szCs w:val="20"/>
        </w:rPr>
        <w:fldChar w:fldCharType="begin"/>
      </w:r>
      <w:r w:rsidRPr="002B0DD9">
        <w:rPr>
          <w:rFonts w:ascii="Calibri" w:hAnsi="Calibri" w:cs="Calibri"/>
          <w:b/>
          <w:bCs/>
          <w:sz w:val="22"/>
          <w:szCs w:val="20"/>
        </w:rPr>
        <w:instrText xml:space="preserve"> SEQ Figure \* ARABIC </w:instrText>
      </w:r>
      <w:r w:rsidRPr="002B0DD9">
        <w:rPr>
          <w:rFonts w:ascii="Calibri" w:hAnsi="Calibri" w:cs="Calibri"/>
          <w:b/>
          <w:bCs/>
          <w:sz w:val="22"/>
          <w:szCs w:val="20"/>
        </w:rPr>
        <w:fldChar w:fldCharType="separate"/>
      </w:r>
      <w:r w:rsidRPr="002B0DD9">
        <w:rPr>
          <w:rFonts w:ascii="Calibri" w:hAnsi="Calibri" w:cs="Calibri"/>
          <w:b/>
          <w:bCs/>
          <w:noProof/>
          <w:sz w:val="22"/>
          <w:szCs w:val="20"/>
        </w:rPr>
        <w:t>1</w:t>
      </w:r>
      <w:r w:rsidRPr="002B0DD9">
        <w:rPr>
          <w:rFonts w:ascii="Calibri" w:hAnsi="Calibri" w:cs="Calibri"/>
          <w:b/>
          <w:bCs/>
          <w:sz w:val="22"/>
          <w:szCs w:val="20"/>
        </w:rPr>
        <w:fldChar w:fldCharType="end"/>
      </w:r>
      <w:r w:rsidRPr="002B0DD9">
        <w:rPr>
          <w:rFonts w:ascii="Calibri" w:hAnsi="Calibri" w:cs="Calibri"/>
          <w:b/>
          <w:bCs/>
          <w:sz w:val="22"/>
          <w:szCs w:val="20"/>
        </w:rPr>
        <w:t xml:space="preserve">. EER </w:t>
      </w:r>
      <w:proofErr w:type="spellStart"/>
      <w:r w:rsidRPr="002B0DD9">
        <w:rPr>
          <w:rFonts w:ascii="Calibri" w:hAnsi="Calibri" w:cs="Calibri"/>
          <w:b/>
          <w:bCs/>
          <w:sz w:val="22"/>
          <w:szCs w:val="20"/>
        </w:rPr>
        <w:t>vs</w:t>
      </w:r>
      <w:proofErr w:type="spellEnd"/>
      <w:r w:rsidRPr="002B0DD9">
        <w:rPr>
          <w:rFonts w:ascii="Calibri" w:hAnsi="Calibri" w:cs="Calibri"/>
          <w:b/>
          <w:bCs/>
          <w:sz w:val="22"/>
          <w:szCs w:val="20"/>
        </w:rPr>
        <w:t xml:space="preserve"> Delta kW/ton over SEER 13 Baseline</w:t>
      </w:r>
    </w:p>
    <w:p w:rsidR="002B0DD9" w:rsidRPr="002B0DD9" w:rsidRDefault="002B0DD9" w:rsidP="002B0DD9">
      <w:pPr>
        <w:rPr>
          <w:rFonts w:ascii="Calibri" w:hAnsi="Calibri" w:cs="Calibri"/>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As defined by AHRI 210-240 SEER is “The total heat removed from the conditioned space during the annual cooling season, expressed in Btu’s, divided by the total electrical energy consumed by the air conditioner or heat pump during the same season, expressed in watt-hours” [435].  Therefore, SEER represents the average kW/ton of an AC or HP unit over the course of an entire cooling season, or the average annual kW/ton.</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Using SEER values the predicted energy savings between a SEER 14 AC unit and a SEER 13 AC unit would be the difference in kW/ton multiplied by the Annual Cooling Hours.  </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ab/>
        <w:t>SEER 14 predicted savings</w:t>
      </w:r>
      <w:r w:rsidRPr="002B0DD9">
        <w:rPr>
          <w:rFonts w:ascii="Calibri" w:hAnsi="Calibri" w:cs="Calibri"/>
          <w:sz w:val="22"/>
          <w:szCs w:val="22"/>
        </w:rPr>
        <w:tab/>
        <w:t>= (12/13 SEER – 12/14 SEER) * Annual Cooling Hours</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(0.923 - 0.857) * Annual Cooling Hours</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(0.066) * Annual Cooling Hours</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The predicted savings between a SEER 15 AC unit and a SEER 13 AC unit would be as follows:</w:t>
      </w: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 </w:t>
      </w:r>
    </w:p>
    <w:p w:rsidR="002B0DD9" w:rsidRPr="002B0DD9" w:rsidRDefault="002B0DD9" w:rsidP="002B0DD9">
      <w:pPr>
        <w:rPr>
          <w:rFonts w:ascii="Calibri" w:hAnsi="Calibri" w:cs="Calibri"/>
          <w:sz w:val="22"/>
          <w:szCs w:val="22"/>
        </w:rPr>
      </w:pPr>
      <w:r w:rsidRPr="002B0DD9">
        <w:rPr>
          <w:rFonts w:ascii="Calibri" w:hAnsi="Calibri" w:cs="Calibri"/>
          <w:sz w:val="22"/>
          <w:szCs w:val="22"/>
        </w:rPr>
        <w:lastRenderedPageBreak/>
        <w:tab/>
        <w:t>SEER 15 predicted savings</w:t>
      </w:r>
      <w:r w:rsidRPr="002B0DD9">
        <w:rPr>
          <w:rFonts w:ascii="Calibri" w:hAnsi="Calibri" w:cs="Calibri"/>
          <w:sz w:val="22"/>
          <w:szCs w:val="22"/>
        </w:rPr>
        <w:tab/>
        <w:t>= (12/13 SEER – 12/15 SEER) * Annual Cooling Hours</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(0.923 - 0.800) * Annual Cooling Hours</w:t>
      </w:r>
    </w:p>
    <w:p w:rsidR="002B0DD9" w:rsidRPr="002B0DD9" w:rsidRDefault="002B0DD9" w:rsidP="002B0DD9">
      <w:pPr>
        <w:rPr>
          <w:rFonts w:ascii="Calibri" w:hAnsi="Calibri" w:cs="Calibri"/>
          <w:sz w:val="22"/>
          <w:szCs w:val="22"/>
        </w:rPr>
      </w:pP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r>
      <w:r w:rsidRPr="002B0DD9">
        <w:rPr>
          <w:rFonts w:ascii="Calibri" w:hAnsi="Calibri" w:cs="Calibri"/>
          <w:sz w:val="22"/>
          <w:szCs w:val="22"/>
        </w:rPr>
        <w:tab/>
        <w:t>= (0.123) * Annual Cooling Hours</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Therefore the ratio of predicted saving between a SEER 15 and 14 AC would be 0.123/0.066 = 1.86.</w:t>
      </w:r>
    </w:p>
    <w:p w:rsidR="002B0DD9" w:rsidRPr="002B0DD9" w:rsidRDefault="002B0DD9" w:rsidP="002B0DD9">
      <w:pPr>
        <w:rPr>
          <w:rFonts w:ascii="Calibri" w:hAnsi="Calibri" w:cs="Calibri"/>
          <w:sz w:val="22"/>
          <w:szCs w:val="22"/>
        </w:rPr>
      </w:pPr>
      <w:r w:rsidRPr="002B0DD9">
        <w:rPr>
          <w:rFonts w:ascii="Calibri" w:hAnsi="Calibri" w:cs="Calibri"/>
          <w:sz w:val="22"/>
          <w:szCs w:val="22"/>
        </w:rPr>
        <w:t>This ratio of predicted savings could be applied to the 14 SEER savings in DEER to estimate savings for SEER 15, 16, 17 and 18 equipment. For example:</w:t>
      </w:r>
    </w:p>
    <w:p w:rsidR="002B0DD9" w:rsidRPr="002B0DD9" w:rsidRDefault="002B0DD9" w:rsidP="002B0DD9">
      <w:pPr>
        <w:rPr>
          <w:rFonts w:ascii="Calibri" w:hAnsi="Calibri" w:cs="Calibri"/>
          <w:sz w:val="22"/>
          <w:szCs w:val="22"/>
        </w:rPr>
      </w:pPr>
    </w:p>
    <w:p w:rsidR="002B0DD9" w:rsidRPr="002B0DD9" w:rsidRDefault="002B0DD9" w:rsidP="002B0DD9">
      <w:pPr>
        <w:ind w:left="3600" w:hanging="2880"/>
        <w:rPr>
          <w:rFonts w:ascii="Calibri" w:hAnsi="Calibri" w:cs="Calibri"/>
          <w:sz w:val="22"/>
          <w:szCs w:val="22"/>
        </w:rPr>
      </w:pPr>
      <w:r w:rsidRPr="002B0DD9">
        <w:rPr>
          <w:rFonts w:ascii="Calibri" w:hAnsi="Calibri" w:cs="Calibri"/>
          <w:sz w:val="22"/>
          <w:szCs w:val="22"/>
        </w:rPr>
        <w:t>Estimated SEER 15 savings</w:t>
      </w:r>
      <w:r w:rsidRPr="002B0DD9">
        <w:rPr>
          <w:rFonts w:ascii="Calibri" w:hAnsi="Calibri" w:cs="Calibri"/>
          <w:sz w:val="22"/>
          <w:szCs w:val="22"/>
        </w:rPr>
        <w:tab/>
        <w:t xml:space="preserve">= SEER 14 Savings (from DEER) * (Difference in average annual kW/ton between a SEER 15 and 13 AC unit/ Difference in average annual kW/ton between a SEER 15 and 13 AC unit) </w:t>
      </w:r>
    </w:p>
    <w:p w:rsidR="002B0DD9" w:rsidRPr="002B0DD9" w:rsidRDefault="002B0DD9" w:rsidP="002B0DD9">
      <w:pPr>
        <w:ind w:left="3600" w:hanging="2880"/>
        <w:rPr>
          <w:rFonts w:ascii="Calibri" w:hAnsi="Calibri" w:cs="Calibri"/>
          <w:sz w:val="22"/>
          <w:szCs w:val="22"/>
        </w:rPr>
      </w:pPr>
      <w:r w:rsidRPr="002B0DD9">
        <w:rPr>
          <w:rFonts w:ascii="Calibri" w:hAnsi="Calibri" w:cs="Calibri"/>
          <w:sz w:val="22"/>
          <w:szCs w:val="22"/>
        </w:rPr>
        <w:tab/>
        <w:t>= SEER 14 Savings (from DEER) * (0.123/0.066)</w:t>
      </w:r>
    </w:p>
    <w:p w:rsidR="002B0DD9" w:rsidRPr="002B0DD9" w:rsidRDefault="002B0DD9" w:rsidP="002B0DD9">
      <w:pPr>
        <w:ind w:left="3600" w:hanging="2880"/>
        <w:rPr>
          <w:rFonts w:ascii="Calibri" w:hAnsi="Calibri" w:cs="Calibri"/>
          <w:sz w:val="22"/>
          <w:szCs w:val="22"/>
        </w:rPr>
      </w:pPr>
      <w:r w:rsidRPr="002B0DD9">
        <w:rPr>
          <w:rFonts w:ascii="Calibri" w:hAnsi="Calibri" w:cs="Calibri"/>
          <w:sz w:val="22"/>
          <w:szCs w:val="22"/>
        </w:rPr>
        <w:tab/>
        <w:t>= SEER 14 Savings (from DEER) * 1.86</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This same scaling factor can be derived for SEER 16, 17, and 18 AC units to scale energy savings. The recommended scaling factors for energy savings are shown in </w:t>
      </w:r>
      <w:r w:rsidR="00BD41CE">
        <w:rPr>
          <w:rFonts w:ascii="Calibri" w:hAnsi="Calibri" w:cs="Calibri"/>
          <w:sz w:val="22"/>
          <w:szCs w:val="22"/>
        </w:rPr>
        <w:t>Table 12</w:t>
      </w:r>
      <w:r w:rsidRPr="002B0DD9">
        <w:rPr>
          <w:rFonts w:ascii="Calibri" w:hAnsi="Calibri" w:cs="Calibri"/>
          <w:sz w:val="22"/>
          <w:szCs w:val="22"/>
        </w:rPr>
        <w:t>.</w:t>
      </w:r>
    </w:p>
    <w:p w:rsidR="002B0DD9" w:rsidRPr="002B0DD9" w:rsidRDefault="002B0DD9" w:rsidP="002B0DD9">
      <w:pPr>
        <w:rPr>
          <w:rFonts w:ascii="Calibri" w:hAnsi="Calibri" w:cs="Calibri"/>
          <w:sz w:val="22"/>
          <w:szCs w:val="22"/>
        </w:rPr>
      </w:pPr>
    </w:p>
    <w:p w:rsidR="002B0DD9" w:rsidRPr="002B0DD9" w:rsidRDefault="00BD41CE" w:rsidP="002B0DD9">
      <w:pPr>
        <w:jc w:val="center"/>
        <w:rPr>
          <w:rFonts w:ascii="Calibri" w:hAnsi="Calibri" w:cs="Calibri"/>
          <w:b/>
          <w:bCs/>
          <w:sz w:val="22"/>
          <w:szCs w:val="3276"/>
        </w:rPr>
      </w:pPr>
      <w:r>
        <w:rPr>
          <w:rFonts w:ascii="Calibri" w:hAnsi="Calibri" w:cs="Calibri"/>
          <w:b/>
          <w:bCs/>
          <w:sz w:val="22"/>
          <w:szCs w:val="3276"/>
        </w:rPr>
        <w:t>Table 12</w:t>
      </w:r>
      <w:r w:rsidR="002B0DD9" w:rsidRPr="002B0DD9">
        <w:rPr>
          <w:rFonts w:ascii="Calibri" w:hAnsi="Calibri" w:cs="Calibri"/>
          <w:b/>
          <w:bCs/>
          <w:sz w:val="22"/>
          <w:szCs w:val="3276"/>
        </w:rPr>
        <w:t xml:space="preserve"> Recommended Energy Scaling Factor for SEER 15, 16, 17, and 18 Commercial AC Units</w:t>
      </w:r>
    </w:p>
    <w:tbl>
      <w:tblPr>
        <w:tblStyle w:val="TableContemporary6"/>
        <w:tblW w:w="0" w:type="auto"/>
        <w:jc w:val="center"/>
        <w:tblLook w:val="04A0" w:firstRow="1" w:lastRow="0" w:firstColumn="1" w:lastColumn="0" w:noHBand="0" w:noVBand="1"/>
      </w:tblPr>
      <w:tblGrid>
        <w:gridCol w:w="1985"/>
        <w:gridCol w:w="2553"/>
        <w:gridCol w:w="2474"/>
        <w:gridCol w:w="2474"/>
      </w:tblGrid>
      <w:tr w:rsidR="002B0DD9" w:rsidRPr="002B0DD9" w:rsidTr="00BD41CE">
        <w:trPr>
          <w:cnfStyle w:val="100000000000" w:firstRow="1" w:lastRow="0" w:firstColumn="0" w:lastColumn="0" w:oddVBand="0" w:evenVBand="0" w:oddHBand="0" w:evenHBand="0" w:firstRowFirstColumn="0" w:firstRowLastColumn="0" w:lastRowFirstColumn="0" w:lastRowLastColumn="0"/>
          <w:jc w:val="center"/>
        </w:trPr>
        <w:tc>
          <w:tcPr>
            <w:tcW w:w="1985" w:type="dxa"/>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SEER</w:t>
            </w:r>
          </w:p>
        </w:tc>
        <w:tc>
          <w:tcPr>
            <w:tcW w:w="2553" w:type="dxa"/>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kW/ton</w:t>
            </w:r>
          </w:p>
        </w:tc>
        <w:tc>
          <w:tcPr>
            <w:tcW w:w="2474" w:type="dxa"/>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Difference in kW/ton over SEER 13 unit</w:t>
            </w:r>
          </w:p>
        </w:tc>
        <w:tc>
          <w:tcPr>
            <w:tcW w:w="2474" w:type="dxa"/>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Energy Scaling Factor</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13</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0.923</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14</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0.857</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0.066</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1</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15</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0.800</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0.123</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1.86</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Height w:val="252"/>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16</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0.750</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0.173</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2.62</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17</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0.706</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0.217</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3.29</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jc w:val="center"/>
        </w:trPr>
        <w:tc>
          <w:tcPr>
            <w:tcW w:w="1985"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18</w:t>
            </w:r>
          </w:p>
        </w:tc>
        <w:tc>
          <w:tcPr>
            <w:tcW w:w="2553" w:type="dxa"/>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0.667</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.256</w:t>
            </w:r>
          </w:p>
        </w:tc>
        <w:tc>
          <w:tcPr>
            <w:tcW w:w="2474" w:type="dxa"/>
          </w:tcPr>
          <w:p w:rsidR="002B0DD9" w:rsidRPr="002B0DD9" w:rsidRDefault="002B0DD9" w:rsidP="002B0DD9">
            <w:pPr>
              <w:jc w:val="center"/>
              <w:rPr>
                <w:rFonts w:ascii="Calibri" w:hAnsi="Calibri" w:cs="Calibri"/>
                <w:bCs/>
                <w:color w:val="000000"/>
                <w:sz w:val="20"/>
                <w:szCs w:val="20"/>
              </w:rPr>
            </w:pPr>
            <w:r w:rsidRPr="002B0DD9">
              <w:rPr>
                <w:rFonts w:ascii="Calibri" w:hAnsi="Calibri" w:cs="Calibri"/>
                <w:bCs/>
                <w:color w:val="000000"/>
                <w:sz w:val="20"/>
                <w:szCs w:val="20"/>
              </w:rPr>
              <w:t>3.88</w:t>
            </w:r>
          </w:p>
        </w:tc>
      </w:tr>
    </w:tbl>
    <w:p w:rsidR="00331609" w:rsidRDefault="0033160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sz w:val="22"/>
          <w:szCs w:val="22"/>
        </w:rPr>
        <w:t xml:space="preserve">The same methodology can be applied to the average EER values to predict demand reduction.  The AHRI condition for testing EER for unitary AC units represents the </w:t>
      </w:r>
      <w:proofErr w:type="spellStart"/>
      <w:r w:rsidRPr="002B0DD9">
        <w:rPr>
          <w:rFonts w:ascii="Calibri" w:hAnsi="Calibri" w:cs="Calibri"/>
          <w:sz w:val="22"/>
          <w:szCs w:val="22"/>
        </w:rPr>
        <w:t>btuh</w:t>
      </w:r>
      <w:proofErr w:type="spellEnd"/>
      <w:r w:rsidRPr="002B0DD9">
        <w:rPr>
          <w:rFonts w:ascii="Calibri" w:hAnsi="Calibri" w:cs="Calibri"/>
          <w:sz w:val="22"/>
          <w:szCs w:val="22"/>
        </w:rPr>
        <w:t>/</w:t>
      </w:r>
      <w:proofErr w:type="spellStart"/>
      <w:r w:rsidRPr="002B0DD9">
        <w:rPr>
          <w:rFonts w:ascii="Calibri" w:hAnsi="Calibri" w:cs="Calibri"/>
          <w:sz w:val="22"/>
          <w:szCs w:val="22"/>
        </w:rPr>
        <w:t>Wh</w:t>
      </w:r>
      <w:proofErr w:type="spellEnd"/>
      <w:r w:rsidRPr="002B0DD9">
        <w:rPr>
          <w:rFonts w:ascii="Calibri" w:hAnsi="Calibri" w:cs="Calibri"/>
          <w:sz w:val="22"/>
          <w:szCs w:val="22"/>
        </w:rPr>
        <w:t xml:space="preserve"> of a unit operating at an outdoor dry bulb temperate of 95 degrees. This rating system was developed to estimate the average </w:t>
      </w:r>
      <w:proofErr w:type="spellStart"/>
      <w:r w:rsidRPr="002B0DD9">
        <w:rPr>
          <w:rFonts w:ascii="Calibri" w:hAnsi="Calibri" w:cs="Calibri"/>
          <w:sz w:val="22"/>
          <w:szCs w:val="22"/>
        </w:rPr>
        <w:t>btuh</w:t>
      </w:r>
      <w:proofErr w:type="spellEnd"/>
      <w:r w:rsidRPr="002B0DD9">
        <w:rPr>
          <w:rFonts w:ascii="Calibri" w:hAnsi="Calibri" w:cs="Calibri"/>
          <w:sz w:val="22"/>
          <w:szCs w:val="22"/>
        </w:rPr>
        <w:t>/</w:t>
      </w:r>
      <w:proofErr w:type="spellStart"/>
      <w:r w:rsidRPr="002B0DD9">
        <w:rPr>
          <w:rFonts w:ascii="Calibri" w:hAnsi="Calibri" w:cs="Calibri"/>
          <w:sz w:val="22"/>
          <w:szCs w:val="22"/>
        </w:rPr>
        <w:t>Wh</w:t>
      </w:r>
      <w:proofErr w:type="spellEnd"/>
      <w:r w:rsidRPr="002B0DD9">
        <w:rPr>
          <w:rFonts w:ascii="Calibri" w:hAnsi="Calibri" w:cs="Calibri"/>
          <w:sz w:val="22"/>
          <w:szCs w:val="22"/>
        </w:rPr>
        <w:t xml:space="preserve"> of a unit during peak loading conditions. As with SEER, EER can also be expressed in terms of kW/ton. Using the average EER values from AHRI, the EER and kW/ton of 14, 15, 16, 17+ SEER equipment can be derived. These values can then be used to determine the scaling factor for demand reduction. The recommended demand scaling factors for Three Phase Commercial AC units are shown in </w:t>
      </w:r>
      <w:r w:rsidRPr="002B0DD9">
        <w:rPr>
          <w:rFonts w:ascii="Calibri" w:hAnsi="Calibri" w:cs="Calibri"/>
          <w:sz w:val="22"/>
          <w:szCs w:val="22"/>
        </w:rPr>
        <w:fldChar w:fldCharType="begin"/>
      </w:r>
      <w:r w:rsidRPr="002B0DD9">
        <w:rPr>
          <w:rFonts w:ascii="Calibri" w:hAnsi="Calibri" w:cs="Calibri"/>
          <w:sz w:val="22"/>
          <w:szCs w:val="22"/>
        </w:rPr>
        <w:instrText xml:space="preserve"> REF _Ref389729792 \h </w:instrText>
      </w:r>
      <w:r w:rsidRPr="002B0DD9">
        <w:rPr>
          <w:rFonts w:ascii="Calibri" w:hAnsi="Calibri" w:cs="Calibri"/>
          <w:sz w:val="22"/>
          <w:szCs w:val="22"/>
        </w:rPr>
      </w:r>
      <w:r w:rsidRPr="002B0DD9">
        <w:rPr>
          <w:rFonts w:ascii="Calibri" w:hAnsi="Calibri" w:cs="Calibri"/>
          <w:sz w:val="22"/>
          <w:szCs w:val="22"/>
        </w:rPr>
        <w:fldChar w:fldCharType="separate"/>
      </w:r>
      <w:r w:rsidRPr="002B0DD9">
        <w:rPr>
          <w:rFonts w:ascii="Calibri" w:hAnsi="Calibri" w:cs="Calibri"/>
          <w:sz w:val="22"/>
        </w:rPr>
        <w:t>Table 13</w:t>
      </w:r>
      <w:r w:rsidRPr="002B0DD9">
        <w:rPr>
          <w:rFonts w:ascii="Calibri" w:hAnsi="Calibri" w:cs="Calibri"/>
          <w:sz w:val="22"/>
          <w:szCs w:val="22"/>
        </w:rPr>
        <w:fldChar w:fldCharType="end"/>
      </w:r>
      <w:r w:rsidRPr="002B0DD9">
        <w:rPr>
          <w:rFonts w:ascii="Calibri" w:hAnsi="Calibri" w:cs="Calibri"/>
          <w:sz w:val="22"/>
          <w:szCs w:val="22"/>
        </w:rPr>
        <w:t>.</w:t>
      </w:r>
    </w:p>
    <w:p w:rsidR="002B0DD9" w:rsidRPr="002B0DD9" w:rsidRDefault="00BD41CE" w:rsidP="002B0DD9">
      <w:pPr>
        <w:jc w:val="center"/>
        <w:rPr>
          <w:rFonts w:ascii="Calibri" w:hAnsi="Calibri" w:cs="Calibri"/>
          <w:b/>
          <w:bCs/>
          <w:sz w:val="22"/>
          <w:szCs w:val="3276"/>
        </w:rPr>
      </w:pPr>
      <w:r>
        <w:rPr>
          <w:rFonts w:ascii="Calibri" w:hAnsi="Calibri" w:cs="Calibri"/>
          <w:b/>
          <w:bCs/>
          <w:sz w:val="22"/>
          <w:szCs w:val="3276"/>
        </w:rPr>
        <w:t>Table 13</w:t>
      </w:r>
      <w:r w:rsidR="002B0DD9" w:rsidRPr="002B0DD9">
        <w:rPr>
          <w:rFonts w:ascii="Calibri" w:hAnsi="Calibri" w:cs="Calibri"/>
          <w:b/>
          <w:bCs/>
          <w:sz w:val="22"/>
          <w:szCs w:val="3276"/>
        </w:rPr>
        <w:t xml:space="preserve"> Recommended Demand Scaling Factor for SEER 14 to 17+ Three Phase Package Commercial AC Units</w:t>
      </w:r>
    </w:p>
    <w:tbl>
      <w:tblPr>
        <w:tblStyle w:val="TableContemporary6"/>
        <w:tblW w:w="5000" w:type="pct"/>
        <w:tblLook w:val="01E0" w:firstRow="1" w:lastRow="1" w:firstColumn="1" w:lastColumn="1" w:noHBand="0" w:noVBand="0"/>
      </w:tblPr>
      <w:tblGrid>
        <w:gridCol w:w="1018"/>
        <w:gridCol w:w="1762"/>
        <w:gridCol w:w="1701"/>
        <w:gridCol w:w="1699"/>
        <w:gridCol w:w="1699"/>
        <w:gridCol w:w="1697"/>
      </w:tblGrid>
      <w:tr w:rsidR="002B0DD9" w:rsidRPr="002B0DD9" w:rsidTr="00BD41CE">
        <w:trPr>
          <w:cnfStyle w:val="100000000000" w:firstRow="1" w:lastRow="0" w:firstColumn="0" w:lastColumn="0" w:oddVBand="0" w:evenVBand="0" w:oddHBand="0" w:evenHBand="0" w:firstRowFirstColumn="0" w:firstRowLastColumn="0" w:lastRowFirstColumn="0" w:lastRowLastColumn="0"/>
        </w:trPr>
        <w:tc>
          <w:tcPr>
            <w:tcW w:w="532" w:type="pct"/>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SEER</w:t>
            </w:r>
          </w:p>
        </w:tc>
        <w:tc>
          <w:tcPr>
            <w:tcW w:w="920" w:type="pct"/>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EER used in DEER 2011 for Commercial 3 Phase Package AC &lt;65kBtuh</w:t>
            </w:r>
          </w:p>
        </w:tc>
        <w:tc>
          <w:tcPr>
            <w:tcW w:w="888" w:type="pct"/>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Average EER for 3 Phase Package AC &lt;65kBtuh in AHRI database</w:t>
            </w:r>
          </w:p>
        </w:tc>
        <w:tc>
          <w:tcPr>
            <w:tcW w:w="887" w:type="pct"/>
            <w:vAlign w:val="center"/>
          </w:tcPr>
          <w:p w:rsidR="002B0DD9" w:rsidRPr="002B0DD9" w:rsidRDefault="002B0DD9" w:rsidP="00BD41CE">
            <w:pPr>
              <w:jc w:val="center"/>
              <w:rPr>
                <w:rFonts w:ascii="Calibri" w:hAnsi="Calibri" w:cs="Calibri"/>
                <w:bCs w:val="0"/>
                <w:color w:val="000000"/>
                <w:sz w:val="20"/>
                <w:szCs w:val="20"/>
              </w:rPr>
            </w:pPr>
            <w:r w:rsidRPr="002B0DD9">
              <w:rPr>
                <w:rFonts w:ascii="Calibri" w:hAnsi="Calibri" w:cs="Calibri"/>
                <w:bCs w:val="0"/>
                <w:color w:val="000000"/>
                <w:sz w:val="20"/>
                <w:szCs w:val="20"/>
              </w:rPr>
              <w:t>Average kW/ton for 3 Phase Package AC &lt;65kBtuh in AHRI database</w:t>
            </w:r>
          </w:p>
        </w:tc>
        <w:tc>
          <w:tcPr>
            <w:tcW w:w="887" w:type="pct"/>
            <w:vAlign w:val="center"/>
          </w:tcPr>
          <w:p w:rsidR="002B0DD9" w:rsidRPr="002B0DD9" w:rsidRDefault="002B0DD9" w:rsidP="00BD41CE">
            <w:pPr>
              <w:jc w:val="center"/>
              <w:rPr>
                <w:rFonts w:ascii="Calibri" w:hAnsi="Calibri" w:cs="Calibri"/>
                <w:color w:val="000000"/>
                <w:sz w:val="20"/>
                <w:szCs w:val="20"/>
              </w:rPr>
            </w:pPr>
            <w:r w:rsidRPr="002B0DD9">
              <w:rPr>
                <w:rFonts w:ascii="Calibri" w:hAnsi="Calibri" w:cs="Calibri"/>
                <w:color w:val="000000"/>
                <w:sz w:val="20"/>
                <w:szCs w:val="20"/>
              </w:rPr>
              <w:t>Difference in kW/ton (Compared to SEER 13 Unit)</w:t>
            </w:r>
          </w:p>
        </w:tc>
        <w:tc>
          <w:tcPr>
            <w:tcW w:w="886" w:type="pct"/>
            <w:vAlign w:val="center"/>
          </w:tcPr>
          <w:p w:rsidR="002B0DD9" w:rsidRPr="002B0DD9" w:rsidRDefault="002B0DD9" w:rsidP="00BD41CE">
            <w:pPr>
              <w:jc w:val="center"/>
              <w:rPr>
                <w:rFonts w:ascii="Calibri" w:hAnsi="Calibri" w:cs="Calibri"/>
                <w:color w:val="000000"/>
                <w:sz w:val="20"/>
                <w:szCs w:val="20"/>
              </w:rPr>
            </w:pPr>
            <w:r w:rsidRPr="002B0DD9">
              <w:rPr>
                <w:rFonts w:ascii="Calibri" w:hAnsi="Calibri" w:cs="Calibri"/>
                <w:color w:val="000000"/>
                <w:sz w:val="20"/>
                <w:szCs w:val="20"/>
              </w:rPr>
              <w:t>Demand Scaling Factor</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532"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13-13.99</w:t>
            </w:r>
          </w:p>
        </w:tc>
        <w:tc>
          <w:tcPr>
            <w:tcW w:w="920"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11.04</w:t>
            </w:r>
          </w:p>
        </w:tc>
        <w:tc>
          <w:tcPr>
            <w:tcW w:w="888"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11.16</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1.075</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w:t>
            </w:r>
          </w:p>
        </w:tc>
        <w:tc>
          <w:tcPr>
            <w:tcW w:w="886" w:type="pct"/>
          </w:tcPr>
          <w:p w:rsidR="002B0DD9" w:rsidRPr="002B0DD9" w:rsidRDefault="002B0DD9" w:rsidP="002B0DD9">
            <w:pPr>
              <w:jc w:val="center"/>
              <w:rPr>
                <w:rFonts w:ascii="Calibri" w:hAnsi="Calibri" w:cs="Calibri"/>
                <w:color w:val="000000"/>
                <w:sz w:val="20"/>
                <w:szCs w:val="20"/>
              </w:rPr>
            </w:pP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532"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14-14.99</w:t>
            </w:r>
          </w:p>
        </w:tc>
        <w:tc>
          <w:tcPr>
            <w:tcW w:w="920"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12.04</w:t>
            </w:r>
          </w:p>
        </w:tc>
        <w:tc>
          <w:tcPr>
            <w:tcW w:w="888"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12.02</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0.998</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0.077</w:t>
            </w:r>
          </w:p>
        </w:tc>
        <w:tc>
          <w:tcPr>
            <w:tcW w:w="88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1.000</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532"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15-15.99</w:t>
            </w:r>
          </w:p>
        </w:tc>
        <w:tc>
          <w:tcPr>
            <w:tcW w:w="920" w:type="pct"/>
          </w:tcPr>
          <w:p w:rsidR="002B0DD9" w:rsidRPr="002B0DD9" w:rsidRDefault="002B0DD9" w:rsidP="002B0DD9">
            <w:pPr>
              <w:jc w:val="center"/>
              <w:rPr>
                <w:rFonts w:ascii="Calibri" w:hAnsi="Calibri" w:cs="Calibri"/>
                <w:color w:val="000000"/>
                <w:sz w:val="20"/>
                <w:szCs w:val="20"/>
              </w:rPr>
            </w:pPr>
          </w:p>
        </w:tc>
        <w:tc>
          <w:tcPr>
            <w:tcW w:w="888"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12.52</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0.959</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0.116</w:t>
            </w:r>
          </w:p>
        </w:tc>
        <w:tc>
          <w:tcPr>
            <w:tcW w:w="88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1.508</w:t>
            </w:r>
          </w:p>
        </w:tc>
      </w:tr>
      <w:tr w:rsidR="002B0DD9" w:rsidRPr="002B0DD9" w:rsidTr="002B0DD9">
        <w:trPr>
          <w:cnfStyle w:val="000000010000" w:firstRow="0" w:lastRow="0" w:firstColumn="0" w:lastColumn="0" w:oddVBand="0" w:evenVBand="0" w:oddHBand="0" w:evenHBand="1" w:firstRowFirstColumn="0" w:firstRowLastColumn="0" w:lastRowFirstColumn="0" w:lastRowLastColumn="0"/>
        </w:trPr>
        <w:tc>
          <w:tcPr>
            <w:tcW w:w="532"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16-16.99</w:t>
            </w:r>
          </w:p>
        </w:tc>
        <w:tc>
          <w:tcPr>
            <w:tcW w:w="920" w:type="pct"/>
          </w:tcPr>
          <w:p w:rsidR="002B0DD9" w:rsidRPr="002B0DD9" w:rsidRDefault="002B0DD9" w:rsidP="002B0DD9">
            <w:pPr>
              <w:jc w:val="center"/>
              <w:rPr>
                <w:rFonts w:ascii="Calibri" w:hAnsi="Calibri" w:cs="Calibri"/>
                <w:color w:val="000000"/>
                <w:sz w:val="20"/>
                <w:szCs w:val="20"/>
              </w:rPr>
            </w:pPr>
          </w:p>
        </w:tc>
        <w:tc>
          <w:tcPr>
            <w:tcW w:w="888"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13.07</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0.918</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0.157</w:t>
            </w:r>
          </w:p>
        </w:tc>
        <w:tc>
          <w:tcPr>
            <w:tcW w:w="88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2.041</w:t>
            </w:r>
          </w:p>
        </w:tc>
      </w:tr>
      <w:tr w:rsidR="002B0DD9" w:rsidRPr="002B0DD9" w:rsidTr="002B0DD9">
        <w:trPr>
          <w:cnfStyle w:val="000000100000" w:firstRow="0" w:lastRow="0" w:firstColumn="0" w:lastColumn="0" w:oddVBand="0" w:evenVBand="0" w:oddHBand="1" w:evenHBand="0" w:firstRowFirstColumn="0" w:firstRowLastColumn="0" w:lastRowFirstColumn="0" w:lastRowLastColumn="0"/>
        </w:trPr>
        <w:tc>
          <w:tcPr>
            <w:tcW w:w="532"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17+</w:t>
            </w:r>
          </w:p>
        </w:tc>
        <w:tc>
          <w:tcPr>
            <w:tcW w:w="920" w:type="pct"/>
          </w:tcPr>
          <w:p w:rsidR="002B0DD9" w:rsidRPr="002B0DD9" w:rsidRDefault="002B0DD9" w:rsidP="002B0DD9">
            <w:pPr>
              <w:jc w:val="center"/>
              <w:rPr>
                <w:rFonts w:ascii="Calibri" w:hAnsi="Calibri" w:cs="Calibri"/>
                <w:color w:val="000000"/>
                <w:sz w:val="20"/>
                <w:szCs w:val="20"/>
              </w:rPr>
            </w:pPr>
          </w:p>
        </w:tc>
        <w:tc>
          <w:tcPr>
            <w:tcW w:w="888"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13.23</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0.907</w:t>
            </w:r>
          </w:p>
        </w:tc>
        <w:tc>
          <w:tcPr>
            <w:tcW w:w="887"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0.168</w:t>
            </w:r>
          </w:p>
        </w:tc>
        <w:tc>
          <w:tcPr>
            <w:tcW w:w="886" w:type="pct"/>
          </w:tcPr>
          <w:p w:rsidR="002B0DD9" w:rsidRPr="002B0DD9" w:rsidRDefault="002B0DD9" w:rsidP="002B0DD9">
            <w:pPr>
              <w:jc w:val="center"/>
              <w:rPr>
                <w:rFonts w:ascii="Calibri" w:hAnsi="Calibri" w:cs="Calibri"/>
                <w:color w:val="000000"/>
                <w:sz w:val="20"/>
                <w:szCs w:val="20"/>
              </w:rPr>
            </w:pPr>
            <w:r w:rsidRPr="002B0DD9">
              <w:rPr>
                <w:rFonts w:ascii="Calibri" w:hAnsi="Calibri" w:cs="Calibri"/>
                <w:color w:val="000000"/>
                <w:sz w:val="20"/>
                <w:szCs w:val="20"/>
              </w:rPr>
              <w:t>2.185</w:t>
            </w:r>
          </w:p>
        </w:tc>
      </w:tr>
    </w:tbl>
    <w:p w:rsidR="002B0DD9" w:rsidRPr="002B0DD9" w:rsidRDefault="002B0DD9" w:rsidP="002B0DD9">
      <w:pPr>
        <w:rPr>
          <w:rFonts w:ascii="Calibri" w:hAnsi="Calibri" w:cs="Calibri"/>
          <w:sz w:val="22"/>
          <w:szCs w:val="22"/>
        </w:rPr>
      </w:pPr>
      <w:r w:rsidRPr="002B0DD9">
        <w:rPr>
          <w:rFonts w:ascii="Calibri" w:hAnsi="Calibri" w:cs="Calibri"/>
          <w:sz w:val="22"/>
          <w:szCs w:val="22"/>
        </w:rPr>
        <w:lastRenderedPageBreak/>
        <w:t>This delta kW/ton scaling method enables the use of SEER and EER rating that are reflective of the equipment in the program and can more accurately represent the savings of commercial measures until DEER include the higher SEER rated measures for commercial AC units.</w:t>
      </w:r>
    </w:p>
    <w:p w:rsidR="002B0DD9" w:rsidRPr="002B0DD9" w:rsidRDefault="002B0DD9" w:rsidP="002B0DD9">
      <w:pPr>
        <w:rPr>
          <w:rFonts w:ascii="Calibri" w:hAnsi="Calibri" w:cs="Calibri"/>
          <w:sz w:val="22"/>
          <w:szCs w:val="22"/>
        </w:rPr>
      </w:pPr>
    </w:p>
    <w:p w:rsidR="002B0DD9" w:rsidRPr="002B0DD9" w:rsidRDefault="002B0DD9" w:rsidP="002B0DD9">
      <w:pPr>
        <w:rPr>
          <w:rFonts w:ascii="Calibri" w:hAnsi="Calibri" w:cs="Calibri"/>
          <w:sz w:val="22"/>
          <w:szCs w:val="22"/>
        </w:rPr>
      </w:pPr>
      <w:r w:rsidRPr="002B0DD9">
        <w:rPr>
          <w:rFonts w:ascii="Calibri" w:hAnsi="Calibri" w:cs="Calibri"/>
          <w:b/>
          <w:sz w:val="22"/>
          <w:szCs w:val="22"/>
        </w:rPr>
        <w:t>To Code Savings Portion Measures</w:t>
      </w:r>
    </w:p>
    <w:p w:rsidR="002B0DD9" w:rsidRPr="002B0DD9" w:rsidRDefault="00BD41CE" w:rsidP="002B0DD9">
      <w:pPr>
        <w:rPr>
          <w:rFonts w:ascii="Calibri" w:hAnsi="Calibri" w:cs="Calibri"/>
          <w:sz w:val="22"/>
          <w:szCs w:val="22"/>
        </w:rPr>
      </w:pPr>
      <w:r>
        <w:rPr>
          <w:rFonts w:ascii="Calibri" w:hAnsi="Calibri" w:cs="Calibri"/>
          <w:sz w:val="22"/>
          <w:szCs w:val="22"/>
        </w:rPr>
        <w:t>The “T</w:t>
      </w:r>
      <w:r w:rsidR="002B0DD9" w:rsidRPr="002B0DD9">
        <w:rPr>
          <w:rFonts w:ascii="Calibri" w:hAnsi="Calibri" w:cs="Calibri"/>
          <w:sz w:val="22"/>
          <w:szCs w:val="22"/>
        </w:rPr>
        <w:t>o Code Savings Portion</w:t>
      </w:r>
      <w:r>
        <w:rPr>
          <w:rFonts w:ascii="Calibri" w:hAnsi="Calibri" w:cs="Calibri"/>
          <w:sz w:val="22"/>
          <w:szCs w:val="22"/>
        </w:rPr>
        <w:t>”</w:t>
      </w:r>
      <w:r w:rsidR="002B0DD9" w:rsidRPr="002B0DD9">
        <w:rPr>
          <w:rFonts w:ascii="Calibri" w:hAnsi="Calibri" w:cs="Calibri"/>
          <w:sz w:val="22"/>
          <w:szCs w:val="22"/>
        </w:rPr>
        <w:t xml:space="preserve"> measures in this work paper are savings from retrofitting customer existing equipment (various SEER values) to SEER 13 code-compliant equipment. The savings are taken directly from DEER as the Above Customer Existing savings for SEER 13 AC or HP units. These RET savings are attributed to the early retirement mechanism, while savings from any of the ROB/NEW measures for SEER 14 or higher equipment are attributed to the Upstream HVAC program.</w:t>
      </w:r>
    </w:p>
    <w:p w:rsidR="003A69B5" w:rsidRPr="00567C8C" w:rsidRDefault="003A69B5" w:rsidP="003A69B5">
      <w:pPr>
        <w:pStyle w:val="Heading2"/>
      </w:pPr>
      <w:r w:rsidRPr="00567C8C">
        <w:t>2.</w:t>
      </w:r>
      <w:r>
        <w:t>2</w:t>
      </w:r>
      <w:r w:rsidRPr="00567C8C">
        <w:t xml:space="preserve"> </w:t>
      </w:r>
      <w:r>
        <w:t xml:space="preserve"> Gross Savings Installation Adjustment</w:t>
      </w:r>
    </w:p>
    <w:p w:rsidR="003A69B5" w:rsidRPr="00AE5795" w:rsidRDefault="003A69B5" w:rsidP="003A69B5">
      <w:pPr>
        <w:spacing w:after="120"/>
        <w:rPr>
          <w:rFonts w:ascii="Calibri" w:hAnsi="Calibri" w:cs="Calibri"/>
          <w:sz w:val="22"/>
        </w:rPr>
      </w:pPr>
      <w:r w:rsidRPr="00AE5795">
        <w:rPr>
          <w:rFonts w:ascii="Calibri" w:hAnsi="Calibri" w:cs="Calibri"/>
          <w:sz w:val="22"/>
        </w:rPr>
        <w:t xml:space="preserve">For all the savings discussed above, there is an installation rate applied to values associated with the installation GSIA ID in </w:t>
      </w:r>
      <w:r w:rsidR="00BD41CE">
        <w:rPr>
          <w:rFonts w:ascii="Calibri" w:hAnsi="Calibri" w:cs="Calibri"/>
          <w:b/>
          <w:sz w:val="22"/>
        </w:rPr>
        <w:t>Table 14</w:t>
      </w:r>
      <w:r w:rsidRPr="00AE5795">
        <w:rPr>
          <w:rFonts w:ascii="Calibri" w:hAnsi="Calibri" w:cs="Calibri"/>
          <w:sz w:val="22"/>
        </w:rPr>
        <w:t>. The GSIA ID is identified in the ex-ante implementation tables for all programs and measures. The installation rate (IR) is applied to the gross savings calculations using the values associated with the IDs below.</w:t>
      </w:r>
    </w:p>
    <w:p w:rsidR="003A69B5" w:rsidRPr="003A69B5" w:rsidRDefault="00BD41CE" w:rsidP="003A69B5">
      <w:pPr>
        <w:pStyle w:val="Caption"/>
        <w:jc w:val="center"/>
        <w:rPr>
          <w:rFonts w:asciiTheme="minorHAnsi" w:hAnsiTheme="minorHAnsi" w:cstheme="minorHAnsi"/>
          <w:sz w:val="22"/>
          <w:szCs w:val="22"/>
        </w:rPr>
      </w:pPr>
      <w:r>
        <w:rPr>
          <w:rFonts w:asciiTheme="minorHAnsi" w:hAnsiTheme="minorHAnsi" w:cstheme="minorHAnsi"/>
          <w:sz w:val="22"/>
          <w:szCs w:val="22"/>
        </w:rPr>
        <w:t>Table 14</w:t>
      </w:r>
      <w:r w:rsidR="003A69B5" w:rsidRPr="003A69B5">
        <w:rPr>
          <w:rFonts w:asciiTheme="minorHAnsi" w:hAnsiTheme="minorHAnsi" w:cstheme="minorHAnsi"/>
          <w:sz w:val="22"/>
          <w:szCs w:val="22"/>
        </w:rPr>
        <w:t xml:space="preserve"> Gross Savings Installation Adjustment (GSIA) IDs</w:t>
      </w:r>
    </w:p>
    <w:tbl>
      <w:tblPr>
        <w:tblW w:w="0" w:type="auto"/>
        <w:jc w:val="center"/>
        <w:tblBorders>
          <w:insideH w:val="single" w:sz="18" w:space="0" w:color="FFFFFF"/>
          <w:insideV w:val="single" w:sz="18" w:space="0" w:color="FFFFFF"/>
        </w:tblBorders>
        <w:tblLook w:val="01E0" w:firstRow="1" w:lastRow="1" w:firstColumn="1" w:lastColumn="1" w:noHBand="0" w:noVBand="0"/>
      </w:tblPr>
      <w:tblGrid>
        <w:gridCol w:w="946"/>
        <w:gridCol w:w="1803"/>
        <w:gridCol w:w="904"/>
        <w:gridCol w:w="982"/>
        <w:gridCol w:w="1270"/>
        <w:gridCol w:w="2484"/>
      </w:tblGrid>
      <w:tr w:rsidR="003A69B5" w:rsidRPr="00AB4A96" w:rsidTr="002B0DD9">
        <w:trPr>
          <w:jc w:val="center"/>
        </w:trPr>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r w:rsidRPr="007F7F91">
              <w:rPr>
                <w:rFonts w:ascii="Calibri" w:hAnsi="Calibri" w:cs="Calibri"/>
                <w:b/>
                <w:bCs/>
                <w:sz w:val="20"/>
                <w:szCs w:val="20"/>
              </w:rPr>
              <w:t>GSIA_ID</w:t>
            </w:r>
          </w:p>
        </w:tc>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r w:rsidRPr="007F7F91">
              <w:rPr>
                <w:rFonts w:ascii="Calibri" w:hAnsi="Calibri" w:cs="Calibri"/>
                <w:b/>
                <w:bCs/>
                <w:sz w:val="20"/>
                <w:szCs w:val="20"/>
              </w:rPr>
              <w:t>Description</w:t>
            </w:r>
          </w:p>
        </w:tc>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r w:rsidRPr="007F7F91">
              <w:rPr>
                <w:rFonts w:ascii="Calibri" w:hAnsi="Calibri" w:cs="Calibri"/>
                <w:b/>
                <w:bCs/>
                <w:sz w:val="20"/>
                <w:szCs w:val="20"/>
              </w:rPr>
              <w:t>Sector</w:t>
            </w:r>
          </w:p>
        </w:tc>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proofErr w:type="spellStart"/>
            <w:r w:rsidRPr="007F7F91">
              <w:rPr>
                <w:rFonts w:ascii="Calibri" w:hAnsi="Calibri" w:cs="Calibri"/>
                <w:b/>
                <w:bCs/>
                <w:sz w:val="20"/>
                <w:szCs w:val="20"/>
              </w:rPr>
              <w:t>BldgType</w:t>
            </w:r>
            <w:proofErr w:type="spellEnd"/>
          </w:p>
        </w:tc>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proofErr w:type="spellStart"/>
            <w:r w:rsidRPr="007F7F91">
              <w:rPr>
                <w:rFonts w:ascii="Calibri" w:hAnsi="Calibri" w:cs="Calibri"/>
                <w:b/>
                <w:bCs/>
                <w:sz w:val="20"/>
                <w:szCs w:val="20"/>
              </w:rPr>
              <w:t>UseCategory</w:t>
            </w:r>
            <w:proofErr w:type="spellEnd"/>
          </w:p>
        </w:tc>
        <w:tc>
          <w:tcPr>
            <w:tcW w:w="0" w:type="auto"/>
            <w:shd w:val="pct20" w:color="000000" w:fill="FFFFFF"/>
            <w:vAlign w:val="center"/>
          </w:tcPr>
          <w:p w:rsidR="003A69B5" w:rsidRPr="007F7F91" w:rsidRDefault="003A69B5" w:rsidP="002B0DD9">
            <w:pPr>
              <w:jc w:val="center"/>
              <w:rPr>
                <w:rFonts w:ascii="Calibri" w:hAnsi="Calibri" w:cs="Calibri"/>
                <w:b/>
                <w:bCs/>
                <w:sz w:val="20"/>
                <w:szCs w:val="20"/>
              </w:rPr>
            </w:pPr>
            <w:proofErr w:type="spellStart"/>
            <w:r w:rsidRPr="007F7F91">
              <w:rPr>
                <w:rFonts w:ascii="Calibri" w:hAnsi="Calibri" w:cs="Calibri"/>
                <w:b/>
                <w:bCs/>
                <w:sz w:val="20"/>
                <w:szCs w:val="20"/>
              </w:rPr>
              <w:t>TechType</w:t>
            </w:r>
            <w:proofErr w:type="spellEnd"/>
          </w:p>
        </w:tc>
      </w:tr>
      <w:tr w:rsidR="002B0DD9" w:rsidRPr="00AB4A96" w:rsidTr="002B0DD9">
        <w:trPr>
          <w:jc w:val="center"/>
        </w:trPr>
        <w:tc>
          <w:tcPr>
            <w:tcW w:w="0" w:type="auto"/>
            <w:shd w:val="pct5" w:color="000000" w:fill="FFFFFF"/>
            <w:vAlign w:val="center"/>
          </w:tcPr>
          <w:p w:rsidR="002B0DD9" w:rsidRPr="00697868" w:rsidRDefault="002B0DD9" w:rsidP="002B0DD9">
            <w:pPr>
              <w:jc w:val="center"/>
              <w:rPr>
                <w:rFonts w:asciiTheme="minorHAnsi" w:hAnsiTheme="minorHAnsi" w:cstheme="minorHAnsi"/>
                <w:sz w:val="20"/>
                <w:szCs w:val="20"/>
              </w:rPr>
            </w:pPr>
            <w:proofErr w:type="spellStart"/>
            <w:r w:rsidRPr="00932D20">
              <w:rPr>
                <w:rFonts w:asciiTheme="minorHAnsi" w:hAnsiTheme="minorHAnsi" w:cstheme="minorHAnsi"/>
                <w:sz w:val="20"/>
                <w:szCs w:val="20"/>
              </w:rPr>
              <w:t>Def</w:t>
            </w:r>
            <w:proofErr w:type="spellEnd"/>
            <w:r w:rsidRPr="00932D20">
              <w:rPr>
                <w:rFonts w:asciiTheme="minorHAnsi" w:hAnsiTheme="minorHAnsi" w:cstheme="minorHAnsi"/>
                <w:sz w:val="20"/>
                <w:szCs w:val="20"/>
              </w:rPr>
              <w:t>-GSIA</w:t>
            </w:r>
          </w:p>
        </w:tc>
        <w:tc>
          <w:tcPr>
            <w:tcW w:w="0" w:type="auto"/>
            <w:shd w:val="pct5" w:color="000000" w:fill="FFFFFF"/>
            <w:vAlign w:val="center"/>
          </w:tcPr>
          <w:p w:rsidR="002B0DD9" w:rsidRPr="00697868" w:rsidRDefault="002B0DD9" w:rsidP="002B0DD9">
            <w:pPr>
              <w:jc w:val="center"/>
              <w:rPr>
                <w:rFonts w:asciiTheme="minorHAnsi" w:hAnsiTheme="minorHAnsi" w:cstheme="minorHAnsi"/>
                <w:sz w:val="20"/>
                <w:szCs w:val="20"/>
              </w:rPr>
            </w:pPr>
            <w:r w:rsidRPr="00932D20">
              <w:rPr>
                <w:rFonts w:asciiTheme="minorHAnsi" w:hAnsiTheme="minorHAnsi" w:cstheme="minorHAnsi"/>
                <w:sz w:val="20"/>
                <w:szCs w:val="20"/>
              </w:rPr>
              <w:t>Default GSIA values</w:t>
            </w:r>
          </w:p>
        </w:tc>
        <w:tc>
          <w:tcPr>
            <w:tcW w:w="0" w:type="auto"/>
            <w:shd w:val="pct5" w:color="000000" w:fill="FFFFFF"/>
            <w:vAlign w:val="center"/>
          </w:tcPr>
          <w:p w:rsidR="002B0DD9" w:rsidRPr="007F7F91" w:rsidRDefault="002B0DD9" w:rsidP="002B0DD9">
            <w:pPr>
              <w:jc w:val="center"/>
              <w:rPr>
                <w:rFonts w:ascii="Calibri" w:hAnsi="Calibri" w:cs="Calibri"/>
                <w:sz w:val="20"/>
                <w:szCs w:val="20"/>
              </w:rPr>
            </w:pPr>
            <w:r>
              <w:rPr>
                <w:rFonts w:ascii="Calibri" w:hAnsi="Calibri" w:cs="Calibri"/>
                <w:sz w:val="20"/>
                <w:szCs w:val="20"/>
              </w:rPr>
              <w:t>Non-Res</w:t>
            </w:r>
          </w:p>
        </w:tc>
        <w:tc>
          <w:tcPr>
            <w:tcW w:w="0" w:type="auto"/>
            <w:shd w:val="pct5" w:color="000000" w:fill="FFFFFF"/>
            <w:vAlign w:val="center"/>
          </w:tcPr>
          <w:p w:rsidR="002B0DD9" w:rsidRPr="007F7F91" w:rsidRDefault="002B0DD9" w:rsidP="002B0DD9">
            <w:pPr>
              <w:jc w:val="center"/>
              <w:rPr>
                <w:rFonts w:ascii="Calibri" w:hAnsi="Calibri" w:cs="Calibri"/>
                <w:sz w:val="20"/>
                <w:szCs w:val="20"/>
              </w:rPr>
            </w:pPr>
            <w:r>
              <w:rPr>
                <w:rFonts w:ascii="Calibri" w:hAnsi="Calibri" w:cs="Calibri"/>
                <w:sz w:val="20"/>
                <w:szCs w:val="20"/>
              </w:rPr>
              <w:t>Any</w:t>
            </w:r>
          </w:p>
        </w:tc>
        <w:tc>
          <w:tcPr>
            <w:tcW w:w="0" w:type="auto"/>
            <w:shd w:val="pct5" w:color="000000" w:fill="FFFFFF"/>
            <w:vAlign w:val="center"/>
          </w:tcPr>
          <w:p w:rsidR="002B0DD9" w:rsidRPr="007F7F91" w:rsidRDefault="002B0DD9" w:rsidP="002B0DD9">
            <w:pPr>
              <w:jc w:val="center"/>
              <w:rPr>
                <w:rFonts w:ascii="Calibri" w:hAnsi="Calibri" w:cs="Calibri"/>
                <w:sz w:val="20"/>
                <w:szCs w:val="20"/>
              </w:rPr>
            </w:pPr>
            <w:r w:rsidRPr="002B0DD9">
              <w:rPr>
                <w:rFonts w:asciiTheme="minorHAnsi" w:hAnsiTheme="minorHAnsi" w:cstheme="minorHAnsi"/>
                <w:sz w:val="20"/>
                <w:szCs w:val="22"/>
              </w:rPr>
              <w:t>HVAC</w:t>
            </w:r>
          </w:p>
        </w:tc>
        <w:tc>
          <w:tcPr>
            <w:tcW w:w="0" w:type="auto"/>
            <w:shd w:val="pct5" w:color="000000" w:fill="FFFFFF"/>
            <w:vAlign w:val="center"/>
          </w:tcPr>
          <w:p w:rsidR="002B0DD9" w:rsidRDefault="002B0DD9" w:rsidP="002B0DD9">
            <w:pPr>
              <w:jc w:val="center"/>
              <w:rPr>
                <w:rFonts w:asciiTheme="minorHAnsi" w:hAnsiTheme="minorHAnsi" w:cstheme="minorHAnsi"/>
                <w:sz w:val="20"/>
                <w:szCs w:val="22"/>
              </w:rPr>
            </w:pPr>
            <w:r w:rsidRPr="002B0DD9">
              <w:rPr>
                <w:rFonts w:asciiTheme="minorHAnsi" w:hAnsiTheme="minorHAnsi" w:cstheme="minorHAnsi"/>
                <w:sz w:val="20"/>
                <w:szCs w:val="22"/>
              </w:rPr>
              <w:t xml:space="preserve">SEER Rated Split System AC, </w:t>
            </w:r>
          </w:p>
          <w:p w:rsidR="002B0DD9" w:rsidRPr="007F7F91" w:rsidRDefault="002B0DD9" w:rsidP="002B0DD9">
            <w:pPr>
              <w:jc w:val="center"/>
              <w:rPr>
                <w:rFonts w:ascii="Calibri" w:hAnsi="Calibri" w:cs="Calibri"/>
                <w:sz w:val="20"/>
                <w:szCs w:val="20"/>
              </w:rPr>
            </w:pPr>
            <w:r w:rsidRPr="002B0DD9">
              <w:rPr>
                <w:rFonts w:asciiTheme="minorHAnsi" w:hAnsiTheme="minorHAnsi" w:cstheme="minorHAnsi"/>
                <w:sz w:val="20"/>
                <w:szCs w:val="22"/>
              </w:rPr>
              <w:t>SEER Rated Split System HP</w:t>
            </w:r>
          </w:p>
        </w:tc>
      </w:tr>
    </w:tbl>
    <w:p w:rsidR="003A69B5" w:rsidRDefault="003A69B5" w:rsidP="00E16609">
      <w:pPr>
        <w:pStyle w:val="Reminders"/>
        <w:rPr>
          <w:rFonts w:asciiTheme="minorHAnsi" w:hAnsiTheme="minorHAnsi" w:cstheme="minorHAnsi"/>
          <w:b/>
          <w:sz w:val="22"/>
          <w:szCs w:val="22"/>
        </w:rPr>
      </w:pPr>
    </w:p>
    <w:p w:rsidR="002B0DD9" w:rsidRPr="002B0DD9" w:rsidRDefault="002B0DD9" w:rsidP="002B0DD9">
      <w:pPr>
        <w:spacing w:before="40" w:after="40"/>
        <w:rPr>
          <w:rFonts w:asciiTheme="minorHAnsi" w:hAnsiTheme="minorHAnsi" w:cstheme="minorHAnsi"/>
          <w:sz w:val="22"/>
          <w:szCs w:val="22"/>
        </w:rPr>
      </w:pPr>
      <w:r w:rsidRPr="002B0DD9">
        <w:rPr>
          <w:rFonts w:asciiTheme="minorHAnsi" w:hAnsiTheme="minorHAnsi" w:cstheme="minorHAnsi"/>
          <w:b/>
          <w:sz w:val="22"/>
          <w:szCs w:val="22"/>
        </w:rPr>
        <w:t>Spillage Rate</w:t>
      </w:r>
    </w:p>
    <w:p w:rsidR="002B0DD9" w:rsidRPr="002B0DD9" w:rsidRDefault="002B0DD9" w:rsidP="002B0DD9">
      <w:pPr>
        <w:spacing w:before="40" w:after="40"/>
        <w:rPr>
          <w:rFonts w:asciiTheme="minorHAnsi" w:hAnsiTheme="minorHAnsi" w:cstheme="minorHAnsi"/>
          <w:sz w:val="22"/>
          <w:szCs w:val="22"/>
        </w:rPr>
      </w:pPr>
      <w:r w:rsidRPr="002B0DD9">
        <w:rPr>
          <w:rFonts w:asciiTheme="minorHAnsi" w:hAnsiTheme="minorHAnsi" w:cstheme="minorHAnsi"/>
          <w:sz w:val="22"/>
          <w:szCs w:val="22"/>
        </w:rPr>
        <w:t xml:space="preserve">Spillage rate will also be applied to measures however the values will not be tracked in the </w:t>
      </w:r>
      <w:proofErr w:type="spellStart"/>
      <w:r w:rsidRPr="002B0DD9">
        <w:rPr>
          <w:rFonts w:asciiTheme="minorHAnsi" w:hAnsiTheme="minorHAnsi" w:cstheme="minorHAnsi"/>
          <w:sz w:val="22"/>
          <w:szCs w:val="22"/>
        </w:rPr>
        <w:t>workpapers</w:t>
      </w:r>
      <w:proofErr w:type="spellEnd"/>
      <w:r w:rsidRPr="002B0DD9">
        <w:rPr>
          <w:rFonts w:asciiTheme="minorHAnsi" w:hAnsiTheme="minorHAnsi" w:cstheme="minorHAnsi"/>
          <w:sz w:val="22"/>
          <w:szCs w:val="22"/>
        </w:rPr>
        <w:t>. The spillage rate will be tracked in an external table to be supplied to the Energy Division.</w:t>
      </w:r>
    </w:p>
    <w:p w:rsidR="00E16609" w:rsidRPr="000F130A" w:rsidRDefault="00E16609" w:rsidP="00E16609">
      <w:pPr>
        <w:pStyle w:val="Heading1"/>
        <w:keepNext w:val="0"/>
        <w:rPr>
          <w:rFonts w:asciiTheme="minorHAnsi" w:hAnsiTheme="minorHAnsi" w:cstheme="minorHAnsi"/>
        </w:rPr>
      </w:pPr>
      <w:bookmarkStart w:id="15" w:name="_Toc214003093"/>
      <w:r w:rsidRPr="000F130A">
        <w:rPr>
          <w:rFonts w:asciiTheme="minorHAnsi" w:hAnsiTheme="minorHAnsi" w:cstheme="minorHAnsi"/>
        </w:rPr>
        <w:t>Section 3. Load Shape</w:t>
      </w:r>
      <w:bookmarkEnd w:id="15"/>
      <w:r w:rsidRPr="000F130A">
        <w:rPr>
          <w:rFonts w:asciiTheme="minorHAnsi" w:hAnsiTheme="minorHAnsi" w:cstheme="minorHAnsi"/>
        </w:rPr>
        <w:t>s</w:t>
      </w:r>
    </w:p>
    <w:p w:rsidR="00BD41CE" w:rsidRDefault="00BD41CE" w:rsidP="00BD41CE">
      <w:pPr>
        <w:rPr>
          <w:rFonts w:asciiTheme="minorHAnsi" w:hAnsiTheme="minorHAnsi" w:cstheme="minorHAnsi"/>
          <w:sz w:val="22"/>
          <w:szCs w:val="22"/>
        </w:rPr>
      </w:pPr>
      <w:bookmarkStart w:id="16" w:name="_Ref296597958"/>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proofErr w:type="spellStart"/>
      <w:r>
        <w:rPr>
          <w:rFonts w:asciiTheme="minorHAnsi" w:hAnsiTheme="minorHAnsi" w:cstheme="minorHAnsi"/>
          <w:sz w:val="22"/>
          <w:szCs w:val="22"/>
        </w:rPr>
        <w:t>DEER:HVAC_Split-Package_AC</w:t>
      </w:r>
      <w:proofErr w:type="spellEnd"/>
      <w:r>
        <w:rPr>
          <w:rFonts w:asciiTheme="minorHAnsi" w:hAnsiTheme="minorHAnsi" w:cstheme="minorHAnsi"/>
          <w:sz w:val="22"/>
          <w:szCs w:val="22"/>
        </w:rPr>
        <w:t xml:space="preserve"> and DEER: </w:t>
      </w:r>
      <w:proofErr w:type="spellStart"/>
      <w:r>
        <w:rPr>
          <w:rFonts w:asciiTheme="minorHAnsi" w:hAnsiTheme="minorHAnsi" w:cstheme="minorHAnsi"/>
          <w:sz w:val="22"/>
          <w:szCs w:val="22"/>
        </w:rPr>
        <w:t>HVAC_Split-Package_HP</w:t>
      </w:r>
      <w:proofErr w:type="spellEnd"/>
      <w:r w:rsidRPr="00697868">
        <w:rPr>
          <w:rFonts w:asciiTheme="minorHAnsi" w:hAnsiTheme="minorHAnsi" w:cstheme="minorHAnsi"/>
          <w:sz w:val="22"/>
          <w:szCs w:val="22"/>
        </w:rPr>
        <w:t xml:space="preserve"> load shape</w:t>
      </w:r>
      <w:r>
        <w:rPr>
          <w:rFonts w:asciiTheme="minorHAnsi" w:hAnsiTheme="minorHAnsi" w:cstheme="minorHAnsi"/>
          <w:sz w:val="22"/>
          <w:szCs w:val="22"/>
        </w:rPr>
        <w:t>s. See Table 15</w:t>
      </w:r>
      <w:r w:rsidRPr="00697868">
        <w:rPr>
          <w:rFonts w:asciiTheme="minorHAnsi" w:hAnsiTheme="minorHAnsi" w:cstheme="minorHAnsi"/>
          <w:sz w:val="22"/>
          <w:szCs w:val="22"/>
        </w:rPr>
        <w:t xml:space="preserve"> for a list of all B</w:t>
      </w:r>
      <w:r>
        <w:rPr>
          <w:rFonts w:asciiTheme="minorHAnsi" w:hAnsiTheme="minorHAnsi" w:cstheme="minorHAnsi"/>
          <w:sz w:val="22"/>
          <w:szCs w:val="22"/>
        </w:rPr>
        <w:t xml:space="preserve">uilding Types and Load Shapes. </w:t>
      </w:r>
      <w:r w:rsidRPr="00697868">
        <w:rPr>
          <w:rFonts w:asciiTheme="minorHAnsi" w:hAnsiTheme="minorHAnsi" w:cstheme="minorHAnsi"/>
          <w:sz w:val="22"/>
          <w:szCs w:val="22"/>
        </w:rPr>
        <w:t>See the KEMA report [31] for a more thorough discussion regarding the load shapes for this measure.</w:t>
      </w:r>
    </w:p>
    <w:p w:rsidR="00BD41CE" w:rsidRDefault="00BD41CE" w:rsidP="003F0623">
      <w:pPr>
        <w:pStyle w:val="Caption"/>
        <w:jc w:val="center"/>
        <w:rPr>
          <w:rFonts w:asciiTheme="minorHAnsi" w:hAnsiTheme="minorHAnsi" w:cstheme="minorHAnsi"/>
          <w:sz w:val="22"/>
          <w:szCs w:val="22"/>
        </w:rPr>
      </w:pPr>
    </w:p>
    <w:bookmarkEnd w:id="16"/>
    <w:p w:rsidR="00E16609" w:rsidRPr="00F4752B" w:rsidRDefault="00BD41CE" w:rsidP="003F0623">
      <w:pPr>
        <w:pStyle w:val="Caption"/>
        <w:jc w:val="center"/>
        <w:rPr>
          <w:rFonts w:asciiTheme="minorHAnsi" w:hAnsiTheme="minorHAnsi" w:cstheme="minorHAnsi"/>
          <w:b w:val="0"/>
          <w:sz w:val="22"/>
          <w:szCs w:val="22"/>
        </w:rPr>
      </w:pPr>
      <w:r>
        <w:rPr>
          <w:rFonts w:asciiTheme="minorHAnsi" w:hAnsiTheme="minorHAnsi" w:cstheme="minorHAnsi"/>
          <w:sz w:val="22"/>
          <w:szCs w:val="22"/>
        </w:rPr>
        <w:t>Table 15</w:t>
      </w:r>
      <w:r w:rsidR="003F0623" w:rsidRPr="00F4752B">
        <w:rPr>
          <w:rFonts w:asciiTheme="minorHAnsi" w:hAnsiTheme="minorHAnsi" w:cstheme="minorHAnsi"/>
          <w:sz w:val="22"/>
          <w:szCs w:val="22"/>
        </w:rPr>
        <w:t xml:space="preserve"> </w:t>
      </w:r>
      <w:r w:rsidR="002A3D26" w:rsidRPr="00F4752B">
        <w:rPr>
          <w:rFonts w:asciiTheme="minorHAnsi" w:hAnsiTheme="minorHAnsi" w:cstheme="minorHAnsi"/>
          <w:sz w:val="22"/>
          <w:szCs w:val="22"/>
        </w:rPr>
        <w:t>Building Types</w:t>
      </w:r>
      <w:r w:rsidR="00E16609" w:rsidRPr="00F4752B">
        <w:rPr>
          <w:rFonts w:asciiTheme="minorHAnsi" w:hAnsiTheme="minorHAnsi" w:cstheme="minorHAnsi"/>
          <w:sz w:val="22"/>
          <w:szCs w:val="22"/>
        </w:rPr>
        <w:t xml:space="preserve"> and Load Shapes</w:t>
      </w:r>
    </w:p>
    <w:tbl>
      <w:tblPr>
        <w:tblStyle w:val="TableContemporary"/>
        <w:tblW w:w="2900" w:type="pct"/>
        <w:jc w:val="center"/>
        <w:tblInd w:w="108" w:type="dxa"/>
        <w:tblLook w:val="01E0" w:firstRow="1" w:lastRow="1" w:firstColumn="1" w:lastColumn="1" w:noHBand="0" w:noVBand="0"/>
      </w:tblPr>
      <w:tblGrid>
        <w:gridCol w:w="2988"/>
        <w:gridCol w:w="2566"/>
      </w:tblGrid>
      <w:tr w:rsidR="003A69B5" w:rsidRPr="000F130A" w:rsidTr="003A69B5">
        <w:trPr>
          <w:cnfStyle w:val="100000000000" w:firstRow="1" w:lastRow="0" w:firstColumn="0" w:lastColumn="0" w:oddVBand="0" w:evenVBand="0" w:oddHBand="0" w:evenHBand="0" w:firstRowFirstColumn="0" w:firstRowLastColumn="0" w:lastRowFirstColumn="0" w:lastRowLastColumn="0"/>
          <w:jc w:val="center"/>
        </w:trPr>
        <w:tc>
          <w:tcPr>
            <w:tcW w:w="2690" w:type="pct"/>
          </w:tcPr>
          <w:p w:rsidR="003A69B5" w:rsidRPr="002A3D26" w:rsidRDefault="003A69B5" w:rsidP="007048AC">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2310" w:type="pct"/>
          </w:tcPr>
          <w:p w:rsidR="003A69B5" w:rsidRPr="002A3D26" w:rsidRDefault="003A69B5" w:rsidP="007048AC">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3A69B5" w:rsidRPr="002A3D26" w:rsidTr="00BD41CE">
        <w:trPr>
          <w:cnfStyle w:val="000000100000" w:firstRow="0" w:lastRow="0" w:firstColumn="0" w:lastColumn="0" w:oddVBand="0" w:evenVBand="0" w:oddHBand="1" w:evenHBand="0" w:firstRowFirstColumn="0" w:firstRowLastColumn="0" w:lastRowFirstColumn="0" w:lastRowLastColumn="0"/>
          <w:jc w:val="center"/>
        </w:trPr>
        <w:tc>
          <w:tcPr>
            <w:tcW w:w="2690" w:type="pct"/>
            <w:vAlign w:val="center"/>
          </w:tcPr>
          <w:p w:rsidR="003A69B5" w:rsidRPr="002A3D26" w:rsidRDefault="00BD41CE" w:rsidP="00BD41CE">
            <w:pPr>
              <w:jc w:val="center"/>
              <w:rPr>
                <w:rFonts w:asciiTheme="minorHAnsi" w:hAnsiTheme="minorHAnsi" w:cstheme="minorHAnsi"/>
                <w:sz w:val="20"/>
                <w:szCs w:val="20"/>
              </w:rPr>
            </w:pPr>
            <w:r>
              <w:rPr>
                <w:rFonts w:asciiTheme="minorHAnsi" w:hAnsiTheme="minorHAnsi" w:cstheme="minorHAnsi"/>
                <w:sz w:val="20"/>
                <w:szCs w:val="20"/>
              </w:rPr>
              <w:t>Any</w:t>
            </w:r>
          </w:p>
        </w:tc>
        <w:tc>
          <w:tcPr>
            <w:tcW w:w="2310" w:type="pct"/>
            <w:vAlign w:val="center"/>
          </w:tcPr>
          <w:p w:rsidR="00BD41CE" w:rsidRDefault="00BD41CE" w:rsidP="00BD41CE">
            <w:pPr>
              <w:jc w:val="center"/>
              <w:rPr>
                <w:rFonts w:asciiTheme="minorHAnsi" w:hAnsiTheme="minorHAnsi" w:cstheme="minorHAnsi"/>
                <w:sz w:val="20"/>
                <w:szCs w:val="20"/>
              </w:rPr>
            </w:pPr>
            <w:proofErr w:type="spellStart"/>
            <w:r w:rsidRPr="00876346">
              <w:rPr>
                <w:rFonts w:asciiTheme="minorHAnsi" w:hAnsiTheme="minorHAnsi" w:cstheme="minorHAnsi"/>
                <w:sz w:val="20"/>
                <w:szCs w:val="20"/>
              </w:rPr>
              <w:t>DEER:HVAC_Split-Package_AC</w:t>
            </w:r>
            <w:proofErr w:type="spellEnd"/>
            <w:r w:rsidRPr="00876346">
              <w:rPr>
                <w:rFonts w:asciiTheme="minorHAnsi" w:hAnsiTheme="minorHAnsi" w:cstheme="minorHAnsi"/>
                <w:sz w:val="20"/>
                <w:szCs w:val="20"/>
              </w:rPr>
              <w:t>,</w:t>
            </w:r>
          </w:p>
          <w:p w:rsidR="003A69B5" w:rsidRPr="002A3D26" w:rsidRDefault="00BD41CE" w:rsidP="00BD41CE">
            <w:pPr>
              <w:jc w:val="center"/>
              <w:rPr>
                <w:rFonts w:asciiTheme="minorHAnsi" w:hAnsiTheme="minorHAnsi" w:cstheme="minorHAnsi"/>
                <w:sz w:val="20"/>
                <w:szCs w:val="20"/>
              </w:rPr>
            </w:pPr>
            <w:proofErr w:type="spellStart"/>
            <w:r w:rsidRPr="00876346">
              <w:rPr>
                <w:rFonts w:asciiTheme="minorHAnsi" w:hAnsiTheme="minorHAnsi" w:cstheme="minorHAnsi"/>
                <w:sz w:val="20"/>
                <w:szCs w:val="20"/>
              </w:rPr>
              <w:t>DEER:HVAC_Split-Package_HP</w:t>
            </w:r>
            <w:proofErr w:type="spellEnd"/>
          </w:p>
        </w:tc>
      </w:tr>
    </w:tbl>
    <w:p w:rsidR="00BD41CE" w:rsidRDefault="00BD41CE" w:rsidP="00E16609">
      <w:pPr>
        <w:pStyle w:val="Heading1"/>
        <w:keepNext w:val="0"/>
        <w:rPr>
          <w:rFonts w:asciiTheme="minorHAnsi" w:hAnsiTheme="minorHAnsi" w:cstheme="minorHAnsi"/>
        </w:rPr>
      </w:pPr>
      <w:bookmarkStart w:id="17" w:name="_Toc214003096"/>
    </w:p>
    <w:p w:rsidR="00331609" w:rsidRDefault="00331609" w:rsidP="00E16609">
      <w:pPr>
        <w:pStyle w:val="Heading1"/>
        <w:keepNext w:val="0"/>
        <w:rPr>
          <w:rFonts w:asciiTheme="minorHAnsi" w:hAnsiTheme="minorHAnsi" w:cstheme="minorHAnsi"/>
        </w:rPr>
      </w:pPr>
    </w:p>
    <w:p w:rsidR="00331609" w:rsidRDefault="00331609" w:rsidP="00E16609">
      <w:pPr>
        <w:pStyle w:val="Heading1"/>
        <w:keepNext w:val="0"/>
        <w:rPr>
          <w:rFonts w:asciiTheme="minorHAnsi" w:hAnsiTheme="minorHAnsi" w:cstheme="minorHAnsi"/>
        </w:rPr>
      </w:pPr>
    </w:p>
    <w:p w:rsidR="00E16609" w:rsidRDefault="00E16609" w:rsidP="00E16609">
      <w:pPr>
        <w:pStyle w:val="Heading1"/>
        <w:keepNext w:val="0"/>
        <w:rPr>
          <w:rFonts w:asciiTheme="minorHAnsi" w:hAnsiTheme="minorHAnsi" w:cstheme="minorHAnsi"/>
        </w:rPr>
      </w:pPr>
      <w:r w:rsidRPr="000F130A">
        <w:rPr>
          <w:rFonts w:asciiTheme="minorHAnsi" w:hAnsiTheme="minorHAnsi" w:cstheme="minorHAnsi"/>
        </w:rPr>
        <w:lastRenderedPageBreak/>
        <w:t>Section 4. Base Case &amp; Measure Costs</w:t>
      </w:r>
      <w:bookmarkEnd w:id="17"/>
    </w:p>
    <w:p w:rsidR="00E16609" w:rsidRPr="000F130A" w:rsidRDefault="00E16609" w:rsidP="00824F1C">
      <w:pPr>
        <w:pStyle w:val="Heading2"/>
        <w:rPr>
          <w:rFonts w:asciiTheme="minorHAnsi" w:hAnsiTheme="minorHAnsi" w:cstheme="minorHAnsi"/>
        </w:rPr>
      </w:pPr>
      <w:bookmarkStart w:id="18" w:name="_MON_1399297811"/>
      <w:bookmarkStart w:id="19" w:name="_Toc214003097"/>
      <w:bookmarkEnd w:id="18"/>
      <w:r w:rsidRPr="000F130A">
        <w:rPr>
          <w:rFonts w:asciiTheme="minorHAnsi" w:hAnsiTheme="minorHAnsi" w:cstheme="minorHAnsi"/>
        </w:rPr>
        <w:t>4.1 Base Case Cost</w:t>
      </w:r>
      <w:bookmarkEnd w:id="19"/>
    </w:p>
    <w:p w:rsidR="00BD41CE" w:rsidRDefault="00BD41CE" w:rsidP="00BD41CE">
      <w:pPr>
        <w:pStyle w:val="Reminders"/>
        <w:rPr>
          <w:rFonts w:ascii="Calibri" w:hAnsi="Calibri" w:cs="Calibri"/>
          <w:i w:val="0"/>
          <w:color w:val="auto"/>
          <w:sz w:val="22"/>
        </w:rPr>
      </w:pPr>
      <w:r>
        <w:rPr>
          <w:rFonts w:ascii="Calibri" w:hAnsi="Calibri" w:cs="Calibri"/>
          <w:i w:val="0"/>
          <w:color w:val="auto"/>
          <w:sz w:val="22"/>
        </w:rPr>
        <w:t xml:space="preserve">DEER 2008 provided costs for several AC units but not HP units, so DEER 2005 was used for HP cost; see Table 16. </w:t>
      </w:r>
      <w:r w:rsidRPr="00814395">
        <w:rPr>
          <w:rFonts w:ascii="Calibri" w:hAnsi="Calibri" w:cs="Calibri"/>
          <w:i w:val="0"/>
          <w:color w:val="auto"/>
          <w:sz w:val="22"/>
        </w:rPr>
        <w:fldChar w:fldCharType="begin"/>
      </w:r>
      <w:r w:rsidRPr="00814395">
        <w:rPr>
          <w:rFonts w:ascii="Calibri" w:hAnsi="Calibri" w:cs="Calibri"/>
          <w:i w:val="0"/>
          <w:color w:val="auto"/>
          <w:sz w:val="22"/>
        </w:rPr>
        <w:instrText xml:space="preserve"> REF _Ref231806569 \h  \* MERGEFORMAT </w:instrText>
      </w:r>
      <w:r w:rsidRPr="00814395">
        <w:rPr>
          <w:rFonts w:ascii="Calibri" w:hAnsi="Calibri" w:cs="Calibri"/>
          <w:i w:val="0"/>
          <w:color w:val="auto"/>
          <w:sz w:val="22"/>
        </w:rPr>
      </w:r>
      <w:r w:rsidRPr="00814395">
        <w:rPr>
          <w:rFonts w:ascii="Calibri" w:hAnsi="Calibri" w:cs="Calibri"/>
          <w:i w:val="0"/>
          <w:color w:val="auto"/>
          <w:sz w:val="22"/>
        </w:rPr>
        <w:fldChar w:fldCharType="end"/>
      </w:r>
      <w:r w:rsidRPr="00814395">
        <w:rPr>
          <w:rFonts w:ascii="Calibri" w:hAnsi="Calibri" w:cs="Calibri"/>
          <w:i w:val="0"/>
          <w:color w:val="auto"/>
          <w:sz w:val="22"/>
        </w:rPr>
        <w:t>These costs are per Cooling Ton.</w:t>
      </w:r>
      <w:bookmarkStart w:id="20" w:name="_Ref231806569"/>
    </w:p>
    <w:p w:rsidR="00BD41CE" w:rsidRDefault="00BD41CE" w:rsidP="00BD41CE">
      <w:pPr>
        <w:pStyle w:val="Caption"/>
        <w:jc w:val="center"/>
        <w:rPr>
          <w:rFonts w:ascii="Calibri" w:hAnsi="Calibri" w:cs="Calibri"/>
          <w:sz w:val="22"/>
        </w:rPr>
      </w:pPr>
      <w:bookmarkStart w:id="21" w:name="_Ref389737923"/>
      <w:bookmarkEnd w:id="20"/>
    </w:p>
    <w:bookmarkEnd w:id="21"/>
    <w:p w:rsidR="00BD41CE" w:rsidRPr="00ED4EAB" w:rsidRDefault="00BD41CE" w:rsidP="00BD41CE">
      <w:pPr>
        <w:pStyle w:val="Caption"/>
        <w:jc w:val="center"/>
        <w:rPr>
          <w:rFonts w:ascii="Calibri" w:hAnsi="Calibri" w:cs="Calibri"/>
          <w:sz w:val="22"/>
        </w:rPr>
      </w:pPr>
      <w:r>
        <w:rPr>
          <w:rFonts w:ascii="Calibri" w:hAnsi="Calibri" w:cs="Calibri"/>
          <w:sz w:val="22"/>
        </w:rPr>
        <w:t>Table 16</w:t>
      </w:r>
      <w:r w:rsidRPr="0090620E">
        <w:rPr>
          <w:rFonts w:ascii="Calibri" w:hAnsi="Calibri" w:cs="Calibri"/>
          <w:sz w:val="22"/>
        </w:rPr>
        <w:t xml:space="preserve"> </w:t>
      </w:r>
      <w:r>
        <w:rPr>
          <w:rFonts w:ascii="Calibri" w:hAnsi="Calibri" w:cs="Calibri"/>
          <w:sz w:val="22"/>
        </w:rPr>
        <w:t>DEER Cost Data</w:t>
      </w:r>
    </w:p>
    <w:tbl>
      <w:tblPr>
        <w:tblStyle w:val="TableContemporary"/>
        <w:tblW w:w="9576" w:type="dxa"/>
        <w:tblLook w:val="0000" w:firstRow="0" w:lastRow="0" w:firstColumn="0" w:lastColumn="0" w:noHBand="0" w:noVBand="0"/>
      </w:tblPr>
      <w:tblGrid>
        <w:gridCol w:w="4068"/>
        <w:gridCol w:w="3212"/>
        <w:gridCol w:w="1026"/>
        <w:gridCol w:w="1270"/>
      </w:tblGrid>
      <w:tr w:rsidR="00BD41CE" w:rsidRPr="0074323B" w:rsidTr="00687AF7">
        <w:trPr>
          <w:cnfStyle w:val="000000100000" w:firstRow="0" w:lastRow="0" w:firstColumn="0" w:lastColumn="0" w:oddVBand="0" w:evenVBand="0" w:oddHBand="1" w:evenHBand="0" w:firstRowFirstColumn="0" w:firstRowLastColumn="0" w:lastRowFirstColumn="0" w:lastRowLastColumn="0"/>
          <w:trHeight w:val="586"/>
        </w:trPr>
        <w:tc>
          <w:tcPr>
            <w:tcW w:w="4068" w:type="dxa"/>
            <w:vAlign w:val="center"/>
          </w:tcPr>
          <w:p w:rsidR="00BD41CE" w:rsidRPr="005E6010" w:rsidRDefault="00BD41CE" w:rsidP="00687AF7">
            <w:pPr>
              <w:keepNext/>
              <w:jc w:val="center"/>
              <w:rPr>
                <w:rFonts w:ascii="Calibri" w:hAnsi="Calibri" w:cs="Calibri"/>
                <w:b/>
                <w:bCs/>
                <w:sz w:val="20"/>
                <w:szCs w:val="20"/>
              </w:rPr>
            </w:pPr>
            <w:r w:rsidRPr="005E6010">
              <w:rPr>
                <w:rFonts w:ascii="Calibri" w:hAnsi="Calibri" w:cs="Calibri"/>
                <w:b/>
                <w:bCs/>
                <w:sz w:val="20"/>
                <w:szCs w:val="20"/>
              </w:rPr>
              <w:t>Cost Case Description</w:t>
            </w:r>
          </w:p>
        </w:tc>
        <w:tc>
          <w:tcPr>
            <w:tcW w:w="3212" w:type="dxa"/>
            <w:vAlign w:val="center"/>
          </w:tcPr>
          <w:p w:rsidR="00BD41CE" w:rsidRPr="005E6010" w:rsidRDefault="00BD41CE" w:rsidP="00687AF7">
            <w:pPr>
              <w:keepNext/>
              <w:jc w:val="center"/>
              <w:rPr>
                <w:rFonts w:ascii="Calibri" w:hAnsi="Calibri" w:cs="Calibri"/>
                <w:b/>
                <w:bCs/>
                <w:sz w:val="20"/>
                <w:szCs w:val="20"/>
              </w:rPr>
            </w:pPr>
            <w:r w:rsidRPr="005E6010">
              <w:rPr>
                <w:rFonts w:ascii="Calibri" w:hAnsi="Calibri" w:cs="Calibri"/>
                <w:b/>
                <w:bCs/>
                <w:sz w:val="20"/>
                <w:szCs w:val="20"/>
              </w:rPr>
              <w:t>DEER Cost Case ID</w:t>
            </w:r>
          </w:p>
        </w:tc>
        <w:tc>
          <w:tcPr>
            <w:tcW w:w="1026" w:type="dxa"/>
            <w:vAlign w:val="center"/>
          </w:tcPr>
          <w:p w:rsidR="00BD41CE" w:rsidRPr="005E6010" w:rsidRDefault="00BD41CE" w:rsidP="00687AF7">
            <w:pPr>
              <w:keepNext/>
              <w:jc w:val="center"/>
              <w:rPr>
                <w:rFonts w:ascii="Calibri" w:hAnsi="Calibri" w:cs="Calibri"/>
                <w:b/>
                <w:bCs/>
                <w:sz w:val="20"/>
                <w:szCs w:val="20"/>
              </w:rPr>
            </w:pPr>
            <w:r>
              <w:rPr>
                <w:rFonts w:ascii="Calibri" w:hAnsi="Calibri" w:cs="Calibri"/>
                <w:b/>
                <w:bCs/>
                <w:sz w:val="20"/>
                <w:szCs w:val="20"/>
              </w:rPr>
              <w:t>Material Cost</w:t>
            </w:r>
          </w:p>
        </w:tc>
        <w:tc>
          <w:tcPr>
            <w:tcW w:w="1270" w:type="dxa"/>
            <w:vAlign w:val="center"/>
          </w:tcPr>
          <w:p w:rsidR="00BD41CE" w:rsidRPr="005E6010" w:rsidRDefault="00BD41CE" w:rsidP="00687AF7">
            <w:pPr>
              <w:keepNext/>
              <w:jc w:val="center"/>
              <w:rPr>
                <w:rFonts w:ascii="Calibri" w:hAnsi="Calibri" w:cs="Calibri"/>
                <w:b/>
                <w:bCs/>
                <w:sz w:val="20"/>
                <w:szCs w:val="20"/>
              </w:rPr>
            </w:pPr>
            <w:r>
              <w:rPr>
                <w:rFonts w:ascii="Calibri" w:hAnsi="Calibri" w:cs="Calibri"/>
                <w:b/>
                <w:bCs/>
                <w:sz w:val="20"/>
                <w:szCs w:val="20"/>
              </w:rPr>
              <w:t>Labor Cost</w:t>
            </w:r>
          </w:p>
        </w:tc>
      </w:tr>
      <w:tr w:rsidR="00BD41CE" w:rsidRPr="0074323B" w:rsidTr="00687AF7">
        <w:trPr>
          <w:cnfStyle w:val="000000010000" w:firstRow="0" w:lastRow="0" w:firstColumn="0" w:lastColumn="0" w:oddVBand="0" w:evenVBand="0" w:oddHBand="0" w:evenHBand="1" w:firstRowFirstColumn="0" w:firstRowLastColumn="0" w:lastRowFirstColumn="0" w:lastRowLastColumn="0"/>
          <w:trHeight w:val="576"/>
        </w:trPr>
        <w:tc>
          <w:tcPr>
            <w:tcW w:w="4068"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13 SEER</w:t>
            </w:r>
            <w:r>
              <w:rPr>
                <w:rFonts w:ascii="Calibri" w:hAnsi="Calibri" w:cs="Calibri"/>
                <w:sz w:val="20"/>
                <w:szCs w:val="20"/>
              </w:rPr>
              <w:t xml:space="preserve"> </w:t>
            </w:r>
            <w:r w:rsidRPr="005E6010">
              <w:rPr>
                <w:rFonts w:ascii="Calibri" w:hAnsi="Calibri" w:cs="Calibri"/>
                <w:sz w:val="20"/>
                <w:szCs w:val="20"/>
              </w:rPr>
              <w:t>(11.09 EER) Package Air Conditioner - Single Phase</w:t>
            </w:r>
          </w:p>
        </w:tc>
        <w:tc>
          <w:tcPr>
            <w:tcW w:w="3212"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airAC-Pkg-lt65kBtuh 1phs-13p0seer</w:t>
            </w:r>
          </w:p>
        </w:tc>
        <w:tc>
          <w:tcPr>
            <w:tcW w:w="1026" w:type="dxa"/>
            <w:noWrap/>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$950.10</w:t>
            </w:r>
          </w:p>
        </w:tc>
        <w:tc>
          <w:tcPr>
            <w:tcW w:w="1270"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$357.73</w:t>
            </w:r>
          </w:p>
        </w:tc>
      </w:tr>
      <w:tr w:rsidR="00BD41CE" w:rsidRPr="0074323B" w:rsidTr="00687AF7">
        <w:trPr>
          <w:cnfStyle w:val="000000100000" w:firstRow="0" w:lastRow="0" w:firstColumn="0" w:lastColumn="0" w:oddVBand="0" w:evenVBand="0" w:oddHBand="1" w:evenHBand="0" w:firstRowFirstColumn="0" w:firstRowLastColumn="0" w:lastRowFirstColumn="0" w:lastRowLastColumn="0"/>
          <w:trHeight w:val="576"/>
        </w:trPr>
        <w:tc>
          <w:tcPr>
            <w:tcW w:w="4068"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13 SEER</w:t>
            </w:r>
            <w:r>
              <w:rPr>
                <w:rFonts w:ascii="Calibri" w:hAnsi="Calibri" w:cs="Calibri"/>
                <w:sz w:val="20"/>
                <w:szCs w:val="20"/>
              </w:rPr>
              <w:t xml:space="preserve"> </w:t>
            </w:r>
            <w:r w:rsidRPr="005E6010">
              <w:rPr>
                <w:rFonts w:ascii="Calibri" w:hAnsi="Calibri" w:cs="Calibri"/>
                <w:sz w:val="20"/>
                <w:szCs w:val="20"/>
              </w:rPr>
              <w:t>(11.09 EER) Three Phase Package A/C – Three Phase</w:t>
            </w:r>
          </w:p>
        </w:tc>
        <w:tc>
          <w:tcPr>
            <w:tcW w:w="3212"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airAC-Pkg-lt65kBtuh 3phs-13p0seer</w:t>
            </w:r>
          </w:p>
        </w:tc>
        <w:tc>
          <w:tcPr>
            <w:tcW w:w="1026" w:type="dxa"/>
            <w:noWrap/>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$980.70</w:t>
            </w:r>
          </w:p>
        </w:tc>
        <w:tc>
          <w:tcPr>
            <w:tcW w:w="1270"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$357.73</w:t>
            </w:r>
          </w:p>
        </w:tc>
      </w:tr>
      <w:tr w:rsidR="00BD41CE" w:rsidRPr="0074323B" w:rsidTr="00687AF7">
        <w:trPr>
          <w:cnfStyle w:val="000000010000" w:firstRow="0" w:lastRow="0" w:firstColumn="0" w:lastColumn="0" w:oddVBand="0" w:evenVBand="0" w:oddHBand="0" w:evenHBand="1" w:firstRowFirstColumn="0" w:firstRowLastColumn="0" w:lastRowFirstColumn="0" w:lastRowLastColumn="0"/>
          <w:trHeight w:val="576"/>
        </w:trPr>
        <w:tc>
          <w:tcPr>
            <w:tcW w:w="4068"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14 SEER(12.15 EER) Package Air Conditioner</w:t>
            </w:r>
          </w:p>
        </w:tc>
        <w:tc>
          <w:tcPr>
            <w:tcW w:w="3212"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airAC-Pkg-lt65kBtuh 1phs-14p0seer</w:t>
            </w:r>
          </w:p>
        </w:tc>
        <w:tc>
          <w:tcPr>
            <w:tcW w:w="1026" w:type="dxa"/>
            <w:noWrap/>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$1,063.20</w:t>
            </w:r>
          </w:p>
        </w:tc>
        <w:tc>
          <w:tcPr>
            <w:tcW w:w="1270"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$357.73</w:t>
            </w:r>
          </w:p>
        </w:tc>
      </w:tr>
      <w:tr w:rsidR="00BD41CE" w:rsidRPr="0074323B" w:rsidTr="00687AF7">
        <w:trPr>
          <w:cnfStyle w:val="000000100000" w:firstRow="0" w:lastRow="0" w:firstColumn="0" w:lastColumn="0" w:oddVBand="0" w:evenVBand="0" w:oddHBand="1" w:evenHBand="0" w:firstRowFirstColumn="0" w:firstRowLastColumn="0" w:lastRowFirstColumn="0" w:lastRowLastColumn="0"/>
          <w:trHeight w:val="576"/>
        </w:trPr>
        <w:tc>
          <w:tcPr>
            <w:tcW w:w="4068" w:type="dxa"/>
            <w:vAlign w:val="center"/>
          </w:tcPr>
          <w:p w:rsidR="00BD41CE" w:rsidRPr="005E6010" w:rsidRDefault="00BD41CE" w:rsidP="00687AF7">
            <w:pPr>
              <w:keepNext/>
              <w:rPr>
                <w:rFonts w:ascii="Calibri" w:hAnsi="Calibri" w:cs="Calibri"/>
                <w:sz w:val="20"/>
                <w:szCs w:val="20"/>
              </w:rPr>
            </w:pPr>
            <w:r w:rsidRPr="00F77A14">
              <w:rPr>
                <w:rFonts w:ascii="Calibri" w:hAnsi="Calibri" w:cs="Calibri"/>
                <w:sz w:val="20"/>
                <w:szCs w:val="20"/>
              </w:rPr>
              <w:t>9.7 SEER Package Air Conditioner</w:t>
            </w:r>
          </w:p>
        </w:tc>
        <w:tc>
          <w:tcPr>
            <w:tcW w:w="3212" w:type="dxa"/>
            <w:vAlign w:val="center"/>
          </w:tcPr>
          <w:p w:rsidR="00BD41CE" w:rsidRPr="005E6010" w:rsidRDefault="00BD41CE" w:rsidP="00687AF7">
            <w:pPr>
              <w:keepNext/>
              <w:jc w:val="center"/>
              <w:rPr>
                <w:rFonts w:ascii="Calibri" w:hAnsi="Calibri" w:cs="Calibri"/>
                <w:sz w:val="20"/>
                <w:szCs w:val="20"/>
              </w:rPr>
            </w:pPr>
            <w:r w:rsidRPr="00F77A14">
              <w:rPr>
                <w:rFonts w:ascii="Calibri" w:hAnsi="Calibri" w:cs="Calibri"/>
                <w:sz w:val="20"/>
                <w:szCs w:val="20"/>
              </w:rPr>
              <w:t>airAC-Pkg-lt65kBtuh3phs-9p7seer</w:t>
            </w:r>
          </w:p>
        </w:tc>
        <w:tc>
          <w:tcPr>
            <w:tcW w:w="1026" w:type="dxa"/>
            <w:noWrap/>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$645.60</w:t>
            </w:r>
          </w:p>
        </w:tc>
        <w:tc>
          <w:tcPr>
            <w:tcW w:w="1270" w:type="dxa"/>
            <w:vAlign w:val="center"/>
          </w:tcPr>
          <w:p w:rsidR="00BD41CE" w:rsidRDefault="00BD41CE" w:rsidP="00687AF7">
            <w:pPr>
              <w:keepNext/>
              <w:jc w:val="center"/>
              <w:rPr>
                <w:rFonts w:ascii="Calibri" w:hAnsi="Calibri" w:cs="Calibri"/>
                <w:sz w:val="20"/>
                <w:szCs w:val="20"/>
              </w:rPr>
            </w:pPr>
            <w:r>
              <w:rPr>
                <w:rFonts w:ascii="Calibri" w:hAnsi="Calibri" w:cs="Calibri"/>
                <w:sz w:val="20"/>
                <w:szCs w:val="20"/>
              </w:rPr>
              <w:t>$357.73</w:t>
            </w:r>
          </w:p>
        </w:tc>
      </w:tr>
      <w:tr w:rsidR="00BD41CE" w:rsidRPr="0074323B" w:rsidTr="00687AF7">
        <w:trPr>
          <w:cnfStyle w:val="000000010000" w:firstRow="0" w:lastRow="0" w:firstColumn="0" w:lastColumn="0" w:oddVBand="0" w:evenVBand="0" w:oddHBand="0" w:evenHBand="1" w:firstRowFirstColumn="0" w:firstRowLastColumn="0" w:lastRowFirstColumn="0" w:lastRowLastColumn="0"/>
          <w:trHeight w:val="576"/>
        </w:trPr>
        <w:tc>
          <w:tcPr>
            <w:tcW w:w="4068"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13 SEER (7.7 HPSF) Three Phase Package HP</w:t>
            </w:r>
          </w:p>
        </w:tc>
        <w:tc>
          <w:tcPr>
            <w:tcW w:w="3212"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D03-113</w:t>
            </w:r>
          </w:p>
        </w:tc>
        <w:tc>
          <w:tcPr>
            <w:tcW w:w="1026" w:type="dxa"/>
            <w:noWrap/>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$959.29</w:t>
            </w:r>
          </w:p>
        </w:tc>
        <w:tc>
          <w:tcPr>
            <w:tcW w:w="1270"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$459.88</w:t>
            </w:r>
          </w:p>
        </w:tc>
      </w:tr>
      <w:tr w:rsidR="00BD41CE" w:rsidRPr="0074323B" w:rsidTr="00687AF7">
        <w:trPr>
          <w:cnfStyle w:val="000000100000" w:firstRow="0" w:lastRow="0" w:firstColumn="0" w:lastColumn="0" w:oddVBand="0" w:evenVBand="0" w:oddHBand="1" w:evenHBand="0" w:firstRowFirstColumn="0" w:firstRowLastColumn="0" w:lastRowFirstColumn="0" w:lastRowLastColumn="0"/>
          <w:trHeight w:val="576"/>
        </w:trPr>
        <w:tc>
          <w:tcPr>
            <w:tcW w:w="4068" w:type="dxa"/>
            <w:vAlign w:val="center"/>
          </w:tcPr>
          <w:p w:rsidR="00BD41CE" w:rsidRPr="005B3785" w:rsidRDefault="00BD41CE" w:rsidP="00687AF7">
            <w:pPr>
              <w:keepNext/>
              <w:rPr>
                <w:rFonts w:ascii="Calibri" w:hAnsi="Calibri" w:cs="Calibri"/>
                <w:sz w:val="20"/>
                <w:szCs w:val="20"/>
              </w:rPr>
            </w:pPr>
            <w:r>
              <w:rPr>
                <w:rFonts w:ascii="Calibri" w:hAnsi="Calibri" w:cs="Calibri"/>
                <w:sz w:val="20"/>
                <w:szCs w:val="20"/>
              </w:rPr>
              <w:t>12 SEER (7.4 HSPF) Three Phase Package HP</w:t>
            </w:r>
          </w:p>
        </w:tc>
        <w:tc>
          <w:tcPr>
            <w:tcW w:w="3212" w:type="dxa"/>
            <w:vAlign w:val="center"/>
          </w:tcPr>
          <w:p w:rsidR="00BD41CE" w:rsidRDefault="00BD41CE" w:rsidP="00687AF7">
            <w:pPr>
              <w:keepNext/>
              <w:jc w:val="center"/>
              <w:rPr>
                <w:rFonts w:ascii="Calibri" w:hAnsi="Calibri" w:cs="Calibri"/>
                <w:sz w:val="20"/>
                <w:szCs w:val="20"/>
              </w:rPr>
            </w:pPr>
            <w:r>
              <w:rPr>
                <w:rFonts w:ascii="Calibri" w:hAnsi="Calibri" w:cs="Calibri"/>
                <w:sz w:val="20"/>
                <w:szCs w:val="20"/>
              </w:rPr>
              <w:t>D03-112</w:t>
            </w:r>
          </w:p>
        </w:tc>
        <w:tc>
          <w:tcPr>
            <w:tcW w:w="1026" w:type="dxa"/>
            <w:noWrap/>
            <w:vAlign w:val="center"/>
          </w:tcPr>
          <w:p w:rsidR="00BD41CE" w:rsidRPr="005B3785" w:rsidRDefault="00BD41CE" w:rsidP="00687AF7">
            <w:pPr>
              <w:keepNext/>
              <w:jc w:val="center"/>
              <w:rPr>
                <w:rFonts w:ascii="Calibri" w:hAnsi="Calibri" w:cs="Calibri"/>
                <w:sz w:val="20"/>
                <w:szCs w:val="20"/>
              </w:rPr>
            </w:pPr>
            <w:r>
              <w:rPr>
                <w:rFonts w:ascii="Calibri" w:hAnsi="Calibri" w:cs="Calibri"/>
                <w:sz w:val="20"/>
                <w:szCs w:val="20"/>
              </w:rPr>
              <w:t>$906.94</w:t>
            </w:r>
          </w:p>
        </w:tc>
        <w:tc>
          <w:tcPr>
            <w:tcW w:w="1270" w:type="dxa"/>
            <w:vAlign w:val="center"/>
          </w:tcPr>
          <w:p w:rsidR="00BD41CE" w:rsidRPr="005B3785" w:rsidRDefault="00BD41CE" w:rsidP="00687AF7">
            <w:pPr>
              <w:keepNext/>
              <w:jc w:val="center"/>
              <w:rPr>
                <w:rFonts w:ascii="Calibri" w:hAnsi="Calibri" w:cs="Calibri"/>
                <w:sz w:val="20"/>
                <w:szCs w:val="20"/>
              </w:rPr>
            </w:pPr>
            <w:r>
              <w:rPr>
                <w:rFonts w:ascii="Calibri" w:hAnsi="Calibri" w:cs="Calibri"/>
                <w:sz w:val="20"/>
                <w:szCs w:val="20"/>
              </w:rPr>
              <w:t>$459.88</w:t>
            </w:r>
          </w:p>
        </w:tc>
      </w:tr>
      <w:tr w:rsidR="00BD41CE" w:rsidRPr="0074323B" w:rsidTr="00687AF7">
        <w:trPr>
          <w:cnfStyle w:val="000000010000" w:firstRow="0" w:lastRow="0" w:firstColumn="0" w:lastColumn="0" w:oddVBand="0" w:evenVBand="0" w:oddHBand="0" w:evenHBand="1" w:firstRowFirstColumn="0" w:firstRowLastColumn="0" w:lastRowFirstColumn="0" w:lastRowLastColumn="0"/>
          <w:trHeight w:val="576"/>
        </w:trPr>
        <w:tc>
          <w:tcPr>
            <w:tcW w:w="4068" w:type="dxa"/>
            <w:vAlign w:val="center"/>
          </w:tcPr>
          <w:p w:rsidR="00BD41CE" w:rsidRDefault="00BD41CE" w:rsidP="00687AF7">
            <w:pPr>
              <w:keepNext/>
              <w:rPr>
                <w:rFonts w:ascii="Calibri" w:hAnsi="Calibri" w:cs="Calibri"/>
                <w:sz w:val="20"/>
                <w:szCs w:val="20"/>
              </w:rPr>
            </w:pPr>
            <w:r>
              <w:rPr>
                <w:rFonts w:ascii="Calibri" w:hAnsi="Calibri" w:cs="Calibri"/>
                <w:sz w:val="20"/>
                <w:szCs w:val="20"/>
              </w:rPr>
              <w:t>9.7 SEER (6.6 HSPF) HP (varies by vintage)</w:t>
            </w:r>
          </w:p>
        </w:tc>
        <w:tc>
          <w:tcPr>
            <w:tcW w:w="3212" w:type="dxa"/>
            <w:vAlign w:val="center"/>
          </w:tcPr>
          <w:p w:rsidR="00BD41CE" w:rsidRDefault="00BD41CE" w:rsidP="00687AF7">
            <w:pPr>
              <w:keepNext/>
              <w:jc w:val="center"/>
              <w:rPr>
                <w:rFonts w:ascii="Calibri" w:hAnsi="Calibri" w:cs="Calibri"/>
                <w:sz w:val="20"/>
                <w:szCs w:val="20"/>
              </w:rPr>
            </w:pPr>
            <w:r>
              <w:rPr>
                <w:rFonts w:ascii="Calibri" w:hAnsi="Calibri" w:cs="Calibri"/>
                <w:sz w:val="20"/>
                <w:szCs w:val="20"/>
              </w:rPr>
              <w:t>D03-112, D03-113</w:t>
            </w:r>
          </w:p>
        </w:tc>
        <w:tc>
          <w:tcPr>
            <w:tcW w:w="1026" w:type="dxa"/>
            <w:noWrap/>
            <w:vAlign w:val="center"/>
          </w:tcPr>
          <w:p w:rsidR="00BD41CE" w:rsidRDefault="00BD41CE" w:rsidP="00687AF7">
            <w:pPr>
              <w:keepNext/>
              <w:jc w:val="center"/>
              <w:rPr>
                <w:rFonts w:ascii="Calibri" w:hAnsi="Calibri" w:cs="Calibri"/>
                <w:sz w:val="20"/>
                <w:szCs w:val="20"/>
              </w:rPr>
            </w:pPr>
            <w:r>
              <w:rPr>
                <w:rFonts w:ascii="Calibri" w:hAnsi="Calibri" w:cs="Calibri"/>
                <w:sz w:val="20"/>
                <w:szCs w:val="20"/>
              </w:rPr>
              <w:t>$802.25</w:t>
            </w:r>
          </w:p>
        </w:tc>
        <w:tc>
          <w:tcPr>
            <w:tcW w:w="1270" w:type="dxa"/>
            <w:vAlign w:val="center"/>
          </w:tcPr>
          <w:p w:rsidR="00BD41CE" w:rsidRDefault="00BD41CE" w:rsidP="00687AF7">
            <w:pPr>
              <w:keepNext/>
              <w:jc w:val="center"/>
              <w:rPr>
                <w:rFonts w:ascii="Calibri" w:hAnsi="Calibri" w:cs="Calibri"/>
                <w:sz w:val="20"/>
                <w:szCs w:val="20"/>
              </w:rPr>
            </w:pPr>
            <w:r>
              <w:rPr>
                <w:rFonts w:ascii="Calibri" w:hAnsi="Calibri" w:cs="Calibri"/>
                <w:sz w:val="20"/>
                <w:szCs w:val="20"/>
              </w:rPr>
              <w:t>$459.88</w:t>
            </w:r>
          </w:p>
        </w:tc>
      </w:tr>
    </w:tbl>
    <w:p w:rsidR="00BD41CE" w:rsidRPr="00814395" w:rsidRDefault="00BD41CE" w:rsidP="00BD41CE">
      <w:pPr>
        <w:pStyle w:val="NormalParagraph"/>
        <w:spacing w:before="120" w:after="160"/>
        <w:rPr>
          <w:rFonts w:ascii="Calibri" w:hAnsi="Calibri" w:cs="Calibri"/>
          <w:sz w:val="22"/>
        </w:rPr>
      </w:pPr>
      <w:r w:rsidRPr="00814395">
        <w:rPr>
          <w:rFonts w:ascii="Calibri" w:hAnsi="Calibri" w:cs="Calibri"/>
          <w:sz w:val="22"/>
        </w:rPr>
        <w:t xml:space="preserve">The material costs for the two SEER 13.0 units </w:t>
      </w:r>
      <w:r>
        <w:rPr>
          <w:rFonts w:ascii="Calibri" w:hAnsi="Calibri" w:cs="Calibri"/>
          <w:sz w:val="22"/>
          <w:lang w:val="en-US"/>
        </w:rPr>
        <w:t xml:space="preserve">were </w:t>
      </w:r>
      <w:r w:rsidRPr="00814395">
        <w:rPr>
          <w:rFonts w:ascii="Calibri" w:hAnsi="Calibri" w:cs="Calibri"/>
          <w:sz w:val="22"/>
        </w:rPr>
        <w:t>averaged to</w:t>
      </w:r>
      <w:r>
        <w:rPr>
          <w:rFonts w:ascii="Calibri" w:hAnsi="Calibri" w:cs="Calibri"/>
          <w:sz w:val="22"/>
          <w:lang w:val="en-US"/>
        </w:rPr>
        <w:t xml:space="preserve"> determine a</w:t>
      </w:r>
      <w:r w:rsidRPr="00814395">
        <w:rPr>
          <w:rFonts w:ascii="Calibri" w:hAnsi="Calibri" w:cs="Calibri"/>
          <w:sz w:val="22"/>
        </w:rPr>
        <w:t xml:space="preserve"> base </w:t>
      </w:r>
      <w:r>
        <w:rPr>
          <w:rFonts w:ascii="Calibri" w:hAnsi="Calibri" w:cs="Calibri"/>
          <w:sz w:val="22"/>
        </w:rPr>
        <w:t>case material cost for SEER 13</w:t>
      </w:r>
      <w:r>
        <w:rPr>
          <w:rFonts w:ascii="Calibri" w:hAnsi="Calibri" w:cs="Calibri"/>
          <w:sz w:val="22"/>
          <w:lang w:val="en-US"/>
        </w:rPr>
        <w:t>:</w:t>
      </w:r>
      <w:r w:rsidRPr="00814395">
        <w:rPr>
          <w:rFonts w:ascii="Calibri" w:hAnsi="Calibri" w:cs="Calibri"/>
          <w:sz w:val="22"/>
        </w:rPr>
        <w:t xml:space="preserve">  </w:t>
      </w:r>
    </w:p>
    <w:p w:rsidR="00BD41CE" w:rsidRDefault="00BD41CE" w:rsidP="00BD41CE">
      <w:pPr>
        <w:pStyle w:val="NormalParagraph"/>
        <w:spacing w:before="120" w:after="160"/>
        <w:ind w:left="720" w:firstLine="720"/>
        <w:rPr>
          <w:rFonts w:ascii="Calibri" w:hAnsi="Calibri" w:cs="Calibri"/>
          <w:sz w:val="22"/>
        </w:rPr>
      </w:pPr>
      <w:r>
        <w:rPr>
          <w:rFonts w:ascii="Calibri" w:hAnsi="Calibri" w:cs="Calibri"/>
          <w:sz w:val="22"/>
          <w:lang w:val="en-US"/>
        </w:rPr>
        <w:t xml:space="preserve">SEER 13 AC Cost = </w:t>
      </w:r>
      <w:r w:rsidRPr="00814395">
        <w:rPr>
          <w:rFonts w:ascii="Calibri" w:hAnsi="Calibri" w:cs="Calibri"/>
          <w:sz w:val="22"/>
        </w:rPr>
        <w:t>($950.10 + $980.70) / 2 = $965.40</w:t>
      </w:r>
    </w:p>
    <w:p w:rsidR="00E16609" w:rsidRPr="000F130A" w:rsidRDefault="00E16609" w:rsidP="00E16609">
      <w:pPr>
        <w:pStyle w:val="Heading2"/>
        <w:keepNext w:val="0"/>
        <w:rPr>
          <w:rFonts w:asciiTheme="minorHAnsi" w:hAnsiTheme="minorHAnsi" w:cstheme="minorHAnsi"/>
        </w:rPr>
      </w:pPr>
      <w:bookmarkStart w:id="22" w:name="_Toc214003098"/>
      <w:r w:rsidRPr="000F130A">
        <w:rPr>
          <w:rFonts w:asciiTheme="minorHAnsi" w:hAnsiTheme="minorHAnsi" w:cstheme="minorHAnsi"/>
        </w:rPr>
        <w:t>4.2 Gross Measure Cost</w:t>
      </w:r>
      <w:bookmarkEnd w:id="22"/>
    </w:p>
    <w:p w:rsidR="00BD41CE" w:rsidRPr="000A0824" w:rsidRDefault="00BD41CE" w:rsidP="00BD41CE">
      <w:pPr>
        <w:pStyle w:val="NormalParagraph"/>
        <w:spacing w:before="120" w:after="160"/>
        <w:rPr>
          <w:rFonts w:ascii="Calibri" w:hAnsi="Calibri" w:cs="Calibri"/>
          <w:sz w:val="22"/>
          <w:lang w:val="en-US"/>
        </w:rPr>
      </w:pPr>
      <w:r>
        <w:rPr>
          <w:rFonts w:ascii="Calibri" w:hAnsi="Calibri" w:cs="Calibri"/>
          <w:sz w:val="22"/>
          <w:lang w:val="en-US"/>
        </w:rPr>
        <w:t>DEER</w:t>
      </w:r>
      <w:r w:rsidRPr="00814395">
        <w:rPr>
          <w:rFonts w:ascii="Calibri" w:hAnsi="Calibri" w:cs="Calibri"/>
          <w:sz w:val="22"/>
        </w:rPr>
        <w:t xml:space="preserve"> only provides cost data for up to SEER 14 units</w:t>
      </w:r>
      <w:r>
        <w:rPr>
          <w:rFonts w:ascii="Calibri" w:hAnsi="Calibri" w:cs="Calibri"/>
          <w:sz w:val="22"/>
        </w:rPr>
        <w:t xml:space="preserve"> for </w:t>
      </w:r>
      <w:r>
        <w:rPr>
          <w:rFonts w:ascii="Calibri" w:hAnsi="Calibri" w:cs="Calibri"/>
          <w:sz w:val="22"/>
          <w:lang w:val="en-US"/>
        </w:rPr>
        <w:t>ACs</w:t>
      </w:r>
      <w:r>
        <w:rPr>
          <w:rFonts w:ascii="Calibri" w:hAnsi="Calibri" w:cs="Calibri"/>
          <w:sz w:val="22"/>
        </w:rPr>
        <w:t xml:space="preserve"> and up to SEER 13 units for </w:t>
      </w:r>
      <w:r>
        <w:rPr>
          <w:rFonts w:ascii="Calibri" w:hAnsi="Calibri" w:cs="Calibri"/>
          <w:sz w:val="22"/>
          <w:lang w:val="en-US"/>
        </w:rPr>
        <w:t>HP</w:t>
      </w:r>
      <w:r>
        <w:rPr>
          <w:rFonts w:ascii="Calibri" w:hAnsi="Calibri" w:cs="Calibri"/>
          <w:sz w:val="22"/>
        </w:rPr>
        <w:t>s</w:t>
      </w:r>
      <w:r w:rsidRPr="00814395">
        <w:rPr>
          <w:rFonts w:ascii="Calibri" w:hAnsi="Calibri" w:cs="Calibri"/>
          <w:sz w:val="22"/>
        </w:rPr>
        <w:t xml:space="preserve">. </w:t>
      </w:r>
      <w:r>
        <w:rPr>
          <w:rFonts w:ascii="Calibri" w:hAnsi="Calibri" w:cs="Calibri"/>
          <w:sz w:val="22"/>
        </w:rPr>
        <w:t xml:space="preserve">For higher SEER units, the difference in costs for lower units are scaled to predict higher SEER </w:t>
      </w:r>
      <w:r>
        <w:rPr>
          <w:rFonts w:ascii="Calibri" w:hAnsi="Calibri" w:cs="Calibri"/>
          <w:sz w:val="22"/>
          <w:lang w:val="en-US"/>
        </w:rPr>
        <w:t>costs</w:t>
      </w:r>
      <w:r>
        <w:rPr>
          <w:rFonts w:ascii="Calibri" w:hAnsi="Calibri" w:cs="Calibri"/>
          <w:sz w:val="22"/>
        </w:rPr>
        <w:t>.</w:t>
      </w:r>
      <w:r w:rsidRPr="00814395">
        <w:rPr>
          <w:rFonts w:ascii="Calibri" w:hAnsi="Calibri" w:cs="Calibri"/>
          <w:sz w:val="22"/>
        </w:rPr>
        <w:t xml:space="preserve"> For</w:t>
      </w:r>
      <w:r>
        <w:rPr>
          <w:rFonts w:ascii="Calibri" w:hAnsi="Calibri" w:cs="Calibri"/>
          <w:sz w:val="22"/>
        </w:rPr>
        <w:t xml:space="preserve"> example, for</w:t>
      </w:r>
      <w:r w:rsidRPr="00814395">
        <w:rPr>
          <w:rFonts w:ascii="Calibri" w:hAnsi="Calibri" w:cs="Calibri"/>
          <w:sz w:val="22"/>
        </w:rPr>
        <w:t xml:space="preserve"> the SEER 15 unit, the difference between the SEER 13 and 14 units is used to </w:t>
      </w:r>
      <w:r>
        <w:rPr>
          <w:rFonts w:ascii="Calibri" w:hAnsi="Calibri" w:cs="Calibri"/>
          <w:sz w:val="22"/>
          <w:lang w:val="en-US"/>
        </w:rPr>
        <w:t>extrapolate</w:t>
      </w:r>
      <w:r w:rsidRPr="00814395">
        <w:rPr>
          <w:rFonts w:ascii="Calibri" w:hAnsi="Calibri" w:cs="Calibri"/>
          <w:sz w:val="22"/>
        </w:rPr>
        <w:t xml:space="preserve"> the SEER 15 price</w:t>
      </w:r>
      <w:r>
        <w:rPr>
          <w:rFonts w:ascii="Calibri" w:hAnsi="Calibri" w:cs="Calibri"/>
          <w:sz w:val="22"/>
          <w:lang w:val="en-US"/>
        </w:rPr>
        <w:t>:</w:t>
      </w:r>
    </w:p>
    <w:p w:rsidR="00BD41CE" w:rsidRPr="00814395" w:rsidRDefault="00BD41CE" w:rsidP="00BD41CE">
      <w:pPr>
        <w:pStyle w:val="NormalParagraph"/>
        <w:spacing w:before="120" w:after="160"/>
        <w:ind w:left="720" w:firstLine="720"/>
        <w:rPr>
          <w:rFonts w:ascii="Calibri" w:hAnsi="Calibri" w:cs="Calibri"/>
          <w:sz w:val="22"/>
        </w:rPr>
      </w:pPr>
      <w:r>
        <w:rPr>
          <w:rFonts w:ascii="Calibri" w:hAnsi="Calibri" w:cs="Calibri"/>
          <w:sz w:val="22"/>
          <w:lang w:val="en-US"/>
        </w:rPr>
        <w:t>SEER 15 AC Cost =</w:t>
      </w:r>
      <w:r w:rsidRPr="00814395">
        <w:rPr>
          <w:rFonts w:ascii="Calibri" w:hAnsi="Calibri" w:cs="Calibri"/>
          <w:sz w:val="22"/>
        </w:rPr>
        <w:t xml:space="preserve"> $1063.2</w:t>
      </w:r>
      <w:r>
        <w:rPr>
          <w:rFonts w:ascii="Calibri" w:hAnsi="Calibri" w:cs="Calibri"/>
          <w:sz w:val="22"/>
          <w:lang w:val="en-US"/>
        </w:rPr>
        <w:t>0</w:t>
      </w:r>
      <w:r w:rsidRPr="00814395">
        <w:rPr>
          <w:rFonts w:ascii="Calibri" w:hAnsi="Calibri" w:cs="Calibri"/>
          <w:sz w:val="22"/>
        </w:rPr>
        <w:t xml:space="preserve"> + ($1063.2</w:t>
      </w:r>
      <w:r>
        <w:rPr>
          <w:rFonts w:ascii="Calibri" w:hAnsi="Calibri" w:cs="Calibri"/>
          <w:sz w:val="22"/>
          <w:lang w:val="en-US"/>
        </w:rPr>
        <w:t>0</w:t>
      </w:r>
      <w:r w:rsidRPr="00814395">
        <w:rPr>
          <w:rFonts w:ascii="Calibri" w:hAnsi="Calibri" w:cs="Calibri"/>
          <w:sz w:val="22"/>
        </w:rPr>
        <w:t xml:space="preserve"> - $965.4</w:t>
      </w:r>
      <w:r>
        <w:rPr>
          <w:rFonts w:ascii="Calibri" w:hAnsi="Calibri" w:cs="Calibri"/>
          <w:sz w:val="22"/>
          <w:lang w:val="en-US"/>
        </w:rPr>
        <w:t>0</w:t>
      </w:r>
      <w:r w:rsidRPr="00814395">
        <w:rPr>
          <w:rFonts w:ascii="Calibri" w:hAnsi="Calibri" w:cs="Calibri"/>
          <w:sz w:val="22"/>
        </w:rPr>
        <w:t>) = $1161.00</w:t>
      </w:r>
    </w:p>
    <w:p w:rsidR="00BD41CE" w:rsidRDefault="00BD41CE" w:rsidP="00BD41CE">
      <w:pPr>
        <w:pStyle w:val="NormalParagraph"/>
        <w:spacing w:before="120" w:after="160"/>
        <w:rPr>
          <w:rFonts w:ascii="Calibri" w:hAnsi="Calibri" w:cs="Calibri"/>
          <w:sz w:val="22"/>
          <w:lang w:val="en-US"/>
        </w:rPr>
      </w:pPr>
      <w:r w:rsidRPr="00814395">
        <w:rPr>
          <w:rFonts w:ascii="Calibri" w:hAnsi="Calibri" w:cs="Calibri"/>
          <w:sz w:val="22"/>
        </w:rPr>
        <w:t>The same methodology is used to calculate</w:t>
      </w:r>
      <w:r>
        <w:rPr>
          <w:rFonts w:ascii="Calibri" w:hAnsi="Calibri" w:cs="Calibri"/>
          <w:sz w:val="22"/>
          <w:lang w:val="en-US"/>
        </w:rPr>
        <w:t xml:space="preserve"> measure costs for the rest of the measures; see Table 17</w:t>
      </w:r>
    </w:p>
    <w:p w:rsidR="00BD41CE" w:rsidRDefault="00BD41CE">
      <w:pPr>
        <w:spacing w:after="200" w:line="276" w:lineRule="auto"/>
        <w:rPr>
          <w:rFonts w:ascii="Calibri" w:hAnsi="Calibri" w:cs="Calibri"/>
          <w:sz w:val="22"/>
          <w:szCs w:val="20"/>
          <w:lang w:val="x-none" w:eastAsia="x-none"/>
        </w:rPr>
      </w:pPr>
      <w:r>
        <w:rPr>
          <w:rFonts w:ascii="Calibri" w:hAnsi="Calibri" w:cs="Calibri"/>
          <w:sz w:val="22"/>
        </w:rPr>
        <w:br w:type="page"/>
      </w:r>
    </w:p>
    <w:p w:rsidR="00BD41CE" w:rsidRDefault="00BD41CE" w:rsidP="00BD41CE">
      <w:pPr>
        <w:pStyle w:val="NormalParagraph"/>
        <w:spacing w:before="240"/>
        <w:rPr>
          <w:rFonts w:ascii="Calibri" w:hAnsi="Calibri" w:cs="Calibri"/>
          <w:sz w:val="22"/>
          <w:lang w:val="en-US"/>
        </w:rPr>
      </w:pPr>
      <w:r w:rsidRPr="00814395">
        <w:rPr>
          <w:rFonts w:ascii="Calibri" w:hAnsi="Calibri" w:cs="Calibri"/>
          <w:sz w:val="22"/>
        </w:rPr>
        <w:lastRenderedPageBreak/>
        <w:t>For ROB, GMC is rep</w:t>
      </w:r>
      <w:r>
        <w:rPr>
          <w:rFonts w:ascii="Calibri" w:hAnsi="Calibri" w:cs="Calibri"/>
          <w:sz w:val="22"/>
        </w:rPr>
        <w:t>resented by the equation below:</w:t>
      </w:r>
    </w:p>
    <w:p w:rsidR="00BD41CE" w:rsidRPr="00BA10E3" w:rsidRDefault="00BD41CE" w:rsidP="00BD41CE">
      <w:pPr>
        <w:pStyle w:val="NormalParagraph"/>
        <w:spacing w:before="240"/>
        <w:rPr>
          <w:rFonts w:ascii="Calibri" w:hAnsi="Calibri" w:cs="Calibri"/>
          <w:sz w:val="22"/>
        </w:rPr>
      </w:pPr>
      <w:r>
        <w:rPr>
          <w:rFonts w:ascii="Calibri" w:hAnsi="Calibri" w:cs="Calibri"/>
          <w:sz w:val="22"/>
          <w:lang w:val="en-US"/>
        </w:rPr>
        <w:tab/>
      </w:r>
      <w:r>
        <w:rPr>
          <w:rFonts w:ascii="Calibri" w:hAnsi="Calibri" w:cs="Calibri"/>
          <w:sz w:val="22"/>
        </w:rPr>
        <w:t xml:space="preserve">GMC </w:t>
      </w:r>
      <w:r w:rsidRPr="00814395">
        <w:rPr>
          <w:rFonts w:ascii="Calibri" w:hAnsi="Calibri" w:cs="Calibri"/>
          <w:sz w:val="22"/>
        </w:rPr>
        <w:t>= Measure Equipment Cost – Base Case Equipment Cost</w:t>
      </w:r>
    </w:p>
    <w:p w:rsidR="00BD41CE" w:rsidRDefault="00BD41CE" w:rsidP="00BD41CE">
      <w:pPr>
        <w:pStyle w:val="NormalParagraph"/>
        <w:spacing w:before="240"/>
        <w:rPr>
          <w:rFonts w:ascii="Calibri" w:hAnsi="Calibri" w:cs="Calibri"/>
          <w:sz w:val="22"/>
          <w:lang w:val="en-US"/>
        </w:rPr>
      </w:pPr>
      <w:r w:rsidRPr="00814395">
        <w:rPr>
          <w:rFonts w:ascii="Calibri" w:hAnsi="Calibri" w:cs="Calibri"/>
          <w:sz w:val="22"/>
        </w:rPr>
        <w:t>For R</w:t>
      </w:r>
      <w:r>
        <w:rPr>
          <w:rFonts w:ascii="Calibri" w:hAnsi="Calibri" w:cs="Calibri"/>
          <w:sz w:val="22"/>
          <w:lang w:val="en-US"/>
        </w:rPr>
        <w:t>ET</w:t>
      </w:r>
      <w:r w:rsidRPr="00814395">
        <w:rPr>
          <w:rFonts w:ascii="Calibri" w:hAnsi="Calibri" w:cs="Calibri"/>
          <w:sz w:val="22"/>
        </w:rPr>
        <w:t>, GMC is rep</w:t>
      </w:r>
      <w:r>
        <w:rPr>
          <w:rFonts w:ascii="Calibri" w:hAnsi="Calibri" w:cs="Calibri"/>
          <w:sz w:val="22"/>
        </w:rPr>
        <w:t>resented by the equation below:</w:t>
      </w:r>
    </w:p>
    <w:p w:rsidR="00BD41CE" w:rsidRPr="00BA10E3" w:rsidRDefault="00BD41CE" w:rsidP="00BD41CE">
      <w:pPr>
        <w:pStyle w:val="NormalParagraph"/>
        <w:spacing w:before="240"/>
        <w:rPr>
          <w:rFonts w:ascii="Calibri" w:hAnsi="Calibri" w:cs="Calibri"/>
          <w:sz w:val="22"/>
        </w:rPr>
      </w:pPr>
      <w:r>
        <w:rPr>
          <w:rFonts w:ascii="Calibri" w:hAnsi="Calibri" w:cs="Calibri"/>
          <w:sz w:val="22"/>
          <w:lang w:val="en-US"/>
        </w:rPr>
        <w:tab/>
      </w:r>
      <w:r w:rsidRPr="00BA10E3">
        <w:rPr>
          <w:rFonts w:ascii="Calibri" w:hAnsi="Calibri" w:cs="Calibri"/>
          <w:sz w:val="22"/>
        </w:rPr>
        <w:t>GMC = Measure Equipment Cost + Measure Labor Cost</w:t>
      </w:r>
    </w:p>
    <w:p w:rsidR="00BD41CE" w:rsidRDefault="00BD41CE" w:rsidP="00BD41CE">
      <w:pPr>
        <w:pStyle w:val="TableCaption"/>
        <w:jc w:val="left"/>
        <w:rPr>
          <w:rFonts w:ascii="Calibri" w:hAnsi="Calibri" w:cs="Calibri"/>
          <w:b w:val="0"/>
          <w:sz w:val="22"/>
        </w:rPr>
      </w:pPr>
      <w:r w:rsidRPr="00A073FA">
        <w:rPr>
          <w:rFonts w:ascii="Calibri" w:hAnsi="Calibri" w:cs="Calibri"/>
          <w:b w:val="0"/>
          <w:sz w:val="22"/>
        </w:rPr>
        <w:t xml:space="preserve">For all RET measures contained within this work paper, the </w:t>
      </w:r>
      <w:r>
        <w:rPr>
          <w:rFonts w:ascii="Calibri" w:hAnsi="Calibri" w:cs="Calibri"/>
          <w:b w:val="0"/>
          <w:sz w:val="22"/>
        </w:rPr>
        <w:t>costs</w:t>
      </w:r>
      <w:r w:rsidRPr="00A073FA">
        <w:rPr>
          <w:rFonts w:ascii="Calibri" w:hAnsi="Calibri" w:cs="Calibri"/>
          <w:b w:val="0"/>
          <w:sz w:val="22"/>
        </w:rPr>
        <w:t xml:space="preserve"> shown are derived per the methodology above. The only difference, however, is that </w:t>
      </w:r>
      <w:r>
        <w:rPr>
          <w:rFonts w:ascii="Calibri" w:hAnsi="Calibri" w:cs="Calibri"/>
          <w:b w:val="0"/>
          <w:sz w:val="22"/>
        </w:rPr>
        <w:t xml:space="preserve">the values reported are the RET minus </w:t>
      </w:r>
      <w:r w:rsidRPr="00A073FA">
        <w:rPr>
          <w:rFonts w:ascii="Calibri" w:hAnsi="Calibri" w:cs="Calibri"/>
          <w:b w:val="0"/>
          <w:sz w:val="22"/>
        </w:rPr>
        <w:t xml:space="preserve">ROB </w:t>
      </w:r>
      <w:r>
        <w:rPr>
          <w:rFonts w:ascii="Calibri" w:hAnsi="Calibri" w:cs="Calibri"/>
          <w:b w:val="0"/>
          <w:sz w:val="22"/>
        </w:rPr>
        <w:t>costs</w:t>
      </w:r>
      <w:r w:rsidRPr="00A073FA">
        <w:rPr>
          <w:rFonts w:ascii="Calibri" w:hAnsi="Calibri" w:cs="Calibri"/>
          <w:b w:val="0"/>
          <w:sz w:val="22"/>
        </w:rPr>
        <w:t xml:space="preserve">, i.e. 1st baseline </w:t>
      </w:r>
      <w:r>
        <w:rPr>
          <w:rFonts w:ascii="Calibri" w:hAnsi="Calibri" w:cs="Calibri"/>
          <w:b w:val="0"/>
          <w:sz w:val="22"/>
        </w:rPr>
        <w:t>costs</w:t>
      </w:r>
      <w:r w:rsidRPr="00A073FA">
        <w:rPr>
          <w:rFonts w:ascii="Calibri" w:hAnsi="Calibri" w:cs="Calibri"/>
          <w:b w:val="0"/>
          <w:sz w:val="22"/>
        </w:rPr>
        <w:t xml:space="preserve"> </w:t>
      </w:r>
      <w:r>
        <w:rPr>
          <w:rFonts w:ascii="Calibri" w:hAnsi="Calibri" w:cs="Calibri"/>
          <w:b w:val="0"/>
          <w:sz w:val="22"/>
        </w:rPr>
        <w:t>minus</w:t>
      </w:r>
      <w:r w:rsidRPr="00A073FA">
        <w:rPr>
          <w:rFonts w:ascii="Calibri" w:hAnsi="Calibri" w:cs="Calibri"/>
          <w:b w:val="0"/>
          <w:sz w:val="22"/>
        </w:rPr>
        <w:t xml:space="preserve"> 2nd baseline </w:t>
      </w:r>
      <w:r>
        <w:rPr>
          <w:rFonts w:ascii="Calibri" w:hAnsi="Calibri" w:cs="Calibri"/>
          <w:b w:val="0"/>
          <w:sz w:val="22"/>
        </w:rPr>
        <w:t>costs,</w:t>
      </w:r>
      <w:r w:rsidRPr="00A073FA">
        <w:rPr>
          <w:rFonts w:ascii="Calibri" w:hAnsi="Calibri" w:cs="Calibri"/>
          <w:b w:val="0"/>
          <w:sz w:val="22"/>
        </w:rPr>
        <w:t xml:space="preserve"> which </w:t>
      </w:r>
      <w:r>
        <w:rPr>
          <w:rFonts w:ascii="Calibri" w:hAnsi="Calibri" w:cs="Calibri"/>
          <w:b w:val="0"/>
          <w:sz w:val="22"/>
        </w:rPr>
        <w:t>will</w:t>
      </w:r>
      <w:r w:rsidRPr="00A073FA">
        <w:rPr>
          <w:rFonts w:ascii="Calibri" w:hAnsi="Calibri" w:cs="Calibri"/>
          <w:b w:val="0"/>
          <w:sz w:val="22"/>
        </w:rPr>
        <w:t xml:space="preserve"> prevent the double counting of 2nd baseline </w:t>
      </w:r>
      <w:r>
        <w:rPr>
          <w:rFonts w:ascii="Calibri" w:hAnsi="Calibri" w:cs="Calibri"/>
          <w:b w:val="0"/>
          <w:sz w:val="22"/>
        </w:rPr>
        <w:t>costs</w:t>
      </w:r>
      <w:r w:rsidRPr="00A073FA">
        <w:rPr>
          <w:rFonts w:ascii="Calibri" w:hAnsi="Calibri" w:cs="Calibri"/>
          <w:b w:val="0"/>
          <w:sz w:val="22"/>
        </w:rPr>
        <w:t xml:space="preserve"> with the Upstream HVAC program</w:t>
      </w:r>
      <w:r>
        <w:rPr>
          <w:rFonts w:ascii="Calibri" w:hAnsi="Calibri" w:cs="Calibri"/>
          <w:b w:val="0"/>
          <w:sz w:val="22"/>
        </w:rPr>
        <w:t>. T</w:t>
      </w:r>
      <w:r w:rsidRPr="00A073FA">
        <w:rPr>
          <w:rFonts w:ascii="Calibri" w:hAnsi="Calibri" w:cs="Calibri"/>
          <w:b w:val="0"/>
          <w:sz w:val="22"/>
        </w:rPr>
        <w:t xml:space="preserve">he ROB </w:t>
      </w:r>
      <w:r>
        <w:rPr>
          <w:rFonts w:ascii="Calibri" w:hAnsi="Calibri" w:cs="Calibri"/>
          <w:b w:val="0"/>
          <w:sz w:val="22"/>
        </w:rPr>
        <w:t>costs</w:t>
      </w:r>
      <w:r w:rsidRPr="00A073FA">
        <w:rPr>
          <w:rFonts w:ascii="Calibri" w:hAnsi="Calibri" w:cs="Calibri"/>
          <w:b w:val="0"/>
          <w:sz w:val="22"/>
        </w:rPr>
        <w:t xml:space="preserve"> will be reported in the upstream HVAC program, and the RET</w:t>
      </w:r>
      <w:r>
        <w:rPr>
          <w:rFonts w:ascii="Calibri" w:hAnsi="Calibri" w:cs="Calibri"/>
          <w:b w:val="0"/>
          <w:sz w:val="22"/>
        </w:rPr>
        <w:t xml:space="preserve"> minus</w:t>
      </w:r>
      <w:r w:rsidRPr="00A073FA">
        <w:rPr>
          <w:rFonts w:ascii="Calibri" w:hAnsi="Calibri" w:cs="Calibri"/>
          <w:b w:val="0"/>
          <w:sz w:val="22"/>
        </w:rPr>
        <w:t xml:space="preserve"> ROB </w:t>
      </w:r>
      <w:r>
        <w:rPr>
          <w:rFonts w:ascii="Calibri" w:hAnsi="Calibri" w:cs="Calibri"/>
          <w:b w:val="0"/>
          <w:sz w:val="22"/>
        </w:rPr>
        <w:t>costs</w:t>
      </w:r>
      <w:r w:rsidRPr="00A073FA">
        <w:rPr>
          <w:rFonts w:ascii="Calibri" w:hAnsi="Calibri" w:cs="Calibri"/>
          <w:b w:val="0"/>
          <w:sz w:val="22"/>
        </w:rPr>
        <w:t xml:space="preserve"> will be reported for the early retirement mechanism.</w:t>
      </w:r>
    </w:p>
    <w:p w:rsidR="00BD41CE" w:rsidRPr="00ED4EAB" w:rsidRDefault="00BD41CE" w:rsidP="00BD41CE">
      <w:pPr>
        <w:pStyle w:val="Caption"/>
        <w:jc w:val="center"/>
        <w:rPr>
          <w:rFonts w:ascii="Calibri" w:hAnsi="Calibri" w:cs="Calibri"/>
          <w:sz w:val="22"/>
        </w:rPr>
      </w:pPr>
      <w:r>
        <w:rPr>
          <w:rFonts w:ascii="Calibri" w:hAnsi="Calibri" w:cs="Calibri"/>
          <w:sz w:val="22"/>
        </w:rPr>
        <w:t>Table 17</w:t>
      </w:r>
      <w:r w:rsidRPr="00BA10E3">
        <w:rPr>
          <w:rFonts w:ascii="Calibri" w:hAnsi="Calibri" w:cs="Calibri"/>
          <w:sz w:val="22"/>
        </w:rPr>
        <w:t xml:space="preserve"> </w:t>
      </w:r>
      <w:r w:rsidRPr="00ED4EAB">
        <w:rPr>
          <w:rFonts w:ascii="Calibri" w:hAnsi="Calibri" w:cs="Calibri"/>
          <w:sz w:val="22"/>
        </w:rPr>
        <w:t>Cost</w:t>
      </w:r>
      <w:r>
        <w:rPr>
          <w:rFonts w:ascii="Calibri" w:hAnsi="Calibri" w:cs="Calibri"/>
          <w:sz w:val="22"/>
        </w:rPr>
        <w:t xml:space="preserve"> Table</w:t>
      </w:r>
    </w:p>
    <w:tbl>
      <w:tblPr>
        <w:tblStyle w:val="TableContemporary"/>
        <w:tblW w:w="9205" w:type="dxa"/>
        <w:jc w:val="center"/>
        <w:tblInd w:w="403" w:type="dxa"/>
        <w:tblLook w:val="0000" w:firstRow="0" w:lastRow="0" w:firstColumn="0" w:lastColumn="0" w:noHBand="0" w:noVBand="0"/>
      </w:tblPr>
      <w:tblGrid>
        <w:gridCol w:w="1667"/>
        <w:gridCol w:w="1620"/>
        <w:gridCol w:w="1243"/>
        <w:gridCol w:w="1227"/>
        <w:gridCol w:w="1195"/>
        <w:gridCol w:w="1227"/>
        <w:gridCol w:w="1026"/>
      </w:tblGrid>
      <w:tr w:rsidR="00BD41CE" w:rsidRPr="00F77A14"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Pr="00F77A14" w:rsidRDefault="00BD41CE" w:rsidP="00687AF7">
            <w:pPr>
              <w:keepNext/>
              <w:rPr>
                <w:rFonts w:ascii="Calibri" w:hAnsi="Calibri" w:cs="Calibri"/>
                <w:b/>
                <w:sz w:val="20"/>
                <w:szCs w:val="20"/>
              </w:rPr>
            </w:pPr>
            <w:r w:rsidRPr="00F77A14">
              <w:rPr>
                <w:rFonts w:ascii="Calibri" w:hAnsi="Calibri" w:cs="Calibri"/>
                <w:b/>
                <w:bCs/>
                <w:sz w:val="20"/>
                <w:szCs w:val="20"/>
              </w:rPr>
              <w:t>Measure</w:t>
            </w:r>
          </w:p>
        </w:tc>
        <w:tc>
          <w:tcPr>
            <w:tcW w:w="1620" w:type="dxa"/>
            <w:noWrap/>
            <w:vAlign w:val="center"/>
          </w:tcPr>
          <w:p w:rsidR="00BD41CE" w:rsidRPr="00F77A14" w:rsidRDefault="00BD41CE" w:rsidP="00687AF7">
            <w:pPr>
              <w:keepNext/>
              <w:jc w:val="center"/>
              <w:rPr>
                <w:rFonts w:ascii="Calibri" w:hAnsi="Calibri" w:cs="Calibri"/>
                <w:b/>
                <w:color w:val="000000"/>
                <w:sz w:val="20"/>
                <w:szCs w:val="20"/>
              </w:rPr>
            </w:pPr>
            <w:r w:rsidRPr="00F77A14">
              <w:rPr>
                <w:rFonts w:ascii="Calibri" w:hAnsi="Calibri" w:cs="Calibri"/>
                <w:b/>
                <w:bCs/>
                <w:sz w:val="20"/>
                <w:szCs w:val="20"/>
              </w:rPr>
              <w:t>Base Case Cost</w:t>
            </w:r>
          </w:p>
        </w:tc>
        <w:tc>
          <w:tcPr>
            <w:tcW w:w="1243" w:type="dxa"/>
            <w:vAlign w:val="center"/>
          </w:tcPr>
          <w:p w:rsidR="00BD41CE" w:rsidRPr="00F77A14" w:rsidRDefault="00BD41CE" w:rsidP="00687AF7">
            <w:pPr>
              <w:keepNext/>
              <w:jc w:val="center"/>
              <w:rPr>
                <w:rFonts w:ascii="Calibri" w:hAnsi="Calibri" w:cs="Calibri"/>
                <w:b/>
                <w:color w:val="000000"/>
                <w:sz w:val="20"/>
                <w:szCs w:val="20"/>
              </w:rPr>
            </w:pPr>
            <w:r>
              <w:rPr>
                <w:rFonts w:ascii="Calibri" w:hAnsi="Calibri" w:cs="Calibri"/>
                <w:b/>
                <w:color w:val="000000"/>
                <w:sz w:val="20"/>
                <w:szCs w:val="20"/>
              </w:rPr>
              <w:t>Base Labor Cost</w:t>
            </w:r>
          </w:p>
        </w:tc>
        <w:tc>
          <w:tcPr>
            <w:tcW w:w="1227" w:type="dxa"/>
            <w:vAlign w:val="center"/>
          </w:tcPr>
          <w:p w:rsidR="00BD41CE" w:rsidRPr="00F77A14" w:rsidRDefault="00BD41CE" w:rsidP="00687AF7">
            <w:pPr>
              <w:keepNext/>
              <w:jc w:val="center"/>
              <w:rPr>
                <w:rFonts w:ascii="Calibri" w:hAnsi="Calibri" w:cs="Calibri"/>
                <w:b/>
                <w:color w:val="000000"/>
                <w:sz w:val="20"/>
                <w:szCs w:val="20"/>
              </w:rPr>
            </w:pPr>
            <w:r>
              <w:rPr>
                <w:rFonts w:ascii="Calibri" w:hAnsi="Calibri" w:cs="Calibri"/>
                <w:b/>
                <w:color w:val="000000"/>
                <w:sz w:val="20"/>
                <w:szCs w:val="20"/>
              </w:rPr>
              <w:t>Measure Cost</w:t>
            </w:r>
          </w:p>
        </w:tc>
        <w:tc>
          <w:tcPr>
            <w:tcW w:w="1195" w:type="dxa"/>
            <w:vAlign w:val="center"/>
          </w:tcPr>
          <w:p w:rsidR="00BD41CE" w:rsidRPr="00F77A14" w:rsidRDefault="00BD41CE" w:rsidP="00687AF7">
            <w:pPr>
              <w:keepNext/>
              <w:jc w:val="center"/>
              <w:rPr>
                <w:rFonts w:ascii="Calibri" w:hAnsi="Calibri" w:cs="Calibri"/>
                <w:b/>
                <w:color w:val="000000"/>
                <w:sz w:val="20"/>
                <w:szCs w:val="20"/>
              </w:rPr>
            </w:pPr>
            <w:r>
              <w:rPr>
                <w:rFonts w:ascii="Calibri" w:hAnsi="Calibri" w:cs="Calibri"/>
                <w:b/>
                <w:color w:val="000000"/>
                <w:sz w:val="20"/>
                <w:szCs w:val="20"/>
              </w:rPr>
              <w:t>Measure Labor Cost</w:t>
            </w:r>
          </w:p>
        </w:tc>
        <w:tc>
          <w:tcPr>
            <w:tcW w:w="1227" w:type="dxa"/>
            <w:vAlign w:val="center"/>
          </w:tcPr>
          <w:p w:rsidR="00BD41CE" w:rsidRPr="00F77A14" w:rsidRDefault="00BD41CE" w:rsidP="00687AF7">
            <w:pPr>
              <w:keepNext/>
              <w:jc w:val="center"/>
              <w:rPr>
                <w:rFonts w:ascii="Calibri" w:hAnsi="Calibri" w:cs="Calibri"/>
                <w:b/>
                <w:color w:val="000000"/>
                <w:sz w:val="20"/>
                <w:szCs w:val="20"/>
              </w:rPr>
            </w:pPr>
            <w:r>
              <w:rPr>
                <w:rFonts w:ascii="Calibri" w:hAnsi="Calibri" w:cs="Calibri"/>
                <w:b/>
                <w:color w:val="000000"/>
                <w:sz w:val="20"/>
                <w:szCs w:val="20"/>
              </w:rPr>
              <w:t>GMC</w:t>
            </w:r>
          </w:p>
        </w:tc>
        <w:tc>
          <w:tcPr>
            <w:tcW w:w="1026" w:type="dxa"/>
            <w:vAlign w:val="center"/>
          </w:tcPr>
          <w:p w:rsidR="00BD41CE" w:rsidRPr="00F77A14" w:rsidRDefault="00BD41CE" w:rsidP="00687AF7">
            <w:pPr>
              <w:keepNext/>
              <w:jc w:val="center"/>
              <w:rPr>
                <w:rFonts w:ascii="Calibri" w:hAnsi="Calibri" w:cs="Calibri"/>
                <w:b/>
                <w:color w:val="000000"/>
                <w:sz w:val="20"/>
                <w:szCs w:val="20"/>
              </w:rPr>
            </w:pPr>
            <w:r>
              <w:rPr>
                <w:rFonts w:ascii="Calibri" w:hAnsi="Calibri" w:cs="Calibri"/>
                <w:b/>
                <w:color w:val="000000"/>
                <w:sz w:val="20"/>
                <w:szCs w:val="20"/>
              </w:rPr>
              <w:t>IMC</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 xml:space="preserve">14 SEER </w:t>
            </w:r>
            <w:r>
              <w:rPr>
                <w:rFonts w:ascii="Calibri" w:hAnsi="Calibri" w:cs="Calibri"/>
                <w:sz w:val="20"/>
                <w:szCs w:val="20"/>
              </w:rPr>
              <w:t>AC</w:t>
            </w:r>
          </w:p>
        </w:tc>
        <w:tc>
          <w:tcPr>
            <w:tcW w:w="1620" w:type="dxa"/>
            <w:noWrap/>
            <w:vAlign w:val="center"/>
          </w:tcPr>
          <w:p w:rsidR="00BD41CE" w:rsidRDefault="00BD41CE" w:rsidP="00687AF7">
            <w:pPr>
              <w:jc w:val="center"/>
            </w:pPr>
            <w:r w:rsidRPr="00182765">
              <w:rPr>
                <w:rFonts w:ascii="Calibri" w:hAnsi="Calibri" w:cs="Calibri"/>
                <w:sz w:val="20"/>
                <w:szCs w:val="20"/>
              </w:rPr>
              <w:t>$965.40</w:t>
            </w:r>
          </w:p>
        </w:tc>
        <w:tc>
          <w:tcPr>
            <w:tcW w:w="1243"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$1,063.20</w:t>
            </w:r>
          </w:p>
        </w:tc>
        <w:tc>
          <w:tcPr>
            <w:tcW w:w="1195"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$97.80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$97.80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Default="00BD41CE" w:rsidP="00687AF7">
            <w:r>
              <w:rPr>
                <w:rFonts w:ascii="Calibri" w:hAnsi="Calibri" w:cs="Calibri"/>
                <w:sz w:val="20"/>
                <w:szCs w:val="20"/>
              </w:rPr>
              <w:t>15</w:t>
            </w:r>
            <w:r w:rsidRPr="00B87FF2">
              <w:rPr>
                <w:rFonts w:ascii="Calibri" w:hAnsi="Calibri" w:cs="Calibri"/>
                <w:sz w:val="20"/>
                <w:szCs w:val="20"/>
              </w:rPr>
              <w:t xml:space="preserve"> SEER AC</w:t>
            </w:r>
          </w:p>
        </w:tc>
        <w:tc>
          <w:tcPr>
            <w:tcW w:w="1620" w:type="dxa"/>
            <w:noWrap/>
            <w:vAlign w:val="center"/>
          </w:tcPr>
          <w:p w:rsidR="00BD41CE" w:rsidRDefault="00BD41CE" w:rsidP="00687AF7">
            <w:pPr>
              <w:jc w:val="center"/>
            </w:pPr>
            <w:r w:rsidRPr="00182765">
              <w:rPr>
                <w:rFonts w:ascii="Calibri" w:hAnsi="Calibri" w:cs="Calibri"/>
                <w:sz w:val="20"/>
                <w:szCs w:val="20"/>
              </w:rPr>
              <w:t>$965.40</w:t>
            </w:r>
          </w:p>
        </w:tc>
        <w:tc>
          <w:tcPr>
            <w:tcW w:w="1243"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$1,161.00</w:t>
            </w:r>
          </w:p>
        </w:tc>
        <w:tc>
          <w:tcPr>
            <w:tcW w:w="1195"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$195.60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$195.60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Default="00BD41CE" w:rsidP="00687AF7">
            <w:r>
              <w:rPr>
                <w:rFonts w:ascii="Calibri" w:hAnsi="Calibri" w:cs="Calibri"/>
                <w:sz w:val="20"/>
                <w:szCs w:val="20"/>
              </w:rPr>
              <w:t>16</w:t>
            </w:r>
            <w:r w:rsidRPr="00B87FF2">
              <w:rPr>
                <w:rFonts w:ascii="Calibri" w:hAnsi="Calibri" w:cs="Calibri"/>
                <w:sz w:val="20"/>
                <w:szCs w:val="20"/>
              </w:rPr>
              <w:t xml:space="preserve"> SEER AC</w:t>
            </w:r>
          </w:p>
        </w:tc>
        <w:tc>
          <w:tcPr>
            <w:tcW w:w="1620" w:type="dxa"/>
            <w:noWrap/>
            <w:vAlign w:val="center"/>
          </w:tcPr>
          <w:p w:rsidR="00BD41CE" w:rsidRDefault="00BD41CE" w:rsidP="00687AF7">
            <w:pPr>
              <w:jc w:val="center"/>
            </w:pPr>
            <w:r w:rsidRPr="00182765">
              <w:rPr>
                <w:rFonts w:ascii="Calibri" w:hAnsi="Calibri" w:cs="Calibri"/>
                <w:sz w:val="20"/>
                <w:szCs w:val="20"/>
              </w:rPr>
              <w:t>$965.40</w:t>
            </w:r>
          </w:p>
        </w:tc>
        <w:tc>
          <w:tcPr>
            <w:tcW w:w="1243"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$1,258.80</w:t>
            </w:r>
          </w:p>
        </w:tc>
        <w:tc>
          <w:tcPr>
            <w:tcW w:w="1195"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$293.40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$293.40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Default="00BD41CE" w:rsidP="00687AF7">
            <w:r>
              <w:rPr>
                <w:rFonts w:ascii="Calibri" w:hAnsi="Calibri" w:cs="Calibri"/>
                <w:sz w:val="20"/>
                <w:szCs w:val="20"/>
              </w:rPr>
              <w:t>17</w:t>
            </w:r>
            <w:r w:rsidRPr="00B87FF2">
              <w:rPr>
                <w:rFonts w:ascii="Calibri" w:hAnsi="Calibri" w:cs="Calibri"/>
                <w:sz w:val="20"/>
                <w:szCs w:val="20"/>
              </w:rPr>
              <w:t xml:space="preserve"> SEER AC</w:t>
            </w:r>
          </w:p>
        </w:tc>
        <w:tc>
          <w:tcPr>
            <w:tcW w:w="1620" w:type="dxa"/>
            <w:noWrap/>
            <w:vAlign w:val="center"/>
          </w:tcPr>
          <w:p w:rsidR="00BD41CE" w:rsidRDefault="00BD41CE" w:rsidP="00687AF7">
            <w:pPr>
              <w:jc w:val="center"/>
            </w:pPr>
            <w:r w:rsidRPr="00182765">
              <w:rPr>
                <w:rFonts w:ascii="Calibri" w:hAnsi="Calibri" w:cs="Calibri"/>
                <w:sz w:val="20"/>
                <w:szCs w:val="20"/>
              </w:rPr>
              <w:t>$965.40</w:t>
            </w:r>
          </w:p>
        </w:tc>
        <w:tc>
          <w:tcPr>
            <w:tcW w:w="1243"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$1,356.60</w:t>
            </w:r>
          </w:p>
        </w:tc>
        <w:tc>
          <w:tcPr>
            <w:tcW w:w="1195"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$391.20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$391.20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Default="00BD41CE" w:rsidP="00687AF7">
            <w:r>
              <w:rPr>
                <w:rFonts w:ascii="Calibri" w:hAnsi="Calibri" w:cs="Calibri"/>
                <w:sz w:val="20"/>
                <w:szCs w:val="20"/>
              </w:rPr>
              <w:t>18</w:t>
            </w:r>
            <w:r w:rsidRPr="00B87FF2">
              <w:rPr>
                <w:rFonts w:ascii="Calibri" w:hAnsi="Calibri" w:cs="Calibri"/>
                <w:sz w:val="20"/>
                <w:szCs w:val="20"/>
              </w:rPr>
              <w:t xml:space="preserve"> SEER AC</w:t>
            </w:r>
          </w:p>
        </w:tc>
        <w:tc>
          <w:tcPr>
            <w:tcW w:w="1620" w:type="dxa"/>
            <w:noWrap/>
            <w:vAlign w:val="center"/>
          </w:tcPr>
          <w:p w:rsidR="00BD41CE" w:rsidRDefault="00BD41CE" w:rsidP="00687AF7">
            <w:pPr>
              <w:jc w:val="center"/>
            </w:pPr>
            <w:r w:rsidRPr="00182765">
              <w:rPr>
                <w:rFonts w:ascii="Calibri" w:hAnsi="Calibri" w:cs="Calibri"/>
                <w:sz w:val="20"/>
                <w:szCs w:val="20"/>
              </w:rPr>
              <w:t>$965.40</w:t>
            </w:r>
          </w:p>
        </w:tc>
        <w:tc>
          <w:tcPr>
            <w:tcW w:w="1243"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$1,454.40</w:t>
            </w:r>
          </w:p>
        </w:tc>
        <w:tc>
          <w:tcPr>
            <w:tcW w:w="1195" w:type="dxa"/>
            <w:vAlign w:val="center"/>
          </w:tcPr>
          <w:p w:rsidR="00BD41CE" w:rsidRDefault="00BD41CE" w:rsidP="00687AF7">
            <w:pPr>
              <w:jc w:val="cente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$489.00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$489.00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 xml:space="preserve">14 SEER </w:t>
            </w:r>
            <w:r>
              <w:rPr>
                <w:rFonts w:ascii="Calibri" w:hAnsi="Calibri" w:cs="Calibri"/>
                <w:sz w:val="20"/>
                <w:szCs w:val="20"/>
              </w:rPr>
              <w:t>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$1,011.64</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$52.35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$52.35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Pr="005E6010" w:rsidRDefault="00BD41CE" w:rsidP="00687AF7">
            <w:pPr>
              <w:keepNext/>
              <w:rPr>
                <w:rFonts w:ascii="Calibri" w:hAnsi="Calibri" w:cs="Calibri"/>
                <w:sz w:val="20"/>
                <w:szCs w:val="20"/>
              </w:rPr>
            </w:pPr>
            <w:r w:rsidRPr="005E6010">
              <w:rPr>
                <w:rFonts w:ascii="Calibri" w:hAnsi="Calibri" w:cs="Calibri"/>
                <w:sz w:val="20"/>
                <w:szCs w:val="20"/>
              </w:rPr>
              <w:t>14</w:t>
            </w:r>
            <w:r>
              <w:rPr>
                <w:rFonts w:ascii="Calibri" w:hAnsi="Calibri" w:cs="Calibri"/>
                <w:sz w:val="20"/>
                <w:szCs w:val="20"/>
              </w:rPr>
              <w:t>.5</w:t>
            </w:r>
            <w:r w:rsidRPr="005E6010">
              <w:rPr>
                <w:rFonts w:ascii="Calibri" w:hAnsi="Calibri" w:cs="Calibri"/>
                <w:sz w:val="20"/>
                <w:szCs w:val="20"/>
              </w:rPr>
              <w:t xml:space="preserve"> SEER </w:t>
            </w:r>
            <w:r>
              <w:rPr>
                <w:rFonts w:ascii="Calibri" w:hAnsi="Calibri" w:cs="Calibri"/>
                <w:sz w:val="20"/>
                <w:szCs w:val="20"/>
              </w:rPr>
              <w:t>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w:t>
            </w:r>
            <w:r>
              <w:rPr>
                <w:rFonts w:ascii="Calibri" w:hAnsi="Calibri" w:cs="Calibri"/>
                <w:sz w:val="20"/>
                <w:szCs w:val="20"/>
              </w:rPr>
              <w:t>037.82</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$78.53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$78.53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Default="00BD41CE" w:rsidP="00687AF7">
            <w:r w:rsidRPr="004865E9">
              <w:rPr>
                <w:rFonts w:ascii="Calibri" w:hAnsi="Calibri" w:cs="Calibri"/>
                <w:sz w:val="20"/>
                <w:szCs w:val="20"/>
              </w:rPr>
              <w:t>1</w:t>
            </w:r>
            <w:r>
              <w:rPr>
                <w:rFonts w:ascii="Calibri" w:hAnsi="Calibri" w:cs="Calibri"/>
                <w:sz w:val="20"/>
                <w:szCs w:val="20"/>
              </w:rPr>
              <w:t>5</w:t>
            </w:r>
            <w:r w:rsidRPr="004865E9">
              <w:rPr>
                <w:rFonts w:ascii="Calibri" w:hAnsi="Calibri" w:cs="Calibri"/>
                <w:sz w:val="20"/>
                <w:szCs w:val="20"/>
              </w:rPr>
              <w:t xml:space="preserve"> SEER 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$1,063.99</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$104.70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$104.70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Default="00BD41CE" w:rsidP="00687AF7">
            <w:r w:rsidRPr="004865E9">
              <w:rPr>
                <w:rFonts w:ascii="Calibri" w:hAnsi="Calibri" w:cs="Calibri"/>
                <w:sz w:val="20"/>
                <w:szCs w:val="20"/>
              </w:rPr>
              <w:t>1</w:t>
            </w:r>
            <w:r>
              <w:rPr>
                <w:rFonts w:ascii="Calibri" w:hAnsi="Calibri" w:cs="Calibri"/>
                <w:sz w:val="20"/>
                <w:szCs w:val="20"/>
              </w:rPr>
              <w:t>6</w:t>
            </w:r>
            <w:r w:rsidRPr="004865E9">
              <w:rPr>
                <w:rFonts w:ascii="Calibri" w:hAnsi="Calibri" w:cs="Calibri"/>
                <w:sz w:val="20"/>
                <w:szCs w:val="20"/>
              </w:rPr>
              <w:t xml:space="preserve"> SEER 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$1,116.34</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$157.05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$157.05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Default="00BD41CE" w:rsidP="00687AF7">
            <w:r w:rsidRPr="004865E9">
              <w:rPr>
                <w:rFonts w:ascii="Calibri" w:hAnsi="Calibri" w:cs="Calibri"/>
                <w:sz w:val="20"/>
                <w:szCs w:val="20"/>
              </w:rPr>
              <w:t>1</w:t>
            </w:r>
            <w:r>
              <w:rPr>
                <w:rFonts w:ascii="Calibri" w:hAnsi="Calibri" w:cs="Calibri"/>
                <w:sz w:val="20"/>
                <w:szCs w:val="20"/>
              </w:rPr>
              <w:t>7</w:t>
            </w:r>
            <w:r w:rsidRPr="004865E9">
              <w:rPr>
                <w:rFonts w:ascii="Calibri" w:hAnsi="Calibri" w:cs="Calibri"/>
                <w:sz w:val="20"/>
                <w:szCs w:val="20"/>
              </w:rPr>
              <w:t xml:space="preserve"> SEER 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$1,168.69</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$209.40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$209.40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Default="00BD41CE" w:rsidP="00687AF7">
            <w:r w:rsidRPr="004865E9">
              <w:rPr>
                <w:rFonts w:ascii="Calibri" w:hAnsi="Calibri" w:cs="Calibri"/>
                <w:sz w:val="20"/>
                <w:szCs w:val="20"/>
              </w:rPr>
              <w:t>1</w:t>
            </w:r>
            <w:r>
              <w:rPr>
                <w:rFonts w:ascii="Calibri" w:hAnsi="Calibri" w:cs="Calibri"/>
                <w:sz w:val="20"/>
                <w:szCs w:val="20"/>
              </w:rPr>
              <w:t>8</w:t>
            </w:r>
            <w:r w:rsidRPr="004865E9">
              <w:rPr>
                <w:rFonts w:ascii="Calibri" w:hAnsi="Calibri" w:cs="Calibri"/>
                <w:sz w:val="20"/>
                <w:szCs w:val="20"/>
              </w:rPr>
              <w:t xml:space="preserve"> SEER HP</w:t>
            </w:r>
          </w:p>
        </w:tc>
        <w:tc>
          <w:tcPr>
            <w:tcW w:w="1620" w:type="dxa"/>
            <w:noWrap/>
            <w:vAlign w:val="center"/>
          </w:tcPr>
          <w:p w:rsidR="00BD41CE" w:rsidRDefault="00BD41CE" w:rsidP="00687AF7">
            <w:pPr>
              <w:jc w:val="center"/>
            </w:pPr>
            <w:r w:rsidRPr="00885C37">
              <w:rPr>
                <w:rFonts w:ascii="Calibri" w:hAnsi="Calibri" w:cs="Calibri"/>
                <w:sz w:val="20"/>
                <w:szCs w:val="20"/>
              </w:rPr>
              <w:t>$959.29</w:t>
            </w:r>
          </w:p>
        </w:tc>
        <w:tc>
          <w:tcPr>
            <w:tcW w:w="1243"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$1,221.04</w:t>
            </w:r>
          </w:p>
        </w:tc>
        <w:tc>
          <w:tcPr>
            <w:tcW w:w="1195" w:type="dxa"/>
            <w:vAlign w:val="center"/>
          </w:tcPr>
          <w:p w:rsidR="00BD41CE" w:rsidRDefault="00BD41CE" w:rsidP="00687AF7">
            <w:pPr>
              <w:jc w:val="center"/>
            </w:pPr>
            <w:r w:rsidRPr="004C42C2">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$261.75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$261.75 </w:t>
            </w:r>
          </w:p>
        </w:tc>
      </w:tr>
      <w:tr w:rsidR="00BD41CE" w:rsidRPr="00753A66" w:rsidTr="00687AF7">
        <w:trPr>
          <w:cnfStyle w:val="000000100000" w:firstRow="0" w:lastRow="0" w:firstColumn="0" w:lastColumn="0" w:oddVBand="0" w:evenVBand="0" w:oddHBand="1" w:evenHBand="0" w:firstRowFirstColumn="0" w:firstRowLastColumn="0" w:lastRowFirstColumn="0" w:lastRowLastColumn="0"/>
          <w:trHeight w:val="144"/>
          <w:jc w:val="center"/>
        </w:trPr>
        <w:tc>
          <w:tcPr>
            <w:tcW w:w="1667" w:type="dxa"/>
            <w:vAlign w:val="center"/>
          </w:tcPr>
          <w:p w:rsidR="00BD41CE" w:rsidRPr="005E6010" w:rsidRDefault="00BD41CE" w:rsidP="00687AF7">
            <w:pPr>
              <w:keepNext/>
              <w:rPr>
                <w:rFonts w:ascii="Calibri" w:hAnsi="Calibri" w:cs="Calibri"/>
                <w:sz w:val="20"/>
                <w:szCs w:val="20"/>
              </w:rPr>
            </w:pPr>
            <w:r>
              <w:rPr>
                <w:rFonts w:asciiTheme="minorHAnsi" w:hAnsiTheme="minorHAnsi" w:cstheme="minorHAnsi"/>
                <w:sz w:val="20"/>
                <w:szCs w:val="20"/>
              </w:rPr>
              <w:t>To Code AC Portion</w:t>
            </w:r>
          </w:p>
        </w:tc>
        <w:tc>
          <w:tcPr>
            <w:tcW w:w="1620" w:type="dxa"/>
            <w:noWrap/>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$645.60</w:t>
            </w:r>
          </w:p>
        </w:tc>
        <w:tc>
          <w:tcPr>
            <w:tcW w:w="1243" w:type="dxa"/>
            <w:vAlign w:val="center"/>
          </w:tcPr>
          <w:p w:rsidR="00BD41CE" w:rsidRPr="005E6010" w:rsidRDefault="00BD41CE" w:rsidP="00687AF7">
            <w:pPr>
              <w:keepNext/>
              <w:jc w:val="center"/>
              <w:rPr>
                <w:rFonts w:ascii="Calibri" w:hAnsi="Calibri" w:cs="Calibri"/>
                <w:color w:val="000000"/>
                <w:sz w:val="20"/>
                <w:szCs w:val="20"/>
              </w:rPr>
            </w:pPr>
            <w:r w:rsidRPr="00DC3340">
              <w:rPr>
                <w:rFonts w:ascii="Calibri" w:hAnsi="Calibri" w:cs="Calibri"/>
                <w:sz w:val="20"/>
                <w:szCs w:val="20"/>
              </w:rPr>
              <w:t>$357.73</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color w:val="000000"/>
                <w:sz w:val="20"/>
                <w:szCs w:val="20"/>
              </w:rPr>
              <w:t>$965.40</w:t>
            </w:r>
          </w:p>
        </w:tc>
        <w:tc>
          <w:tcPr>
            <w:tcW w:w="1195" w:type="dxa"/>
            <w:vAlign w:val="center"/>
          </w:tcPr>
          <w:p w:rsidR="00BD41CE" w:rsidRPr="005E6010" w:rsidRDefault="00BD41CE" w:rsidP="00687AF7">
            <w:pPr>
              <w:keepNext/>
              <w:jc w:val="center"/>
              <w:rPr>
                <w:rFonts w:ascii="Calibri" w:hAnsi="Calibri" w:cs="Calibri"/>
                <w:color w:val="000000"/>
                <w:sz w:val="20"/>
                <w:szCs w:val="20"/>
              </w:rPr>
            </w:pPr>
            <w:r w:rsidRPr="00DC3340">
              <w:rPr>
                <w:rFonts w:ascii="Calibri" w:hAnsi="Calibri" w:cs="Calibri"/>
                <w:sz w:val="20"/>
                <w:szCs w:val="20"/>
              </w:rPr>
              <w:t>$357.73</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$1,323.13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$0.00 </w:t>
            </w:r>
          </w:p>
        </w:tc>
      </w:tr>
      <w:tr w:rsidR="00BD41CE" w:rsidRPr="00753A66" w:rsidTr="00687AF7">
        <w:trPr>
          <w:cnfStyle w:val="000000010000" w:firstRow="0" w:lastRow="0" w:firstColumn="0" w:lastColumn="0" w:oddVBand="0" w:evenVBand="0" w:oddHBand="0" w:evenHBand="1" w:firstRowFirstColumn="0" w:firstRowLastColumn="0" w:lastRowFirstColumn="0" w:lastRowLastColumn="0"/>
          <w:trHeight w:val="144"/>
          <w:jc w:val="center"/>
        </w:trPr>
        <w:tc>
          <w:tcPr>
            <w:tcW w:w="1667" w:type="dxa"/>
            <w:vAlign w:val="center"/>
          </w:tcPr>
          <w:p w:rsidR="00BD41CE" w:rsidRDefault="00BD41CE" w:rsidP="00687AF7">
            <w:pPr>
              <w:keepNext/>
              <w:rPr>
                <w:rFonts w:ascii="Calibri" w:hAnsi="Calibri" w:cs="Calibri"/>
                <w:sz w:val="20"/>
                <w:szCs w:val="20"/>
              </w:rPr>
            </w:pPr>
            <w:r>
              <w:rPr>
                <w:rFonts w:ascii="Calibri" w:hAnsi="Calibri" w:cs="Calibri"/>
                <w:sz w:val="20"/>
                <w:szCs w:val="20"/>
              </w:rPr>
              <w:t>To Code HP</w:t>
            </w:r>
          </w:p>
          <w:p w:rsidR="00BD41CE" w:rsidRPr="005E6010" w:rsidRDefault="00BD41CE" w:rsidP="00687AF7">
            <w:pPr>
              <w:keepNext/>
              <w:rPr>
                <w:rFonts w:ascii="Calibri" w:hAnsi="Calibri" w:cs="Calibri"/>
                <w:sz w:val="20"/>
                <w:szCs w:val="20"/>
              </w:rPr>
            </w:pPr>
            <w:r>
              <w:rPr>
                <w:rFonts w:ascii="Calibri" w:hAnsi="Calibri" w:cs="Calibri"/>
                <w:sz w:val="20"/>
                <w:szCs w:val="20"/>
              </w:rPr>
              <w:t>Portion</w:t>
            </w:r>
          </w:p>
        </w:tc>
        <w:tc>
          <w:tcPr>
            <w:tcW w:w="1620" w:type="dxa"/>
            <w:noWrap/>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$802.25</w:t>
            </w:r>
          </w:p>
        </w:tc>
        <w:tc>
          <w:tcPr>
            <w:tcW w:w="1243"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$459.88</w:t>
            </w:r>
          </w:p>
        </w:tc>
        <w:tc>
          <w:tcPr>
            <w:tcW w:w="1227" w:type="dxa"/>
            <w:vAlign w:val="center"/>
          </w:tcPr>
          <w:p w:rsidR="00BD41CE" w:rsidRPr="005E6010" w:rsidRDefault="00BD41CE" w:rsidP="00687AF7">
            <w:pPr>
              <w:keepNext/>
              <w:jc w:val="center"/>
              <w:rPr>
                <w:rFonts w:ascii="Calibri" w:hAnsi="Calibri" w:cs="Calibri"/>
                <w:sz w:val="20"/>
                <w:szCs w:val="20"/>
              </w:rPr>
            </w:pPr>
            <w:r w:rsidRPr="005E6010">
              <w:rPr>
                <w:rFonts w:ascii="Calibri" w:hAnsi="Calibri" w:cs="Calibri"/>
                <w:sz w:val="20"/>
                <w:szCs w:val="20"/>
              </w:rPr>
              <w:t>$959.29</w:t>
            </w:r>
          </w:p>
        </w:tc>
        <w:tc>
          <w:tcPr>
            <w:tcW w:w="1195" w:type="dxa"/>
            <w:vAlign w:val="center"/>
          </w:tcPr>
          <w:p w:rsidR="00BD41CE" w:rsidRPr="005E6010" w:rsidRDefault="00BD41CE" w:rsidP="00687AF7">
            <w:pPr>
              <w:keepNext/>
              <w:jc w:val="center"/>
              <w:rPr>
                <w:rFonts w:ascii="Calibri" w:hAnsi="Calibri" w:cs="Calibri"/>
                <w:sz w:val="20"/>
                <w:szCs w:val="20"/>
              </w:rPr>
            </w:pPr>
            <w:r>
              <w:rPr>
                <w:rFonts w:ascii="Calibri" w:hAnsi="Calibri" w:cs="Calibri"/>
                <w:sz w:val="20"/>
                <w:szCs w:val="20"/>
              </w:rPr>
              <w:t>$459.88</w:t>
            </w:r>
          </w:p>
        </w:tc>
        <w:tc>
          <w:tcPr>
            <w:tcW w:w="1227"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$1,419.17 </w:t>
            </w:r>
          </w:p>
        </w:tc>
        <w:tc>
          <w:tcPr>
            <w:tcW w:w="1026" w:type="dxa"/>
            <w:vAlign w:val="center"/>
          </w:tcPr>
          <w:p w:rsidR="00BD41CE" w:rsidRDefault="00BD41CE" w:rsidP="00687AF7">
            <w:pPr>
              <w:jc w:val="center"/>
              <w:rPr>
                <w:rFonts w:ascii="Calibri" w:hAnsi="Calibri"/>
                <w:color w:val="000000"/>
                <w:sz w:val="20"/>
                <w:szCs w:val="20"/>
              </w:rPr>
            </w:pPr>
            <w:r>
              <w:rPr>
                <w:rFonts w:ascii="Calibri" w:hAnsi="Calibri" w:cs="Calibri"/>
                <w:color w:val="000000"/>
                <w:sz w:val="20"/>
                <w:szCs w:val="20"/>
              </w:rPr>
              <w:t xml:space="preserve">$0.00 </w:t>
            </w:r>
          </w:p>
        </w:tc>
      </w:tr>
    </w:tbl>
    <w:p w:rsidR="00E16609" w:rsidRPr="000F130A" w:rsidRDefault="00E16609" w:rsidP="00E16609">
      <w:pPr>
        <w:pStyle w:val="Heading2"/>
        <w:keepNext w:val="0"/>
        <w:rPr>
          <w:rFonts w:asciiTheme="minorHAnsi" w:hAnsiTheme="minorHAnsi" w:cstheme="minorHAnsi"/>
        </w:rPr>
      </w:pPr>
      <w:bookmarkStart w:id="23" w:name="_Toc214003099"/>
      <w:r w:rsidRPr="000F130A">
        <w:rPr>
          <w:rFonts w:asciiTheme="minorHAnsi" w:hAnsiTheme="minorHAnsi" w:cstheme="minorHAnsi"/>
        </w:rPr>
        <w:t>4.3 Incremental Measure Cost</w:t>
      </w:r>
    </w:p>
    <w:p w:rsidR="00BD41CE" w:rsidRDefault="00BD41CE" w:rsidP="00BD41CE">
      <w:pPr>
        <w:pStyle w:val="Reminders"/>
        <w:rPr>
          <w:rFonts w:ascii="Calibri" w:hAnsi="Calibri" w:cs="Calibri"/>
          <w:i w:val="0"/>
          <w:color w:val="auto"/>
          <w:sz w:val="22"/>
        </w:rPr>
      </w:pPr>
      <w:r w:rsidRPr="00576BB0">
        <w:rPr>
          <w:rFonts w:ascii="Calibri" w:hAnsi="Calibri" w:cs="Calibri"/>
          <w:i w:val="0"/>
          <w:color w:val="auto"/>
          <w:sz w:val="22"/>
        </w:rPr>
        <w:t xml:space="preserve">For ROB, the Gross Measure Cost and Incremental Measure </w:t>
      </w:r>
      <w:r>
        <w:rPr>
          <w:rFonts w:ascii="Calibri" w:hAnsi="Calibri" w:cs="Calibri"/>
          <w:i w:val="0"/>
          <w:color w:val="auto"/>
          <w:sz w:val="22"/>
        </w:rPr>
        <w:t>Cost are the same;</w:t>
      </w:r>
      <w:r w:rsidRPr="00576BB0">
        <w:rPr>
          <w:rFonts w:ascii="Calibri" w:hAnsi="Calibri" w:cs="Calibri"/>
          <w:i w:val="0"/>
          <w:color w:val="auto"/>
          <w:sz w:val="22"/>
        </w:rPr>
        <w:t xml:space="preserve"> </w:t>
      </w:r>
      <w:r>
        <w:rPr>
          <w:rFonts w:ascii="Calibri" w:hAnsi="Calibri" w:cs="Calibri"/>
          <w:i w:val="0"/>
          <w:color w:val="auto"/>
          <w:sz w:val="22"/>
        </w:rPr>
        <w:t>s</w:t>
      </w:r>
      <w:r w:rsidRPr="00576BB0">
        <w:rPr>
          <w:rFonts w:ascii="Calibri" w:hAnsi="Calibri" w:cs="Calibri"/>
          <w:i w:val="0"/>
          <w:color w:val="auto"/>
          <w:sz w:val="22"/>
        </w:rPr>
        <w:t>ee</w:t>
      </w:r>
      <w:r>
        <w:rPr>
          <w:rFonts w:ascii="Calibri" w:hAnsi="Calibri" w:cs="Calibri"/>
          <w:i w:val="0"/>
          <w:color w:val="auto"/>
          <w:sz w:val="22"/>
        </w:rPr>
        <w:t xml:space="preserve"> Table 17.</w:t>
      </w:r>
    </w:p>
    <w:p w:rsidR="00BD41CE" w:rsidRDefault="00BD41CE" w:rsidP="00BD41CE">
      <w:pPr>
        <w:pStyle w:val="Reminders"/>
        <w:rPr>
          <w:rFonts w:ascii="Calibri" w:hAnsi="Calibri" w:cs="Calibri"/>
          <w:i w:val="0"/>
          <w:color w:val="auto"/>
          <w:sz w:val="22"/>
        </w:rPr>
      </w:pPr>
    </w:p>
    <w:p w:rsidR="00BD41CE" w:rsidRDefault="00BD41CE" w:rsidP="00BD41CE">
      <w:pPr>
        <w:pStyle w:val="Reminders"/>
        <w:rPr>
          <w:rFonts w:ascii="Calibri" w:hAnsi="Calibri" w:cs="Calibri"/>
          <w:i w:val="0"/>
          <w:color w:val="auto"/>
          <w:sz w:val="22"/>
        </w:rPr>
      </w:pPr>
      <w:r w:rsidRPr="008748DE">
        <w:rPr>
          <w:rFonts w:ascii="Calibri" w:hAnsi="Calibri" w:cs="Calibri"/>
          <w:i w:val="0"/>
          <w:color w:val="auto"/>
          <w:sz w:val="22"/>
        </w:rPr>
        <w:t>For the RET m</w:t>
      </w:r>
      <w:r>
        <w:rPr>
          <w:rFonts w:ascii="Calibri" w:hAnsi="Calibri" w:cs="Calibri"/>
          <w:i w:val="0"/>
          <w:color w:val="auto"/>
          <w:sz w:val="22"/>
        </w:rPr>
        <w:t>easures, as per the comment in Section 4.3.1</w:t>
      </w:r>
      <w:r w:rsidRPr="008748DE">
        <w:rPr>
          <w:rFonts w:ascii="Calibri" w:hAnsi="Calibri" w:cs="Calibri"/>
          <w:i w:val="0"/>
          <w:color w:val="auto"/>
          <w:sz w:val="22"/>
        </w:rPr>
        <w:t xml:space="preserve"> about double counting the costs, the Incremental measure cost is equal </w:t>
      </w:r>
      <w:r>
        <w:rPr>
          <w:rFonts w:ascii="Calibri" w:hAnsi="Calibri" w:cs="Calibri"/>
          <w:i w:val="0"/>
          <w:color w:val="auto"/>
          <w:sz w:val="22"/>
        </w:rPr>
        <w:t xml:space="preserve">to zero. Please refer to ex-ante database for all cost </w:t>
      </w:r>
      <w:r w:rsidR="00692990">
        <w:rPr>
          <w:rFonts w:ascii="Calibri" w:hAnsi="Calibri" w:cs="Calibri"/>
          <w:i w:val="0"/>
          <w:color w:val="auto"/>
          <w:sz w:val="22"/>
        </w:rPr>
        <w:t>calculations</w:t>
      </w:r>
      <w:r>
        <w:rPr>
          <w:rFonts w:ascii="Calibri" w:hAnsi="Calibri" w:cs="Calibri"/>
          <w:i w:val="0"/>
          <w:color w:val="auto"/>
          <w:sz w:val="22"/>
        </w:rPr>
        <w:t>.</w:t>
      </w:r>
    </w:p>
    <w:p w:rsidR="00E16609" w:rsidRPr="00BD3931" w:rsidRDefault="00E16609" w:rsidP="00E16609">
      <w:pPr>
        <w:rPr>
          <w:rFonts w:asciiTheme="minorHAnsi" w:hAnsiTheme="minorHAnsi" w:cstheme="minorHAnsi"/>
          <w:sz w:val="22"/>
          <w:szCs w:val="22"/>
        </w:rPr>
      </w:pPr>
      <w:r w:rsidRPr="00BD3931">
        <w:rPr>
          <w:rFonts w:asciiTheme="minorHAnsi" w:hAnsiTheme="minorHAnsi" w:cstheme="minorHAnsi"/>
          <w:sz w:val="22"/>
          <w:szCs w:val="22"/>
        </w:rPr>
        <w:br w:type="page"/>
      </w:r>
    </w:p>
    <w:bookmarkEnd w:id="23"/>
    <w:p w:rsidR="00A500D6" w:rsidRDefault="00E16609" w:rsidP="00383406">
      <w:pPr>
        <w:pStyle w:val="Heading1"/>
        <w:rPr>
          <w:rFonts w:asciiTheme="minorHAnsi" w:hAnsiTheme="minorHAnsi" w:cstheme="minorHAnsi"/>
        </w:rPr>
      </w:pPr>
      <w:r w:rsidRPr="000F130A">
        <w:rPr>
          <w:rFonts w:asciiTheme="minorHAnsi" w:hAnsiTheme="minorHAnsi" w:cstheme="minorHAnsi"/>
        </w:rPr>
        <w:lastRenderedPageBreak/>
        <w:t>Attachments</w:t>
      </w:r>
    </w:p>
    <w:p w:rsidR="00383406" w:rsidRDefault="00383406" w:rsidP="00E16609">
      <w:pPr>
        <w:rPr>
          <w:rFonts w:asciiTheme="minorHAnsi" w:hAnsiTheme="minorHAnsi" w:cstheme="minorHAnsi"/>
        </w:rPr>
      </w:pPr>
      <w:r>
        <w:rPr>
          <w:rFonts w:asciiTheme="minorHAnsi" w:hAnsiTheme="minorHAnsi" w:cstheme="minorHAnsi"/>
        </w:rPr>
        <w:t>1.</w:t>
      </w:r>
    </w:p>
    <w:bookmarkStart w:id="24" w:name="_MON_1464000815"/>
    <w:bookmarkEnd w:id="24"/>
    <w:p w:rsidR="00383406" w:rsidRDefault="00383406" w:rsidP="00E16609">
      <w:pPr>
        <w:rPr>
          <w:rFonts w:asciiTheme="minorHAnsi" w:hAnsiTheme="minorHAnsi" w:cstheme="minorHAnsi"/>
        </w:rPr>
      </w:pPr>
      <w:r w:rsidRPr="00687D2D">
        <w:rPr>
          <w:rFonts w:asciiTheme="minorHAnsi" w:hAnsiTheme="minorHAnsi"/>
          <w:sz w:val="22"/>
          <w:szCs w:val="22"/>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6.25pt" o:ole="">
            <v:imagedata r:id="rId16" o:title=""/>
          </v:shape>
          <o:OLEObject Type="Embed" ProgID="Excel.Sheet.12" ShapeID="_x0000_i1025" DrawAspect="Icon" ObjectID="_1470835988" r:id="rId17"/>
        </w:object>
      </w:r>
    </w:p>
    <w:p w:rsidR="00383406" w:rsidRDefault="00383406" w:rsidP="00E16609">
      <w:pPr>
        <w:rPr>
          <w:rFonts w:asciiTheme="minorHAnsi" w:hAnsiTheme="minorHAnsi" w:cstheme="minorHAnsi"/>
        </w:rPr>
      </w:pPr>
    </w:p>
    <w:p w:rsidR="00383406" w:rsidRDefault="00383406" w:rsidP="00E16609">
      <w:pPr>
        <w:rPr>
          <w:rFonts w:asciiTheme="minorHAnsi" w:hAnsiTheme="minorHAnsi" w:cstheme="minorHAnsi"/>
        </w:rPr>
      </w:pPr>
      <w:r>
        <w:rPr>
          <w:rFonts w:asciiTheme="minorHAnsi" w:hAnsiTheme="minorHAnsi" w:cstheme="minorHAnsi"/>
        </w:rPr>
        <w:t>2.</w:t>
      </w:r>
    </w:p>
    <w:p w:rsidR="00383406" w:rsidRDefault="00383406" w:rsidP="00E16609">
      <w:pPr>
        <w:rPr>
          <w:rFonts w:asciiTheme="minorHAnsi" w:hAnsiTheme="minorHAnsi" w:cstheme="minorHAnsi"/>
        </w:rPr>
      </w:pPr>
    </w:p>
    <w:bookmarkStart w:id="25" w:name="_MON_1466596421"/>
    <w:bookmarkEnd w:id="25"/>
    <w:p w:rsidR="00383406" w:rsidRDefault="00383406" w:rsidP="00E16609">
      <w:pPr>
        <w:rPr>
          <w:rFonts w:asciiTheme="minorHAnsi" w:hAnsiTheme="minorHAnsi" w:cstheme="minorHAnsi"/>
        </w:rPr>
      </w:pPr>
      <w:r>
        <w:rPr>
          <w:rFonts w:asciiTheme="minorHAnsi" w:hAnsiTheme="minorHAnsi"/>
          <w:sz w:val="22"/>
          <w:szCs w:val="22"/>
        </w:rPr>
        <w:object w:dxaOrig="2069" w:dyaOrig="1320">
          <v:shape id="_x0000_i1026" type="#_x0000_t75" style="width:102.55pt;height:66.25pt" o:ole="">
            <v:imagedata r:id="rId18" o:title=""/>
          </v:shape>
          <o:OLEObject Type="Embed" ProgID="Excel.Sheet.12" ShapeID="_x0000_i1026" DrawAspect="Icon" ObjectID="_1470835989" r:id="rId19"/>
        </w:object>
      </w:r>
    </w:p>
    <w:p w:rsidR="00612041" w:rsidRDefault="00612041" w:rsidP="00E16609">
      <w:pPr>
        <w:rPr>
          <w:rFonts w:asciiTheme="minorHAnsi" w:hAnsiTheme="minorHAnsi" w:cstheme="minorHAnsi"/>
        </w:rPr>
      </w:pPr>
    </w:p>
    <w:p w:rsidR="00C54EFF" w:rsidRDefault="00C54EFF" w:rsidP="00E16609">
      <w:pPr>
        <w:rPr>
          <w:rFonts w:asciiTheme="minorHAnsi" w:hAnsiTheme="minorHAnsi" w:cstheme="minorHAnsi"/>
        </w:rPr>
      </w:pPr>
    </w:p>
    <w:p w:rsidR="00C54EFF" w:rsidRDefault="00C54EFF">
      <w:pPr>
        <w:spacing w:after="200" w:line="276" w:lineRule="auto"/>
        <w:rPr>
          <w:rFonts w:asciiTheme="minorHAnsi" w:hAnsiTheme="minorHAnsi" w:cstheme="minorHAnsi"/>
        </w:rPr>
      </w:pPr>
      <w:r>
        <w:rPr>
          <w:rFonts w:asciiTheme="minorHAnsi" w:hAnsiTheme="minorHAnsi" w:cstheme="minorHAnsi"/>
        </w:rPr>
        <w:br w:type="page"/>
      </w: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p w:rsidR="00C54EFF" w:rsidRPr="000F130A" w:rsidRDefault="00972C81" w:rsidP="00E16609">
      <w:pPr>
        <w:rPr>
          <w:rFonts w:asciiTheme="minorHAnsi" w:hAnsiTheme="minorHAnsi" w:cstheme="minorHAnsi"/>
        </w:rPr>
      </w:pPr>
      <w:r>
        <w:rPr>
          <w:rFonts w:asciiTheme="minorHAnsi" w:hAnsiTheme="minorHAnsi" w:cstheme="minorHAnsi"/>
        </w:rPr>
        <w:object w:dxaOrig="1534" w:dyaOrig="993">
          <v:shape id="_x0000_i1027" type="#_x0000_t75" style="width:76.05pt;height:49.55pt" o:ole="">
            <v:imagedata r:id="rId20" o:title=""/>
          </v:shape>
          <o:OLEObject Type="Embed" ProgID="Excel.Sheet.8" ShapeID="_x0000_i1027" DrawAspect="Icon" ObjectID="_1470835990" r:id="rId21"/>
        </w:object>
      </w:r>
    </w:p>
    <w:sectPr w:rsidR="00C54EFF" w:rsidRPr="000F130A" w:rsidSect="00CE69E9">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2BA2" w:rsidRDefault="008A2BA2" w:rsidP="00447D6E">
      <w:r>
        <w:separator/>
      </w:r>
    </w:p>
  </w:endnote>
  <w:endnote w:type="continuationSeparator" w:id="0">
    <w:p w:rsidR="008A2BA2" w:rsidRDefault="008A2BA2"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DD9" w:rsidRPr="009500DC" w:rsidRDefault="002B0DD9" w:rsidP="00447D6E">
    <w:pPr>
      <w:pStyle w:val="Footer"/>
      <w:jc w:val="right"/>
      <w:rPr>
        <w:rFonts w:asciiTheme="minorHAnsi" w:hAnsiTheme="minorHAnsi" w:cstheme="minorHAnsi"/>
      </w:rPr>
    </w:pPr>
    <w:r>
      <w:rPr>
        <w:rFonts w:asciiTheme="minorHAnsi" w:hAnsiTheme="minorHAnsi" w:cstheme="minorHAnsi"/>
        <w:b/>
        <w:sz w:val="36"/>
        <w:szCs w:val="36"/>
      </w:rPr>
      <w:t>August 29,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DD9" w:rsidRPr="009500DC" w:rsidRDefault="002B0DD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xml:space="preserve">WPSDGENRHC0023 </w:t>
    </w:r>
    <w:r w:rsidRPr="009500DC">
      <w:rPr>
        <w:rFonts w:asciiTheme="minorHAnsi" w:hAnsiTheme="minorHAnsi" w:cstheme="minorHAnsi"/>
        <w:b/>
        <w:sz w:val="20"/>
        <w:szCs w:val="20"/>
      </w:rPr>
      <w:t xml:space="preserve">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609FB">
      <w:rPr>
        <w:rFonts w:asciiTheme="minorHAnsi" w:hAnsiTheme="minorHAnsi" w:cstheme="minorHAnsi"/>
        <w:b/>
        <w:noProof/>
        <w:sz w:val="20"/>
        <w:szCs w:val="20"/>
      </w:rPr>
      <w:t>17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August 29, 2014</w:t>
    </w:r>
  </w:p>
  <w:p w:rsidR="002B0DD9" w:rsidRPr="009500DC" w:rsidRDefault="002B0DD9" w:rsidP="00A51B7B">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S</w:t>
    </w:r>
    <w:r>
      <w:rPr>
        <w:rFonts w:asciiTheme="minorHAnsi" w:hAnsiTheme="minorHAnsi" w:cstheme="minorHAnsi"/>
        <w:b/>
        <w:sz w:val="20"/>
        <w:szCs w:val="20"/>
      </w:rPr>
      <w:t>an Diego Gas &amp; Electric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2BA2" w:rsidRDefault="008A2BA2" w:rsidP="00447D6E">
      <w:r>
        <w:separator/>
      </w:r>
    </w:p>
  </w:footnote>
  <w:footnote w:type="continuationSeparator" w:id="0">
    <w:p w:rsidR="008A2BA2" w:rsidRDefault="008A2BA2"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8A35CD6"/>
    <w:multiLevelType w:val="hybridMultilevel"/>
    <w:tmpl w:val="A7B2DC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86908F6"/>
    <w:multiLevelType w:val="hybridMultilevel"/>
    <w:tmpl w:val="490E1D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E195B5F"/>
    <w:multiLevelType w:val="hybridMultilevel"/>
    <w:tmpl w:val="BA54D38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1"/>
  </w:num>
  <w:num w:numId="10">
    <w:abstractNumId w:val="8"/>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279"/>
    <w:rsid w:val="00005902"/>
    <w:rsid w:val="00027183"/>
    <w:rsid w:val="00033EA1"/>
    <w:rsid w:val="00056947"/>
    <w:rsid w:val="00076DF4"/>
    <w:rsid w:val="0008476F"/>
    <w:rsid w:val="0009074D"/>
    <w:rsid w:val="000A63C9"/>
    <w:rsid w:val="000C0000"/>
    <w:rsid w:val="000C18CC"/>
    <w:rsid w:val="000F130A"/>
    <w:rsid w:val="000F5942"/>
    <w:rsid w:val="00107242"/>
    <w:rsid w:val="00147155"/>
    <w:rsid w:val="00153CB3"/>
    <w:rsid w:val="00165357"/>
    <w:rsid w:val="001811EE"/>
    <w:rsid w:val="001A0EB4"/>
    <w:rsid w:val="001A5F62"/>
    <w:rsid w:val="001B618B"/>
    <w:rsid w:val="001C4140"/>
    <w:rsid w:val="001E0829"/>
    <w:rsid w:val="001F05CE"/>
    <w:rsid w:val="00242D1F"/>
    <w:rsid w:val="00274FBE"/>
    <w:rsid w:val="002762E1"/>
    <w:rsid w:val="002811BC"/>
    <w:rsid w:val="00283DE8"/>
    <w:rsid w:val="00285966"/>
    <w:rsid w:val="002A3D26"/>
    <w:rsid w:val="002B0DD9"/>
    <w:rsid w:val="002B1ADF"/>
    <w:rsid w:val="002C4440"/>
    <w:rsid w:val="002C444C"/>
    <w:rsid w:val="002C6C7A"/>
    <w:rsid w:val="002F1437"/>
    <w:rsid w:val="002F3943"/>
    <w:rsid w:val="00331609"/>
    <w:rsid w:val="00332700"/>
    <w:rsid w:val="00345D80"/>
    <w:rsid w:val="003471D4"/>
    <w:rsid w:val="003560BA"/>
    <w:rsid w:val="00383406"/>
    <w:rsid w:val="003A62D4"/>
    <w:rsid w:val="003A69B5"/>
    <w:rsid w:val="003D2871"/>
    <w:rsid w:val="003D5B83"/>
    <w:rsid w:val="003E6E47"/>
    <w:rsid w:val="003F0623"/>
    <w:rsid w:val="004200FE"/>
    <w:rsid w:val="00441957"/>
    <w:rsid w:val="00443D32"/>
    <w:rsid w:val="00447CE5"/>
    <w:rsid w:val="00447D6E"/>
    <w:rsid w:val="0046286E"/>
    <w:rsid w:val="00471234"/>
    <w:rsid w:val="00477522"/>
    <w:rsid w:val="00493457"/>
    <w:rsid w:val="00494628"/>
    <w:rsid w:val="004B4A3A"/>
    <w:rsid w:val="004E01F5"/>
    <w:rsid w:val="004E76CA"/>
    <w:rsid w:val="0051020F"/>
    <w:rsid w:val="00560934"/>
    <w:rsid w:val="00564960"/>
    <w:rsid w:val="005720D3"/>
    <w:rsid w:val="005734A4"/>
    <w:rsid w:val="005A1078"/>
    <w:rsid w:val="005B28C1"/>
    <w:rsid w:val="005C2E48"/>
    <w:rsid w:val="005D4DD7"/>
    <w:rsid w:val="00602799"/>
    <w:rsid w:val="00612041"/>
    <w:rsid w:val="006404E6"/>
    <w:rsid w:val="00647ABE"/>
    <w:rsid w:val="00664B05"/>
    <w:rsid w:val="00687AF7"/>
    <w:rsid w:val="00692990"/>
    <w:rsid w:val="006A055F"/>
    <w:rsid w:val="006A0765"/>
    <w:rsid w:val="006A5293"/>
    <w:rsid w:val="006A7971"/>
    <w:rsid w:val="006B0DF3"/>
    <w:rsid w:val="006C430A"/>
    <w:rsid w:val="006D2809"/>
    <w:rsid w:val="007048AC"/>
    <w:rsid w:val="00733C7D"/>
    <w:rsid w:val="00740761"/>
    <w:rsid w:val="00764D0D"/>
    <w:rsid w:val="007846AC"/>
    <w:rsid w:val="007933F1"/>
    <w:rsid w:val="00795E08"/>
    <w:rsid w:val="007E43F8"/>
    <w:rsid w:val="007E656B"/>
    <w:rsid w:val="007F50E8"/>
    <w:rsid w:val="00800319"/>
    <w:rsid w:val="00801F7F"/>
    <w:rsid w:val="00824F1C"/>
    <w:rsid w:val="00881A42"/>
    <w:rsid w:val="00885E0A"/>
    <w:rsid w:val="0088603B"/>
    <w:rsid w:val="00893FC3"/>
    <w:rsid w:val="0089577B"/>
    <w:rsid w:val="008A2BA2"/>
    <w:rsid w:val="008B7F8B"/>
    <w:rsid w:val="008E17CC"/>
    <w:rsid w:val="008F33B4"/>
    <w:rsid w:val="00900FE3"/>
    <w:rsid w:val="00922B85"/>
    <w:rsid w:val="009500DC"/>
    <w:rsid w:val="00951923"/>
    <w:rsid w:val="009609FB"/>
    <w:rsid w:val="00972C81"/>
    <w:rsid w:val="00995CB0"/>
    <w:rsid w:val="00997E77"/>
    <w:rsid w:val="009A2734"/>
    <w:rsid w:val="009C1777"/>
    <w:rsid w:val="009C2C86"/>
    <w:rsid w:val="009D0753"/>
    <w:rsid w:val="009E1802"/>
    <w:rsid w:val="009E1CDE"/>
    <w:rsid w:val="009E51E2"/>
    <w:rsid w:val="009F7A61"/>
    <w:rsid w:val="00A1423E"/>
    <w:rsid w:val="00A500D6"/>
    <w:rsid w:val="00A51B7B"/>
    <w:rsid w:val="00A86DA2"/>
    <w:rsid w:val="00AA5789"/>
    <w:rsid w:val="00AB3386"/>
    <w:rsid w:val="00AD2799"/>
    <w:rsid w:val="00AD4DD0"/>
    <w:rsid w:val="00AD526C"/>
    <w:rsid w:val="00AF6342"/>
    <w:rsid w:val="00B07EE5"/>
    <w:rsid w:val="00B26B83"/>
    <w:rsid w:val="00B32479"/>
    <w:rsid w:val="00B866B4"/>
    <w:rsid w:val="00B96BFB"/>
    <w:rsid w:val="00BA590A"/>
    <w:rsid w:val="00BB0B39"/>
    <w:rsid w:val="00BB5F75"/>
    <w:rsid w:val="00BD3931"/>
    <w:rsid w:val="00BD41CE"/>
    <w:rsid w:val="00BD5B88"/>
    <w:rsid w:val="00C24D03"/>
    <w:rsid w:val="00C25E61"/>
    <w:rsid w:val="00C54EFF"/>
    <w:rsid w:val="00C72B8B"/>
    <w:rsid w:val="00CA2AB4"/>
    <w:rsid w:val="00CB0100"/>
    <w:rsid w:val="00CD486F"/>
    <w:rsid w:val="00CE5BEB"/>
    <w:rsid w:val="00CE69E9"/>
    <w:rsid w:val="00D159F9"/>
    <w:rsid w:val="00D25074"/>
    <w:rsid w:val="00D7380B"/>
    <w:rsid w:val="00D75D77"/>
    <w:rsid w:val="00DA11A0"/>
    <w:rsid w:val="00DA690B"/>
    <w:rsid w:val="00DB1169"/>
    <w:rsid w:val="00DF2EE9"/>
    <w:rsid w:val="00E07752"/>
    <w:rsid w:val="00E16609"/>
    <w:rsid w:val="00E233F3"/>
    <w:rsid w:val="00E42A30"/>
    <w:rsid w:val="00E81F3E"/>
    <w:rsid w:val="00E859BD"/>
    <w:rsid w:val="00E96759"/>
    <w:rsid w:val="00EB34FC"/>
    <w:rsid w:val="00EB76E1"/>
    <w:rsid w:val="00EE0279"/>
    <w:rsid w:val="00F20DCF"/>
    <w:rsid w:val="00F4752B"/>
    <w:rsid w:val="00F56792"/>
    <w:rsid w:val="00F60E32"/>
    <w:rsid w:val="00F7242E"/>
    <w:rsid w:val="00FB0987"/>
    <w:rsid w:val="00FC7892"/>
    <w:rsid w:val="00FD5A8C"/>
    <w:rsid w:val="00FE3233"/>
    <w:rsid w:val="00FE6C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EE0279"/>
    <w:rPr>
      <w:color w:val="808080"/>
    </w:rPr>
  </w:style>
  <w:style w:type="paragraph" w:styleId="ListParagraph">
    <w:name w:val="List Paragraph"/>
    <w:basedOn w:val="Normal"/>
    <w:uiPriority w:val="34"/>
    <w:qFormat/>
    <w:rsid w:val="00242D1F"/>
    <w:pPr>
      <w:ind w:left="720"/>
      <w:contextualSpacing/>
    </w:pPr>
  </w:style>
  <w:style w:type="table" w:customStyle="1" w:styleId="TableContemporary1">
    <w:name w:val="Table Contemporary1"/>
    <w:basedOn w:val="TableNormal"/>
    <w:next w:val="TableContemporary"/>
    <w:rsid w:val="00AA578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2">
    <w:name w:val="Table Contemporary2"/>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3">
    <w:name w:val="Table Contemporary3"/>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4">
    <w:name w:val="Table Contemporary4"/>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5">
    <w:name w:val="Table Contemporary5"/>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
    <w:name w:val="Table Grid1"/>
    <w:basedOn w:val="TableNormal"/>
    <w:next w:val="TableGrid"/>
    <w:uiPriority w:val="59"/>
    <w:rsid w:val="002B0D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ontemporaryBlackHeader1">
    <w:name w:val="Table Contemporary Black Header1"/>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ContemporaryBlackHeader2">
    <w:name w:val="Table Contemporary Black Header2"/>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6">
    <w:name w:val="Table Contemporary6"/>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Paragraph">
    <w:name w:val="Normal Paragraph"/>
    <w:basedOn w:val="Normal"/>
    <w:link w:val="NormalParagraphChar"/>
    <w:uiPriority w:val="99"/>
    <w:rsid w:val="00BD41CE"/>
    <w:pPr>
      <w:spacing w:after="240"/>
    </w:pPr>
    <w:rPr>
      <w:szCs w:val="20"/>
      <w:lang w:val="x-none" w:eastAsia="x-none"/>
    </w:rPr>
  </w:style>
  <w:style w:type="character" w:customStyle="1" w:styleId="NormalParagraphChar">
    <w:name w:val="Normal Paragraph Char"/>
    <w:link w:val="NormalParagraph"/>
    <w:uiPriority w:val="99"/>
    <w:locked/>
    <w:rsid w:val="00BD41CE"/>
    <w:rPr>
      <w:rFonts w:ascii="Times New Roman" w:eastAsia="Times New Roman" w:hAnsi="Times New Roman" w:cs="Times New Roman"/>
      <w:sz w:val="24"/>
      <w:szCs w:val="20"/>
      <w:lang w:val="x-none" w:eastAsia="x-none"/>
    </w:rPr>
  </w:style>
  <w:style w:type="paragraph" w:customStyle="1" w:styleId="TableCaption">
    <w:name w:val="Table Caption"/>
    <w:basedOn w:val="Normal"/>
    <w:uiPriority w:val="99"/>
    <w:rsid w:val="00BD41CE"/>
    <w:pPr>
      <w:keepNext/>
      <w:spacing w:before="240" w:after="120"/>
      <w:jc w:val="center"/>
    </w:pPr>
    <w:rPr>
      <w:b/>
      <w:bCs/>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EE0279"/>
    <w:rPr>
      <w:color w:val="808080"/>
    </w:rPr>
  </w:style>
  <w:style w:type="paragraph" w:styleId="ListParagraph">
    <w:name w:val="List Paragraph"/>
    <w:basedOn w:val="Normal"/>
    <w:uiPriority w:val="34"/>
    <w:qFormat/>
    <w:rsid w:val="00242D1F"/>
    <w:pPr>
      <w:ind w:left="720"/>
      <w:contextualSpacing/>
    </w:pPr>
  </w:style>
  <w:style w:type="table" w:customStyle="1" w:styleId="TableContemporary1">
    <w:name w:val="Table Contemporary1"/>
    <w:basedOn w:val="TableNormal"/>
    <w:next w:val="TableContemporary"/>
    <w:rsid w:val="00AA578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2">
    <w:name w:val="Table Contemporary2"/>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3">
    <w:name w:val="Table Contemporary3"/>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4">
    <w:name w:val="Table Contemporary4"/>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5">
    <w:name w:val="Table Contemporary5"/>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
    <w:name w:val="Table Grid1"/>
    <w:basedOn w:val="TableNormal"/>
    <w:next w:val="TableGrid"/>
    <w:uiPriority w:val="59"/>
    <w:rsid w:val="002B0D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ontemporaryBlackHeader1">
    <w:name w:val="Table Contemporary Black Header1"/>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leContemporaryBlackHeader2">
    <w:name w:val="Table Contemporary Black Header2"/>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6">
    <w:name w:val="Table Contemporary6"/>
    <w:basedOn w:val="TableNormal"/>
    <w:next w:val="TableContemporary"/>
    <w:rsid w:val="002B0DD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Paragraph">
    <w:name w:val="Normal Paragraph"/>
    <w:basedOn w:val="Normal"/>
    <w:link w:val="NormalParagraphChar"/>
    <w:uiPriority w:val="99"/>
    <w:rsid w:val="00BD41CE"/>
    <w:pPr>
      <w:spacing w:after="240"/>
    </w:pPr>
    <w:rPr>
      <w:szCs w:val="20"/>
      <w:lang w:val="x-none" w:eastAsia="x-none"/>
    </w:rPr>
  </w:style>
  <w:style w:type="character" w:customStyle="1" w:styleId="NormalParagraphChar">
    <w:name w:val="Normal Paragraph Char"/>
    <w:link w:val="NormalParagraph"/>
    <w:uiPriority w:val="99"/>
    <w:locked/>
    <w:rsid w:val="00BD41CE"/>
    <w:rPr>
      <w:rFonts w:ascii="Times New Roman" w:eastAsia="Times New Roman" w:hAnsi="Times New Roman" w:cs="Times New Roman"/>
      <w:sz w:val="24"/>
      <w:szCs w:val="20"/>
      <w:lang w:val="x-none" w:eastAsia="x-none"/>
    </w:rPr>
  </w:style>
  <w:style w:type="paragraph" w:customStyle="1" w:styleId="TableCaption">
    <w:name w:val="Table Caption"/>
    <w:basedOn w:val="Normal"/>
    <w:uiPriority w:val="99"/>
    <w:rsid w:val="00BD41CE"/>
    <w:pPr>
      <w:keepNext/>
      <w:spacing w:before="240" w:after="120"/>
      <w:jc w:val="center"/>
    </w:pPr>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numbering" Target="numbering.xml"/><Relationship Id="rId21" Type="http://schemas.openxmlformats.org/officeDocument/2006/relationships/oleObject" Target="embeddings/Microsoft_Excel_97-2003_Worksheet1.xls"/><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package" Target="embeddings/Microsoft_Excel_Worksheet1.xlsx"/><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package" Target="embeddings/Microsoft_Excel_Worksheet2.xls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cky\AppData\Roaming\Microsoft\Templates\SDGE%20Work%20Paper%20Template%202014-05-22.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esfiles1\data\Client%20Programs\12-1306%20SCE%202013-2014%20Workpaper%20Development\4-Implementation\5-%20WPSCNRHC0033.0%20-%20Ductless%20HP\SEER%20kwton%20Calc.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US"/>
              <a:t>EER vs Delta</a:t>
            </a:r>
            <a:r>
              <a:rPr lang="en-US" baseline="0"/>
              <a:t> kW/ton </a:t>
            </a:r>
            <a:r>
              <a:rPr lang="en-US"/>
              <a:t>over 13 SEER Baseline</a:t>
            </a:r>
          </a:p>
        </c:rich>
      </c:tx>
      <c:overlay val="0"/>
    </c:title>
    <c:autoTitleDeleted val="0"/>
    <c:plotArea>
      <c:layout/>
      <c:scatterChart>
        <c:scatterStyle val="smoothMarker"/>
        <c:varyColors val="0"/>
        <c:ser>
          <c:idx val="0"/>
          <c:order val="0"/>
          <c:tx>
            <c:strRef>
              <c:f>Data!$B$3</c:f>
              <c:strCache>
                <c:ptCount val="1"/>
                <c:pt idx="0">
                  <c:v>kW/ton</c:v>
                </c:pt>
              </c:strCache>
            </c:strRef>
          </c:tx>
          <c:marker>
            <c:symbol val="none"/>
          </c:marker>
          <c:xVal>
            <c:numRef>
              <c:f>Data!$A$4:$A$43</c:f>
              <c:numCache>
                <c:formatCode>General</c:formatCode>
                <c:ptCount val="4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numCache>
            </c:numRef>
          </c:xVal>
          <c:yVal>
            <c:numRef>
              <c:f>Data!$B$4:$B$43</c:f>
              <c:numCache>
                <c:formatCode>General</c:formatCode>
                <c:ptCount val="40"/>
                <c:pt idx="0">
                  <c:v>12</c:v>
                </c:pt>
                <c:pt idx="1">
                  <c:v>6</c:v>
                </c:pt>
                <c:pt idx="2">
                  <c:v>4</c:v>
                </c:pt>
                <c:pt idx="3">
                  <c:v>3</c:v>
                </c:pt>
                <c:pt idx="4">
                  <c:v>2.4</c:v>
                </c:pt>
                <c:pt idx="5">
                  <c:v>2</c:v>
                </c:pt>
                <c:pt idx="6">
                  <c:v>1.7142857142857142</c:v>
                </c:pt>
                <c:pt idx="7">
                  <c:v>1.5</c:v>
                </c:pt>
                <c:pt idx="8">
                  <c:v>1.3333333333333333</c:v>
                </c:pt>
                <c:pt idx="9">
                  <c:v>1.2</c:v>
                </c:pt>
                <c:pt idx="10">
                  <c:v>1.0909090909090908</c:v>
                </c:pt>
                <c:pt idx="11">
                  <c:v>1</c:v>
                </c:pt>
                <c:pt idx="12">
                  <c:v>0.92307692307692313</c:v>
                </c:pt>
                <c:pt idx="13">
                  <c:v>0.8571428571428571</c:v>
                </c:pt>
                <c:pt idx="14">
                  <c:v>0.8</c:v>
                </c:pt>
                <c:pt idx="15">
                  <c:v>0.75</c:v>
                </c:pt>
                <c:pt idx="16">
                  <c:v>0.70588235294117652</c:v>
                </c:pt>
                <c:pt idx="17">
                  <c:v>0.66666666666666663</c:v>
                </c:pt>
                <c:pt idx="18">
                  <c:v>0.63157894736842102</c:v>
                </c:pt>
                <c:pt idx="19">
                  <c:v>0.6</c:v>
                </c:pt>
                <c:pt idx="20">
                  <c:v>0.5714285714285714</c:v>
                </c:pt>
                <c:pt idx="21">
                  <c:v>0.54545454545454541</c:v>
                </c:pt>
                <c:pt idx="22">
                  <c:v>0.52173913043478259</c:v>
                </c:pt>
                <c:pt idx="23">
                  <c:v>0.5</c:v>
                </c:pt>
                <c:pt idx="24">
                  <c:v>0.48</c:v>
                </c:pt>
                <c:pt idx="25">
                  <c:v>0.46153846153846156</c:v>
                </c:pt>
                <c:pt idx="26">
                  <c:v>0.44444444444444442</c:v>
                </c:pt>
                <c:pt idx="27">
                  <c:v>0.42857142857142855</c:v>
                </c:pt>
                <c:pt idx="28">
                  <c:v>0.41379310344827586</c:v>
                </c:pt>
                <c:pt idx="29">
                  <c:v>0.4</c:v>
                </c:pt>
                <c:pt idx="30">
                  <c:v>0.38709677419354838</c:v>
                </c:pt>
                <c:pt idx="31">
                  <c:v>0.375</c:v>
                </c:pt>
                <c:pt idx="32">
                  <c:v>0.36363636363636365</c:v>
                </c:pt>
                <c:pt idx="33">
                  <c:v>0.35294117647058826</c:v>
                </c:pt>
                <c:pt idx="34">
                  <c:v>0.34285714285714286</c:v>
                </c:pt>
                <c:pt idx="35">
                  <c:v>0.33333333333333331</c:v>
                </c:pt>
                <c:pt idx="36">
                  <c:v>0.32432432432432434</c:v>
                </c:pt>
                <c:pt idx="37">
                  <c:v>0.31578947368421051</c:v>
                </c:pt>
                <c:pt idx="38">
                  <c:v>0.30769230769230771</c:v>
                </c:pt>
                <c:pt idx="39">
                  <c:v>0.3</c:v>
                </c:pt>
              </c:numCache>
            </c:numRef>
          </c:yVal>
          <c:smooth val="1"/>
        </c:ser>
        <c:dLbls>
          <c:showLegendKey val="0"/>
          <c:showVal val="0"/>
          <c:showCatName val="0"/>
          <c:showSerName val="0"/>
          <c:showPercent val="0"/>
          <c:showBubbleSize val="0"/>
        </c:dLbls>
        <c:axId val="129849536"/>
        <c:axId val="129850112"/>
      </c:scatterChart>
      <c:scatterChart>
        <c:scatterStyle val="smoothMarker"/>
        <c:varyColors val="0"/>
        <c:ser>
          <c:idx val="1"/>
          <c:order val="1"/>
          <c:tx>
            <c:strRef>
              <c:f>Data!$C$3</c:f>
              <c:strCache>
                <c:ptCount val="1"/>
                <c:pt idx="0">
                  <c:v>Delta kW/ton</c:v>
                </c:pt>
              </c:strCache>
            </c:strRef>
          </c:tx>
          <c:marker>
            <c:symbol val="none"/>
          </c:marker>
          <c:xVal>
            <c:numRef>
              <c:f>Data!$A$4:$A$43</c:f>
              <c:numCache>
                <c:formatCode>General</c:formatCode>
                <c:ptCount val="4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numCache>
            </c:numRef>
          </c:xVal>
          <c:yVal>
            <c:numRef>
              <c:f>Data!$C$4:$C$43</c:f>
              <c:numCache>
                <c:formatCode>General</c:formatCode>
                <c:ptCount val="40"/>
                <c:pt idx="13">
                  <c:v>6.5934065934066033E-2</c:v>
                </c:pt>
                <c:pt idx="14">
                  <c:v>0.12307692307692308</c:v>
                </c:pt>
                <c:pt idx="15">
                  <c:v>0.17307692307692313</c:v>
                </c:pt>
                <c:pt idx="16">
                  <c:v>0.21719457013574661</c:v>
                </c:pt>
                <c:pt idx="17">
                  <c:v>0.2564102564102565</c:v>
                </c:pt>
                <c:pt idx="18">
                  <c:v>0.29149797570850211</c:v>
                </c:pt>
                <c:pt idx="19">
                  <c:v>0.32307692307692315</c:v>
                </c:pt>
                <c:pt idx="20">
                  <c:v>0.35164835164835173</c:v>
                </c:pt>
                <c:pt idx="21">
                  <c:v>0.37762237762237771</c:v>
                </c:pt>
                <c:pt idx="22">
                  <c:v>0.40133779264214053</c:v>
                </c:pt>
                <c:pt idx="23">
                  <c:v>0.42307692307692313</c:v>
                </c:pt>
                <c:pt idx="24">
                  <c:v>0.44307692307692315</c:v>
                </c:pt>
                <c:pt idx="25">
                  <c:v>0.46153846153846156</c:v>
                </c:pt>
                <c:pt idx="26">
                  <c:v>0.47863247863247871</c:v>
                </c:pt>
                <c:pt idx="27">
                  <c:v>0.49450549450549458</c:v>
                </c:pt>
                <c:pt idx="28">
                  <c:v>0.50928381962864733</c:v>
                </c:pt>
                <c:pt idx="29">
                  <c:v>0.52307692307692311</c:v>
                </c:pt>
                <c:pt idx="30">
                  <c:v>0.53598014888337475</c:v>
                </c:pt>
                <c:pt idx="31">
                  <c:v>0.54807692307692313</c:v>
                </c:pt>
                <c:pt idx="32">
                  <c:v>0.55944055944055948</c:v>
                </c:pt>
                <c:pt idx="33">
                  <c:v>0.57013574660633481</c:v>
                </c:pt>
                <c:pt idx="34">
                  <c:v>0.58021978021978027</c:v>
                </c:pt>
                <c:pt idx="35">
                  <c:v>0.58974358974358987</c:v>
                </c:pt>
                <c:pt idx="36">
                  <c:v>0.59875259875259879</c:v>
                </c:pt>
                <c:pt idx="37">
                  <c:v>0.60728744939271262</c:v>
                </c:pt>
                <c:pt idx="38">
                  <c:v>0.61538461538461542</c:v>
                </c:pt>
                <c:pt idx="39">
                  <c:v>0.62307692307692308</c:v>
                </c:pt>
              </c:numCache>
            </c:numRef>
          </c:yVal>
          <c:smooth val="1"/>
        </c:ser>
        <c:dLbls>
          <c:showLegendKey val="0"/>
          <c:showVal val="0"/>
          <c:showCatName val="0"/>
          <c:showSerName val="0"/>
          <c:showPercent val="0"/>
          <c:showBubbleSize val="0"/>
        </c:dLbls>
        <c:axId val="129850688"/>
        <c:axId val="129867776"/>
      </c:scatterChart>
      <c:valAx>
        <c:axId val="129849536"/>
        <c:scaling>
          <c:orientation val="minMax"/>
        </c:scaling>
        <c:delete val="0"/>
        <c:axPos val="b"/>
        <c:majorGridlines/>
        <c:minorGridlines/>
        <c:title>
          <c:tx>
            <c:rich>
              <a:bodyPr/>
              <a:lstStyle/>
              <a:p>
                <a:pPr>
                  <a:defRPr sz="1000" b="1" i="0" u="none" strike="noStrike" baseline="0">
                    <a:solidFill>
                      <a:srgbClr val="000000"/>
                    </a:solidFill>
                    <a:latin typeface="Calibri"/>
                    <a:ea typeface="Calibri"/>
                    <a:cs typeface="Calibri"/>
                  </a:defRPr>
                </a:pPr>
                <a:r>
                  <a:rPr lang="en-US"/>
                  <a:t>SEER</a:t>
                </a:r>
              </a:p>
            </c:rich>
          </c:tx>
          <c:overlay val="0"/>
        </c:title>
        <c:numFmt formatCode="General" sourceLinked="1"/>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29850112"/>
        <c:crosses val="autoZero"/>
        <c:crossBetween val="midCat"/>
      </c:valAx>
      <c:valAx>
        <c:axId val="129850112"/>
        <c:scaling>
          <c:orientation val="minMax"/>
        </c:scaling>
        <c:delete val="0"/>
        <c:axPos val="l"/>
        <c:majorGridlines/>
        <c:title>
          <c:tx>
            <c:rich>
              <a:bodyPr/>
              <a:lstStyle/>
              <a:p>
                <a:pPr>
                  <a:defRPr sz="1000" b="1" i="0" u="none" strike="noStrike" baseline="0">
                    <a:solidFill>
                      <a:srgbClr val="000000"/>
                    </a:solidFill>
                    <a:latin typeface="Calibri"/>
                    <a:ea typeface="Calibri"/>
                    <a:cs typeface="Calibri"/>
                  </a:defRPr>
                </a:pPr>
                <a:r>
                  <a:rPr lang="en-US"/>
                  <a:t>kW/ton Usage</a:t>
                </a:r>
              </a:p>
            </c:rich>
          </c:tx>
          <c:overlay val="0"/>
        </c:title>
        <c:numFmt formatCode="General" sourceLinked="1"/>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29849536"/>
        <c:crosses val="autoZero"/>
        <c:crossBetween val="midCat"/>
      </c:valAx>
      <c:valAx>
        <c:axId val="129850688"/>
        <c:scaling>
          <c:orientation val="minMax"/>
        </c:scaling>
        <c:delete val="1"/>
        <c:axPos val="b"/>
        <c:numFmt formatCode="General" sourceLinked="1"/>
        <c:majorTickMark val="out"/>
        <c:minorTickMark val="none"/>
        <c:tickLblPos val="nextTo"/>
        <c:crossAx val="129867776"/>
        <c:crosses val="autoZero"/>
        <c:crossBetween val="midCat"/>
      </c:valAx>
      <c:valAx>
        <c:axId val="129867776"/>
        <c:scaling>
          <c:orientation val="minMax"/>
        </c:scaling>
        <c:delete val="0"/>
        <c:axPos val="r"/>
        <c:title>
          <c:tx>
            <c:rich>
              <a:bodyPr/>
              <a:lstStyle/>
              <a:p>
                <a:pPr>
                  <a:defRPr sz="1000" b="1" i="0" u="none" strike="noStrike" baseline="0">
                    <a:solidFill>
                      <a:srgbClr val="000000"/>
                    </a:solidFill>
                    <a:latin typeface="Calibri"/>
                    <a:ea typeface="Calibri"/>
                    <a:cs typeface="Calibri"/>
                  </a:defRPr>
                </a:pPr>
                <a:r>
                  <a:rPr lang="en-US"/>
                  <a:t>Delta kW/ton over 13 SEER Baseline</a:t>
                </a:r>
              </a:p>
            </c:rich>
          </c:tx>
          <c:layout>
            <c:manualLayout>
              <c:xMode val="edge"/>
              <c:yMode val="edge"/>
              <c:x val="0.6949855643044619"/>
              <c:y val="0.19931722076407116"/>
            </c:manualLayout>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29850688"/>
        <c:crosses val="max"/>
        <c:crossBetween val="midCat"/>
      </c:valAx>
    </c:plotArea>
    <c:legend>
      <c:legendPos val="r"/>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BE6EAF4-9D05-44EF-9EFA-5BC235DE33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SDGE Work Paper Template 2014-05-22.dotm</Template>
  <TotalTime>0</TotalTime>
  <Pages>20</Pages>
  <Words>4778</Words>
  <Characters>27237</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31952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Rocaciano Vega</dc:creator>
  <cp:lastModifiedBy>Martin Vu</cp:lastModifiedBy>
  <cp:revision>2</cp:revision>
  <dcterms:created xsi:type="dcterms:W3CDTF">2014-08-29T23:46:00Z</dcterms:created>
  <dcterms:modified xsi:type="dcterms:W3CDTF">2014-08-29T23:46:00Z</dcterms:modified>
</cp:coreProperties>
</file>