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bookmarkStart w:id="1" w:name="_GoBack"/>
      <w:bookmarkEnd w:id="1"/>
      <w:r>
        <w:t xml:space="preserve">Short Form </w:t>
      </w:r>
      <w:r w:rsidR="00F117C6" w:rsidRPr="00500C4E">
        <w:t>Work Paper</w:t>
      </w:r>
      <w:r>
        <w:t xml:space="preserve"> </w:t>
      </w:r>
      <w:r w:rsidR="00FA3359" w:rsidRPr="00FA3359">
        <w:t>WPSDGENR</w:t>
      </w:r>
      <w:r w:rsidR="008D2A13">
        <w:t>CC001</w:t>
      </w:r>
      <w:r w:rsidR="007E66F2">
        <w:t>9</w:t>
      </w:r>
    </w:p>
    <w:p w:rsidR="00E6385A" w:rsidRPr="00500C4E" w:rsidRDefault="00E6385A" w:rsidP="00F117C6">
      <w:pPr>
        <w:pStyle w:val="WPnumber"/>
      </w:pPr>
      <w:r>
        <w:tab/>
      </w:r>
      <w:r w:rsidR="000E19CA">
        <w:rPr>
          <w:rStyle w:val="CaptionChar"/>
          <w:b/>
          <w:bCs w:val="0"/>
        </w:rPr>
        <w:t xml:space="preserve">Revision </w:t>
      </w:r>
      <w:r w:rsidR="007E66F2">
        <w:rPr>
          <w:rStyle w:val="CaptionChar"/>
          <w:b/>
          <w:bCs w:val="0"/>
        </w:rPr>
        <w:t>2</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7E66F2" w:rsidP="00884B9C">
      <w:pPr>
        <w:rPr>
          <w:rFonts w:cstheme="minorHAnsi"/>
          <w:b/>
          <w:sz w:val="28"/>
          <w:szCs w:val="28"/>
        </w:rPr>
      </w:pPr>
      <w:r>
        <w:rPr>
          <w:rFonts w:cstheme="minorHAnsi"/>
          <w:b/>
          <w:sz w:val="72"/>
          <w:szCs w:val="72"/>
        </w:rPr>
        <w:t>Commercial Kitchen Demand Ventilation Controls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8D2A13" w:rsidP="00241A1F">
      <w:pPr>
        <w:jc w:val="right"/>
        <w:rPr>
          <w:rFonts w:cstheme="minorHAnsi"/>
          <w:b/>
          <w:sz w:val="28"/>
          <w:szCs w:val="28"/>
        </w:rPr>
      </w:pPr>
      <w:r>
        <w:rPr>
          <w:rFonts w:cstheme="minorHAnsi"/>
          <w:b/>
          <w:sz w:val="28"/>
          <w:szCs w:val="28"/>
        </w:rPr>
        <w:t>December</w:t>
      </w:r>
      <w:r w:rsidR="003E6E57">
        <w:rPr>
          <w:rFonts w:cstheme="minorHAnsi"/>
          <w:b/>
          <w:sz w:val="28"/>
          <w:szCs w:val="28"/>
        </w:rPr>
        <w:t xml:space="preserve"> </w:t>
      </w:r>
      <w:r w:rsidR="007E66F2">
        <w:rPr>
          <w:rFonts w:cstheme="minorHAnsi"/>
          <w:b/>
          <w:sz w:val="28"/>
          <w:szCs w:val="28"/>
        </w:rPr>
        <w:t>24</w:t>
      </w:r>
      <w:r w:rsidR="000E19CA">
        <w:rPr>
          <w:rFonts w:cstheme="minorHAnsi"/>
          <w:b/>
          <w:sz w:val="28"/>
          <w:szCs w:val="28"/>
        </w:rPr>
        <w:t>, 2016</w:t>
      </w:r>
    </w:p>
    <w:p w:rsidR="00E372B8" w:rsidRPr="000F72EF" w:rsidRDefault="00E372B8" w:rsidP="00241A1F">
      <w:pPr>
        <w:jc w:val="right"/>
        <w:rPr>
          <w:rFonts w:cstheme="minorHAnsi"/>
          <w:b/>
          <w:sz w:val="72"/>
          <w:szCs w:val="72"/>
        </w:rPr>
        <w:sectPr w:rsidR="00E372B8" w:rsidRPr="000F72EF" w:rsidSect="00241A1F">
          <w:footerReference w:type="default" r:id="rId10"/>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323C28">
        <w:t>C</w:t>
      </w:r>
      <w:r w:rsidR="007E66F2">
        <w:t>ommercial Kitchen Demand Ventilation Controls</w:t>
      </w:r>
      <w:r w:rsidR="00884B9C">
        <w:t xml:space="preserve"> </w:t>
      </w:r>
    </w:p>
    <w:p w:rsidR="00413EF4" w:rsidRDefault="00413EF4" w:rsidP="00413EF4">
      <w:pPr>
        <w:pStyle w:val="Heading2"/>
      </w:pPr>
      <w:r>
        <w:t>Introduction</w:t>
      </w:r>
    </w:p>
    <w:p w:rsidR="005E18A1" w:rsidRDefault="00C23CAB" w:rsidP="00555671">
      <w:pPr>
        <w:jc w:val="both"/>
      </w:pPr>
      <w:r>
        <w:t>This short form workpaper documents (</w:t>
      </w:r>
      <w:r w:rsidR="008E5CD5">
        <w:t>WP</w:t>
      </w:r>
      <w:r>
        <w:t xml:space="preserve">) the values adopted from </w:t>
      </w:r>
      <w:r w:rsidR="007E66F2">
        <w:t>SCE</w:t>
      </w:r>
      <w:r>
        <w:t xml:space="preserve">’s </w:t>
      </w:r>
      <w:r w:rsidR="008E5CD5">
        <w:t>WP</w:t>
      </w:r>
      <w:r>
        <w:t xml:space="preserve"> entitled “</w:t>
      </w:r>
      <w:r w:rsidR="009269CE">
        <w:t xml:space="preserve">Commercial </w:t>
      </w:r>
      <w:r w:rsidR="007E66F2">
        <w:t>Kitchen Exhaust Hood Demand Controlled Ventilation</w:t>
      </w:r>
      <w:r w:rsidR="005E18A1">
        <w:t>” (</w:t>
      </w:r>
      <w:r w:rsidR="004016D3" w:rsidRPr="004016D3">
        <w:t>SCE13CC008.2 - Exhaust Hoods Demand Controlled Ventilation_Final.docx</w:t>
      </w:r>
      <w:r w:rsidR="006875B3">
        <w:t>)</w:t>
      </w:r>
      <w:r w:rsidR="005E18A1">
        <w:t xml:space="preserve">.  SDG&amp;E </w:t>
      </w:r>
      <w:r w:rsidR="00555671">
        <w:t>a</w:t>
      </w:r>
      <w:r w:rsidR="005E18A1">
        <w:t>d</w:t>
      </w:r>
      <w:r w:rsidR="00555671">
        <w:t>op</w:t>
      </w:r>
      <w:r w:rsidR="005E18A1">
        <w:t xml:space="preserve">ts all of the values in </w:t>
      </w:r>
      <w:r w:rsidR="004016D3" w:rsidRPr="004016D3">
        <w:t>SCE13CC008</w:t>
      </w:r>
      <w:r w:rsidR="004016D3">
        <w:t xml:space="preserve"> Rev </w:t>
      </w:r>
      <w:r w:rsidR="004016D3" w:rsidRPr="004016D3">
        <w:t>2 - Exhaust Hoods Demand Controlled Ventilation</w:t>
      </w:r>
      <w:r w:rsidR="005E18A1">
        <w:t>, with</w:t>
      </w:r>
      <w:r w:rsidR="009269CE">
        <w:t xml:space="preserve"> no exceptions.</w:t>
      </w:r>
    </w:p>
    <w:p w:rsidR="005E18A1" w:rsidRDefault="005E18A1" w:rsidP="00555671">
      <w:pPr>
        <w:jc w:val="both"/>
      </w:pPr>
    </w:p>
    <w:p w:rsidR="00B57F32" w:rsidRDefault="00B57F32" w:rsidP="00B57F32">
      <w:pPr>
        <w:pStyle w:val="Heading2"/>
      </w:pPr>
      <w:r w:rsidRPr="005734A4">
        <w:t>Document Revision History</w:t>
      </w:r>
      <w:r w:rsidRPr="0025216C">
        <w:t xml:space="preserve"> </w:t>
      </w:r>
    </w:p>
    <w:tbl>
      <w:tblPr>
        <w:tblStyle w:val="TableGrid11"/>
        <w:tblW w:w="5273" w:type="pct"/>
        <w:tblLayout w:type="fixed"/>
        <w:tblLook w:val="01E0" w:firstRow="1" w:lastRow="1" w:firstColumn="1" w:lastColumn="1" w:noHBand="0" w:noVBand="0"/>
      </w:tblPr>
      <w:tblGrid>
        <w:gridCol w:w="560"/>
        <w:gridCol w:w="1258"/>
        <w:gridCol w:w="1620"/>
        <w:gridCol w:w="6661"/>
      </w:tblGrid>
      <w:tr w:rsidR="00E52110" w:rsidRPr="00500C4E" w:rsidTr="00E52110">
        <w:trPr>
          <w:trHeight w:val="20"/>
        </w:trPr>
        <w:tc>
          <w:tcPr>
            <w:tcW w:w="277"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23"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802"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298"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E52110" w:rsidRPr="00500C4E" w:rsidTr="00E52110">
        <w:trPr>
          <w:trHeight w:val="20"/>
        </w:trPr>
        <w:tc>
          <w:tcPr>
            <w:tcW w:w="277" w:type="pct"/>
          </w:tcPr>
          <w:p w:rsidR="00884B9C" w:rsidRPr="000E2B6B" w:rsidRDefault="00762D81">
            <w:pPr>
              <w:jc w:val="center"/>
              <w:rPr>
                <w:rFonts w:cstheme="minorHAnsi"/>
                <w:szCs w:val="20"/>
              </w:rPr>
            </w:pPr>
            <w:r>
              <w:t>0</w:t>
            </w:r>
          </w:p>
        </w:tc>
        <w:tc>
          <w:tcPr>
            <w:tcW w:w="623" w:type="pct"/>
          </w:tcPr>
          <w:p w:rsidR="00884B9C" w:rsidRPr="000E2B6B" w:rsidRDefault="004016D3" w:rsidP="00393EC8">
            <w:pPr>
              <w:jc w:val="center"/>
              <w:rPr>
                <w:rFonts w:cstheme="minorHAnsi"/>
                <w:szCs w:val="20"/>
              </w:rPr>
            </w:pPr>
            <w:r>
              <w:rPr>
                <w:rFonts w:cstheme="minorHAnsi"/>
                <w:szCs w:val="20"/>
              </w:rPr>
              <w:t>12/21/2007</w:t>
            </w:r>
          </w:p>
        </w:tc>
        <w:tc>
          <w:tcPr>
            <w:tcW w:w="802" w:type="pct"/>
          </w:tcPr>
          <w:p w:rsidR="00884B9C" w:rsidRPr="000E2B6B" w:rsidRDefault="004016D3" w:rsidP="00393EC8">
            <w:pPr>
              <w:rPr>
                <w:rFonts w:cstheme="minorHAnsi"/>
                <w:szCs w:val="20"/>
              </w:rPr>
            </w:pPr>
            <w:r>
              <w:rPr>
                <w:rFonts w:cstheme="minorHAnsi"/>
                <w:szCs w:val="20"/>
              </w:rPr>
              <w:t xml:space="preserve">David </w:t>
            </w:r>
            <w:proofErr w:type="spellStart"/>
            <w:r>
              <w:rPr>
                <w:rFonts w:cstheme="minorHAnsi"/>
                <w:szCs w:val="20"/>
              </w:rPr>
              <w:t>Zabrowski</w:t>
            </w:r>
            <w:proofErr w:type="spellEnd"/>
            <w:r>
              <w:rPr>
                <w:rFonts w:cstheme="minorHAnsi"/>
                <w:szCs w:val="20"/>
              </w:rPr>
              <w:t xml:space="preserve"> (Fisher-Nickel, </w:t>
            </w:r>
            <w:proofErr w:type="spellStart"/>
            <w:r>
              <w:rPr>
                <w:rFonts w:cstheme="minorHAnsi"/>
                <w:szCs w:val="20"/>
              </w:rPr>
              <w:t>inc.</w:t>
            </w:r>
            <w:proofErr w:type="spellEnd"/>
            <w:r>
              <w:rPr>
                <w:rFonts w:cstheme="minorHAnsi"/>
                <w:szCs w:val="20"/>
              </w:rPr>
              <w:t>)</w:t>
            </w:r>
          </w:p>
        </w:tc>
        <w:tc>
          <w:tcPr>
            <w:tcW w:w="3298" w:type="pct"/>
          </w:tcPr>
          <w:p w:rsidR="00884B9C" w:rsidRPr="005734A4" w:rsidRDefault="004016D3" w:rsidP="00762D81">
            <w:pPr>
              <w:rPr>
                <w:rFonts w:cstheme="minorHAnsi"/>
                <w:szCs w:val="20"/>
              </w:rPr>
            </w:pPr>
            <w:r>
              <w:rPr>
                <w:rFonts w:cstheme="minorHAnsi"/>
                <w:bCs/>
                <w:szCs w:val="20"/>
              </w:rPr>
              <w:t>Original work paper</w:t>
            </w:r>
          </w:p>
        </w:tc>
      </w:tr>
      <w:tr w:rsidR="00E52110" w:rsidRPr="00500C4E" w:rsidTr="00E52110">
        <w:trPr>
          <w:trHeight w:val="20"/>
        </w:trPr>
        <w:tc>
          <w:tcPr>
            <w:tcW w:w="277" w:type="pct"/>
          </w:tcPr>
          <w:p w:rsidR="00884B9C" w:rsidRPr="000E2B6B" w:rsidRDefault="004016D3">
            <w:pPr>
              <w:jc w:val="center"/>
              <w:rPr>
                <w:rStyle w:val="Strong"/>
                <w:b w:val="0"/>
              </w:rPr>
            </w:pPr>
            <w:r>
              <w:t>0.</w:t>
            </w:r>
            <w:r w:rsidR="00762D81">
              <w:t>1</w:t>
            </w:r>
          </w:p>
        </w:tc>
        <w:tc>
          <w:tcPr>
            <w:tcW w:w="623" w:type="pct"/>
          </w:tcPr>
          <w:p w:rsidR="00884B9C" w:rsidRPr="000E2B6B" w:rsidRDefault="004016D3" w:rsidP="00393EC8">
            <w:pPr>
              <w:jc w:val="center"/>
              <w:rPr>
                <w:rStyle w:val="Strong"/>
                <w:b w:val="0"/>
              </w:rPr>
            </w:pPr>
            <w:r>
              <w:rPr>
                <w:rFonts w:cstheme="minorHAnsi"/>
                <w:szCs w:val="20"/>
              </w:rPr>
              <w:t>06/15/2012</w:t>
            </w:r>
          </w:p>
        </w:tc>
        <w:tc>
          <w:tcPr>
            <w:tcW w:w="802" w:type="pct"/>
          </w:tcPr>
          <w:p w:rsidR="00884B9C" w:rsidRPr="000E2B6B" w:rsidRDefault="004016D3" w:rsidP="00393EC8">
            <w:pPr>
              <w:rPr>
                <w:rStyle w:val="Strong"/>
                <w:b w:val="0"/>
              </w:rPr>
            </w:pPr>
            <w:r>
              <w:rPr>
                <w:rFonts w:cstheme="minorHAnsi"/>
                <w:szCs w:val="20"/>
              </w:rPr>
              <w:t>Kelvin Valenzuela (SDG&amp;E)</w:t>
            </w:r>
          </w:p>
        </w:tc>
        <w:tc>
          <w:tcPr>
            <w:tcW w:w="3298" w:type="pct"/>
          </w:tcPr>
          <w:p w:rsidR="00762D81" w:rsidRPr="00762D81" w:rsidRDefault="004016D3" w:rsidP="00762D81">
            <w:pPr>
              <w:rPr>
                <w:rStyle w:val="Strong"/>
                <w:b w:val="0"/>
                <w:szCs w:val="20"/>
              </w:rPr>
            </w:pPr>
            <w:r>
              <w:rPr>
                <w:rFonts w:cstheme="minorHAnsi"/>
                <w:bCs/>
                <w:szCs w:val="20"/>
              </w:rPr>
              <w:t xml:space="preserve">Adopted from F150 </w:t>
            </w:r>
            <w:proofErr w:type="spellStart"/>
            <w:r>
              <w:rPr>
                <w:rFonts w:cstheme="minorHAnsi"/>
                <w:bCs/>
                <w:szCs w:val="20"/>
              </w:rPr>
              <w:t>DemandVentilationConstrols</w:t>
            </w:r>
            <w:proofErr w:type="spellEnd"/>
            <w:r>
              <w:rPr>
                <w:rFonts w:cstheme="minorHAnsi"/>
                <w:bCs/>
                <w:szCs w:val="20"/>
              </w:rPr>
              <w:t xml:space="preserve"> DAZ 071221.doc, updated December 21, 2007. Updated NTG values to DEER 2011</w:t>
            </w:r>
          </w:p>
        </w:tc>
      </w:tr>
      <w:tr w:rsidR="00E52110" w:rsidRPr="00500C4E" w:rsidTr="00E52110">
        <w:trPr>
          <w:trHeight w:val="20"/>
        </w:trPr>
        <w:tc>
          <w:tcPr>
            <w:tcW w:w="277" w:type="pct"/>
          </w:tcPr>
          <w:p w:rsidR="00DB544A" w:rsidRPr="00F2079F" w:rsidRDefault="004016D3" w:rsidP="008C2C8A">
            <w:pPr>
              <w:jc w:val="center"/>
            </w:pPr>
            <w:r>
              <w:rPr>
                <w:rFonts w:cstheme="minorHAnsi"/>
                <w:szCs w:val="20"/>
              </w:rPr>
              <w:t>1.0</w:t>
            </w:r>
          </w:p>
        </w:tc>
        <w:tc>
          <w:tcPr>
            <w:tcW w:w="623" w:type="pct"/>
          </w:tcPr>
          <w:p w:rsidR="00DB544A" w:rsidRDefault="004016D3" w:rsidP="00393EC8">
            <w:pPr>
              <w:jc w:val="center"/>
              <w:rPr>
                <w:szCs w:val="20"/>
              </w:rPr>
            </w:pPr>
            <w:r>
              <w:rPr>
                <w:rFonts w:cstheme="minorHAnsi"/>
                <w:szCs w:val="20"/>
              </w:rPr>
              <w:t>08/26/2014</w:t>
            </w:r>
          </w:p>
        </w:tc>
        <w:tc>
          <w:tcPr>
            <w:tcW w:w="802" w:type="pct"/>
          </w:tcPr>
          <w:p w:rsidR="00DB544A" w:rsidRDefault="004016D3" w:rsidP="00393EC8">
            <w:pPr>
              <w:rPr>
                <w:szCs w:val="20"/>
              </w:rPr>
            </w:pPr>
            <w:r>
              <w:rPr>
                <w:rFonts w:cstheme="minorHAnsi"/>
                <w:szCs w:val="20"/>
              </w:rPr>
              <w:t>Kyle Dunn (MWE2)</w:t>
            </w:r>
          </w:p>
        </w:tc>
        <w:tc>
          <w:tcPr>
            <w:tcW w:w="3298" w:type="pct"/>
          </w:tcPr>
          <w:p w:rsidR="004016D3" w:rsidRDefault="004016D3" w:rsidP="004016D3">
            <w:pPr>
              <w:rPr>
                <w:rFonts w:ascii="Calibri" w:hAnsi="Calibri" w:cs="Calibri"/>
                <w:szCs w:val="20"/>
              </w:rPr>
            </w:pPr>
            <w:r>
              <w:rPr>
                <w:rFonts w:ascii="Calibri" w:hAnsi="Calibri" w:cs="Calibri"/>
                <w:szCs w:val="20"/>
              </w:rPr>
              <w:t>- Adopted SCE Workpaper SCE13CC008.1 Exhaust Hoods Demand Controlled Ventilation, updated June 11, 2014</w:t>
            </w:r>
          </w:p>
          <w:p w:rsidR="004016D3" w:rsidRDefault="004016D3" w:rsidP="004016D3">
            <w:pPr>
              <w:rPr>
                <w:rFonts w:ascii="Calibri" w:hAnsi="Calibri" w:cs="Calibri"/>
                <w:szCs w:val="20"/>
              </w:rPr>
            </w:pPr>
            <w:r>
              <w:rPr>
                <w:rFonts w:ascii="Calibri" w:hAnsi="Calibri" w:cs="Calibri"/>
                <w:szCs w:val="20"/>
              </w:rPr>
              <w:t>- Updated EUL_ID</w:t>
            </w:r>
          </w:p>
          <w:p w:rsidR="004016D3" w:rsidRDefault="004016D3" w:rsidP="004016D3">
            <w:pPr>
              <w:rPr>
                <w:rFonts w:ascii="Calibri" w:hAnsi="Calibri" w:cs="Calibri"/>
                <w:szCs w:val="20"/>
              </w:rPr>
            </w:pPr>
            <w:r>
              <w:rPr>
                <w:rFonts w:ascii="Calibri" w:hAnsi="Calibri" w:cs="Calibri"/>
                <w:szCs w:val="20"/>
              </w:rPr>
              <w:t>- Updated NTG</w:t>
            </w:r>
          </w:p>
          <w:p w:rsidR="004016D3" w:rsidRDefault="004016D3" w:rsidP="004016D3">
            <w:pPr>
              <w:rPr>
                <w:rFonts w:ascii="Calibri" w:hAnsi="Calibri" w:cs="Calibri"/>
                <w:szCs w:val="20"/>
              </w:rPr>
            </w:pPr>
            <w:r>
              <w:rPr>
                <w:rFonts w:ascii="Calibri" w:hAnsi="Calibri" w:cs="Calibri"/>
                <w:szCs w:val="20"/>
              </w:rPr>
              <w:t>- Added GSIA</w:t>
            </w:r>
          </w:p>
          <w:p w:rsidR="004016D3" w:rsidRDefault="004016D3" w:rsidP="004016D3">
            <w:pPr>
              <w:rPr>
                <w:rFonts w:ascii="Calibri" w:hAnsi="Calibri" w:cs="Calibri"/>
                <w:szCs w:val="20"/>
              </w:rPr>
            </w:pPr>
            <w:r>
              <w:rPr>
                <w:rFonts w:ascii="Calibri" w:hAnsi="Calibri" w:cs="Calibri"/>
                <w:szCs w:val="20"/>
              </w:rPr>
              <w:t>- Updated load shapes</w:t>
            </w:r>
          </w:p>
          <w:p w:rsidR="00762D81" w:rsidRPr="006A478E" w:rsidRDefault="004016D3" w:rsidP="004016D3">
            <w:pPr>
              <w:rPr>
                <w:bCs/>
                <w:szCs w:val="20"/>
              </w:rPr>
            </w:pPr>
            <w:r>
              <w:rPr>
                <w:rFonts w:ascii="Calibri" w:hAnsi="Calibri" w:cs="Calibri"/>
                <w:szCs w:val="20"/>
              </w:rPr>
              <w:t>- Updated building types</w:t>
            </w:r>
          </w:p>
        </w:tc>
      </w:tr>
      <w:tr w:rsidR="00E52110" w:rsidRPr="00500C4E" w:rsidTr="00E52110">
        <w:trPr>
          <w:trHeight w:val="20"/>
        </w:trPr>
        <w:tc>
          <w:tcPr>
            <w:tcW w:w="277" w:type="pct"/>
          </w:tcPr>
          <w:p w:rsidR="00762D81" w:rsidRDefault="00E52110" w:rsidP="008C2C8A">
            <w:pPr>
              <w:jc w:val="center"/>
            </w:pPr>
            <w:r>
              <w:t>2</w:t>
            </w:r>
          </w:p>
        </w:tc>
        <w:tc>
          <w:tcPr>
            <w:tcW w:w="623" w:type="pct"/>
          </w:tcPr>
          <w:p w:rsidR="00762D81" w:rsidRDefault="004016D3" w:rsidP="00393EC8">
            <w:pPr>
              <w:jc w:val="center"/>
              <w:rPr>
                <w:szCs w:val="20"/>
              </w:rPr>
            </w:pPr>
            <w:r>
              <w:rPr>
                <w:szCs w:val="20"/>
              </w:rPr>
              <w:t>12/24/2016</w:t>
            </w:r>
          </w:p>
        </w:tc>
        <w:tc>
          <w:tcPr>
            <w:tcW w:w="802" w:type="pct"/>
          </w:tcPr>
          <w:p w:rsidR="00762D81" w:rsidRDefault="004016D3" w:rsidP="00393EC8">
            <w:pPr>
              <w:rPr>
                <w:szCs w:val="20"/>
              </w:rPr>
            </w:pPr>
            <w:r>
              <w:rPr>
                <w:szCs w:val="20"/>
              </w:rPr>
              <w:t>Eduardo Reynoso</w:t>
            </w:r>
          </w:p>
          <w:p w:rsidR="004016D3" w:rsidRDefault="004016D3" w:rsidP="00393EC8">
            <w:pPr>
              <w:rPr>
                <w:szCs w:val="20"/>
              </w:rPr>
            </w:pPr>
            <w:r>
              <w:rPr>
                <w:szCs w:val="20"/>
              </w:rPr>
              <w:t>(SDG&amp;E)</w:t>
            </w:r>
          </w:p>
        </w:tc>
        <w:tc>
          <w:tcPr>
            <w:tcW w:w="3298" w:type="pct"/>
          </w:tcPr>
          <w:p w:rsidR="00762D81" w:rsidRDefault="004016D3" w:rsidP="004016D3">
            <w:r>
              <w:rPr>
                <w:bCs/>
                <w:szCs w:val="20"/>
              </w:rPr>
              <w:t>Adoption from SCE’s “</w:t>
            </w:r>
            <w:r w:rsidRPr="004016D3">
              <w:t>SCE13CC008.2 - Exhaust Hoods Demand Controlled Ventilation_Final.docx</w:t>
            </w:r>
            <w:r>
              <w:t xml:space="preserve">” dated 1/21/2016, the IOU lead workpaper as stated in </w:t>
            </w:r>
            <w:hyperlink r:id="rId11" w:history="1">
              <w:r w:rsidRPr="006B6A9E">
                <w:rPr>
                  <w:rStyle w:val="Hyperlink"/>
                </w:rPr>
                <w:t>www.deeresources.net</w:t>
              </w:r>
            </w:hyperlink>
            <w:r>
              <w:t xml:space="preserve">  </w:t>
            </w:r>
          </w:p>
          <w:p w:rsidR="00E52110" w:rsidRDefault="00E52110" w:rsidP="004016D3"/>
          <w:p w:rsidR="004016D3" w:rsidRDefault="004016D3" w:rsidP="004016D3">
            <w:pPr>
              <w:rPr>
                <w:bCs/>
                <w:szCs w:val="20"/>
              </w:rPr>
            </w:pPr>
            <w:r>
              <w:rPr>
                <w:noProof/>
              </w:rPr>
              <w:drawing>
                <wp:inline distT="0" distB="0" distL="0" distR="0" wp14:anchorId="434607A4" wp14:editId="709FFDE2">
                  <wp:extent cx="4133850" cy="31591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130302" cy="315648"/>
                          </a:xfrm>
                          <a:prstGeom prst="rect">
                            <a:avLst/>
                          </a:prstGeom>
                        </pic:spPr>
                      </pic:pic>
                    </a:graphicData>
                  </a:graphic>
                </wp:inline>
              </w:drawing>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2627"/>
        <w:gridCol w:w="6949"/>
      </w:tblGrid>
      <w:tr w:rsidR="00DB71F1" w:rsidTr="00241A1F">
        <w:trPr>
          <w:cantSplit/>
          <w:tblHeader/>
        </w:trPr>
        <w:tc>
          <w:tcPr>
            <w:tcW w:w="2718" w:type="dxa"/>
          </w:tcPr>
          <w:p w:rsidR="00DB71F1" w:rsidRPr="00D86243" w:rsidRDefault="00DB71F1" w:rsidP="00393EC8">
            <w:pPr>
              <w:jc w:val="center"/>
              <w:rPr>
                <w:b/>
              </w:rPr>
            </w:pPr>
            <w:r w:rsidRPr="00D86243">
              <w:rPr>
                <w:b/>
              </w:rPr>
              <w:t>Section</w:t>
            </w:r>
          </w:p>
        </w:tc>
        <w:tc>
          <w:tcPr>
            <w:tcW w:w="6858" w:type="dxa"/>
          </w:tcPr>
          <w:p w:rsidR="00DB71F1" w:rsidRPr="00D86243" w:rsidRDefault="00DB71F1" w:rsidP="00393EC8">
            <w:pPr>
              <w:jc w:val="center"/>
              <w:rPr>
                <w:b/>
              </w:rPr>
            </w:pPr>
            <w:r w:rsidRPr="00D86243">
              <w:rPr>
                <w:b/>
              </w:rPr>
              <w:t>Value</w:t>
            </w:r>
          </w:p>
        </w:tc>
      </w:tr>
      <w:tr w:rsidR="00DB71F1" w:rsidTr="00241A1F">
        <w:trPr>
          <w:cantSplit/>
        </w:trPr>
        <w:tc>
          <w:tcPr>
            <w:tcW w:w="2718" w:type="dxa"/>
            <w:vAlign w:val="center"/>
          </w:tcPr>
          <w:p w:rsidR="00DB71F1" w:rsidRPr="001D77F7" w:rsidRDefault="00DB71F1" w:rsidP="00393EC8">
            <w:pPr>
              <w:rPr>
                <w:b/>
              </w:rPr>
            </w:pPr>
            <w:r>
              <w:rPr>
                <w:b/>
              </w:rPr>
              <w:t>Summary &amp; Purpose</w:t>
            </w:r>
          </w:p>
        </w:tc>
        <w:tc>
          <w:tcPr>
            <w:tcW w:w="6858" w:type="dxa"/>
          </w:tcPr>
          <w:p w:rsidR="00DE364E" w:rsidRPr="00E52110" w:rsidRDefault="00DB71F1" w:rsidP="008E0850">
            <w:pPr>
              <w:jc w:val="both"/>
              <w:rPr>
                <w:rFonts w:cs="Arial"/>
                <w:sz w:val="20"/>
                <w:szCs w:val="20"/>
              </w:rPr>
            </w:pPr>
            <w:r w:rsidRPr="00E52110">
              <w:rPr>
                <w:rFonts w:cs="Arial"/>
                <w:sz w:val="20"/>
                <w:szCs w:val="20"/>
              </w:rPr>
              <w:t>This short form workpaper documents ex-ante load impact</w:t>
            </w:r>
            <w:r w:rsidR="00E733C7" w:rsidRPr="00E52110">
              <w:rPr>
                <w:rFonts w:cs="Arial"/>
                <w:sz w:val="20"/>
                <w:szCs w:val="20"/>
              </w:rPr>
              <w:t>s</w:t>
            </w:r>
            <w:r w:rsidR="001A34A6" w:rsidRPr="00E52110">
              <w:rPr>
                <w:rFonts w:cs="Arial"/>
                <w:sz w:val="20"/>
                <w:szCs w:val="20"/>
              </w:rPr>
              <w:t xml:space="preserve"> for</w:t>
            </w:r>
            <w:r w:rsidRPr="00E52110">
              <w:rPr>
                <w:rFonts w:cs="Arial"/>
                <w:sz w:val="20"/>
                <w:szCs w:val="20"/>
              </w:rPr>
              <w:t xml:space="preserve"> </w:t>
            </w:r>
            <w:r w:rsidR="00E52110" w:rsidRPr="00E52110">
              <w:rPr>
                <w:rFonts w:cs="Arial"/>
                <w:sz w:val="20"/>
                <w:szCs w:val="20"/>
              </w:rPr>
              <w:t>SCE’s “</w:t>
            </w:r>
            <w:r w:rsidR="00E52110" w:rsidRPr="00E52110">
              <w:rPr>
                <w:sz w:val="20"/>
                <w:szCs w:val="20"/>
              </w:rPr>
              <w:t>Commercial Kitchen Exhaust Hood Demand Controlled Ventilation”</w:t>
            </w:r>
            <w:r w:rsidRPr="00E52110">
              <w:rPr>
                <w:rFonts w:cs="Arial"/>
                <w:sz w:val="20"/>
                <w:szCs w:val="20"/>
              </w:rPr>
              <w:t xml:space="preserve">. </w:t>
            </w:r>
            <w:r w:rsidR="00C228B0" w:rsidRPr="00E52110">
              <w:rPr>
                <w:rFonts w:cs="Arial"/>
                <w:sz w:val="20"/>
                <w:szCs w:val="20"/>
              </w:rPr>
              <w:t>The base energy consumption</w:t>
            </w:r>
            <w:r w:rsidR="00067315" w:rsidRPr="00E52110">
              <w:rPr>
                <w:rFonts w:cs="Arial"/>
                <w:sz w:val="20"/>
                <w:szCs w:val="20"/>
              </w:rPr>
              <w:t xml:space="preserve"> and </w:t>
            </w:r>
            <w:r w:rsidR="00C228B0" w:rsidRPr="00E52110">
              <w:rPr>
                <w:rFonts w:cs="Arial"/>
                <w:sz w:val="20"/>
                <w:szCs w:val="20"/>
              </w:rPr>
              <w:t>measure energy consumption</w:t>
            </w:r>
            <w:r w:rsidR="00067315" w:rsidRPr="00E52110">
              <w:rPr>
                <w:rFonts w:cs="Arial"/>
                <w:sz w:val="20"/>
                <w:szCs w:val="20"/>
              </w:rPr>
              <w:t xml:space="preserve"> values</w:t>
            </w:r>
            <w:r w:rsidR="00C228B0" w:rsidRPr="00E52110">
              <w:rPr>
                <w:rFonts w:cs="Arial"/>
                <w:sz w:val="20"/>
                <w:szCs w:val="20"/>
              </w:rPr>
              <w:t xml:space="preserve"> are fr</w:t>
            </w:r>
            <w:r w:rsidR="001A34A6" w:rsidRPr="00E52110">
              <w:rPr>
                <w:rFonts w:cs="Arial"/>
                <w:sz w:val="20"/>
                <w:szCs w:val="20"/>
              </w:rPr>
              <w:t xml:space="preserve">om </w:t>
            </w:r>
            <w:proofErr w:type="gramStart"/>
            <w:r w:rsidR="00E52110">
              <w:rPr>
                <w:rFonts w:cs="Arial"/>
                <w:sz w:val="20"/>
                <w:szCs w:val="20"/>
              </w:rPr>
              <w:t xml:space="preserve">SCE’s </w:t>
            </w:r>
            <w:r w:rsidR="001A34A6" w:rsidRPr="00E52110">
              <w:rPr>
                <w:rFonts w:cs="Arial"/>
                <w:sz w:val="20"/>
                <w:szCs w:val="20"/>
              </w:rPr>
              <w:t xml:space="preserve"> workpaper</w:t>
            </w:r>
            <w:proofErr w:type="gramEnd"/>
            <w:r w:rsidR="001A34A6" w:rsidRPr="00E52110">
              <w:rPr>
                <w:rFonts w:cs="Arial"/>
                <w:sz w:val="20"/>
                <w:szCs w:val="20"/>
              </w:rPr>
              <w:t xml:space="preserve">, </w:t>
            </w:r>
            <w:r w:rsidR="00E52110">
              <w:rPr>
                <w:rFonts w:cs="Arial"/>
                <w:sz w:val="20"/>
                <w:szCs w:val="20"/>
              </w:rPr>
              <w:t>SCE13CC008</w:t>
            </w:r>
            <w:r w:rsidR="00C228B0" w:rsidRPr="00E52110">
              <w:rPr>
                <w:rFonts w:cs="Arial"/>
                <w:sz w:val="20"/>
                <w:szCs w:val="20"/>
              </w:rPr>
              <w:t xml:space="preserve">, Revision </w:t>
            </w:r>
            <w:r w:rsidR="00E52110">
              <w:rPr>
                <w:rFonts w:cs="Arial"/>
                <w:sz w:val="20"/>
                <w:szCs w:val="20"/>
              </w:rPr>
              <w:t>2</w:t>
            </w:r>
            <w:r w:rsidR="00067315" w:rsidRPr="00E52110">
              <w:rPr>
                <w:rFonts w:cs="Arial"/>
                <w:sz w:val="20"/>
                <w:szCs w:val="20"/>
              </w:rPr>
              <w:t xml:space="preserve">.  </w:t>
            </w:r>
          </w:p>
          <w:p w:rsidR="00DB71F1" w:rsidRPr="00D86243" w:rsidRDefault="00DB71F1" w:rsidP="00555671">
            <w:pPr>
              <w:jc w:val="both"/>
              <w:rPr>
                <w:rFonts w:cs="Arial"/>
                <w:sz w:val="20"/>
                <w:szCs w:val="20"/>
              </w:rPr>
            </w:pPr>
          </w:p>
        </w:tc>
      </w:tr>
      <w:tr w:rsidR="00DB71F1" w:rsidTr="00241A1F">
        <w:trPr>
          <w:cantSplit/>
        </w:trPr>
        <w:tc>
          <w:tcPr>
            <w:tcW w:w="2718" w:type="dxa"/>
            <w:vAlign w:val="center"/>
          </w:tcPr>
          <w:p w:rsidR="00DB71F1" w:rsidRPr="001D77F7" w:rsidRDefault="00DB71F1" w:rsidP="00393EC8">
            <w:pPr>
              <w:rPr>
                <w:b/>
              </w:rPr>
            </w:pPr>
            <w:r w:rsidRPr="001D77F7">
              <w:rPr>
                <w:b/>
              </w:rPr>
              <w:t>1.1 Measure &amp; Baseline Data</w:t>
            </w:r>
          </w:p>
        </w:tc>
        <w:tc>
          <w:tcPr>
            <w:tcW w:w="6858" w:type="dxa"/>
          </w:tcPr>
          <w:p w:rsidR="008C2C8A" w:rsidRPr="00555671" w:rsidRDefault="00EE6CFE" w:rsidP="001D57D7">
            <w:pPr>
              <w:rPr>
                <w:rFonts w:cs="Arial"/>
                <w:sz w:val="20"/>
                <w:szCs w:val="20"/>
              </w:rPr>
            </w:pPr>
            <w:r w:rsidRPr="00555671">
              <w:rPr>
                <w:rFonts w:cs="Arial"/>
                <w:sz w:val="20"/>
                <w:szCs w:val="20"/>
              </w:rPr>
              <w:t xml:space="preserve">Measure: </w:t>
            </w:r>
          </w:p>
          <w:p w:rsidR="00EE6CFE" w:rsidRPr="008A4E86" w:rsidRDefault="00E52110" w:rsidP="00E52110">
            <w:pPr>
              <w:rPr>
                <w:rFonts w:cs="Arial"/>
                <w:sz w:val="20"/>
                <w:szCs w:val="20"/>
              </w:rPr>
            </w:pPr>
            <w:r w:rsidRPr="008A4E86">
              <w:rPr>
                <w:rFonts w:cs="Arial"/>
                <w:sz w:val="20"/>
                <w:szCs w:val="20"/>
              </w:rPr>
              <w:t>402032 - Ventilation Control – Retrofit</w:t>
            </w:r>
            <w:r w:rsidR="00041DA6" w:rsidRPr="008A4E86">
              <w:rPr>
                <w:rFonts w:cs="Arial"/>
                <w:sz w:val="20"/>
                <w:szCs w:val="20"/>
              </w:rPr>
              <w:t xml:space="preserve"> (SCE product code: </w:t>
            </w:r>
            <w:r w:rsidR="00041DA6" w:rsidRPr="00F70784">
              <w:rPr>
                <w:rFonts w:cstheme="minorBidi"/>
                <w:sz w:val="20"/>
                <w:szCs w:val="20"/>
              </w:rPr>
              <w:t>FS-17337)</w:t>
            </w:r>
          </w:p>
          <w:p w:rsidR="00E52110" w:rsidRPr="008A4E86" w:rsidRDefault="00041DA6" w:rsidP="00E52110">
            <w:pPr>
              <w:rPr>
                <w:rFonts w:cs="Arial"/>
                <w:sz w:val="20"/>
                <w:szCs w:val="20"/>
              </w:rPr>
            </w:pPr>
            <w:r w:rsidRPr="008A4E86">
              <w:rPr>
                <w:rFonts w:cs="Arial"/>
                <w:sz w:val="20"/>
                <w:szCs w:val="20"/>
              </w:rPr>
              <w:t>402033</w:t>
            </w:r>
            <w:r w:rsidRPr="002B5F77">
              <w:rPr>
                <w:rFonts w:cs="Arial"/>
                <w:sz w:val="20"/>
                <w:szCs w:val="20"/>
              </w:rPr>
              <w:t xml:space="preserve"> - </w:t>
            </w:r>
            <w:r w:rsidRPr="005A754E">
              <w:rPr>
                <w:rFonts w:cs="Arial"/>
                <w:sz w:val="20"/>
                <w:szCs w:val="20"/>
              </w:rPr>
              <w:t>Ventilation Control- New</w:t>
            </w:r>
            <w:r w:rsidRPr="00B01EA0">
              <w:rPr>
                <w:rFonts w:cs="Arial"/>
                <w:sz w:val="20"/>
                <w:szCs w:val="20"/>
              </w:rPr>
              <w:t xml:space="preserve"> (SCE product code: </w:t>
            </w:r>
            <w:r w:rsidRPr="00F70784">
              <w:rPr>
                <w:rFonts w:cstheme="minorBidi"/>
                <w:sz w:val="20"/>
                <w:szCs w:val="20"/>
              </w:rPr>
              <w:t>FS-17337)</w:t>
            </w:r>
          </w:p>
          <w:p w:rsidR="00E52110" w:rsidRPr="00241A1F" w:rsidRDefault="00E52110" w:rsidP="00E52110">
            <w:pPr>
              <w:rPr>
                <w:rFonts w:cs="Arial"/>
                <w:sz w:val="20"/>
                <w:szCs w:val="20"/>
              </w:rPr>
            </w:pPr>
          </w:p>
        </w:tc>
      </w:tr>
      <w:tr w:rsidR="00DB71F1" w:rsidTr="00241A1F">
        <w:trPr>
          <w:cantSplit/>
        </w:trPr>
        <w:tc>
          <w:tcPr>
            <w:tcW w:w="2718" w:type="dxa"/>
            <w:vAlign w:val="center"/>
          </w:tcPr>
          <w:p w:rsidR="00DB71F1" w:rsidRPr="001D77F7" w:rsidRDefault="00DB71F1" w:rsidP="00393EC8">
            <w:pPr>
              <w:rPr>
                <w:b/>
              </w:rPr>
            </w:pPr>
            <w:r w:rsidRPr="001D77F7">
              <w:rPr>
                <w:b/>
              </w:rPr>
              <w:t xml:space="preserve">1.2 Technical Description </w:t>
            </w:r>
          </w:p>
        </w:tc>
        <w:tc>
          <w:tcPr>
            <w:tcW w:w="6858" w:type="dxa"/>
          </w:tcPr>
          <w:p w:rsidR="00DB71F1" w:rsidRPr="00241A1F" w:rsidRDefault="00DB71F1">
            <w:pPr>
              <w:rPr>
                <w:rFonts w:cs="Arial"/>
                <w:sz w:val="20"/>
                <w:szCs w:val="20"/>
              </w:rPr>
            </w:pPr>
          </w:p>
        </w:tc>
      </w:tr>
      <w:tr w:rsidR="008775D7" w:rsidRPr="008775D7" w:rsidTr="00241A1F">
        <w:trPr>
          <w:cantSplit/>
        </w:trPr>
        <w:tc>
          <w:tcPr>
            <w:tcW w:w="2718" w:type="dxa"/>
          </w:tcPr>
          <w:p w:rsidR="008775D7" w:rsidRPr="00241A1F" w:rsidRDefault="008775D7" w:rsidP="00241A1F">
            <w:pPr>
              <w:jc w:val="right"/>
              <w:rPr>
                <w:sz w:val="20"/>
                <w:szCs w:val="20"/>
              </w:rPr>
            </w:pPr>
            <w:r w:rsidRPr="00241A1F">
              <w:rPr>
                <w:sz w:val="20"/>
                <w:szCs w:val="20"/>
              </w:rPr>
              <w:t>Measures</w:t>
            </w:r>
          </w:p>
        </w:tc>
        <w:tc>
          <w:tcPr>
            <w:tcW w:w="6858" w:type="dxa"/>
          </w:tcPr>
          <w:p w:rsidR="008775D7" w:rsidRPr="00E733C7" w:rsidRDefault="008D0B3C">
            <w:pPr>
              <w:rPr>
                <w:rFonts w:cs="Arial"/>
                <w:sz w:val="20"/>
                <w:szCs w:val="20"/>
              </w:rPr>
            </w:pPr>
            <w:r>
              <w:rPr>
                <w:rFonts w:cs="Arial"/>
                <w:sz w:val="20"/>
                <w:szCs w:val="20"/>
              </w:rPr>
              <w:t>See Requirements</w:t>
            </w:r>
          </w:p>
        </w:tc>
      </w:tr>
      <w:tr w:rsidR="008775D7" w:rsidRPr="008775D7" w:rsidTr="00241A1F">
        <w:trPr>
          <w:cantSplit/>
        </w:trPr>
        <w:tc>
          <w:tcPr>
            <w:tcW w:w="2718" w:type="dxa"/>
          </w:tcPr>
          <w:p w:rsidR="008775D7" w:rsidRPr="00653C4B" w:rsidRDefault="008775D7" w:rsidP="00241A1F">
            <w:pPr>
              <w:jc w:val="right"/>
              <w:rPr>
                <w:sz w:val="20"/>
                <w:szCs w:val="20"/>
              </w:rPr>
            </w:pPr>
            <w:r w:rsidRPr="00653C4B">
              <w:rPr>
                <w:sz w:val="20"/>
                <w:szCs w:val="20"/>
              </w:rPr>
              <w:t>Code for All Measures</w:t>
            </w:r>
          </w:p>
        </w:tc>
        <w:tc>
          <w:tcPr>
            <w:tcW w:w="6858" w:type="dxa"/>
          </w:tcPr>
          <w:p w:rsidR="00041DA6" w:rsidRPr="00F70784" w:rsidRDefault="00041DA6" w:rsidP="00041DA6">
            <w:pPr>
              <w:rPr>
                <w:sz w:val="20"/>
                <w:szCs w:val="20"/>
              </w:rPr>
            </w:pPr>
            <w:r w:rsidRPr="00F70784">
              <w:rPr>
                <w:sz w:val="20"/>
                <w:szCs w:val="20"/>
              </w:rPr>
              <w:t>As cited per SCE workpaper</w:t>
            </w:r>
          </w:p>
          <w:p w:rsidR="00041DA6" w:rsidRPr="00F70784" w:rsidRDefault="00041DA6" w:rsidP="00041DA6">
            <w:pPr>
              <w:rPr>
                <w:sz w:val="20"/>
                <w:szCs w:val="20"/>
              </w:rPr>
            </w:pPr>
            <w:r w:rsidRPr="00F70784">
              <w:rPr>
                <w:sz w:val="20"/>
                <w:szCs w:val="20"/>
              </w:rPr>
              <w:t>Current relevant requirements for commercial kitchen ventilation are contained in Title 24 2013 [355], Section 140.9(b</w:t>
            </w:r>
            <w:proofErr w:type="gramStart"/>
            <w:r w:rsidRPr="00F70784">
              <w:rPr>
                <w:sz w:val="20"/>
                <w:szCs w:val="20"/>
              </w:rPr>
              <w:t>)2B</w:t>
            </w:r>
            <w:proofErr w:type="gramEnd"/>
            <w:r w:rsidRPr="00F70784">
              <w:rPr>
                <w:sz w:val="20"/>
                <w:szCs w:val="20"/>
              </w:rPr>
              <w:t>. Section 140.9(b</w:t>
            </w:r>
            <w:proofErr w:type="gramStart"/>
            <w:r w:rsidRPr="00F70784">
              <w:rPr>
                <w:sz w:val="20"/>
                <w:szCs w:val="20"/>
              </w:rPr>
              <w:t>)2B</w:t>
            </w:r>
            <w:proofErr w:type="gramEnd"/>
            <w:r w:rsidRPr="00F70784">
              <w:rPr>
                <w:sz w:val="20"/>
                <w:szCs w:val="20"/>
              </w:rPr>
              <w:t xml:space="preserve"> gives requirements for kitchens that have greater than 5,000 cfm total Type I and Type II kitchen hood exhaust and lists four compliance options, one of which is installing demand controlled ventilation on 75% of exhaust air. The exact code language is shown in SCE13CC008, Revision 2. For new kitchens that have less than 5,000 cfm of total hood exhaust, the code requirements do not apply and </w:t>
            </w:r>
            <w:r w:rsidRPr="00F70784">
              <w:rPr>
                <w:rFonts w:cstheme="minorHAnsi"/>
                <w:sz w:val="20"/>
                <w:szCs w:val="20"/>
              </w:rPr>
              <w:t>DCKV</w:t>
            </w:r>
            <w:r w:rsidRPr="00F70784">
              <w:rPr>
                <w:sz w:val="20"/>
                <w:szCs w:val="20"/>
              </w:rPr>
              <w:t xml:space="preserve"> is an applicable measure.</w:t>
            </w:r>
          </w:p>
          <w:p w:rsidR="00041DA6" w:rsidRPr="00F70784" w:rsidRDefault="00041DA6" w:rsidP="00041DA6">
            <w:pPr>
              <w:rPr>
                <w:sz w:val="20"/>
                <w:szCs w:val="20"/>
              </w:rPr>
            </w:pPr>
          </w:p>
          <w:p w:rsidR="00041DA6" w:rsidRPr="00F70784" w:rsidRDefault="00041DA6" w:rsidP="00041DA6">
            <w:pPr>
              <w:rPr>
                <w:sz w:val="20"/>
                <w:szCs w:val="20"/>
              </w:rPr>
            </w:pPr>
            <w:r w:rsidRPr="00F70784">
              <w:rPr>
                <w:sz w:val="20"/>
                <w:szCs w:val="20"/>
              </w:rPr>
              <w:t>Title 24 2008 [208] and 2014 Title 20 [422] do not contain any relevant language and existing hoods are exempt from the Title 24 2013 [355] requirements, thus this is an applicable REA measure for existing commercial kitchen exhaust hood systems installed under previous code requirements.</w:t>
            </w:r>
          </w:p>
          <w:p w:rsidR="00041DA6" w:rsidRPr="00F70784" w:rsidRDefault="00041DA6" w:rsidP="00041DA6">
            <w:pPr>
              <w:rPr>
                <w:sz w:val="20"/>
                <w:szCs w:val="20"/>
              </w:rPr>
            </w:pPr>
          </w:p>
          <w:p w:rsidR="00041DA6" w:rsidRPr="00041DA6" w:rsidRDefault="00041DA6" w:rsidP="00041DA6">
            <w:r w:rsidRPr="00F70784">
              <w:rPr>
                <w:sz w:val="20"/>
                <w:szCs w:val="20"/>
              </w:rPr>
              <w:t>These measures do not fall under Federal DOE or EPA Energy Regulations.</w:t>
            </w:r>
          </w:p>
        </w:tc>
      </w:tr>
      <w:tr w:rsidR="00E84938" w:rsidTr="00241A1F">
        <w:trPr>
          <w:cantSplit/>
        </w:trPr>
        <w:tc>
          <w:tcPr>
            <w:tcW w:w="2718" w:type="dxa"/>
          </w:tcPr>
          <w:p w:rsidR="00E84938" w:rsidRPr="001D77F7" w:rsidRDefault="00E84938" w:rsidP="008724D6">
            <w:pPr>
              <w:jc w:val="right"/>
              <w:rPr>
                <w:b/>
              </w:rPr>
            </w:pPr>
            <w:r w:rsidRPr="00197677">
              <w:rPr>
                <w:rFonts w:cs="Arial"/>
                <w:sz w:val="20"/>
                <w:szCs w:val="20"/>
              </w:rPr>
              <w:t>Requirements</w:t>
            </w:r>
          </w:p>
        </w:tc>
        <w:tc>
          <w:tcPr>
            <w:tcW w:w="6858" w:type="dxa"/>
          </w:tcPr>
          <w:p w:rsidR="00D84702" w:rsidRPr="00D84702" w:rsidRDefault="00D84702" w:rsidP="00D84702">
            <w:pPr>
              <w:ind w:left="720"/>
              <w:rPr>
                <w:rFonts w:cs="Arial"/>
                <w:b/>
                <w:i/>
                <w:sz w:val="20"/>
                <w:szCs w:val="20"/>
              </w:rPr>
            </w:pPr>
            <w:r w:rsidRPr="00D84702">
              <w:rPr>
                <w:rFonts w:cs="Arial"/>
                <w:b/>
                <w:i/>
                <w:sz w:val="20"/>
                <w:szCs w:val="20"/>
              </w:rPr>
              <w:t>Terms and Conditions</w:t>
            </w:r>
          </w:p>
          <w:p w:rsidR="00D84702" w:rsidRPr="00D84702" w:rsidRDefault="00D84702" w:rsidP="00D84702">
            <w:pPr>
              <w:pStyle w:val="ListParagraph"/>
              <w:numPr>
                <w:ilvl w:val="0"/>
                <w:numId w:val="15"/>
              </w:numPr>
              <w:rPr>
                <w:sz w:val="20"/>
                <w:szCs w:val="20"/>
              </w:rPr>
            </w:pPr>
            <w:r w:rsidRPr="00D84702">
              <w:rPr>
                <w:sz w:val="20"/>
                <w:szCs w:val="20"/>
              </w:rPr>
              <w:t xml:space="preserve">This incentive applies towards the purchase and installation of a new commercial kitchen exhaust hood control system installed in an existing or new dedicated commercial kitchen exhaust hood and make-up air system. </w:t>
            </w:r>
          </w:p>
          <w:p w:rsidR="00D84702" w:rsidRPr="00D84702" w:rsidRDefault="00D84702" w:rsidP="00D84702">
            <w:pPr>
              <w:pStyle w:val="ListParagraph"/>
              <w:numPr>
                <w:ilvl w:val="0"/>
                <w:numId w:val="15"/>
              </w:numPr>
              <w:rPr>
                <w:sz w:val="20"/>
                <w:szCs w:val="20"/>
              </w:rPr>
            </w:pPr>
            <w:r w:rsidRPr="00D84702">
              <w:rPr>
                <w:sz w:val="20"/>
                <w:szCs w:val="20"/>
              </w:rPr>
              <w:t xml:space="preserve">The control system must be used in conjunction with variable speed fan motor controls. </w:t>
            </w:r>
          </w:p>
          <w:p w:rsidR="00D84702" w:rsidRPr="00D84702" w:rsidRDefault="00D84702" w:rsidP="00D84702">
            <w:pPr>
              <w:pStyle w:val="ListParagraph"/>
              <w:numPr>
                <w:ilvl w:val="0"/>
                <w:numId w:val="15"/>
              </w:numPr>
              <w:rPr>
                <w:sz w:val="20"/>
                <w:szCs w:val="20"/>
              </w:rPr>
            </w:pPr>
            <w:r w:rsidRPr="00D84702">
              <w:rPr>
                <w:sz w:val="20"/>
                <w:szCs w:val="20"/>
              </w:rPr>
              <w:t>In order to comply with SB 454, must use a licensed contractor, as appropriate, and follow applicable permitting requirements for this installation. Ensure you have completed the customer certification and the contractor certification in section 10 of the Energy Efficiency Business application for this HVAC related product</w:t>
            </w:r>
          </w:p>
          <w:p w:rsidR="00D84702" w:rsidRPr="00D84702" w:rsidRDefault="00D84702" w:rsidP="00D84702">
            <w:pPr>
              <w:pStyle w:val="ListParagraph"/>
              <w:numPr>
                <w:ilvl w:val="0"/>
                <w:numId w:val="15"/>
              </w:numPr>
              <w:rPr>
                <w:sz w:val="20"/>
                <w:szCs w:val="20"/>
              </w:rPr>
            </w:pPr>
            <w:r w:rsidRPr="00D84702">
              <w:rPr>
                <w:sz w:val="20"/>
                <w:szCs w:val="20"/>
              </w:rPr>
              <w:t xml:space="preserve">New hood installations must have </w:t>
            </w:r>
            <w:proofErr w:type="gramStart"/>
            <w:r w:rsidRPr="00D84702">
              <w:rPr>
                <w:sz w:val="20"/>
                <w:szCs w:val="20"/>
              </w:rPr>
              <w:t>a total</w:t>
            </w:r>
            <w:proofErr w:type="gramEnd"/>
            <w:r w:rsidRPr="00D84702">
              <w:rPr>
                <w:sz w:val="20"/>
                <w:szCs w:val="20"/>
              </w:rPr>
              <w:t xml:space="preserve"> kitchen hood airflow less than 5,000 cfm. </w:t>
            </w:r>
          </w:p>
          <w:p w:rsidR="00D84702" w:rsidRPr="00D84702" w:rsidRDefault="00D84702" w:rsidP="00D84702">
            <w:pPr>
              <w:tabs>
                <w:tab w:val="left" w:pos="5437"/>
              </w:tabs>
              <w:rPr>
                <w:sz w:val="20"/>
                <w:szCs w:val="20"/>
              </w:rPr>
            </w:pPr>
          </w:p>
          <w:p w:rsidR="00D84702" w:rsidRPr="00D84702" w:rsidRDefault="00D84702" w:rsidP="00D84702">
            <w:pPr>
              <w:ind w:left="720"/>
              <w:rPr>
                <w:rFonts w:cs="Arial"/>
                <w:b/>
                <w:i/>
                <w:sz w:val="20"/>
                <w:szCs w:val="20"/>
              </w:rPr>
            </w:pPr>
            <w:r w:rsidRPr="00D84702">
              <w:rPr>
                <w:rFonts w:cs="Arial"/>
                <w:b/>
                <w:i/>
                <w:sz w:val="20"/>
                <w:szCs w:val="20"/>
              </w:rPr>
              <w:t>Market Applicability</w:t>
            </w:r>
          </w:p>
          <w:p w:rsidR="001D6A64" w:rsidRPr="00555671" w:rsidRDefault="00D84702" w:rsidP="00D84702">
            <w:pPr>
              <w:rPr>
                <w:sz w:val="20"/>
                <w:szCs w:val="20"/>
              </w:rPr>
            </w:pPr>
            <w:r w:rsidRPr="00D84702">
              <w:rPr>
                <w:sz w:val="20"/>
                <w:szCs w:val="20"/>
              </w:rPr>
              <w:t xml:space="preserve">This measure is applicable to any commercial cooking application, including (but not limited to) casual dining and quick service restaurants, hotels, motels, schools, colleges and recreational facilities. </w:t>
            </w:r>
          </w:p>
        </w:tc>
      </w:tr>
      <w:tr w:rsidR="00DB71F1" w:rsidTr="00241A1F">
        <w:trPr>
          <w:cantSplit/>
        </w:trPr>
        <w:tc>
          <w:tcPr>
            <w:tcW w:w="2718" w:type="dxa"/>
          </w:tcPr>
          <w:p w:rsidR="00DB71F1" w:rsidRPr="001D77F7" w:rsidRDefault="00DB71F1" w:rsidP="00393EC8">
            <w:pPr>
              <w:rPr>
                <w:b/>
              </w:rPr>
            </w:pPr>
            <w:r w:rsidRPr="001D77F7">
              <w:rPr>
                <w:b/>
              </w:rPr>
              <w:lastRenderedPageBreak/>
              <w:t>1.3 Installation Type and Delivery Mechanisms</w:t>
            </w:r>
          </w:p>
        </w:tc>
        <w:tc>
          <w:tcPr>
            <w:tcW w:w="6858" w:type="dxa"/>
          </w:tcPr>
          <w:p w:rsidR="00DB71F1" w:rsidRPr="00D86243" w:rsidRDefault="00DB71F1" w:rsidP="00393EC8">
            <w:pPr>
              <w:rPr>
                <w:rFonts w:cs="Arial"/>
                <w:sz w:val="20"/>
                <w:szCs w:val="20"/>
              </w:rPr>
            </w:pP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Installation Type</w:t>
            </w:r>
          </w:p>
        </w:tc>
        <w:tc>
          <w:tcPr>
            <w:tcW w:w="6858" w:type="dxa"/>
          </w:tcPr>
          <w:p w:rsidR="00CF2ABA" w:rsidRPr="00536B41" w:rsidRDefault="00D84702" w:rsidP="00FE636E">
            <w:pPr>
              <w:rPr>
                <w:rFonts w:cs="Arial"/>
                <w:sz w:val="20"/>
                <w:szCs w:val="20"/>
              </w:rPr>
            </w:pPr>
            <w:r w:rsidRPr="00F70784">
              <w:rPr>
                <w:sz w:val="20"/>
                <w:szCs w:val="20"/>
              </w:rPr>
              <w:t>Retrofit Add-on (REA)</w:t>
            </w: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Delivery Mechanisms</w:t>
            </w:r>
          </w:p>
        </w:tc>
        <w:tc>
          <w:tcPr>
            <w:tcW w:w="6858" w:type="dxa"/>
          </w:tcPr>
          <w:p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rsidR="00B9551F" w:rsidRPr="00FE636E" w:rsidRDefault="00B9551F" w:rsidP="00FE636E">
            <w:pPr>
              <w:rPr>
                <w:rFonts w:cs="Arial"/>
                <w:sz w:val="20"/>
                <w:szCs w:val="20"/>
              </w:rPr>
            </w:pPr>
            <w:r>
              <w:rPr>
                <w:rFonts w:cs="Arial"/>
                <w:sz w:val="20"/>
                <w:szCs w:val="20"/>
              </w:rPr>
              <w:t>NOTE:  Measures are offered in the SDG&amp;E Direc</w:t>
            </w:r>
            <w:r w:rsidR="00402B3D">
              <w:rPr>
                <w:rFonts w:cs="Arial"/>
                <w:sz w:val="20"/>
                <w:szCs w:val="20"/>
              </w:rPr>
              <w:t xml:space="preserve">t Install program yet require </w:t>
            </w:r>
            <w:proofErr w:type="gramStart"/>
            <w:r w:rsidR="00402B3D">
              <w:rPr>
                <w:rFonts w:cs="Arial"/>
                <w:sz w:val="20"/>
                <w:szCs w:val="20"/>
              </w:rPr>
              <w:t xml:space="preserve">a </w:t>
            </w:r>
            <w:r>
              <w:rPr>
                <w:rFonts w:cs="Arial"/>
                <w:sz w:val="20"/>
                <w:szCs w:val="20"/>
              </w:rPr>
              <w:t>customer</w:t>
            </w:r>
            <w:proofErr w:type="gramEnd"/>
            <w:r>
              <w:rPr>
                <w:rFonts w:cs="Arial"/>
                <w:sz w:val="20"/>
                <w:szCs w:val="20"/>
              </w:rPr>
              <w:t xml:space="preserve"> co-pay and are treated as downstream deemed.</w:t>
            </w:r>
          </w:p>
        </w:tc>
      </w:tr>
      <w:tr w:rsidR="00DB71F1" w:rsidTr="00241A1F">
        <w:trPr>
          <w:cantSplit/>
        </w:trPr>
        <w:tc>
          <w:tcPr>
            <w:tcW w:w="2718" w:type="dxa"/>
          </w:tcPr>
          <w:p w:rsidR="00DB71F1" w:rsidRPr="001D77F7" w:rsidRDefault="00DB71F1" w:rsidP="00393EC8">
            <w:pPr>
              <w:rPr>
                <w:b/>
              </w:rPr>
            </w:pPr>
            <w:r w:rsidRPr="001D77F7">
              <w:rPr>
                <w:b/>
              </w:rPr>
              <w:t>1.4.1 DEER Data</w:t>
            </w:r>
          </w:p>
        </w:tc>
        <w:tc>
          <w:tcPr>
            <w:tcW w:w="6858" w:type="dxa"/>
          </w:tcPr>
          <w:p w:rsidR="00DB71F1" w:rsidRDefault="00DB71F1" w:rsidP="00393EC8"/>
        </w:tc>
      </w:tr>
      <w:tr w:rsidR="00A61271" w:rsidTr="00241A1F">
        <w:trPr>
          <w:cantSplit/>
        </w:trPr>
        <w:tc>
          <w:tcPr>
            <w:tcW w:w="2718" w:type="dxa"/>
            <w:vAlign w:val="center"/>
          </w:tcPr>
          <w:p w:rsidR="00A61271" w:rsidRPr="00822B6F" w:rsidRDefault="00A61271" w:rsidP="00393EC8">
            <w:pPr>
              <w:jc w:val="right"/>
              <w:rPr>
                <w:sz w:val="20"/>
                <w:szCs w:val="20"/>
              </w:rPr>
            </w:pPr>
            <w:r w:rsidRPr="00822B6F">
              <w:rPr>
                <w:sz w:val="20"/>
                <w:szCs w:val="20"/>
              </w:rPr>
              <w:t>Net-to-Gross Ratio</w:t>
            </w:r>
          </w:p>
        </w:tc>
        <w:tc>
          <w:tcPr>
            <w:tcW w:w="6858" w:type="dxa"/>
          </w:tcPr>
          <w:p w:rsidR="00A61271" w:rsidRPr="00D86243" w:rsidRDefault="00A61271" w:rsidP="00393EC8">
            <w:pPr>
              <w:tabs>
                <w:tab w:val="right" w:pos="6732"/>
              </w:tabs>
              <w:rPr>
                <w:rFonts w:cs="Arial"/>
                <w:sz w:val="20"/>
                <w:szCs w:val="20"/>
              </w:rPr>
            </w:pPr>
            <w:r w:rsidRPr="00A61271">
              <w:rPr>
                <w:rFonts w:cs="Arial"/>
                <w:sz w:val="20"/>
                <w:szCs w:val="20"/>
              </w:rPr>
              <w:t>Com-Default&gt;2yrs</w:t>
            </w:r>
          </w:p>
        </w:tc>
      </w:tr>
      <w:tr w:rsidR="00A61271" w:rsidTr="00241A1F">
        <w:trPr>
          <w:cantSplit/>
        </w:trPr>
        <w:tc>
          <w:tcPr>
            <w:tcW w:w="2718"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6858" w:type="dxa"/>
          </w:tcPr>
          <w:p w:rsidR="00402B3D" w:rsidRPr="00536B41" w:rsidRDefault="00D84702">
            <w:pPr>
              <w:tabs>
                <w:tab w:val="right" w:pos="6732"/>
              </w:tabs>
              <w:rPr>
                <w:rFonts w:cs="Arial"/>
                <w:sz w:val="20"/>
                <w:szCs w:val="20"/>
              </w:rPr>
            </w:pPr>
            <w:r w:rsidRPr="00F70784">
              <w:rPr>
                <w:rFonts w:cstheme="minorBidi"/>
                <w:sz w:val="20"/>
                <w:szCs w:val="20"/>
              </w:rPr>
              <w:t>HVAC-EMS</w:t>
            </w:r>
          </w:p>
        </w:tc>
      </w:tr>
      <w:tr w:rsidR="00A61271" w:rsidTr="00241A1F">
        <w:trPr>
          <w:cantSplit/>
        </w:trPr>
        <w:tc>
          <w:tcPr>
            <w:tcW w:w="2718" w:type="dxa"/>
            <w:vAlign w:val="center"/>
          </w:tcPr>
          <w:p w:rsidR="00A61271" w:rsidRPr="001D77F7" w:rsidRDefault="00A61271" w:rsidP="00393EC8">
            <w:pPr>
              <w:rPr>
                <w:b/>
              </w:rPr>
            </w:pPr>
            <w:r w:rsidRPr="001D77F7">
              <w:rPr>
                <w:b/>
              </w:rPr>
              <w:t>Section 2. Calculation Methodology</w:t>
            </w:r>
          </w:p>
        </w:tc>
        <w:tc>
          <w:tcPr>
            <w:tcW w:w="6858" w:type="dxa"/>
            <w:vAlign w:val="center"/>
          </w:tcPr>
          <w:p w:rsidR="00A61271" w:rsidRPr="00241A1F" w:rsidRDefault="008D0B3C">
            <w:pPr>
              <w:rPr>
                <w:rFonts w:cs="Arial"/>
                <w:sz w:val="20"/>
                <w:szCs w:val="20"/>
              </w:rPr>
            </w:pPr>
            <w:r>
              <w:rPr>
                <w:rFonts w:cs="Arial"/>
                <w:sz w:val="20"/>
                <w:szCs w:val="20"/>
              </w:rPr>
              <w:t>DEER</w:t>
            </w:r>
            <w:r w:rsidR="00DA5D17">
              <w:rPr>
                <w:rFonts w:cs="Arial"/>
                <w:sz w:val="20"/>
                <w:szCs w:val="20"/>
              </w:rPr>
              <w:t xml:space="preserve"> 2016</w:t>
            </w:r>
          </w:p>
        </w:tc>
      </w:tr>
      <w:tr w:rsidR="00A61271" w:rsidTr="00241A1F">
        <w:trPr>
          <w:cantSplit/>
        </w:trPr>
        <w:tc>
          <w:tcPr>
            <w:tcW w:w="2718" w:type="dxa"/>
            <w:vAlign w:val="center"/>
          </w:tcPr>
          <w:p w:rsidR="00A61271" w:rsidRDefault="00A61271" w:rsidP="00787D7C">
            <w:pPr>
              <w:jc w:val="right"/>
            </w:pPr>
            <w:r>
              <w:rPr>
                <w:rFonts w:cs="Arial"/>
                <w:sz w:val="20"/>
                <w:szCs w:val="20"/>
              </w:rPr>
              <w:t>Energy Savings/Peak Demand Reduction – All Measures</w:t>
            </w:r>
          </w:p>
        </w:tc>
        <w:tc>
          <w:tcPr>
            <w:tcW w:w="6858" w:type="dxa"/>
          </w:tcPr>
          <w:p w:rsidR="00D84702" w:rsidRPr="00F70784" w:rsidRDefault="00D84702" w:rsidP="00D84702">
            <w:pPr>
              <w:rPr>
                <w:b/>
                <w:sz w:val="20"/>
                <w:szCs w:val="20"/>
              </w:rPr>
            </w:pPr>
            <w:r w:rsidRPr="00F70784">
              <w:rPr>
                <w:b/>
                <w:sz w:val="20"/>
                <w:szCs w:val="20"/>
              </w:rPr>
              <w:t>As cited in SCE’s workpaper the Savings are:</w:t>
            </w:r>
          </w:p>
          <w:p w:rsidR="00B84663" w:rsidRPr="00F70784" w:rsidRDefault="00B84663" w:rsidP="00D84702">
            <w:pPr>
              <w:rPr>
                <w:sz w:val="20"/>
                <w:szCs w:val="20"/>
              </w:rPr>
            </w:pPr>
            <w:r w:rsidRPr="00F70784">
              <w:rPr>
                <w:sz w:val="20"/>
                <w:szCs w:val="20"/>
              </w:rPr>
              <w:t>Electric</w:t>
            </w:r>
          </w:p>
          <w:tbl>
            <w:tblPr>
              <w:tblStyle w:val="TableGrid"/>
              <w:tblW w:w="0" w:type="auto"/>
              <w:tblLook w:val="04A0" w:firstRow="1" w:lastRow="0" w:firstColumn="1" w:lastColumn="0" w:noHBand="0" w:noVBand="1"/>
            </w:tblPr>
            <w:tblGrid>
              <w:gridCol w:w="5648"/>
              <w:gridCol w:w="1070"/>
            </w:tblGrid>
            <w:tr w:rsidR="00B84663" w:rsidRPr="005A754E" w:rsidTr="00B84663">
              <w:tc>
                <w:tcPr>
                  <w:tcW w:w="5648" w:type="dxa"/>
                </w:tcPr>
                <w:p w:rsidR="00B84663" w:rsidRPr="00F70784" w:rsidRDefault="00B84663" w:rsidP="00701054">
                  <w:pPr>
                    <w:rPr>
                      <w:b/>
                      <w:sz w:val="20"/>
                      <w:szCs w:val="20"/>
                    </w:rPr>
                  </w:pPr>
                  <w:r w:rsidRPr="00F70784">
                    <w:rPr>
                      <w:rFonts w:cstheme="minorBidi"/>
                      <w:b/>
                      <w:sz w:val="20"/>
                      <w:szCs w:val="20"/>
                    </w:rPr>
                    <w:t>Average Rated Exhaust Fan Power (HP)</w:t>
                  </w:r>
                </w:p>
              </w:tc>
              <w:tc>
                <w:tcPr>
                  <w:tcW w:w="1070" w:type="dxa"/>
                </w:tcPr>
                <w:p w:rsidR="00B84663" w:rsidRPr="00F70784" w:rsidRDefault="00B84663" w:rsidP="00701054">
                  <w:pPr>
                    <w:rPr>
                      <w:b/>
                      <w:sz w:val="20"/>
                      <w:szCs w:val="20"/>
                    </w:rPr>
                  </w:pPr>
                  <w:r w:rsidRPr="00F70784">
                    <w:rPr>
                      <w:rFonts w:cstheme="minorBidi"/>
                      <w:b/>
                      <w:sz w:val="20"/>
                      <w:szCs w:val="20"/>
                    </w:rPr>
                    <w:t>9.65</w:t>
                  </w:r>
                </w:p>
              </w:tc>
            </w:tr>
            <w:tr w:rsidR="00B84663" w:rsidRPr="005A754E" w:rsidTr="00B84663">
              <w:tc>
                <w:tcPr>
                  <w:tcW w:w="5648" w:type="dxa"/>
                </w:tcPr>
                <w:p w:rsidR="00B84663" w:rsidRPr="00F70784" w:rsidRDefault="00B84663" w:rsidP="00701054">
                  <w:pPr>
                    <w:rPr>
                      <w:sz w:val="20"/>
                      <w:szCs w:val="20"/>
                    </w:rPr>
                  </w:pPr>
                  <w:r w:rsidRPr="00F70784">
                    <w:rPr>
                      <w:rFonts w:cstheme="minorBidi"/>
                      <w:sz w:val="20"/>
                      <w:szCs w:val="20"/>
                    </w:rPr>
                    <w:t>Normalized Base Case Fan Energy Consumption (kWh/yr/</w:t>
                  </w:r>
                  <w:proofErr w:type="spellStart"/>
                  <w:r w:rsidRPr="00F70784">
                    <w:rPr>
                      <w:rFonts w:cstheme="minorBidi"/>
                      <w:sz w:val="20"/>
                      <w:szCs w:val="20"/>
                    </w:rPr>
                    <w:t>Exh</w:t>
                  </w:r>
                  <w:proofErr w:type="spellEnd"/>
                  <w:r w:rsidRPr="00F70784">
                    <w:rPr>
                      <w:rFonts w:cstheme="minorBidi"/>
                      <w:sz w:val="20"/>
                      <w:szCs w:val="20"/>
                    </w:rPr>
                    <w:t xml:space="preserve"> HP)</w:t>
                  </w:r>
                </w:p>
              </w:tc>
              <w:tc>
                <w:tcPr>
                  <w:tcW w:w="1070" w:type="dxa"/>
                </w:tcPr>
                <w:p w:rsidR="00B84663" w:rsidRPr="00F70784" w:rsidRDefault="00B84663" w:rsidP="00701054">
                  <w:pPr>
                    <w:rPr>
                      <w:sz w:val="20"/>
                      <w:szCs w:val="20"/>
                    </w:rPr>
                  </w:pPr>
                  <w:r w:rsidRPr="00F70784">
                    <w:rPr>
                      <w:color w:val="000000"/>
                      <w:sz w:val="20"/>
                      <w:szCs w:val="20"/>
                    </w:rPr>
                    <w:t>7,391</w:t>
                  </w:r>
                </w:p>
              </w:tc>
            </w:tr>
            <w:tr w:rsidR="00B84663" w:rsidRPr="005A754E" w:rsidTr="00B84663">
              <w:tc>
                <w:tcPr>
                  <w:tcW w:w="5648" w:type="dxa"/>
                </w:tcPr>
                <w:p w:rsidR="00B84663" w:rsidRPr="00F70784" w:rsidRDefault="00B84663" w:rsidP="00701054">
                  <w:pPr>
                    <w:rPr>
                      <w:sz w:val="20"/>
                      <w:szCs w:val="20"/>
                    </w:rPr>
                  </w:pPr>
                  <w:r w:rsidRPr="00F70784">
                    <w:rPr>
                      <w:rFonts w:cstheme="minorBidi"/>
                      <w:sz w:val="20"/>
                      <w:szCs w:val="20"/>
                    </w:rPr>
                    <w:t>Normalized Measure Case Fan Energy Consumption (kWh/yr/</w:t>
                  </w:r>
                  <w:proofErr w:type="spellStart"/>
                  <w:r w:rsidRPr="00F70784">
                    <w:rPr>
                      <w:rFonts w:cstheme="minorBidi"/>
                      <w:sz w:val="20"/>
                      <w:szCs w:val="20"/>
                    </w:rPr>
                    <w:t>Exh</w:t>
                  </w:r>
                  <w:proofErr w:type="spellEnd"/>
                  <w:r w:rsidRPr="00F70784">
                    <w:rPr>
                      <w:rFonts w:cstheme="minorBidi"/>
                      <w:sz w:val="20"/>
                      <w:szCs w:val="20"/>
                    </w:rPr>
                    <w:t xml:space="preserve"> HP)</w:t>
                  </w:r>
                </w:p>
              </w:tc>
              <w:tc>
                <w:tcPr>
                  <w:tcW w:w="1070" w:type="dxa"/>
                </w:tcPr>
                <w:p w:rsidR="00B84663" w:rsidRPr="00F70784" w:rsidRDefault="00B84663" w:rsidP="00701054">
                  <w:pPr>
                    <w:rPr>
                      <w:sz w:val="20"/>
                      <w:szCs w:val="20"/>
                    </w:rPr>
                  </w:pPr>
                  <w:r w:rsidRPr="00F70784">
                    <w:rPr>
                      <w:color w:val="000000"/>
                      <w:sz w:val="20"/>
                      <w:szCs w:val="20"/>
                    </w:rPr>
                    <w:t>2,968</w:t>
                  </w:r>
                </w:p>
              </w:tc>
            </w:tr>
            <w:tr w:rsidR="00B84663" w:rsidRPr="005A754E" w:rsidTr="00B84663">
              <w:tc>
                <w:tcPr>
                  <w:tcW w:w="5648" w:type="dxa"/>
                </w:tcPr>
                <w:p w:rsidR="00B84663" w:rsidRPr="00F70784" w:rsidRDefault="00B84663" w:rsidP="00701054">
                  <w:pPr>
                    <w:rPr>
                      <w:sz w:val="20"/>
                      <w:szCs w:val="20"/>
                    </w:rPr>
                  </w:pPr>
                  <w:r w:rsidRPr="00F70784">
                    <w:rPr>
                      <w:rFonts w:cstheme="minorBidi"/>
                      <w:sz w:val="20"/>
                      <w:szCs w:val="20"/>
                    </w:rPr>
                    <w:t>Normalized Fan Energy Savings (kWh/yr/</w:t>
                  </w:r>
                  <w:proofErr w:type="spellStart"/>
                  <w:r w:rsidRPr="00F70784">
                    <w:rPr>
                      <w:rFonts w:cstheme="minorBidi"/>
                      <w:sz w:val="20"/>
                      <w:szCs w:val="20"/>
                    </w:rPr>
                    <w:t>Exh</w:t>
                  </w:r>
                  <w:proofErr w:type="spellEnd"/>
                  <w:r w:rsidRPr="00F70784">
                    <w:rPr>
                      <w:rFonts w:cstheme="minorBidi"/>
                      <w:sz w:val="20"/>
                      <w:szCs w:val="20"/>
                    </w:rPr>
                    <w:t xml:space="preserve"> HP)</w:t>
                  </w:r>
                </w:p>
              </w:tc>
              <w:tc>
                <w:tcPr>
                  <w:tcW w:w="1070" w:type="dxa"/>
                </w:tcPr>
                <w:p w:rsidR="00B84663" w:rsidRPr="00F70784" w:rsidRDefault="00B84663" w:rsidP="00701054">
                  <w:pPr>
                    <w:rPr>
                      <w:sz w:val="20"/>
                      <w:szCs w:val="20"/>
                    </w:rPr>
                  </w:pPr>
                  <w:r w:rsidRPr="00F70784">
                    <w:rPr>
                      <w:b/>
                      <w:color w:val="000000"/>
                      <w:sz w:val="20"/>
                      <w:szCs w:val="20"/>
                    </w:rPr>
                    <w:t>4,423</w:t>
                  </w:r>
                </w:p>
              </w:tc>
            </w:tr>
            <w:tr w:rsidR="00B84663" w:rsidRPr="005A754E" w:rsidTr="00B84663">
              <w:tc>
                <w:tcPr>
                  <w:tcW w:w="5648" w:type="dxa"/>
                </w:tcPr>
                <w:p w:rsidR="00B84663" w:rsidRPr="00F70784" w:rsidRDefault="00B84663" w:rsidP="00701054">
                  <w:pPr>
                    <w:rPr>
                      <w:sz w:val="20"/>
                      <w:szCs w:val="20"/>
                    </w:rPr>
                  </w:pPr>
                  <w:r w:rsidRPr="00F70784">
                    <w:rPr>
                      <w:rFonts w:cstheme="minorBidi"/>
                      <w:sz w:val="20"/>
                      <w:szCs w:val="20"/>
                    </w:rPr>
                    <w:t>Coincident Demand Reduction (kW/</w:t>
                  </w:r>
                  <w:proofErr w:type="spellStart"/>
                  <w:r w:rsidRPr="00F70784">
                    <w:rPr>
                      <w:rFonts w:cstheme="minorBidi"/>
                      <w:sz w:val="20"/>
                      <w:szCs w:val="20"/>
                    </w:rPr>
                    <w:t>Exh</w:t>
                  </w:r>
                  <w:proofErr w:type="spellEnd"/>
                  <w:r w:rsidRPr="00F70784">
                    <w:rPr>
                      <w:rFonts w:cstheme="minorBidi"/>
                      <w:sz w:val="20"/>
                      <w:szCs w:val="20"/>
                    </w:rPr>
                    <w:t xml:space="preserve"> HP)</w:t>
                  </w:r>
                </w:p>
              </w:tc>
              <w:tc>
                <w:tcPr>
                  <w:tcW w:w="1070" w:type="dxa"/>
                </w:tcPr>
                <w:p w:rsidR="00B84663" w:rsidRPr="00F70784" w:rsidRDefault="00B84663" w:rsidP="00701054">
                  <w:pPr>
                    <w:rPr>
                      <w:sz w:val="20"/>
                      <w:szCs w:val="20"/>
                    </w:rPr>
                  </w:pPr>
                  <w:r w:rsidRPr="00F70784">
                    <w:rPr>
                      <w:rFonts w:cstheme="minorBidi"/>
                      <w:b/>
                      <w:sz w:val="20"/>
                      <w:szCs w:val="20"/>
                    </w:rPr>
                    <w:t>0.551</w:t>
                  </w:r>
                </w:p>
              </w:tc>
            </w:tr>
          </w:tbl>
          <w:p w:rsidR="00CA48A0" w:rsidRPr="00536B41" w:rsidRDefault="00B84663" w:rsidP="00B84663">
            <w:pPr>
              <w:rPr>
                <w:rFonts w:cs="Arial"/>
                <w:sz w:val="20"/>
                <w:szCs w:val="20"/>
              </w:rPr>
            </w:pPr>
            <w:r w:rsidRPr="00536B41">
              <w:rPr>
                <w:rFonts w:cs="Arial"/>
                <w:sz w:val="20"/>
                <w:szCs w:val="20"/>
              </w:rPr>
              <w:t>NG Savings</w:t>
            </w:r>
          </w:p>
          <w:tbl>
            <w:tblPr>
              <w:tblStyle w:val="TableGrid"/>
              <w:tblW w:w="0" w:type="auto"/>
              <w:tblLook w:val="04A0" w:firstRow="1" w:lastRow="0" w:firstColumn="1" w:lastColumn="0" w:noHBand="0" w:noVBand="1"/>
            </w:tblPr>
            <w:tblGrid>
              <w:gridCol w:w="1508"/>
              <w:gridCol w:w="2250"/>
            </w:tblGrid>
            <w:tr w:rsidR="00B84663" w:rsidRPr="005A754E" w:rsidTr="00814F9B">
              <w:trPr>
                <w:trHeight w:val="485"/>
              </w:trPr>
              <w:tc>
                <w:tcPr>
                  <w:tcW w:w="1508" w:type="dxa"/>
                </w:tcPr>
                <w:p w:rsidR="00B84663" w:rsidRPr="00F70784" w:rsidRDefault="00B84663" w:rsidP="00B84663">
                  <w:pPr>
                    <w:rPr>
                      <w:rFonts w:cs="Arial"/>
                      <w:b/>
                      <w:sz w:val="20"/>
                      <w:szCs w:val="20"/>
                    </w:rPr>
                  </w:pPr>
                  <w:r w:rsidRPr="00F70784">
                    <w:rPr>
                      <w:rFonts w:cs="Arial"/>
                      <w:b/>
                      <w:sz w:val="20"/>
                      <w:szCs w:val="20"/>
                    </w:rPr>
                    <w:t>Climate Zone</w:t>
                  </w:r>
                </w:p>
              </w:tc>
              <w:tc>
                <w:tcPr>
                  <w:tcW w:w="2250" w:type="dxa"/>
                </w:tcPr>
                <w:p w:rsidR="00B84663" w:rsidRPr="00536B41" w:rsidRDefault="00B84663" w:rsidP="00B84663">
                  <w:pPr>
                    <w:rPr>
                      <w:rFonts w:cs="Arial"/>
                      <w:sz w:val="20"/>
                      <w:szCs w:val="20"/>
                    </w:rPr>
                  </w:pPr>
                  <w:r w:rsidRPr="00F70784">
                    <w:rPr>
                      <w:rFonts w:cstheme="minorBidi"/>
                      <w:b/>
                      <w:sz w:val="20"/>
                      <w:szCs w:val="20"/>
                    </w:rPr>
                    <w:t>Natural Gas Savings (therms/yr/</w:t>
                  </w:r>
                  <w:proofErr w:type="spellStart"/>
                  <w:r w:rsidRPr="00F70784">
                    <w:rPr>
                      <w:rFonts w:cstheme="minorBidi"/>
                      <w:b/>
                      <w:sz w:val="20"/>
                      <w:szCs w:val="20"/>
                    </w:rPr>
                    <w:t>Exh</w:t>
                  </w:r>
                  <w:proofErr w:type="spellEnd"/>
                  <w:r w:rsidRPr="00F70784">
                    <w:rPr>
                      <w:rFonts w:cstheme="minorBidi"/>
                      <w:b/>
                      <w:sz w:val="20"/>
                      <w:szCs w:val="20"/>
                    </w:rPr>
                    <w:t xml:space="preserve"> HP)</w:t>
                  </w:r>
                </w:p>
              </w:tc>
            </w:tr>
            <w:tr w:rsidR="00B84663" w:rsidRPr="005A754E" w:rsidTr="00814F9B">
              <w:tc>
                <w:tcPr>
                  <w:tcW w:w="1508" w:type="dxa"/>
                </w:tcPr>
                <w:p w:rsidR="00B84663" w:rsidRPr="00536B41" w:rsidRDefault="00B84663" w:rsidP="00B84663">
                  <w:pPr>
                    <w:jc w:val="center"/>
                    <w:rPr>
                      <w:rFonts w:cs="Arial"/>
                      <w:sz w:val="20"/>
                      <w:szCs w:val="20"/>
                    </w:rPr>
                  </w:pPr>
                  <w:r w:rsidRPr="00536B41">
                    <w:rPr>
                      <w:rFonts w:cs="Arial"/>
                      <w:sz w:val="20"/>
                      <w:szCs w:val="20"/>
                    </w:rPr>
                    <w:t>6</w:t>
                  </w:r>
                </w:p>
              </w:tc>
              <w:tc>
                <w:tcPr>
                  <w:tcW w:w="2250" w:type="dxa"/>
                </w:tcPr>
                <w:p w:rsidR="00B84663" w:rsidRPr="00F70784" w:rsidRDefault="00B84663" w:rsidP="00814F9B">
                  <w:pPr>
                    <w:jc w:val="center"/>
                    <w:rPr>
                      <w:sz w:val="20"/>
                      <w:szCs w:val="20"/>
                    </w:rPr>
                  </w:pPr>
                  <w:r w:rsidRPr="00F70784">
                    <w:rPr>
                      <w:sz w:val="20"/>
                      <w:szCs w:val="20"/>
                    </w:rPr>
                    <w:t>65</w:t>
                  </w:r>
                </w:p>
              </w:tc>
            </w:tr>
            <w:tr w:rsidR="00B84663" w:rsidRPr="005A754E" w:rsidTr="00814F9B">
              <w:tc>
                <w:tcPr>
                  <w:tcW w:w="1508" w:type="dxa"/>
                </w:tcPr>
                <w:p w:rsidR="00B84663" w:rsidRPr="00536B41" w:rsidRDefault="00B84663" w:rsidP="00B84663">
                  <w:pPr>
                    <w:jc w:val="center"/>
                    <w:rPr>
                      <w:rFonts w:cs="Arial"/>
                      <w:sz w:val="20"/>
                      <w:szCs w:val="20"/>
                    </w:rPr>
                  </w:pPr>
                  <w:r w:rsidRPr="00536B41">
                    <w:rPr>
                      <w:rFonts w:cs="Arial"/>
                      <w:sz w:val="20"/>
                      <w:szCs w:val="20"/>
                    </w:rPr>
                    <w:t>7</w:t>
                  </w:r>
                </w:p>
              </w:tc>
              <w:tc>
                <w:tcPr>
                  <w:tcW w:w="2250" w:type="dxa"/>
                </w:tcPr>
                <w:p w:rsidR="00B84663" w:rsidRPr="00F70784" w:rsidRDefault="00B84663" w:rsidP="00814F9B">
                  <w:pPr>
                    <w:jc w:val="center"/>
                    <w:rPr>
                      <w:sz w:val="20"/>
                      <w:szCs w:val="20"/>
                    </w:rPr>
                  </w:pPr>
                  <w:r w:rsidRPr="00F70784">
                    <w:rPr>
                      <w:sz w:val="20"/>
                      <w:szCs w:val="20"/>
                    </w:rPr>
                    <w:t>53</w:t>
                  </w:r>
                </w:p>
              </w:tc>
            </w:tr>
            <w:tr w:rsidR="00B84663" w:rsidRPr="005A754E" w:rsidTr="00814F9B">
              <w:tc>
                <w:tcPr>
                  <w:tcW w:w="1508" w:type="dxa"/>
                </w:tcPr>
                <w:p w:rsidR="00B84663" w:rsidRPr="00536B41" w:rsidRDefault="00B84663" w:rsidP="00B84663">
                  <w:pPr>
                    <w:jc w:val="center"/>
                    <w:rPr>
                      <w:rFonts w:cs="Arial"/>
                      <w:sz w:val="20"/>
                      <w:szCs w:val="20"/>
                    </w:rPr>
                  </w:pPr>
                  <w:r w:rsidRPr="00536B41">
                    <w:rPr>
                      <w:rFonts w:cs="Arial"/>
                      <w:sz w:val="20"/>
                      <w:szCs w:val="20"/>
                    </w:rPr>
                    <w:t>8</w:t>
                  </w:r>
                </w:p>
              </w:tc>
              <w:tc>
                <w:tcPr>
                  <w:tcW w:w="2250" w:type="dxa"/>
                </w:tcPr>
                <w:p w:rsidR="00B84663" w:rsidRPr="00536B41" w:rsidRDefault="00B84663" w:rsidP="00814F9B">
                  <w:pPr>
                    <w:jc w:val="center"/>
                    <w:rPr>
                      <w:rFonts w:cs="Arial"/>
                      <w:sz w:val="20"/>
                      <w:szCs w:val="20"/>
                    </w:rPr>
                  </w:pPr>
                  <w:r w:rsidRPr="00F70784">
                    <w:rPr>
                      <w:sz w:val="20"/>
                      <w:szCs w:val="20"/>
                    </w:rPr>
                    <w:t>63</w:t>
                  </w:r>
                </w:p>
              </w:tc>
            </w:tr>
            <w:tr w:rsidR="00B84663" w:rsidRPr="005A754E" w:rsidTr="00814F9B">
              <w:tc>
                <w:tcPr>
                  <w:tcW w:w="1508" w:type="dxa"/>
                </w:tcPr>
                <w:p w:rsidR="00B84663" w:rsidRPr="00536B41" w:rsidRDefault="00B84663" w:rsidP="00B84663">
                  <w:pPr>
                    <w:jc w:val="center"/>
                    <w:rPr>
                      <w:rFonts w:cs="Arial"/>
                      <w:sz w:val="20"/>
                      <w:szCs w:val="20"/>
                    </w:rPr>
                  </w:pPr>
                  <w:r w:rsidRPr="00536B41">
                    <w:rPr>
                      <w:rFonts w:cs="Arial"/>
                      <w:sz w:val="20"/>
                      <w:szCs w:val="20"/>
                    </w:rPr>
                    <w:t>10</w:t>
                  </w:r>
                </w:p>
              </w:tc>
              <w:tc>
                <w:tcPr>
                  <w:tcW w:w="2250" w:type="dxa"/>
                </w:tcPr>
                <w:p w:rsidR="00B84663" w:rsidRPr="00536B41" w:rsidRDefault="00B84663" w:rsidP="00814F9B">
                  <w:pPr>
                    <w:jc w:val="center"/>
                    <w:rPr>
                      <w:rFonts w:cs="Arial"/>
                      <w:sz w:val="20"/>
                      <w:szCs w:val="20"/>
                    </w:rPr>
                  </w:pPr>
                  <w:r w:rsidRPr="00F70784">
                    <w:rPr>
                      <w:sz w:val="20"/>
                      <w:szCs w:val="20"/>
                    </w:rPr>
                    <w:t>68</w:t>
                  </w:r>
                </w:p>
              </w:tc>
            </w:tr>
            <w:tr w:rsidR="00814F9B" w:rsidRPr="005A754E" w:rsidTr="00814F9B">
              <w:tc>
                <w:tcPr>
                  <w:tcW w:w="1508" w:type="dxa"/>
                </w:tcPr>
                <w:p w:rsidR="00814F9B" w:rsidRPr="00536B41" w:rsidRDefault="00814F9B" w:rsidP="00B84663">
                  <w:pPr>
                    <w:jc w:val="center"/>
                    <w:rPr>
                      <w:rFonts w:cs="Arial"/>
                      <w:sz w:val="20"/>
                      <w:szCs w:val="20"/>
                    </w:rPr>
                  </w:pPr>
                  <w:r w:rsidRPr="00536B41">
                    <w:rPr>
                      <w:rFonts w:cs="Arial"/>
                      <w:sz w:val="20"/>
                      <w:szCs w:val="20"/>
                    </w:rPr>
                    <w:t>14</w:t>
                  </w:r>
                </w:p>
              </w:tc>
              <w:tc>
                <w:tcPr>
                  <w:tcW w:w="2250" w:type="dxa"/>
                </w:tcPr>
                <w:p w:rsidR="00814F9B" w:rsidRPr="00F70784" w:rsidRDefault="00814F9B" w:rsidP="00814F9B">
                  <w:pPr>
                    <w:jc w:val="center"/>
                    <w:rPr>
                      <w:sz w:val="20"/>
                      <w:szCs w:val="20"/>
                    </w:rPr>
                  </w:pPr>
                  <w:r w:rsidRPr="00F70784">
                    <w:rPr>
                      <w:sz w:val="20"/>
                      <w:szCs w:val="20"/>
                    </w:rPr>
                    <w:t>110</w:t>
                  </w:r>
                </w:p>
              </w:tc>
            </w:tr>
            <w:tr w:rsidR="00814F9B" w:rsidRPr="005A754E" w:rsidTr="00814F9B">
              <w:tc>
                <w:tcPr>
                  <w:tcW w:w="1508" w:type="dxa"/>
                </w:tcPr>
                <w:p w:rsidR="00814F9B" w:rsidRPr="00536B41" w:rsidRDefault="00814F9B" w:rsidP="00B84663">
                  <w:pPr>
                    <w:jc w:val="center"/>
                    <w:rPr>
                      <w:rFonts w:cs="Arial"/>
                      <w:sz w:val="20"/>
                      <w:szCs w:val="20"/>
                    </w:rPr>
                  </w:pPr>
                  <w:r w:rsidRPr="00536B41">
                    <w:rPr>
                      <w:rFonts w:cs="Arial"/>
                      <w:sz w:val="20"/>
                      <w:szCs w:val="20"/>
                    </w:rPr>
                    <w:t>15</w:t>
                  </w:r>
                </w:p>
              </w:tc>
              <w:tc>
                <w:tcPr>
                  <w:tcW w:w="2250" w:type="dxa"/>
                </w:tcPr>
                <w:p w:rsidR="00814F9B" w:rsidRPr="00F70784" w:rsidRDefault="00814F9B" w:rsidP="00814F9B">
                  <w:pPr>
                    <w:jc w:val="center"/>
                    <w:rPr>
                      <w:sz w:val="20"/>
                      <w:szCs w:val="20"/>
                    </w:rPr>
                  </w:pPr>
                  <w:r w:rsidRPr="00F70784">
                    <w:rPr>
                      <w:sz w:val="20"/>
                      <w:szCs w:val="20"/>
                    </w:rPr>
                    <w:t>36</w:t>
                  </w:r>
                </w:p>
              </w:tc>
            </w:tr>
          </w:tbl>
          <w:p w:rsidR="00B84663" w:rsidRPr="00555671" w:rsidRDefault="00B84663" w:rsidP="00814F9B">
            <w:pPr>
              <w:rPr>
                <w:rFonts w:cs="Arial"/>
                <w:sz w:val="20"/>
                <w:szCs w:val="20"/>
              </w:rPr>
            </w:pPr>
          </w:p>
        </w:tc>
      </w:tr>
      <w:tr w:rsidR="00A61271" w:rsidTr="00241A1F">
        <w:trPr>
          <w:cantSplit/>
        </w:trPr>
        <w:tc>
          <w:tcPr>
            <w:tcW w:w="2718" w:type="dxa"/>
            <w:vAlign w:val="center"/>
          </w:tcPr>
          <w:p w:rsidR="00A61271" w:rsidRPr="001D77F7" w:rsidRDefault="00A61271" w:rsidP="00393EC8">
            <w:pPr>
              <w:rPr>
                <w:b/>
              </w:rPr>
            </w:pPr>
            <w:r w:rsidRPr="001D77F7">
              <w:rPr>
                <w:b/>
              </w:rPr>
              <w:t>Section 3. Load Shapes</w:t>
            </w:r>
          </w:p>
        </w:tc>
        <w:tc>
          <w:tcPr>
            <w:tcW w:w="6858" w:type="dxa"/>
          </w:tcPr>
          <w:p w:rsidR="00814F9B" w:rsidRPr="00476F40" w:rsidRDefault="004519B4" w:rsidP="00814F9B">
            <w:pPr>
              <w:tabs>
                <w:tab w:val="right" w:pos="6732"/>
              </w:tabs>
              <w:rPr>
                <w:rFonts w:cs="Arial"/>
                <w:sz w:val="20"/>
                <w:szCs w:val="20"/>
              </w:rPr>
            </w:pPr>
            <w:proofErr w:type="spellStart"/>
            <w:r w:rsidRPr="004519B4">
              <w:rPr>
                <w:rFonts w:cstheme="minorHAnsi"/>
                <w:bCs/>
                <w:sz w:val="20"/>
              </w:rPr>
              <w:t>SDG</w:t>
            </w:r>
            <w:r w:rsidR="00814F9B">
              <w:rPr>
                <w:rFonts w:cstheme="minorHAnsi"/>
                <w:bCs/>
                <w:sz w:val="20"/>
              </w:rPr>
              <w:t>E:DEER:Com:HVAC_Split-Package_AC</w:t>
            </w:r>
            <w:proofErr w:type="spellEnd"/>
          </w:p>
          <w:p w:rsidR="004519B4" w:rsidRPr="00476F40" w:rsidRDefault="004519B4">
            <w:pPr>
              <w:tabs>
                <w:tab w:val="right" w:pos="6732"/>
              </w:tabs>
              <w:rPr>
                <w:rFonts w:cs="Arial"/>
                <w:sz w:val="20"/>
                <w:szCs w:val="20"/>
              </w:rPr>
            </w:pPr>
          </w:p>
        </w:tc>
      </w:tr>
      <w:tr w:rsidR="00A61271" w:rsidTr="00241A1F">
        <w:trPr>
          <w:cantSplit/>
        </w:trPr>
        <w:tc>
          <w:tcPr>
            <w:tcW w:w="2718" w:type="dxa"/>
            <w:vAlign w:val="center"/>
          </w:tcPr>
          <w:p w:rsidR="00A61271" w:rsidRPr="001D77F7" w:rsidRDefault="00A61271" w:rsidP="00393EC8">
            <w:pPr>
              <w:rPr>
                <w:b/>
              </w:rPr>
            </w:pPr>
            <w:r w:rsidRPr="001D77F7">
              <w:rPr>
                <w:b/>
              </w:rPr>
              <w:t>Section 4. Costs</w:t>
            </w:r>
          </w:p>
        </w:tc>
        <w:tc>
          <w:tcPr>
            <w:tcW w:w="6858" w:type="dxa"/>
          </w:tcPr>
          <w:p w:rsidR="007B0A6F" w:rsidRPr="00F70784" w:rsidRDefault="007B0A6F" w:rsidP="007B0A6F">
            <w:pPr>
              <w:rPr>
                <w:sz w:val="20"/>
                <w:szCs w:val="20"/>
              </w:rPr>
            </w:pPr>
            <w:r w:rsidRPr="00F70784">
              <w:rPr>
                <w:sz w:val="20"/>
                <w:szCs w:val="20"/>
              </w:rPr>
              <w:t>The Gross Measure Cost is obtained from costs documented by PG&amp;E FSTC, SCE FTC and Honeywell/</w:t>
            </w:r>
            <w:proofErr w:type="spellStart"/>
            <w:r w:rsidRPr="00F70784">
              <w:rPr>
                <w:sz w:val="20"/>
                <w:szCs w:val="20"/>
              </w:rPr>
              <w:t>Melink</w:t>
            </w:r>
            <w:proofErr w:type="spellEnd"/>
            <w:r w:rsidRPr="00F70784">
              <w:rPr>
                <w:sz w:val="20"/>
                <w:szCs w:val="20"/>
              </w:rPr>
              <w:t xml:space="preserve"> and is calculated as a cost per exhaust fan horsepower ($/HP). The GMC includes both materials and labor</w:t>
            </w:r>
            <w:bookmarkStart w:id="2" w:name="_Ref344284359"/>
            <w:r w:rsidRPr="00F70784">
              <w:rPr>
                <w:sz w:val="20"/>
                <w:szCs w:val="20"/>
              </w:rPr>
              <w:t xml:space="preserve">. </w:t>
            </w:r>
            <w:bookmarkEnd w:id="2"/>
          </w:p>
          <w:p w:rsidR="00A61271" w:rsidRPr="00536B41" w:rsidRDefault="00A61271" w:rsidP="00C048F4">
            <w:pPr>
              <w:rPr>
                <w:rFonts w:cs="Arial"/>
                <w:sz w:val="20"/>
                <w:szCs w:val="20"/>
              </w:rPr>
            </w:pPr>
          </w:p>
        </w:tc>
      </w:tr>
      <w:tr w:rsidR="00A61271" w:rsidRPr="00393EC8" w:rsidTr="00393EC8">
        <w:trPr>
          <w:cantSplit/>
        </w:trPr>
        <w:tc>
          <w:tcPr>
            <w:tcW w:w="2718" w:type="dxa"/>
          </w:tcPr>
          <w:p w:rsidR="00A61271" w:rsidRPr="00393EC8" w:rsidRDefault="00A61271">
            <w:pPr>
              <w:rPr>
                <w:b/>
              </w:rPr>
            </w:pPr>
            <w:r w:rsidRPr="00393EC8">
              <w:rPr>
                <w:b/>
              </w:rPr>
              <w:t xml:space="preserve">Section 4.1 </w:t>
            </w:r>
            <w:r w:rsidR="00695478">
              <w:rPr>
                <w:b/>
              </w:rPr>
              <w:t>Base and Measure Costs</w:t>
            </w:r>
          </w:p>
        </w:tc>
        <w:tc>
          <w:tcPr>
            <w:tcW w:w="6858" w:type="dxa"/>
          </w:tcPr>
          <w:p w:rsidR="00A61271" w:rsidRPr="00393EC8" w:rsidRDefault="00A61271" w:rsidP="00393EC8">
            <w:pPr>
              <w:rPr>
                <w:b/>
              </w:rPr>
            </w:pPr>
          </w:p>
        </w:tc>
      </w:tr>
      <w:tr w:rsidR="00E05871" w:rsidTr="00241A1F">
        <w:trPr>
          <w:cantSplit/>
        </w:trPr>
        <w:tc>
          <w:tcPr>
            <w:tcW w:w="2718" w:type="dxa"/>
          </w:tcPr>
          <w:p w:rsidR="00E05871" w:rsidRPr="00822B6F" w:rsidRDefault="00E05871" w:rsidP="00E05871">
            <w:pPr>
              <w:jc w:val="right"/>
              <w:rPr>
                <w:sz w:val="20"/>
                <w:szCs w:val="20"/>
              </w:rPr>
            </w:pPr>
            <w:r w:rsidRPr="00822B6F">
              <w:rPr>
                <w:sz w:val="20"/>
                <w:szCs w:val="20"/>
              </w:rPr>
              <w:t>Base Cost</w:t>
            </w:r>
          </w:p>
        </w:tc>
        <w:tc>
          <w:tcPr>
            <w:tcW w:w="6858" w:type="dxa"/>
          </w:tcPr>
          <w:p w:rsidR="00E05871" w:rsidRDefault="00E05871" w:rsidP="00E05871">
            <w:pPr>
              <w:tabs>
                <w:tab w:val="right" w:pos="6732"/>
              </w:tabs>
              <w:rPr>
                <w:rFonts w:cs="Arial"/>
                <w:sz w:val="20"/>
                <w:szCs w:val="20"/>
              </w:rPr>
            </w:pPr>
          </w:p>
        </w:tc>
      </w:tr>
      <w:tr w:rsidR="00A61271" w:rsidTr="00241A1F">
        <w:trPr>
          <w:cantSplit/>
        </w:trPr>
        <w:tc>
          <w:tcPr>
            <w:tcW w:w="2718" w:type="dxa"/>
          </w:tcPr>
          <w:p w:rsidR="00A61271" w:rsidRPr="00822B6F" w:rsidRDefault="00ED043F" w:rsidP="00ED043F">
            <w:pPr>
              <w:jc w:val="right"/>
              <w:rPr>
                <w:sz w:val="20"/>
                <w:szCs w:val="20"/>
              </w:rPr>
            </w:pPr>
            <w:r>
              <w:rPr>
                <w:sz w:val="20"/>
                <w:szCs w:val="20"/>
              </w:rPr>
              <w:t>4020</w:t>
            </w:r>
            <w:r w:rsidR="00E35D68">
              <w:rPr>
                <w:sz w:val="20"/>
                <w:szCs w:val="20"/>
              </w:rPr>
              <w:t>3</w:t>
            </w:r>
            <w:r>
              <w:rPr>
                <w:sz w:val="20"/>
                <w:szCs w:val="20"/>
              </w:rPr>
              <w:t>2</w:t>
            </w:r>
          </w:p>
        </w:tc>
        <w:tc>
          <w:tcPr>
            <w:tcW w:w="6858" w:type="dxa"/>
          </w:tcPr>
          <w:p w:rsidR="00A61271" w:rsidRPr="00536B41" w:rsidRDefault="00E35D68" w:rsidP="00ED043F">
            <w:pPr>
              <w:tabs>
                <w:tab w:val="right" w:pos="6732"/>
              </w:tabs>
              <w:rPr>
                <w:rFonts w:cs="Arial"/>
                <w:sz w:val="20"/>
                <w:szCs w:val="20"/>
              </w:rPr>
            </w:pPr>
            <w:r w:rsidRPr="00536B41">
              <w:rPr>
                <w:rFonts w:cs="Arial"/>
                <w:sz w:val="20"/>
                <w:szCs w:val="20"/>
              </w:rPr>
              <w:t>$</w:t>
            </w:r>
            <w:r w:rsidR="00814F9B" w:rsidRPr="00536B41">
              <w:rPr>
                <w:rFonts w:cs="Arial"/>
                <w:sz w:val="20"/>
                <w:szCs w:val="20"/>
              </w:rPr>
              <w:t>0.00</w:t>
            </w:r>
            <w:r w:rsidR="00695478" w:rsidRPr="00536B41">
              <w:rPr>
                <w:rFonts w:cs="Arial"/>
                <w:sz w:val="20"/>
                <w:szCs w:val="20"/>
              </w:rPr>
              <w:t xml:space="preserve"> </w:t>
            </w:r>
            <w:r w:rsidR="00814F9B" w:rsidRPr="00536B41">
              <w:rPr>
                <w:rFonts w:cs="Arial"/>
                <w:sz w:val="20"/>
                <w:szCs w:val="20"/>
              </w:rPr>
              <w:t xml:space="preserve"> </w:t>
            </w:r>
            <w:r w:rsidR="00695478" w:rsidRPr="008A4E86">
              <w:rPr>
                <w:rFonts w:cs="Arial"/>
                <w:sz w:val="20"/>
                <w:szCs w:val="20"/>
              </w:rPr>
              <w:t>(</w:t>
            </w:r>
            <w:r w:rsidR="007B0A6F" w:rsidRPr="002B5F77">
              <w:rPr>
                <w:rFonts w:cs="Arial"/>
                <w:sz w:val="20"/>
                <w:szCs w:val="20"/>
              </w:rPr>
              <w:t>PG&amp;E</w:t>
            </w:r>
            <w:r w:rsidR="00ED043F" w:rsidRPr="002B5F77">
              <w:rPr>
                <w:rFonts w:cs="Arial"/>
                <w:sz w:val="20"/>
                <w:szCs w:val="20"/>
              </w:rPr>
              <w:t>:</w:t>
            </w:r>
            <w:r w:rsidR="007B0A6F" w:rsidRPr="002B5F77">
              <w:rPr>
                <w:rFonts w:cs="Arial"/>
                <w:sz w:val="20"/>
                <w:szCs w:val="20"/>
              </w:rPr>
              <w:t xml:space="preserve"> </w:t>
            </w:r>
            <w:r w:rsidRPr="002B5F77">
              <w:rPr>
                <w:rFonts w:cs="Arial"/>
                <w:sz w:val="20"/>
                <w:szCs w:val="20"/>
              </w:rPr>
              <w:t>F1</w:t>
            </w:r>
            <w:r w:rsidR="007B0A6F" w:rsidRPr="002B5F77">
              <w:rPr>
                <w:rFonts w:cs="Arial"/>
                <w:sz w:val="20"/>
                <w:szCs w:val="20"/>
              </w:rPr>
              <w:t xml:space="preserve">50; </w:t>
            </w:r>
            <w:r w:rsidR="00ED043F" w:rsidRPr="002B5F77">
              <w:rPr>
                <w:rFonts w:cs="Arial"/>
                <w:sz w:val="20"/>
                <w:szCs w:val="20"/>
              </w:rPr>
              <w:t xml:space="preserve">SCE: </w:t>
            </w:r>
            <w:r w:rsidR="00ED043F" w:rsidRPr="00F70784">
              <w:rPr>
                <w:rFonts w:cstheme="minorBidi"/>
                <w:sz w:val="20"/>
                <w:szCs w:val="20"/>
              </w:rPr>
              <w:t>FS-17337</w:t>
            </w:r>
            <w:r w:rsidR="00695478" w:rsidRPr="00536B41">
              <w:rPr>
                <w:rFonts w:cs="Arial"/>
                <w:sz w:val="20"/>
                <w:szCs w:val="20"/>
              </w:rPr>
              <w:t>)</w:t>
            </w:r>
          </w:p>
        </w:tc>
      </w:tr>
      <w:tr w:rsidR="00E05871" w:rsidTr="00241A1F">
        <w:trPr>
          <w:cantSplit/>
        </w:trPr>
        <w:tc>
          <w:tcPr>
            <w:tcW w:w="2718" w:type="dxa"/>
          </w:tcPr>
          <w:p w:rsidR="00E05871" w:rsidRPr="00822B6F" w:rsidRDefault="00ED043F" w:rsidP="00ED043F">
            <w:pPr>
              <w:jc w:val="right"/>
              <w:rPr>
                <w:sz w:val="20"/>
                <w:szCs w:val="20"/>
              </w:rPr>
            </w:pPr>
            <w:r>
              <w:rPr>
                <w:sz w:val="20"/>
                <w:szCs w:val="20"/>
              </w:rPr>
              <w:t>4020</w:t>
            </w:r>
            <w:r w:rsidR="00E35D68">
              <w:rPr>
                <w:sz w:val="20"/>
                <w:szCs w:val="20"/>
              </w:rPr>
              <w:t>3</w:t>
            </w:r>
            <w:r>
              <w:rPr>
                <w:sz w:val="20"/>
                <w:szCs w:val="20"/>
              </w:rPr>
              <w:t>3</w:t>
            </w:r>
          </w:p>
        </w:tc>
        <w:tc>
          <w:tcPr>
            <w:tcW w:w="6858" w:type="dxa"/>
          </w:tcPr>
          <w:p w:rsidR="00E05871" w:rsidRDefault="00E35D68" w:rsidP="00BC1DB8">
            <w:pPr>
              <w:tabs>
                <w:tab w:val="right" w:pos="6732"/>
              </w:tabs>
              <w:rPr>
                <w:rFonts w:cs="Arial"/>
                <w:sz w:val="20"/>
                <w:szCs w:val="20"/>
              </w:rPr>
            </w:pPr>
            <w:r>
              <w:rPr>
                <w:rFonts w:cs="Arial"/>
                <w:sz w:val="20"/>
                <w:szCs w:val="20"/>
              </w:rPr>
              <w:t>$</w:t>
            </w:r>
            <w:r w:rsidR="00814F9B">
              <w:rPr>
                <w:rFonts w:cs="Arial"/>
                <w:sz w:val="20"/>
                <w:szCs w:val="20"/>
              </w:rPr>
              <w:t xml:space="preserve">0.00 </w:t>
            </w:r>
            <w:r w:rsidR="00ED043F">
              <w:rPr>
                <w:rFonts w:cs="Arial"/>
                <w:sz w:val="20"/>
                <w:szCs w:val="20"/>
              </w:rPr>
              <w:t xml:space="preserve"> </w:t>
            </w:r>
          </w:p>
        </w:tc>
      </w:tr>
      <w:tr w:rsidR="00A61271" w:rsidTr="00241A1F">
        <w:trPr>
          <w:cantSplit/>
        </w:trPr>
        <w:tc>
          <w:tcPr>
            <w:tcW w:w="2718" w:type="dxa"/>
          </w:tcPr>
          <w:p w:rsidR="00A61271" w:rsidRPr="00822B6F" w:rsidRDefault="00A61271">
            <w:pPr>
              <w:jc w:val="right"/>
              <w:rPr>
                <w:sz w:val="20"/>
                <w:szCs w:val="20"/>
              </w:rPr>
            </w:pPr>
            <w:r w:rsidRPr="00822B6F">
              <w:rPr>
                <w:sz w:val="20"/>
                <w:szCs w:val="20"/>
              </w:rPr>
              <w:t xml:space="preserve">Measure Cost </w:t>
            </w:r>
          </w:p>
        </w:tc>
        <w:tc>
          <w:tcPr>
            <w:tcW w:w="6858" w:type="dxa"/>
          </w:tcPr>
          <w:p w:rsidR="00A61271" w:rsidRPr="00476F40" w:rsidRDefault="00A61271">
            <w:pPr>
              <w:tabs>
                <w:tab w:val="right" w:pos="6732"/>
              </w:tabs>
              <w:rPr>
                <w:rFonts w:cs="Arial"/>
                <w:sz w:val="20"/>
                <w:szCs w:val="20"/>
              </w:rPr>
            </w:pPr>
            <w:r>
              <w:rPr>
                <w:rFonts w:cs="Arial"/>
                <w:sz w:val="20"/>
                <w:szCs w:val="20"/>
              </w:rPr>
              <w:tab/>
            </w:r>
          </w:p>
        </w:tc>
      </w:tr>
      <w:tr w:rsidR="00591D85" w:rsidTr="00241A1F">
        <w:trPr>
          <w:cantSplit/>
        </w:trPr>
        <w:tc>
          <w:tcPr>
            <w:tcW w:w="2718" w:type="dxa"/>
          </w:tcPr>
          <w:p w:rsidR="00591D85" w:rsidRPr="00822B6F" w:rsidRDefault="00E35D68" w:rsidP="00ED043F">
            <w:pPr>
              <w:jc w:val="right"/>
              <w:rPr>
                <w:sz w:val="20"/>
                <w:szCs w:val="20"/>
              </w:rPr>
            </w:pPr>
            <w:r>
              <w:rPr>
                <w:sz w:val="20"/>
                <w:szCs w:val="20"/>
              </w:rPr>
              <w:t>402</w:t>
            </w:r>
            <w:r w:rsidR="00ED043F">
              <w:rPr>
                <w:sz w:val="20"/>
                <w:szCs w:val="20"/>
              </w:rPr>
              <w:t>032</w:t>
            </w:r>
          </w:p>
        </w:tc>
        <w:tc>
          <w:tcPr>
            <w:tcW w:w="6858" w:type="dxa"/>
          </w:tcPr>
          <w:p w:rsidR="00591D85" w:rsidRPr="002B5F77" w:rsidRDefault="00E35D68" w:rsidP="00ED043F">
            <w:pPr>
              <w:tabs>
                <w:tab w:val="right" w:pos="6732"/>
              </w:tabs>
              <w:rPr>
                <w:rFonts w:cs="Arial"/>
                <w:sz w:val="20"/>
                <w:szCs w:val="20"/>
              </w:rPr>
            </w:pPr>
            <w:r w:rsidRPr="00536B41">
              <w:rPr>
                <w:rFonts w:cs="Arial"/>
                <w:sz w:val="20"/>
                <w:szCs w:val="20"/>
              </w:rPr>
              <w:t>$</w:t>
            </w:r>
            <w:r w:rsidR="00ED043F" w:rsidRPr="008A4E86">
              <w:rPr>
                <w:rFonts w:cs="Arial"/>
                <w:sz w:val="20"/>
                <w:szCs w:val="20"/>
              </w:rPr>
              <w:t xml:space="preserve">1991.00  </w:t>
            </w:r>
            <w:r w:rsidRPr="002B5F77">
              <w:rPr>
                <w:rFonts w:cs="Arial"/>
                <w:sz w:val="20"/>
                <w:szCs w:val="20"/>
              </w:rPr>
              <w:t>(PG&amp;E</w:t>
            </w:r>
            <w:r w:rsidR="00ED043F" w:rsidRPr="002B5F77">
              <w:rPr>
                <w:rFonts w:cs="Arial"/>
                <w:sz w:val="20"/>
                <w:szCs w:val="20"/>
              </w:rPr>
              <w:t>:</w:t>
            </w:r>
            <w:r w:rsidRPr="002B5F77">
              <w:rPr>
                <w:rFonts w:cs="Arial"/>
                <w:sz w:val="20"/>
                <w:szCs w:val="20"/>
              </w:rPr>
              <w:t xml:space="preserve"> F1</w:t>
            </w:r>
            <w:r w:rsidR="007B0A6F" w:rsidRPr="002B5F77">
              <w:rPr>
                <w:rFonts w:cs="Arial"/>
                <w:sz w:val="20"/>
                <w:szCs w:val="20"/>
              </w:rPr>
              <w:t xml:space="preserve">50; </w:t>
            </w:r>
            <w:r w:rsidR="00ED043F" w:rsidRPr="002B5F77">
              <w:rPr>
                <w:rFonts w:cs="Arial"/>
                <w:sz w:val="20"/>
                <w:szCs w:val="20"/>
              </w:rPr>
              <w:t xml:space="preserve">SCE: </w:t>
            </w:r>
            <w:r w:rsidR="00ED043F" w:rsidRPr="00F70784">
              <w:rPr>
                <w:rFonts w:cstheme="minorBidi"/>
                <w:sz w:val="20"/>
                <w:szCs w:val="20"/>
              </w:rPr>
              <w:t>FS-17337</w:t>
            </w:r>
            <w:r w:rsidR="001752E5" w:rsidRPr="00536B41">
              <w:rPr>
                <w:rFonts w:cs="Arial"/>
                <w:sz w:val="20"/>
                <w:szCs w:val="20"/>
              </w:rPr>
              <w:t>)</w:t>
            </w:r>
            <w:r w:rsidR="00591D85" w:rsidRPr="008A4E86">
              <w:rPr>
                <w:rFonts w:cs="Arial"/>
                <w:sz w:val="20"/>
                <w:szCs w:val="20"/>
              </w:rPr>
              <w:t xml:space="preserve"> </w:t>
            </w:r>
          </w:p>
        </w:tc>
      </w:tr>
      <w:tr w:rsidR="00591D85" w:rsidTr="00241A1F">
        <w:trPr>
          <w:cantSplit/>
        </w:trPr>
        <w:tc>
          <w:tcPr>
            <w:tcW w:w="2718" w:type="dxa"/>
          </w:tcPr>
          <w:p w:rsidR="00591D85" w:rsidRPr="00822B6F" w:rsidRDefault="00ED043F" w:rsidP="00393EC8">
            <w:pPr>
              <w:jc w:val="right"/>
              <w:rPr>
                <w:sz w:val="20"/>
                <w:szCs w:val="20"/>
              </w:rPr>
            </w:pPr>
            <w:r>
              <w:rPr>
                <w:sz w:val="20"/>
                <w:szCs w:val="20"/>
              </w:rPr>
              <w:t>402033</w:t>
            </w:r>
          </w:p>
        </w:tc>
        <w:tc>
          <w:tcPr>
            <w:tcW w:w="6858" w:type="dxa"/>
          </w:tcPr>
          <w:p w:rsidR="00591D85" w:rsidRDefault="00ED043F" w:rsidP="00AE5DCD">
            <w:pPr>
              <w:tabs>
                <w:tab w:val="right" w:pos="6732"/>
              </w:tabs>
              <w:rPr>
                <w:rFonts w:cs="Arial"/>
                <w:sz w:val="20"/>
                <w:szCs w:val="20"/>
              </w:rPr>
            </w:pPr>
            <w:r>
              <w:rPr>
                <w:rFonts w:cs="Arial"/>
                <w:sz w:val="20"/>
                <w:szCs w:val="20"/>
              </w:rPr>
              <w:t xml:space="preserve">$  944.00  </w:t>
            </w: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437" w:rsidRDefault="00582437" w:rsidP="00FE520B">
      <w:r>
        <w:separator/>
      </w:r>
    </w:p>
  </w:endnote>
  <w:endnote w:type="continuationSeparator" w:id="0">
    <w:p w:rsidR="00582437" w:rsidRDefault="00582437"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2C15E6">
      <w:rPr>
        <w:b/>
      </w:rPr>
      <w:t>WPSDGENRCC0014</w:t>
    </w:r>
    <w:r>
      <w:rPr>
        <w:b/>
      </w:rPr>
      <w:t xml:space="preserve">, Revision </w:t>
    </w:r>
    <w:r w:rsidR="002C15E6">
      <w:rPr>
        <w:b/>
      </w:rPr>
      <w:t>4</w:t>
    </w:r>
    <w:r w:rsidR="00E372B8">
      <w:rPr>
        <w:b/>
      </w:rPr>
      <w:tab/>
    </w:r>
    <w:r w:rsidR="00E372B8">
      <w:rPr>
        <w:b/>
      </w:rPr>
      <w:tab/>
    </w:r>
    <w:r w:rsidR="00E35D68">
      <w:rPr>
        <w:rFonts w:cstheme="minorHAnsi"/>
        <w:b/>
        <w:szCs w:val="22"/>
      </w:rPr>
      <w:t>December</w:t>
    </w:r>
    <w:r w:rsidR="003E6E57">
      <w:rPr>
        <w:rFonts w:cstheme="minorHAnsi"/>
        <w:b/>
        <w:szCs w:val="22"/>
      </w:rPr>
      <w:t xml:space="preserve"> </w:t>
    </w:r>
    <w:r w:rsidR="00B01EA0">
      <w:rPr>
        <w:rFonts w:cstheme="minorHAnsi"/>
        <w:b/>
        <w:szCs w:val="22"/>
      </w:rPr>
      <w:t>24</w:t>
    </w:r>
    <w:r w:rsidR="00E372B8" w:rsidRPr="00241A1F">
      <w:rPr>
        <w:rFonts w:cstheme="minorHAnsi"/>
        <w:b/>
        <w:szCs w:val="22"/>
      </w:rPr>
      <w:t>, 2016</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0D5E13">
      <w:rPr>
        <w:b/>
        <w:noProof/>
      </w:rPr>
      <w:t>2</w:t>
    </w:r>
    <w:r w:rsidR="00C7215A" w:rsidRPr="00C7215A">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437" w:rsidRDefault="00582437" w:rsidP="00FE520B">
      <w:r>
        <w:separator/>
      </w:r>
    </w:p>
  </w:footnote>
  <w:footnote w:type="continuationSeparator" w:id="0">
    <w:p w:rsidR="00582437" w:rsidRDefault="00582437"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7">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8"/>
  </w:num>
  <w:num w:numId="6">
    <w:abstractNumId w:val="3"/>
  </w:num>
  <w:num w:numId="7">
    <w:abstractNumId w:val="12"/>
  </w:num>
  <w:num w:numId="8">
    <w:abstractNumId w:val="9"/>
  </w:num>
  <w:num w:numId="9">
    <w:abstractNumId w:val="4"/>
  </w:num>
  <w:num w:numId="10">
    <w:abstractNumId w:val="10"/>
  </w:num>
  <w:num w:numId="11">
    <w:abstractNumId w:val="11"/>
  </w:num>
  <w:num w:numId="12">
    <w:abstractNumId w:val="7"/>
  </w:num>
  <w:num w:numId="13">
    <w:abstractNumId w:val="13"/>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31221"/>
    <w:rsid w:val="00031BA0"/>
    <w:rsid w:val="00041DA6"/>
    <w:rsid w:val="00052743"/>
    <w:rsid w:val="00052CE4"/>
    <w:rsid w:val="00067315"/>
    <w:rsid w:val="000719BF"/>
    <w:rsid w:val="000B5761"/>
    <w:rsid w:val="000C13AE"/>
    <w:rsid w:val="000D5E13"/>
    <w:rsid w:val="000E19CA"/>
    <w:rsid w:val="000E2CA6"/>
    <w:rsid w:val="000F6BA3"/>
    <w:rsid w:val="000F72EF"/>
    <w:rsid w:val="0012271D"/>
    <w:rsid w:val="00143843"/>
    <w:rsid w:val="001752E5"/>
    <w:rsid w:val="00194466"/>
    <w:rsid w:val="001A11C1"/>
    <w:rsid w:val="001A34A6"/>
    <w:rsid w:val="001A4875"/>
    <w:rsid w:val="001B1C8A"/>
    <w:rsid w:val="001B5D6C"/>
    <w:rsid w:val="001C3663"/>
    <w:rsid w:val="001D0AB9"/>
    <w:rsid w:val="001D57D7"/>
    <w:rsid w:val="001D6A64"/>
    <w:rsid w:val="00200310"/>
    <w:rsid w:val="00215828"/>
    <w:rsid w:val="00231DE1"/>
    <w:rsid w:val="00241A1F"/>
    <w:rsid w:val="00244447"/>
    <w:rsid w:val="00291B2B"/>
    <w:rsid w:val="002B5F77"/>
    <w:rsid w:val="002C1030"/>
    <w:rsid w:val="002C15E6"/>
    <w:rsid w:val="002D7B3E"/>
    <w:rsid w:val="002E0948"/>
    <w:rsid w:val="002E24BE"/>
    <w:rsid w:val="00323C28"/>
    <w:rsid w:val="0032761E"/>
    <w:rsid w:val="00353DDE"/>
    <w:rsid w:val="00360CFA"/>
    <w:rsid w:val="00362173"/>
    <w:rsid w:val="003A0D2B"/>
    <w:rsid w:val="003A4277"/>
    <w:rsid w:val="003A7B4E"/>
    <w:rsid w:val="003B5DCF"/>
    <w:rsid w:val="003C2EE4"/>
    <w:rsid w:val="003D1C21"/>
    <w:rsid w:val="003E0DC8"/>
    <w:rsid w:val="003E122A"/>
    <w:rsid w:val="003E6E57"/>
    <w:rsid w:val="003E6FA5"/>
    <w:rsid w:val="003F1F0D"/>
    <w:rsid w:val="004016D3"/>
    <w:rsid w:val="00402B3D"/>
    <w:rsid w:val="00413EF4"/>
    <w:rsid w:val="00431763"/>
    <w:rsid w:val="0044686E"/>
    <w:rsid w:val="004519B4"/>
    <w:rsid w:val="00463A68"/>
    <w:rsid w:val="00467DB3"/>
    <w:rsid w:val="004A6215"/>
    <w:rsid w:val="004D0326"/>
    <w:rsid w:val="004D5D19"/>
    <w:rsid w:val="004E13B2"/>
    <w:rsid w:val="00536B41"/>
    <w:rsid w:val="005428E1"/>
    <w:rsid w:val="00555671"/>
    <w:rsid w:val="00556B27"/>
    <w:rsid w:val="005613FC"/>
    <w:rsid w:val="00567FEF"/>
    <w:rsid w:val="00580664"/>
    <w:rsid w:val="00582437"/>
    <w:rsid w:val="0059117D"/>
    <w:rsid w:val="00591D85"/>
    <w:rsid w:val="0059663B"/>
    <w:rsid w:val="005A754E"/>
    <w:rsid w:val="005B5614"/>
    <w:rsid w:val="005C1518"/>
    <w:rsid w:val="005E18A1"/>
    <w:rsid w:val="00636490"/>
    <w:rsid w:val="00650C31"/>
    <w:rsid w:val="00650F0D"/>
    <w:rsid w:val="00653C4B"/>
    <w:rsid w:val="00666CDA"/>
    <w:rsid w:val="00684ABA"/>
    <w:rsid w:val="006875B3"/>
    <w:rsid w:val="00695478"/>
    <w:rsid w:val="006A3E63"/>
    <w:rsid w:val="006B0D5C"/>
    <w:rsid w:val="006D03F9"/>
    <w:rsid w:val="00707736"/>
    <w:rsid w:val="00711B58"/>
    <w:rsid w:val="00727839"/>
    <w:rsid w:val="00762D81"/>
    <w:rsid w:val="0076481A"/>
    <w:rsid w:val="00785AC8"/>
    <w:rsid w:val="00786E32"/>
    <w:rsid w:val="00787D7C"/>
    <w:rsid w:val="00792928"/>
    <w:rsid w:val="00796174"/>
    <w:rsid w:val="00797B54"/>
    <w:rsid w:val="007B0A6F"/>
    <w:rsid w:val="007D1F1E"/>
    <w:rsid w:val="007D3A21"/>
    <w:rsid w:val="007E66F2"/>
    <w:rsid w:val="00814F9B"/>
    <w:rsid w:val="0081521B"/>
    <w:rsid w:val="00856FA4"/>
    <w:rsid w:val="00862113"/>
    <w:rsid w:val="008724D6"/>
    <w:rsid w:val="008775D7"/>
    <w:rsid w:val="00884B9C"/>
    <w:rsid w:val="008A1557"/>
    <w:rsid w:val="008A1D1C"/>
    <w:rsid w:val="008A4224"/>
    <w:rsid w:val="008A4E86"/>
    <w:rsid w:val="008C2C8A"/>
    <w:rsid w:val="008D0B3C"/>
    <w:rsid w:val="008D2A13"/>
    <w:rsid w:val="008E0850"/>
    <w:rsid w:val="008E5CD5"/>
    <w:rsid w:val="00910D54"/>
    <w:rsid w:val="00920B88"/>
    <w:rsid w:val="009269CE"/>
    <w:rsid w:val="0093657B"/>
    <w:rsid w:val="00950249"/>
    <w:rsid w:val="00957C01"/>
    <w:rsid w:val="00986A83"/>
    <w:rsid w:val="009C3F2D"/>
    <w:rsid w:val="009C6AE8"/>
    <w:rsid w:val="009F3770"/>
    <w:rsid w:val="00A051D9"/>
    <w:rsid w:val="00A3401B"/>
    <w:rsid w:val="00A61271"/>
    <w:rsid w:val="00A75EDC"/>
    <w:rsid w:val="00AA43C4"/>
    <w:rsid w:val="00AE5DCD"/>
    <w:rsid w:val="00B01EA0"/>
    <w:rsid w:val="00B471CC"/>
    <w:rsid w:val="00B47B58"/>
    <w:rsid w:val="00B57F32"/>
    <w:rsid w:val="00B61FCD"/>
    <w:rsid w:val="00B75260"/>
    <w:rsid w:val="00B818B4"/>
    <w:rsid w:val="00B84663"/>
    <w:rsid w:val="00B9234D"/>
    <w:rsid w:val="00B9452E"/>
    <w:rsid w:val="00B9551F"/>
    <w:rsid w:val="00BB2D80"/>
    <w:rsid w:val="00BC1DB8"/>
    <w:rsid w:val="00BC6454"/>
    <w:rsid w:val="00C048F4"/>
    <w:rsid w:val="00C06B9E"/>
    <w:rsid w:val="00C15F66"/>
    <w:rsid w:val="00C228B0"/>
    <w:rsid w:val="00C23CAB"/>
    <w:rsid w:val="00C24892"/>
    <w:rsid w:val="00C414A6"/>
    <w:rsid w:val="00C44E5A"/>
    <w:rsid w:val="00C462C1"/>
    <w:rsid w:val="00C54AC6"/>
    <w:rsid w:val="00C7215A"/>
    <w:rsid w:val="00CA48A0"/>
    <w:rsid w:val="00CB10BC"/>
    <w:rsid w:val="00CF295D"/>
    <w:rsid w:val="00CF2ABA"/>
    <w:rsid w:val="00D00FCF"/>
    <w:rsid w:val="00D345A3"/>
    <w:rsid w:val="00D60240"/>
    <w:rsid w:val="00D73723"/>
    <w:rsid w:val="00D84702"/>
    <w:rsid w:val="00DA5D17"/>
    <w:rsid w:val="00DB544A"/>
    <w:rsid w:val="00DB71F1"/>
    <w:rsid w:val="00DC7243"/>
    <w:rsid w:val="00DE1C5D"/>
    <w:rsid w:val="00DE364E"/>
    <w:rsid w:val="00E048EA"/>
    <w:rsid w:val="00E05871"/>
    <w:rsid w:val="00E05B9C"/>
    <w:rsid w:val="00E159C8"/>
    <w:rsid w:val="00E165FC"/>
    <w:rsid w:val="00E35D68"/>
    <w:rsid w:val="00E372B8"/>
    <w:rsid w:val="00E408A9"/>
    <w:rsid w:val="00E52110"/>
    <w:rsid w:val="00E56CE7"/>
    <w:rsid w:val="00E6385A"/>
    <w:rsid w:val="00E6631C"/>
    <w:rsid w:val="00E733C7"/>
    <w:rsid w:val="00E76853"/>
    <w:rsid w:val="00E84938"/>
    <w:rsid w:val="00E859F0"/>
    <w:rsid w:val="00EC38B0"/>
    <w:rsid w:val="00ED043F"/>
    <w:rsid w:val="00ED3B34"/>
    <w:rsid w:val="00ED65C0"/>
    <w:rsid w:val="00EE38DA"/>
    <w:rsid w:val="00EE6CFE"/>
    <w:rsid w:val="00F117C6"/>
    <w:rsid w:val="00F54E52"/>
    <w:rsid w:val="00F70784"/>
    <w:rsid w:val="00F77C08"/>
    <w:rsid w:val="00F855DD"/>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eeresources.net" TargetMode="Externa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447EB0-64CE-4BD0-A99A-DDBA4147C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793</Words>
  <Characters>4524</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2016-12-30T17:17:00Z</dcterms:created>
  <dcterms:modified xsi:type="dcterms:W3CDTF">2016-12-30T17:17:00Z</dcterms:modified>
</cp:coreProperties>
</file>