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B2C14" w14:textId="77777777"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FA3359" w:rsidRPr="00FA3359">
        <w:t>WPSDGENR</w:t>
      </w:r>
      <w:r w:rsidR="001E4EA3">
        <w:t>CC001</w:t>
      </w:r>
      <w:r w:rsidR="008B5184">
        <w:t>5</w:t>
      </w:r>
    </w:p>
    <w:p w14:paraId="6AF6ED14" w14:textId="77777777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1E4EA3">
        <w:rPr>
          <w:rStyle w:val="CaptionChar"/>
          <w:b/>
          <w:bCs w:val="0"/>
        </w:rPr>
        <w:t>1</w:t>
      </w:r>
    </w:p>
    <w:bookmarkEnd w:id="0"/>
    <w:p w14:paraId="1DF21519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6B202B3C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4C277DC1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221030C1" w14:textId="77777777" w:rsidR="00F117C6" w:rsidRPr="00500C4E" w:rsidRDefault="00F117C6" w:rsidP="00F117C6">
      <w:pPr>
        <w:rPr>
          <w:rFonts w:cstheme="minorHAnsi"/>
        </w:rPr>
      </w:pPr>
    </w:p>
    <w:p w14:paraId="622B1535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29D97BD4" w14:textId="77777777" w:rsidR="00F117C6" w:rsidRPr="00500C4E" w:rsidRDefault="00F117C6" w:rsidP="00F117C6">
      <w:pPr>
        <w:rPr>
          <w:rFonts w:cstheme="minorHAnsi"/>
        </w:rPr>
      </w:pPr>
    </w:p>
    <w:p w14:paraId="17704B3C" w14:textId="77777777" w:rsidR="00F117C6" w:rsidRPr="00500C4E" w:rsidRDefault="00F117C6" w:rsidP="00F117C6">
      <w:pPr>
        <w:rPr>
          <w:rFonts w:cstheme="minorHAnsi"/>
        </w:rPr>
      </w:pPr>
    </w:p>
    <w:p w14:paraId="4A0300C2" w14:textId="77777777" w:rsidR="00F117C6" w:rsidRPr="00500C4E" w:rsidRDefault="00F117C6" w:rsidP="00F117C6">
      <w:pPr>
        <w:rPr>
          <w:rFonts w:cstheme="minorHAnsi"/>
        </w:rPr>
      </w:pPr>
    </w:p>
    <w:p w14:paraId="7040E2A6" w14:textId="77777777" w:rsidR="00F117C6" w:rsidRPr="00500C4E" w:rsidRDefault="00F117C6" w:rsidP="00F117C6">
      <w:pPr>
        <w:rPr>
          <w:rFonts w:cstheme="minorHAnsi"/>
        </w:rPr>
      </w:pPr>
    </w:p>
    <w:p w14:paraId="0443E1C9" w14:textId="77777777" w:rsidR="00F117C6" w:rsidRPr="00500C4E" w:rsidRDefault="00F117C6" w:rsidP="00F117C6">
      <w:pPr>
        <w:rPr>
          <w:rFonts w:cstheme="minorHAnsi"/>
        </w:rPr>
      </w:pPr>
    </w:p>
    <w:p w14:paraId="3B3989A7" w14:textId="77777777" w:rsidR="000E19CA" w:rsidRDefault="008B5184" w:rsidP="00884B9C">
      <w:pPr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Commercial Co</w:t>
      </w:r>
      <w:r w:rsidR="001E4EA3">
        <w:rPr>
          <w:rFonts w:ascii="Arial" w:hAnsi="Arial" w:cs="Arial"/>
          <w:b/>
          <w:sz w:val="72"/>
          <w:szCs w:val="72"/>
        </w:rPr>
        <w:t>nveyor</w:t>
      </w:r>
      <w:r>
        <w:rPr>
          <w:rFonts w:ascii="Arial" w:hAnsi="Arial" w:cs="Arial"/>
          <w:b/>
          <w:sz w:val="72"/>
          <w:szCs w:val="72"/>
        </w:rPr>
        <w:t xml:space="preserve"> Oven</w:t>
      </w:r>
      <w:r w:rsidR="001E4EA3">
        <w:rPr>
          <w:rFonts w:ascii="Arial" w:hAnsi="Arial" w:cs="Arial"/>
          <w:b/>
          <w:sz w:val="72"/>
          <w:szCs w:val="72"/>
        </w:rPr>
        <w:t xml:space="preserve"> </w:t>
      </w:r>
      <w:r w:rsidR="006875B3">
        <w:rPr>
          <w:rFonts w:ascii="Arial" w:hAnsi="Arial" w:cs="Arial"/>
          <w:b/>
          <w:sz w:val="72"/>
          <w:szCs w:val="72"/>
        </w:rPr>
        <w:t>Gas</w:t>
      </w:r>
    </w:p>
    <w:p w14:paraId="296296E6" w14:textId="77777777" w:rsidR="001E4EA3" w:rsidRDefault="001E4EA3" w:rsidP="00884B9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Measure Codes</w:t>
      </w:r>
      <w:r w:rsidR="00C9202E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6137D">
        <w:rPr>
          <w:rFonts w:ascii="Arial" w:hAnsi="Arial" w:cs="Arial"/>
          <w:b/>
          <w:sz w:val="20"/>
          <w:szCs w:val="20"/>
        </w:rPr>
        <w:tab/>
      </w:r>
    </w:p>
    <w:p w14:paraId="4643B71E" w14:textId="77777777" w:rsidR="00C9202E" w:rsidRPr="001E4EA3" w:rsidRDefault="00C9202E" w:rsidP="00884B9C">
      <w:pPr>
        <w:rPr>
          <w:rFonts w:cstheme="minorHAnsi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C9202E">
        <w:rPr>
          <w:rFonts w:ascii="Arial" w:hAnsi="Arial" w:cs="Arial"/>
          <w:b/>
          <w:sz w:val="20"/>
          <w:szCs w:val="20"/>
        </w:rPr>
        <w:t>402031</w:t>
      </w:r>
    </w:p>
    <w:p w14:paraId="2ED4D14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56CEF9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F30AEE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9B1AF9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0AA73D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62A273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A2F405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1C4683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6DF675D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38D430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D5096F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7BC698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22869B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36D0C0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973C51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95B99BB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0A256724" w14:textId="77777777" w:rsidR="00E372B8" w:rsidRDefault="00C9202E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March 1</w:t>
      </w:r>
      <w:r w:rsidR="007D6FF1">
        <w:rPr>
          <w:rFonts w:cstheme="minorHAnsi"/>
          <w:b/>
          <w:sz w:val="28"/>
          <w:szCs w:val="28"/>
        </w:rPr>
        <w:t>2</w:t>
      </w:r>
      <w:r w:rsidR="000E19CA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8</w:t>
      </w:r>
    </w:p>
    <w:p w14:paraId="57F27923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C1E223D" w14:textId="77777777" w:rsidR="00FE520B" w:rsidRDefault="0059117D" w:rsidP="00FE520B">
      <w:pPr>
        <w:pStyle w:val="Heading1"/>
      </w:pPr>
      <w:r>
        <w:lastRenderedPageBreak/>
        <w:t xml:space="preserve">SDG&amp;E </w:t>
      </w:r>
      <w:r w:rsidR="00DC42DE">
        <w:t>Commercial Co</w:t>
      </w:r>
      <w:r w:rsidR="00C9202E">
        <w:t xml:space="preserve">nveyor </w:t>
      </w:r>
      <w:r w:rsidR="00DC42DE">
        <w:t>Oven</w:t>
      </w:r>
      <w:r w:rsidR="00323C28">
        <w:t>-Gas</w:t>
      </w:r>
      <w:r w:rsidR="00884B9C">
        <w:t xml:space="preserve"> </w:t>
      </w:r>
    </w:p>
    <w:p w14:paraId="7B142E90" w14:textId="77777777" w:rsidR="00413EF4" w:rsidRDefault="00413EF4" w:rsidP="00413EF4">
      <w:pPr>
        <w:pStyle w:val="Heading2"/>
      </w:pPr>
      <w:r>
        <w:t>Introduction</w:t>
      </w:r>
    </w:p>
    <w:p w14:paraId="504B3130" w14:textId="77777777"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PGE’s </w:t>
      </w:r>
      <w:r w:rsidR="008E5CD5">
        <w:t>WP</w:t>
      </w:r>
      <w:r>
        <w:t xml:space="preserve"> entitled “</w:t>
      </w:r>
      <w:r w:rsidR="006875B3">
        <w:t xml:space="preserve">Commercial </w:t>
      </w:r>
      <w:r w:rsidR="00C9202E">
        <w:t xml:space="preserve">Conveyor Oven - </w:t>
      </w:r>
      <w:r w:rsidR="006875B3">
        <w:t>Gas</w:t>
      </w:r>
      <w:r w:rsidR="005E18A1">
        <w:t>” (</w:t>
      </w:r>
      <w:r w:rsidR="00DC42DE">
        <w:t>PGECOFST1</w:t>
      </w:r>
      <w:r w:rsidR="00C9202E">
        <w:t>17</w:t>
      </w:r>
      <w:r w:rsidR="00DC42DE">
        <w:t xml:space="preserve"> R</w:t>
      </w:r>
      <w:r w:rsidR="00C9202E">
        <w:t>5</w:t>
      </w:r>
      <w:r w:rsidR="00DC42DE">
        <w:t xml:space="preserve"> Commercial C</w:t>
      </w:r>
      <w:r w:rsidR="00C9202E">
        <w:t>onveyor</w:t>
      </w:r>
      <w:r w:rsidR="00DC42DE">
        <w:t xml:space="preserve"> Ovens-</w:t>
      </w:r>
      <w:r w:rsidR="00C9202E">
        <w:t>Gas_20150313</w:t>
      </w:r>
      <w:r w:rsidR="00DC42DE">
        <w:t>.docx</w:t>
      </w:r>
      <w:r w:rsidR="006875B3">
        <w:t>)</w:t>
      </w:r>
      <w:r w:rsidR="005E18A1">
        <w:t xml:space="preserve">.  SDG&amp;E </w:t>
      </w:r>
      <w:r w:rsidR="00555671">
        <w:t>a</w:t>
      </w:r>
      <w:r w:rsidR="005E18A1">
        <w:t>d</w:t>
      </w:r>
      <w:r w:rsidR="00555671">
        <w:t>op</w:t>
      </w:r>
      <w:r w:rsidR="00C9202E">
        <w:t xml:space="preserve">ts </w:t>
      </w:r>
      <w:proofErr w:type="gramStart"/>
      <w:r w:rsidR="00C9202E">
        <w:t xml:space="preserve">all </w:t>
      </w:r>
      <w:r w:rsidR="005E18A1">
        <w:t>of</w:t>
      </w:r>
      <w:proofErr w:type="gramEnd"/>
      <w:r w:rsidR="005E18A1">
        <w:t xml:space="preserve"> the values in </w:t>
      </w:r>
      <w:r w:rsidR="005E18A1" w:rsidRPr="005E18A1">
        <w:t>PGECO</w:t>
      </w:r>
      <w:r w:rsidR="00DC42DE">
        <w:t>FST1</w:t>
      </w:r>
      <w:r w:rsidR="00C9202E">
        <w:t>17</w:t>
      </w:r>
      <w:r w:rsidR="00DC42DE">
        <w:t xml:space="preserve"> R</w:t>
      </w:r>
      <w:r w:rsidR="00C9202E">
        <w:t>5</w:t>
      </w:r>
      <w:r w:rsidR="00DC42DE">
        <w:t xml:space="preserve"> C</w:t>
      </w:r>
      <w:r w:rsidR="00C9202E">
        <w:t>ommercial Conveyor Oven-Gas</w:t>
      </w:r>
      <w:r w:rsidR="005E18A1">
        <w:t xml:space="preserve">, with </w:t>
      </w:r>
      <w:r w:rsidR="00B10A44">
        <w:t xml:space="preserve">no </w:t>
      </w:r>
      <w:r w:rsidR="005E18A1">
        <w:t>exceptions</w:t>
      </w:r>
      <w:r w:rsidR="00B10A44">
        <w:t xml:space="preserve">. </w:t>
      </w:r>
    </w:p>
    <w:p w14:paraId="6FAAE769" w14:textId="77777777" w:rsidR="005E18A1" w:rsidRDefault="005E18A1" w:rsidP="00555671">
      <w:pPr>
        <w:jc w:val="both"/>
      </w:pPr>
    </w:p>
    <w:p w14:paraId="0A7C9358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737"/>
        <w:gridCol w:w="5814"/>
      </w:tblGrid>
      <w:tr w:rsidR="00B57F32" w:rsidRPr="00500C4E" w14:paraId="727E7660" w14:textId="77777777" w:rsidTr="00FD4F0C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682D5588" w14:textId="77777777" w:rsidR="00B57F32" w:rsidRPr="000E2B6B" w:rsidRDefault="00B57F32" w:rsidP="00B10A4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2" w:type="pct"/>
            <w:shd w:val="clear" w:color="auto" w:fill="D9D9D9" w:themeFill="background1" w:themeFillShade="D9"/>
          </w:tcPr>
          <w:p w14:paraId="2E3735F2" w14:textId="77777777" w:rsidR="00B57F32" w:rsidRPr="000E2B6B" w:rsidRDefault="00B57F32" w:rsidP="00B10A4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29" w:type="pct"/>
            <w:shd w:val="clear" w:color="auto" w:fill="D9D9D9" w:themeFill="background1" w:themeFillShade="D9"/>
          </w:tcPr>
          <w:p w14:paraId="171D6234" w14:textId="77777777" w:rsidR="00B57F32" w:rsidRPr="000E2B6B" w:rsidRDefault="00B57F32" w:rsidP="00B10A4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9" w:type="pct"/>
            <w:shd w:val="clear" w:color="auto" w:fill="D9D9D9" w:themeFill="background1" w:themeFillShade="D9"/>
          </w:tcPr>
          <w:p w14:paraId="5D4D1DD6" w14:textId="77777777" w:rsidR="00B57F32" w:rsidRPr="000E2B6B" w:rsidRDefault="00B57F32" w:rsidP="00B10A4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14:paraId="0AC69F00" w14:textId="77777777" w:rsidTr="00FD4F0C">
        <w:trPr>
          <w:trHeight w:val="20"/>
        </w:trPr>
        <w:tc>
          <w:tcPr>
            <w:tcW w:w="280" w:type="pct"/>
          </w:tcPr>
          <w:p w14:paraId="789046B2" w14:textId="77777777"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82" w:type="pct"/>
          </w:tcPr>
          <w:p w14:paraId="51F50463" w14:textId="77777777" w:rsidR="00884B9C" w:rsidRPr="000E2B6B" w:rsidRDefault="001906A1" w:rsidP="00B10A44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6/15/2012</w:t>
            </w:r>
          </w:p>
        </w:tc>
        <w:tc>
          <w:tcPr>
            <w:tcW w:w="929" w:type="pct"/>
          </w:tcPr>
          <w:p w14:paraId="3FB62F31" w14:textId="77777777" w:rsidR="00884B9C" w:rsidRPr="000E2B6B" w:rsidRDefault="001906A1" w:rsidP="00B10A4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Max </w:t>
            </w:r>
            <w:proofErr w:type="spellStart"/>
            <w:r>
              <w:rPr>
                <w:rFonts w:cstheme="minorHAnsi"/>
                <w:szCs w:val="20"/>
              </w:rPr>
              <w:t>Twogood</w:t>
            </w:r>
            <w:proofErr w:type="spellEnd"/>
            <w:r>
              <w:rPr>
                <w:rFonts w:cstheme="minorHAnsi"/>
                <w:szCs w:val="20"/>
              </w:rPr>
              <w:t>, SDG&amp;E</w:t>
            </w:r>
          </w:p>
        </w:tc>
        <w:tc>
          <w:tcPr>
            <w:tcW w:w="3109" w:type="pct"/>
          </w:tcPr>
          <w:p w14:paraId="4B3D53DA" w14:textId="77777777" w:rsidR="00884B9C" w:rsidRPr="005734A4" w:rsidRDefault="001906A1" w:rsidP="00762D81">
            <w:pPr>
              <w:rPr>
                <w:rFonts w:cstheme="minorHAnsi"/>
                <w:szCs w:val="20"/>
              </w:rPr>
            </w:pPr>
            <w:r>
              <w:rPr>
                <w:szCs w:val="20"/>
              </w:rPr>
              <w:t xml:space="preserve">Adopted from: </w:t>
            </w:r>
            <w:r w:rsidRPr="00DC64A6">
              <w:rPr>
                <w:szCs w:val="20"/>
              </w:rPr>
              <w:t>Commercial Conveyor Oven - Gas PGECOFST117 R3-Revised May 14 2012.doc</w:t>
            </w:r>
            <w:r>
              <w:rPr>
                <w:szCs w:val="20"/>
              </w:rPr>
              <w:t xml:space="preserve"> dated May 14, 2012. Revised NTGR to 2011 DEER. Revised approvers to SDGE management.</w:t>
            </w:r>
          </w:p>
        </w:tc>
      </w:tr>
      <w:tr w:rsidR="00884B9C" w:rsidRPr="00500C4E" w14:paraId="6838A881" w14:textId="77777777" w:rsidTr="00FD4F0C">
        <w:trPr>
          <w:trHeight w:val="20"/>
        </w:trPr>
        <w:tc>
          <w:tcPr>
            <w:tcW w:w="280" w:type="pct"/>
          </w:tcPr>
          <w:p w14:paraId="00CE7D73" w14:textId="77777777" w:rsidR="00884B9C" w:rsidRPr="000E2B6B" w:rsidRDefault="00762D81">
            <w:pPr>
              <w:jc w:val="center"/>
              <w:rPr>
                <w:rStyle w:val="Strong"/>
                <w:b w:val="0"/>
              </w:rPr>
            </w:pPr>
            <w:r>
              <w:t>1</w:t>
            </w:r>
          </w:p>
        </w:tc>
        <w:tc>
          <w:tcPr>
            <w:tcW w:w="682" w:type="pct"/>
          </w:tcPr>
          <w:p w14:paraId="0CAF4BF8" w14:textId="77777777" w:rsidR="00884B9C" w:rsidRPr="000E2B6B" w:rsidRDefault="001906A1" w:rsidP="00B10A4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03/12/2018</w:t>
            </w:r>
          </w:p>
        </w:tc>
        <w:tc>
          <w:tcPr>
            <w:tcW w:w="929" w:type="pct"/>
          </w:tcPr>
          <w:p w14:paraId="3C021C7F" w14:textId="77777777" w:rsidR="00884B9C" w:rsidRPr="000E2B6B" w:rsidRDefault="001906A1" w:rsidP="00B10A44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Eduardo Reynoso, SDG&amp;E</w:t>
            </w:r>
          </w:p>
        </w:tc>
        <w:tc>
          <w:tcPr>
            <w:tcW w:w="3109" w:type="pct"/>
          </w:tcPr>
          <w:p w14:paraId="380C0A58" w14:textId="77777777" w:rsidR="00762D81" w:rsidRDefault="001906A1" w:rsidP="001906A1">
            <w:pPr>
              <w:rPr>
                <w:rStyle w:val="Strong"/>
                <w:b w:val="0"/>
                <w:szCs w:val="20"/>
              </w:rPr>
            </w:pPr>
            <w:r>
              <w:rPr>
                <w:rStyle w:val="Strong"/>
                <w:b w:val="0"/>
                <w:szCs w:val="20"/>
              </w:rPr>
              <w:t>The changes are as follows:</w:t>
            </w:r>
          </w:p>
          <w:p w14:paraId="40F597CD" w14:textId="77777777" w:rsidR="00832EBE" w:rsidRDefault="001906A1" w:rsidP="0036137D">
            <w:pPr>
              <w:pStyle w:val="ListParagraph"/>
              <w:numPr>
                <w:ilvl w:val="0"/>
                <w:numId w:val="18"/>
              </w:numPr>
              <w:rPr>
                <w:rStyle w:val="Strong"/>
                <w:b w:val="0"/>
                <w:szCs w:val="20"/>
              </w:rPr>
            </w:pPr>
            <w:r>
              <w:rPr>
                <w:rStyle w:val="Strong"/>
                <w:b w:val="0"/>
                <w:szCs w:val="20"/>
              </w:rPr>
              <w:t>Updated workpaper format to short form workpaper.</w:t>
            </w:r>
          </w:p>
          <w:p w14:paraId="28CD7867" w14:textId="77777777" w:rsidR="00B10A44" w:rsidRPr="0036137D" w:rsidRDefault="00147565" w:rsidP="0036137D">
            <w:pPr>
              <w:pStyle w:val="ListParagraph"/>
              <w:numPr>
                <w:ilvl w:val="0"/>
                <w:numId w:val="18"/>
              </w:numPr>
              <w:rPr>
                <w:rStyle w:val="Strong"/>
                <w:b w:val="0"/>
                <w:szCs w:val="20"/>
              </w:rPr>
            </w:pPr>
            <w:r w:rsidRPr="0036137D">
              <w:rPr>
                <w:rStyle w:val="Strong"/>
                <w:b w:val="0"/>
                <w:szCs w:val="20"/>
              </w:rPr>
              <w:t xml:space="preserve">Retired SDG&amp;E legacy Implementation ID </w:t>
            </w:r>
            <w:r w:rsidRPr="0036137D">
              <w:rPr>
                <w:rFonts w:cs="Arial"/>
                <w:szCs w:val="20"/>
              </w:rPr>
              <w:t>402030</w:t>
            </w:r>
            <w:r w:rsidR="0036137D" w:rsidRPr="0036137D">
              <w:rPr>
                <w:rFonts w:cs="Arial"/>
                <w:szCs w:val="20"/>
              </w:rPr>
              <w:t xml:space="preserve">, Gas Conveyor </w:t>
            </w:r>
            <w:proofErr w:type="gramStart"/>
            <w:r w:rsidR="0036137D">
              <w:rPr>
                <w:rFonts w:cs="Arial"/>
                <w:szCs w:val="20"/>
              </w:rPr>
              <w:t>o</w:t>
            </w:r>
            <w:r w:rsidR="0036137D" w:rsidRPr="0036137D">
              <w:rPr>
                <w:rFonts w:cs="Arial"/>
                <w:szCs w:val="20"/>
              </w:rPr>
              <w:t>ven</w:t>
            </w:r>
            <w:proofErr w:type="gramEnd"/>
            <w:r w:rsidR="0036137D" w:rsidRPr="0036137D">
              <w:rPr>
                <w:rFonts w:cs="Arial"/>
                <w:szCs w:val="20"/>
              </w:rPr>
              <w:t>-Small (≤ 25-in. total conveyor width)</w:t>
            </w:r>
            <w:r w:rsidR="0036137D">
              <w:rPr>
                <w:rFonts w:cs="Arial"/>
                <w:szCs w:val="20"/>
              </w:rPr>
              <w:t>.</w:t>
            </w:r>
          </w:p>
          <w:p w14:paraId="6D90D497" w14:textId="77777777" w:rsidR="00FD4F0C" w:rsidRPr="001906A1" w:rsidRDefault="00FD4F0C" w:rsidP="001906A1">
            <w:pPr>
              <w:pStyle w:val="ListParagraph"/>
              <w:numPr>
                <w:ilvl w:val="0"/>
                <w:numId w:val="18"/>
              </w:numPr>
              <w:rPr>
                <w:rStyle w:val="Strong"/>
                <w:b w:val="0"/>
                <w:szCs w:val="20"/>
              </w:rPr>
            </w:pPr>
            <w:r>
              <w:rPr>
                <w:rStyle w:val="Strong"/>
                <w:b w:val="0"/>
                <w:szCs w:val="20"/>
              </w:rPr>
              <w:t>SDGE legacy implementation 402031 for large conveyor oven-gas (over 25” wide) is adopted from PGE measure-F208 as stated in 2015 workpaper PGECOFST117 Revision 5.</w:t>
            </w:r>
          </w:p>
        </w:tc>
      </w:tr>
      <w:tr w:rsidR="00DB544A" w:rsidRPr="00500C4E" w14:paraId="7B36A4F4" w14:textId="77777777" w:rsidTr="00FD4F0C">
        <w:trPr>
          <w:trHeight w:val="20"/>
        </w:trPr>
        <w:tc>
          <w:tcPr>
            <w:tcW w:w="280" w:type="pct"/>
          </w:tcPr>
          <w:p w14:paraId="60A53C3F" w14:textId="77777777" w:rsidR="00DB544A" w:rsidRPr="00F2079F" w:rsidRDefault="00DB544A" w:rsidP="008C2C8A">
            <w:pPr>
              <w:jc w:val="center"/>
            </w:pPr>
          </w:p>
        </w:tc>
        <w:tc>
          <w:tcPr>
            <w:tcW w:w="682" w:type="pct"/>
          </w:tcPr>
          <w:p w14:paraId="3E051F7E" w14:textId="77777777" w:rsidR="00DB544A" w:rsidRDefault="00DB544A" w:rsidP="00B10A44">
            <w:pPr>
              <w:jc w:val="center"/>
              <w:rPr>
                <w:szCs w:val="20"/>
              </w:rPr>
            </w:pPr>
          </w:p>
        </w:tc>
        <w:tc>
          <w:tcPr>
            <w:tcW w:w="929" w:type="pct"/>
          </w:tcPr>
          <w:p w14:paraId="6596001C" w14:textId="77777777" w:rsidR="00DB544A" w:rsidRDefault="00DB544A" w:rsidP="00B10A44">
            <w:pPr>
              <w:rPr>
                <w:szCs w:val="20"/>
              </w:rPr>
            </w:pPr>
          </w:p>
        </w:tc>
        <w:tc>
          <w:tcPr>
            <w:tcW w:w="3109" w:type="pct"/>
          </w:tcPr>
          <w:p w14:paraId="468F1C1F" w14:textId="77777777" w:rsidR="00762D81" w:rsidRPr="006A478E" w:rsidRDefault="00762D81" w:rsidP="00DB544A">
            <w:pPr>
              <w:rPr>
                <w:bCs/>
                <w:szCs w:val="20"/>
              </w:rPr>
            </w:pPr>
          </w:p>
        </w:tc>
      </w:tr>
    </w:tbl>
    <w:p w14:paraId="7A6320B8" w14:textId="77777777" w:rsidR="00DB71F1" w:rsidRDefault="00DB71F1" w:rsidP="00413EF4"/>
    <w:p w14:paraId="47EB2B41" w14:textId="77777777" w:rsidR="00A71832" w:rsidRDefault="007E6E8D" w:rsidP="00A71832">
      <w:pPr>
        <w:pStyle w:val="Heading2"/>
      </w:pPr>
      <w:r>
        <w:t xml:space="preserve">At-a-Glance Summary </w:t>
      </w:r>
      <w:r w:rsidR="00A71832" w:rsidRPr="0025216C">
        <w:t xml:space="preserve">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1"/>
        <w:gridCol w:w="1802"/>
        <w:gridCol w:w="3149"/>
        <w:gridCol w:w="1709"/>
        <w:gridCol w:w="1159"/>
      </w:tblGrid>
      <w:tr w:rsidR="00DE1B33" w:rsidRPr="00DB1516" w14:paraId="06D79016" w14:textId="77777777" w:rsidTr="000F5268">
        <w:trPr>
          <w:trHeight w:val="432"/>
        </w:trPr>
        <w:tc>
          <w:tcPr>
            <w:tcW w:w="818" w:type="pct"/>
          </w:tcPr>
          <w:p w14:paraId="7820E8EA" w14:textId="2E62D6DD" w:rsidR="00DE1B33" w:rsidRDefault="00DE1B33" w:rsidP="00DE1B3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Measure</w:t>
            </w:r>
            <w:r w:rsidR="000F5268">
              <w:rPr>
                <w:rFonts w:cs="Arial"/>
                <w:b/>
                <w:bCs/>
                <w:sz w:val="20"/>
                <w:szCs w:val="20"/>
              </w:rPr>
              <w:t xml:space="preserve"> ID</w:t>
            </w:r>
          </w:p>
        </w:tc>
        <w:tc>
          <w:tcPr>
            <w:tcW w:w="963" w:type="pct"/>
            <w:vAlign w:val="center"/>
          </w:tcPr>
          <w:p w14:paraId="23E7328F" w14:textId="709DFDDD" w:rsidR="00DE1B33" w:rsidRPr="00DB1516" w:rsidRDefault="00DE1B33" w:rsidP="00B10A44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Implementation ID</w:t>
            </w:r>
          </w:p>
        </w:tc>
        <w:tc>
          <w:tcPr>
            <w:tcW w:w="1684" w:type="pct"/>
            <w:vAlign w:val="center"/>
          </w:tcPr>
          <w:p w14:paraId="778B5889" w14:textId="77777777" w:rsidR="00DE1B33" w:rsidRPr="00DB1516" w:rsidRDefault="00DE1B33" w:rsidP="00B10A44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B1516">
              <w:rPr>
                <w:rFonts w:cs="Arial"/>
                <w:b/>
                <w:bCs/>
                <w:sz w:val="20"/>
                <w:szCs w:val="20"/>
              </w:rPr>
              <w:t>Conveyor Oven Type</w:t>
            </w:r>
          </w:p>
        </w:tc>
        <w:tc>
          <w:tcPr>
            <w:tcW w:w="914" w:type="pct"/>
          </w:tcPr>
          <w:p w14:paraId="37D06FA3" w14:textId="77777777" w:rsidR="00DE1B33" w:rsidRPr="00DB1516" w:rsidRDefault="00DE1B33" w:rsidP="00B10A44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Savings (</w:t>
            </w: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therms</w:t>
            </w:r>
            <w:proofErr w:type="spellEnd"/>
            <w:r>
              <w:rPr>
                <w:rFonts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0" w:type="pct"/>
          </w:tcPr>
          <w:p w14:paraId="5257A165" w14:textId="77777777" w:rsidR="00DE1B33" w:rsidRPr="00DB1516" w:rsidRDefault="00DE1B33" w:rsidP="00B10A44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IMC</w:t>
            </w:r>
          </w:p>
        </w:tc>
      </w:tr>
      <w:tr w:rsidR="00DE1B33" w:rsidRPr="00DB1516" w14:paraId="24AA5505" w14:textId="77777777" w:rsidTr="000F5268">
        <w:trPr>
          <w:trHeight w:val="288"/>
        </w:trPr>
        <w:tc>
          <w:tcPr>
            <w:tcW w:w="818" w:type="pct"/>
          </w:tcPr>
          <w:p w14:paraId="6386CA2B" w14:textId="548219D1" w:rsidR="000F5268" w:rsidRPr="00FD4F0C" w:rsidRDefault="000F5268" w:rsidP="00422182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2</w:t>
            </w:r>
          </w:p>
        </w:tc>
        <w:tc>
          <w:tcPr>
            <w:tcW w:w="963" w:type="pct"/>
            <w:vAlign w:val="center"/>
          </w:tcPr>
          <w:p w14:paraId="16BF6127" w14:textId="00088FF1" w:rsidR="00DE1B33" w:rsidRPr="00DB1516" w:rsidRDefault="00DE1B33" w:rsidP="00B10A44">
            <w:pPr>
              <w:rPr>
                <w:rFonts w:cs="Arial"/>
                <w:sz w:val="20"/>
                <w:szCs w:val="20"/>
              </w:rPr>
            </w:pPr>
            <w:r w:rsidRPr="00FD4F0C">
              <w:rPr>
                <w:rFonts w:cs="Arial"/>
                <w:sz w:val="20"/>
                <w:szCs w:val="20"/>
              </w:rPr>
              <w:t>40203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684" w:type="pct"/>
            <w:vAlign w:val="center"/>
          </w:tcPr>
          <w:p w14:paraId="46FEE1BF" w14:textId="77777777" w:rsidR="00DE1B33" w:rsidRPr="00DB1516" w:rsidRDefault="00DE1B33" w:rsidP="00B10A44">
            <w:pPr>
              <w:rPr>
                <w:rFonts w:cs="Arial"/>
                <w:sz w:val="20"/>
                <w:szCs w:val="20"/>
              </w:rPr>
            </w:pPr>
            <w:r w:rsidRPr="00DB1516">
              <w:rPr>
                <w:rFonts w:cs="Arial"/>
                <w:sz w:val="20"/>
                <w:szCs w:val="20"/>
              </w:rPr>
              <w:t>Gas Conveyor Oven-Large</w:t>
            </w:r>
          </w:p>
          <w:p w14:paraId="3B27284A" w14:textId="77777777" w:rsidR="00DE1B33" w:rsidRPr="00DB1516" w:rsidRDefault="00DE1B33" w:rsidP="00B10A44">
            <w:pPr>
              <w:rPr>
                <w:rFonts w:cs="Arial"/>
                <w:sz w:val="20"/>
                <w:szCs w:val="20"/>
              </w:rPr>
            </w:pPr>
            <w:r w:rsidRPr="00DB1516">
              <w:rPr>
                <w:rFonts w:cs="Arial"/>
                <w:sz w:val="20"/>
                <w:szCs w:val="20"/>
              </w:rPr>
              <w:t>(&gt; 25-in. total conveyor width)</w:t>
            </w:r>
          </w:p>
        </w:tc>
        <w:tc>
          <w:tcPr>
            <w:tcW w:w="914" w:type="pct"/>
          </w:tcPr>
          <w:p w14:paraId="684178CB" w14:textId="77777777" w:rsidR="00DE1B33" w:rsidRPr="00DB1516" w:rsidRDefault="00DE1B33" w:rsidP="00B10A4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884</w:t>
            </w:r>
          </w:p>
        </w:tc>
        <w:tc>
          <w:tcPr>
            <w:tcW w:w="620" w:type="pct"/>
          </w:tcPr>
          <w:p w14:paraId="32C402C0" w14:textId="77777777" w:rsidR="00DE1B33" w:rsidRPr="00DB1516" w:rsidRDefault="00DE1B33" w:rsidP="00B10A4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$2230</w:t>
            </w:r>
          </w:p>
        </w:tc>
      </w:tr>
    </w:tbl>
    <w:p w14:paraId="358C6F6B" w14:textId="77777777" w:rsidR="00DB71F1" w:rsidRDefault="00DB71F1">
      <w:pPr>
        <w:spacing w:after="200" w:line="276" w:lineRule="auto"/>
      </w:pPr>
    </w:p>
    <w:p w14:paraId="679B241A" w14:textId="77777777" w:rsidR="00A71832" w:rsidRDefault="00A71832">
      <w:pPr>
        <w:spacing w:after="200" w:line="276" w:lineRule="auto"/>
      </w:pPr>
      <w:r>
        <w:br w:type="page"/>
      </w:r>
      <w:bookmarkStart w:id="1" w:name="_GoBack"/>
      <w:bookmarkEnd w:id="1"/>
    </w:p>
    <w:p w14:paraId="45C4D72E" w14:textId="77777777" w:rsidR="00A71832" w:rsidRDefault="00A71832">
      <w:pPr>
        <w:spacing w:after="200" w:line="276" w:lineRule="auto"/>
      </w:pPr>
    </w:p>
    <w:p w14:paraId="2B7FE278" w14:textId="77777777" w:rsidR="00DB71F1" w:rsidRDefault="00DB71F1" w:rsidP="00DB71F1">
      <w:pPr>
        <w:pStyle w:val="Heading2"/>
      </w:pPr>
      <w:r>
        <w:t>Measure Summary</w:t>
      </w:r>
      <w:r w:rsidRPr="0025216C">
        <w:t xml:space="preserve"> </w:t>
      </w:r>
    </w:p>
    <w:p w14:paraId="641FD881" w14:textId="77777777" w:rsidR="00EE6CFE" w:rsidRPr="00EE6CFE" w:rsidRDefault="00EE6CFE" w:rsidP="0081521B"/>
    <w:p w14:paraId="34C1AE92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r w:rsidR="00422182">
        <w:fldChar w:fldCharType="begin"/>
      </w:r>
      <w:r w:rsidR="00422182">
        <w:instrText xml:space="preserve"> SEQ Table \* ARABIC </w:instrText>
      </w:r>
      <w:r w:rsidR="00422182">
        <w:fldChar w:fldCharType="separate"/>
      </w:r>
      <w:r w:rsidR="000719BF">
        <w:rPr>
          <w:noProof/>
        </w:rPr>
        <w:t>1</w:t>
      </w:r>
      <w:r w:rsidR="00422182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1"/>
        <w:gridCol w:w="6949"/>
      </w:tblGrid>
      <w:tr w:rsidR="00DB71F1" w14:paraId="58DB0268" w14:textId="77777777" w:rsidTr="005D3194">
        <w:trPr>
          <w:cantSplit/>
          <w:tblHeader/>
        </w:trPr>
        <w:tc>
          <w:tcPr>
            <w:tcW w:w="2401" w:type="dxa"/>
          </w:tcPr>
          <w:p w14:paraId="0552EB7D" w14:textId="77777777" w:rsidR="00DB71F1" w:rsidRPr="00D86243" w:rsidRDefault="00DB71F1" w:rsidP="00B10A44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949" w:type="dxa"/>
          </w:tcPr>
          <w:p w14:paraId="5920C2B8" w14:textId="77777777" w:rsidR="00DB71F1" w:rsidRPr="00D86243" w:rsidRDefault="00DB71F1" w:rsidP="00B10A44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658A787C" w14:textId="77777777" w:rsidTr="005D3194">
        <w:trPr>
          <w:cantSplit/>
        </w:trPr>
        <w:tc>
          <w:tcPr>
            <w:tcW w:w="2401" w:type="dxa"/>
            <w:vAlign w:val="center"/>
          </w:tcPr>
          <w:p w14:paraId="64F82965" w14:textId="77777777" w:rsidR="00DB71F1" w:rsidRPr="001D77F7" w:rsidRDefault="00DB71F1" w:rsidP="00B10A44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949" w:type="dxa"/>
          </w:tcPr>
          <w:p w14:paraId="1F58EAD3" w14:textId="77777777" w:rsidR="00DE364E" w:rsidRDefault="00DB71F1" w:rsidP="008E0850">
            <w:pPr>
              <w:jc w:val="both"/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711B58">
              <w:rPr>
                <w:rFonts w:cs="Arial"/>
                <w:sz w:val="20"/>
                <w:szCs w:val="20"/>
              </w:rPr>
              <w:t xml:space="preserve">Commercial </w:t>
            </w:r>
            <w:r w:rsidR="00FD4F0C">
              <w:rPr>
                <w:rFonts w:cs="Arial"/>
                <w:sz w:val="20"/>
                <w:szCs w:val="20"/>
              </w:rPr>
              <w:t>Conveyor Oven-G</w:t>
            </w:r>
            <w:r w:rsidR="00711B58">
              <w:rPr>
                <w:rFonts w:cs="Arial"/>
                <w:sz w:val="20"/>
                <w:szCs w:val="20"/>
              </w:rPr>
              <w:t>as</w:t>
            </w:r>
            <w:r w:rsidRPr="00241A1F">
              <w:rPr>
                <w:rFonts w:cs="Arial"/>
                <w:sz w:val="20"/>
                <w:szCs w:val="20"/>
              </w:rPr>
              <w:t xml:space="preserve">. </w:t>
            </w:r>
            <w:r w:rsidR="00C228B0">
              <w:rPr>
                <w:rFonts w:cs="Arial"/>
                <w:sz w:val="20"/>
                <w:szCs w:val="20"/>
              </w:rPr>
              <w:t>The base energy consumption</w:t>
            </w:r>
            <w:r w:rsidR="00067315">
              <w:rPr>
                <w:rFonts w:cs="Arial"/>
                <w:sz w:val="20"/>
                <w:szCs w:val="20"/>
              </w:rPr>
              <w:t xml:space="preserve"> and </w:t>
            </w:r>
            <w:r w:rsidR="00C228B0">
              <w:rPr>
                <w:rFonts w:cs="Arial"/>
                <w:sz w:val="20"/>
                <w:szCs w:val="20"/>
              </w:rPr>
              <w:t>measure energy consumption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 values</w:t>
            </w:r>
            <w:r w:rsidR="00C228B0">
              <w:rPr>
                <w:rFonts w:cs="Arial"/>
                <w:sz w:val="20"/>
                <w:szCs w:val="20"/>
              </w:rPr>
              <w:t xml:space="preserve"> are fr</w:t>
            </w:r>
            <w:r w:rsidR="00E33C12">
              <w:rPr>
                <w:rFonts w:cs="Arial"/>
                <w:sz w:val="20"/>
                <w:szCs w:val="20"/>
              </w:rPr>
              <w:t>om PG&amp;E’s workpaper, PGECOFST1</w:t>
            </w:r>
            <w:r w:rsidR="00FD4F0C">
              <w:rPr>
                <w:rFonts w:cs="Arial"/>
                <w:sz w:val="20"/>
                <w:szCs w:val="20"/>
              </w:rPr>
              <w:t>17</w:t>
            </w:r>
            <w:r w:rsidR="00C228B0">
              <w:rPr>
                <w:rFonts w:cs="Arial"/>
                <w:sz w:val="20"/>
                <w:szCs w:val="20"/>
              </w:rPr>
              <w:t xml:space="preserve">, Revision </w:t>
            </w:r>
            <w:r w:rsidR="00FD4F0C">
              <w:rPr>
                <w:rFonts w:cs="Arial"/>
                <w:sz w:val="20"/>
                <w:szCs w:val="20"/>
              </w:rPr>
              <w:t>5 for large conveyor ovens.</w:t>
            </w:r>
          </w:p>
          <w:p w14:paraId="3135600B" w14:textId="77777777" w:rsidR="0003264E" w:rsidRDefault="0003264E" w:rsidP="008E0850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67B25318" w14:textId="77777777" w:rsidR="0003264E" w:rsidRPr="0003264E" w:rsidRDefault="0003264E" w:rsidP="000326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264E">
              <w:rPr>
                <w:rFonts w:ascii="Arial" w:hAnsi="Arial" w:cs="Arial"/>
                <w:b/>
                <w:sz w:val="20"/>
                <w:szCs w:val="20"/>
              </w:rPr>
              <w:t xml:space="preserve">Market Applicability </w:t>
            </w:r>
          </w:p>
          <w:p w14:paraId="3F2ABC66" w14:textId="77777777" w:rsidR="00DB71F1" w:rsidRPr="00E64C86" w:rsidRDefault="0003264E" w:rsidP="0003264E">
            <w:pPr>
              <w:rPr>
                <w:sz w:val="20"/>
                <w:szCs w:val="20"/>
              </w:rPr>
            </w:pPr>
            <w:r w:rsidRPr="00E64C86">
              <w:rPr>
                <w:sz w:val="20"/>
                <w:szCs w:val="20"/>
              </w:rPr>
              <w:t>This measure is applicable to any commercial cooking application, including (but not limited to) casual dining and quick service restaurants, hotels, motels, schools, colleges and recreational facilities.</w:t>
            </w:r>
          </w:p>
        </w:tc>
      </w:tr>
      <w:tr w:rsidR="00DB71F1" w14:paraId="0DDA675A" w14:textId="77777777" w:rsidTr="005D3194">
        <w:trPr>
          <w:cantSplit/>
        </w:trPr>
        <w:tc>
          <w:tcPr>
            <w:tcW w:w="2401" w:type="dxa"/>
            <w:vAlign w:val="center"/>
          </w:tcPr>
          <w:p w14:paraId="0C3D0850" w14:textId="77777777" w:rsidR="00DB71F1" w:rsidRPr="001D77F7" w:rsidRDefault="00DB71F1" w:rsidP="00B10A44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949" w:type="dxa"/>
          </w:tcPr>
          <w:p w14:paraId="1C74A1AF" w14:textId="77777777" w:rsidR="00C04114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>Measure</w:t>
            </w:r>
            <w:r w:rsidR="00C04114">
              <w:rPr>
                <w:rFonts w:cs="Arial"/>
                <w:sz w:val="20"/>
                <w:szCs w:val="20"/>
              </w:rPr>
              <w:t>s</w:t>
            </w:r>
          </w:p>
          <w:p w14:paraId="416B6807" w14:textId="77777777" w:rsidR="008C2C8A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 </w:t>
            </w:r>
          </w:p>
          <w:p w14:paraId="5082A9E3" w14:textId="77777777" w:rsidR="00DB71F1" w:rsidRPr="00555671" w:rsidRDefault="00FD4F0C" w:rsidP="001D57D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Measure 1: </w:t>
            </w:r>
            <w:r w:rsidRPr="00FD4F0C">
              <w:rPr>
                <w:rFonts w:cs="Arial"/>
                <w:sz w:val="20"/>
                <w:szCs w:val="20"/>
              </w:rPr>
              <w:t>40203</w:t>
            </w:r>
            <w:r>
              <w:rPr>
                <w:rFonts w:cs="Arial"/>
                <w:sz w:val="20"/>
                <w:szCs w:val="20"/>
              </w:rPr>
              <w:t>0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r w:rsidR="0036137D">
              <w:rPr>
                <w:rFonts w:cs="Arial"/>
                <w:sz w:val="20"/>
                <w:szCs w:val="20"/>
              </w:rPr>
              <w:t>(retired)</w:t>
            </w:r>
          </w:p>
          <w:p w14:paraId="3FBC3F09" w14:textId="77777777" w:rsidR="008C2C8A" w:rsidRPr="00555671" w:rsidRDefault="00FD4F0C" w:rsidP="008C2C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Measure 2: </w:t>
            </w:r>
            <w:r w:rsidRPr="00FD4F0C">
              <w:rPr>
                <w:rFonts w:cs="Arial"/>
                <w:sz w:val="20"/>
                <w:szCs w:val="20"/>
              </w:rPr>
              <w:t>40203</w:t>
            </w:r>
            <w:r>
              <w:rPr>
                <w:rFonts w:cs="Arial"/>
                <w:sz w:val="20"/>
                <w:szCs w:val="20"/>
              </w:rPr>
              <w:t>1</w:t>
            </w:r>
            <w:r w:rsidRPr="0055567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r w:rsidRPr="00FD4F0C">
              <w:rPr>
                <w:rFonts w:cs="Arial"/>
                <w:sz w:val="20"/>
                <w:szCs w:val="20"/>
              </w:rPr>
              <w:t xml:space="preserve">Conveyor Oven </w:t>
            </w:r>
            <w:proofErr w:type="spellStart"/>
            <w:r w:rsidRPr="00FD4F0C">
              <w:rPr>
                <w:rFonts w:cs="Arial"/>
                <w:sz w:val="20"/>
                <w:szCs w:val="20"/>
              </w:rPr>
              <w:t>lg</w:t>
            </w:r>
            <w:proofErr w:type="spellEnd"/>
            <w:r w:rsidRPr="00FD4F0C">
              <w:rPr>
                <w:rFonts w:cs="Arial"/>
                <w:sz w:val="20"/>
                <w:szCs w:val="20"/>
              </w:rPr>
              <w:t xml:space="preserve"> &gt;25" total conveyor width with 42% minimum cooking efficiency</w:t>
            </w:r>
          </w:p>
          <w:p w14:paraId="33CB0061" w14:textId="77777777" w:rsidR="006D2B70" w:rsidRPr="00241A1F" w:rsidRDefault="000C441A" w:rsidP="00711B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B71F1" w14:paraId="0E52A68D" w14:textId="77777777" w:rsidTr="005D3194">
        <w:trPr>
          <w:cantSplit/>
        </w:trPr>
        <w:tc>
          <w:tcPr>
            <w:tcW w:w="2401" w:type="dxa"/>
            <w:vAlign w:val="center"/>
          </w:tcPr>
          <w:p w14:paraId="0EBBA092" w14:textId="77777777" w:rsidR="00DB71F1" w:rsidRPr="001D77F7" w:rsidRDefault="00DB71F1" w:rsidP="00B10A44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949" w:type="dxa"/>
          </w:tcPr>
          <w:p w14:paraId="4F0BAF58" w14:textId="77777777"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7ADEC787" w14:textId="77777777" w:rsidTr="005D3194">
        <w:trPr>
          <w:cantSplit/>
        </w:trPr>
        <w:tc>
          <w:tcPr>
            <w:tcW w:w="2401" w:type="dxa"/>
          </w:tcPr>
          <w:p w14:paraId="6020B1EA" w14:textId="77777777" w:rsidR="008775D7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  <w:p w14:paraId="434795E7" w14:textId="77777777" w:rsidR="00192034" w:rsidRDefault="00192034" w:rsidP="00241A1F">
            <w:pPr>
              <w:jc w:val="right"/>
              <w:rPr>
                <w:sz w:val="20"/>
                <w:szCs w:val="20"/>
              </w:rPr>
            </w:pPr>
          </w:p>
          <w:p w14:paraId="5C3633F1" w14:textId="4BDFD342" w:rsidR="00192034" w:rsidRDefault="00192034" w:rsidP="00241A1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1(Retired):</w:t>
            </w:r>
          </w:p>
          <w:p w14:paraId="3C1A2215" w14:textId="77777777" w:rsidR="00192034" w:rsidRDefault="00192034" w:rsidP="00241A1F">
            <w:pPr>
              <w:jc w:val="right"/>
              <w:rPr>
                <w:sz w:val="20"/>
                <w:szCs w:val="20"/>
              </w:rPr>
            </w:pPr>
          </w:p>
          <w:p w14:paraId="13CC3210" w14:textId="65C74239" w:rsidR="00192034" w:rsidRPr="00241A1F" w:rsidRDefault="00192034" w:rsidP="00241A1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Measure2:</w:t>
            </w:r>
          </w:p>
        </w:tc>
        <w:tc>
          <w:tcPr>
            <w:tcW w:w="6949" w:type="dxa"/>
          </w:tcPr>
          <w:p w14:paraId="1BA94431" w14:textId="77777777" w:rsidR="00DB1516" w:rsidRPr="00DB1516" w:rsidRDefault="00DB1516" w:rsidP="00DB1516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B1516">
              <w:rPr>
                <w:rFonts w:cs="Arial"/>
                <w:b/>
                <w:bCs/>
                <w:sz w:val="20"/>
                <w:szCs w:val="20"/>
              </w:rPr>
              <w:t>Energy Efficiency Requirements for Commercial Gas Conveyor Ovens.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66"/>
              <w:gridCol w:w="2095"/>
              <w:gridCol w:w="2091"/>
              <w:gridCol w:w="1371"/>
            </w:tblGrid>
            <w:tr w:rsidR="00DB1516" w:rsidRPr="00DB1516" w14:paraId="3190BB64" w14:textId="77777777" w:rsidTr="00B10A44">
              <w:trPr>
                <w:trHeight w:val="432"/>
              </w:trPr>
              <w:tc>
                <w:tcPr>
                  <w:tcW w:w="867" w:type="pct"/>
                  <w:vAlign w:val="center"/>
                </w:tcPr>
                <w:p w14:paraId="47A9BE01" w14:textId="77777777" w:rsidR="00DB1516" w:rsidRPr="00DB1516" w:rsidRDefault="00DB1516" w:rsidP="00DB1516">
                  <w:pPr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DB1516">
                    <w:rPr>
                      <w:rFonts w:cs="Arial"/>
                      <w:b/>
                      <w:bCs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1558" w:type="pct"/>
                  <w:vAlign w:val="center"/>
                </w:tcPr>
                <w:p w14:paraId="55EAFAAA" w14:textId="77777777" w:rsidR="00DB1516" w:rsidRPr="00DB1516" w:rsidRDefault="00DB1516" w:rsidP="00DB1516">
                  <w:pPr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DB1516">
                    <w:rPr>
                      <w:rFonts w:cs="Arial"/>
                      <w:b/>
                      <w:bCs/>
                      <w:sz w:val="20"/>
                      <w:szCs w:val="20"/>
                    </w:rPr>
                    <w:t>Conveyor Oven Type</w:t>
                  </w:r>
                </w:p>
              </w:tc>
              <w:tc>
                <w:tcPr>
                  <w:tcW w:w="1555" w:type="pct"/>
                  <w:vAlign w:val="center"/>
                </w:tcPr>
                <w:p w14:paraId="329F1E7B" w14:textId="77777777" w:rsidR="00DB1516" w:rsidRPr="00DB1516" w:rsidRDefault="00DB1516" w:rsidP="00DB1516">
                  <w:pPr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DB1516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Cooking-Energy Efficiency </w:t>
                  </w:r>
                  <w:r w:rsidRPr="00DB1516">
                    <w:rPr>
                      <w:rFonts w:cs="Arial"/>
                      <w:b/>
                      <w:bCs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1020" w:type="pct"/>
                  <w:vAlign w:val="center"/>
                </w:tcPr>
                <w:p w14:paraId="1D611C8B" w14:textId="77777777" w:rsidR="00DB1516" w:rsidRPr="00DB1516" w:rsidRDefault="00DB1516" w:rsidP="00DB1516">
                  <w:pPr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DB1516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Idle Energy Rate </w:t>
                  </w:r>
                  <w:r w:rsidRPr="00DB1516">
                    <w:rPr>
                      <w:rFonts w:cs="Arial"/>
                      <w:b/>
                      <w:bCs/>
                      <w:sz w:val="20"/>
                      <w:szCs w:val="20"/>
                      <w:vertAlign w:val="superscript"/>
                    </w:rPr>
                    <w:t>b</w:t>
                  </w:r>
                </w:p>
              </w:tc>
            </w:tr>
            <w:tr w:rsidR="00DB1516" w:rsidRPr="00DB1516" w14:paraId="1A923ADB" w14:textId="77777777" w:rsidTr="00B10A44">
              <w:trPr>
                <w:trHeight w:val="288"/>
              </w:trPr>
              <w:tc>
                <w:tcPr>
                  <w:tcW w:w="867" w:type="pct"/>
                  <w:vAlign w:val="center"/>
                </w:tcPr>
                <w:p w14:paraId="1871BC54" w14:textId="77777777" w:rsidR="00DB1516" w:rsidRPr="00DB1516" w:rsidRDefault="00DB1516" w:rsidP="00DB151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D4F0C">
                    <w:rPr>
                      <w:rFonts w:cs="Arial"/>
                      <w:sz w:val="20"/>
                      <w:szCs w:val="20"/>
                    </w:rPr>
                    <w:t>40203</w:t>
                  </w:r>
                  <w:r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8" w:type="pct"/>
                  <w:vAlign w:val="center"/>
                </w:tcPr>
                <w:p w14:paraId="5E52A38D" w14:textId="77777777" w:rsidR="00DB1516" w:rsidRPr="00DB1516" w:rsidRDefault="00DB1516" w:rsidP="00DB151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DB1516">
                    <w:rPr>
                      <w:rFonts w:cs="Arial"/>
                      <w:sz w:val="20"/>
                      <w:szCs w:val="20"/>
                    </w:rPr>
                    <w:t>Gas Conveyor Oven-Large</w:t>
                  </w:r>
                </w:p>
                <w:p w14:paraId="23594B8A" w14:textId="77777777" w:rsidR="00DB1516" w:rsidRPr="00DB1516" w:rsidRDefault="00DB1516" w:rsidP="00DB151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DB1516">
                    <w:rPr>
                      <w:rFonts w:cs="Arial"/>
                      <w:sz w:val="20"/>
                      <w:szCs w:val="20"/>
                    </w:rPr>
                    <w:t>(&gt; 25-in. total conveyor width)</w:t>
                  </w:r>
                </w:p>
              </w:tc>
              <w:tc>
                <w:tcPr>
                  <w:tcW w:w="1555" w:type="pct"/>
                  <w:vAlign w:val="center"/>
                </w:tcPr>
                <w:p w14:paraId="33B3B584" w14:textId="77777777" w:rsidR="00DB1516" w:rsidRPr="00DB1516" w:rsidRDefault="00DB1516" w:rsidP="00DB151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DB1516">
                    <w:rPr>
                      <w:rFonts w:cs="Arial"/>
                      <w:sz w:val="20"/>
                      <w:szCs w:val="20"/>
                    </w:rPr>
                    <w:t>≥ 42%</w:t>
                  </w:r>
                </w:p>
              </w:tc>
              <w:tc>
                <w:tcPr>
                  <w:tcW w:w="1020" w:type="pct"/>
                  <w:vAlign w:val="center"/>
                </w:tcPr>
                <w:p w14:paraId="10474E44" w14:textId="77777777" w:rsidR="00DB1516" w:rsidRPr="00DB1516" w:rsidRDefault="00DB1516" w:rsidP="00DB151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DB1516">
                    <w:rPr>
                      <w:rFonts w:cs="Arial"/>
                      <w:sz w:val="20"/>
                      <w:szCs w:val="20"/>
                    </w:rPr>
                    <w:t>≤ 57,000 Btu/h</w:t>
                  </w:r>
                </w:p>
              </w:tc>
            </w:tr>
            <w:tr w:rsidR="00DB1516" w:rsidRPr="00DB1516" w14:paraId="52152079" w14:textId="77777777" w:rsidTr="00DB1516">
              <w:trPr>
                <w:trHeight w:val="288"/>
              </w:trPr>
              <w:tc>
                <w:tcPr>
                  <w:tcW w:w="5000" w:type="pct"/>
                  <w:gridSpan w:val="4"/>
                  <w:vAlign w:val="center"/>
                </w:tcPr>
                <w:p w14:paraId="76E8A737" w14:textId="77777777" w:rsidR="00DB1516" w:rsidRPr="00285EA3" w:rsidRDefault="00DB1516" w:rsidP="00DB1516">
                  <w:pPr>
                    <w:pStyle w:val="BodyText"/>
                    <w:rPr>
                      <w:szCs w:val="24"/>
                    </w:rPr>
                  </w:pPr>
                  <w:r>
                    <w:rPr>
                      <w:szCs w:val="24"/>
                      <w:vertAlign w:val="superscript"/>
                    </w:rPr>
                    <w:t xml:space="preserve">a </w:t>
                  </w:r>
                  <w:r>
                    <w:rPr>
                      <w:szCs w:val="24"/>
                    </w:rPr>
                    <w:t>Based on the heavy-load test in ASTM F1817</w:t>
                  </w:r>
                  <w:r w:rsidRPr="00285EA3">
                    <w:rPr>
                      <w:szCs w:val="24"/>
                    </w:rPr>
                    <w:t>.</w:t>
                  </w:r>
                  <w:r w:rsidRPr="00285EA3">
                    <w:rPr>
                      <w:szCs w:val="24"/>
                      <w:vertAlign w:val="superscript"/>
                    </w:rPr>
                    <w:t xml:space="preserve"> </w:t>
                  </w:r>
                </w:p>
                <w:p w14:paraId="5663EA02" w14:textId="77777777" w:rsidR="00DB1516" w:rsidRPr="0003264E" w:rsidRDefault="00DB1516" w:rsidP="0003264E">
                  <w:pPr>
                    <w:pStyle w:val="BodyText"/>
                    <w:rPr>
                      <w:szCs w:val="24"/>
                    </w:rPr>
                  </w:pPr>
                  <w:r w:rsidRPr="00285EA3">
                    <w:rPr>
                      <w:szCs w:val="24"/>
                      <w:vertAlign w:val="superscript"/>
                    </w:rPr>
                    <w:t xml:space="preserve">b </w:t>
                  </w:r>
                  <w:r w:rsidRPr="00285EA3">
                    <w:rPr>
                      <w:szCs w:val="24"/>
                    </w:rPr>
                    <w:t>Based on the idle energy rate test in ASTM F1817.</w:t>
                  </w:r>
                  <w:r w:rsidRPr="00DB1516">
                    <w:rPr>
                      <w:szCs w:val="24"/>
                    </w:rPr>
                    <w:t xml:space="preserve"> </w:t>
                  </w:r>
                </w:p>
              </w:tc>
            </w:tr>
          </w:tbl>
          <w:p w14:paraId="0F8BA251" w14:textId="77777777" w:rsidR="008775D7" w:rsidRPr="00E733C7" w:rsidRDefault="008775D7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25C9F836" w14:textId="77777777" w:rsidTr="005D3194">
        <w:trPr>
          <w:cantSplit/>
        </w:trPr>
        <w:tc>
          <w:tcPr>
            <w:tcW w:w="2401" w:type="dxa"/>
          </w:tcPr>
          <w:p w14:paraId="4F997888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6949" w:type="dxa"/>
          </w:tcPr>
          <w:p w14:paraId="4DB1E83A" w14:textId="77777777" w:rsidR="00DB1516" w:rsidRDefault="00DB1516" w:rsidP="005C1518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cited per PGE workpaper PGECOFST117.</w:t>
            </w:r>
          </w:p>
          <w:p w14:paraId="3D26C559" w14:textId="77777777" w:rsidR="00DB1516" w:rsidRDefault="00DB1516" w:rsidP="005C151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136DBDBA" w14:textId="77777777" w:rsidR="00DB1516" w:rsidRPr="00AB14AC" w:rsidRDefault="00DB1516" w:rsidP="00DB1516">
            <w:pPr>
              <w:rPr>
                <w:rFonts w:cs="Arial"/>
                <w:sz w:val="20"/>
                <w:szCs w:val="20"/>
              </w:rPr>
            </w:pPr>
            <w:r w:rsidRPr="00AB14AC">
              <w:rPr>
                <w:rFonts w:cs="Arial"/>
                <w:sz w:val="20"/>
                <w:szCs w:val="20"/>
              </w:rPr>
              <w:t xml:space="preserve">These measures are not governed by either state or federal codes and standards.  </w:t>
            </w:r>
          </w:p>
          <w:p w14:paraId="74144C9A" w14:textId="77777777" w:rsidR="00DB1516" w:rsidRPr="00AB14AC" w:rsidRDefault="00DB1516" w:rsidP="00DB1516">
            <w:pPr>
              <w:rPr>
                <w:rFonts w:cs="Arial"/>
                <w:sz w:val="20"/>
                <w:szCs w:val="20"/>
              </w:rPr>
            </w:pPr>
          </w:p>
          <w:p w14:paraId="49CBAD73" w14:textId="77777777" w:rsidR="00DB1516" w:rsidRPr="00653C4B" w:rsidRDefault="00DB1516" w:rsidP="005C1518">
            <w:pPr>
              <w:jc w:val="both"/>
              <w:rPr>
                <w:rFonts w:cs="Arial"/>
                <w:sz w:val="20"/>
                <w:szCs w:val="20"/>
              </w:rPr>
            </w:pPr>
            <w:r w:rsidRPr="00AB14AC">
              <w:rPr>
                <w:rFonts w:cs="Arial"/>
                <w:sz w:val="20"/>
                <w:szCs w:val="20"/>
              </w:rPr>
              <w:t>ASTM Standard Test Method for the</w:t>
            </w:r>
            <w:r w:rsidRPr="00AB14AC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Pr="00AB14AC">
              <w:rPr>
                <w:rFonts w:cs="Arial"/>
                <w:sz w:val="20"/>
                <w:szCs w:val="20"/>
              </w:rPr>
              <w:t>Performance of Conveyor Ovens (F1817) is applicable for estimating energy use and cooking performance. It was used to estimate the energy consumption of the base case and measure equipment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E84938" w14:paraId="250F594E" w14:textId="77777777" w:rsidTr="005D3194">
        <w:trPr>
          <w:cantSplit/>
        </w:trPr>
        <w:tc>
          <w:tcPr>
            <w:tcW w:w="2401" w:type="dxa"/>
          </w:tcPr>
          <w:p w14:paraId="5043E484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949" w:type="dxa"/>
          </w:tcPr>
          <w:p w14:paraId="57A27EEF" w14:textId="77777777" w:rsidR="00030376" w:rsidRPr="00E64C86" w:rsidRDefault="0003264E" w:rsidP="00030376">
            <w:pPr>
              <w:jc w:val="both"/>
              <w:rPr>
                <w:sz w:val="20"/>
                <w:szCs w:val="20"/>
              </w:rPr>
            </w:pPr>
            <w:r w:rsidRPr="00E64C86">
              <w:rPr>
                <w:sz w:val="20"/>
                <w:szCs w:val="20"/>
              </w:rPr>
              <w:t>Refer to Measures inf</w:t>
            </w:r>
            <w:r w:rsidR="00030376" w:rsidRPr="00E64C86">
              <w:rPr>
                <w:sz w:val="20"/>
                <w:szCs w:val="20"/>
              </w:rPr>
              <w:t xml:space="preserve">ormation located herein above and </w:t>
            </w:r>
          </w:p>
          <w:p w14:paraId="0FEC6EA5" w14:textId="77777777" w:rsidR="007D2319" w:rsidRPr="00E64C86" w:rsidRDefault="00030376" w:rsidP="00030376">
            <w:pPr>
              <w:jc w:val="both"/>
              <w:rPr>
                <w:sz w:val="20"/>
                <w:szCs w:val="20"/>
              </w:rPr>
            </w:pPr>
            <w:r w:rsidRPr="00E64C86">
              <w:rPr>
                <w:sz w:val="20"/>
                <w:szCs w:val="20"/>
              </w:rPr>
              <w:t xml:space="preserve">must be listed </w:t>
            </w:r>
            <w:r w:rsidR="007D2319" w:rsidRPr="00E64C86">
              <w:rPr>
                <w:rFonts w:cs="Tahoma"/>
                <w:color w:val="000000"/>
                <w:sz w:val="20"/>
                <w:szCs w:val="20"/>
              </w:rPr>
              <w:t>in the California</w:t>
            </w:r>
            <w:r w:rsidRPr="00E64C86">
              <w:rPr>
                <w:rFonts w:cs="Tahoma"/>
                <w:color w:val="000000"/>
                <w:sz w:val="20"/>
                <w:szCs w:val="20"/>
              </w:rPr>
              <w:t xml:space="preserve"> Energy C</w:t>
            </w:r>
            <w:r w:rsidR="007D2319" w:rsidRPr="00E64C86">
              <w:rPr>
                <w:rFonts w:cs="Tahoma"/>
                <w:color w:val="000000"/>
                <w:sz w:val="20"/>
                <w:szCs w:val="20"/>
              </w:rPr>
              <w:t xml:space="preserve">ommission database or listed on </w:t>
            </w:r>
            <w:hyperlink r:id="rId10" w:history="1">
              <w:r w:rsidR="007D2319" w:rsidRPr="00E64C86">
                <w:rPr>
                  <w:rStyle w:val="Hyperlink"/>
                  <w:rFonts w:cstheme="minorHAnsi"/>
                  <w:sz w:val="20"/>
                  <w:szCs w:val="20"/>
                </w:rPr>
                <w:t>www.fishnick.com/saveenergy/rebates</w:t>
              </w:r>
            </w:hyperlink>
            <w:r w:rsidR="007D2319" w:rsidRPr="00E64C86">
              <w:rPr>
                <w:rFonts w:cs="Tahoma"/>
                <w:color w:val="000000"/>
                <w:sz w:val="20"/>
                <w:szCs w:val="20"/>
              </w:rPr>
              <w:t>.</w:t>
            </w:r>
          </w:p>
          <w:p w14:paraId="7C5D5EEB" w14:textId="77777777" w:rsidR="007D2319" w:rsidRPr="00555671" w:rsidRDefault="007D2319" w:rsidP="001D6A64">
            <w:pPr>
              <w:jc w:val="both"/>
              <w:rPr>
                <w:sz w:val="20"/>
                <w:szCs w:val="20"/>
              </w:rPr>
            </w:pPr>
          </w:p>
        </w:tc>
      </w:tr>
      <w:tr w:rsidR="00DB71F1" w14:paraId="354CDFB2" w14:textId="77777777" w:rsidTr="005D3194">
        <w:trPr>
          <w:cantSplit/>
        </w:trPr>
        <w:tc>
          <w:tcPr>
            <w:tcW w:w="2401" w:type="dxa"/>
          </w:tcPr>
          <w:p w14:paraId="58E1C998" w14:textId="77777777" w:rsidR="00DB71F1" w:rsidRPr="001D77F7" w:rsidRDefault="00DB71F1" w:rsidP="00B10A44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949" w:type="dxa"/>
          </w:tcPr>
          <w:p w14:paraId="68FFB843" w14:textId="77777777" w:rsidR="00DB71F1" w:rsidRPr="00D86243" w:rsidRDefault="00DB71F1" w:rsidP="00B10A44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30E7589C" w14:textId="77777777" w:rsidTr="005D3194">
        <w:trPr>
          <w:cantSplit/>
        </w:trPr>
        <w:tc>
          <w:tcPr>
            <w:tcW w:w="2401" w:type="dxa"/>
            <w:vAlign w:val="center"/>
          </w:tcPr>
          <w:p w14:paraId="612E8515" w14:textId="77777777" w:rsidR="00DB71F1" w:rsidRPr="00822B6F" w:rsidRDefault="00DB71F1" w:rsidP="00B10A4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949" w:type="dxa"/>
          </w:tcPr>
          <w:p w14:paraId="50B4532A" w14:textId="77777777" w:rsidR="00CF2ABA" w:rsidRPr="00393EC8" w:rsidRDefault="008C2C8A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>Replace on Burn-out (ROB)</w:t>
            </w:r>
            <w:r w:rsidR="00CF2ABA" w:rsidRPr="00FE636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B71F1" w14:paraId="5753FCBB" w14:textId="77777777" w:rsidTr="005D3194">
        <w:trPr>
          <w:cantSplit/>
        </w:trPr>
        <w:tc>
          <w:tcPr>
            <w:tcW w:w="2401" w:type="dxa"/>
            <w:vAlign w:val="center"/>
          </w:tcPr>
          <w:p w14:paraId="363F3728" w14:textId="77777777" w:rsidR="00DB71F1" w:rsidRPr="00822B6F" w:rsidRDefault="00DB71F1" w:rsidP="00B10A4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949" w:type="dxa"/>
          </w:tcPr>
          <w:p w14:paraId="3233D53F" w14:textId="77777777" w:rsidR="00DB71F1" w:rsidRDefault="00DB71F1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FE636E">
              <w:rPr>
                <w:rFonts w:cs="Arial"/>
                <w:sz w:val="20"/>
                <w:szCs w:val="20"/>
              </w:rPr>
              <w:t>Rebate</w:t>
            </w:r>
            <w:r w:rsidRPr="00FE636E">
              <w:rPr>
                <w:rFonts w:cs="Arial"/>
                <w:sz w:val="20"/>
                <w:szCs w:val="20"/>
              </w:rPr>
              <w:t xml:space="preserve"> – Deemed</w:t>
            </w:r>
          </w:p>
          <w:p w14:paraId="098891F4" w14:textId="77777777" w:rsidR="00B9551F" w:rsidRPr="00FE636E" w:rsidRDefault="00B9551F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NOTE:  Measures are offered in the SDG&amp;E Direc</w:t>
            </w:r>
            <w:r w:rsidR="00402B3D">
              <w:rPr>
                <w:rFonts w:cs="Arial"/>
                <w:sz w:val="20"/>
                <w:szCs w:val="20"/>
              </w:rPr>
              <w:t xml:space="preserve">t Install program yet require a </w:t>
            </w:r>
            <w:r>
              <w:rPr>
                <w:rFonts w:cs="Arial"/>
                <w:sz w:val="20"/>
                <w:szCs w:val="20"/>
              </w:rPr>
              <w:t>customer co-pay and are treated as downstream deemed.</w:t>
            </w:r>
          </w:p>
        </w:tc>
      </w:tr>
      <w:tr w:rsidR="00DB71F1" w14:paraId="421EF09D" w14:textId="77777777" w:rsidTr="005D3194">
        <w:trPr>
          <w:cantSplit/>
        </w:trPr>
        <w:tc>
          <w:tcPr>
            <w:tcW w:w="2401" w:type="dxa"/>
          </w:tcPr>
          <w:p w14:paraId="4C136986" w14:textId="77777777" w:rsidR="00DB71F1" w:rsidRPr="001D77F7" w:rsidRDefault="00DB71F1" w:rsidP="00B10A44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949" w:type="dxa"/>
          </w:tcPr>
          <w:p w14:paraId="1FC4207C" w14:textId="77777777" w:rsidR="00DB71F1" w:rsidRDefault="00DB71F1" w:rsidP="00B10A44"/>
        </w:tc>
      </w:tr>
      <w:tr w:rsidR="00A61271" w14:paraId="19144C1E" w14:textId="77777777" w:rsidTr="005D3194">
        <w:trPr>
          <w:cantSplit/>
        </w:trPr>
        <w:tc>
          <w:tcPr>
            <w:tcW w:w="2401" w:type="dxa"/>
            <w:vAlign w:val="center"/>
          </w:tcPr>
          <w:p w14:paraId="3801A063" w14:textId="77777777" w:rsidR="00A61271" w:rsidRPr="00822B6F" w:rsidRDefault="00A61271" w:rsidP="00B10A4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Net-to-Gross Ratio</w:t>
            </w:r>
          </w:p>
        </w:tc>
        <w:tc>
          <w:tcPr>
            <w:tcW w:w="6949" w:type="dxa"/>
          </w:tcPr>
          <w:p w14:paraId="3172B847" w14:textId="77777777" w:rsidR="00A61271" w:rsidRPr="00D86243" w:rsidRDefault="00A61271" w:rsidP="00B10A4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A61271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14:paraId="33D78E18" w14:textId="77777777" w:rsidTr="005D3194">
        <w:trPr>
          <w:cantSplit/>
        </w:trPr>
        <w:tc>
          <w:tcPr>
            <w:tcW w:w="2401" w:type="dxa"/>
            <w:vAlign w:val="center"/>
          </w:tcPr>
          <w:p w14:paraId="3AB8E9F3" w14:textId="77777777" w:rsidR="00A61271" w:rsidRPr="00822B6F" w:rsidRDefault="00A61271" w:rsidP="00B10A4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949" w:type="dxa"/>
          </w:tcPr>
          <w:p w14:paraId="62F3DAF4" w14:textId="77777777" w:rsidR="007D1A21" w:rsidRDefault="007D1A2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7D1A21">
              <w:rPr>
                <w:rFonts w:cs="Arial"/>
                <w:sz w:val="20"/>
                <w:szCs w:val="20"/>
              </w:rPr>
              <w:t>Cook-</w:t>
            </w:r>
            <w:proofErr w:type="spellStart"/>
            <w:r w:rsidRPr="007D1A21">
              <w:rPr>
                <w:rFonts w:cs="Arial"/>
                <w:sz w:val="20"/>
                <w:szCs w:val="20"/>
              </w:rPr>
              <w:t>ElecCombOven</w:t>
            </w:r>
            <w:proofErr w:type="spellEnd"/>
          </w:p>
          <w:p w14:paraId="4023AE03" w14:textId="77777777" w:rsidR="00402B3D" w:rsidRPr="00D86243" w:rsidRDefault="007D1A2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7D1A21">
              <w:rPr>
                <w:rFonts w:cs="Arial"/>
                <w:sz w:val="20"/>
                <w:szCs w:val="20"/>
              </w:rPr>
              <w:t>Cook-</w:t>
            </w:r>
            <w:proofErr w:type="spellStart"/>
            <w:r w:rsidRPr="007D1A21">
              <w:rPr>
                <w:rFonts w:cs="Arial"/>
                <w:sz w:val="20"/>
                <w:szCs w:val="20"/>
              </w:rPr>
              <w:t>GasCombOVen</w:t>
            </w:r>
            <w:proofErr w:type="spellEnd"/>
          </w:p>
        </w:tc>
      </w:tr>
      <w:tr w:rsidR="00A61271" w14:paraId="3541689D" w14:textId="77777777" w:rsidTr="005D3194">
        <w:trPr>
          <w:cantSplit/>
        </w:trPr>
        <w:tc>
          <w:tcPr>
            <w:tcW w:w="2401" w:type="dxa"/>
            <w:vAlign w:val="center"/>
          </w:tcPr>
          <w:p w14:paraId="6F7302DC" w14:textId="77777777" w:rsidR="00A61271" w:rsidRPr="001D77F7" w:rsidRDefault="00A61271" w:rsidP="00B10A44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949" w:type="dxa"/>
            <w:vAlign w:val="center"/>
          </w:tcPr>
          <w:p w14:paraId="2A41B174" w14:textId="77777777" w:rsidR="00A61271" w:rsidRPr="00241A1F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</w:t>
            </w:r>
            <w:r w:rsidR="00DA5D17">
              <w:rPr>
                <w:rFonts w:cs="Arial"/>
                <w:sz w:val="20"/>
                <w:szCs w:val="20"/>
              </w:rPr>
              <w:t xml:space="preserve"> 2016</w:t>
            </w:r>
          </w:p>
        </w:tc>
      </w:tr>
      <w:tr w:rsidR="000B15CE" w14:paraId="44274A6C" w14:textId="77777777" w:rsidTr="002D7A0A">
        <w:trPr>
          <w:cantSplit/>
          <w:trHeight w:val="5936"/>
        </w:trPr>
        <w:tc>
          <w:tcPr>
            <w:tcW w:w="2401" w:type="dxa"/>
            <w:vAlign w:val="center"/>
          </w:tcPr>
          <w:p w14:paraId="29570EBA" w14:textId="77777777" w:rsidR="000B15CE" w:rsidRDefault="000B15CE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949" w:type="dxa"/>
          </w:tcPr>
          <w:p w14:paraId="0BDCB82F" w14:textId="77777777" w:rsidR="000B15CE" w:rsidRPr="0003264E" w:rsidRDefault="000B15CE" w:rsidP="0003264E">
            <w:pPr>
              <w:tabs>
                <w:tab w:val="right" w:pos="6732"/>
              </w:tabs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03264E">
              <w:rPr>
                <w:rFonts w:cs="Arial"/>
                <w:b/>
                <w:bCs/>
                <w:sz w:val="20"/>
                <w:szCs w:val="20"/>
              </w:rPr>
              <w:t>. Commercial Gas Conveyor Oven-Large Cost Effectiveness Example.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628"/>
              <w:gridCol w:w="1476"/>
              <w:gridCol w:w="1619"/>
            </w:tblGrid>
            <w:tr w:rsidR="000B15CE" w:rsidRPr="0003264E" w14:paraId="19E8162F" w14:textId="77777777" w:rsidTr="00B10A44">
              <w:trPr>
                <w:trHeight w:val="432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2A8E9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Performance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66B135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Baseline Model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A931CA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Energy Efficient Model</w:t>
                  </w:r>
                </w:p>
              </w:tc>
            </w:tr>
            <w:tr w:rsidR="000B15CE" w:rsidRPr="0003264E" w14:paraId="158046E4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A7D007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Preheat Time (min)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E49D44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723C4E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  <w:tr w:rsidR="000B15CE" w:rsidRPr="0003264E" w14:paraId="1CBE0509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2C6866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Preheat Energy (Btu)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E0D83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35,000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492932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18,000</w:t>
                  </w:r>
                </w:p>
              </w:tc>
            </w:tr>
            <w:tr w:rsidR="000B15CE" w:rsidRPr="0003264E" w14:paraId="037B12E1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D3E1A4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Idle Energy Rate (Btu/h)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843356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70,000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B22D27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57,000</w:t>
                  </w:r>
                </w:p>
              </w:tc>
            </w:tr>
            <w:tr w:rsidR="000B15CE" w:rsidRPr="0003264E" w14:paraId="426E6F13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FEFD2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Heavy Load Cooking Energy Efficiency (%)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F019F6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0E7EF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42%</w:t>
                  </w:r>
                </w:p>
              </w:tc>
            </w:tr>
            <w:tr w:rsidR="000B15CE" w:rsidRPr="0003264E" w14:paraId="7F82A173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80F09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Production Capacity (pizzas/</w:t>
                  </w:r>
                  <w:proofErr w:type="spellStart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hr</w:t>
                  </w:r>
                  <w:proofErr w:type="spellEnd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558BA9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DB9F7F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220</w:t>
                  </w:r>
                </w:p>
              </w:tc>
            </w:tr>
            <w:tr w:rsidR="000B15CE" w:rsidRPr="0003264E" w14:paraId="0D5C745A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8C292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Operating Hours/Day</w:t>
                  </w: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  <w:vertAlign w:val="superscript"/>
                    </w:rPr>
                    <w:t xml:space="preserve"> a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CD3661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ABEAD2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B15CE" w:rsidRPr="0003264E" w14:paraId="00A45584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85020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Operating Days/Year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56B4A4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CC954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365</w:t>
                  </w:r>
                </w:p>
              </w:tc>
            </w:tr>
            <w:tr w:rsidR="000B15CE" w:rsidRPr="0003264E" w14:paraId="3361FB62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714CB2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Number of Preheats per Day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9814CC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6283AA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B15CE" w:rsidRPr="0003264E" w14:paraId="3D04D743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F5A449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Pizzas Cooked per Day 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C5B82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3F8602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250</w:t>
                  </w:r>
                </w:p>
              </w:tc>
            </w:tr>
            <w:tr w:rsidR="000B15CE" w:rsidRPr="0003264E" w14:paraId="440D593B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C30BB0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Gas Cost ($/</w:t>
                  </w:r>
                  <w:proofErr w:type="spellStart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therm</w:t>
                  </w:r>
                  <w:proofErr w:type="spellEnd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463C9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$1.00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4F1CF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$1.00</w:t>
                  </w:r>
                </w:p>
              </w:tc>
            </w:tr>
            <w:tr w:rsidR="000B15CE" w:rsidRPr="0003264E" w14:paraId="0C4E5F3F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50DC4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ASTM Energy to Food (Btu/pizza)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8DF02B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4384E6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190</w:t>
                  </w:r>
                </w:p>
              </w:tc>
            </w:tr>
            <w:tr w:rsidR="000B15CE" w:rsidRPr="0003264E" w14:paraId="7008D775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8B8BF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Daily Energy Consumption (Btu)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C44E75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978,333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29488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736,073</w:t>
                  </w:r>
                </w:p>
              </w:tc>
            </w:tr>
            <w:tr w:rsidR="000B15CE" w:rsidRPr="0003264E" w14:paraId="5466BB16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3E8A3C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Annual Energy Consumption (</w:t>
                  </w:r>
                  <w:proofErr w:type="spellStart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therms</w:t>
                  </w:r>
                  <w:proofErr w:type="spellEnd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) </w:t>
                  </w: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  <w:vertAlign w:val="superscript"/>
                    </w:rPr>
                    <w:t>b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9D478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3,571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68F409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2,687</w:t>
                  </w:r>
                </w:p>
              </w:tc>
            </w:tr>
            <w:tr w:rsidR="000B15CE" w:rsidRPr="0003264E" w14:paraId="4B5B8CB4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240F37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Estimated Energy Savings (</w:t>
                  </w:r>
                  <w:proofErr w:type="spellStart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therms</w:t>
                  </w:r>
                  <w:proofErr w:type="spellEnd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/</w:t>
                  </w:r>
                  <w:proofErr w:type="spellStart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yr</w:t>
                  </w:r>
                  <w:proofErr w:type="spellEnd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686ABF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D42351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884</w:t>
                  </w:r>
                </w:p>
              </w:tc>
            </w:tr>
            <w:tr w:rsidR="000B15CE" w:rsidRPr="0003264E" w14:paraId="6A7DA362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1AAAA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Annual Energy Cost ($)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CE3FF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$3,571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7375DE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$2,687</w:t>
                  </w:r>
                </w:p>
              </w:tc>
            </w:tr>
            <w:tr w:rsidR="000B15CE" w:rsidRPr="0003264E" w14:paraId="5ADD6DCE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1C95B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Estimated Cost Savings ($/</w:t>
                  </w:r>
                  <w:proofErr w:type="spellStart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yr</w:t>
                  </w:r>
                  <w:proofErr w:type="spellEnd"/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69156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24BAA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$884</w:t>
                  </w:r>
                </w:p>
              </w:tc>
            </w:tr>
            <w:tr w:rsidR="000B15CE" w:rsidRPr="0003264E" w14:paraId="365D3A2C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CA68C0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Incremental Measure Cost </w:t>
                  </w: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  <w:vertAlign w:val="superscript"/>
                    </w:rPr>
                    <w:t>c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2183B1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5CD2E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SEE APPENDIX A</w:t>
                  </w:r>
                </w:p>
              </w:tc>
            </w:tr>
            <w:tr w:rsidR="000B15CE" w:rsidRPr="0003264E" w14:paraId="5BE5D5B9" w14:textId="77777777" w:rsidTr="00B10A44">
              <w:trPr>
                <w:trHeight w:hRule="exact" w:val="288"/>
                <w:jc w:val="center"/>
              </w:trPr>
              <w:tc>
                <w:tcPr>
                  <w:tcW w:w="2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D895F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Estimated Useful Life (EUL) </w:t>
                  </w: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  <w:vertAlign w:val="superscript"/>
                    </w:rPr>
                    <w:t>d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BBDC2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12 years</w:t>
                  </w:r>
                </w:p>
              </w:tc>
              <w:tc>
                <w:tcPr>
                  <w:tcW w:w="1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B7074" w14:textId="77777777" w:rsidR="000B15CE" w:rsidRPr="0003264E" w:rsidRDefault="000B15CE" w:rsidP="0003264E">
                  <w:pPr>
                    <w:tabs>
                      <w:tab w:val="right" w:pos="6732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03264E">
                    <w:rPr>
                      <w:rFonts w:cs="Arial"/>
                      <w:b/>
                      <w:bCs/>
                      <w:sz w:val="20"/>
                      <w:szCs w:val="20"/>
                    </w:rPr>
                    <w:t>12 years</w:t>
                  </w:r>
                </w:p>
              </w:tc>
            </w:tr>
          </w:tbl>
          <w:p w14:paraId="1B451445" w14:textId="77777777" w:rsidR="000B15CE" w:rsidRPr="00555671" w:rsidRDefault="000B15CE" w:rsidP="0003264E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61271" w14:paraId="475715F5" w14:textId="77777777" w:rsidTr="005D3194">
        <w:trPr>
          <w:cantSplit/>
        </w:trPr>
        <w:tc>
          <w:tcPr>
            <w:tcW w:w="2401" w:type="dxa"/>
            <w:vAlign w:val="center"/>
          </w:tcPr>
          <w:p w14:paraId="325EE348" w14:textId="77777777" w:rsidR="00A61271" w:rsidRPr="001D77F7" w:rsidRDefault="00A61271" w:rsidP="00B10A44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949" w:type="dxa"/>
          </w:tcPr>
          <w:p w14:paraId="7D421705" w14:textId="77777777" w:rsidR="00A61271" w:rsidRDefault="004519B4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 w:rsidRPr="004519B4">
              <w:rPr>
                <w:rFonts w:cstheme="minorHAnsi"/>
                <w:bCs/>
                <w:sz w:val="20"/>
              </w:rPr>
              <w:t>SDG:35-OTI-OtherIndustrial-PROC_OTH</w:t>
            </w:r>
          </w:p>
          <w:p w14:paraId="6B7A2129" w14:textId="77777777" w:rsidR="004519B4" w:rsidRPr="00476F40" w:rsidRDefault="004519B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</w:rPr>
              <w:t>WinterOnly</w:t>
            </w:r>
            <w:proofErr w:type="spellEnd"/>
          </w:p>
        </w:tc>
      </w:tr>
      <w:tr w:rsidR="00A61271" w14:paraId="6C1B1721" w14:textId="77777777" w:rsidTr="005D3194">
        <w:trPr>
          <w:cantSplit/>
        </w:trPr>
        <w:tc>
          <w:tcPr>
            <w:tcW w:w="2401" w:type="dxa"/>
            <w:vAlign w:val="center"/>
          </w:tcPr>
          <w:p w14:paraId="72F23FC7" w14:textId="77777777" w:rsidR="00A61271" w:rsidRPr="001D77F7" w:rsidRDefault="00A61271" w:rsidP="00B10A44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949" w:type="dxa"/>
          </w:tcPr>
          <w:p w14:paraId="5285A516" w14:textId="77777777"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14:paraId="7751164F" w14:textId="77777777" w:rsidTr="005D3194">
        <w:trPr>
          <w:cantSplit/>
        </w:trPr>
        <w:tc>
          <w:tcPr>
            <w:tcW w:w="2401" w:type="dxa"/>
          </w:tcPr>
          <w:p w14:paraId="66533A88" w14:textId="77777777"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6949" w:type="dxa"/>
          </w:tcPr>
          <w:p w14:paraId="21F962D4" w14:textId="77777777" w:rsidR="00A61271" w:rsidRPr="00393EC8" w:rsidRDefault="00A61271" w:rsidP="00B10A44">
            <w:pPr>
              <w:rPr>
                <w:b/>
              </w:rPr>
            </w:pPr>
          </w:p>
        </w:tc>
      </w:tr>
      <w:tr w:rsidR="00A61271" w14:paraId="7D629F03" w14:textId="77777777" w:rsidTr="005D3194">
        <w:trPr>
          <w:cantSplit/>
        </w:trPr>
        <w:tc>
          <w:tcPr>
            <w:tcW w:w="2401" w:type="dxa"/>
          </w:tcPr>
          <w:p w14:paraId="2795D69D" w14:textId="77777777" w:rsidR="00A61271" w:rsidRDefault="005D319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  <w:p w14:paraId="7CD1D6D9" w14:textId="6F0371C2" w:rsidR="00641D48" w:rsidRPr="00822B6F" w:rsidRDefault="00641D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2:</w:t>
            </w:r>
          </w:p>
        </w:tc>
        <w:tc>
          <w:tcPr>
            <w:tcW w:w="694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3663"/>
              <w:gridCol w:w="1359"/>
            </w:tblGrid>
            <w:tr w:rsidR="005D3194" w14:paraId="4A94A9FA" w14:textId="77777777" w:rsidTr="002D7A0A">
              <w:tc>
                <w:tcPr>
                  <w:tcW w:w="1701" w:type="dxa"/>
                </w:tcPr>
                <w:p w14:paraId="192C304E" w14:textId="77777777" w:rsidR="005D3194" w:rsidRDefault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ImplementationID</w:t>
                  </w:r>
                  <w:proofErr w:type="spellEnd"/>
                </w:p>
              </w:tc>
              <w:tc>
                <w:tcPr>
                  <w:tcW w:w="3663" w:type="dxa"/>
                </w:tcPr>
                <w:p w14:paraId="4F45E259" w14:textId="77777777" w:rsidR="005D3194" w:rsidRDefault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StdCostID</w:t>
                  </w:r>
                  <w:proofErr w:type="spellEnd"/>
                </w:p>
              </w:tc>
              <w:tc>
                <w:tcPr>
                  <w:tcW w:w="1359" w:type="dxa"/>
                </w:tcPr>
                <w:p w14:paraId="47094B25" w14:textId="77777777" w:rsidR="005D3194" w:rsidRDefault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StdCost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Value</w:t>
                  </w:r>
                </w:p>
              </w:tc>
            </w:tr>
            <w:tr w:rsidR="005D3194" w14:paraId="36875586" w14:textId="77777777" w:rsidTr="002D7A0A">
              <w:tc>
                <w:tcPr>
                  <w:tcW w:w="1701" w:type="dxa"/>
                </w:tcPr>
                <w:p w14:paraId="4449A600" w14:textId="77777777" w:rsidR="005D3194" w:rsidRPr="00FD4F0C" w:rsidRDefault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FD4F0C">
                    <w:rPr>
                      <w:rFonts w:cs="Arial"/>
                      <w:sz w:val="20"/>
                      <w:szCs w:val="20"/>
                    </w:rPr>
                    <w:t>40203</w:t>
                  </w:r>
                  <w:r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63" w:type="dxa"/>
                </w:tcPr>
                <w:p w14:paraId="58722118" w14:textId="77777777" w:rsidR="005D3194" w:rsidRDefault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5D3194">
                    <w:rPr>
                      <w:rFonts w:cs="Arial"/>
                      <w:sz w:val="20"/>
                      <w:szCs w:val="20"/>
                    </w:rPr>
                    <w:t>FoodServ-Gas-CookConvOvn-gt25in-20p0</w:t>
                  </w:r>
                </w:p>
              </w:tc>
              <w:tc>
                <w:tcPr>
                  <w:tcW w:w="1359" w:type="dxa"/>
                </w:tcPr>
                <w:p w14:paraId="2D6C806B" w14:textId="77777777" w:rsidR="005D3194" w:rsidRDefault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$</w:t>
                  </w:r>
                  <w:r w:rsidRPr="005D3194">
                    <w:rPr>
                      <w:rFonts w:cs="Arial"/>
                      <w:sz w:val="20"/>
                      <w:szCs w:val="20"/>
                    </w:rPr>
                    <w:t>10,177.00</w:t>
                  </w:r>
                </w:p>
              </w:tc>
            </w:tr>
          </w:tbl>
          <w:p w14:paraId="00E8C88E" w14:textId="77777777" w:rsidR="00A61271" w:rsidRPr="00476F40" w:rsidRDefault="005D31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61271" w14:paraId="09E2C61E" w14:textId="77777777" w:rsidTr="005D3194">
        <w:trPr>
          <w:cantSplit/>
        </w:trPr>
        <w:tc>
          <w:tcPr>
            <w:tcW w:w="2401" w:type="dxa"/>
          </w:tcPr>
          <w:p w14:paraId="3930FF7F" w14:textId="77777777" w:rsidR="00A61271" w:rsidRDefault="00A61271" w:rsidP="005D319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</w:t>
            </w:r>
          </w:p>
          <w:p w14:paraId="4B7B3578" w14:textId="62907467" w:rsidR="00641D48" w:rsidRPr="00822B6F" w:rsidRDefault="00641D48" w:rsidP="005D31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</w:t>
            </w:r>
            <w:r w:rsidR="00576144">
              <w:rPr>
                <w:sz w:val="20"/>
                <w:szCs w:val="20"/>
              </w:rPr>
              <w:t xml:space="preserve"> 2:</w:t>
            </w:r>
          </w:p>
        </w:tc>
        <w:tc>
          <w:tcPr>
            <w:tcW w:w="694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5"/>
              <w:gridCol w:w="3690"/>
              <w:gridCol w:w="1318"/>
            </w:tblGrid>
            <w:tr w:rsidR="005D3194" w14:paraId="7CA2CD18" w14:textId="77777777" w:rsidTr="005D3194">
              <w:tc>
                <w:tcPr>
                  <w:tcW w:w="1715" w:type="dxa"/>
                </w:tcPr>
                <w:p w14:paraId="50BF19E1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ImplementationID</w:t>
                  </w:r>
                  <w:proofErr w:type="spellEnd"/>
                </w:p>
              </w:tc>
              <w:tc>
                <w:tcPr>
                  <w:tcW w:w="3690" w:type="dxa"/>
                </w:tcPr>
                <w:p w14:paraId="4E50AC0C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MeasCostID</w:t>
                  </w:r>
                  <w:proofErr w:type="spellEnd"/>
                </w:p>
              </w:tc>
              <w:tc>
                <w:tcPr>
                  <w:tcW w:w="1318" w:type="dxa"/>
                </w:tcPr>
                <w:p w14:paraId="07E52400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StdCost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Value</w:t>
                  </w:r>
                </w:p>
              </w:tc>
            </w:tr>
            <w:tr w:rsidR="005D3194" w14:paraId="5B20C1DD" w14:textId="77777777" w:rsidTr="005D3194">
              <w:tc>
                <w:tcPr>
                  <w:tcW w:w="1715" w:type="dxa"/>
                </w:tcPr>
                <w:p w14:paraId="0CA2FB4C" w14:textId="77777777" w:rsidR="005D3194" w:rsidRPr="00FD4F0C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FD4F0C">
                    <w:rPr>
                      <w:rFonts w:cs="Arial"/>
                      <w:sz w:val="20"/>
                      <w:szCs w:val="20"/>
                    </w:rPr>
                    <w:t>40203</w:t>
                  </w:r>
                  <w:r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90" w:type="dxa"/>
                </w:tcPr>
                <w:p w14:paraId="638F4389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5D3194">
                    <w:rPr>
                      <w:rFonts w:cs="Arial"/>
                      <w:sz w:val="20"/>
                      <w:szCs w:val="20"/>
                    </w:rPr>
                    <w:t>FoodServ-Gas-CookConvOvn-gt25in-42p0</w:t>
                  </w:r>
                </w:p>
              </w:tc>
              <w:tc>
                <w:tcPr>
                  <w:tcW w:w="1318" w:type="dxa"/>
                </w:tcPr>
                <w:p w14:paraId="0A1ED011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$</w:t>
                  </w:r>
                  <w:r w:rsidRPr="005D3194">
                    <w:rPr>
                      <w:rFonts w:cs="Arial"/>
                      <w:sz w:val="20"/>
                      <w:szCs w:val="20"/>
                    </w:rPr>
                    <w:t>12,407.00</w:t>
                  </w:r>
                </w:p>
              </w:tc>
            </w:tr>
          </w:tbl>
          <w:p w14:paraId="12BA2324" w14:textId="77777777"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91D85" w14:paraId="455FF6E6" w14:textId="77777777" w:rsidTr="005D3194">
        <w:trPr>
          <w:cantSplit/>
        </w:trPr>
        <w:tc>
          <w:tcPr>
            <w:tcW w:w="2401" w:type="dxa"/>
          </w:tcPr>
          <w:p w14:paraId="40897D60" w14:textId="77777777" w:rsidR="00576144" w:rsidRDefault="005D3194" w:rsidP="00B10A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</w:t>
            </w:r>
          </w:p>
          <w:p w14:paraId="5BD71C8D" w14:textId="4A64F6B8" w:rsidR="00591D85" w:rsidRPr="00822B6F" w:rsidRDefault="00576144" w:rsidP="00B10A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2:</w:t>
            </w:r>
            <w:r w:rsidR="005D31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5"/>
              <w:gridCol w:w="3690"/>
              <w:gridCol w:w="1318"/>
            </w:tblGrid>
            <w:tr w:rsidR="005D3194" w14:paraId="12F17542" w14:textId="77777777" w:rsidTr="00B10A44">
              <w:tc>
                <w:tcPr>
                  <w:tcW w:w="1715" w:type="dxa"/>
                </w:tcPr>
                <w:p w14:paraId="666F3B24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ImplementationID</w:t>
                  </w:r>
                  <w:proofErr w:type="spellEnd"/>
                </w:p>
              </w:tc>
              <w:tc>
                <w:tcPr>
                  <w:tcW w:w="3690" w:type="dxa"/>
                </w:tcPr>
                <w:p w14:paraId="543CBFD3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Description</w:t>
                  </w:r>
                </w:p>
              </w:tc>
              <w:tc>
                <w:tcPr>
                  <w:tcW w:w="1318" w:type="dxa"/>
                </w:tcPr>
                <w:p w14:paraId="3997E323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IMC</w:t>
                  </w:r>
                </w:p>
              </w:tc>
            </w:tr>
            <w:tr w:rsidR="005D3194" w14:paraId="3A85591C" w14:textId="77777777" w:rsidTr="00B10A44">
              <w:tc>
                <w:tcPr>
                  <w:tcW w:w="1715" w:type="dxa"/>
                </w:tcPr>
                <w:p w14:paraId="542C19A6" w14:textId="77777777" w:rsidR="005D3194" w:rsidRPr="00FD4F0C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FD4F0C">
                    <w:rPr>
                      <w:rFonts w:cs="Arial"/>
                      <w:sz w:val="20"/>
                      <w:szCs w:val="20"/>
                    </w:rPr>
                    <w:t>40203</w:t>
                  </w:r>
                  <w:r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90" w:type="dxa"/>
                </w:tcPr>
                <w:p w14:paraId="3AE0E9BE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5D3194">
                    <w:rPr>
                      <w:rFonts w:cs="Arial"/>
                      <w:sz w:val="20"/>
                      <w:szCs w:val="20"/>
                    </w:rPr>
                    <w:t xml:space="preserve">Conveyor Oven </w:t>
                  </w:r>
                  <w:proofErr w:type="spellStart"/>
                  <w:r w:rsidRPr="005D3194">
                    <w:rPr>
                      <w:rFonts w:cs="Arial"/>
                      <w:sz w:val="20"/>
                      <w:szCs w:val="20"/>
                    </w:rPr>
                    <w:t>sm</w:t>
                  </w:r>
                  <w:proofErr w:type="spellEnd"/>
                  <w:r w:rsidRPr="005D3194">
                    <w:rPr>
                      <w:rFonts w:cs="Arial"/>
                      <w:sz w:val="20"/>
                      <w:szCs w:val="20"/>
                    </w:rPr>
                    <w:t xml:space="preserve"> &lt;=25" total conveyor width with 42% minimum cooking efficiency</w:t>
                  </w:r>
                </w:p>
              </w:tc>
              <w:tc>
                <w:tcPr>
                  <w:tcW w:w="1318" w:type="dxa"/>
                </w:tcPr>
                <w:p w14:paraId="61740233" w14:textId="77777777" w:rsidR="005D3194" w:rsidRDefault="005D3194" w:rsidP="005D319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$</w:t>
                  </w:r>
                  <w:r w:rsidRPr="005D3194">
                    <w:rPr>
                      <w:rFonts w:cs="Arial"/>
                      <w:sz w:val="20"/>
                      <w:szCs w:val="20"/>
                    </w:rPr>
                    <w:t>2,230.00</w:t>
                  </w:r>
                </w:p>
              </w:tc>
            </w:tr>
          </w:tbl>
          <w:p w14:paraId="28B8674E" w14:textId="77777777" w:rsidR="00591D85" w:rsidRDefault="00591D85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0D8FAE0C" w14:textId="77777777" w:rsidR="001B5D6C" w:rsidRDefault="001B5D6C" w:rsidP="00FE636E">
      <w:pPr>
        <w:spacing w:after="200" w:line="276" w:lineRule="auto"/>
      </w:pPr>
    </w:p>
    <w:p w14:paraId="5C14C9B1" w14:textId="77777777" w:rsidR="00F72950" w:rsidRDefault="00F72950">
      <w:pPr>
        <w:spacing w:after="200" w:line="276" w:lineRule="auto"/>
      </w:pPr>
      <w:r>
        <w:br w:type="page"/>
      </w:r>
    </w:p>
    <w:p w14:paraId="248A6225" w14:textId="77777777" w:rsidR="00F72950" w:rsidRDefault="00F72950" w:rsidP="00F72950">
      <w:pPr>
        <w:pStyle w:val="ListParagraph"/>
        <w:numPr>
          <w:ilvl w:val="0"/>
          <w:numId w:val="20"/>
        </w:numPr>
      </w:pPr>
      <w:r>
        <w:lastRenderedPageBreak/>
        <w:t>Supplemental Cost Information</w:t>
      </w:r>
    </w:p>
    <w:p w14:paraId="6BE3ECEC" w14:textId="77777777" w:rsidR="00F72950" w:rsidRDefault="00F72950" w:rsidP="00F72950"/>
    <w:p w14:paraId="2204FE84" w14:textId="77777777" w:rsidR="00C228B0" w:rsidRDefault="00F72950" w:rsidP="00F72950">
      <w:pPr>
        <w:pStyle w:val="ListParagraph"/>
        <w:numPr>
          <w:ilvl w:val="1"/>
          <w:numId w:val="18"/>
        </w:numPr>
      </w:pPr>
      <w:r>
        <w:t>PGE workpaper PGECOFST117 Revision 3 for small conveyor oven -gas</w:t>
      </w:r>
    </w:p>
    <w:p w14:paraId="34A4CD45" w14:textId="77777777" w:rsidR="00F72950" w:rsidRDefault="00F72950" w:rsidP="00F72950">
      <w:pPr>
        <w:keepNext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Equipment Cost Data for Gas Conveyor Ovens</w:t>
      </w:r>
    </w:p>
    <w:p w14:paraId="31639633" w14:textId="77777777" w:rsidR="00F72950" w:rsidRDefault="00F72950" w:rsidP="00F72950">
      <w:pPr>
        <w:rPr>
          <w:rFonts w:ascii="Arial" w:hAnsi="Arial" w:cs="Arial"/>
          <w:sz w:val="18"/>
          <w:szCs w:val="18"/>
        </w:rPr>
      </w:pPr>
    </w:p>
    <w:tbl>
      <w:tblPr>
        <w:tblW w:w="5123" w:type="pct"/>
        <w:tblLook w:val="0000" w:firstRow="0" w:lastRow="0" w:firstColumn="0" w:lastColumn="0" w:noHBand="0" w:noVBand="0"/>
      </w:tblPr>
      <w:tblGrid>
        <w:gridCol w:w="5780"/>
        <w:gridCol w:w="1560"/>
        <w:gridCol w:w="1180"/>
        <w:gridCol w:w="1060"/>
      </w:tblGrid>
      <w:tr w:rsidR="00F72950" w14:paraId="4A07E464" w14:textId="77777777" w:rsidTr="00F72950">
        <w:trPr>
          <w:trHeight w:val="450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85FCF7" w14:textId="77777777" w:rsidR="00F72950" w:rsidRDefault="00F72950" w:rsidP="00B10A4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Make Energy Efficient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4672C9" w14:textId="77777777" w:rsidR="00F72950" w:rsidRDefault="00F72950" w:rsidP="00B10A4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Model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0AE67CE" w14:textId="77777777" w:rsidR="00F72950" w:rsidRDefault="00F72950" w:rsidP="00B10A4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Size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D11B0F" w14:textId="77777777" w:rsidR="00F72950" w:rsidRDefault="00F72950" w:rsidP="00B10A4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Cost(</w:t>
            </w:r>
            <w:proofErr w:type="gramEnd"/>
            <w:r>
              <w:rPr>
                <w:rFonts w:ascii="Arial" w:hAnsi="Arial" w:cs="Arial"/>
                <w:b/>
                <w:bCs/>
                <w:szCs w:val="22"/>
              </w:rPr>
              <w:t>$)*</w:t>
            </w:r>
          </w:p>
        </w:tc>
      </w:tr>
      <w:tr w:rsidR="00F72950" w:rsidRPr="002662D9" w14:paraId="2CCAC261" w14:textId="77777777" w:rsidTr="00F72950">
        <w:trPr>
          <w:trHeight w:val="255"/>
        </w:trPr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D1B748" w14:textId="77777777" w:rsidR="00F72950" w:rsidRPr="002662D9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2662D9">
                  <w:rPr>
                    <w:rFonts w:ascii="Arial" w:hAnsi="Arial" w:cs="Arial"/>
                    <w:sz w:val="20"/>
                    <w:szCs w:val="20"/>
                  </w:rPr>
                  <w:t>Lincoln</w:t>
                </w:r>
              </w:smartTag>
            </w:smartTag>
            <w:r w:rsidRPr="002662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710EAA" w14:textId="77777777" w:rsidR="00F72950" w:rsidRPr="002662D9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 w:rsidRPr="002662D9">
              <w:rPr>
                <w:rFonts w:ascii="Arial" w:hAnsi="Arial" w:cs="Arial"/>
                <w:sz w:val="20"/>
                <w:szCs w:val="20"/>
              </w:rPr>
              <w:t>1116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4C4A81" w14:textId="77777777" w:rsidR="00F72950" w:rsidRPr="002662D9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 w:rsidRPr="002662D9">
              <w:rPr>
                <w:rFonts w:ascii="Arial" w:hAnsi="Arial" w:cs="Arial"/>
                <w:sz w:val="20"/>
                <w:szCs w:val="20"/>
              </w:rPr>
              <w:t>Small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2F9EE" w14:textId="77777777" w:rsidR="00F72950" w:rsidRDefault="00F72950" w:rsidP="00B10A4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13,852</w:t>
            </w:r>
          </w:p>
        </w:tc>
      </w:tr>
      <w:tr w:rsidR="00F72950" w:rsidRPr="002662D9" w14:paraId="16E1BB05" w14:textId="77777777" w:rsidTr="00F72950">
        <w:trPr>
          <w:trHeight w:val="255"/>
        </w:trPr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8FCF70" w14:textId="77777777" w:rsidR="00F72950" w:rsidRPr="002662D9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 w:rsidRPr="002662D9">
              <w:rPr>
                <w:rFonts w:ascii="Arial" w:hAnsi="Arial" w:cs="Arial"/>
                <w:sz w:val="20"/>
                <w:szCs w:val="20"/>
              </w:rPr>
              <w:t>Blodgett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15F17A" w14:textId="77777777" w:rsidR="00F72950" w:rsidRPr="002662D9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 w:rsidRPr="002662D9">
              <w:rPr>
                <w:rFonts w:ascii="Arial" w:hAnsi="Arial" w:cs="Arial"/>
                <w:sz w:val="20"/>
                <w:szCs w:val="20"/>
              </w:rPr>
              <w:t>MT1828G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DD9D79" w14:textId="77777777" w:rsidR="00F72950" w:rsidRPr="002662D9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 w:rsidRPr="002662D9">
              <w:rPr>
                <w:rFonts w:ascii="Arial" w:hAnsi="Arial" w:cs="Arial"/>
                <w:sz w:val="20"/>
                <w:szCs w:val="20"/>
              </w:rPr>
              <w:t>Small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F2816" w14:textId="77777777" w:rsidR="00F72950" w:rsidRDefault="00F72950" w:rsidP="00B10A4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16,700</w:t>
            </w:r>
          </w:p>
        </w:tc>
      </w:tr>
      <w:tr w:rsidR="00F72950" w14:paraId="1F6A2C86" w14:textId="77777777" w:rsidTr="00F72950">
        <w:trPr>
          <w:trHeight w:val="255"/>
        </w:trPr>
        <w:tc>
          <w:tcPr>
            <w:tcW w:w="444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D07F49" w14:textId="77777777" w:rsidR="00F72950" w:rsidRDefault="00F72950" w:rsidP="00B10A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Average List Price of Energy Efficient Small Conveyor Oven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016DF" w14:textId="77777777" w:rsidR="00F72950" w:rsidRDefault="00F72950" w:rsidP="00B10A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$15,276</w:t>
            </w:r>
          </w:p>
        </w:tc>
      </w:tr>
      <w:tr w:rsidR="00F72950" w14:paraId="72537D6E" w14:textId="77777777" w:rsidTr="00F72950">
        <w:trPr>
          <w:trHeight w:val="255"/>
        </w:trPr>
        <w:tc>
          <w:tcPr>
            <w:tcW w:w="444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3ADD68" w14:textId="77777777" w:rsidR="00F72950" w:rsidRDefault="00F72950" w:rsidP="00B10A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Average Estimated Purchase Price of Energy Efficient Gas Small Conveyor Oven**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4CB89F" w14:textId="77777777" w:rsidR="00F72950" w:rsidRDefault="00F72950" w:rsidP="00B10A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$9,166</w:t>
            </w:r>
          </w:p>
        </w:tc>
      </w:tr>
      <w:tr w:rsidR="00F72950" w14:paraId="23398FFA" w14:textId="77777777" w:rsidTr="00F72950">
        <w:trPr>
          <w:trHeight w:val="255"/>
        </w:trPr>
        <w:tc>
          <w:tcPr>
            <w:tcW w:w="30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7FFE4B8" w14:textId="77777777" w:rsidR="00F72950" w:rsidRDefault="00F72950" w:rsidP="00B10A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EF60EC7" w14:textId="77777777" w:rsidR="00F72950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0A1E161" w14:textId="77777777" w:rsidR="00F72950" w:rsidRDefault="00F72950" w:rsidP="00B10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D500E19" w14:textId="77777777" w:rsidR="00F72950" w:rsidRDefault="00F72950" w:rsidP="00B10A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72950" w14:paraId="59A64521" w14:textId="77777777" w:rsidTr="00F72950">
        <w:trPr>
          <w:trHeight w:val="510"/>
        </w:trPr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2553AD1" w14:textId="77777777" w:rsidR="00F72950" w:rsidRDefault="00F72950" w:rsidP="00B10A4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Make Energy Baseline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ABE4B54" w14:textId="77777777" w:rsidR="00F72950" w:rsidRDefault="00F72950" w:rsidP="00B10A4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Model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15CA279" w14:textId="77777777" w:rsidR="00F72950" w:rsidRDefault="00F72950" w:rsidP="00B10A4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Size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9D19DF9" w14:textId="77777777" w:rsidR="00F72950" w:rsidRDefault="00F72950" w:rsidP="00B10A4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Cost($)*</w:t>
            </w:r>
          </w:p>
        </w:tc>
      </w:tr>
      <w:tr w:rsidR="00F72950" w14:paraId="58C02D8D" w14:textId="77777777" w:rsidTr="00F72950">
        <w:trPr>
          <w:trHeight w:val="255"/>
        </w:trPr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6E8F7" w14:textId="77777777" w:rsidR="00F72950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142DBD" w14:textId="77777777" w:rsidR="00F72950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UM1854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2B759D" w14:textId="77777777" w:rsidR="00F72950" w:rsidRDefault="00F72950" w:rsidP="00B10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Small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BEC98" w14:textId="77777777" w:rsidR="00F72950" w:rsidRDefault="00F72950" w:rsidP="00B10A4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11,296</w:t>
            </w:r>
          </w:p>
        </w:tc>
      </w:tr>
      <w:tr w:rsidR="00F72950" w14:paraId="06555C3C" w14:textId="77777777" w:rsidTr="00F72950">
        <w:trPr>
          <w:trHeight w:val="255"/>
        </w:trPr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A06C1D" w14:textId="77777777" w:rsidR="00F72950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Zesto</w:t>
            </w:r>
            <w:proofErr w:type="spellEnd"/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07D70" w14:textId="77777777" w:rsidR="00F72950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3018SGL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B8F08E" w14:textId="77777777" w:rsidR="00F72950" w:rsidRDefault="00F72950" w:rsidP="00B10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Small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F13A47" w14:textId="77777777" w:rsidR="00F72950" w:rsidRDefault="00F72950" w:rsidP="00B10A4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13,420</w:t>
            </w:r>
          </w:p>
        </w:tc>
      </w:tr>
      <w:tr w:rsidR="00F72950" w14:paraId="7216AEAA" w14:textId="77777777" w:rsidTr="00F72950">
        <w:trPr>
          <w:trHeight w:val="255"/>
        </w:trPr>
        <w:tc>
          <w:tcPr>
            <w:tcW w:w="444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C0243E" w14:textId="77777777" w:rsidR="00F72950" w:rsidRPr="00CE5A0B" w:rsidRDefault="00F72950" w:rsidP="00B10A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Average List Price of Baseline Model Small Conveyor Oven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3B2C13" w14:textId="77777777" w:rsidR="00F72950" w:rsidRDefault="00F72950" w:rsidP="00B10A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$12,358</w:t>
            </w:r>
          </w:p>
        </w:tc>
      </w:tr>
      <w:tr w:rsidR="00F72950" w14:paraId="3473A50E" w14:textId="77777777" w:rsidTr="00F72950">
        <w:trPr>
          <w:trHeight w:val="255"/>
        </w:trPr>
        <w:tc>
          <w:tcPr>
            <w:tcW w:w="444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37A0D3" w14:textId="77777777" w:rsidR="00F72950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Average Estimated Purchase of Baseline Model Small Conveyor Oven**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19C3D" w14:textId="77777777" w:rsidR="00F72950" w:rsidRDefault="00F72950" w:rsidP="00B10A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$7,415</w:t>
            </w:r>
          </w:p>
        </w:tc>
      </w:tr>
      <w:tr w:rsidR="00F72950" w:rsidRPr="008777DD" w14:paraId="7D92E037" w14:textId="77777777" w:rsidTr="00F72950">
        <w:trPr>
          <w:trHeight w:val="255"/>
        </w:trPr>
        <w:tc>
          <w:tcPr>
            <w:tcW w:w="444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FDC35" w14:textId="77777777" w:rsidR="00F72950" w:rsidRPr="008777DD" w:rsidRDefault="00F72950" w:rsidP="00B10A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FFBA17" w14:textId="77777777" w:rsidR="00F72950" w:rsidRPr="008777DD" w:rsidRDefault="00F72950" w:rsidP="00B10A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2950" w14:paraId="5BE7F7EC" w14:textId="77777777" w:rsidTr="00F72950">
        <w:trPr>
          <w:trHeight w:val="255"/>
        </w:trPr>
        <w:tc>
          <w:tcPr>
            <w:tcW w:w="444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B09259" w14:textId="77777777" w:rsidR="00F72950" w:rsidRDefault="00F72950" w:rsidP="00B10A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Small Conveyor Oven List Price Average Incremental Cost Difference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B1741" w14:textId="77777777" w:rsidR="00F72950" w:rsidRDefault="00F72950" w:rsidP="00B10A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$2,918</w:t>
            </w:r>
          </w:p>
        </w:tc>
      </w:tr>
      <w:tr w:rsidR="00F72950" w14:paraId="0D7E76D2" w14:textId="77777777" w:rsidTr="00F72950">
        <w:trPr>
          <w:trHeight w:val="255"/>
        </w:trPr>
        <w:tc>
          <w:tcPr>
            <w:tcW w:w="444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1EF45F" w14:textId="77777777" w:rsidR="00F72950" w:rsidRDefault="00F72950" w:rsidP="00B10A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Small Conveyor Oven Estimated Purchase Price Average Incremental Cost Difference**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91BFF8" w14:textId="77777777" w:rsidR="00F72950" w:rsidRDefault="00F72950" w:rsidP="00B10A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$1,751</w:t>
            </w:r>
          </w:p>
        </w:tc>
      </w:tr>
      <w:tr w:rsidR="00F72950" w14:paraId="09B2825A" w14:textId="77777777" w:rsidTr="00F72950">
        <w:trPr>
          <w:trHeight w:val="255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A11514" w14:textId="77777777" w:rsidR="00F72950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*Costs taken from 2006 published manufacturer list prices</w:t>
            </w:r>
          </w:p>
        </w:tc>
      </w:tr>
      <w:tr w:rsidR="00F72950" w14:paraId="3A82DB0C" w14:textId="77777777" w:rsidTr="00F72950">
        <w:trPr>
          <w:trHeight w:val="255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3F6142" w14:textId="77777777" w:rsidR="00F72950" w:rsidRDefault="00F72950" w:rsidP="00B10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**Estimated purchase price based on a typical 40% discount from the published list prices</w:t>
            </w:r>
          </w:p>
        </w:tc>
      </w:tr>
    </w:tbl>
    <w:p w14:paraId="491A2C6E" w14:textId="77777777" w:rsidR="00F72950" w:rsidRDefault="00F72950" w:rsidP="00F72950">
      <w:pPr>
        <w:ind w:left="720"/>
      </w:pPr>
    </w:p>
    <w:p w14:paraId="0C276655" w14:textId="77777777" w:rsidR="00F72950" w:rsidRDefault="00F72950" w:rsidP="00F72950">
      <w:pPr>
        <w:pStyle w:val="ListParagraph"/>
        <w:numPr>
          <w:ilvl w:val="1"/>
          <w:numId w:val="18"/>
        </w:numPr>
      </w:pPr>
      <w:r>
        <w:t>PGE workpaper PGECOFST117 Revision 3 for large conveyor oven -gas</w:t>
      </w:r>
    </w:p>
    <w:p w14:paraId="5E8D93B5" w14:textId="77777777" w:rsidR="00F72950" w:rsidRPr="00F72950" w:rsidRDefault="00F72950" w:rsidP="00F72950">
      <w:pPr>
        <w:pStyle w:val="ListParagraph"/>
        <w:keepNext/>
        <w:numPr>
          <w:ilvl w:val="0"/>
          <w:numId w:val="18"/>
        </w:numPr>
        <w:rPr>
          <w:rFonts w:cs="Arial"/>
          <w:b/>
          <w:bCs/>
          <w:sz w:val="24"/>
        </w:rPr>
      </w:pPr>
      <w:r w:rsidRPr="00F72950">
        <w:rPr>
          <w:rFonts w:cs="Arial"/>
          <w:b/>
          <w:bCs/>
          <w:sz w:val="24"/>
        </w:rPr>
        <w:t>Equipment Cost Data for Gas Conveyor Ovens</w:t>
      </w:r>
    </w:p>
    <w:tbl>
      <w:tblPr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3418"/>
        <w:gridCol w:w="2108"/>
        <w:gridCol w:w="2112"/>
        <w:gridCol w:w="1658"/>
      </w:tblGrid>
      <w:tr w:rsidR="00F72950" w:rsidRPr="005478B4" w14:paraId="4264135E" w14:textId="77777777" w:rsidTr="00B10A44">
        <w:trPr>
          <w:trHeight w:val="300"/>
          <w:tblHeader/>
          <w:jc w:val="center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786875DF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5A7ED429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4E9E1551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List Price ($)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21A497E6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Cost($)*</w:t>
            </w:r>
          </w:p>
        </w:tc>
      </w:tr>
      <w:tr w:rsidR="00F72950" w:rsidRPr="005478B4" w14:paraId="40EDEFC2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DB90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ED1B2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X1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5DD9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$26,219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032E9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$13,110</w:t>
            </w:r>
          </w:p>
        </w:tc>
      </w:tr>
      <w:tr w:rsidR="00F72950" w:rsidRPr="005478B4" w14:paraId="1B49B783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BA86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6060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X2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91779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$17,,738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64A34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$8,869</w:t>
            </w:r>
          </w:p>
        </w:tc>
      </w:tr>
      <w:tr w:rsidR="00F72950" w:rsidRPr="005478B4" w14:paraId="3353AABD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1D190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16B43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X3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CBD2F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$31,004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297BB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$15,502</w:t>
            </w:r>
          </w:p>
        </w:tc>
      </w:tr>
      <w:tr w:rsidR="00F72950" w:rsidRPr="005478B4" w14:paraId="12271813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9EB47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DBBB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X4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18613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$6,842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16B87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$3,421</w:t>
            </w:r>
          </w:p>
        </w:tc>
      </w:tr>
      <w:tr w:rsidR="00F72950" w:rsidRPr="005478B4" w14:paraId="140B6BFF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35877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56C40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X6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B4BB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$15,564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05B4D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$7,782</w:t>
            </w:r>
          </w:p>
        </w:tc>
      </w:tr>
      <w:tr w:rsidR="00F72950" w:rsidRPr="005478B4" w14:paraId="714C3714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AD302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D9E24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X8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87736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$14,282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22BEE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$7,141</w:t>
            </w:r>
          </w:p>
        </w:tc>
      </w:tr>
      <w:tr w:rsidR="00F72950" w:rsidRPr="005478B4" w14:paraId="697D5629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F095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F306A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X9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1366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$16,234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1EF12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$8,117</w:t>
            </w:r>
          </w:p>
        </w:tc>
      </w:tr>
      <w:tr w:rsidR="00F72950" w:rsidRPr="005478B4" w14:paraId="44445850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F4DD2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92C7B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C578D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$18,086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7B981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$9,043</w:t>
            </w:r>
          </w:p>
        </w:tc>
      </w:tr>
      <w:tr w:rsidR="00F72950" w:rsidRPr="005478B4" w14:paraId="4584B8DE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CD5B9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D9D2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X11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42F4C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$22,680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4091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$11,340</w:t>
            </w:r>
          </w:p>
        </w:tc>
      </w:tr>
      <w:tr w:rsidR="00F72950" w:rsidRPr="005478B4" w14:paraId="5FB732BB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4ED59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Baseline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3ADD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X12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8E75C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$34,896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07B4D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$17,448</w:t>
            </w:r>
          </w:p>
        </w:tc>
      </w:tr>
      <w:tr w:rsidR="00F72950" w:rsidRPr="005478B4" w14:paraId="05D54D15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21038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Energy Efficient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4F77B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X13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6F9EE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$32,773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F0DE8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$16,387</w:t>
            </w:r>
          </w:p>
        </w:tc>
      </w:tr>
      <w:tr w:rsidR="00F72950" w:rsidRPr="005478B4" w14:paraId="20635B3E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AE343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Energy Efficient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69DD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X14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32C09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$34,917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D2C90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$17,459</w:t>
            </w:r>
          </w:p>
        </w:tc>
      </w:tr>
      <w:tr w:rsidR="00F72950" w:rsidRPr="005478B4" w14:paraId="215DDCBB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02594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Energy Efficient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E6040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X17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F6E02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$50,000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C3F1B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$25,000*</w:t>
            </w:r>
          </w:p>
        </w:tc>
      </w:tr>
      <w:tr w:rsidR="00F72950" w:rsidRPr="005478B4" w14:paraId="726AA99C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9B752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Energy Efficient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A7FE9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X20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9CD2F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$11,924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15F1E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$5,962</w:t>
            </w:r>
          </w:p>
        </w:tc>
      </w:tr>
      <w:tr w:rsidR="00F72950" w:rsidRPr="005478B4" w14:paraId="5E1E9312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9A9DC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Energy Efficient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5FB6C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X21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B0EF0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$14,339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8F513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$7,170</w:t>
            </w:r>
          </w:p>
        </w:tc>
      </w:tr>
      <w:tr w:rsidR="00F72950" w:rsidRPr="005478B4" w14:paraId="1B461EF2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0A15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Energy Efficient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8B1BA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X22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0E34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$13,116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8AE5D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$6,558</w:t>
            </w:r>
          </w:p>
        </w:tc>
      </w:tr>
      <w:tr w:rsidR="00F72950" w:rsidRPr="005478B4" w14:paraId="213D3265" w14:textId="77777777" w:rsidTr="00B10A44">
        <w:trPr>
          <w:trHeight w:val="300"/>
          <w:jc w:val="center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DF8D0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Energy Efficient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F27AA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X23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19860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$16,633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58C4" w14:textId="77777777" w:rsidR="00F72950" w:rsidRPr="005478B4" w:rsidRDefault="00F72950" w:rsidP="00B10A44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$8,317</w:t>
            </w:r>
          </w:p>
        </w:tc>
      </w:tr>
    </w:tbl>
    <w:p w14:paraId="43C30257" w14:textId="77777777" w:rsidR="00F72950" w:rsidRPr="00F72950" w:rsidRDefault="00F72950" w:rsidP="00F72950">
      <w:pPr>
        <w:pStyle w:val="ListParagraph"/>
        <w:numPr>
          <w:ilvl w:val="0"/>
          <w:numId w:val="18"/>
        </w:numPr>
        <w:rPr>
          <w:rFonts w:ascii="Times New Roman" w:hAnsi="Times New Roman"/>
          <w:sz w:val="18"/>
        </w:rPr>
      </w:pPr>
      <w:r w:rsidRPr="00F72950">
        <w:rPr>
          <w:rFonts w:ascii="Times New Roman" w:hAnsi="Times New Roman"/>
          <w:sz w:val="18"/>
        </w:rPr>
        <w:t>*Taken from industry survey</w:t>
      </w:r>
    </w:p>
    <w:p w14:paraId="2B3D9F8B" w14:textId="77777777" w:rsidR="00F72950" w:rsidRPr="00F72950" w:rsidRDefault="00F72950" w:rsidP="00F72950">
      <w:pPr>
        <w:pStyle w:val="ListParagraph"/>
        <w:rPr>
          <w:rFonts w:ascii="Times New Roman" w:hAnsi="Times New Roman"/>
          <w:sz w:val="24"/>
        </w:rPr>
      </w:pPr>
    </w:p>
    <w:p w14:paraId="761E6C76" w14:textId="77777777" w:rsidR="00F72950" w:rsidRPr="00F72950" w:rsidRDefault="00F72950" w:rsidP="00F72950">
      <w:pPr>
        <w:pStyle w:val="ListParagraph"/>
        <w:numPr>
          <w:ilvl w:val="0"/>
          <w:numId w:val="18"/>
        </w:numPr>
        <w:rPr>
          <w:rFonts w:cs="Arial"/>
          <w:b/>
          <w:sz w:val="24"/>
        </w:rPr>
      </w:pPr>
      <w:r w:rsidRPr="00F72950">
        <w:rPr>
          <w:rFonts w:cs="Arial"/>
          <w:b/>
          <w:sz w:val="24"/>
        </w:rPr>
        <w:lastRenderedPageBreak/>
        <w:t>Equipment Incremental Cost Data for Energy Efficient Gas Conveyor Ovens*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16"/>
        <w:gridCol w:w="1015"/>
        <w:gridCol w:w="1208"/>
        <w:gridCol w:w="1307"/>
        <w:gridCol w:w="1015"/>
        <w:gridCol w:w="1143"/>
        <w:gridCol w:w="1646"/>
      </w:tblGrid>
      <w:tr w:rsidR="00F72950" w:rsidRPr="005478B4" w14:paraId="5FC1D696" w14:textId="77777777" w:rsidTr="00B10A44">
        <w:trPr>
          <w:trHeight w:val="780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0833EA53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4AB12494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Baseline Unit Price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08D524F9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Energy Efficient Unit Price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73F82AD0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Incremental Price Difference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128F5CE9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Baseline Unit Cost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20EC0720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Energy Efficient Unit Cost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19DA1E1C" w14:textId="77777777" w:rsidR="00F72950" w:rsidRPr="005478B4" w:rsidRDefault="00F72950" w:rsidP="00B10A4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478B4">
              <w:rPr>
                <w:rFonts w:cs="Arial"/>
                <w:b/>
                <w:bCs/>
                <w:color w:val="000000"/>
                <w:sz w:val="20"/>
                <w:szCs w:val="20"/>
              </w:rPr>
              <w:t>Incremental Measure Cost (IMC)</w:t>
            </w:r>
          </w:p>
        </w:tc>
      </w:tr>
      <w:tr w:rsidR="00F72950" w:rsidRPr="005478B4" w14:paraId="7670F64D" w14:textId="77777777" w:rsidTr="00B10A44">
        <w:trPr>
          <w:trHeight w:val="300"/>
        </w:trPr>
        <w:tc>
          <w:tcPr>
            <w:tcW w:w="10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21E19" w14:textId="77777777" w:rsidR="00F72950" w:rsidRPr="005478B4" w:rsidRDefault="00F72950" w:rsidP="00B10A44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478B4">
              <w:rPr>
                <w:rFonts w:ascii="Calibri" w:hAnsi="Calibri" w:cs="Calibri"/>
                <w:color w:val="000000"/>
                <w:szCs w:val="22"/>
              </w:rPr>
              <w:t>Gas Conveyor Oven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96440" w14:textId="77777777" w:rsidR="00F72950" w:rsidRPr="005478B4" w:rsidRDefault="00F72950" w:rsidP="00B10A44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478B4">
              <w:rPr>
                <w:rFonts w:ascii="Calibri" w:hAnsi="Calibri"/>
                <w:color w:val="000000"/>
                <w:szCs w:val="22"/>
              </w:rPr>
              <w:t>$ 20,354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7A373" w14:textId="77777777" w:rsidR="00F72950" w:rsidRPr="005478B4" w:rsidRDefault="00F72950" w:rsidP="00B10A44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478B4">
              <w:rPr>
                <w:rFonts w:ascii="Calibri" w:hAnsi="Calibri"/>
                <w:color w:val="000000"/>
                <w:szCs w:val="22"/>
              </w:rPr>
              <w:t>$24,815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62F18" w14:textId="77777777" w:rsidR="00F72950" w:rsidRPr="005478B4" w:rsidRDefault="00F72950" w:rsidP="00B10A44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478B4">
              <w:rPr>
                <w:rFonts w:ascii="Calibri" w:hAnsi="Calibri"/>
                <w:color w:val="000000"/>
                <w:szCs w:val="22"/>
              </w:rPr>
              <w:t>$ 4,460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8E07" w14:textId="77777777" w:rsidR="00F72950" w:rsidRPr="005478B4" w:rsidRDefault="00F72950" w:rsidP="00B10A44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478B4">
              <w:rPr>
                <w:rFonts w:ascii="Calibri" w:hAnsi="Calibri"/>
                <w:color w:val="000000"/>
                <w:szCs w:val="22"/>
              </w:rPr>
              <w:t>$ 10,177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A6202" w14:textId="77777777" w:rsidR="00F72950" w:rsidRPr="005478B4" w:rsidRDefault="00F72950" w:rsidP="00B10A44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478B4">
              <w:rPr>
                <w:rFonts w:ascii="Calibri" w:hAnsi="Calibri"/>
                <w:color w:val="000000"/>
                <w:szCs w:val="22"/>
              </w:rPr>
              <w:t>$ 12,407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EBACC" w14:textId="77777777" w:rsidR="00F72950" w:rsidRPr="005478B4" w:rsidRDefault="00F72950" w:rsidP="00B10A44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478B4">
              <w:rPr>
                <w:rFonts w:ascii="Calibri" w:hAnsi="Calibri"/>
                <w:color w:val="000000"/>
                <w:szCs w:val="22"/>
              </w:rPr>
              <w:t>$ 2,230</w:t>
            </w:r>
          </w:p>
        </w:tc>
      </w:tr>
    </w:tbl>
    <w:p w14:paraId="66A5F223" w14:textId="77777777" w:rsidR="00F72950" w:rsidRPr="00F72950" w:rsidRDefault="00F72950" w:rsidP="00F72950">
      <w:pPr>
        <w:pStyle w:val="ListParagraph"/>
        <w:keepNext/>
        <w:numPr>
          <w:ilvl w:val="0"/>
          <w:numId w:val="18"/>
        </w:numPr>
        <w:rPr>
          <w:rFonts w:cs="Arial"/>
          <w:sz w:val="20"/>
          <w:szCs w:val="20"/>
        </w:rPr>
      </w:pPr>
      <w:r w:rsidRPr="00F72950">
        <w:rPr>
          <w:rFonts w:cs="Arial"/>
          <w:sz w:val="20"/>
          <w:szCs w:val="20"/>
        </w:rPr>
        <w:t>*Estimated purchase price and Incremental Measure Cost (IMC) were based on an industry-standard 50% discount off the manufacturer’s list price</w:t>
      </w:r>
    </w:p>
    <w:p w14:paraId="074726D3" w14:textId="77777777" w:rsidR="00F72950" w:rsidRPr="00FD3D43" w:rsidRDefault="00F72950" w:rsidP="00F72950"/>
    <w:sectPr w:rsidR="00F7295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307F7" w14:textId="77777777" w:rsidR="002D7A0A" w:rsidRDefault="002D7A0A" w:rsidP="00FE520B">
      <w:r>
        <w:separator/>
      </w:r>
    </w:p>
  </w:endnote>
  <w:endnote w:type="continuationSeparator" w:id="0">
    <w:p w14:paraId="5CB5C771" w14:textId="77777777" w:rsidR="002D7A0A" w:rsidRDefault="002D7A0A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B04AA" w14:textId="77777777" w:rsidR="002D7A0A" w:rsidRPr="00241A1F" w:rsidRDefault="002D7A0A" w:rsidP="00241A1F">
    <w:pPr>
      <w:pStyle w:val="Footer"/>
      <w:rPr>
        <w:rFonts w:cstheme="minorHAnsi"/>
        <w:b/>
        <w:szCs w:val="22"/>
      </w:rPr>
    </w:pPr>
    <w:r>
      <w:rPr>
        <w:b/>
      </w:rPr>
      <w:t>Workpaper WPSDGENRCC0015, Revision 1</w:t>
    </w:r>
    <w:r>
      <w:rPr>
        <w:b/>
      </w:rPr>
      <w:tab/>
    </w:r>
    <w:r>
      <w:rPr>
        <w:b/>
      </w:rPr>
      <w:tab/>
      <w:t>March 1</w:t>
    </w:r>
    <w:r>
      <w:rPr>
        <w:rFonts w:cstheme="minorHAnsi"/>
        <w:b/>
        <w:szCs w:val="22"/>
      </w:rPr>
      <w:t>2</w:t>
    </w:r>
    <w:r w:rsidRPr="00241A1F">
      <w:rPr>
        <w:rFonts w:cstheme="minorHAnsi"/>
        <w:b/>
        <w:szCs w:val="22"/>
      </w:rPr>
      <w:t>, 201</w:t>
    </w:r>
    <w:r>
      <w:rPr>
        <w:rFonts w:cstheme="minorHAnsi"/>
        <w:b/>
        <w:szCs w:val="22"/>
      </w:rPr>
      <w:t>8</w:t>
    </w:r>
  </w:p>
  <w:p w14:paraId="6B2EC5DF" w14:textId="787C9D8B" w:rsidR="002D7A0A" w:rsidRPr="009500DC" w:rsidRDefault="002D7A0A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 w:rsidR="00ED428D">
      <w:rPr>
        <w:b/>
        <w:noProof/>
      </w:rPr>
      <w:t>2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523FA" w14:textId="77777777" w:rsidR="002D7A0A" w:rsidRDefault="002D7A0A" w:rsidP="00FE520B">
      <w:r>
        <w:separator/>
      </w:r>
    </w:p>
  </w:footnote>
  <w:footnote w:type="continuationSeparator" w:id="0">
    <w:p w14:paraId="266F5E47" w14:textId="77777777" w:rsidR="002D7A0A" w:rsidRDefault="002D7A0A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12FDA"/>
    <w:multiLevelType w:val="hybridMultilevel"/>
    <w:tmpl w:val="43E86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A7DF0"/>
    <w:multiLevelType w:val="hybridMultilevel"/>
    <w:tmpl w:val="4940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815CB"/>
    <w:multiLevelType w:val="hybridMultilevel"/>
    <w:tmpl w:val="E7261F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0F66BA"/>
    <w:multiLevelType w:val="hybridMultilevel"/>
    <w:tmpl w:val="ACE2C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4E5C5F"/>
    <w:multiLevelType w:val="hybridMultilevel"/>
    <w:tmpl w:val="B184C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5"/>
  </w:num>
  <w:num w:numId="11">
    <w:abstractNumId w:val="17"/>
  </w:num>
  <w:num w:numId="12">
    <w:abstractNumId w:val="9"/>
  </w:num>
  <w:num w:numId="13">
    <w:abstractNumId w:val="20"/>
  </w:num>
  <w:num w:numId="14">
    <w:abstractNumId w:val="8"/>
  </w:num>
  <w:num w:numId="15">
    <w:abstractNumId w:val="10"/>
  </w:num>
  <w:num w:numId="16">
    <w:abstractNumId w:val="12"/>
  </w:num>
  <w:num w:numId="17">
    <w:abstractNumId w:val="18"/>
  </w:num>
  <w:num w:numId="18">
    <w:abstractNumId w:val="16"/>
  </w:num>
  <w:num w:numId="19">
    <w:abstractNumId w:val="6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4D4E"/>
    <w:rsid w:val="00023C32"/>
    <w:rsid w:val="00030376"/>
    <w:rsid w:val="00031221"/>
    <w:rsid w:val="00031BA0"/>
    <w:rsid w:val="0003264E"/>
    <w:rsid w:val="00052743"/>
    <w:rsid w:val="00052CE4"/>
    <w:rsid w:val="00067315"/>
    <w:rsid w:val="000719BF"/>
    <w:rsid w:val="00097A27"/>
    <w:rsid w:val="000B0987"/>
    <w:rsid w:val="000B15CE"/>
    <w:rsid w:val="000C13AE"/>
    <w:rsid w:val="000C441A"/>
    <w:rsid w:val="000D243C"/>
    <w:rsid w:val="000E19CA"/>
    <w:rsid w:val="000E2CA6"/>
    <w:rsid w:val="000E3B6E"/>
    <w:rsid w:val="000F5268"/>
    <w:rsid w:val="000F6BA3"/>
    <w:rsid w:val="000F72EF"/>
    <w:rsid w:val="00121B4E"/>
    <w:rsid w:val="0012271D"/>
    <w:rsid w:val="00131C78"/>
    <w:rsid w:val="00143843"/>
    <w:rsid w:val="00147565"/>
    <w:rsid w:val="001752E5"/>
    <w:rsid w:val="001906A1"/>
    <w:rsid w:val="00192034"/>
    <w:rsid w:val="00194466"/>
    <w:rsid w:val="001A11C1"/>
    <w:rsid w:val="001A4875"/>
    <w:rsid w:val="001B1C8A"/>
    <w:rsid w:val="001B5D6C"/>
    <w:rsid w:val="001B7651"/>
    <w:rsid w:val="001C3663"/>
    <w:rsid w:val="001D0AB9"/>
    <w:rsid w:val="001D57D7"/>
    <w:rsid w:val="001D6A64"/>
    <w:rsid w:val="001E4EA3"/>
    <w:rsid w:val="00200310"/>
    <w:rsid w:val="00215828"/>
    <w:rsid w:val="00231DE1"/>
    <w:rsid w:val="00241A1F"/>
    <w:rsid w:val="00244447"/>
    <w:rsid w:val="00291B2B"/>
    <w:rsid w:val="002C1030"/>
    <w:rsid w:val="002C15E6"/>
    <w:rsid w:val="002D7A0A"/>
    <w:rsid w:val="002D7B3E"/>
    <w:rsid w:val="002E0948"/>
    <w:rsid w:val="002E24BE"/>
    <w:rsid w:val="00323C28"/>
    <w:rsid w:val="0032761E"/>
    <w:rsid w:val="00360CFA"/>
    <w:rsid w:val="0036137D"/>
    <w:rsid w:val="003A0D2B"/>
    <w:rsid w:val="003A4277"/>
    <w:rsid w:val="003A7B4E"/>
    <w:rsid w:val="003B5DCF"/>
    <w:rsid w:val="003C2EE4"/>
    <w:rsid w:val="003D1C21"/>
    <w:rsid w:val="003E0DC8"/>
    <w:rsid w:val="003E122A"/>
    <w:rsid w:val="003E6E57"/>
    <w:rsid w:val="003E6FA5"/>
    <w:rsid w:val="003F1F0D"/>
    <w:rsid w:val="00402B3D"/>
    <w:rsid w:val="00413EF4"/>
    <w:rsid w:val="00422182"/>
    <w:rsid w:val="00431763"/>
    <w:rsid w:val="00434007"/>
    <w:rsid w:val="004402EE"/>
    <w:rsid w:val="0044686E"/>
    <w:rsid w:val="004519B4"/>
    <w:rsid w:val="00467DB3"/>
    <w:rsid w:val="00492365"/>
    <w:rsid w:val="004A6215"/>
    <w:rsid w:val="004D0326"/>
    <w:rsid w:val="004D5D19"/>
    <w:rsid w:val="004E13B2"/>
    <w:rsid w:val="00513723"/>
    <w:rsid w:val="005428E1"/>
    <w:rsid w:val="00543687"/>
    <w:rsid w:val="00555671"/>
    <w:rsid w:val="005613FC"/>
    <w:rsid w:val="00567FEF"/>
    <w:rsid w:val="00576144"/>
    <w:rsid w:val="00580664"/>
    <w:rsid w:val="0059117D"/>
    <w:rsid w:val="00591D85"/>
    <w:rsid w:val="0059663B"/>
    <w:rsid w:val="005B5614"/>
    <w:rsid w:val="005C1518"/>
    <w:rsid w:val="005D3194"/>
    <w:rsid w:val="005D5D5A"/>
    <w:rsid w:val="005E18A1"/>
    <w:rsid w:val="00636490"/>
    <w:rsid w:val="00641D48"/>
    <w:rsid w:val="00650C31"/>
    <w:rsid w:val="00650F0D"/>
    <w:rsid w:val="00653C4B"/>
    <w:rsid w:val="00666CDA"/>
    <w:rsid w:val="00684ABA"/>
    <w:rsid w:val="00686789"/>
    <w:rsid w:val="006875B3"/>
    <w:rsid w:val="00695478"/>
    <w:rsid w:val="006A3E63"/>
    <w:rsid w:val="006B0D5C"/>
    <w:rsid w:val="006D03F9"/>
    <w:rsid w:val="006D2B70"/>
    <w:rsid w:val="00707736"/>
    <w:rsid w:val="00711B58"/>
    <w:rsid w:val="00727839"/>
    <w:rsid w:val="00760191"/>
    <w:rsid w:val="00762D81"/>
    <w:rsid w:val="00785AC8"/>
    <w:rsid w:val="00786E32"/>
    <w:rsid w:val="00787D7C"/>
    <w:rsid w:val="00792928"/>
    <w:rsid w:val="00797B54"/>
    <w:rsid w:val="007C05E2"/>
    <w:rsid w:val="007D1A21"/>
    <w:rsid w:val="007D1F1E"/>
    <w:rsid w:val="007D2319"/>
    <w:rsid w:val="007D3A21"/>
    <w:rsid w:val="007D4F8E"/>
    <w:rsid w:val="007D6FF1"/>
    <w:rsid w:val="007E6E8D"/>
    <w:rsid w:val="007E7E00"/>
    <w:rsid w:val="0081521B"/>
    <w:rsid w:val="00832EBE"/>
    <w:rsid w:val="00856FA4"/>
    <w:rsid w:val="00862113"/>
    <w:rsid w:val="008724D6"/>
    <w:rsid w:val="008775D7"/>
    <w:rsid w:val="00884B9C"/>
    <w:rsid w:val="00895D80"/>
    <w:rsid w:val="008A1557"/>
    <w:rsid w:val="008A1D1C"/>
    <w:rsid w:val="008A4224"/>
    <w:rsid w:val="008B5184"/>
    <w:rsid w:val="008C2C8A"/>
    <w:rsid w:val="008D0B3C"/>
    <w:rsid w:val="008E0850"/>
    <w:rsid w:val="008E5CD5"/>
    <w:rsid w:val="00910D54"/>
    <w:rsid w:val="0093657B"/>
    <w:rsid w:val="0094267E"/>
    <w:rsid w:val="00950249"/>
    <w:rsid w:val="00957C01"/>
    <w:rsid w:val="00986A83"/>
    <w:rsid w:val="0099235A"/>
    <w:rsid w:val="009C3F2D"/>
    <w:rsid w:val="009C6AE8"/>
    <w:rsid w:val="009E1662"/>
    <w:rsid w:val="009F3770"/>
    <w:rsid w:val="00A051D9"/>
    <w:rsid w:val="00A3401B"/>
    <w:rsid w:val="00A578F7"/>
    <w:rsid w:val="00A61271"/>
    <w:rsid w:val="00A71832"/>
    <w:rsid w:val="00A75EDC"/>
    <w:rsid w:val="00A9441E"/>
    <w:rsid w:val="00AA43C4"/>
    <w:rsid w:val="00AD74B2"/>
    <w:rsid w:val="00AE6B87"/>
    <w:rsid w:val="00B10A44"/>
    <w:rsid w:val="00B16652"/>
    <w:rsid w:val="00B471CC"/>
    <w:rsid w:val="00B47B58"/>
    <w:rsid w:val="00B57F32"/>
    <w:rsid w:val="00B61FCD"/>
    <w:rsid w:val="00B75260"/>
    <w:rsid w:val="00B9234D"/>
    <w:rsid w:val="00B9551F"/>
    <w:rsid w:val="00BB2D80"/>
    <w:rsid w:val="00BC6454"/>
    <w:rsid w:val="00BD5433"/>
    <w:rsid w:val="00C04114"/>
    <w:rsid w:val="00C048F4"/>
    <w:rsid w:val="00C05E32"/>
    <w:rsid w:val="00C06B9E"/>
    <w:rsid w:val="00C15F66"/>
    <w:rsid w:val="00C228B0"/>
    <w:rsid w:val="00C23CAB"/>
    <w:rsid w:val="00C414A6"/>
    <w:rsid w:val="00C44E5A"/>
    <w:rsid w:val="00C462C1"/>
    <w:rsid w:val="00C54AC6"/>
    <w:rsid w:val="00C62A00"/>
    <w:rsid w:val="00C7215A"/>
    <w:rsid w:val="00C9202E"/>
    <w:rsid w:val="00CA48A0"/>
    <w:rsid w:val="00CB10BC"/>
    <w:rsid w:val="00CF295D"/>
    <w:rsid w:val="00CF2ABA"/>
    <w:rsid w:val="00D30CF5"/>
    <w:rsid w:val="00D600BE"/>
    <w:rsid w:val="00D60240"/>
    <w:rsid w:val="00D645DB"/>
    <w:rsid w:val="00D73600"/>
    <w:rsid w:val="00D73723"/>
    <w:rsid w:val="00D81EB7"/>
    <w:rsid w:val="00DA5D17"/>
    <w:rsid w:val="00DB1516"/>
    <w:rsid w:val="00DB544A"/>
    <w:rsid w:val="00DB71F1"/>
    <w:rsid w:val="00DC42DE"/>
    <w:rsid w:val="00DC7243"/>
    <w:rsid w:val="00DE1B33"/>
    <w:rsid w:val="00DE1C5D"/>
    <w:rsid w:val="00DE364E"/>
    <w:rsid w:val="00E048EA"/>
    <w:rsid w:val="00E05871"/>
    <w:rsid w:val="00E05B9C"/>
    <w:rsid w:val="00E159C8"/>
    <w:rsid w:val="00E165FC"/>
    <w:rsid w:val="00E33C12"/>
    <w:rsid w:val="00E372B8"/>
    <w:rsid w:val="00E408A9"/>
    <w:rsid w:val="00E56CE7"/>
    <w:rsid w:val="00E6385A"/>
    <w:rsid w:val="00E64C86"/>
    <w:rsid w:val="00E6631C"/>
    <w:rsid w:val="00E733C7"/>
    <w:rsid w:val="00E76853"/>
    <w:rsid w:val="00E84938"/>
    <w:rsid w:val="00E859F0"/>
    <w:rsid w:val="00EC38B0"/>
    <w:rsid w:val="00ED3B34"/>
    <w:rsid w:val="00ED428D"/>
    <w:rsid w:val="00ED4767"/>
    <w:rsid w:val="00ED65C0"/>
    <w:rsid w:val="00EE0473"/>
    <w:rsid w:val="00EE38DA"/>
    <w:rsid w:val="00EE6CFE"/>
    <w:rsid w:val="00F117C6"/>
    <w:rsid w:val="00F72950"/>
    <w:rsid w:val="00F77C08"/>
    <w:rsid w:val="00F855DD"/>
    <w:rsid w:val="00F915C5"/>
    <w:rsid w:val="00FA3359"/>
    <w:rsid w:val="00FB4B16"/>
    <w:rsid w:val="00FC1793"/>
    <w:rsid w:val="00FD3D43"/>
    <w:rsid w:val="00FD4F0C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4:docId w14:val="727D5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uiPriority w:val="99"/>
    <w:semiHidden/>
    <w:rsid w:val="007E7E00"/>
    <w:rPr>
      <w:vertAlign w:val="superscript"/>
    </w:rPr>
  </w:style>
  <w:style w:type="paragraph" w:styleId="BodyText">
    <w:name w:val="Body Text"/>
    <w:basedOn w:val="Normal"/>
    <w:link w:val="BodyTextChar"/>
    <w:semiHidden/>
    <w:rsid w:val="00DB1516"/>
    <w:rPr>
      <w:rFonts w:ascii="Times New Roman" w:hAnsi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semiHidden/>
    <w:rsid w:val="00DB1516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fishnick.com/saveenergy/rebates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FD88FB-DDA6-4942-8BED-30DB6DC8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2018-03-15T23:09:00Z</dcterms:created>
  <dcterms:modified xsi:type="dcterms:W3CDTF">2018-03-19T04:14:00Z</dcterms:modified>
</cp:coreProperties>
</file>