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A" w:rsidRPr="00500C4E" w:rsidRDefault="00E6385A" w:rsidP="000E19CA">
      <w:pPr>
        <w:pStyle w:val="WPnumber"/>
      </w:pPr>
      <w:bookmarkStart w:id="0" w:name="_Toc153189647"/>
      <w:bookmarkStart w:id="1" w:name="_GoBack"/>
      <w:bookmarkEnd w:id="1"/>
      <w:r>
        <w:t xml:space="preserve">Short Form </w:t>
      </w:r>
      <w:r w:rsidR="00F117C6" w:rsidRPr="00500C4E">
        <w:t>Work Paper</w:t>
      </w:r>
      <w:r>
        <w:t xml:space="preserve"> </w:t>
      </w:r>
      <w:r w:rsidR="00FA3359" w:rsidRPr="00FA3359">
        <w:t>WPSDGENR</w:t>
      </w:r>
      <w:r w:rsidR="00402095">
        <w:t>CC0011</w:t>
      </w:r>
    </w:p>
    <w:p w:rsidR="00E6385A" w:rsidRPr="00500C4E" w:rsidRDefault="00E6385A" w:rsidP="00F117C6">
      <w:pPr>
        <w:pStyle w:val="WPnumber"/>
      </w:pPr>
      <w:r>
        <w:tab/>
      </w:r>
      <w:r w:rsidR="000E19CA">
        <w:rPr>
          <w:rStyle w:val="CaptionChar"/>
          <w:b/>
          <w:bCs w:val="0"/>
        </w:rPr>
        <w:t xml:space="preserve">Revision </w:t>
      </w:r>
      <w:r w:rsidR="00402095">
        <w:rPr>
          <w:rStyle w:val="CaptionChar"/>
          <w:b/>
          <w:bCs w:val="0"/>
        </w:rPr>
        <w:t>3</w:t>
      </w:r>
    </w:p>
    <w:bookmarkEnd w:id="0"/>
    <w:p w:rsidR="00F117C6" w:rsidRPr="00500C4E" w:rsidRDefault="00F117C6" w:rsidP="00F117C6">
      <w:pPr>
        <w:jc w:val="right"/>
        <w:rPr>
          <w:rFonts w:cstheme="minorHAnsi"/>
          <w:b/>
          <w:sz w:val="48"/>
          <w:szCs w:val="48"/>
        </w:rPr>
      </w:pPr>
    </w:p>
    <w:p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E19CA" w:rsidRDefault="006875B3" w:rsidP="00884B9C">
      <w:pPr>
        <w:rPr>
          <w:rFonts w:cstheme="minorHAnsi"/>
          <w:b/>
          <w:sz w:val="28"/>
          <w:szCs w:val="28"/>
        </w:rPr>
      </w:pPr>
      <w:r>
        <w:rPr>
          <w:rFonts w:ascii="Arial" w:hAnsi="Arial" w:cs="Arial"/>
          <w:b/>
          <w:sz w:val="72"/>
          <w:szCs w:val="72"/>
        </w:rPr>
        <w:t xml:space="preserve">Commercial </w:t>
      </w:r>
      <w:r w:rsidR="00402095">
        <w:rPr>
          <w:rFonts w:ascii="Arial" w:hAnsi="Arial" w:cs="Arial"/>
          <w:b/>
          <w:sz w:val="72"/>
          <w:szCs w:val="72"/>
        </w:rPr>
        <w:t>Rack Ovens</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913CBB" w:rsidP="00241A1F">
      <w:pPr>
        <w:jc w:val="right"/>
        <w:rPr>
          <w:rFonts w:cstheme="minorHAnsi"/>
          <w:b/>
          <w:sz w:val="28"/>
          <w:szCs w:val="28"/>
        </w:rPr>
      </w:pPr>
      <w:r>
        <w:rPr>
          <w:rFonts w:cstheme="minorHAnsi"/>
          <w:b/>
          <w:sz w:val="28"/>
          <w:szCs w:val="28"/>
        </w:rPr>
        <w:t>December</w:t>
      </w:r>
      <w:r w:rsidR="003E6E57">
        <w:rPr>
          <w:rFonts w:cstheme="minorHAnsi"/>
          <w:b/>
          <w:sz w:val="28"/>
          <w:szCs w:val="28"/>
        </w:rPr>
        <w:t xml:space="preserve"> </w:t>
      </w:r>
      <w:r>
        <w:rPr>
          <w:rFonts w:cstheme="minorHAnsi"/>
          <w:b/>
          <w:sz w:val="28"/>
          <w:szCs w:val="28"/>
        </w:rPr>
        <w:t>21</w:t>
      </w:r>
      <w:r w:rsidR="000E19CA">
        <w:rPr>
          <w:rFonts w:cstheme="minorHAnsi"/>
          <w:b/>
          <w:sz w:val="28"/>
          <w:szCs w:val="28"/>
        </w:rPr>
        <w:t>, 2016</w:t>
      </w:r>
    </w:p>
    <w:p w:rsidR="00E372B8" w:rsidRPr="000F72EF" w:rsidRDefault="00E372B8" w:rsidP="00241A1F">
      <w:pPr>
        <w:jc w:val="right"/>
        <w:rPr>
          <w:rFonts w:cstheme="minorHAnsi"/>
          <w:b/>
          <w:sz w:val="72"/>
          <w:szCs w:val="72"/>
        </w:rPr>
        <w:sectPr w:rsidR="00E372B8" w:rsidRPr="000F72EF" w:rsidSect="00241A1F">
          <w:headerReference w:type="default" r:id="rId10"/>
          <w:footerReference w:type="default" r:id="rId11"/>
          <w:pgSz w:w="12240" w:h="15840"/>
          <w:pgMar w:top="1440" w:right="1440" w:bottom="1440" w:left="1440" w:header="720" w:footer="720" w:gutter="0"/>
          <w:cols w:space="720"/>
          <w:titlePg/>
          <w:docGrid w:linePitch="360"/>
        </w:sectPr>
      </w:pPr>
    </w:p>
    <w:p w:rsidR="00FE520B" w:rsidRDefault="0059117D" w:rsidP="00FE520B">
      <w:pPr>
        <w:pStyle w:val="Heading1"/>
      </w:pPr>
      <w:r>
        <w:lastRenderedPageBreak/>
        <w:t xml:space="preserve">SDG&amp;E </w:t>
      </w:r>
      <w:r w:rsidR="00323C28">
        <w:t>Commercial Fryer-Electric and Gas</w:t>
      </w:r>
      <w:r w:rsidR="00884B9C">
        <w:t xml:space="preserve"> </w:t>
      </w:r>
    </w:p>
    <w:p w:rsidR="00413EF4" w:rsidRDefault="00413EF4" w:rsidP="00413EF4">
      <w:pPr>
        <w:pStyle w:val="Heading2"/>
      </w:pPr>
      <w:r>
        <w:t>Introduction</w:t>
      </w:r>
    </w:p>
    <w:p w:rsidR="005E18A1" w:rsidRDefault="00C23CAB" w:rsidP="00555671">
      <w:pPr>
        <w:jc w:val="both"/>
      </w:pPr>
      <w:r>
        <w:t>This short form workpaper documents (</w:t>
      </w:r>
      <w:r w:rsidR="008E5CD5">
        <w:t>WP</w:t>
      </w:r>
      <w:r>
        <w:t xml:space="preserve">) the values adopted from PGE’s </w:t>
      </w:r>
      <w:r w:rsidR="008E5CD5">
        <w:t>WP</w:t>
      </w:r>
      <w:r>
        <w:t xml:space="preserve"> entitled “</w:t>
      </w:r>
      <w:r w:rsidR="006875B3">
        <w:t xml:space="preserve">Commercial </w:t>
      </w:r>
      <w:r w:rsidR="008C25DC">
        <w:t>Rack Oven -</w:t>
      </w:r>
      <w:r w:rsidR="006875B3">
        <w:t xml:space="preserve"> Gas</w:t>
      </w:r>
      <w:r w:rsidR="005E18A1">
        <w:t>” (</w:t>
      </w:r>
      <w:r w:rsidR="008C25DC">
        <w:t>PGECOFST109</w:t>
      </w:r>
      <w:r w:rsidR="006875B3">
        <w:t xml:space="preserve"> R6 </w:t>
      </w:r>
      <w:r w:rsidR="008C25DC">
        <w:t>Rack Oven</w:t>
      </w:r>
      <w:r w:rsidR="006875B3">
        <w:t>)</w:t>
      </w:r>
      <w:r w:rsidR="005E18A1">
        <w:t xml:space="preserve">).  SDG&amp;E </w:t>
      </w:r>
      <w:r w:rsidR="00555671">
        <w:t>a</w:t>
      </w:r>
      <w:r w:rsidR="005E18A1">
        <w:t>d</w:t>
      </w:r>
      <w:r w:rsidR="00555671">
        <w:t>op</w:t>
      </w:r>
      <w:r w:rsidR="005E18A1">
        <w:t xml:space="preserve">ts all of the values in </w:t>
      </w:r>
      <w:r w:rsidR="005E18A1" w:rsidRPr="005E18A1">
        <w:t>PGECO</w:t>
      </w:r>
      <w:r w:rsidR="009D3417">
        <w:t xml:space="preserve">FST109 </w:t>
      </w:r>
      <w:proofErr w:type="gramStart"/>
      <w:r w:rsidR="009D3417">
        <w:t xml:space="preserve">R6 </w:t>
      </w:r>
      <w:r w:rsidR="008C25DC">
        <w:t xml:space="preserve"> Rack</w:t>
      </w:r>
      <w:proofErr w:type="gramEnd"/>
      <w:r w:rsidR="008C25DC">
        <w:t xml:space="preserve"> Oven</w:t>
      </w:r>
      <w:r w:rsidR="005E18A1">
        <w:t>, with the following exceptions:</w:t>
      </w:r>
    </w:p>
    <w:p w:rsidR="005E18A1" w:rsidRDefault="005E18A1" w:rsidP="00555671">
      <w:pPr>
        <w:jc w:val="both"/>
      </w:pPr>
    </w:p>
    <w:p w:rsidR="00555671" w:rsidRDefault="00555671" w:rsidP="00555671">
      <w:pPr>
        <w:ind w:left="720"/>
        <w:jc w:val="both"/>
      </w:pPr>
      <w:r>
        <w:t>1. SDG</w:t>
      </w:r>
      <w:r w:rsidR="005E18A1">
        <w:t xml:space="preserve">&amp;E use </w:t>
      </w:r>
      <w:r>
        <w:t>different</w:t>
      </w:r>
      <w:r w:rsidR="00762D81">
        <w:t xml:space="preserve"> measure sizes, which creates</w:t>
      </w:r>
      <w:r w:rsidR="002C15E6">
        <w:t xml:space="preserve"> four</w:t>
      </w:r>
      <w:r w:rsidR="00762D81">
        <w:t xml:space="preserve"> implementations versus PGE’s </w:t>
      </w:r>
      <w:r w:rsidR="002C15E6">
        <w:t>two</w:t>
      </w:r>
      <w:r>
        <w:t>.</w:t>
      </w:r>
    </w:p>
    <w:p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5"/>
        <w:gridCol w:w="1310"/>
        <w:gridCol w:w="1783"/>
        <w:gridCol w:w="5958"/>
      </w:tblGrid>
      <w:tr w:rsidR="00B57F32" w:rsidRPr="00500C4E" w:rsidTr="00241A1F">
        <w:trPr>
          <w:trHeight w:val="20"/>
        </w:trPr>
        <w:tc>
          <w:tcPr>
            <w:tcW w:w="274" w:type="pct"/>
            <w:shd w:val="clear" w:color="auto" w:fill="D9D9D9" w:themeFill="background1" w:themeFillShade="D9"/>
          </w:tcPr>
          <w:p w:rsidR="00B57F32" w:rsidRPr="000E2B6B" w:rsidRDefault="00B57F32" w:rsidP="00393EC8">
            <w:pPr>
              <w:rPr>
                <w:rStyle w:val="Strong"/>
                <w:bCs w:val="0"/>
              </w:rPr>
            </w:pPr>
            <w:r w:rsidRPr="000E2B6B">
              <w:rPr>
                <w:rStyle w:val="Strong"/>
              </w:rPr>
              <w:t>Rev</w:t>
            </w:r>
          </w:p>
        </w:tc>
        <w:tc>
          <w:tcPr>
            <w:tcW w:w="684" w:type="pct"/>
            <w:shd w:val="clear" w:color="auto" w:fill="D9D9D9" w:themeFill="background1" w:themeFillShade="D9"/>
          </w:tcPr>
          <w:p w:rsidR="00B57F32" w:rsidRPr="000E2B6B" w:rsidRDefault="00B57F32" w:rsidP="00393EC8">
            <w:pPr>
              <w:rPr>
                <w:rStyle w:val="Strong"/>
                <w:bCs w:val="0"/>
              </w:rPr>
            </w:pPr>
            <w:r w:rsidRPr="000E2B6B">
              <w:rPr>
                <w:rStyle w:val="Strong"/>
              </w:rPr>
              <w:t>Date</w:t>
            </w:r>
          </w:p>
        </w:tc>
        <w:tc>
          <w:tcPr>
            <w:tcW w:w="931" w:type="pct"/>
            <w:shd w:val="clear" w:color="auto" w:fill="D9D9D9" w:themeFill="background1" w:themeFillShade="D9"/>
          </w:tcPr>
          <w:p w:rsidR="00B57F32" w:rsidRPr="000E2B6B" w:rsidRDefault="00B57F32" w:rsidP="00393EC8">
            <w:pPr>
              <w:rPr>
                <w:rStyle w:val="Strong"/>
                <w:bCs w:val="0"/>
              </w:rPr>
            </w:pPr>
            <w:r w:rsidRPr="000E2B6B">
              <w:rPr>
                <w:rStyle w:val="Strong"/>
              </w:rPr>
              <w:t>Author</w:t>
            </w:r>
          </w:p>
        </w:tc>
        <w:tc>
          <w:tcPr>
            <w:tcW w:w="3111" w:type="pct"/>
            <w:shd w:val="clear" w:color="auto" w:fill="D9D9D9" w:themeFill="background1" w:themeFillShade="D9"/>
          </w:tcPr>
          <w:p w:rsidR="00B57F32" w:rsidRPr="000E2B6B" w:rsidRDefault="00B57F32" w:rsidP="00393EC8">
            <w:pPr>
              <w:rPr>
                <w:rStyle w:val="Strong"/>
                <w:bCs w:val="0"/>
              </w:rPr>
            </w:pPr>
            <w:r w:rsidRPr="000E2B6B">
              <w:rPr>
                <w:rStyle w:val="Strong"/>
              </w:rPr>
              <w:t>Summary of Changes</w:t>
            </w:r>
          </w:p>
        </w:tc>
      </w:tr>
      <w:tr w:rsidR="00884B9C" w:rsidRPr="00500C4E" w:rsidTr="00241A1F">
        <w:trPr>
          <w:trHeight w:val="20"/>
        </w:trPr>
        <w:tc>
          <w:tcPr>
            <w:tcW w:w="274" w:type="pct"/>
          </w:tcPr>
          <w:p w:rsidR="00884B9C" w:rsidRPr="000E2B6B" w:rsidRDefault="00762D81">
            <w:pPr>
              <w:jc w:val="center"/>
              <w:rPr>
                <w:rFonts w:cstheme="minorHAnsi"/>
                <w:szCs w:val="20"/>
              </w:rPr>
            </w:pPr>
            <w:r>
              <w:t>0</w:t>
            </w:r>
          </w:p>
        </w:tc>
        <w:tc>
          <w:tcPr>
            <w:tcW w:w="684" w:type="pct"/>
          </w:tcPr>
          <w:p w:rsidR="00884B9C" w:rsidRPr="000E2B6B" w:rsidRDefault="00762D81" w:rsidP="00393EC8">
            <w:pPr>
              <w:jc w:val="center"/>
              <w:rPr>
                <w:rFonts w:cstheme="minorHAnsi"/>
                <w:szCs w:val="20"/>
              </w:rPr>
            </w:pPr>
            <w:r>
              <w:rPr>
                <w:szCs w:val="20"/>
              </w:rPr>
              <w:t>12/11/2007</w:t>
            </w:r>
          </w:p>
        </w:tc>
        <w:tc>
          <w:tcPr>
            <w:tcW w:w="931" w:type="pct"/>
          </w:tcPr>
          <w:p w:rsidR="00884B9C" w:rsidRPr="000E2B6B" w:rsidRDefault="00762D81" w:rsidP="00393EC8">
            <w:pPr>
              <w:rPr>
                <w:rFonts w:cstheme="minorHAnsi"/>
                <w:szCs w:val="20"/>
              </w:rPr>
            </w:pPr>
            <w:r>
              <w:rPr>
                <w:rFonts w:cstheme="minorHAnsi"/>
                <w:szCs w:val="20"/>
              </w:rPr>
              <w:t xml:space="preserve">David </w:t>
            </w:r>
            <w:proofErr w:type="spellStart"/>
            <w:r>
              <w:rPr>
                <w:rFonts w:cstheme="minorHAnsi"/>
                <w:szCs w:val="20"/>
              </w:rPr>
              <w:t>Zabrowski</w:t>
            </w:r>
            <w:proofErr w:type="spellEnd"/>
          </w:p>
        </w:tc>
        <w:tc>
          <w:tcPr>
            <w:tcW w:w="3111" w:type="pct"/>
          </w:tcPr>
          <w:p w:rsidR="00884B9C" w:rsidRPr="005734A4" w:rsidRDefault="00402095" w:rsidP="00762D81">
            <w:pPr>
              <w:rPr>
                <w:rFonts w:cstheme="minorHAnsi"/>
                <w:szCs w:val="20"/>
              </w:rPr>
            </w:pPr>
            <w:r w:rsidRPr="00402095">
              <w:rPr>
                <w:bCs/>
                <w:szCs w:val="20"/>
              </w:rPr>
              <w:t>Commercial Rack Ovens PGECOFST109 R0.doc</w:t>
            </w:r>
          </w:p>
        </w:tc>
      </w:tr>
      <w:tr w:rsidR="00884B9C" w:rsidRPr="00500C4E" w:rsidTr="00241A1F">
        <w:trPr>
          <w:trHeight w:val="20"/>
        </w:trPr>
        <w:tc>
          <w:tcPr>
            <w:tcW w:w="274" w:type="pct"/>
          </w:tcPr>
          <w:p w:rsidR="00884B9C" w:rsidRPr="000E2B6B" w:rsidRDefault="00762D81">
            <w:pPr>
              <w:jc w:val="center"/>
              <w:rPr>
                <w:rStyle w:val="Strong"/>
                <w:b w:val="0"/>
              </w:rPr>
            </w:pPr>
            <w:r>
              <w:t>1</w:t>
            </w:r>
          </w:p>
        </w:tc>
        <w:tc>
          <w:tcPr>
            <w:tcW w:w="684" w:type="pct"/>
          </w:tcPr>
          <w:p w:rsidR="00884B9C" w:rsidRPr="000E2B6B" w:rsidRDefault="00762D81" w:rsidP="00393EC8">
            <w:pPr>
              <w:jc w:val="center"/>
              <w:rPr>
                <w:rStyle w:val="Strong"/>
                <w:b w:val="0"/>
              </w:rPr>
            </w:pPr>
            <w:r>
              <w:rPr>
                <w:szCs w:val="20"/>
              </w:rPr>
              <w:t>07/17/2010</w:t>
            </w:r>
          </w:p>
        </w:tc>
        <w:tc>
          <w:tcPr>
            <w:tcW w:w="931" w:type="pct"/>
          </w:tcPr>
          <w:p w:rsidR="00884B9C" w:rsidRPr="000E2B6B" w:rsidRDefault="00762D81" w:rsidP="00393EC8">
            <w:pPr>
              <w:rPr>
                <w:rStyle w:val="Strong"/>
                <w:b w:val="0"/>
              </w:rPr>
            </w:pPr>
            <w:r>
              <w:rPr>
                <w:szCs w:val="20"/>
              </w:rPr>
              <w:t>Lucie Sidibe/SDG&amp;E</w:t>
            </w:r>
          </w:p>
        </w:tc>
        <w:tc>
          <w:tcPr>
            <w:tcW w:w="3111" w:type="pct"/>
          </w:tcPr>
          <w:p w:rsidR="00402095" w:rsidRPr="00402095" w:rsidRDefault="00402095" w:rsidP="00402095">
            <w:pPr>
              <w:rPr>
                <w:bCs/>
                <w:szCs w:val="20"/>
              </w:rPr>
            </w:pPr>
            <w:r w:rsidRPr="00402095">
              <w:rPr>
                <w:bCs/>
                <w:szCs w:val="20"/>
              </w:rPr>
              <w:t>Adopted from PGECOFST109, Revision 2*refer to attachment for original work paper</w:t>
            </w:r>
          </w:p>
          <w:p w:rsidR="00402095" w:rsidRPr="00402095" w:rsidRDefault="00402095" w:rsidP="00402095">
            <w:pPr>
              <w:rPr>
                <w:bCs/>
                <w:szCs w:val="20"/>
              </w:rPr>
            </w:pPr>
            <w:r w:rsidRPr="00402095">
              <w:rPr>
                <w:bCs/>
                <w:szCs w:val="20"/>
              </w:rPr>
              <w:t>Summary of changes:</w:t>
            </w:r>
          </w:p>
          <w:p w:rsidR="00762D81" w:rsidRPr="00762D81" w:rsidRDefault="00402095" w:rsidP="00402095">
            <w:pPr>
              <w:rPr>
                <w:rStyle w:val="Strong"/>
                <w:b w:val="0"/>
                <w:szCs w:val="20"/>
              </w:rPr>
            </w:pPr>
            <w:r w:rsidRPr="00402095">
              <w:rPr>
                <w:bCs/>
                <w:szCs w:val="20"/>
              </w:rPr>
              <w:t>1-Work Paper run ID was changed to mirror SDGE cataloging needs.</w:t>
            </w:r>
          </w:p>
        </w:tc>
      </w:tr>
      <w:tr w:rsidR="00DB544A" w:rsidRPr="00500C4E" w:rsidTr="00241A1F">
        <w:trPr>
          <w:trHeight w:val="20"/>
        </w:trPr>
        <w:tc>
          <w:tcPr>
            <w:tcW w:w="274" w:type="pct"/>
          </w:tcPr>
          <w:p w:rsidR="00DB544A" w:rsidRPr="00F2079F" w:rsidRDefault="00DB544A" w:rsidP="008C2C8A">
            <w:pPr>
              <w:jc w:val="center"/>
            </w:pPr>
            <w:r>
              <w:t>2</w:t>
            </w:r>
          </w:p>
        </w:tc>
        <w:tc>
          <w:tcPr>
            <w:tcW w:w="684" w:type="pct"/>
          </w:tcPr>
          <w:p w:rsidR="00DB544A" w:rsidRDefault="00762D81" w:rsidP="00393EC8">
            <w:pPr>
              <w:jc w:val="center"/>
              <w:rPr>
                <w:szCs w:val="20"/>
              </w:rPr>
            </w:pPr>
            <w:r>
              <w:rPr>
                <w:szCs w:val="20"/>
              </w:rPr>
              <w:t>06/15/2012</w:t>
            </w:r>
          </w:p>
        </w:tc>
        <w:tc>
          <w:tcPr>
            <w:tcW w:w="931" w:type="pct"/>
          </w:tcPr>
          <w:p w:rsidR="00DB544A" w:rsidRDefault="00762D81" w:rsidP="00393EC8">
            <w:pPr>
              <w:rPr>
                <w:szCs w:val="20"/>
              </w:rPr>
            </w:pPr>
            <w:r>
              <w:rPr>
                <w:szCs w:val="20"/>
              </w:rPr>
              <w:t>Max Twogood/SDG&amp;E</w:t>
            </w:r>
          </w:p>
        </w:tc>
        <w:tc>
          <w:tcPr>
            <w:tcW w:w="3111" w:type="pct"/>
          </w:tcPr>
          <w:p w:rsidR="00762D81" w:rsidRPr="006A478E" w:rsidRDefault="00402095" w:rsidP="00DB544A">
            <w:pPr>
              <w:rPr>
                <w:bCs/>
                <w:szCs w:val="20"/>
              </w:rPr>
            </w:pPr>
            <w:r w:rsidRPr="00402095">
              <w:rPr>
                <w:bCs/>
                <w:szCs w:val="20"/>
              </w:rPr>
              <w:t>Adopted from: Commercial Rack Ovens PGECOFST109 R3-Revised May 14 2012.doc, dated May 14, 2012.  Revised NTGR to DEER 2011. Updated approvers with SDGE management.</w:t>
            </w:r>
          </w:p>
        </w:tc>
      </w:tr>
      <w:tr w:rsidR="00762D81" w:rsidRPr="00500C4E" w:rsidTr="00241A1F">
        <w:trPr>
          <w:trHeight w:val="20"/>
        </w:trPr>
        <w:tc>
          <w:tcPr>
            <w:tcW w:w="274" w:type="pct"/>
          </w:tcPr>
          <w:p w:rsidR="00762D81" w:rsidRDefault="00402095" w:rsidP="008C2C8A">
            <w:pPr>
              <w:jc w:val="center"/>
            </w:pPr>
            <w:r>
              <w:t>2.1</w:t>
            </w:r>
          </w:p>
        </w:tc>
        <w:tc>
          <w:tcPr>
            <w:tcW w:w="684" w:type="pct"/>
          </w:tcPr>
          <w:p w:rsidR="00762D81" w:rsidRDefault="00402095" w:rsidP="00393EC8">
            <w:pPr>
              <w:jc w:val="center"/>
              <w:rPr>
                <w:szCs w:val="20"/>
              </w:rPr>
            </w:pPr>
            <w:r>
              <w:rPr>
                <w:szCs w:val="20"/>
              </w:rPr>
              <w:t>06/11</w:t>
            </w:r>
            <w:r w:rsidR="00762D81">
              <w:rPr>
                <w:szCs w:val="20"/>
              </w:rPr>
              <w:t>/2014</w:t>
            </w:r>
          </w:p>
        </w:tc>
        <w:tc>
          <w:tcPr>
            <w:tcW w:w="931" w:type="pct"/>
          </w:tcPr>
          <w:p w:rsidR="00762D81" w:rsidRDefault="00402095" w:rsidP="00393EC8">
            <w:pPr>
              <w:rPr>
                <w:szCs w:val="20"/>
              </w:rPr>
            </w:pPr>
            <w:r w:rsidRPr="00402095">
              <w:rPr>
                <w:szCs w:val="20"/>
              </w:rPr>
              <w:t>Judelson Enriquez/ RMS Energy Consulting, LLC</w:t>
            </w:r>
          </w:p>
        </w:tc>
        <w:tc>
          <w:tcPr>
            <w:tcW w:w="3111" w:type="pct"/>
          </w:tcPr>
          <w:p w:rsidR="00402095" w:rsidRPr="00402095" w:rsidRDefault="00402095" w:rsidP="00402095">
            <w:pPr>
              <w:rPr>
                <w:bCs/>
                <w:szCs w:val="20"/>
              </w:rPr>
            </w:pPr>
            <w:r w:rsidRPr="00402095">
              <w:rPr>
                <w:bCs/>
                <w:szCs w:val="20"/>
              </w:rPr>
              <w:t>INTERNAL REVISION ONLY – no material impact made</w:t>
            </w:r>
          </w:p>
          <w:p w:rsidR="00402095" w:rsidRPr="00402095" w:rsidRDefault="00402095" w:rsidP="00402095">
            <w:pPr>
              <w:rPr>
                <w:bCs/>
                <w:szCs w:val="20"/>
              </w:rPr>
            </w:pPr>
            <w:r w:rsidRPr="00402095">
              <w:rPr>
                <w:bCs/>
                <w:szCs w:val="20"/>
              </w:rPr>
              <w:t>1. Updated measure list, measure requirements, code analysis to include T20/T24 references, EUL ID to DEER2014, NTG ID to 2011, and load shape ID and language.</w:t>
            </w:r>
          </w:p>
          <w:p w:rsidR="00762D81" w:rsidRDefault="00402095" w:rsidP="00402095">
            <w:pPr>
              <w:rPr>
                <w:bCs/>
                <w:szCs w:val="20"/>
              </w:rPr>
            </w:pPr>
            <w:r w:rsidRPr="00402095">
              <w:rPr>
                <w:bCs/>
                <w:szCs w:val="20"/>
              </w:rPr>
              <w:t>2. Generated calculation spreadsheet based on IOU statewide Calculation Template</w:t>
            </w:r>
          </w:p>
        </w:tc>
      </w:tr>
      <w:tr w:rsidR="00762D81" w:rsidRPr="00500C4E" w:rsidTr="00241A1F">
        <w:trPr>
          <w:trHeight w:val="20"/>
        </w:trPr>
        <w:tc>
          <w:tcPr>
            <w:tcW w:w="274" w:type="pct"/>
          </w:tcPr>
          <w:p w:rsidR="00762D81" w:rsidRDefault="00402095" w:rsidP="008C2C8A">
            <w:pPr>
              <w:jc w:val="center"/>
            </w:pPr>
            <w:r>
              <w:t>3</w:t>
            </w:r>
          </w:p>
        </w:tc>
        <w:tc>
          <w:tcPr>
            <w:tcW w:w="684" w:type="pct"/>
          </w:tcPr>
          <w:p w:rsidR="00762D81" w:rsidRDefault="00402095" w:rsidP="00393EC8">
            <w:pPr>
              <w:jc w:val="center"/>
              <w:rPr>
                <w:szCs w:val="20"/>
              </w:rPr>
            </w:pPr>
            <w:r>
              <w:rPr>
                <w:szCs w:val="20"/>
              </w:rPr>
              <w:t>11/28/16</w:t>
            </w:r>
          </w:p>
        </w:tc>
        <w:tc>
          <w:tcPr>
            <w:tcW w:w="931" w:type="pct"/>
          </w:tcPr>
          <w:p w:rsidR="00762D81" w:rsidRDefault="00402095" w:rsidP="00393EC8">
            <w:pPr>
              <w:rPr>
                <w:szCs w:val="20"/>
              </w:rPr>
            </w:pPr>
            <w:r>
              <w:rPr>
                <w:szCs w:val="20"/>
              </w:rPr>
              <w:t>Kelvin Valenzuela/SDG&amp;E</w:t>
            </w:r>
          </w:p>
        </w:tc>
        <w:tc>
          <w:tcPr>
            <w:tcW w:w="3111" w:type="pct"/>
          </w:tcPr>
          <w:p w:rsidR="00762D81" w:rsidRDefault="008C25DC" w:rsidP="008C25DC">
            <w:pPr>
              <w:rPr>
                <w:bCs/>
                <w:szCs w:val="20"/>
              </w:rPr>
            </w:pPr>
            <w:r>
              <w:rPr>
                <w:bCs/>
                <w:szCs w:val="20"/>
              </w:rPr>
              <w:t>A</w:t>
            </w:r>
            <w:r w:rsidRPr="008C25DC">
              <w:rPr>
                <w:bCs/>
                <w:szCs w:val="20"/>
              </w:rPr>
              <w:t>doption</w:t>
            </w:r>
            <w:r>
              <w:rPr>
                <w:bCs/>
                <w:szCs w:val="20"/>
              </w:rPr>
              <w:t xml:space="preserve"> from PGE’s PGECOFST109 R6 Rack Ovens.docx for Ex-Ante impacts and cost-effectiveness values.</w:t>
            </w:r>
            <w:r w:rsidR="00C75C56">
              <w:rPr>
                <w:bCs/>
                <w:szCs w:val="20"/>
              </w:rPr>
              <w:t xml:space="preserve">  Removed </w:t>
            </w:r>
            <w:proofErr w:type="gramStart"/>
            <w:r w:rsidR="00C75C56">
              <w:rPr>
                <w:bCs/>
                <w:szCs w:val="20"/>
              </w:rPr>
              <w:t>402028 implementation due</w:t>
            </w:r>
            <w:proofErr w:type="gramEnd"/>
            <w:r w:rsidR="00C75C56">
              <w:rPr>
                <w:bCs/>
                <w:szCs w:val="20"/>
              </w:rPr>
              <w:t xml:space="preserve"> to lack of available products.  Revised EUL ID</w:t>
            </w:r>
          </w:p>
        </w:tc>
      </w:tr>
    </w:tbl>
    <w:p w:rsidR="00DB71F1" w:rsidRDefault="00DB71F1" w:rsidP="00413EF4"/>
    <w:p w:rsidR="00DB71F1" w:rsidRDefault="00DB71F1">
      <w:pPr>
        <w:spacing w:after="200" w:line="276" w:lineRule="auto"/>
      </w:pPr>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fldSimple w:instr=" SEQ Table \* ARABIC ">
        <w:r w:rsidR="000719BF">
          <w:rPr>
            <w:noProof/>
          </w:rPr>
          <w:t>1</w:t>
        </w:r>
      </w:fldSimple>
      <w:r>
        <w:t>: Measure Summary Table</w:t>
      </w:r>
    </w:p>
    <w:tbl>
      <w:tblPr>
        <w:tblStyle w:val="TableGrid"/>
        <w:tblW w:w="0" w:type="auto"/>
        <w:tblLook w:val="04A0" w:firstRow="1" w:lastRow="0" w:firstColumn="1" w:lastColumn="0" w:noHBand="0" w:noVBand="1"/>
      </w:tblPr>
      <w:tblGrid>
        <w:gridCol w:w="2627"/>
        <w:gridCol w:w="6949"/>
      </w:tblGrid>
      <w:tr w:rsidR="00DB71F1" w:rsidTr="00D01B26">
        <w:trPr>
          <w:cantSplit/>
          <w:tblHeader/>
        </w:trPr>
        <w:tc>
          <w:tcPr>
            <w:tcW w:w="2627" w:type="dxa"/>
          </w:tcPr>
          <w:p w:rsidR="00DB71F1" w:rsidRPr="00D86243" w:rsidRDefault="00DB71F1" w:rsidP="00393EC8">
            <w:pPr>
              <w:jc w:val="center"/>
              <w:rPr>
                <w:b/>
              </w:rPr>
            </w:pPr>
            <w:r w:rsidRPr="00D86243">
              <w:rPr>
                <w:b/>
              </w:rPr>
              <w:t>Section</w:t>
            </w:r>
          </w:p>
        </w:tc>
        <w:tc>
          <w:tcPr>
            <w:tcW w:w="6949" w:type="dxa"/>
          </w:tcPr>
          <w:p w:rsidR="00DB71F1" w:rsidRPr="00D86243" w:rsidRDefault="00DB71F1" w:rsidP="00393EC8">
            <w:pPr>
              <w:jc w:val="center"/>
              <w:rPr>
                <w:b/>
              </w:rPr>
            </w:pPr>
            <w:r w:rsidRPr="00D86243">
              <w:rPr>
                <w:b/>
              </w:rPr>
              <w:t>Value</w:t>
            </w:r>
          </w:p>
        </w:tc>
      </w:tr>
      <w:tr w:rsidR="00DB71F1" w:rsidTr="00D01B26">
        <w:trPr>
          <w:cantSplit/>
        </w:trPr>
        <w:tc>
          <w:tcPr>
            <w:tcW w:w="2627" w:type="dxa"/>
            <w:vAlign w:val="center"/>
          </w:tcPr>
          <w:p w:rsidR="00DB71F1" w:rsidRPr="001D77F7" w:rsidRDefault="00DB71F1" w:rsidP="00393EC8">
            <w:pPr>
              <w:rPr>
                <w:b/>
              </w:rPr>
            </w:pPr>
            <w:r>
              <w:rPr>
                <w:b/>
              </w:rPr>
              <w:t>Summary &amp; Purpose</w:t>
            </w:r>
          </w:p>
        </w:tc>
        <w:tc>
          <w:tcPr>
            <w:tcW w:w="6949" w:type="dxa"/>
          </w:tcPr>
          <w:p w:rsidR="00DE364E" w:rsidRPr="00DE364E" w:rsidRDefault="00DB71F1" w:rsidP="008E0850">
            <w:pPr>
              <w:jc w:val="both"/>
              <w:rPr>
                <w:rFonts w:cs="Arial"/>
                <w:sz w:val="20"/>
                <w:szCs w:val="20"/>
              </w:rPr>
            </w:pPr>
            <w:r w:rsidRPr="00241A1F">
              <w:rPr>
                <w:rFonts w:cs="Arial"/>
                <w:sz w:val="20"/>
                <w:szCs w:val="20"/>
              </w:rPr>
              <w:t>This short form workpaper documents ex-ante load impact</w:t>
            </w:r>
            <w:r w:rsidR="00E733C7" w:rsidRPr="00241A1F">
              <w:rPr>
                <w:rFonts w:cs="Arial"/>
                <w:sz w:val="20"/>
                <w:szCs w:val="20"/>
              </w:rPr>
              <w:t>s</w:t>
            </w:r>
            <w:r w:rsidRPr="00241A1F">
              <w:rPr>
                <w:rFonts w:cs="Arial"/>
                <w:sz w:val="20"/>
                <w:szCs w:val="20"/>
              </w:rPr>
              <w:t xml:space="preserve"> and cost-effectiveness values for </w:t>
            </w:r>
            <w:r w:rsidR="00711B58">
              <w:rPr>
                <w:rFonts w:cs="Arial"/>
                <w:sz w:val="20"/>
                <w:szCs w:val="20"/>
              </w:rPr>
              <w:t>Commercial</w:t>
            </w:r>
            <w:r w:rsidR="00FA3AEA">
              <w:rPr>
                <w:rFonts w:cs="Arial"/>
                <w:sz w:val="20"/>
                <w:szCs w:val="20"/>
              </w:rPr>
              <w:t xml:space="preserve"> Gas</w:t>
            </w:r>
            <w:r w:rsidR="00711B58">
              <w:rPr>
                <w:rFonts w:cs="Arial"/>
                <w:sz w:val="20"/>
                <w:szCs w:val="20"/>
              </w:rPr>
              <w:t xml:space="preserve"> </w:t>
            </w:r>
            <w:r w:rsidR="00FA3AEA">
              <w:rPr>
                <w:rFonts w:cs="Arial"/>
                <w:sz w:val="20"/>
                <w:szCs w:val="20"/>
              </w:rPr>
              <w:t>Rack Oven</w:t>
            </w:r>
            <w:r w:rsidRPr="00241A1F">
              <w:rPr>
                <w:rFonts w:cs="Arial"/>
                <w:sz w:val="20"/>
                <w:szCs w:val="20"/>
              </w:rPr>
              <w:t xml:space="preserve">. </w:t>
            </w:r>
            <w:r w:rsidR="00C228B0">
              <w:rPr>
                <w:rFonts w:cs="Arial"/>
                <w:sz w:val="20"/>
                <w:szCs w:val="20"/>
              </w:rPr>
              <w:t>The base energy consumption</w:t>
            </w:r>
            <w:r w:rsidR="00067315">
              <w:rPr>
                <w:rFonts w:cs="Arial"/>
                <w:sz w:val="20"/>
                <w:szCs w:val="20"/>
              </w:rPr>
              <w:t xml:space="preserve"> and </w:t>
            </w:r>
            <w:r w:rsidR="00C228B0">
              <w:rPr>
                <w:rFonts w:cs="Arial"/>
                <w:sz w:val="20"/>
                <w:szCs w:val="20"/>
              </w:rPr>
              <w:t>measure energy consumption</w:t>
            </w:r>
            <w:r w:rsidR="00067315" w:rsidRPr="00555671">
              <w:rPr>
                <w:rFonts w:cs="Arial"/>
                <w:sz w:val="20"/>
                <w:szCs w:val="20"/>
              </w:rPr>
              <w:t xml:space="preserve"> values</w:t>
            </w:r>
            <w:r w:rsidR="00C228B0">
              <w:rPr>
                <w:rFonts w:cs="Arial"/>
                <w:sz w:val="20"/>
                <w:szCs w:val="20"/>
              </w:rPr>
              <w:t xml:space="preserve"> are fr</w:t>
            </w:r>
            <w:r w:rsidR="005D179E">
              <w:rPr>
                <w:rFonts w:cs="Arial"/>
                <w:sz w:val="20"/>
                <w:szCs w:val="20"/>
              </w:rPr>
              <w:t>om PG&amp;E’s workpaper, PGECOFST</w:t>
            </w:r>
            <w:r w:rsidR="00164181">
              <w:rPr>
                <w:rFonts w:cs="Arial"/>
                <w:sz w:val="20"/>
                <w:szCs w:val="20"/>
              </w:rPr>
              <w:t>109</w:t>
            </w:r>
            <w:r w:rsidR="00C228B0">
              <w:rPr>
                <w:rFonts w:cs="Arial"/>
                <w:sz w:val="20"/>
                <w:szCs w:val="20"/>
              </w:rPr>
              <w:t>, Revision 6</w:t>
            </w:r>
            <w:r w:rsidR="00164181">
              <w:rPr>
                <w:rFonts w:cs="Arial"/>
                <w:sz w:val="20"/>
                <w:szCs w:val="20"/>
              </w:rPr>
              <w:t>.  Originally, SDG&amp;E had previously referenced PG&amp;E’s revision 3 workpaper where it addressed both single and double rack ovens.  With the latest revision, only double racks are eligible due to the lack of available products of single racks.  SDG&amp;E has removed the single rack offering.</w:t>
            </w:r>
          </w:p>
          <w:p w:rsidR="00DB71F1" w:rsidRPr="00D86243" w:rsidRDefault="00DB71F1" w:rsidP="00555671">
            <w:pPr>
              <w:jc w:val="both"/>
              <w:rPr>
                <w:rFonts w:cs="Arial"/>
                <w:sz w:val="20"/>
                <w:szCs w:val="20"/>
              </w:rPr>
            </w:pPr>
          </w:p>
        </w:tc>
      </w:tr>
      <w:tr w:rsidR="00DB71F1" w:rsidTr="00D01B26">
        <w:trPr>
          <w:cantSplit/>
        </w:trPr>
        <w:tc>
          <w:tcPr>
            <w:tcW w:w="2627" w:type="dxa"/>
            <w:vAlign w:val="center"/>
          </w:tcPr>
          <w:p w:rsidR="00DB71F1" w:rsidRPr="001D77F7" w:rsidRDefault="00DB71F1" w:rsidP="00393EC8">
            <w:pPr>
              <w:rPr>
                <w:b/>
              </w:rPr>
            </w:pPr>
            <w:r w:rsidRPr="001D77F7">
              <w:rPr>
                <w:b/>
              </w:rPr>
              <w:t>1.1 Measure &amp; Baseline Data</w:t>
            </w:r>
          </w:p>
        </w:tc>
        <w:tc>
          <w:tcPr>
            <w:tcW w:w="6949" w:type="dxa"/>
          </w:tcPr>
          <w:p w:rsidR="008C2C8A" w:rsidRPr="00555671" w:rsidRDefault="00EE6CFE" w:rsidP="001D57D7">
            <w:pPr>
              <w:rPr>
                <w:rFonts w:cs="Arial"/>
                <w:sz w:val="20"/>
                <w:szCs w:val="20"/>
              </w:rPr>
            </w:pPr>
            <w:r w:rsidRPr="00555671">
              <w:rPr>
                <w:rFonts w:cs="Arial"/>
                <w:sz w:val="20"/>
                <w:szCs w:val="20"/>
              </w:rPr>
              <w:t xml:space="preserve">Measure: </w:t>
            </w:r>
          </w:p>
          <w:p w:rsidR="00EE6CFE" w:rsidRPr="00241A1F" w:rsidRDefault="00164181" w:rsidP="00711B58">
            <w:pPr>
              <w:rPr>
                <w:rFonts w:cs="Arial"/>
                <w:sz w:val="20"/>
                <w:szCs w:val="20"/>
              </w:rPr>
            </w:pPr>
            <w:r>
              <w:rPr>
                <w:rFonts w:cs="Arial"/>
                <w:sz w:val="20"/>
                <w:szCs w:val="20"/>
              </w:rPr>
              <w:t xml:space="preserve">402029 - </w:t>
            </w:r>
            <w:r w:rsidRPr="00164181">
              <w:rPr>
                <w:rFonts w:cs="Arial"/>
                <w:sz w:val="20"/>
                <w:szCs w:val="20"/>
              </w:rPr>
              <w:t xml:space="preserve">Food Service-Commercial Gas Rack Oven- Double, Cooking Efficiency </w:t>
            </w:r>
            <w:r w:rsidR="003071A2" w:rsidRPr="003071A2">
              <w:rPr>
                <w:rFonts w:cs="Arial"/>
                <w:sz w:val="20"/>
                <w:szCs w:val="20"/>
              </w:rPr>
              <w:t>≥</w:t>
            </w:r>
            <w:r w:rsidR="003071A2">
              <w:rPr>
                <w:rFonts w:cs="Arial"/>
                <w:sz w:val="20"/>
                <w:szCs w:val="20"/>
              </w:rPr>
              <w:t xml:space="preserve"> </w:t>
            </w:r>
            <w:r w:rsidRPr="00164181">
              <w:rPr>
                <w:rFonts w:cs="Arial"/>
                <w:sz w:val="20"/>
                <w:szCs w:val="20"/>
              </w:rPr>
              <w:t>50%</w:t>
            </w:r>
          </w:p>
        </w:tc>
      </w:tr>
      <w:tr w:rsidR="00DB71F1" w:rsidTr="00D01B26">
        <w:trPr>
          <w:cantSplit/>
        </w:trPr>
        <w:tc>
          <w:tcPr>
            <w:tcW w:w="2627" w:type="dxa"/>
            <w:vAlign w:val="center"/>
          </w:tcPr>
          <w:p w:rsidR="00DB71F1" w:rsidRPr="001D77F7" w:rsidRDefault="00DB71F1" w:rsidP="00393EC8">
            <w:pPr>
              <w:rPr>
                <w:b/>
              </w:rPr>
            </w:pPr>
            <w:r w:rsidRPr="001D77F7">
              <w:rPr>
                <w:b/>
              </w:rPr>
              <w:t xml:space="preserve">1.2 Technical Description </w:t>
            </w:r>
          </w:p>
        </w:tc>
        <w:tc>
          <w:tcPr>
            <w:tcW w:w="6949" w:type="dxa"/>
          </w:tcPr>
          <w:p w:rsidR="00DB71F1" w:rsidRPr="00241A1F" w:rsidRDefault="00DB71F1">
            <w:pPr>
              <w:rPr>
                <w:rFonts w:cs="Arial"/>
                <w:sz w:val="20"/>
                <w:szCs w:val="20"/>
              </w:rPr>
            </w:pPr>
          </w:p>
        </w:tc>
      </w:tr>
      <w:tr w:rsidR="008775D7" w:rsidRPr="008775D7" w:rsidTr="00D01B26">
        <w:trPr>
          <w:cantSplit/>
        </w:trPr>
        <w:tc>
          <w:tcPr>
            <w:tcW w:w="2627" w:type="dxa"/>
          </w:tcPr>
          <w:p w:rsidR="008775D7" w:rsidRPr="00241A1F" w:rsidRDefault="008775D7" w:rsidP="00241A1F">
            <w:pPr>
              <w:jc w:val="right"/>
              <w:rPr>
                <w:sz w:val="20"/>
                <w:szCs w:val="20"/>
              </w:rPr>
            </w:pPr>
            <w:r w:rsidRPr="00241A1F">
              <w:rPr>
                <w:sz w:val="20"/>
                <w:szCs w:val="20"/>
              </w:rPr>
              <w:t>Measures</w:t>
            </w:r>
          </w:p>
        </w:tc>
        <w:tc>
          <w:tcPr>
            <w:tcW w:w="6949" w:type="dxa"/>
          </w:tcPr>
          <w:p w:rsidR="008775D7" w:rsidRPr="00E733C7" w:rsidRDefault="008D0B3C">
            <w:pPr>
              <w:rPr>
                <w:rFonts w:cs="Arial"/>
                <w:sz w:val="20"/>
                <w:szCs w:val="20"/>
              </w:rPr>
            </w:pPr>
            <w:r>
              <w:rPr>
                <w:rFonts w:cs="Arial"/>
                <w:sz w:val="20"/>
                <w:szCs w:val="20"/>
              </w:rPr>
              <w:t>See Requirements</w:t>
            </w:r>
          </w:p>
        </w:tc>
      </w:tr>
      <w:tr w:rsidR="008775D7" w:rsidRPr="008775D7" w:rsidTr="00D01B26">
        <w:trPr>
          <w:cantSplit/>
        </w:trPr>
        <w:tc>
          <w:tcPr>
            <w:tcW w:w="2627" w:type="dxa"/>
          </w:tcPr>
          <w:p w:rsidR="008775D7" w:rsidRPr="00653C4B" w:rsidRDefault="008775D7" w:rsidP="00241A1F">
            <w:pPr>
              <w:jc w:val="right"/>
              <w:rPr>
                <w:sz w:val="20"/>
                <w:szCs w:val="20"/>
              </w:rPr>
            </w:pPr>
            <w:r w:rsidRPr="00653C4B">
              <w:rPr>
                <w:sz w:val="20"/>
                <w:szCs w:val="20"/>
              </w:rPr>
              <w:t>Code for All Measures</w:t>
            </w:r>
          </w:p>
        </w:tc>
        <w:tc>
          <w:tcPr>
            <w:tcW w:w="6949" w:type="dxa"/>
          </w:tcPr>
          <w:p w:rsidR="003071A2" w:rsidRPr="003071A2" w:rsidRDefault="003071A2" w:rsidP="005C1518">
            <w:pPr>
              <w:jc w:val="both"/>
              <w:rPr>
                <w:rFonts w:cs="Arial"/>
                <w:bCs/>
                <w:sz w:val="20"/>
                <w:szCs w:val="20"/>
              </w:rPr>
            </w:pPr>
            <w:r w:rsidRPr="003071A2">
              <w:rPr>
                <w:rFonts w:cs="Arial"/>
                <w:bCs/>
                <w:sz w:val="20"/>
                <w:szCs w:val="20"/>
              </w:rPr>
              <w:t xml:space="preserve">This measure is not governed by either state or federal codes and standards.  </w:t>
            </w:r>
          </w:p>
          <w:p w:rsidR="003071A2" w:rsidRDefault="003071A2" w:rsidP="005C1518">
            <w:pPr>
              <w:jc w:val="both"/>
              <w:rPr>
                <w:rFonts w:cs="Arial"/>
                <w:b/>
                <w:bCs/>
                <w:sz w:val="20"/>
                <w:szCs w:val="20"/>
              </w:rPr>
            </w:pPr>
          </w:p>
          <w:p w:rsidR="005C1518" w:rsidRPr="005C1518" w:rsidRDefault="005C1518" w:rsidP="005C1518">
            <w:pPr>
              <w:jc w:val="both"/>
              <w:rPr>
                <w:rFonts w:cs="Arial"/>
                <w:sz w:val="20"/>
                <w:szCs w:val="20"/>
              </w:rPr>
            </w:pPr>
            <w:r w:rsidRPr="005C1518">
              <w:rPr>
                <w:rFonts w:cs="Arial"/>
                <w:b/>
                <w:bCs/>
                <w:sz w:val="20"/>
                <w:szCs w:val="20"/>
              </w:rPr>
              <w:t xml:space="preserve">American Society for Testing and Materials (ASTM) Standards </w:t>
            </w:r>
          </w:p>
          <w:p w:rsidR="003071A2" w:rsidRPr="003071A2" w:rsidRDefault="003071A2" w:rsidP="003071A2">
            <w:pPr>
              <w:jc w:val="both"/>
              <w:rPr>
                <w:rFonts w:cs="Arial"/>
                <w:bCs/>
                <w:iCs/>
                <w:sz w:val="20"/>
                <w:szCs w:val="20"/>
              </w:rPr>
            </w:pPr>
            <w:bookmarkStart w:id="2" w:name="_Toc387835526"/>
            <w:r w:rsidRPr="003071A2">
              <w:rPr>
                <w:rFonts w:cs="Arial"/>
                <w:bCs/>
                <w:iCs/>
                <w:sz w:val="20"/>
                <w:szCs w:val="20"/>
              </w:rPr>
              <w:t>Rack oven performance is determined by applying the ASTM Standard Test Method for the Performance of Rack Ovens (F2093). The ASTM standard test method is considered to be the industry standard for quantifying the efficiency and performance of rack ovens.</w:t>
            </w:r>
            <w:bookmarkEnd w:id="2"/>
            <w:r>
              <w:rPr>
                <w:rFonts w:cs="Arial"/>
                <w:bCs/>
                <w:iCs/>
                <w:sz w:val="20"/>
                <w:szCs w:val="20"/>
              </w:rPr>
              <w:t xml:space="preserve">  </w:t>
            </w:r>
            <w:r w:rsidRPr="003071A2">
              <w:rPr>
                <w:rFonts w:cs="Arial"/>
                <w:bCs/>
                <w:iCs/>
                <w:sz w:val="20"/>
                <w:szCs w:val="20"/>
              </w:rPr>
              <w:t>ASTM Standard Test Method for the</w:t>
            </w:r>
            <w:r w:rsidRPr="003071A2">
              <w:rPr>
                <w:rFonts w:cs="Arial"/>
                <w:bCs/>
                <w:i/>
                <w:iCs/>
                <w:sz w:val="20"/>
                <w:szCs w:val="20"/>
              </w:rPr>
              <w:t xml:space="preserve"> </w:t>
            </w:r>
            <w:r w:rsidRPr="003071A2">
              <w:rPr>
                <w:rFonts w:cs="Arial"/>
                <w:bCs/>
                <w:iCs/>
                <w:sz w:val="20"/>
                <w:szCs w:val="20"/>
              </w:rPr>
              <w:t>Performance of Rack Ovens (F2093) is applicable for estimating energy use and cooking performance. It was used to estimate the energy consumption of the base case and measure equipment.</w:t>
            </w:r>
          </w:p>
          <w:p w:rsidR="003071A2" w:rsidRPr="003071A2" w:rsidRDefault="003071A2" w:rsidP="003071A2">
            <w:pPr>
              <w:jc w:val="both"/>
              <w:rPr>
                <w:rFonts w:cs="Arial"/>
                <w:bCs/>
                <w:iCs/>
                <w:sz w:val="20"/>
                <w:szCs w:val="20"/>
              </w:rPr>
            </w:pPr>
          </w:p>
          <w:p w:rsidR="005C1518" w:rsidRPr="00653C4B" w:rsidRDefault="005C1518" w:rsidP="005C1518">
            <w:pPr>
              <w:jc w:val="both"/>
              <w:rPr>
                <w:rFonts w:cs="Arial"/>
                <w:sz w:val="20"/>
                <w:szCs w:val="20"/>
              </w:rPr>
            </w:pPr>
          </w:p>
        </w:tc>
      </w:tr>
      <w:tr w:rsidR="00E84938" w:rsidTr="00D01B26">
        <w:trPr>
          <w:cantSplit/>
        </w:trPr>
        <w:tc>
          <w:tcPr>
            <w:tcW w:w="2627" w:type="dxa"/>
          </w:tcPr>
          <w:p w:rsidR="00E84938" w:rsidRPr="001D77F7" w:rsidRDefault="00E84938" w:rsidP="008724D6">
            <w:pPr>
              <w:jc w:val="right"/>
              <w:rPr>
                <w:b/>
              </w:rPr>
            </w:pPr>
            <w:r w:rsidRPr="00197677">
              <w:rPr>
                <w:rFonts w:cs="Arial"/>
                <w:sz w:val="20"/>
                <w:szCs w:val="20"/>
              </w:rPr>
              <w:t>Requirements</w:t>
            </w:r>
          </w:p>
        </w:tc>
        <w:tc>
          <w:tcPr>
            <w:tcW w:w="6949" w:type="dxa"/>
          </w:tcPr>
          <w:p w:rsidR="003071A2" w:rsidRPr="003071A2" w:rsidRDefault="003071A2" w:rsidP="003071A2">
            <w:pPr>
              <w:jc w:val="both"/>
              <w:rPr>
                <w:sz w:val="20"/>
                <w:szCs w:val="20"/>
              </w:rPr>
            </w:pPr>
            <w:r w:rsidRPr="003071A2">
              <w:rPr>
                <w:sz w:val="20"/>
                <w:szCs w:val="20"/>
              </w:rPr>
              <w:t xml:space="preserve">This measure includes new commercial gas rack ovens that meet the </w:t>
            </w:r>
            <w:r>
              <w:rPr>
                <w:sz w:val="20"/>
                <w:szCs w:val="20"/>
              </w:rPr>
              <w:t>qualifications</w:t>
            </w:r>
            <w:r w:rsidRPr="003071A2">
              <w:rPr>
                <w:sz w:val="20"/>
                <w:szCs w:val="20"/>
              </w:rPr>
              <w:t>.</w:t>
            </w:r>
            <w:r>
              <w:rPr>
                <w:sz w:val="20"/>
                <w:szCs w:val="20"/>
              </w:rPr>
              <w:t xml:space="preserve">  </w:t>
            </w:r>
            <w:r w:rsidRPr="003071A2">
              <w:rPr>
                <w:sz w:val="20"/>
                <w:szCs w:val="20"/>
              </w:rPr>
              <w:t>The tested commercial rack oven must meet or exceed baking energy efficiency of ≥ 50% utilizing ASTM Standard F2093</w:t>
            </w:r>
            <w:r>
              <w:rPr>
                <w:sz w:val="20"/>
                <w:szCs w:val="20"/>
              </w:rPr>
              <w:t xml:space="preserve">.  </w:t>
            </w:r>
            <w:r w:rsidRPr="003071A2">
              <w:rPr>
                <w:sz w:val="20"/>
                <w:szCs w:val="20"/>
              </w:rPr>
              <w:t>Used or rebuilt equipment is not eligible. Customers must provide proof that the appliance has a cooking-energy efficiency t</w:t>
            </w:r>
            <w:r>
              <w:rPr>
                <w:sz w:val="20"/>
                <w:szCs w:val="20"/>
              </w:rPr>
              <w:t>hat meets the requirements.</w:t>
            </w:r>
          </w:p>
          <w:p w:rsidR="001D6A64" w:rsidRPr="00555671" w:rsidRDefault="001D6A64" w:rsidP="001D6A64">
            <w:pPr>
              <w:jc w:val="both"/>
              <w:rPr>
                <w:sz w:val="20"/>
                <w:szCs w:val="20"/>
              </w:rPr>
            </w:pPr>
          </w:p>
        </w:tc>
      </w:tr>
      <w:tr w:rsidR="00DB71F1" w:rsidTr="00D01B26">
        <w:trPr>
          <w:cantSplit/>
        </w:trPr>
        <w:tc>
          <w:tcPr>
            <w:tcW w:w="2627" w:type="dxa"/>
          </w:tcPr>
          <w:p w:rsidR="00DB71F1" w:rsidRPr="001D77F7" w:rsidRDefault="00DB71F1" w:rsidP="00393EC8">
            <w:pPr>
              <w:rPr>
                <w:b/>
              </w:rPr>
            </w:pPr>
            <w:r w:rsidRPr="001D77F7">
              <w:rPr>
                <w:b/>
              </w:rPr>
              <w:t>1.3 Installation Type and Delivery Mechanisms</w:t>
            </w:r>
          </w:p>
        </w:tc>
        <w:tc>
          <w:tcPr>
            <w:tcW w:w="6949" w:type="dxa"/>
          </w:tcPr>
          <w:p w:rsidR="00DB71F1" w:rsidRPr="00D86243" w:rsidRDefault="00DB71F1" w:rsidP="00393EC8">
            <w:pPr>
              <w:rPr>
                <w:rFonts w:cs="Arial"/>
                <w:sz w:val="20"/>
                <w:szCs w:val="20"/>
              </w:rPr>
            </w:pPr>
          </w:p>
        </w:tc>
      </w:tr>
      <w:tr w:rsidR="00DB71F1" w:rsidTr="00D01B26">
        <w:trPr>
          <w:cantSplit/>
        </w:trPr>
        <w:tc>
          <w:tcPr>
            <w:tcW w:w="2627" w:type="dxa"/>
            <w:vAlign w:val="center"/>
          </w:tcPr>
          <w:p w:rsidR="00DB71F1" w:rsidRPr="00822B6F" w:rsidRDefault="00DB71F1" w:rsidP="00393EC8">
            <w:pPr>
              <w:jc w:val="right"/>
              <w:rPr>
                <w:sz w:val="20"/>
                <w:szCs w:val="20"/>
              </w:rPr>
            </w:pPr>
            <w:r w:rsidRPr="00822B6F">
              <w:rPr>
                <w:sz w:val="20"/>
                <w:szCs w:val="20"/>
              </w:rPr>
              <w:t>Installation Type</w:t>
            </w:r>
          </w:p>
        </w:tc>
        <w:tc>
          <w:tcPr>
            <w:tcW w:w="6949" w:type="dxa"/>
          </w:tcPr>
          <w:p w:rsidR="00CF2ABA" w:rsidRPr="00393EC8" w:rsidRDefault="008C2C8A" w:rsidP="00FE636E">
            <w:pPr>
              <w:rPr>
                <w:rFonts w:cs="Arial"/>
                <w:sz w:val="20"/>
                <w:szCs w:val="20"/>
              </w:rPr>
            </w:pPr>
            <w:r w:rsidRPr="00FE636E">
              <w:rPr>
                <w:rFonts w:cs="Arial"/>
                <w:sz w:val="20"/>
                <w:szCs w:val="20"/>
              </w:rPr>
              <w:t>Replace on Burn-out (ROB)</w:t>
            </w:r>
            <w:r w:rsidR="00CF2ABA" w:rsidRPr="00FE636E">
              <w:rPr>
                <w:rFonts w:cs="Arial"/>
                <w:sz w:val="20"/>
                <w:szCs w:val="20"/>
              </w:rPr>
              <w:t xml:space="preserve"> </w:t>
            </w:r>
          </w:p>
        </w:tc>
      </w:tr>
      <w:tr w:rsidR="00DB71F1" w:rsidTr="00D01B26">
        <w:trPr>
          <w:cantSplit/>
        </w:trPr>
        <w:tc>
          <w:tcPr>
            <w:tcW w:w="2627" w:type="dxa"/>
            <w:vAlign w:val="center"/>
          </w:tcPr>
          <w:p w:rsidR="00DB71F1" w:rsidRPr="00822B6F" w:rsidRDefault="00DB71F1" w:rsidP="00393EC8">
            <w:pPr>
              <w:jc w:val="right"/>
              <w:rPr>
                <w:sz w:val="20"/>
                <w:szCs w:val="20"/>
              </w:rPr>
            </w:pPr>
            <w:r w:rsidRPr="00822B6F">
              <w:rPr>
                <w:sz w:val="20"/>
                <w:szCs w:val="20"/>
              </w:rPr>
              <w:t>Delivery Mechanisms</w:t>
            </w:r>
          </w:p>
        </w:tc>
        <w:tc>
          <w:tcPr>
            <w:tcW w:w="6949" w:type="dxa"/>
          </w:tcPr>
          <w:p w:rsidR="00DB71F1" w:rsidRDefault="00DB71F1" w:rsidP="00FE636E">
            <w:pPr>
              <w:rPr>
                <w:rFonts w:cs="Arial"/>
                <w:sz w:val="20"/>
                <w:szCs w:val="20"/>
              </w:rPr>
            </w:pPr>
            <w:r w:rsidRPr="00FE636E">
              <w:rPr>
                <w:rFonts w:cs="Arial"/>
                <w:sz w:val="20"/>
                <w:szCs w:val="20"/>
              </w:rPr>
              <w:t xml:space="preserve">Downstream </w:t>
            </w:r>
            <w:r w:rsidR="003E0DC8" w:rsidRPr="00FE636E">
              <w:rPr>
                <w:rFonts w:cs="Arial"/>
                <w:sz w:val="20"/>
                <w:szCs w:val="20"/>
              </w:rPr>
              <w:t>Rebate</w:t>
            </w:r>
            <w:r w:rsidRPr="00FE636E">
              <w:rPr>
                <w:rFonts w:cs="Arial"/>
                <w:sz w:val="20"/>
                <w:szCs w:val="20"/>
              </w:rPr>
              <w:t xml:space="preserve"> – Deemed</w:t>
            </w:r>
          </w:p>
          <w:p w:rsidR="00B9551F" w:rsidRPr="00FE636E" w:rsidRDefault="00B9551F" w:rsidP="00FE636E">
            <w:pPr>
              <w:rPr>
                <w:rFonts w:cs="Arial"/>
                <w:sz w:val="20"/>
                <w:szCs w:val="20"/>
              </w:rPr>
            </w:pPr>
            <w:r>
              <w:rPr>
                <w:rFonts w:cs="Arial"/>
                <w:sz w:val="20"/>
                <w:szCs w:val="20"/>
              </w:rPr>
              <w:t>NOTE:  Measures are offered in the SDG&amp;E Direc</w:t>
            </w:r>
            <w:r w:rsidR="00402B3D">
              <w:rPr>
                <w:rFonts w:cs="Arial"/>
                <w:sz w:val="20"/>
                <w:szCs w:val="20"/>
              </w:rPr>
              <w:t xml:space="preserve">t Install program yet require </w:t>
            </w:r>
            <w:proofErr w:type="gramStart"/>
            <w:r w:rsidR="00402B3D">
              <w:rPr>
                <w:rFonts w:cs="Arial"/>
                <w:sz w:val="20"/>
                <w:szCs w:val="20"/>
              </w:rPr>
              <w:t xml:space="preserve">a </w:t>
            </w:r>
            <w:r>
              <w:rPr>
                <w:rFonts w:cs="Arial"/>
                <w:sz w:val="20"/>
                <w:szCs w:val="20"/>
              </w:rPr>
              <w:t>customer</w:t>
            </w:r>
            <w:proofErr w:type="gramEnd"/>
            <w:r>
              <w:rPr>
                <w:rFonts w:cs="Arial"/>
                <w:sz w:val="20"/>
                <w:szCs w:val="20"/>
              </w:rPr>
              <w:t xml:space="preserve"> co-pay and are treated as downstream deemed.</w:t>
            </w:r>
          </w:p>
        </w:tc>
      </w:tr>
      <w:tr w:rsidR="00DB71F1" w:rsidTr="00D01B26">
        <w:trPr>
          <w:cantSplit/>
        </w:trPr>
        <w:tc>
          <w:tcPr>
            <w:tcW w:w="2627" w:type="dxa"/>
          </w:tcPr>
          <w:p w:rsidR="00DB71F1" w:rsidRPr="001D77F7" w:rsidRDefault="00DB71F1" w:rsidP="00393EC8">
            <w:pPr>
              <w:rPr>
                <w:b/>
              </w:rPr>
            </w:pPr>
            <w:r w:rsidRPr="001D77F7">
              <w:rPr>
                <w:b/>
              </w:rPr>
              <w:t>1.4.1 DEER Data</w:t>
            </w:r>
          </w:p>
        </w:tc>
        <w:tc>
          <w:tcPr>
            <w:tcW w:w="6949" w:type="dxa"/>
          </w:tcPr>
          <w:p w:rsidR="00DB71F1" w:rsidRDefault="00DB71F1" w:rsidP="00393EC8"/>
        </w:tc>
      </w:tr>
      <w:tr w:rsidR="00A61271" w:rsidTr="00D01B26">
        <w:trPr>
          <w:cantSplit/>
        </w:trPr>
        <w:tc>
          <w:tcPr>
            <w:tcW w:w="2627" w:type="dxa"/>
            <w:vAlign w:val="center"/>
          </w:tcPr>
          <w:p w:rsidR="00A61271" w:rsidRPr="00822B6F" w:rsidRDefault="00A61271" w:rsidP="00393EC8">
            <w:pPr>
              <w:jc w:val="right"/>
              <w:rPr>
                <w:sz w:val="20"/>
                <w:szCs w:val="20"/>
              </w:rPr>
            </w:pPr>
            <w:r w:rsidRPr="00822B6F">
              <w:rPr>
                <w:sz w:val="20"/>
                <w:szCs w:val="20"/>
              </w:rPr>
              <w:t>Net-to-Gross Ratio</w:t>
            </w:r>
          </w:p>
        </w:tc>
        <w:tc>
          <w:tcPr>
            <w:tcW w:w="6949" w:type="dxa"/>
          </w:tcPr>
          <w:p w:rsidR="00A61271" w:rsidRPr="00D86243" w:rsidRDefault="00A61271" w:rsidP="00393EC8">
            <w:pPr>
              <w:tabs>
                <w:tab w:val="right" w:pos="6732"/>
              </w:tabs>
              <w:rPr>
                <w:rFonts w:cs="Arial"/>
                <w:sz w:val="20"/>
                <w:szCs w:val="20"/>
              </w:rPr>
            </w:pPr>
            <w:r w:rsidRPr="00A61271">
              <w:rPr>
                <w:rFonts w:cs="Arial"/>
                <w:sz w:val="20"/>
                <w:szCs w:val="20"/>
              </w:rPr>
              <w:t>Com-Default&gt;2yrs</w:t>
            </w:r>
          </w:p>
        </w:tc>
      </w:tr>
      <w:tr w:rsidR="00A61271" w:rsidTr="00D01B26">
        <w:trPr>
          <w:cantSplit/>
        </w:trPr>
        <w:tc>
          <w:tcPr>
            <w:tcW w:w="2627" w:type="dxa"/>
            <w:vAlign w:val="center"/>
          </w:tcPr>
          <w:p w:rsidR="00A61271" w:rsidRPr="00822B6F" w:rsidRDefault="00A61271" w:rsidP="00393EC8">
            <w:pPr>
              <w:jc w:val="right"/>
              <w:rPr>
                <w:sz w:val="20"/>
                <w:szCs w:val="20"/>
              </w:rPr>
            </w:pPr>
            <w:r w:rsidRPr="00822B6F">
              <w:rPr>
                <w:sz w:val="20"/>
                <w:szCs w:val="20"/>
              </w:rPr>
              <w:t>Effective and Remaining Useful Life</w:t>
            </w:r>
          </w:p>
        </w:tc>
        <w:tc>
          <w:tcPr>
            <w:tcW w:w="6949" w:type="dxa"/>
          </w:tcPr>
          <w:p w:rsidR="00402B3D" w:rsidRPr="00D86243" w:rsidRDefault="00C75C56">
            <w:pPr>
              <w:tabs>
                <w:tab w:val="right" w:pos="6732"/>
              </w:tabs>
              <w:rPr>
                <w:rFonts w:cs="Arial"/>
                <w:sz w:val="20"/>
                <w:szCs w:val="20"/>
              </w:rPr>
            </w:pPr>
            <w:r w:rsidRPr="00C75C56">
              <w:rPr>
                <w:rFonts w:cs="Arial"/>
                <w:sz w:val="20"/>
                <w:szCs w:val="20"/>
              </w:rPr>
              <w:t>Cook-</w:t>
            </w:r>
            <w:proofErr w:type="spellStart"/>
            <w:r w:rsidRPr="00C75C56">
              <w:rPr>
                <w:rFonts w:cs="Arial"/>
                <w:sz w:val="20"/>
                <w:szCs w:val="20"/>
              </w:rPr>
              <w:t>GasRackOven</w:t>
            </w:r>
            <w:proofErr w:type="spellEnd"/>
          </w:p>
        </w:tc>
      </w:tr>
      <w:tr w:rsidR="00A61271" w:rsidTr="00D01B26">
        <w:trPr>
          <w:cantSplit/>
        </w:trPr>
        <w:tc>
          <w:tcPr>
            <w:tcW w:w="2627" w:type="dxa"/>
            <w:vAlign w:val="center"/>
          </w:tcPr>
          <w:p w:rsidR="00A61271" w:rsidRPr="001D77F7" w:rsidRDefault="00A61271" w:rsidP="00393EC8">
            <w:pPr>
              <w:rPr>
                <w:b/>
              </w:rPr>
            </w:pPr>
            <w:r w:rsidRPr="001D77F7">
              <w:rPr>
                <w:b/>
              </w:rPr>
              <w:t>Section 2. Calculation Methodology</w:t>
            </w:r>
          </w:p>
        </w:tc>
        <w:tc>
          <w:tcPr>
            <w:tcW w:w="6949" w:type="dxa"/>
            <w:vAlign w:val="center"/>
          </w:tcPr>
          <w:p w:rsidR="00A61271" w:rsidRPr="00241A1F" w:rsidRDefault="008D0B3C">
            <w:pPr>
              <w:rPr>
                <w:rFonts w:cs="Arial"/>
                <w:sz w:val="20"/>
                <w:szCs w:val="20"/>
              </w:rPr>
            </w:pPr>
            <w:r>
              <w:rPr>
                <w:rFonts w:cs="Arial"/>
                <w:sz w:val="20"/>
                <w:szCs w:val="20"/>
              </w:rPr>
              <w:t>DEER</w:t>
            </w:r>
            <w:r w:rsidR="00DA5D17">
              <w:rPr>
                <w:rFonts w:cs="Arial"/>
                <w:sz w:val="20"/>
                <w:szCs w:val="20"/>
              </w:rPr>
              <w:t xml:space="preserve"> 2016</w:t>
            </w:r>
          </w:p>
        </w:tc>
      </w:tr>
      <w:tr w:rsidR="00A61271" w:rsidTr="00D01B26">
        <w:trPr>
          <w:cantSplit/>
        </w:trPr>
        <w:tc>
          <w:tcPr>
            <w:tcW w:w="2627" w:type="dxa"/>
            <w:vAlign w:val="center"/>
          </w:tcPr>
          <w:p w:rsidR="00A61271" w:rsidRDefault="00A61271" w:rsidP="00787D7C">
            <w:pPr>
              <w:jc w:val="right"/>
            </w:pPr>
            <w:r>
              <w:rPr>
                <w:rFonts w:cs="Arial"/>
                <w:sz w:val="20"/>
                <w:szCs w:val="20"/>
              </w:rPr>
              <w:lastRenderedPageBreak/>
              <w:t>Energy Savings/Peak Demand Reduction – All Measures</w:t>
            </w:r>
          </w:p>
        </w:tc>
        <w:tc>
          <w:tcPr>
            <w:tcW w:w="6949" w:type="dxa"/>
          </w:tcPr>
          <w:p w:rsidR="00CA48A0" w:rsidRPr="001752E5" w:rsidRDefault="00C75C56" w:rsidP="00CA48A0">
            <w:pPr>
              <w:tabs>
                <w:tab w:val="right" w:pos="6732"/>
              </w:tabs>
              <w:jc w:val="both"/>
              <w:rPr>
                <w:rFonts w:cs="Arial"/>
                <w:b/>
                <w:sz w:val="20"/>
                <w:szCs w:val="20"/>
              </w:rPr>
            </w:pPr>
            <w:r>
              <w:rPr>
                <w:rFonts w:cs="Arial"/>
                <w:b/>
                <w:sz w:val="20"/>
                <w:szCs w:val="20"/>
              </w:rPr>
              <w:t>Rack Oven</w:t>
            </w:r>
            <w:r w:rsidR="00786E32">
              <w:rPr>
                <w:rFonts w:cs="Arial"/>
                <w:b/>
                <w:sz w:val="20"/>
                <w:szCs w:val="20"/>
              </w:rPr>
              <w:t xml:space="preserve"> (PG</w:t>
            </w:r>
            <w:r>
              <w:rPr>
                <w:rFonts w:cs="Arial"/>
                <w:b/>
                <w:sz w:val="20"/>
                <w:szCs w:val="20"/>
              </w:rPr>
              <w:t>&amp;E: F207</w:t>
            </w:r>
            <w:r w:rsidR="00786E32">
              <w:rPr>
                <w:rFonts w:cs="Arial"/>
                <w:b/>
                <w:sz w:val="20"/>
                <w:szCs w:val="20"/>
              </w:rPr>
              <w:t>)</w:t>
            </w:r>
            <w:r w:rsidR="001752E5">
              <w:rPr>
                <w:rFonts w:cs="Arial"/>
                <w:b/>
                <w:sz w:val="20"/>
                <w:szCs w:val="20"/>
              </w:rPr>
              <w:t xml:space="preserve"> (</w:t>
            </w:r>
            <w:r w:rsidR="00786E32">
              <w:rPr>
                <w:rFonts w:cs="Arial"/>
                <w:b/>
                <w:sz w:val="20"/>
                <w:szCs w:val="20"/>
              </w:rPr>
              <w:t xml:space="preserve">SDG&amp;E: </w:t>
            </w:r>
            <w:r>
              <w:rPr>
                <w:rFonts w:cs="Arial"/>
                <w:b/>
                <w:sz w:val="20"/>
                <w:szCs w:val="20"/>
              </w:rPr>
              <w:t>402029</w:t>
            </w:r>
            <w:r w:rsidR="001752E5">
              <w:rPr>
                <w:rFonts w:cs="Arial"/>
                <w:b/>
                <w:sz w:val="20"/>
                <w:szCs w:val="20"/>
              </w:rPr>
              <w:t>)</w:t>
            </w:r>
          </w:p>
          <w:p w:rsidR="00A61271" w:rsidRDefault="00CA48A0" w:rsidP="00CA48A0">
            <w:pPr>
              <w:tabs>
                <w:tab w:val="right" w:pos="6732"/>
              </w:tabs>
              <w:jc w:val="both"/>
              <w:rPr>
                <w:rFonts w:cs="Arial"/>
                <w:sz w:val="20"/>
                <w:szCs w:val="20"/>
              </w:rPr>
            </w:pPr>
            <w:r>
              <w:rPr>
                <w:rFonts w:cs="Arial"/>
                <w:sz w:val="20"/>
                <w:szCs w:val="20"/>
              </w:rPr>
              <w:t>Base Case Energy Consumption: Source: P</w:t>
            </w:r>
            <w:r w:rsidR="00C75C56">
              <w:rPr>
                <w:rFonts w:cs="Arial"/>
                <w:sz w:val="20"/>
                <w:szCs w:val="20"/>
              </w:rPr>
              <w:t>G&amp;E Calculations – 5,405 therms/yr</w:t>
            </w:r>
          </w:p>
          <w:p w:rsidR="00CA48A0" w:rsidRDefault="00CA48A0" w:rsidP="00CA48A0">
            <w:pPr>
              <w:tabs>
                <w:tab w:val="right" w:pos="6732"/>
              </w:tabs>
              <w:jc w:val="both"/>
              <w:rPr>
                <w:rFonts w:cs="Arial"/>
                <w:sz w:val="20"/>
                <w:szCs w:val="20"/>
              </w:rPr>
            </w:pPr>
            <w:r>
              <w:rPr>
                <w:rFonts w:cs="Arial"/>
                <w:sz w:val="20"/>
                <w:szCs w:val="20"/>
              </w:rPr>
              <w:t>Measure Energy Consumption: Source: P</w:t>
            </w:r>
            <w:r w:rsidR="00C75C56">
              <w:rPr>
                <w:rFonts w:cs="Arial"/>
                <w:sz w:val="20"/>
                <w:szCs w:val="20"/>
              </w:rPr>
              <w:t>G&amp;E Calculations – 3,301 therms/yr</w:t>
            </w:r>
          </w:p>
          <w:p w:rsidR="00CA48A0" w:rsidRDefault="00CA48A0" w:rsidP="00CA48A0">
            <w:pPr>
              <w:tabs>
                <w:tab w:val="right" w:pos="6732"/>
              </w:tabs>
              <w:jc w:val="both"/>
              <w:rPr>
                <w:rFonts w:cs="Arial"/>
                <w:sz w:val="20"/>
                <w:szCs w:val="20"/>
              </w:rPr>
            </w:pPr>
            <w:r>
              <w:rPr>
                <w:rFonts w:cs="Arial"/>
                <w:sz w:val="20"/>
                <w:szCs w:val="20"/>
              </w:rPr>
              <w:t>Energy Savings (Base Case – Measure): Source: PG&amp;E Calculation</w:t>
            </w:r>
            <w:r w:rsidR="00C75C56">
              <w:rPr>
                <w:rFonts w:cs="Arial"/>
                <w:sz w:val="20"/>
                <w:szCs w:val="20"/>
              </w:rPr>
              <w:t>s – 2,104 therms/yr</w:t>
            </w:r>
          </w:p>
          <w:p w:rsidR="00CA48A0" w:rsidRDefault="00CA48A0" w:rsidP="00CA48A0">
            <w:pPr>
              <w:tabs>
                <w:tab w:val="right" w:pos="6732"/>
              </w:tabs>
              <w:jc w:val="both"/>
              <w:rPr>
                <w:rFonts w:cs="Arial"/>
                <w:sz w:val="20"/>
                <w:szCs w:val="20"/>
              </w:rPr>
            </w:pPr>
          </w:p>
          <w:p w:rsidR="00CA48A0" w:rsidRPr="00555671" w:rsidRDefault="00CA48A0" w:rsidP="00C75C56">
            <w:pPr>
              <w:tabs>
                <w:tab w:val="right" w:pos="6732"/>
              </w:tabs>
              <w:jc w:val="both"/>
              <w:rPr>
                <w:rFonts w:cs="Arial"/>
                <w:sz w:val="20"/>
                <w:szCs w:val="20"/>
              </w:rPr>
            </w:pPr>
          </w:p>
        </w:tc>
      </w:tr>
      <w:tr w:rsidR="00A61271" w:rsidTr="00D01B26">
        <w:trPr>
          <w:cantSplit/>
        </w:trPr>
        <w:tc>
          <w:tcPr>
            <w:tcW w:w="2627" w:type="dxa"/>
            <w:vAlign w:val="center"/>
          </w:tcPr>
          <w:p w:rsidR="00A61271" w:rsidRPr="001D77F7" w:rsidRDefault="00A61271" w:rsidP="00393EC8">
            <w:pPr>
              <w:rPr>
                <w:b/>
              </w:rPr>
            </w:pPr>
            <w:r w:rsidRPr="001D77F7">
              <w:rPr>
                <w:b/>
              </w:rPr>
              <w:t>Section 3. Load Shapes</w:t>
            </w:r>
          </w:p>
        </w:tc>
        <w:tc>
          <w:tcPr>
            <w:tcW w:w="6949" w:type="dxa"/>
          </w:tcPr>
          <w:p w:rsidR="00A61271" w:rsidRDefault="004519B4">
            <w:pPr>
              <w:tabs>
                <w:tab w:val="right" w:pos="6732"/>
              </w:tabs>
              <w:rPr>
                <w:rFonts w:cstheme="minorHAnsi"/>
                <w:bCs/>
                <w:sz w:val="20"/>
              </w:rPr>
            </w:pPr>
            <w:r w:rsidRPr="004519B4">
              <w:rPr>
                <w:rFonts w:cstheme="minorHAnsi"/>
                <w:bCs/>
                <w:sz w:val="20"/>
              </w:rPr>
              <w:t>SDG:35-OTI-OtherIndustrial-PROC_OTH</w:t>
            </w:r>
          </w:p>
          <w:p w:rsidR="004519B4" w:rsidRPr="00476F40" w:rsidRDefault="00C75C56">
            <w:pPr>
              <w:tabs>
                <w:tab w:val="right" w:pos="6732"/>
              </w:tabs>
              <w:rPr>
                <w:rFonts w:cs="Arial"/>
                <w:sz w:val="20"/>
                <w:szCs w:val="20"/>
              </w:rPr>
            </w:pPr>
            <w:r>
              <w:rPr>
                <w:rFonts w:cstheme="minorHAnsi"/>
                <w:bCs/>
                <w:sz w:val="20"/>
              </w:rPr>
              <w:t>Annual</w:t>
            </w:r>
          </w:p>
        </w:tc>
      </w:tr>
      <w:tr w:rsidR="00A61271" w:rsidTr="00D01B26">
        <w:trPr>
          <w:cantSplit/>
        </w:trPr>
        <w:tc>
          <w:tcPr>
            <w:tcW w:w="2627" w:type="dxa"/>
            <w:vAlign w:val="center"/>
          </w:tcPr>
          <w:p w:rsidR="00A61271" w:rsidRPr="001D77F7" w:rsidRDefault="00A61271" w:rsidP="00393EC8">
            <w:pPr>
              <w:rPr>
                <w:b/>
              </w:rPr>
            </w:pPr>
            <w:r w:rsidRPr="001D77F7">
              <w:rPr>
                <w:b/>
              </w:rPr>
              <w:t>Section 4. Costs</w:t>
            </w:r>
          </w:p>
        </w:tc>
        <w:tc>
          <w:tcPr>
            <w:tcW w:w="6949" w:type="dxa"/>
          </w:tcPr>
          <w:p w:rsidR="00A61271" w:rsidRPr="00476F40" w:rsidRDefault="00A61271" w:rsidP="00C048F4">
            <w:pPr>
              <w:rPr>
                <w:rFonts w:cs="Arial"/>
                <w:sz w:val="20"/>
                <w:szCs w:val="20"/>
              </w:rPr>
            </w:pPr>
          </w:p>
        </w:tc>
      </w:tr>
      <w:tr w:rsidR="00A61271" w:rsidRPr="00393EC8" w:rsidTr="00D01B26">
        <w:trPr>
          <w:cantSplit/>
        </w:trPr>
        <w:tc>
          <w:tcPr>
            <w:tcW w:w="2627" w:type="dxa"/>
          </w:tcPr>
          <w:p w:rsidR="00A61271" w:rsidRPr="00393EC8" w:rsidRDefault="00A61271">
            <w:pPr>
              <w:rPr>
                <w:b/>
              </w:rPr>
            </w:pPr>
            <w:r w:rsidRPr="00393EC8">
              <w:rPr>
                <w:b/>
              </w:rPr>
              <w:t xml:space="preserve">Section 4.1 </w:t>
            </w:r>
            <w:r w:rsidR="00695478">
              <w:rPr>
                <w:b/>
              </w:rPr>
              <w:t>Base and Measure Costs</w:t>
            </w:r>
          </w:p>
        </w:tc>
        <w:tc>
          <w:tcPr>
            <w:tcW w:w="6949" w:type="dxa"/>
          </w:tcPr>
          <w:p w:rsidR="00A61271" w:rsidRPr="00393EC8" w:rsidRDefault="00A61271" w:rsidP="00393EC8">
            <w:pPr>
              <w:rPr>
                <w:b/>
              </w:rPr>
            </w:pPr>
          </w:p>
        </w:tc>
      </w:tr>
      <w:tr w:rsidR="00E05871" w:rsidTr="00D01B26">
        <w:trPr>
          <w:cantSplit/>
        </w:trPr>
        <w:tc>
          <w:tcPr>
            <w:tcW w:w="2627" w:type="dxa"/>
          </w:tcPr>
          <w:p w:rsidR="00E05871" w:rsidRPr="00822B6F" w:rsidRDefault="00E05871" w:rsidP="00E05871">
            <w:pPr>
              <w:jc w:val="right"/>
              <w:rPr>
                <w:sz w:val="20"/>
                <w:szCs w:val="20"/>
              </w:rPr>
            </w:pPr>
            <w:r w:rsidRPr="00822B6F">
              <w:rPr>
                <w:sz w:val="20"/>
                <w:szCs w:val="20"/>
              </w:rPr>
              <w:t>Base Cost</w:t>
            </w:r>
          </w:p>
        </w:tc>
        <w:tc>
          <w:tcPr>
            <w:tcW w:w="6949" w:type="dxa"/>
          </w:tcPr>
          <w:p w:rsidR="00E05871" w:rsidRDefault="00E05871" w:rsidP="00E05871">
            <w:pPr>
              <w:tabs>
                <w:tab w:val="right" w:pos="6732"/>
              </w:tabs>
              <w:rPr>
                <w:rFonts w:cs="Arial"/>
                <w:sz w:val="20"/>
                <w:szCs w:val="20"/>
              </w:rPr>
            </w:pPr>
          </w:p>
        </w:tc>
      </w:tr>
      <w:tr w:rsidR="00A61271" w:rsidTr="00D01B26">
        <w:trPr>
          <w:cantSplit/>
        </w:trPr>
        <w:tc>
          <w:tcPr>
            <w:tcW w:w="2627" w:type="dxa"/>
          </w:tcPr>
          <w:p w:rsidR="00A61271" w:rsidRPr="00822B6F" w:rsidRDefault="00D01B26">
            <w:pPr>
              <w:jc w:val="right"/>
              <w:rPr>
                <w:sz w:val="20"/>
                <w:szCs w:val="20"/>
              </w:rPr>
            </w:pPr>
            <w:r>
              <w:rPr>
                <w:sz w:val="20"/>
                <w:szCs w:val="20"/>
              </w:rPr>
              <w:t>402029</w:t>
            </w:r>
          </w:p>
        </w:tc>
        <w:tc>
          <w:tcPr>
            <w:tcW w:w="6949" w:type="dxa"/>
          </w:tcPr>
          <w:p w:rsidR="00A61271" w:rsidRPr="00476F40" w:rsidRDefault="00D01B26">
            <w:pPr>
              <w:tabs>
                <w:tab w:val="right" w:pos="6732"/>
              </w:tabs>
              <w:rPr>
                <w:rFonts w:cs="Arial"/>
                <w:sz w:val="20"/>
                <w:szCs w:val="20"/>
              </w:rPr>
            </w:pPr>
            <w:r>
              <w:rPr>
                <w:rFonts w:cs="Arial"/>
                <w:sz w:val="20"/>
                <w:szCs w:val="20"/>
              </w:rPr>
              <w:t>$12,513</w:t>
            </w:r>
            <w:r w:rsidR="00695478">
              <w:rPr>
                <w:rFonts w:cs="Arial"/>
                <w:sz w:val="20"/>
                <w:szCs w:val="20"/>
              </w:rPr>
              <w:t xml:space="preserve"> (</w:t>
            </w:r>
            <w:r>
              <w:rPr>
                <w:rFonts w:cs="Arial"/>
                <w:sz w:val="20"/>
                <w:szCs w:val="20"/>
              </w:rPr>
              <w:t>PG&amp;E F207</w:t>
            </w:r>
            <w:r w:rsidR="00695478">
              <w:rPr>
                <w:rFonts w:cs="Arial"/>
                <w:sz w:val="20"/>
                <w:szCs w:val="20"/>
              </w:rPr>
              <w:t>)</w:t>
            </w:r>
          </w:p>
        </w:tc>
      </w:tr>
      <w:tr w:rsidR="00A61271" w:rsidTr="00D01B26">
        <w:trPr>
          <w:cantSplit/>
        </w:trPr>
        <w:tc>
          <w:tcPr>
            <w:tcW w:w="2627" w:type="dxa"/>
          </w:tcPr>
          <w:p w:rsidR="00A61271" w:rsidRPr="00822B6F" w:rsidRDefault="00A61271">
            <w:pPr>
              <w:jc w:val="right"/>
              <w:rPr>
                <w:sz w:val="20"/>
                <w:szCs w:val="20"/>
              </w:rPr>
            </w:pPr>
            <w:r w:rsidRPr="00822B6F">
              <w:rPr>
                <w:sz w:val="20"/>
                <w:szCs w:val="20"/>
              </w:rPr>
              <w:t xml:space="preserve">Measure Cost </w:t>
            </w:r>
          </w:p>
        </w:tc>
        <w:tc>
          <w:tcPr>
            <w:tcW w:w="6949" w:type="dxa"/>
          </w:tcPr>
          <w:p w:rsidR="00A61271" w:rsidRPr="00476F40" w:rsidRDefault="00A61271">
            <w:pPr>
              <w:tabs>
                <w:tab w:val="right" w:pos="6732"/>
              </w:tabs>
              <w:rPr>
                <w:rFonts w:cs="Arial"/>
                <w:sz w:val="20"/>
                <w:szCs w:val="20"/>
              </w:rPr>
            </w:pPr>
            <w:r>
              <w:rPr>
                <w:rFonts w:cs="Arial"/>
                <w:sz w:val="20"/>
                <w:szCs w:val="20"/>
              </w:rPr>
              <w:tab/>
            </w:r>
          </w:p>
        </w:tc>
      </w:tr>
      <w:tr w:rsidR="00591D85" w:rsidTr="00D01B26">
        <w:trPr>
          <w:cantSplit/>
        </w:trPr>
        <w:tc>
          <w:tcPr>
            <w:tcW w:w="2627" w:type="dxa"/>
          </w:tcPr>
          <w:p w:rsidR="00591D85" w:rsidRPr="00822B6F" w:rsidRDefault="00D01B26" w:rsidP="00393EC8">
            <w:pPr>
              <w:jc w:val="right"/>
              <w:rPr>
                <w:sz w:val="20"/>
                <w:szCs w:val="20"/>
              </w:rPr>
            </w:pPr>
            <w:r>
              <w:rPr>
                <w:sz w:val="20"/>
                <w:szCs w:val="20"/>
              </w:rPr>
              <w:t>402029</w:t>
            </w:r>
          </w:p>
        </w:tc>
        <w:tc>
          <w:tcPr>
            <w:tcW w:w="6949" w:type="dxa"/>
          </w:tcPr>
          <w:p w:rsidR="00591D85" w:rsidRDefault="00D01B26" w:rsidP="00C048F4">
            <w:pPr>
              <w:tabs>
                <w:tab w:val="right" w:pos="6732"/>
              </w:tabs>
              <w:rPr>
                <w:rFonts w:cs="Arial"/>
                <w:sz w:val="20"/>
                <w:szCs w:val="20"/>
              </w:rPr>
            </w:pPr>
            <w:r>
              <w:rPr>
                <w:rFonts w:cs="Arial"/>
                <w:sz w:val="20"/>
                <w:szCs w:val="20"/>
              </w:rPr>
              <w:t>$16,641 (PG&amp;E F207</w:t>
            </w:r>
            <w:r w:rsidR="001752E5">
              <w:rPr>
                <w:rFonts w:cs="Arial"/>
                <w:sz w:val="20"/>
                <w:szCs w:val="20"/>
              </w:rPr>
              <w:t>)</w:t>
            </w:r>
            <w:r w:rsidR="00591D85">
              <w:rPr>
                <w:rFonts w:cs="Arial"/>
                <w:sz w:val="20"/>
                <w:szCs w:val="20"/>
              </w:rPr>
              <w:t xml:space="preserve"> </w:t>
            </w:r>
          </w:p>
        </w:tc>
      </w:tr>
    </w:tbl>
    <w:p w:rsidR="001B5D6C" w:rsidRDefault="001B5D6C" w:rsidP="00FE636E">
      <w:pPr>
        <w:spacing w:after="200" w:line="276" w:lineRule="auto"/>
      </w:pPr>
    </w:p>
    <w:p w:rsidR="00C228B0" w:rsidRPr="00FD3D43" w:rsidRDefault="00C228B0" w:rsidP="00567FEF"/>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454" w:rsidRDefault="00BC6454" w:rsidP="00FE520B">
      <w:r>
        <w:separator/>
      </w:r>
    </w:p>
  </w:endnote>
  <w:endnote w:type="continuationSeparator" w:id="0">
    <w:p w:rsidR="00BC6454" w:rsidRDefault="00BC6454"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E00" w:rsidRPr="00241A1F" w:rsidRDefault="00B57F32" w:rsidP="00241A1F">
    <w:pPr>
      <w:pStyle w:val="Footer"/>
      <w:rPr>
        <w:rFonts w:cstheme="minorHAnsi"/>
        <w:b/>
        <w:szCs w:val="22"/>
      </w:rPr>
    </w:pPr>
    <w:r>
      <w:rPr>
        <w:b/>
      </w:rPr>
      <w:t xml:space="preserve">Workpaper </w:t>
    </w:r>
    <w:r w:rsidR="00402095">
      <w:rPr>
        <w:b/>
      </w:rPr>
      <w:t>WPSDGENRCC0011</w:t>
    </w:r>
    <w:r>
      <w:rPr>
        <w:b/>
      </w:rPr>
      <w:t xml:space="preserve">, Revision </w:t>
    </w:r>
    <w:r w:rsidR="00402095">
      <w:rPr>
        <w:b/>
      </w:rPr>
      <w:t>3</w:t>
    </w:r>
    <w:r w:rsidR="00E372B8">
      <w:rPr>
        <w:b/>
      </w:rPr>
      <w:tab/>
    </w:r>
    <w:r w:rsidR="00E372B8">
      <w:rPr>
        <w:b/>
      </w:rPr>
      <w:tab/>
    </w:r>
    <w:r w:rsidR="00913CBB">
      <w:rPr>
        <w:rFonts w:cstheme="minorHAnsi"/>
        <w:b/>
        <w:szCs w:val="22"/>
      </w:rPr>
      <w:t>December 21</w:t>
    </w:r>
    <w:r w:rsidR="00E372B8" w:rsidRPr="00241A1F">
      <w:rPr>
        <w:rFonts w:cstheme="minorHAnsi"/>
        <w:b/>
        <w:szCs w:val="22"/>
      </w:rPr>
      <w:t>, 2016</w:t>
    </w:r>
  </w:p>
  <w:p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533F70">
      <w:rPr>
        <w:b/>
        <w:noProof/>
      </w:rPr>
      <w:t>4</w:t>
    </w:r>
    <w:r w:rsidR="00C7215A" w:rsidRPr="00C7215A">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454" w:rsidRDefault="00BC6454" w:rsidP="00FE520B">
      <w:r>
        <w:separator/>
      </w:r>
    </w:p>
  </w:footnote>
  <w:footnote w:type="continuationSeparator" w:id="0">
    <w:p w:rsidR="00BC6454" w:rsidRDefault="00BC6454" w:rsidP="00FE52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5E6" w:rsidRDefault="002C15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7">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8"/>
  </w:num>
  <w:num w:numId="6">
    <w:abstractNumId w:val="3"/>
  </w:num>
  <w:num w:numId="7">
    <w:abstractNumId w:val="12"/>
  </w:num>
  <w:num w:numId="8">
    <w:abstractNumId w:val="9"/>
  </w:num>
  <w:num w:numId="9">
    <w:abstractNumId w:val="4"/>
  </w:num>
  <w:num w:numId="10">
    <w:abstractNumId w:val="10"/>
  </w:num>
  <w:num w:numId="11">
    <w:abstractNumId w:val="11"/>
  </w:num>
  <w:num w:numId="12">
    <w:abstractNumId w:val="7"/>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revisionView w:markup="0"/>
  <w:defaultTabStop w:val="720"/>
  <w:characterSpacingControl w:val="doNotCompress"/>
  <w:hdrShapeDefaults>
    <o:shapedefaults v:ext="edit" spidmax="143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7C6"/>
    <w:rsid w:val="00004D4E"/>
    <w:rsid w:val="00023C32"/>
    <w:rsid w:val="00031221"/>
    <w:rsid w:val="00031BA0"/>
    <w:rsid w:val="00052743"/>
    <w:rsid w:val="00052CE4"/>
    <w:rsid w:val="00067315"/>
    <w:rsid w:val="000719BF"/>
    <w:rsid w:val="000C13AE"/>
    <w:rsid w:val="000E19CA"/>
    <w:rsid w:val="000E2CA6"/>
    <w:rsid w:val="000F6BA3"/>
    <w:rsid w:val="000F72EF"/>
    <w:rsid w:val="0012271D"/>
    <w:rsid w:val="00143843"/>
    <w:rsid w:val="00164181"/>
    <w:rsid w:val="001752E5"/>
    <w:rsid w:val="00194466"/>
    <w:rsid w:val="001A11C1"/>
    <w:rsid w:val="001A4875"/>
    <w:rsid w:val="001B1C8A"/>
    <w:rsid w:val="001B5D6C"/>
    <w:rsid w:val="001C3663"/>
    <w:rsid w:val="001D0AB9"/>
    <w:rsid w:val="001D57D7"/>
    <w:rsid w:val="001D6A64"/>
    <w:rsid w:val="00200310"/>
    <w:rsid w:val="00215828"/>
    <w:rsid w:val="00231DE1"/>
    <w:rsid w:val="00241A1F"/>
    <w:rsid w:val="00244447"/>
    <w:rsid w:val="00291B2B"/>
    <w:rsid w:val="002C1030"/>
    <w:rsid w:val="002C15E6"/>
    <w:rsid w:val="002D7B3E"/>
    <w:rsid w:val="002E0948"/>
    <w:rsid w:val="002E24BE"/>
    <w:rsid w:val="003071A2"/>
    <w:rsid w:val="00323C28"/>
    <w:rsid w:val="0032761E"/>
    <w:rsid w:val="00360CFA"/>
    <w:rsid w:val="003A0D2B"/>
    <w:rsid w:val="003A4277"/>
    <w:rsid w:val="003A7B4E"/>
    <w:rsid w:val="003B5DCF"/>
    <w:rsid w:val="003C2EE4"/>
    <w:rsid w:val="003D1C21"/>
    <w:rsid w:val="003E0DC8"/>
    <w:rsid w:val="003E122A"/>
    <w:rsid w:val="003E6E57"/>
    <w:rsid w:val="003E6FA5"/>
    <w:rsid w:val="003F1F0D"/>
    <w:rsid w:val="00402095"/>
    <w:rsid w:val="00402B3D"/>
    <w:rsid w:val="00413EF4"/>
    <w:rsid w:val="00431763"/>
    <w:rsid w:val="0044686E"/>
    <w:rsid w:val="004519B4"/>
    <w:rsid w:val="00467DB3"/>
    <w:rsid w:val="004A6215"/>
    <w:rsid w:val="004D0326"/>
    <w:rsid w:val="004D5D19"/>
    <w:rsid w:val="004E13B2"/>
    <w:rsid w:val="00533F70"/>
    <w:rsid w:val="005428E1"/>
    <w:rsid w:val="00555671"/>
    <w:rsid w:val="005613FC"/>
    <w:rsid w:val="00567FEF"/>
    <w:rsid w:val="00580664"/>
    <w:rsid w:val="0059117D"/>
    <w:rsid w:val="00591D85"/>
    <w:rsid w:val="0059663B"/>
    <w:rsid w:val="005B5614"/>
    <w:rsid w:val="005C1518"/>
    <w:rsid w:val="005D179E"/>
    <w:rsid w:val="005E18A1"/>
    <w:rsid w:val="00636490"/>
    <w:rsid w:val="00650C31"/>
    <w:rsid w:val="00650F0D"/>
    <w:rsid w:val="00653C4B"/>
    <w:rsid w:val="00666CDA"/>
    <w:rsid w:val="00684ABA"/>
    <w:rsid w:val="006875B3"/>
    <w:rsid w:val="00695478"/>
    <w:rsid w:val="006A3E63"/>
    <w:rsid w:val="006B0D5C"/>
    <w:rsid w:val="006D03F9"/>
    <w:rsid w:val="00707736"/>
    <w:rsid w:val="00711B58"/>
    <w:rsid w:val="00727839"/>
    <w:rsid w:val="00762D81"/>
    <w:rsid w:val="00785AC8"/>
    <w:rsid w:val="00786E32"/>
    <w:rsid w:val="00787D7C"/>
    <w:rsid w:val="00792928"/>
    <w:rsid w:val="00797B54"/>
    <w:rsid w:val="007D1F1E"/>
    <w:rsid w:val="007D3A21"/>
    <w:rsid w:val="0081521B"/>
    <w:rsid w:val="00856FA4"/>
    <w:rsid w:val="00862113"/>
    <w:rsid w:val="008724D6"/>
    <w:rsid w:val="008775D7"/>
    <w:rsid w:val="00884B9C"/>
    <w:rsid w:val="008A1557"/>
    <w:rsid w:val="008A1D1C"/>
    <w:rsid w:val="008A4224"/>
    <w:rsid w:val="008C0741"/>
    <w:rsid w:val="008C25DC"/>
    <w:rsid w:val="008C2C8A"/>
    <w:rsid w:val="008D0B3C"/>
    <w:rsid w:val="008E0850"/>
    <w:rsid w:val="008E5CD5"/>
    <w:rsid w:val="00910D54"/>
    <w:rsid w:val="00913CBB"/>
    <w:rsid w:val="0093657B"/>
    <w:rsid w:val="00950249"/>
    <w:rsid w:val="00957C01"/>
    <w:rsid w:val="00986A83"/>
    <w:rsid w:val="009C3F2D"/>
    <w:rsid w:val="009C6AE8"/>
    <w:rsid w:val="009D3417"/>
    <w:rsid w:val="009F3770"/>
    <w:rsid w:val="00A051D9"/>
    <w:rsid w:val="00A3401B"/>
    <w:rsid w:val="00A61271"/>
    <w:rsid w:val="00A75EDC"/>
    <w:rsid w:val="00AA43C4"/>
    <w:rsid w:val="00B471CC"/>
    <w:rsid w:val="00B47B58"/>
    <w:rsid w:val="00B57F32"/>
    <w:rsid w:val="00B61FCD"/>
    <w:rsid w:val="00B75260"/>
    <w:rsid w:val="00B9234D"/>
    <w:rsid w:val="00B9551F"/>
    <w:rsid w:val="00BB2D80"/>
    <w:rsid w:val="00BC6454"/>
    <w:rsid w:val="00C048F4"/>
    <w:rsid w:val="00C06B9E"/>
    <w:rsid w:val="00C15F66"/>
    <w:rsid w:val="00C228B0"/>
    <w:rsid w:val="00C23CAB"/>
    <w:rsid w:val="00C414A6"/>
    <w:rsid w:val="00C44E5A"/>
    <w:rsid w:val="00C462C1"/>
    <w:rsid w:val="00C54AC6"/>
    <w:rsid w:val="00C7215A"/>
    <w:rsid w:val="00C75C56"/>
    <w:rsid w:val="00CA48A0"/>
    <w:rsid w:val="00CB10BC"/>
    <w:rsid w:val="00CF295D"/>
    <w:rsid w:val="00CF2ABA"/>
    <w:rsid w:val="00D01B26"/>
    <w:rsid w:val="00D60240"/>
    <w:rsid w:val="00D73723"/>
    <w:rsid w:val="00DA5D17"/>
    <w:rsid w:val="00DB544A"/>
    <w:rsid w:val="00DB71F1"/>
    <w:rsid w:val="00DC7243"/>
    <w:rsid w:val="00DE1C5D"/>
    <w:rsid w:val="00DE364E"/>
    <w:rsid w:val="00E048EA"/>
    <w:rsid w:val="00E05871"/>
    <w:rsid w:val="00E05B9C"/>
    <w:rsid w:val="00E159C8"/>
    <w:rsid w:val="00E165FC"/>
    <w:rsid w:val="00E372B8"/>
    <w:rsid w:val="00E408A9"/>
    <w:rsid w:val="00E56CE7"/>
    <w:rsid w:val="00E6385A"/>
    <w:rsid w:val="00E6631C"/>
    <w:rsid w:val="00E733C7"/>
    <w:rsid w:val="00E76853"/>
    <w:rsid w:val="00E84938"/>
    <w:rsid w:val="00E859F0"/>
    <w:rsid w:val="00EC38B0"/>
    <w:rsid w:val="00ED3B34"/>
    <w:rsid w:val="00ED65C0"/>
    <w:rsid w:val="00EE38DA"/>
    <w:rsid w:val="00EE6CFE"/>
    <w:rsid w:val="00F117C6"/>
    <w:rsid w:val="00F77C08"/>
    <w:rsid w:val="00F855DD"/>
    <w:rsid w:val="00FA3359"/>
    <w:rsid w:val="00FA3AEA"/>
    <w:rsid w:val="00FB4B16"/>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3071A2"/>
    <w:rPr>
      <w:rFonts w:ascii="Arial" w:hAnsi="Arial"/>
      <w:sz w:val="20"/>
      <w:szCs w:val="20"/>
    </w:rPr>
  </w:style>
  <w:style w:type="character" w:customStyle="1" w:styleId="EndnoteTextChar">
    <w:name w:val="Endnote Text Char"/>
    <w:basedOn w:val="DefaultParagraphFont"/>
    <w:link w:val="EndnoteText"/>
    <w:semiHidden/>
    <w:rsid w:val="003071A2"/>
    <w:rPr>
      <w:rFonts w:ascii="Arial" w:eastAsia="Times New Roman" w:hAnsi="Arial" w:cs="Times New Roman"/>
      <w:sz w:val="20"/>
      <w:szCs w:val="20"/>
    </w:rPr>
  </w:style>
  <w:style w:type="character" w:styleId="EndnoteReference">
    <w:name w:val="endnote reference"/>
    <w:semiHidden/>
    <w:rsid w:val="003071A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3071A2"/>
    <w:rPr>
      <w:rFonts w:ascii="Arial" w:hAnsi="Arial"/>
      <w:sz w:val="20"/>
      <w:szCs w:val="20"/>
    </w:rPr>
  </w:style>
  <w:style w:type="character" w:customStyle="1" w:styleId="EndnoteTextChar">
    <w:name w:val="Endnote Text Char"/>
    <w:basedOn w:val="DefaultParagraphFont"/>
    <w:link w:val="EndnoteText"/>
    <w:semiHidden/>
    <w:rsid w:val="003071A2"/>
    <w:rPr>
      <w:rFonts w:ascii="Arial" w:eastAsia="Times New Roman" w:hAnsi="Arial" w:cs="Times New Roman"/>
      <w:sz w:val="20"/>
      <w:szCs w:val="20"/>
    </w:rPr>
  </w:style>
  <w:style w:type="character" w:styleId="EndnoteReference">
    <w:name w:val="endnote reference"/>
    <w:semiHidden/>
    <w:rsid w:val="003071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6F09F5-DC42-4E86-BE3F-C4EDAD414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661</Words>
  <Characters>3769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2016-12-22T18:17:00Z</dcterms:created>
  <dcterms:modified xsi:type="dcterms:W3CDTF">2016-12-30T23:30:00Z</dcterms:modified>
</cp:coreProperties>
</file>