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A" w:rsidRPr="00500C4E" w:rsidRDefault="00E6385A" w:rsidP="000E19CA">
      <w:pPr>
        <w:pStyle w:val="WPnumber"/>
      </w:pPr>
      <w:bookmarkStart w:id="0" w:name="_Toc153189647"/>
      <w:r>
        <w:t xml:space="preserve">Short Form </w:t>
      </w:r>
      <w:r w:rsidR="00F117C6" w:rsidRPr="00500C4E">
        <w:t>Work Paper</w:t>
      </w:r>
      <w:r>
        <w:t xml:space="preserve"> </w:t>
      </w:r>
      <w:r w:rsidR="00FA3359" w:rsidRPr="00FA3359">
        <w:t>WPSDGENR</w:t>
      </w:r>
      <w:r w:rsidR="008D2A13">
        <w:t>CC0001</w:t>
      </w:r>
    </w:p>
    <w:p w:rsidR="00E6385A" w:rsidRPr="00500C4E" w:rsidRDefault="00E6385A" w:rsidP="00F117C6">
      <w:pPr>
        <w:pStyle w:val="WPnumber"/>
      </w:pPr>
      <w:r>
        <w:tab/>
      </w:r>
      <w:r w:rsidR="000E19CA">
        <w:rPr>
          <w:rStyle w:val="CaptionChar"/>
          <w:b/>
          <w:bCs w:val="0"/>
        </w:rPr>
        <w:t xml:space="preserve">Revision </w:t>
      </w:r>
      <w:r w:rsidR="006875B3">
        <w:rPr>
          <w:rStyle w:val="CaptionChar"/>
          <w:b/>
          <w:bCs w:val="0"/>
        </w:rPr>
        <w:t>4</w:t>
      </w:r>
    </w:p>
    <w:bookmarkEnd w:id="0"/>
    <w:p w:rsidR="00F117C6" w:rsidRPr="00500C4E" w:rsidRDefault="00F117C6" w:rsidP="00F117C6">
      <w:pPr>
        <w:jc w:val="right"/>
        <w:rPr>
          <w:rFonts w:cstheme="minorHAnsi"/>
          <w:b/>
          <w:sz w:val="48"/>
          <w:szCs w:val="48"/>
        </w:rPr>
      </w:pPr>
    </w:p>
    <w:p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E19CA" w:rsidRDefault="008D2A13" w:rsidP="00884B9C">
      <w:pPr>
        <w:rPr>
          <w:rFonts w:cstheme="minorHAnsi"/>
          <w:b/>
          <w:sz w:val="28"/>
          <w:szCs w:val="28"/>
        </w:rPr>
      </w:pPr>
      <w:r>
        <w:rPr>
          <w:rFonts w:ascii="Arial" w:hAnsi="Arial" w:cs="Arial"/>
          <w:b/>
          <w:sz w:val="72"/>
          <w:szCs w:val="72"/>
        </w:rPr>
        <w:t>Commercial Steam</w:t>
      </w:r>
      <w:r w:rsidR="009269CE">
        <w:rPr>
          <w:rFonts w:ascii="Arial" w:hAnsi="Arial" w:cs="Arial"/>
          <w:b/>
          <w:sz w:val="72"/>
          <w:szCs w:val="72"/>
        </w:rPr>
        <w:t xml:space="preserve"> Cooker</w:t>
      </w:r>
      <w:r w:rsidR="006875B3">
        <w:rPr>
          <w:rFonts w:ascii="Arial" w:hAnsi="Arial" w:cs="Arial"/>
          <w:b/>
          <w:sz w:val="72"/>
          <w:szCs w:val="72"/>
        </w:rPr>
        <w:t>-Electric and Gas</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8D2A13" w:rsidP="00241A1F">
      <w:pPr>
        <w:jc w:val="right"/>
        <w:rPr>
          <w:rFonts w:cstheme="minorHAnsi"/>
          <w:b/>
          <w:sz w:val="28"/>
          <w:szCs w:val="28"/>
        </w:rPr>
      </w:pPr>
      <w:r>
        <w:rPr>
          <w:rFonts w:cstheme="minorHAnsi"/>
          <w:b/>
          <w:sz w:val="28"/>
          <w:szCs w:val="28"/>
        </w:rPr>
        <w:t>December</w:t>
      </w:r>
      <w:r w:rsidR="003E6E57">
        <w:rPr>
          <w:rFonts w:cstheme="minorHAnsi"/>
          <w:b/>
          <w:sz w:val="28"/>
          <w:szCs w:val="28"/>
        </w:rPr>
        <w:t xml:space="preserve"> </w:t>
      </w:r>
      <w:r w:rsidR="00653B2E">
        <w:rPr>
          <w:rFonts w:cstheme="minorHAnsi"/>
          <w:b/>
          <w:sz w:val="28"/>
          <w:szCs w:val="28"/>
        </w:rPr>
        <w:t>27</w:t>
      </w:r>
      <w:bookmarkStart w:id="1" w:name="_GoBack"/>
      <w:bookmarkEnd w:id="1"/>
      <w:r w:rsidR="000E19CA">
        <w:rPr>
          <w:rFonts w:cstheme="minorHAnsi"/>
          <w:b/>
          <w:sz w:val="28"/>
          <w:szCs w:val="28"/>
        </w:rPr>
        <w:t>, 2016</w:t>
      </w:r>
    </w:p>
    <w:p w:rsidR="00E372B8" w:rsidRPr="000F72EF" w:rsidRDefault="00E372B8" w:rsidP="00241A1F">
      <w:pPr>
        <w:jc w:val="right"/>
        <w:rPr>
          <w:rFonts w:cstheme="minorHAnsi"/>
          <w:b/>
          <w:sz w:val="72"/>
          <w:szCs w:val="72"/>
        </w:rPr>
        <w:sectPr w:rsidR="00E372B8" w:rsidRPr="000F72EF" w:rsidSect="00241A1F">
          <w:footerReference w:type="default" r:id="rId10"/>
          <w:pgSz w:w="12240" w:h="15840"/>
          <w:pgMar w:top="1440" w:right="1440" w:bottom="1440" w:left="1440" w:header="720" w:footer="720" w:gutter="0"/>
          <w:cols w:space="720"/>
          <w:titlePg/>
          <w:docGrid w:linePitch="360"/>
        </w:sectPr>
      </w:pPr>
    </w:p>
    <w:p w:rsidR="00FE520B" w:rsidRDefault="0059117D" w:rsidP="00FE520B">
      <w:pPr>
        <w:pStyle w:val="Heading1"/>
      </w:pPr>
      <w:r>
        <w:lastRenderedPageBreak/>
        <w:t xml:space="preserve">SDG&amp;E </w:t>
      </w:r>
      <w:r w:rsidR="00323C28">
        <w:t xml:space="preserve">Commercial </w:t>
      </w:r>
      <w:r w:rsidR="009269CE">
        <w:t>Steam Cooker</w:t>
      </w:r>
      <w:r w:rsidR="00323C28">
        <w:t>-Electric and Gas</w:t>
      </w:r>
      <w:r w:rsidR="00884B9C">
        <w:t xml:space="preserve"> </w:t>
      </w:r>
    </w:p>
    <w:p w:rsidR="00413EF4" w:rsidRDefault="00413EF4" w:rsidP="00413EF4">
      <w:pPr>
        <w:pStyle w:val="Heading2"/>
      </w:pPr>
      <w:r>
        <w:t>Introduction</w:t>
      </w:r>
    </w:p>
    <w:p w:rsidR="005E18A1" w:rsidRDefault="00C23CAB" w:rsidP="00555671">
      <w:pPr>
        <w:jc w:val="both"/>
      </w:pPr>
      <w:r>
        <w:t>This short form workpaper documents (</w:t>
      </w:r>
      <w:r w:rsidR="008E5CD5">
        <w:t>WP</w:t>
      </w:r>
      <w:r>
        <w:t xml:space="preserve">) the values adopted from PGE’s </w:t>
      </w:r>
      <w:r w:rsidR="008E5CD5">
        <w:t>WP</w:t>
      </w:r>
      <w:r>
        <w:t xml:space="preserve"> entitled “</w:t>
      </w:r>
      <w:r w:rsidR="009269CE">
        <w:t>Commercial Steam Cookers</w:t>
      </w:r>
      <w:r w:rsidR="006875B3">
        <w:t>-Electric and Gas</w:t>
      </w:r>
      <w:r w:rsidR="005E18A1">
        <w:t>” (</w:t>
      </w:r>
      <w:r w:rsidR="009269CE">
        <w:t xml:space="preserve">PGECOFST104 R6 Steam Cookers Comm </w:t>
      </w:r>
      <w:r w:rsidR="006875B3">
        <w:t>MD)</w:t>
      </w:r>
      <w:r w:rsidR="005E18A1">
        <w:t xml:space="preserve">).  SDG&amp;E </w:t>
      </w:r>
      <w:r w:rsidR="00555671">
        <w:t>a</w:t>
      </w:r>
      <w:r w:rsidR="005E18A1">
        <w:t>d</w:t>
      </w:r>
      <w:r w:rsidR="00555671">
        <w:t>op</w:t>
      </w:r>
      <w:r w:rsidR="005E18A1">
        <w:t xml:space="preserve">ts all of the values in </w:t>
      </w:r>
      <w:r w:rsidR="005E18A1" w:rsidRPr="005E18A1">
        <w:t>PGECO</w:t>
      </w:r>
      <w:r w:rsidR="009269CE">
        <w:t>FST104</w:t>
      </w:r>
      <w:r w:rsidR="006875B3">
        <w:t xml:space="preserve"> R6 </w:t>
      </w:r>
      <w:r w:rsidR="009269CE">
        <w:t xml:space="preserve">Steam Cookers Comm </w:t>
      </w:r>
      <w:r w:rsidR="006875B3">
        <w:t>MD</w:t>
      </w:r>
      <w:r w:rsidR="005E18A1">
        <w:t>, with</w:t>
      </w:r>
      <w:r w:rsidR="009269CE">
        <w:t xml:space="preserve"> no exceptions.</w:t>
      </w:r>
    </w:p>
    <w:p w:rsidR="005E18A1" w:rsidRDefault="005E18A1" w:rsidP="00555671">
      <w:pPr>
        <w:jc w:val="both"/>
      </w:pPr>
    </w:p>
    <w:p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5"/>
        <w:gridCol w:w="1310"/>
        <w:gridCol w:w="1783"/>
        <w:gridCol w:w="5958"/>
      </w:tblGrid>
      <w:tr w:rsidR="00B57F32" w:rsidRPr="00500C4E" w:rsidTr="00241A1F">
        <w:trPr>
          <w:trHeight w:val="20"/>
        </w:trPr>
        <w:tc>
          <w:tcPr>
            <w:tcW w:w="274" w:type="pct"/>
            <w:shd w:val="clear" w:color="auto" w:fill="D9D9D9" w:themeFill="background1" w:themeFillShade="D9"/>
          </w:tcPr>
          <w:p w:rsidR="00B57F32" w:rsidRPr="000E2B6B" w:rsidRDefault="00B57F32" w:rsidP="00393EC8">
            <w:pPr>
              <w:rPr>
                <w:rStyle w:val="Strong"/>
                <w:bCs w:val="0"/>
              </w:rPr>
            </w:pPr>
            <w:r w:rsidRPr="000E2B6B">
              <w:rPr>
                <w:rStyle w:val="Strong"/>
              </w:rPr>
              <w:t>Rev</w:t>
            </w:r>
          </w:p>
        </w:tc>
        <w:tc>
          <w:tcPr>
            <w:tcW w:w="684" w:type="pct"/>
            <w:shd w:val="clear" w:color="auto" w:fill="D9D9D9" w:themeFill="background1" w:themeFillShade="D9"/>
          </w:tcPr>
          <w:p w:rsidR="00B57F32" w:rsidRPr="000E2B6B" w:rsidRDefault="00B57F32" w:rsidP="00393EC8">
            <w:pPr>
              <w:rPr>
                <w:rStyle w:val="Strong"/>
                <w:bCs w:val="0"/>
              </w:rPr>
            </w:pPr>
            <w:r w:rsidRPr="000E2B6B">
              <w:rPr>
                <w:rStyle w:val="Strong"/>
              </w:rPr>
              <w:t>Date</w:t>
            </w:r>
          </w:p>
        </w:tc>
        <w:tc>
          <w:tcPr>
            <w:tcW w:w="931" w:type="pct"/>
            <w:shd w:val="clear" w:color="auto" w:fill="D9D9D9" w:themeFill="background1" w:themeFillShade="D9"/>
          </w:tcPr>
          <w:p w:rsidR="00B57F32" w:rsidRPr="000E2B6B" w:rsidRDefault="00B57F32" w:rsidP="00393EC8">
            <w:pPr>
              <w:rPr>
                <w:rStyle w:val="Strong"/>
                <w:bCs w:val="0"/>
              </w:rPr>
            </w:pPr>
            <w:r w:rsidRPr="000E2B6B">
              <w:rPr>
                <w:rStyle w:val="Strong"/>
              </w:rPr>
              <w:t>Author</w:t>
            </w:r>
          </w:p>
        </w:tc>
        <w:tc>
          <w:tcPr>
            <w:tcW w:w="3111" w:type="pct"/>
            <w:shd w:val="clear" w:color="auto" w:fill="D9D9D9" w:themeFill="background1" w:themeFillShade="D9"/>
          </w:tcPr>
          <w:p w:rsidR="00B57F32" w:rsidRPr="000E2B6B" w:rsidRDefault="00B57F32" w:rsidP="00393EC8">
            <w:pPr>
              <w:rPr>
                <w:rStyle w:val="Strong"/>
                <w:bCs w:val="0"/>
              </w:rPr>
            </w:pPr>
            <w:r w:rsidRPr="000E2B6B">
              <w:rPr>
                <w:rStyle w:val="Strong"/>
              </w:rPr>
              <w:t>Summary of Changes</w:t>
            </w:r>
          </w:p>
        </w:tc>
      </w:tr>
      <w:tr w:rsidR="00884B9C" w:rsidRPr="00500C4E" w:rsidTr="00241A1F">
        <w:trPr>
          <w:trHeight w:val="20"/>
        </w:trPr>
        <w:tc>
          <w:tcPr>
            <w:tcW w:w="274" w:type="pct"/>
          </w:tcPr>
          <w:p w:rsidR="00884B9C" w:rsidRPr="000E2B6B" w:rsidRDefault="00762D81">
            <w:pPr>
              <w:jc w:val="center"/>
              <w:rPr>
                <w:rFonts w:cstheme="minorHAnsi"/>
                <w:szCs w:val="20"/>
              </w:rPr>
            </w:pPr>
            <w:r>
              <w:t>0</w:t>
            </w:r>
          </w:p>
        </w:tc>
        <w:tc>
          <w:tcPr>
            <w:tcW w:w="684" w:type="pct"/>
          </w:tcPr>
          <w:p w:rsidR="00884B9C" w:rsidRPr="000E2B6B" w:rsidRDefault="00762D81" w:rsidP="00393EC8">
            <w:pPr>
              <w:jc w:val="center"/>
              <w:rPr>
                <w:rFonts w:cstheme="minorHAnsi"/>
                <w:szCs w:val="20"/>
              </w:rPr>
            </w:pPr>
            <w:r>
              <w:rPr>
                <w:szCs w:val="20"/>
              </w:rPr>
              <w:t>12/11/2007</w:t>
            </w:r>
          </w:p>
        </w:tc>
        <w:tc>
          <w:tcPr>
            <w:tcW w:w="931" w:type="pct"/>
          </w:tcPr>
          <w:p w:rsidR="00884B9C" w:rsidRPr="000E2B6B" w:rsidRDefault="00762D81" w:rsidP="00393EC8">
            <w:pPr>
              <w:rPr>
                <w:rFonts w:cstheme="minorHAnsi"/>
                <w:szCs w:val="20"/>
              </w:rPr>
            </w:pPr>
            <w:r>
              <w:rPr>
                <w:rFonts w:cstheme="minorHAnsi"/>
                <w:szCs w:val="20"/>
              </w:rPr>
              <w:t xml:space="preserve">David </w:t>
            </w:r>
            <w:proofErr w:type="spellStart"/>
            <w:r>
              <w:rPr>
                <w:rFonts w:cstheme="minorHAnsi"/>
                <w:szCs w:val="20"/>
              </w:rPr>
              <w:t>Zabrowski</w:t>
            </w:r>
            <w:proofErr w:type="spellEnd"/>
            <w:r w:rsidR="00796174">
              <w:rPr>
                <w:rFonts w:cstheme="minorHAnsi"/>
                <w:szCs w:val="20"/>
              </w:rPr>
              <w:t>/ Fisher-Nickel, Inc.</w:t>
            </w:r>
          </w:p>
        </w:tc>
        <w:tc>
          <w:tcPr>
            <w:tcW w:w="3111" w:type="pct"/>
          </w:tcPr>
          <w:p w:rsidR="00884B9C" w:rsidRPr="005734A4" w:rsidRDefault="00796174" w:rsidP="00762D81">
            <w:pPr>
              <w:rPr>
                <w:rFonts w:cstheme="minorHAnsi"/>
                <w:szCs w:val="20"/>
              </w:rPr>
            </w:pPr>
            <w:r w:rsidRPr="00796174">
              <w:rPr>
                <w:bCs/>
                <w:szCs w:val="20"/>
              </w:rPr>
              <w:t>Original work paper: Commercial Steam Cooker PGECOFST104 R0.doc</w:t>
            </w:r>
          </w:p>
        </w:tc>
      </w:tr>
      <w:tr w:rsidR="00884B9C" w:rsidRPr="00500C4E" w:rsidTr="00241A1F">
        <w:trPr>
          <w:trHeight w:val="20"/>
        </w:trPr>
        <w:tc>
          <w:tcPr>
            <w:tcW w:w="274" w:type="pct"/>
          </w:tcPr>
          <w:p w:rsidR="00884B9C" w:rsidRPr="000E2B6B" w:rsidRDefault="00762D81">
            <w:pPr>
              <w:jc w:val="center"/>
              <w:rPr>
                <w:rStyle w:val="Strong"/>
                <w:b w:val="0"/>
              </w:rPr>
            </w:pPr>
            <w:r>
              <w:t>1</w:t>
            </w:r>
          </w:p>
        </w:tc>
        <w:tc>
          <w:tcPr>
            <w:tcW w:w="684" w:type="pct"/>
          </w:tcPr>
          <w:p w:rsidR="00884B9C" w:rsidRPr="000E2B6B" w:rsidRDefault="00796174" w:rsidP="00393EC8">
            <w:pPr>
              <w:jc w:val="center"/>
              <w:rPr>
                <w:rStyle w:val="Strong"/>
                <w:b w:val="0"/>
              </w:rPr>
            </w:pPr>
            <w:r w:rsidRPr="00796174">
              <w:rPr>
                <w:szCs w:val="20"/>
              </w:rPr>
              <w:t>06/01/2009</w:t>
            </w:r>
          </w:p>
        </w:tc>
        <w:tc>
          <w:tcPr>
            <w:tcW w:w="931" w:type="pct"/>
          </w:tcPr>
          <w:p w:rsidR="00884B9C" w:rsidRPr="000E2B6B" w:rsidRDefault="00796174" w:rsidP="00393EC8">
            <w:pPr>
              <w:rPr>
                <w:rStyle w:val="Strong"/>
                <w:b w:val="0"/>
              </w:rPr>
            </w:pPr>
            <w:r w:rsidRPr="00796174">
              <w:rPr>
                <w:szCs w:val="20"/>
              </w:rPr>
              <w:t xml:space="preserve">David </w:t>
            </w:r>
            <w:proofErr w:type="spellStart"/>
            <w:r w:rsidRPr="00796174">
              <w:rPr>
                <w:szCs w:val="20"/>
              </w:rPr>
              <w:t>Zabrowski</w:t>
            </w:r>
            <w:proofErr w:type="spellEnd"/>
            <w:r w:rsidRPr="00796174">
              <w:rPr>
                <w:szCs w:val="20"/>
              </w:rPr>
              <w:t xml:space="preserve"> / Fisher-Nickel, Inc.</w:t>
            </w:r>
          </w:p>
        </w:tc>
        <w:tc>
          <w:tcPr>
            <w:tcW w:w="3111" w:type="pct"/>
          </w:tcPr>
          <w:p w:rsidR="00762D81" w:rsidRPr="00762D81" w:rsidRDefault="00796174" w:rsidP="00762D81">
            <w:pPr>
              <w:rPr>
                <w:rStyle w:val="Strong"/>
                <w:b w:val="0"/>
                <w:szCs w:val="20"/>
              </w:rPr>
            </w:pPr>
            <w:r w:rsidRPr="00796174">
              <w:rPr>
                <w:bCs/>
                <w:szCs w:val="20"/>
              </w:rPr>
              <w:t>Changes to EUL, NTG language and references, costs  updated</w:t>
            </w:r>
          </w:p>
        </w:tc>
      </w:tr>
      <w:tr w:rsidR="00DB544A" w:rsidRPr="00500C4E" w:rsidTr="00241A1F">
        <w:trPr>
          <w:trHeight w:val="20"/>
        </w:trPr>
        <w:tc>
          <w:tcPr>
            <w:tcW w:w="274" w:type="pct"/>
          </w:tcPr>
          <w:p w:rsidR="00DB544A" w:rsidRPr="00F2079F" w:rsidRDefault="00DB544A" w:rsidP="008C2C8A">
            <w:pPr>
              <w:jc w:val="center"/>
            </w:pPr>
            <w:r>
              <w:t>2</w:t>
            </w:r>
          </w:p>
        </w:tc>
        <w:tc>
          <w:tcPr>
            <w:tcW w:w="684" w:type="pct"/>
          </w:tcPr>
          <w:p w:rsidR="00DB544A" w:rsidRDefault="00796174" w:rsidP="00393EC8">
            <w:pPr>
              <w:jc w:val="center"/>
              <w:rPr>
                <w:szCs w:val="20"/>
              </w:rPr>
            </w:pPr>
            <w:r w:rsidRPr="00796174">
              <w:rPr>
                <w:szCs w:val="20"/>
              </w:rPr>
              <w:t>07/17/2010</w:t>
            </w:r>
          </w:p>
        </w:tc>
        <w:tc>
          <w:tcPr>
            <w:tcW w:w="931" w:type="pct"/>
          </w:tcPr>
          <w:p w:rsidR="00DB544A" w:rsidRDefault="00796174" w:rsidP="00393EC8">
            <w:pPr>
              <w:rPr>
                <w:szCs w:val="20"/>
              </w:rPr>
            </w:pPr>
            <w:r w:rsidRPr="00796174">
              <w:rPr>
                <w:szCs w:val="20"/>
              </w:rPr>
              <w:t>Lucie Sidibe / SDG&amp;E</w:t>
            </w:r>
          </w:p>
        </w:tc>
        <w:tc>
          <w:tcPr>
            <w:tcW w:w="3111" w:type="pct"/>
          </w:tcPr>
          <w:p w:rsidR="00796174" w:rsidRPr="00796174" w:rsidRDefault="00796174" w:rsidP="00796174">
            <w:pPr>
              <w:rPr>
                <w:bCs/>
                <w:szCs w:val="20"/>
              </w:rPr>
            </w:pPr>
            <w:r w:rsidRPr="00796174">
              <w:rPr>
                <w:bCs/>
                <w:szCs w:val="20"/>
              </w:rPr>
              <w:t>Adopted from PGEFST104, Revision 2 (refer to attachment for original work paper)</w:t>
            </w:r>
          </w:p>
          <w:p w:rsidR="00796174" w:rsidRPr="00796174" w:rsidRDefault="00796174" w:rsidP="00796174">
            <w:pPr>
              <w:rPr>
                <w:bCs/>
                <w:szCs w:val="20"/>
              </w:rPr>
            </w:pPr>
            <w:r w:rsidRPr="00796174">
              <w:rPr>
                <w:bCs/>
                <w:szCs w:val="20"/>
              </w:rPr>
              <w:t>Summary of changes:</w:t>
            </w:r>
          </w:p>
          <w:p w:rsidR="00796174" w:rsidRPr="00796174" w:rsidRDefault="00796174" w:rsidP="00796174">
            <w:pPr>
              <w:rPr>
                <w:bCs/>
                <w:szCs w:val="20"/>
              </w:rPr>
            </w:pPr>
            <w:r w:rsidRPr="00796174">
              <w:rPr>
                <w:bCs/>
                <w:szCs w:val="20"/>
              </w:rPr>
              <w:t>1-Work Paper run ID was changed to mirror SDGE cataloging needs.</w:t>
            </w:r>
          </w:p>
          <w:p w:rsidR="00762D81" w:rsidRPr="006A478E" w:rsidRDefault="00796174" w:rsidP="00796174">
            <w:pPr>
              <w:rPr>
                <w:bCs/>
                <w:szCs w:val="20"/>
              </w:rPr>
            </w:pPr>
            <w:r w:rsidRPr="00796174">
              <w:rPr>
                <w:bCs/>
                <w:szCs w:val="20"/>
              </w:rPr>
              <w:t>2-SDGE Measure code was added</w:t>
            </w:r>
          </w:p>
        </w:tc>
      </w:tr>
      <w:tr w:rsidR="00762D81" w:rsidRPr="00500C4E" w:rsidTr="00241A1F">
        <w:trPr>
          <w:trHeight w:val="20"/>
        </w:trPr>
        <w:tc>
          <w:tcPr>
            <w:tcW w:w="274" w:type="pct"/>
          </w:tcPr>
          <w:p w:rsidR="00762D81" w:rsidRDefault="00762D81" w:rsidP="008C2C8A">
            <w:pPr>
              <w:jc w:val="center"/>
            </w:pPr>
            <w:r>
              <w:t>3</w:t>
            </w:r>
          </w:p>
        </w:tc>
        <w:tc>
          <w:tcPr>
            <w:tcW w:w="684" w:type="pct"/>
          </w:tcPr>
          <w:p w:rsidR="00762D81" w:rsidRDefault="00796174" w:rsidP="00393EC8">
            <w:pPr>
              <w:jc w:val="center"/>
              <w:rPr>
                <w:szCs w:val="20"/>
              </w:rPr>
            </w:pPr>
            <w:r w:rsidRPr="00796174">
              <w:rPr>
                <w:szCs w:val="20"/>
              </w:rPr>
              <w:t>06/15/2012</w:t>
            </w:r>
          </w:p>
        </w:tc>
        <w:tc>
          <w:tcPr>
            <w:tcW w:w="931" w:type="pct"/>
          </w:tcPr>
          <w:p w:rsidR="00762D81" w:rsidRDefault="00796174" w:rsidP="00393EC8">
            <w:pPr>
              <w:rPr>
                <w:szCs w:val="20"/>
              </w:rPr>
            </w:pPr>
            <w:r w:rsidRPr="00796174">
              <w:rPr>
                <w:szCs w:val="20"/>
              </w:rPr>
              <w:t>Max Twogood / SDG&amp;E</w:t>
            </w:r>
          </w:p>
        </w:tc>
        <w:tc>
          <w:tcPr>
            <w:tcW w:w="3111" w:type="pct"/>
          </w:tcPr>
          <w:p w:rsidR="00762D81" w:rsidRDefault="00796174" w:rsidP="00DB544A">
            <w:pPr>
              <w:rPr>
                <w:bCs/>
                <w:szCs w:val="20"/>
              </w:rPr>
            </w:pPr>
            <w:r w:rsidRPr="00796174">
              <w:rPr>
                <w:bCs/>
                <w:szCs w:val="20"/>
              </w:rPr>
              <w:t>Adopted from: PGECOFST104 R4 Steamer R4 May 22 2012.doc, dated May 22, 2012. Revised NTGR with DEER 2011. Revised approvers with SDGE management</w:t>
            </w:r>
          </w:p>
        </w:tc>
      </w:tr>
      <w:tr w:rsidR="00762D81" w:rsidRPr="00500C4E" w:rsidTr="00241A1F">
        <w:trPr>
          <w:trHeight w:val="20"/>
        </w:trPr>
        <w:tc>
          <w:tcPr>
            <w:tcW w:w="274" w:type="pct"/>
          </w:tcPr>
          <w:p w:rsidR="00762D81" w:rsidRDefault="00762D81" w:rsidP="008C2C8A">
            <w:pPr>
              <w:jc w:val="center"/>
            </w:pPr>
            <w:r>
              <w:t>3.1</w:t>
            </w:r>
          </w:p>
        </w:tc>
        <w:tc>
          <w:tcPr>
            <w:tcW w:w="684" w:type="pct"/>
          </w:tcPr>
          <w:p w:rsidR="00762D81" w:rsidRDefault="00796174" w:rsidP="00393EC8">
            <w:pPr>
              <w:jc w:val="center"/>
              <w:rPr>
                <w:szCs w:val="20"/>
              </w:rPr>
            </w:pPr>
            <w:r w:rsidRPr="00796174">
              <w:rPr>
                <w:szCs w:val="20"/>
              </w:rPr>
              <w:t>06/19/2014</w:t>
            </w:r>
          </w:p>
        </w:tc>
        <w:tc>
          <w:tcPr>
            <w:tcW w:w="931" w:type="pct"/>
          </w:tcPr>
          <w:p w:rsidR="00762D81" w:rsidRDefault="00762D81" w:rsidP="00393EC8">
            <w:pPr>
              <w:rPr>
                <w:szCs w:val="20"/>
              </w:rPr>
            </w:pPr>
            <w:r>
              <w:rPr>
                <w:szCs w:val="20"/>
              </w:rPr>
              <w:t>Judelson Enriquez/ RMS Energy Consulting, LLC</w:t>
            </w:r>
          </w:p>
        </w:tc>
        <w:tc>
          <w:tcPr>
            <w:tcW w:w="3111" w:type="pct"/>
          </w:tcPr>
          <w:p w:rsidR="00796174" w:rsidRPr="00796174" w:rsidRDefault="00796174" w:rsidP="00796174">
            <w:pPr>
              <w:rPr>
                <w:bCs/>
                <w:szCs w:val="20"/>
              </w:rPr>
            </w:pPr>
            <w:r w:rsidRPr="00796174">
              <w:rPr>
                <w:bCs/>
                <w:szCs w:val="20"/>
              </w:rPr>
              <w:t>INTERNAL REVISION ONLY – No material changes made.</w:t>
            </w:r>
          </w:p>
          <w:p w:rsidR="00796174" w:rsidRPr="00796174" w:rsidRDefault="00796174" w:rsidP="00796174">
            <w:pPr>
              <w:rPr>
                <w:bCs/>
                <w:szCs w:val="20"/>
              </w:rPr>
            </w:pPr>
            <w:r w:rsidRPr="00796174">
              <w:rPr>
                <w:bCs/>
                <w:szCs w:val="20"/>
              </w:rPr>
              <w:t xml:space="preserve">1. Updated measure list, measure requirements, code analysis to include T20/T24 references, EUL ID to DEER2014, NTG ID to 2011, </w:t>
            </w:r>
            <w:proofErr w:type="gramStart"/>
            <w:r w:rsidRPr="00796174">
              <w:rPr>
                <w:bCs/>
                <w:szCs w:val="20"/>
              </w:rPr>
              <w:t>empty</w:t>
            </w:r>
            <w:proofErr w:type="gramEnd"/>
            <w:r w:rsidRPr="00796174">
              <w:rPr>
                <w:bCs/>
                <w:szCs w:val="20"/>
              </w:rPr>
              <w:t xml:space="preserve"> references in Section 2, load shape ID and language.</w:t>
            </w:r>
          </w:p>
          <w:p w:rsidR="00762D81" w:rsidRDefault="00796174" w:rsidP="00796174">
            <w:pPr>
              <w:rPr>
                <w:bCs/>
                <w:szCs w:val="20"/>
              </w:rPr>
            </w:pPr>
            <w:r w:rsidRPr="00796174">
              <w:rPr>
                <w:bCs/>
                <w:szCs w:val="20"/>
              </w:rPr>
              <w:t>2. Generated calculation spreadsheet based on IOU statewide Calculation Template and added additional columns for Mark M. Removed CZ cost factors in the calcs.</w:t>
            </w:r>
          </w:p>
        </w:tc>
      </w:tr>
      <w:tr w:rsidR="00762D81" w:rsidRPr="00500C4E" w:rsidTr="00241A1F">
        <w:trPr>
          <w:trHeight w:val="20"/>
        </w:trPr>
        <w:tc>
          <w:tcPr>
            <w:tcW w:w="274" w:type="pct"/>
          </w:tcPr>
          <w:p w:rsidR="00762D81" w:rsidRDefault="00762D81" w:rsidP="008C2C8A">
            <w:pPr>
              <w:jc w:val="center"/>
            </w:pPr>
            <w:r>
              <w:t>4</w:t>
            </w:r>
          </w:p>
        </w:tc>
        <w:tc>
          <w:tcPr>
            <w:tcW w:w="684" w:type="pct"/>
          </w:tcPr>
          <w:p w:rsidR="00762D81" w:rsidRDefault="009269CE" w:rsidP="00393EC8">
            <w:pPr>
              <w:jc w:val="center"/>
              <w:rPr>
                <w:szCs w:val="20"/>
              </w:rPr>
            </w:pPr>
            <w:r>
              <w:rPr>
                <w:szCs w:val="20"/>
              </w:rPr>
              <w:t>12/19</w:t>
            </w:r>
            <w:r w:rsidR="00762D81">
              <w:rPr>
                <w:szCs w:val="20"/>
              </w:rPr>
              <w:t>/16</w:t>
            </w:r>
          </w:p>
        </w:tc>
        <w:tc>
          <w:tcPr>
            <w:tcW w:w="931" w:type="pct"/>
          </w:tcPr>
          <w:p w:rsidR="00762D81" w:rsidRDefault="00762D81" w:rsidP="00393EC8">
            <w:pPr>
              <w:rPr>
                <w:szCs w:val="20"/>
              </w:rPr>
            </w:pPr>
            <w:r>
              <w:rPr>
                <w:szCs w:val="20"/>
              </w:rPr>
              <w:t>Kelvin Valenzuela/SDG&amp;E</w:t>
            </w:r>
          </w:p>
        </w:tc>
        <w:tc>
          <w:tcPr>
            <w:tcW w:w="3111" w:type="pct"/>
          </w:tcPr>
          <w:p w:rsidR="00762D81" w:rsidRDefault="009269CE" w:rsidP="009269CE">
            <w:pPr>
              <w:rPr>
                <w:bCs/>
                <w:szCs w:val="20"/>
              </w:rPr>
            </w:pPr>
            <w:r>
              <w:rPr>
                <w:bCs/>
                <w:szCs w:val="20"/>
              </w:rPr>
              <w:t>Adoption from PGE’s PGECOFST104</w:t>
            </w:r>
            <w:r w:rsidR="00711B58">
              <w:rPr>
                <w:bCs/>
                <w:szCs w:val="20"/>
              </w:rPr>
              <w:t xml:space="preserve"> R6</w:t>
            </w:r>
            <w:r w:rsidR="001D6A64">
              <w:rPr>
                <w:bCs/>
                <w:szCs w:val="20"/>
              </w:rPr>
              <w:t xml:space="preserve"> </w:t>
            </w:r>
            <w:r>
              <w:rPr>
                <w:bCs/>
                <w:szCs w:val="20"/>
              </w:rPr>
              <w:t xml:space="preserve">Steam Cookers </w:t>
            </w:r>
            <w:r w:rsidR="001D6A64">
              <w:rPr>
                <w:bCs/>
                <w:szCs w:val="20"/>
              </w:rPr>
              <w:t>MD.docx</w:t>
            </w:r>
            <w:r w:rsidR="00711B58">
              <w:rPr>
                <w:bCs/>
                <w:szCs w:val="20"/>
              </w:rPr>
              <w:t>.</w:t>
            </w:r>
            <w:r>
              <w:rPr>
                <w:bCs/>
                <w:szCs w:val="20"/>
              </w:rPr>
              <w:t xml:space="preserve">  Revised impacts.</w:t>
            </w:r>
          </w:p>
        </w:tc>
      </w:tr>
    </w:tbl>
    <w:p w:rsidR="00DB71F1" w:rsidRDefault="00DB71F1" w:rsidP="00413EF4"/>
    <w:p w:rsidR="00DB71F1" w:rsidRDefault="00DB71F1">
      <w:pPr>
        <w:spacing w:after="200" w:line="276" w:lineRule="auto"/>
      </w:pPr>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r w:rsidR="00653B2E">
        <w:fldChar w:fldCharType="begin"/>
      </w:r>
      <w:r w:rsidR="00653B2E">
        <w:instrText xml:space="preserve"> SEQ Table \* ARABIC </w:instrText>
      </w:r>
      <w:r w:rsidR="00653B2E">
        <w:fldChar w:fldCharType="separate"/>
      </w:r>
      <w:r w:rsidR="000719BF">
        <w:rPr>
          <w:noProof/>
        </w:rPr>
        <w:t>1</w:t>
      </w:r>
      <w:r w:rsidR="00653B2E">
        <w:rPr>
          <w:noProof/>
        </w:rPr>
        <w:fldChar w:fldCharType="end"/>
      </w:r>
      <w:r>
        <w:t>: Measure Summary Table</w:t>
      </w:r>
    </w:p>
    <w:tbl>
      <w:tblPr>
        <w:tblStyle w:val="TableGrid"/>
        <w:tblW w:w="0" w:type="auto"/>
        <w:tblLook w:val="04A0" w:firstRow="1" w:lastRow="0" w:firstColumn="1" w:lastColumn="0" w:noHBand="0" w:noVBand="1"/>
      </w:tblPr>
      <w:tblGrid>
        <w:gridCol w:w="2627"/>
        <w:gridCol w:w="6949"/>
      </w:tblGrid>
      <w:tr w:rsidR="00DB71F1" w:rsidTr="00241A1F">
        <w:trPr>
          <w:cantSplit/>
          <w:tblHeader/>
        </w:trPr>
        <w:tc>
          <w:tcPr>
            <w:tcW w:w="2718" w:type="dxa"/>
          </w:tcPr>
          <w:p w:rsidR="00DB71F1" w:rsidRPr="00D86243" w:rsidRDefault="00DB71F1" w:rsidP="00393EC8">
            <w:pPr>
              <w:jc w:val="center"/>
              <w:rPr>
                <w:b/>
              </w:rPr>
            </w:pPr>
            <w:r w:rsidRPr="00D86243">
              <w:rPr>
                <w:b/>
              </w:rPr>
              <w:t>Section</w:t>
            </w:r>
          </w:p>
        </w:tc>
        <w:tc>
          <w:tcPr>
            <w:tcW w:w="6858" w:type="dxa"/>
          </w:tcPr>
          <w:p w:rsidR="00DB71F1" w:rsidRPr="00D86243" w:rsidRDefault="00DB71F1" w:rsidP="00393EC8">
            <w:pPr>
              <w:jc w:val="center"/>
              <w:rPr>
                <w:b/>
              </w:rPr>
            </w:pPr>
            <w:r w:rsidRPr="00D86243">
              <w:rPr>
                <w:b/>
              </w:rPr>
              <w:t>Value</w:t>
            </w:r>
          </w:p>
        </w:tc>
      </w:tr>
      <w:tr w:rsidR="00DB71F1" w:rsidTr="00241A1F">
        <w:trPr>
          <w:cantSplit/>
        </w:trPr>
        <w:tc>
          <w:tcPr>
            <w:tcW w:w="2718" w:type="dxa"/>
            <w:vAlign w:val="center"/>
          </w:tcPr>
          <w:p w:rsidR="00DB71F1" w:rsidRPr="001D77F7" w:rsidRDefault="00DB71F1" w:rsidP="00393EC8">
            <w:pPr>
              <w:rPr>
                <w:b/>
              </w:rPr>
            </w:pPr>
            <w:r>
              <w:rPr>
                <w:b/>
              </w:rPr>
              <w:t>Summary &amp; Purpose</w:t>
            </w:r>
          </w:p>
        </w:tc>
        <w:tc>
          <w:tcPr>
            <w:tcW w:w="6858" w:type="dxa"/>
          </w:tcPr>
          <w:p w:rsidR="00DE364E" w:rsidRPr="00DE364E" w:rsidRDefault="00DB71F1" w:rsidP="008E0850">
            <w:pPr>
              <w:jc w:val="both"/>
              <w:rPr>
                <w:rFonts w:cs="Arial"/>
                <w:sz w:val="20"/>
                <w:szCs w:val="20"/>
              </w:rPr>
            </w:pPr>
            <w:r w:rsidRPr="00241A1F">
              <w:rPr>
                <w:rFonts w:cs="Arial"/>
                <w:sz w:val="20"/>
                <w:szCs w:val="20"/>
              </w:rPr>
              <w:t>This short form workpaper documents ex-ante load impact</w:t>
            </w:r>
            <w:r w:rsidR="00E733C7" w:rsidRPr="00241A1F">
              <w:rPr>
                <w:rFonts w:cs="Arial"/>
                <w:sz w:val="20"/>
                <w:szCs w:val="20"/>
              </w:rPr>
              <w:t>s</w:t>
            </w:r>
            <w:r w:rsidR="001A34A6">
              <w:rPr>
                <w:rFonts w:cs="Arial"/>
                <w:sz w:val="20"/>
                <w:szCs w:val="20"/>
              </w:rPr>
              <w:t xml:space="preserve"> for</w:t>
            </w:r>
            <w:r w:rsidRPr="00241A1F">
              <w:rPr>
                <w:rFonts w:cs="Arial"/>
                <w:sz w:val="20"/>
                <w:szCs w:val="20"/>
              </w:rPr>
              <w:t xml:space="preserve"> </w:t>
            </w:r>
            <w:r w:rsidR="001A34A6">
              <w:rPr>
                <w:rFonts w:cs="Arial"/>
                <w:sz w:val="20"/>
                <w:szCs w:val="20"/>
              </w:rPr>
              <w:t>Commercial Steam Cooker,</w:t>
            </w:r>
            <w:r w:rsidR="00711B58">
              <w:rPr>
                <w:rFonts w:cs="Arial"/>
                <w:sz w:val="20"/>
                <w:szCs w:val="20"/>
              </w:rPr>
              <w:t xml:space="preserve"> both electric and gas</w:t>
            </w:r>
            <w:r w:rsidRPr="00241A1F">
              <w:rPr>
                <w:rFonts w:cs="Arial"/>
                <w:sz w:val="20"/>
                <w:szCs w:val="20"/>
              </w:rPr>
              <w:t xml:space="preserve">. </w:t>
            </w:r>
            <w:r w:rsidR="00C228B0">
              <w:rPr>
                <w:rFonts w:cs="Arial"/>
                <w:sz w:val="20"/>
                <w:szCs w:val="20"/>
              </w:rPr>
              <w:t>The base energy consumption</w:t>
            </w:r>
            <w:r w:rsidR="00067315">
              <w:rPr>
                <w:rFonts w:cs="Arial"/>
                <w:sz w:val="20"/>
                <w:szCs w:val="20"/>
              </w:rPr>
              <w:t xml:space="preserve"> and </w:t>
            </w:r>
            <w:r w:rsidR="00C228B0">
              <w:rPr>
                <w:rFonts w:cs="Arial"/>
                <w:sz w:val="20"/>
                <w:szCs w:val="20"/>
              </w:rPr>
              <w:t>measure energy consumption</w:t>
            </w:r>
            <w:r w:rsidR="00067315" w:rsidRPr="00555671">
              <w:rPr>
                <w:rFonts w:cs="Arial"/>
                <w:sz w:val="20"/>
                <w:szCs w:val="20"/>
              </w:rPr>
              <w:t xml:space="preserve"> values</w:t>
            </w:r>
            <w:r w:rsidR="00C228B0">
              <w:rPr>
                <w:rFonts w:cs="Arial"/>
                <w:sz w:val="20"/>
                <w:szCs w:val="20"/>
              </w:rPr>
              <w:t xml:space="preserve"> are fr</w:t>
            </w:r>
            <w:r w:rsidR="001A34A6">
              <w:rPr>
                <w:rFonts w:cs="Arial"/>
                <w:sz w:val="20"/>
                <w:szCs w:val="20"/>
              </w:rPr>
              <w:t>om PG&amp;E’s workpaper, P</w:t>
            </w:r>
            <w:r w:rsidR="00653B2E">
              <w:rPr>
                <w:rFonts w:cs="Arial"/>
                <w:sz w:val="20"/>
                <w:szCs w:val="20"/>
              </w:rPr>
              <w:t>GECOFST</w:t>
            </w:r>
            <w:r w:rsidR="001A34A6">
              <w:rPr>
                <w:rFonts w:cs="Arial"/>
                <w:sz w:val="20"/>
                <w:szCs w:val="20"/>
              </w:rPr>
              <w:t>104</w:t>
            </w:r>
            <w:r w:rsidR="00C228B0">
              <w:rPr>
                <w:rFonts w:cs="Arial"/>
                <w:sz w:val="20"/>
                <w:szCs w:val="20"/>
              </w:rPr>
              <w:t>, Revision 6</w:t>
            </w:r>
            <w:r w:rsidR="00067315" w:rsidRPr="00555671">
              <w:rPr>
                <w:rFonts w:cs="Arial"/>
                <w:sz w:val="20"/>
                <w:szCs w:val="20"/>
              </w:rPr>
              <w:t xml:space="preserve">.  </w:t>
            </w:r>
          </w:p>
          <w:p w:rsidR="00DB71F1" w:rsidRPr="00D86243" w:rsidRDefault="00DB71F1" w:rsidP="00555671">
            <w:pPr>
              <w:jc w:val="both"/>
              <w:rPr>
                <w:rFonts w:cs="Arial"/>
                <w:sz w:val="20"/>
                <w:szCs w:val="20"/>
              </w:rPr>
            </w:pPr>
          </w:p>
        </w:tc>
      </w:tr>
      <w:tr w:rsidR="00DB71F1" w:rsidTr="00241A1F">
        <w:trPr>
          <w:cantSplit/>
        </w:trPr>
        <w:tc>
          <w:tcPr>
            <w:tcW w:w="2718" w:type="dxa"/>
            <w:vAlign w:val="center"/>
          </w:tcPr>
          <w:p w:rsidR="00DB71F1" w:rsidRPr="001D77F7" w:rsidRDefault="00DB71F1" w:rsidP="00393EC8">
            <w:pPr>
              <w:rPr>
                <w:b/>
              </w:rPr>
            </w:pPr>
            <w:r w:rsidRPr="001D77F7">
              <w:rPr>
                <w:b/>
              </w:rPr>
              <w:t>1.1 Measure &amp; Baseline Data</w:t>
            </w:r>
          </w:p>
        </w:tc>
        <w:tc>
          <w:tcPr>
            <w:tcW w:w="6858" w:type="dxa"/>
          </w:tcPr>
          <w:p w:rsidR="008C2C8A" w:rsidRPr="00555671" w:rsidRDefault="00EE6CFE" w:rsidP="001D57D7">
            <w:pPr>
              <w:rPr>
                <w:rFonts w:cs="Arial"/>
                <w:sz w:val="20"/>
                <w:szCs w:val="20"/>
              </w:rPr>
            </w:pPr>
            <w:r w:rsidRPr="00555671">
              <w:rPr>
                <w:rFonts w:cs="Arial"/>
                <w:sz w:val="20"/>
                <w:szCs w:val="20"/>
              </w:rPr>
              <w:t xml:space="preserve">Measure: </w:t>
            </w:r>
          </w:p>
          <w:p w:rsidR="00DB71F1" w:rsidRPr="00555671" w:rsidRDefault="001A34A6" w:rsidP="001D57D7">
            <w:pPr>
              <w:rPr>
                <w:rFonts w:cs="Arial"/>
                <w:sz w:val="20"/>
                <w:szCs w:val="20"/>
              </w:rPr>
            </w:pPr>
            <w:r>
              <w:rPr>
                <w:rFonts w:cs="Arial"/>
                <w:sz w:val="20"/>
                <w:szCs w:val="20"/>
              </w:rPr>
              <w:t>402135</w:t>
            </w:r>
            <w:r w:rsidR="00E159C8" w:rsidRPr="00555671">
              <w:rPr>
                <w:rFonts w:cs="Arial"/>
                <w:sz w:val="20"/>
                <w:szCs w:val="20"/>
              </w:rPr>
              <w:t xml:space="preserve"> </w:t>
            </w:r>
            <w:r w:rsidR="00711B58">
              <w:rPr>
                <w:rFonts w:cs="Arial"/>
                <w:sz w:val="20"/>
                <w:szCs w:val="20"/>
              </w:rPr>
              <w:t>–</w:t>
            </w:r>
            <w:r w:rsidR="00E159C8" w:rsidRPr="00555671">
              <w:rPr>
                <w:rFonts w:cs="Arial"/>
                <w:sz w:val="20"/>
                <w:szCs w:val="20"/>
              </w:rPr>
              <w:t xml:space="preserve"> </w:t>
            </w:r>
            <w:r>
              <w:rPr>
                <w:rFonts w:cs="Arial"/>
                <w:sz w:val="20"/>
                <w:szCs w:val="20"/>
              </w:rPr>
              <w:t>Steamer-Electric</w:t>
            </w:r>
          </w:p>
          <w:p w:rsidR="008C2C8A" w:rsidRPr="00555671" w:rsidRDefault="001A34A6" w:rsidP="008C2C8A">
            <w:pPr>
              <w:rPr>
                <w:rFonts w:cs="Arial"/>
                <w:sz w:val="20"/>
                <w:szCs w:val="20"/>
              </w:rPr>
            </w:pPr>
            <w:r>
              <w:rPr>
                <w:rFonts w:cs="Arial"/>
                <w:sz w:val="20"/>
                <w:szCs w:val="20"/>
              </w:rPr>
              <w:t>402136</w:t>
            </w:r>
            <w:r w:rsidR="00711B58">
              <w:rPr>
                <w:rFonts w:cs="Arial"/>
                <w:sz w:val="20"/>
                <w:szCs w:val="20"/>
              </w:rPr>
              <w:t xml:space="preserve"> – </w:t>
            </w:r>
            <w:r>
              <w:rPr>
                <w:rFonts w:cs="Arial"/>
                <w:sz w:val="20"/>
                <w:szCs w:val="20"/>
              </w:rPr>
              <w:t>Steamer-Gas</w:t>
            </w:r>
          </w:p>
          <w:p w:rsidR="00EE6CFE" w:rsidRPr="00241A1F" w:rsidRDefault="00EE6CFE" w:rsidP="00711B58">
            <w:pPr>
              <w:rPr>
                <w:rFonts w:cs="Arial"/>
                <w:sz w:val="20"/>
                <w:szCs w:val="20"/>
              </w:rPr>
            </w:pPr>
          </w:p>
        </w:tc>
      </w:tr>
      <w:tr w:rsidR="00DB71F1" w:rsidTr="00241A1F">
        <w:trPr>
          <w:cantSplit/>
        </w:trPr>
        <w:tc>
          <w:tcPr>
            <w:tcW w:w="2718" w:type="dxa"/>
            <w:vAlign w:val="center"/>
          </w:tcPr>
          <w:p w:rsidR="00DB71F1" w:rsidRPr="001D77F7" w:rsidRDefault="00DB71F1" w:rsidP="00393EC8">
            <w:pPr>
              <w:rPr>
                <w:b/>
              </w:rPr>
            </w:pPr>
            <w:r w:rsidRPr="001D77F7">
              <w:rPr>
                <w:b/>
              </w:rPr>
              <w:t xml:space="preserve">1.2 Technical Description </w:t>
            </w:r>
          </w:p>
        </w:tc>
        <w:tc>
          <w:tcPr>
            <w:tcW w:w="6858" w:type="dxa"/>
          </w:tcPr>
          <w:p w:rsidR="00DB71F1" w:rsidRPr="00241A1F" w:rsidRDefault="00DB71F1">
            <w:pPr>
              <w:rPr>
                <w:rFonts w:cs="Arial"/>
                <w:sz w:val="20"/>
                <w:szCs w:val="20"/>
              </w:rPr>
            </w:pPr>
          </w:p>
        </w:tc>
      </w:tr>
      <w:tr w:rsidR="008775D7" w:rsidRPr="008775D7" w:rsidTr="00241A1F">
        <w:trPr>
          <w:cantSplit/>
        </w:trPr>
        <w:tc>
          <w:tcPr>
            <w:tcW w:w="2718" w:type="dxa"/>
          </w:tcPr>
          <w:p w:rsidR="008775D7" w:rsidRPr="00241A1F" w:rsidRDefault="008775D7" w:rsidP="00241A1F">
            <w:pPr>
              <w:jc w:val="right"/>
              <w:rPr>
                <w:sz w:val="20"/>
                <w:szCs w:val="20"/>
              </w:rPr>
            </w:pPr>
            <w:r w:rsidRPr="00241A1F">
              <w:rPr>
                <w:sz w:val="20"/>
                <w:szCs w:val="20"/>
              </w:rPr>
              <w:t>Measures</w:t>
            </w:r>
          </w:p>
        </w:tc>
        <w:tc>
          <w:tcPr>
            <w:tcW w:w="6858" w:type="dxa"/>
          </w:tcPr>
          <w:p w:rsidR="008775D7" w:rsidRPr="00E733C7" w:rsidRDefault="008D0B3C">
            <w:pPr>
              <w:rPr>
                <w:rFonts w:cs="Arial"/>
                <w:sz w:val="20"/>
                <w:szCs w:val="20"/>
              </w:rPr>
            </w:pPr>
            <w:r>
              <w:rPr>
                <w:rFonts w:cs="Arial"/>
                <w:sz w:val="20"/>
                <w:szCs w:val="20"/>
              </w:rPr>
              <w:t>See Requirements</w:t>
            </w:r>
          </w:p>
        </w:tc>
      </w:tr>
      <w:tr w:rsidR="008775D7" w:rsidRPr="008775D7" w:rsidTr="00241A1F">
        <w:trPr>
          <w:cantSplit/>
        </w:trPr>
        <w:tc>
          <w:tcPr>
            <w:tcW w:w="2718" w:type="dxa"/>
          </w:tcPr>
          <w:p w:rsidR="008775D7" w:rsidRPr="00653C4B" w:rsidRDefault="008775D7" w:rsidP="00241A1F">
            <w:pPr>
              <w:jc w:val="right"/>
              <w:rPr>
                <w:sz w:val="20"/>
                <w:szCs w:val="20"/>
              </w:rPr>
            </w:pPr>
            <w:r w:rsidRPr="00653C4B">
              <w:rPr>
                <w:sz w:val="20"/>
                <w:szCs w:val="20"/>
              </w:rPr>
              <w:t>Code for All Measures</w:t>
            </w:r>
          </w:p>
        </w:tc>
        <w:tc>
          <w:tcPr>
            <w:tcW w:w="6858" w:type="dxa"/>
          </w:tcPr>
          <w:p w:rsidR="00D00FCF" w:rsidRPr="00D00FCF" w:rsidRDefault="00D00FCF" w:rsidP="00D00FCF">
            <w:pPr>
              <w:jc w:val="both"/>
              <w:rPr>
                <w:rFonts w:cs="Arial"/>
                <w:b/>
                <w:bCs/>
                <w:sz w:val="20"/>
                <w:szCs w:val="20"/>
                <w:lang w:val="x-none"/>
              </w:rPr>
            </w:pPr>
            <w:bookmarkStart w:id="2" w:name="_Toc221106777"/>
            <w:r w:rsidRPr="00D00FCF">
              <w:rPr>
                <w:rFonts w:cs="Arial"/>
                <w:b/>
                <w:bCs/>
                <w:sz w:val="20"/>
                <w:szCs w:val="20"/>
                <w:lang w:val="x-none"/>
              </w:rPr>
              <w:t>California Title 20</w:t>
            </w:r>
            <w:bookmarkEnd w:id="2"/>
          </w:p>
          <w:p w:rsidR="00D00FCF" w:rsidRPr="00D00FCF" w:rsidRDefault="00D00FCF" w:rsidP="00D00FCF">
            <w:pPr>
              <w:jc w:val="both"/>
              <w:rPr>
                <w:rFonts w:cs="Arial"/>
                <w:bCs/>
                <w:sz w:val="20"/>
                <w:szCs w:val="20"/>
              </w:rPr>
            </w:pPr>
            <w:r w:rsidRPr="00D00FCF">
              <w:rPr>
                <w:rFonts w:cs="Arial"/>
                <w:bCs/>
                <w:sz w:val="20"/>
                <w:szCs w:val="20"/>
              </w:rPr>
              <w:t>State of California Title 20 Appliance Efficiency Regulation</w:t>
            </w:r>
            <w:r w:rsidRPr="00D00FCF">
              <w:rPr>
                <w:rFonts w:cs="Arial"/>
                <w:bCs/>
                <w:sz w:val="20"/>
                <w:szCs w:val="20"/>
                <w:vertAlign w:val="superscript"/>
              </w:rPr>
              <w:endnoteReference w:id="1"/>
            </w:r>
            <w:r w:rsidRPr="00D00FCF">
              <w:rPr>
                <w:rFonts w:cs="Arial"/>
                <w:bCs/>
                <w:sz w:val="20"/>
                <w:szCs w:val="20"/>
              </w:rPr>
              <w:t xml:space="preserve"> has a category for cooking appliances, but commercial steam cookers are not included.</w:t>
            </w:r>
          </w:p>
          <w:p w:rsidR="00D00FCF" w:rsidRPr="00D00FCF" w:rsidRDefault="00D00FCF" w:rsidP="00D00FCF">
            <w:pPr>
              <w:jc w:val="both"/>
              <w:rPr>
                <w:rFonts w:cs="Arial"/>
                <w:b/>
                <w:bCs/>
                <w:sz w:val="20"/>
                <w:szCs w:val="20"/>
                <w:lang w:val="x-none"/>
              </w:rPr>
            </w:pPr>
            <w:r w:rsidRPr="00D00FCF">
              <w:rPr>
                <w:rFonts w:cs="Arial"/>
                <w:b/>
                <w:bCs/>
                <w:sz w:val="20"/>
                <w:szCs w:val="20"/>
                <w:lang w:val="x-none"/>
              </w:rPr>
              <w:t>California Title 24</w:t>
            </w:r>
          </w:p>
          <w:p w:rsidR="00D00FCF" w:rsidRPr="00D00FCF" w:rsidRDefault="00D00FCF" w:rsidP="00D00FCF">
            <w:pPr>
              <w:jc w:val="both"/>
              <w:rPr>
                <w:rFonts w:cs="Arial"/>
                <w:bCs/>
                <w:sz w:val="20"/>
                <w:szCs w:val="20"/>
              </w:rPr>
            </w:pPr>
            <w:r w:rsidRPr="00D00FCF">
              <w:rPr>
                <w:rFonts w:cs="Arial"/>
                <w:bCs/>
                <w:sz w:val="20"/>
                <w:szCs w:val="20"/>
              </w:rPr>
              <w:t>There are no State of California Title 24 Efficiency Regulation</w:t>
            </w:r>
            <w:bookmarkStart w:id="3" w:name="_Ref210539100"/>
            <w:r w:rsidRPr="00D00FCF">
              <w:rPr>
                <w:rFonts w:cs="Arial"/>
                <w:bCs/>
                <w:sz w:val="20"/>
                <w:szCs w:val="20"/>
              </w:rPr>
              <w:t xml:space="preserve"> </w:t>
            </w:r>
            <w:bookmarkEnd w:id="3"/>
            <w:r w:rsidRPr="00D00FCF">
              <w:rPr>
                <w:rFonts w:cs="Arial"/>
                <w:bCs/>
                <w:sz w:val="20"/>
                <w:szCs w:val="20"/>
              </w:rPr>
              <w:t>requirements for commercial steam cookers.</w:t>
            </w:r>
          </w:p>
          <w:p w:rsidR="00D00FCF" w:rsidRPr="00D00FCF" w:rsidRDefault="00D00FCF" w:rsidP="00D00FCF">
            <w:pPr>
              <w:jc w:val="both"/>
              <w:rPr>
                <w:rFonts w:cs="Arial"/>
                <w:b/>
                <w:bCs/>
                <w:sz w:val="20"/>
                <w:szCs w:val="20"/>
                <w:lang w:val="x-none"/>
              </w:rPr>
            </w:pPr>
            <w:bookmarkStart w:id="4" w:name="_Toc221106776"/>
            <w:r w:rsidRPr="00D00FCF">
              <w:rPr>
                <w:rFonts w:cs="Arial"/>
                <w:b/>
                <w:bCs/>
                <w:sz w:val="20"/>
                <w:szCs w:val="20"/>
                <w:lang w:val="x-none"/>
              </w:rPr>
              <w:t>Federal</w:t>
            </w:r>
            <w:bookmarkEnd w:id="4"/>
          </w:p>
          <w:p w:rsidR="00D00FCF" w:rsidRPr="00D00FCF" w:rsidRDefault="00D00FCF" w:rsidP="00D00FCF">
            <w:pPr>
              <w:jc w:val="both"/>
              <w:rPr>
                <w:rFonts w:cs="Arial"/>
                <w:bCs/>
                <w:sz w:val="20"/>
                <w:szCs w:val="20"/>
              </w:rPr>
            </w:pPr>
            <w:r w:rsidRPr="00D00FCF">
              <w:rPr>
                <w:rFonts w:cs="Arial"/>
                <w:bCs/>
                <w:sz w:val="20"/>
                <w:szCs w:val="20"/>
              </w:rPr>
              <w:t>There are no Federal energy efficiency requirements for commercial steam cookers.</w:t>
            </w:r>
          </w:p>
          <w:p w:rsidR="005C1518" w:rsidRPr="005C1518" w:rsidRDefault="005C1518" w:rsidP="005C1518">
            <w:pPr>
              <w:jc w:val="both"/>
              <w:rPr>
                <w:rFonts w:cs="Arial"/>
                <w:sz w:val="20"/>
                <w:szCs w:val="20"/>
              </w:rPr>
            </w:pPr>
            <w:r w:rsidRPr="005C1518">
              <w:rPr>
                <w:rFonts w:cs="Arial"/>
                <w:b/>
                <w:bCs/>
                <w:sz w:val="20"/>
                <w:szCs w:val="20"/>
              </w:rPr>
              <w:t xml:space="preserve">American Society for Testing and Materials (ASTM) Standards </w:t>
            </w:r>
          </w:p>
          <w:p w:rsidR="00D00FCF" w:rsidRPr="00D00FCF" w:rsidRDefault="00D00FCF" w:rsidP="00D00FCF">
            <w:pPr>
              <w:jc w:val="both"/>
              <w:rPr>
                <w:rFonts w:cs="Arial"/>
                <w:sz w:val="20"/>
                <w:szCs w:val="20"/>
              </w:rPr>
            </w:pPr>
            <w:r w:rsidRPr="00D00FCF">
              <w:rPr>
                <w:rFonts w:cs="Arial"/>
                <w:sz w:val="20"/>
                <w:szCs w:val="20"/>
              </w:rPr>
              <w:t>ASTM Standard Test Method for the Performance of Steam Cookers (F1484) is applicable for estimating energy use and cooking performance. It was used to estimate the energy consumption of the base case and measure equipment.</w:t>
            </w:r>
          </w:p>
          <w:p w:rsidR="005C1518" w:rsidRPr="00653C4B" w:rsidRDefault="005C1518" w:rsidP="005C1518">
            <w:pPr>
              <w:jc w:val="both"/>
              <w:rPr>
                <w:rFonts w:cs="Arial"/>
                <w:sz w:val="20"/>
                <w:szCs w:val="20"/>
              </w:rPr>
            </w:pPr>
          </w:p>
        </w:tc>
      </w:tr>
      <w:tr w:rsidR="00E84938" w:rsidTr="00241A1F">
        <w:trPr>
          <w:cantSplit/>
        </w:trPr>
        <w:tc>
          <w:tcPr>
            <w:tcW w:w="2718" w:type="dxa"/>
          </w:tcPr>
          <w:p w:rsidR="00E84938" w:rsidRPr="001D77F7" w:rsidRDefault="00E84938" w:rsidP="008724D6">
            <w:pPr>
              <w:jc w:val="right"/>
              <w:rPr>
                <w:b/>
              </w:rPr>
            </w:pPr>
            <w:r w:rsidRPr="00197677">
              <w:rPr>
                <w:rFonts w:cs="Arial"/>
                <w:sz w:val="20"/>
                <w:szCs w:val="20"/>
              </w:rPr>
              <w:t>Requirements</w:t>
            </w:r>
          </w:p>
        </w:tc>
        <w:tc>
          <w:tcPr>
            <w:tcW w:w="6858" w:type="dxa"/>
          </w:tcPr>
          <w:p w:rsidR="00D00FCF" w:rsidRPr="00D00FCF" w:rsidRDefault="00D00FCF" w:rsidP="00D00FCF">
            <w:pPr>
              <w:jc w:val="both"/>
              <w:rPr>
                <w:sz w:val="20"/>
                <w:szCs w:val="20"/>
              </w:rPr>
            </w:pPr>
            <w:r w:rsidRPr="00D00FCF">
              <w:rPr>
                <w:sz w:val="20"/>
                <w:szCs w:val="20"/>
              </w:rPr>
              <w:t>The</w:t>
            </w:r>
            <w:r>
              <w:rPr>
                <w:sz w:val="20"/>
                <w:szCs w:val="20"/>
              </w:rPr>
              <w:t xml:space="preserve"> electric</w:t>
            </w:r>
            <w:r w:rsidRPr="00D00FCF">
              <w:rPr>
                <w:sz w:val="20"/>
                <w:szCs w:val="20"/>
              </w:rPr>
              <w:t xml:space="preserve"> commercial steam cooker must meet ENERGY STAR® specifications for energy efficiency or must have a tested heavy load potato cooking energy efficiency of 50% utilizing ASTM Standard F1484</w:t>
            </w:r>
            <w:r w:rsidRPr="00D00FCF">
              <w:rPr>
                <w:sz w:val="20"/>
                <w:szCs w:val="20"/>
                <w:vertAlign w:val="superscript"/>
              </w:rPr>
              <w:endnoteReference w:id="2"/>
            </w:r>
            <w:r w:rsidRPr="00D00FCF">
              <w:rPr>
                <w:sz w:val="20"/>
                <w:szCs w:val="20"/>
              </w:rPr>
              <w:t xml:space="preserve">. </w:t>
            </w:r>
          </w:p>
          <w:p w:rsidR="001D6A64" w:rsidRDefault="001D6A64" w:rsidP="001D6A64">
            <w:pPr>
              <w:jc w:val="both"/>
              <w:rPr>
                <w:sz w:val="20"/>
                <w:szCs w:val="20"/>
              </w:rPr>
            </w:pPr>
          </w:p>
          <w:p w:rsidR="00D00FCF" w:rsidRPr="001D6A64" w:rsidRDefault="00D00FCF" w:rsidP="001D6A64">
            <w:pPr>
              <w:jc w:val="both"/>
              <w:rPr>
                <w:sz w:val="20"/>
                <w:szCs w:val="20"/>
              </w:rPr>
            </w:pPr>
            <w:r w:rsidRPr="00D00FCF">
              <w:rPr>
                <w:sz w:val="20"/>
                <w:szCs w:val="20"/>
              </w:rPr>
              <w:t>The</w:t>
            </w:r>
            <w:r>
              <w:rPr>
                <w:sz w:val="20"/>
                <w:szCs w:val="20"/>
              </w:rPr>
              <w:t xml:space="preserve"> gas</w:t>
            </w:r>
            <w:r w:rsidRPr="00D00FCF">
              <w:rPr>
                <w:sz w:val="20"/>
                <w:szCs w:val="20"/>
              </w:rPr>
              <w:t xml:space="preserve"> commercial steam cooker must meet ENERGY STAR® specifications for energy efficiency or must have a tested heavy load potato cooking energy efficiency of 38% utilizing ASTM Standard F1484.</w:t>
            </w:r>
          </w:p>
          <w:p w:rsidR="001D6A64" w:rsidRPr="00555671" w:rsidRDefault="001D6A64" w:rsidP="001D6A64">
            <w:pPr>
              <w:jc w:val="both"/>
              <w:rPr>
                <w:sz w:val="20"/>
                <w:szCs w:val="20"/>
              </w:rPr>
            </w:pPr>
          </w:p>
        </w:tc>
      </w:tr>
      <w:tr w:rsidR="00DB71F1" w:rsidTr="00241A1F">
        <w:trPr>
          <w:cantSplit/>
        </w:trPr>
        <w:tc>
          <w:tcPr>
            <w:tcW w:w="2718" w:type="dxa"/>
          </w:tcPr>
          <w:p w:rsidR="00DB71F1" w:rsidRPr="001D77F7" w:rsidRDefault="00DB71F1" w:rsidP="00393EC8">
            <w:pPr>
              <w:rPr>
                <w:b/>
              </w:rPr>
            </w:pPr>
            <w:r w:rsidRPr="001D77F7">
              <w:rPr>
                <w:b/>
              </w:rPr>
              <w:t>1.3 Installation Type and Delivery Mechanisms</w:t>
            </w:r>
          </w:p>
        </w:tc>
        <w:tc>
          <w:tcPr>
            <w:tcW w:w="6858" w:type="dxa"/>
          </w:tcPr>
          <w:p w:rsidR="00DB71F1" w:rsidRPr="00D86243" w:rsidRDefault="00DB71F1" w:rsidP="00393EC8">
            <w:pPr>
              <w:rPr>
                <w:rFonts w:cs="Arial"/>
                <w:sz w:val="20"/>
                <w:szCs w:val="20"/>
              </w:rPr>
            </w:pPr>
          </w:p>
        </w:tc>
      </w:tr>
      <w:tr w:rsidR="00DB71F1" w:rsidTr="00241A1F">
        <w:trPr>
          <w:cantSplit/>
        </w:trPr>
        <w:tc>
          <w:tcPr>
            <w:tcW w:w="2718" w:type="dxa"/>
            <w:vAlign w:val="center"/>
          </w:tcPr>
          <w:p w:rsidR="00DB71F1" w:rsidRPr="00822B6F" w:rsidRDefault="00DB71F1" w:rsidP="00393EC8">
            <w:pPr>
              <w:jc w:val="right"/>
              <w:rPr>
                <w:sz w:val="20"/>
                <w:szCs w:val="20"/>
              </w:rPr>
            </w:pPr>
            <w:r w:rsidRPr="00822B6F">
              <w:rPr>
                <w:sz w:val="20"/>
                <w:szCs w:val="20"/>
              </w:rPr>
              <w:t>Installation Type</w:t>
            </w:r>
          </w:p>
        </w:tc>
        <w:tc>
          <w:tcPr>
            <w:tcW w:w="6858" w:type="dxa"/>
          </w:tcPr>
          <w:p w:rsidR="00CF2ABA" w:rsidRPr="00393EC8" w:rsidRDefault="008C2C8A" w:rsidP="00FE636E">
            <w:pPr>
              <w:rPr>
                <w:rFonts w:cs="Arial"/>
                <w:sz w:val="20"/>
                <w:szCs w:val="20"/>
              </w:rPr>
            </w:pPr>
            <w:r w:rsidRPr="00FE636E">
              <w:rPr>
                <w:rFonts w:cs="Arial"/>
                <w:sz w:val="20"/>
                <w:szCs w:val="20"/>
              </w:rPr>
              <w:t>Replace on Burn-out (ROB)</w:t>
            </w:r>
            <w:r w:rsidR="00CF2ABA" w:rsidRPr="00FE636E">
              <w:rPr>
                <w:rFonts w:cs="Arial"/>
                <w:sz w:val="20"/>
                <w:szCs w:val="20"/>
              </w:rPr>
              <w:t xml:space="preserve"> </w:t>
            </w:r>
          </w:p>
        </w:tc>
      </w:tr>
      <w:tr w:rsidR="00DB71F1" w:rsidTr="00241A1F">
        <w:trPr>
          <w:cantSplit/>
        </w:trPr>
        <w:tc>
          <w:tcPr>
            <w:tcW w:w="2718" w:type="dxa"/>
            <w:vAlign w:val="center"/>
          </w:tcPr>
          <w:p w:rsidR="00DB71F1" w:rsidRPr="00822B6F" w:rsidRDefault="00DB71F1" w:rsidP="00393EC8">
            <w:pPr>
              <w:jc w:val="right"/>
              <w:rPr>
                <w:sz w:val="20"/>
                <w:szCs w:val="20"/>
              </w:rPr>
            </w:pPr>
            <w:r w:rsidRPr="00822B6F">
              <w:rPr>
                <w:sz w:val="20"/>
                <w:szCs w:val="20"/>
              </w:rPr>
              <w:t>Delivery Mechanisms</w:t>
            </w:r>
          </w:p>
        </w:tc>
        <w:tc>
          <w:tcPr>
            <w:tcW w:w="6858" w:type="dxa"/>
          </w:tcPr>
          <w:p w:rsidR="00DB71F1" w:rsidRDefault="00DB71F1" w:rsidP="00FE636E">
            <w:pPr>
              <w:rPr>
                <w:rFonts w:cs="Arial"/>
                <w:sz w:val="20"/>
                <w:szCs w:val="20"/>
              </w:rPr>
            </w:pPr>
            <w:r w:rsidRPr="00FE636E">
              <w:rPr>
                <w:rFonts w:cs="Arial"/>
                <w:sz w:val="20"/>
                <w:szCs w:val="20"/>
              </w:rPr>
              <w:t xml:space="preserve">Downstream </w:t>
            </w:r>
            <w:r w:rsidR="003E0DC8" w:rsidRPr="00FE636E">
              <w:rPr>
                <w:rFonts w:cs="Arial"/>
                <w:sz w:val="20"/>
                <w:szCs w:val="20"/>
              </w:rPr>
              <w:t>Rebate</w:t>
            </w:r>
            <w:r w:rsidRPr="00FE636E">
              <w:rPr>
                <w:rFonts w:cs="Arial"/>
                <w:sz w:val="20"/>
                <w:szCs w:val="20"/>
              </w:rPr>
              <w:t xml:space="preserve"> – Deemed</w:t>
            </w:r>
          </w:p>
          <w:p w:rsidR="00B9551F" w:rsidRPr="00FE636E" w:rsidRDefault="00B9551F" w:rsidP="00FE636E">
            <w:pPr>
              <w:rPr>
                <w:rFonts w:cs="Arial"/>
                <w:sz w:val="20"/>
                <w:szCs w:val="20"/>
              </w:rPr>
            </w:pPr>
            <w:r>
              <w:rPr>
                <w:rFonts w:cs="Arial"/>
                <w:sz w:val="20"/>
                <w:szCs w:val="20"/>
              </w:rPr>
              <w:t>NOTE:  Measures are offered in the SDG&amp;E Direc</w:t>
            </w:r>
            <w:r w:rsidR="00402B3D">
              <w:rPr>
                <w:rFonts w:cs="Arial"/>
                <w:sz w:val="20"/>
                <w:szCs w:val="20"/>
              </w:rPr>
              <w:t xml:space="preserve">t Install program yet require </w:t>
            </w:r>
            <w:proofErr w:type="gramStart"/>
            <w:r w:rsidR="00402B3D">
              <w:rPr>
                <w:rFonts w:cs="Arial"/>
                <w:sz w:val="20"/>
                <w:szCs w:val="20"/>
              </w:rPr>
              <w:t xml:space="preserve">a </w:t>
            </w:r>
            <w:r>
              <w:rPr>
                <w:rFonts w:cs="Arial"/>
                <w:sz w:val="20"/>
                <w:szCs w:val="20"/>
              </w:rPr>
              <w:t>customer</w:t>
            </w:r>
            <w:proofErr w:type="gramEnd"/>
            <w:r>
              <w:rPr>
                <w:rFonts w:cs="Arial"/>
                <w:sz w:val="20"/>
                <w:szCs w:val="20"/>
              </w:rPr>
              <w:t xml:space="preserve"> co-pay and are treated as downstream deemed.</w:t>
            </w:r>
          </w:p>
        </w:tc>
      </w:tr>
      <w:tr w:rsidR="00DB71F1" w:rsidTr="00241A1F">
        <w:trPr>
          <w:cantSplit/>
        </w:trPr>
        <w:tc>
          <w:tcPr>
            <w:tcW w:w="2718" w:type="dxa"/>
          </w:tcPr>
          <w:p w:rsidR="00DB71F1" w:rsidRPr="001D77F7" w:rsidRDefault="00DB71F1" w:rsidP="00393EC8">
            <w:pPr>
              <w:rPr>
                <w:b/>
              </w:rPr>
            </w:pPr>
            <w:r w:rsidRPr="001D77F7">
              <w:rPr>
                <w:b/>
              </w:rPr>
              <w:t>1.4.1 DEER Data</w:t>
            </w:r>
          </w:p>
        </w:tc>
        <w:tc>
          <w:tcPr>
            <w:tcW w:w="6858" w:type="dxa"/>
          </w:tcPr>
          <w:p w:rsidR="00DB71F1" w:rsidRDefault="00DB71F1" w:rsidP="00393EC8"/>
        </w:tc>
      </w:tr>
      <w:tr w:rsidR="00A61271" w:rsidTr="00241A1F">
        <w:trPr>
          <w:cantSplit/>
        </w:trPr>
        <w:tc>
          <w:tcPr>
            <w:tcW w:w="2718" w:type="dxa"/>
            <w:vAlign w:val="center"/>
          </w:tcPr>
          <w:p w:rsidR="00A61271" w:rsidRPr="00822B6F" w:rsidRDefault="00A61271" w:rsidP="00393EC8">
            <w:pPr>
              <w:jc w:val="right"/>
              <w:rPr>
                <w:sz w:val="20"/>
                <w:szCs w:val="20"/>
              </w:rPr>
            </w:pPr>
            <w:r w:rsidRPr="00822B6F">
              <w:rPr>
                <w:sz w:val="20"/>
                <w:szCs w:val="20"/>
              </w:rPr>
              <w:t>Net-to-Gross Ratio</w:t>
            </w:r>
          </w:p>
        </w:tc>
        <w:tc>
          <w:tcPr>
            <w:tcW w:w="6858" w:type="dxa"/>
          </w:tcPr>
          <w:p w:rsidR="00A61271" w:rsidRPr="00D86243" w:rsidRDefault="00A61271" w:rsidP="00393EC8">
            <w:pPr>
              <w:tabs>
                <w:tab w:val="right" w:pos="6732"/>
              </w:tabs>
              <w:rPr>
                <w:rFonts w:cs="Arial"/>
                <w:sz w:val="20"/>
                <w:szCs w:val="20"/>
              </w:rPr>
            </w:pPr>
            <w:r w:rsidRPr="00A61271">
              <w:rPr>
                <w:rFonts w:cs="Arial"/>
                <w:sz w:val="20"/>
                <w:szCs w:val="20"/>
              </w:rPr>
              <w:t>Com-Default&gt;2yrs</w:t>
            </w:r>
          </w:p>
        </w:tc>
      </w:tr>
      <w:tr w:rsidR="00A61271" w:rsidTr="00241A1F">
        <w:trPr>
          <w:cantSplit/>
        </w:trPr>
        <w:tc>
          <w:tcPr>
            <w:tcW w:w="2718" w:type="dxa"/>
            <w:vAlign w:val="center"/>
          </w:tcPr>
          <w:p w:rsidR="00A61271" w:rsidRPr="00822B6F" w:rsidRDefault="00A61271" w:rsidP="00393EC8">
            <w:pPr>
              <w:jc w:val="right"/>
              <w:rPr>
                <w:sz w:val="20"/>
                <w:szCs w:val="20"/>
              </w:rPr>
            </w:pPr>
            <w:r w:rsidRPr="00822B6F">
              <w:rPr>
                <w:sz w:val="20"/>
                <w:szCs w:val="20"/>
              </w:rPr>
              <w:t>Effective and Remaining Useful Life</w:t>
            </w:r>
          </w:p>
        </w:tc>
        <w:tc>
          <w:tcPr>
            <w:tcW w:w="6858" w:type="dxa"/>
          </w:tcPr>
          <w:p w:rsidR="00796174" w:rsidRDefault="00796174">
            <w:pPr>
              <w:tabs>
                <w:tab w:val="right" w:pos="6732"/>
              </w:tabs>
              <w:rPr>
                <w:rFonts w:cs="Arial"/>
                <w:sz w:val="20"/>
                <w:szCs w:val="20"/>
              </w:rPr>
            </w:pPr>
            <w:r w:rsidRPr="00796174">
              <w:rPr>
                <w:rFonts w:cs="Arial"/>
                <w:sz w:val="20"/>
                <w:szCs w:val="20"/>
              </w:rPr>
              <w:t>Cook-</w:t>
            </w:r>
            <w:proofErr w:type="spellStart"/>
            <w:r w:rsidRPr="00796174">
              <w:rPr>
                <w:rFonts w:cs="Arial"/>
                <w:sz w:val="20"/>
                <w:szCs w:val="20"/>
              </w:rPr>
              <w:t>ElecStmCooker</w:t>
            </w:r>
            <w:proofErr w:type="spellEnd"/>
          </w:p>
          <w:p w:rsidR="00402B3D" w:rsidRPr="00D86243" w:rsidRDefault="00796174">
            <w:pPr>
              <w:tabs>
                <w:tab w:val="right" w:pos="6732"/>
              </w:tabs>
              <w:rPr>
                <w:rFonts w:cs="Arial"/>
                <w:sz w:val="20"/>
                <w:szCs w:val="20"/>
              </w:rPr>
            </w:pPr>
            <w:r w:rsidRPr="00796174">
              <w:rPr>
                <w:rFonts w:cs="Arial"/>
                <w:sz w:val="20"/>
                <w:szCs w:val="20"/>
              </w:rPr>
              <w:t>Cook-</w:t>
            </w:r>
            <w:proofErr w:type="spellStart"/>
            <w:r w:rsidRPr="00796174">
              <w:rPr>
                <w:rFonts w:cs="Arial"/>
                <w:sz w:val="20"/>
                <w:szCs w:val="20"/>
              </w:rPr>
              <w:t>GasStmCooker</w:t>
            </w:r>
            <w:proofErr w:type="spellEnd"/>
          </w:p>
        </w:tc>
      </w:tr>
      <w:tr w:rsidR="00A61271" w:rsidTr="00241A1F">
        <w:trPr>
          <w:cantSplit/>
        </w:trPr>
        <w:tc>
          <w:tcPr>
            <w:tcW w:w="2718" w:type="dxa"/>
            <w:vAlign w:val="center"/>
          </w:tcPr>
          <w:p w:rsidR="00A61271" w:rsidRPr="001D77F7" w:rsidRDefault="00A61271" w:rsidP="00393EC8">
            <w:pPr>
              <w:rPr>
                <w:b/>
              </w:rPr>
            </w:pPr>
            <w:r w:rsidRPr="001D77F7">
              <w:rPr>
                <w:b/>
              </w:rPr>
              <w:t>Section 2. Calculation Methodology</w:t>
            </w:r>
          </w:p>
        </w:tc>
        <w:tc>
          <w:tcPr>
            <w:tcW w:w="6858" w:type="dxa"/>
            <w:vAlign w:val="center"/>
          </w:tcPr>
          <w:p w:rsidR="00A61271" w:rsidRPr="00241A1F" w:rsidRDefault="008D0B3C">
            <w:pPr>
              <w:rPr>
                <w:rFonts w:cs="Arial"/>
                <w:sz w:val="20"/>
                <w:szCs w:val="20"/>
              </w:rPr>
            </w:pPr>
            <w:r>
              <w:rPr>
                <w:rFonts w:cs="Arial"/>
                <w:sz w:val="20"/>
                <w:szCs w:val="20"/>
              </w:rPr>
              <w:t>DEER</w:t>
            </w:r>
            <w:r w:rsidR="00DA5D17">
              <w:rPr>
                <w:rFonts w:cs="Arial"/>
                <w:sz w:val="20"/>
                <w:szCs w:val="20"/>
              </w:rPr>
              <w:t xml:space="preserve"> 2016</w:t>
            </w:r>
          </w:p>
        </w:tc>
      </w:tr>
      <w:tr w:rsidR="00A61271" w:rsidTr="00241A1F">
        <w:trPr>
          <w:cantSplit/>
        </w:trPr>
        <w:tc>
          <w:tcPr>
            <w:tcW w:w="2718" w:type="dxa"/>
            <w:vAlign w:val="center"/>
          </w:tcPr>
          <w:p w:rsidR="00A61271" w:rsidRDefault="00A61271" w:rsidP="00787D7C">
            <w:pPr>
              <w:jc w:val="right"/>
            </w:pPr>
            <w:r>
              <w:rPr>
                <w:rFonts w:cs="Arial"/>
                <w:sz w:val="20"/>
                <w:szCs w:val="20"/>
              </w:rPr>
              <w:lastRenderedPageBreak/>
              <w:t>Energy Savings/Peak Demand Reduction – All Measures</w:t>
            </w:r>
          </w:p>
        </w:tc>
        <w:tc>
          <w:tcPr>
            <w:tcW w:w="6858" w:type="dxa"/>
          </w:tcPr>
          <w:p w:rsidR="00CA48A0" w:rsidRPr="001752E5" w:rsidRDefault="00C24892" w:rsidP="00CA48A0">
            <w:pPr>
              <w:tabs>
                <w:tab w:val="right" w:pos="6732"/>
              </w:tabs>
              <w:jc w:val="both"/>
              <w:rPr>
                <w:rFonts w:cs="Arial"/>
                <w:b/>
                <w:sz w:val="20"/>
                <w:szCs w:val="20"/>
              </w:rPr>
            </w:pPr>
            <w:r>
              <w:rPr>
                <w:rFonts w:cs="Arial"/>
                <w:b/>
                <w:sz w:val="20"/>
                <w:szCs w:val="20"/>
              </w:rPr>
              <w:t>Electric Steam Cooker</w:t>
            </w:r>
            <w:r w:rsidR="00786E32">
              <w:rPr>
                <w:rFonts w:cs="Arial"/>
                <w:b/>
                <w:sz w:val="20"/>
                <w:szCs w:val="20"/>
              </w:rPr>
              <w:t xml:space="preserve"> (PG</w:t>
            </w:r>
            <w:r>
              <w:rPr>
                <w:rFonts w:cs="Arial"/>
                <w:b/>
                <w:sz w:val="20"/>
                <w:szCs w:val="20"/>
              </w:rPr>
              <w:t>&amp;E: F108</w:t>
            </w:r>
            <w:r w:rsidR="00786E32">
              <w:rPr>
                <w:rFonts w:cs="Arial"/>
                <w:b/>
                <w:sz w:val="20"/>
                <w:szCs w:val="20"/>
              </w:rPr>
              <w:t>)</w:t>
            </w:r>
            <w:r w:rsidR="001752E5">
              <w:rPr>
                <w:rFonts w:cs="Arial"/>
                <w:b/>
                <w:sz w:val="20"/>
                <w:szCs w:val="20"/>
              </w:rPr>
              <w:t xml:space="preserve"> (</w:t>
            </w:r>
            <w:r w:rsidR="00786E32">
              <w:rPr>
                <w:rFonts w:cs="Arial"/>
                <w:b/>
                <w:sz w:val="20"/>
                <w:szCs w:val="20"/>
              </w:rPr>
              <w:t xml:space="preserve">SDG&amp;E: </w:t>
            </w:r>
            <w:r>
              <w:rPr>
                <w:rFonts w:cs="Arial"/>
                <w:b/>
                <w:sz w:val="20"/>
                <w:szCs w:val="20"/>
              </w:rPr>
              <w:t>402135</w:t>
            </w:r>
            <w:r w:rsidR="001752E5">
              <w:rPr>
                <w:rFonts w:cs="Arial"/>
                <w:b/>
                <w:sz w:val="20"/>
                <w:szCs w:val="20"/>
              </w:rPr>
              <w:t>)</w:t>
            </w:r>
          </w:p>
          <w:p w:rsidR="00A61271" w:rsidRDefault="00CA48A0" w:rsidP="00CA48A0">
            <w:pPr>
              <w:tabs>
                <w:tab w:val="right" w:pos="6732"/>
              </w:tabs>
              <w:jc w:val="both"/>
              <w:rPr>
                <w:rFonts w:cs="Arial"/>
                <w:sz w:val="20"/>
                <w:szCs w:val="20"/>
              </w:rPr>
            </w:pPr>
            <w:r>
              <w:rPr>
                <w:rFonts w:cs="Arial"/>
                <w:sz w:val="20"/>
                <w:szCs w:val="20"/>
              </w:rPr>
              <w:t>Base Case Energy Consumption: So</w:t>
            </w:r>
            <w:r w:rsidR="00C24892">
              <w:rPr>
                <w:rFonts w:cs="Arial"/>
                <w:sz w:val="20"/>
                <w:szCs w:val="20"/>
              </w:rPr>
              <w:t>urce: PG&amp;E Calculations – 33,364</w:t>
            </w:r>
            <w:r>
              <w:rPr>
                <w:rFonts w:cs="Arial"/>
                <w:sz w:val="20"/>
                <w:szCs w:val="20"/>
              </w:rPr>
              <w:t xml:space="preserve"> kWh/yr</w:t>
            </w:r>
            <w:r w:rsidR="00C24892">
              <w:rPr>
                <w:rFonts w:cs="Arial"/>
                <w:sz w:val="20"/>
                <w:szCs w:val="20"/>
              </w:rPr>
              <w:t>; 7.62</w:t>
            </w:r>
            <w:r w:rsidR="0093657B">
              <w:rPr>
                <w:rFonts w:cs="Arial"/>
                <w:sz w:val="20"/>
                <w:szCs w:val="20"/>
              </w:rPr>
              <w:t xml:space="preserve"> kW</w:t>
            </w:r>
            <w:r w:rsidR="00786E32">
              <w:rPr>
                <w:rFonts w:cs="Arial"/>
                <w:sz w:val="20"/>
                <w:szCs w:val="20"/>
              </w:rPr>
              <w:t xml:space="preserve"> </w:t>
            </w:r>
          </w:p>
          <w:p w:rsidR="00CA48A0" w:rsidRDefault="00CA48A0" w:rsidP="00CA48A0">
            <w:pPr>
              <w:tabs>
                <w:tab w:val="right" w:pos="6732"/>
              </w:tabs>
              <w:jc w:val="both"/>
              <w:rPr>
                <w:rFonts w:cs="Arial"/>
                <w:sz w:val="20"/>
                <w:szCs w:val="20"/>
              </w:rPr>
            </w:pPr>
            <w:r>
              <w:rPr>
                <w:rFonts w:cs="Arial"/>
                <w:sz w:val="20"/>
                <w:szCs w:val="20"/>
              </w:rPr>
              <w:t>Measure Energy Consumption: So</w:t>
            </w:r>
            <w:r w:rsidR="00C24892">
              <w:rPr>
                <w:rFonts w:cs="Arial"/>
                <w:sz w:val="20"/>
                <w:szCs w:val="20"/>
              </w:rPr>
              <w:t>urce: PG&amp;E Calculations – 3,208</w:t>
            </w:r>
            <w:r>
              <w:rPr>
                <w:rFonts w:cs="Arial"/>
                <w:sz w:val="20"/>
                <w:szCs w:val="20"/>
              </w:rPr>
              <w:t xml:space="preserve"> kWh/yr</w:t>
            </w:r>
            <w:r w:rsidR="00C24892">
              <w:rPr>
                <w:rFonts w:cs="Arial"/>
                <w:sz w:val="20"/>
                <w:szCs w:val="20"/>
              </w:rPr>
              <w:t>; 0.73</w:t>
            </w:r>
            <w:r w:rsidR="0093657B">
              <w:rPr>
                <w:rFonts w:cs="Arial"/>
                <w:sz w:val="20"/>
                <w:szCs w:val="20"/>
              </w:rPr>
              <w:t xml:space="preserve"> kW</w:t>
            </w:r>
          </w:p>
          <w:p w:rsidR="00CA48A0" w:rsidRDefault="00CA48A0" w:rsidP="00CA48A0">
            <w:pPr>
              <w:tabs>
                <w:tab w:val="right" w:pos="6732"/>
              </w:tabs>
              <w:jc w:val="both"/>
              <w:rPr>
                <w:rFonts w:cs="Arial"/>
                <w:sz w:val="20"/>
                <w:szCs w:val="20"/>
              </w:rPr>
            </w:pPr>
            <w:r>
              <w:rPr>
                <w:rFonts w:cs="Arial"/>
                <w:sz w:val="20"/>
                <w:szCs w:val="20"/>
              </w:rPr>
              <w:t>Energy Savings (Base Case – Measure): Source: PG&amp;E Calculation</w:t>
            </w:r>
            <w:r w:rsidR="00C24892">
              <w:rPr>
                <w:rFonts w:cs="Arial"/>
                <w:sz w:val="20"/>
                <w:szCs w:val="20"/>
              </w:rPr>
              <w:t>s – 30,156 x 0.70 = 21,109</w:t>
            </w:r>
            <w:r>
              <w:rPr>
                <w:rFonts w:cs="Arial"/>
                <w:sz w:val="20"/>
                <w:szCs w:val="20"/>
              </w:rPr>
              <w:t xml:space="preserve"> kWh/yr</w:t>
            </w:r>
            <w:r w:rsidR="00C24892">
              <w:rPr>
                <w:rFonts w:cs="Arial"/>
                <w:sz w:val="20"/>
                <w:szCs w:val="20"/>
              </w:rPr>
              <w:t>; 0.6.89</w:t>
            </w:r>
            <w:r w:rsidR="0093657B">
              <w:rPr>
                <w:rFonts w:cs="Arial"/>
                <w:sz w:val="20"/>
                <w:szCs w:val="20"/>
              </w:rPr>
              <w:t xml:space="preserve"> kW x 0.90</w:t>
            </w:r>
            <w:r w:rsidR="00C24892">
              <w:rPr>
                <w:rFonts w:cs="Arial"/>
                <w:sz w:val="20"/>
                <w:szCs w:val="20"/>
              </w:rPr>
              <w:t xml:space="preserve"> x 0.70</w:t>
            </w:r>
            <w:r w:rsidR="0093657B">
              <w:rPr>
                <w:rFonts w:cs="Arial"/>
                <w:sz w:val="20"/>
                <w:szCs w:val="20"/>
              </w:rPr>
              <w:t xml:space="preserve"> (CDF)</w:t>
            </w:r>
            <w:r w:rsidR="00C24892">
              <w:rPr>
                <w:rFonts w:cs="Arial"/>
                <w:sz w:val="20"/>
                <w:szCs w:val="20"/>
              </w:rPr>
              <w:t xml:space="preserve"> = 4.34</w:t>
            </w:r>
            <w:r w:rsidR="0093657B">
              <w:rPr>
                <w:rFonts w:cs="Arial"/>
                <w:sz w:val="20"/>
                <w:szCs w:val="20"/>
              </w:rPr>
              <w:t xml:space="preserve"> kW</w:t>
            </w:r>
          </w:p>
          <w:p w:rsidR="00CA48A0" w:rsidRDefault="00CA48A0" w:rsidP="00CA48A0">
            <w:pPr>
              <w:tabs>
                <w:tab w:val="right" w:pos="6732"/>
              </w:tabs>
              <w:jc w:val="both"/>
              <w:rPr>
                <w:rFonts w:cs="Arial"/>
                <w:sz w:val="20"/>
                <w:szCs w:val="20"/>
              </w:rPr>
            </w:pPr>
          </w:p>
          <w:p w:rsidR="00CA48A0" w:rsidRPr="001752E5" w:rsidRDefault="00CA48A0" w:rsidP="00CA48A0">
            <w:pPr>
              <w:tabs>
                <w:tab w:val="right" w:pos="6732"/>
              </w:tabs>
              <w:jc w:val="both"/>
              <w:rPr>
                <w:rFonts w:cs="Arial"/>
                <w:b/>
                <w:sz w:val="20"/>
                <w:szCs w:val="20"/>
              </w:rPr>
            </w:pPr>
            <w:r w:rsidRPr="001752E5">
              <w:rPr>
                <w:rFonts w:cs="Arial"/>
                <w:b/>
                <w:sz w:val="20"/>
                <w:szCs w:val="20"/>
              </w:rPr>
              <w:t xml:space="preserve">Gas </w:t>
            </w:r>
            <w:r w:rsidR="00C24892">
              <w:rPr>
                <w:rFonts w:cs="Arial"/>
                <w:b/>
                <w:sz w:val="20"/>
                <w:szCs w:val="20"/>
              </w:rPr>
              <w:t>Steam Cooker (PG&amp;E: F109</w:t>
            </w:r>
            <w:r w:rsidR="00786E32">
              <w:rPr>
                <w:rFonts w:cs="Arial"/>
                <w:b/>
                <w:sz w:val="20"/>
                <w:szCs w:val="20"/>
              </w:rPr>
              <w:t>)</w:t>
            </w:r>
            <w:r w:rsidR="001752E5">
              <w:rPr>
                <w:rFonts w:cs="Arial"/>
                <w:b/>
                <w:sz w:val="20"/>
                <w:szCs w:val="20"/>
              </w:rPr>
              <w:t xml:space="preserve"> (</w:t>
            </w:r>
            <w:r w:rsidR="00786E32">
              <w:rPr>
                <w:rFonts w:cs="Arial"/>
                <w:b/>
                <w:sz w:val="20"/>
                <w:szCs w:val="20"/>
              </w:rPr>
              <w:t xml:space="preserve">SDG&amp;E: </w:t>
            </w:r>
            <w:r w:rsidR="00C24892">
              <w:rPr>
                <w:rFonts w:cs="Arial"/>
                <w:b/>
                <w:sz w:val="20"/>
                <w:szCs w:val="20"/>
              </w:rPr>
              <w:t>402136</w:t>
            </w:r>
            <w:r w:rsidR="001752E5">
              <w:rPr>
                <w:rFonts w:cs="Arial"/>
                <w:b/>
                <w:sz w:val="20"/>
                <w:szCs w:val="20"/>
              </w:rPr>
              <w:t>)</w:t>
            </w:r>
          </w:p>
          <w:p w:rsidR="00CA48A0" w:rsidRPr="00CA48A0" w:rsidRDefault="00CA48A0" w:rsidP="00CA48A0">
            <w:pPr>
              <w:tabs>
                <w:tab w:val="right" w:pos="6732"/>
              </w:tabs>
              <w:jc w:val="both"/>
              <w:rPr>
                <w:rFonts w:cs="Arial"/>
                <w:sz w:val="20"/>
                <w:szCs w:val="20"/>
              </w:rPr>
            </w:pPr>
            <w:r w:rsidRPr="00CA48A0">
              <w:rPr>
                <w:rFonts w:cs="Arial"/>
                <w:sz w:val="20"/>
                <w:szCs w:val="20"/>
              </w:rPr>
              <w:t>Base Case Energy Consumption: Source: PG&amp;E Calculations –</w:t>
            </w:r>
            <w:r w:rsidR="00C24892">
              <w:rPr>
                <w:rFonts w:cs="Arial"/>
                <w:sz w:val="20"/>
                <w:szCs w:val="20"/>
              </w:rPr>
              <w:t xml:space="preserve"> 3,942</w:t>
            </w:r>
            <w:r>
              <w:rPr>
                <w:rFonts w:cs="Arial"/>
                <w:sz w:val="20"/>
                <w:szCs w:val="20"/>
              </w:rPr>
              <w:t xml:space="preserve"> therms/yr</w:t>
            </w:r>
          </w:p>
          <w:p w:rsidR="00CA48A0" w:rsidRPr="00CA48A0" w:rsidRDefault="00CA48A0" w:rsidP="00CA48A0">
            <w:pPr>
              <w:tabs>
                <w:tab w:val="right" w:pos="6732"/>
              </w:tabs>
              <w:jc w:val="both"/>
              <w:rPr>
                <w:rFonts w:cs="Arial"/>
                <w:sz w:val="20"/>
                <w:szCs w:val="20"/>
              </w:rPr>
            </w:pPr>
            <w:r w:rsidRPr="00CA48A0">
              <w:rPr>
                <w:rFonts w:cs="Arial"/>
                <w:sz w:val="20"/>
                <w:szCs w:val="20"/>
              </w:rPr>
              <w:t>Measure Energy Consumption: Source: PG&amp;E Calculations –</w:t>
            </w:r>
            <w:r w:rsidR="00C24892">
              <w:rPr>
                <w:rFonts w:cs="Arial"/>
                <w:sz w:val="20"/>
                <w:szCs w:val="20"/>
              </w:rPr>
              <w:t xml:space="preserve"> 235</w:t>
            </w:r>
            <w:r>
              <w:rPr>
                <w:rFonts w:cs="Arial"/>
                <w:sz w:val="20"/>
                <w:szCs w:val="20"/>
              </w:rPr>
              <w:t xml:space="preserve"> therms/yr</w:t>
            </w:r>
          </w:p>
          <w:p w:rsidR="00CA48A0" w:rsidRPr="00CA48A0" w:rsidRDefault="00CA48A0" w:rsidP="00CA48A0">
            <w:pPr>
              <w:tabs>
                <w:tab w:val="right" w:pos="6732"/>
              </w:tabs>
              <w:jc w:val="both"/>
              <w:rPr>
                <w:rFonts w:cs="Arial"/>
                <w:sz w:val="20"/>
                <w:szCs w:val="20"/>
              </w:rPr>
            </w:pPr>
            <w:r w:rsidRPr="00CA48A0">
              <w:rPr>
                <w:rFonts w:cs="Arial"/>
                <w:sz w:val="20"/>
                <w:szCs w:val="20"/>
              </w:rPr>
              <w:t>Energy Savings (Base Case – Measure): Source: PG&amp;E Calculations –</w:t>
            </w:r>
            <w:r>
              <w:rPr>
                <w:rFonts w:cs="Arial"/>
                <w:sz w:val="20"/>
                <w:szCs w:val="20"/>
              </w:rPr>
              <w:t xml:space="preserve"> </w:t>
            </w:r>
            <w:r w:rsidR="00C24892">
              <w:rPr>
                <w:rFonts w:cs="Arial"/>
                <w:sz w:val="20"/>
                <w:szCs w:val="20"/>
              </w:rPr>
              <w:t>3,707</w:t>
            </w:r>
            <w:r>
              <w:rPr>
                <w:rFonts w:cs="Arial"/>
                <w:sz w:val="20"/>
                <w:szCs w:val="20"/>
              </w:rPr>
              <w:t xml:space="preserve"> therms</w:t>
            </w:r>
            <w:r w:rsidRPr="00CA48A0">
              <w:rPr>
                <w:rFonts w:cs="Arial"/>
                <w:sz w:val="20"/>
                <w:szCs w:val="20"/>
              </w:rPr>
              <w:t>/yr</w:t>
            </w:r>
            <w:r w:rsidR="00C24892">
              <w:rPr>
                <w:rFonts w:cs="Arial"/>
                <w:sz w:val="20"/>
                <w:szCs w:val="20"/>
              </w:rPr>
              <w:t xml:space="preserve"> x 0.70 = 2,595</w:t>
            </w:r>
            <w:r w:rsidR="0093657B">
              <w:rPr>
                <w:rFonts w:cs="Arial"/>
                <w:sz w:val="20"/>
                <w:szCs w:val="20"/>
              </w:rPr>
              <w:t xml:space="preserve"> therms/yr</w:t>
            </w:r>
          </w:p>
          <w:p w:rsidR="00CA48A0" w:rsidRPr="00555671" w:rsidRDefault="00CA48A0" w:rsidP="00CA48A0">
            <w:pPr>
              <w:tabs>
                <w:tab w:val="right" w:pos="6732"/>
              </w:tabs>
              <w:jc w:val="both"/>
              <w:rPr>
                <w:rFonts w:cs="Arial"/>
                <w:sz w:val="20"/>
                <w:szCs w:val="20"/>
              </w:rPr>
            </w:pPr>
          </w:p>
        </w:tc>
      </w:tr>
      <w:tr w:rsidR="00A61271" w:rsidTr="00241A1F">
        <w:trPr>
          <w:cantSplit/>
        </w:trPr>
        <w:tc>
          <w:tcPr>
            <w:tcW w:w="2718" w:type="dxa"/>
            <w:vAlign w:val="center"/>
          </w:tcPr>
          <w:p w:rsidR="00A61271" w:rsidRPr="001D77F7" w:rsidRDefault="00A61271" w:rsidP="00393EC8">
            <w:pPr>
              <w:rPr>
                <w:b/>
              </w:rPr>
            </w:pPr>
            <w:r w:rsidRPr="001D77F7">
              <w:rPr>
                <w:b/>
              </w:rPr>
              <w:t>Section 3. Load Shapes</w:t>
            </w:r>
          </w:p>
        </w:tc>
        <w:tc>
          <w:tcPr>
            <w:tcW w:w="6858" w:type="dxa"/>
          </w:tcPr>
          <w:p w:rsidR="00A61271" w:rsidRDefault="004519B4">
            <w:pPr>
              <w:tabs>
                <w:tab w:val="right" w:pos="6732"/>
              </w:tabs>
              <w:rPr>
                <w:rFonts w:cstheme="minorHAnsi"/>
                <w:bCs/>
                <w:sz w:val="20"/>
              </w:rPr>
            </w:pPr>
            <w:r w:rsidRPr="004519B4">
              <w:rPr>
                <w:rFonts w:cstheme="minorHAnsi"/>
                <w:bCs/>
                <w:sz w:val="20"/>
              </w:rPr>
              <w:t>SDG:35-OTI-OtherIndustrial-PROC_OTH</w:t>
            </w:r>
          </w:p>
          <w:p w:rsidR="004519B4" w:rsidRPr="00476F40" w:rsidRDefault="004519B4">
            <w:pPr>
              <w:tabs>
                <w:tab w:val="right" w:pos="6732"/>
              </w:tabs>
              <w:rPr>
                <w:rFonts w:cs="Arial"/>
                <w:sz w:val="20"/>
                <w:szCs w:val="20"/>
              </w:rPr>
            </w:pPr>
            <w:proofErr w:type="spellStart"/>
            <w:r>
              <w:rPr>
                <w:rFonts w:cstheme="minorHAnsi"/>
                <w:bCs/>
                <w:sz w:val="20"/>
              </w:rPr>
              <w:t>WinterOnly</w:t>
            </w:r>
            <w:proofErr w:type="spellEnd"/>
          </w:p>
        </w:tc>
      </w:tr>
      <w:tr w:rsidR="00A61271" w:rsidTr="00241A1F">
        <w:trPr>
          <w:cantSplit/>
        </w:trPr>
        <w:tc>
          <w:tcPr>
            <w:tcW w:w="2718" w:type="dxa"/>
            <w:vAlign w:val="center"/>
          </w:tcPr>
          <w:p w:rsidR="00A61271" w:rsidRPr="001D77F7" w:rsidRDefault="00A61271" w:rsidP="00393EC8">
            <w:pPr>
              <w:rPr>
                <w:b/>
              </w:rPr>
            </w:pPr>
            <w:r w:rsidRPr="001D77F7">
              <w:rPr>
                <w:b/>
              </w:rPr>
              <w:t>Section 4. Costs</w:t>
            </w:r>
          </w:p>
        </w:tc>
        <w:tc>
          <w:tcPr>
            <w:tcW w:w="6858" w:type="dxa"/>
          </w:tcPr>
          <w:p w:rsidR="00A61271" w:rsidRPr="00476F40" w:rsidRDefault="00A61271" w:rsidP="00C048F4">
            <w:pPr>
              <w:rPr>
                <w:rFonts w:cs="Arial"/>
                <w:sz w:val="20"/>
                <w:szCs w:val="20"/>
              </w:rPr>
            </w:pPr>
          </w:p>
        </w:tc>
      </w:tr>
      <w:tr w:rsidR="00A61271" w:rsidRPr="00393EC8" w:rsidTr="00393EC8">
        <w:trPr>
          <w:cantSplit/>
        </w:trPr>
        <w:tc>
          <w:tcPr>
            <w:tcW w:w="2718" w:type="dxa"/>
          </w:tcPr>
          <w:p w:rsidR="00A61271" w:rsidRPr="00393EC8" w:rsidRDefault="00A61271">
            <w:pPr>
              <w:rPr>
                <w:b/>
              </w:rPr>
            </w:pPr>
            <w:r w:rsidRPr="00393EC8">
              <w:rPr>
                <w:b/>
              </w:rPr>
              <w:t xml:space="preserve">Section 4.1 </w:t>
            </w:r>
            <w:r w:rsidR="00695478">
              <w:rPr>
                <w:b/>
              </w:rPr>
              <w:t>Base and Measure Costs</w:t>
            </w:r>
          </w:p>
        </w:tc>
        <w:tc>
          <w:tcPr>
            <w:tcW w:w="6858" w:type="dxa"/>
          </w:tcPr>
          <w:p w:rsidR="00A61271" w:rsidRPr="00393EC8" w:rsidRDefault="00A61271" w:rsidP="00393EC8">
            <w:pPr>
              <w:rPr>
                <w:b/>
              </w:rPr>
            </w:pPr>
          </w:p>
        </w:tc>
      </w:tr>
      <w:tr w:rsidR="00E05871" w:rsidTr="00241A1F">
        <w:trPr>
          <w:cantSplit/>
        </w:trPr>
        <w:tc>
          <w:tcPr>
            <w:tcW w:w="2718" w:type="dxa"/>
          </w:tcPr>
          <w:p w:rsidR="00E05871" w:rsidRPr="00822B6F" w:rsidRDefault="00E05871" w:rsidP="00E05871">
            <w:pPr>
              <w:jc w:val="right"/>
              <w:rPr>
                <w:sz w:val="20"/>
                <w:szCs w:val="20"/>
              </w:rPr>
            </w:pPr>
            <w:r w:rsidRPr="00822B6F">
              <w:rPr>
                <w:sz w:val="20"/>
                <w:szCs w:val="20"/>
              </w:rPr>
              <w:t>Base Cost</w:t>
            </w:r>
          </w:p>
        </w:tc>
        <w:tc>
          <w:tcPr>
            <w:tcW w:w="6858" w:type="dxa"/>
          </w:tcPr>
          <w:p w:rsidR="00E05871" w:rsidRDefault="00E05871" w:rsidP="00E05871">
            <w:pPr>
              <w:tabs>
                <w:tab w:val="right" w:pos="6732"/>
              </w:tabs>
              <w:rPr>
                <w:rFonts w:cs="Arial"/>
                <w:sz w:val="20"/>
                <w:szCs w:val="20"/>
              </w:rPr>
            </w:pPr>
          </w:p>
        </w:tc>
      </w:tr>
      <w:tr w:rsidR="00A61271" w:rsidTr="00241A1F">
        <w:trPr>
          <w:cantSplit/>
        </w:trPr>
        <w:tc>
          <w:tcPr>
            <w:tcW w:w="2718" w:type="dxa"/>
          </w:tcPr>
          <w:p w:rsidR="00A61271" w:rsidRPr="00822B6F" w:rsidRDefault="00E35D68">
            <w:pPr>
              <w:jc w:val="right"/>
              <w:rPr>
                <w:sz w:val="20"/>
                <w:szCs w:val="20"/>
              </w:rPr>
            </w:pPr>
            <w:r>
              <w:rPr>
                <w:sz w:val="20"/>
                <w:szCs w:val="20"/>
              </w:rPr>
              <w:t>402135</w:t>
            </w:r>
          </w:p>
        </w:tc>
        <w:tc>
          <w:tcPr>
            <w:tcW w:w="6858" w:type="dxa"/>
          </w:tcPr>
          <w:p w:rsidR="00A61271" w:rsidRPr="00476F40" w:rsidRDefault="00E35D68">
            <w:pPr>
              <w:tabs>
                <w:tab w:val="right" w:pos="6732"/>
              </w:tabs>
              <w:rPr>
                <w:rFonts w:cs="Arial"/>
                <w:sz w:val="20"/>
                <w:szCs w:val="20"/>
              </w:rPr>
            </w:pPr>
            <w:r>
              <w:rPr>
                <w:rFonts w:cs="Arial"/>
                <w:sz w:val="20"/>
                <w:szCs w:val="20"/>
              </w:rPr>
              <w:t>$5,463</w:t>
            </w:r>
            <w:r w:rsidR="00695478">
              <w:rPr>
                <w:rFonts w:cs="Arial"/>
                <w:sz w:val="20"/>
                <w:szCs w:val="20"/>
              </w:rPr>
              <w:t xml:space="preserve"> (</w:t>
            </w:r>
            <w:r>
              <w:rPr>
                <w:rFonts w:cs="Arial"/>
                <w:sz w:val="20"/>
                <w:szCs w:val="20"/>
              </w:rPr>
              <w:t>PG&amp;E F108</w:t>
            </w:r>
            <w:r w:rsidR="00695478">
              <w:rPr>
                <w:rFonts w:cs="Arial"/>
                <w:sz w:val="20"/>
                <w:szCs w:val="20"/>
              </w:rPr>
              <w:t>)</w:t>
            </w:r>
          </w:p>
        </w:tc>
      </w:tr>
      <w:tr w:rsidR="00E05871" w:rsidTr="00241A1F">
        <w:trPr>
          <w:cantSplit/>
        </w:trPr>
        <w:tc>
          <w:tcPr>
            <w:tcW w:w="2718" w:type="dxa"/>
          </w:tcPr>
          <w:p w:rsidR="00E05871" w:rsidRPr="00822B6F" w:rsidRDefault="00E35D68" w:rsidP="00393EC8">
            <w:pPr>
              <w:jc w:val="right"/>
              <w:rPr>
                <w:sz w:val="20"/>
                <w:szCs w:val="20"/>
              </w:rPr>
            </w:pPr>
            <w:r>
              <w:rPr>
                <w:sz w:val="20"/>
                <w:szCs w:val="20"/>
              </w:rPr>
              <w:t>402136</w:t>
            </w:r>
          </w:p>
        </w:tc>
        <w:tc>
          <w:tcPr>
            <w:tcW w:w="6858" w:type="dxa"/>
          </w:tcPr>
          <w:p w:rsidR="00E05871" w:rsidRDefault="00E35D68" w:rsidP="00653B2E">
            <w:pPr>
              <w:tabs>
                <w:tab w:val="right" w:pos="6732"/>
              </w:tabs>
              <w:rPr>
                <w:rFonts w:cs="Arial"/>
                <w:sz w:val="20"/>
                <w:szCs w:val="20"/>
              </w:rPr>
            </w:pPr>
            <w:r>
              <w:rPr>
                <w:rFonts w:cs="Arial"/>
                <w:sz w:val="20"/>
                <w:szCs w:val="20"/>
              </w:rPr>
              <w:t>$</w:t>
            </w:r>
            <w:r w:rsidR="00653B2E">
              <w:rPr>
                <w:rFonts w:cs="Arial"/>
                <w:sz w:val="20"/>
                <w:szCs w:val="20"/>
              </w:rPr>
              <w:t>8,636</w:t>
            </w:r>
            <w:r w:rsidR="00653B2E">
              <w:rPr>
                <w:rStyle w:val="CommentReference"/>
              </w:rPr>
              <w:t xml:space="preserve"> (</w:t>
            </w:r>
            <w:r>
              <w:rPr>
                <w:rFonts w:cs="Arial"/>
                <w:sz w:val="20"/>
                <w:szCs w:val="20"/>
              </w:rPr>
              <w:t>PG&amp;E F109</w:t>
            </w:r>
            <w:r w:rsidR="00695478">
              <w:rPr>
                <w:rFonts w:cs="Arial"/>
                <w:sz w:val="20"/>
                <w:szCs w:val="20"/>
              </w:rPr>
              <w:t>)</w:t>
            </w:r>
          </w:p>
        </w:tc>
      </w:tr>
      <w:tr w:rsidR="00A61271" w:rsidTr="00241A1F">
        <w:trPr>
          <w:cantSplit/>
        </w:trPr>
        <w:tc>
          <w:tcPr>
            <w:tcW w:w="2718" w:type="dxa"/>
          </w:tcPr>
          <w:p w:rsidR="00A61271" w:rsidRPr="00822B6F" w:rsidRDefault="00A61271">
            <w:pPr>
              <w:jc w:val="right"/>
              <w:rPr>
                <w:sz w:val="20"/>
                <w:szCs w:val="20"/>
              </w:rPr>
            </w:pPr>
            <w:r w:rsidRPr="00822B6F">
              <w:rPr>
                <w:sz w:val="20"/>
                <w:szCs w:val="20"/>
              </w:rPr>
              <w:t xml:space="preserve">Measure Cost </w:t>
            </w:r>
          </w:p>
        </w:tc>
        <w:tc>
          <w:tcPr>
            <w:tcW w:w="6858" w:type="dxa"/>
          </w:tcPr>
          <w:p w:rsidR="00A61271" w:rsidRPr="00476F40" w:rsidRDefault="00A61271">
            <w:pPr>
              <w:tabs>
                <w:tab w:val="right" w:pos="6732"/>
              </w:tabs>
              <w:rPr>
                <w:rFonts w:cs="Arial"/>
                <w:sz w:val="20"/>
                <w:szCs w:val="20"/>
              </w:rPr>
            </w:pPr>
            <w:r>
              <w:rPr>
                <w:rFonts w:cs="Arial"/>
                <w:sz w:val="20"/>
                <w:szCs w:val="20"/>
              </w:rPr>
              <w:tab/>
            </w:r>
          </w:p>
        </w:tc>
      </w:tr>
      <w:tr w:rsidR="00591D85" w:rsidTr="00241A1F">
        <w:trPr>
          <w:cantSplit/>
        </w:trPr>
        <w:tc>
          <w:tcPr>
            <w:tcW w:w="2718" w:type="dxa"/>
          </w:tcPr>
          <w:p w:rsidR="00591D85" w:rsidRPr="00822B6F" w:rsidRDefault="00E35D68" w:rsidP="00393EC8">
            <w:pPr>
              <w:jc w:val="right"/>
              <w:rPr>
                <w:sz w:val="20"/>
                <w:szCs w:val="20"/>
              </w:rPr>
            </w:pPr>
            <w:r>
              <w:rPr>
                <w:sz w:val="20"/>
                <w:szCs w:val="20"/>
              </w:rPr>
              <w:t>402135</w:t>
            </w:r>
          </w:p>
        </w:tc>
        <w:tc>
          <w:tcPr>
            <w:tcW w:w="6858" w:type="dxa"/>
          </w:tcPr>
          <w:p w:rsidR="00591D85" w:rsidRDefault="00653B2E" w:rsidP="00653B2E">
            <w:pPr>
              <w:tabs>
                <w:tab w:val="right" w:pos="6732"/>
              </w:tabs>
              <w:rPr>
                <w:rFonts w:cs="Arial"/>
                <w:sz w:val="20"/>
                <w:szCs w:val="20"/>
              </w:rPr>
            </w:pPr>
            <w:r>
              <w:rPr>
                <w:rFonts w:cs="Arial"/>
                <w:sz w:val="20"/>
                <w:szCs w:val="20"/>
              </w:rPr>
              <w:t>$7,594 (</w:t>
            </w:r>
            <w:r w:rsidR="00E35D68">
              <w:rPr>
                <w:rFonts w:cs="Arial"/>
                <w:sz w:val="20"/>
                <w:szCs w:val="20"/>
              </w:rPr>
              <w:t>PG&amp;E F108</w:t>
            </w:r>
            <w:r w:rsidR="001752E5">
              <w:rPr>
                <w:rFonts w:cs="Arial"/>
                <w:sz w:val="20"/>
                <w:szCs w:val="20"/>
              </w:rPr>
              <w:t>)</w:t>
            </w:r>
            <w:r w:rsidR="00591D85">
              <w:rPr>
                <w:rFonts w:cs="Arial"/>
                <w:sz w:val="20"/>
                <w:szCs w:val="20"/>
              </w:rPr>
              <w:t xml:space="preserve"> </w:t>
            </w:r>
          </w:p>
        </w:tc>
      </w:tr>
      <w:tr w:rsidR="00591D85" w:rsidTr="00241A1F">
        <w:trPr>
          <w:cantSplit/>
        </w:trPr>
        <w:tc>
          <w:tcPr>
            <w:tcW w:w="2718" w:type="dxa"/>
          </w:tcPr>
          <w:p w:rsidR="00591D85" w:rsidRPr="00822B6F" w:rsidRDefault="00E35D68" w:rsidP="00393EC8">
            <w:pPr>
              <w:jc w:val="right"/>
              <w:rPr>
                <w:sz w:val="20"/>
                <w:szCs w:val="20"/>
              </w:rPr>
            </w:pPr>
            <w:r>
              <w:rPr>
                <w:sz w:val="20"/>
                <w:szCs w:val="20"/>
              </w:rPr>
              <w:t>402136</w:t>
            </w:r>
          </w:p>
        </w:tc>
        <w:tc>
          <w:tcPr>
            <w:tcW w:w="6858" w:type="dxa"/>
          </w:tcPr>
          <w:p w:rsidR="00591D85" w:rsidRDefault="00E35D68">
            <w:pPr>
              <w:tabs>
                <w:tab w:val="right" w:pos="6732"/>
              </w:tabs>
              <w:rPr>
                <w:rFonts w:cs="Arial"/>
                <w:sz w:val="20"/>
                <w:szCs w:val="20"/>
              </w:rPr>
            </w:pPr>
            <w:r>
              <w:rPr>
                <w:rFonts w:cs="Arial"/>
                <w:sz w:val="20"/>
                <w:szCs w:val="20"/>
              </w:rPr>
              <w:t>$11,537 (PG&amp;E F109</w:t>
            </w:r>
            <w:r w:rsidR="001752E5">
              <w:rPr>
                <w:rFonts w:cs="Arial"/>
                <w:sz w:val="20"/>
                <w:szCs w:val="20"/>
              </w:rPr>
              <w:t>)</w:t>
            </w:r>
          </w:p>
        </w:tc>
      </w:tr>
    </w:tbl>
    <w:p w:rsidR="001B5D6C" w:rsidRDefault="001B5D6C" w:rsidP="00FE636E">
      <w:pPr>
        <w:spacing w:after="200" w:line="276" w:lineRule="auto"/>
      </w:pPr>
    </w:p>
    <w:p w:rsidR="00C228B0" w:rsidRPr="00FD3D43" w:rsidRDefault="00C228B0" w:rsidP="00567FEF"/>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8B4" w:rsidRDefault="00B818B4" w:rsidP="00FE520B">
      <w:r>
        <w:separator/>
      </w:r>
    </w:p>
  </w:endnote>
  <w:endnote w:type="continuationSeparator" w:id="0">
    <w:p w:rsidR="00B818B4" w:rsidRDefault="00B818B4" w:rsidP="00FE520B">
      <w:r>
        <w:continuationSeparator/>
      </w:r>
    </w:p>
  </w:endnote>
  <w:endnote w:id="1">
    <w:p w:rsidR="00D00FCF" w:rsidRDefault="00D00FCF" w:rsidP="00D00FCF">
      <w:pPr>
        <w:pStyle w:val="EndnoteText"/>
        <w:rPr>
          <w:sz w:val="22"/>
          <w:szCs w:val="22"/>
          <w:lang w:val="en-US"/>
        </w:rPr>
      </w:pPr>
      <w:r>
        <w:rPr>
          <w:lang w:val="en-US"/>
        </w:rPr>
        <w:tab/>
      </w:r>
      <w:r>
        <w:rPr>
          <w:rStyle w:val="EndnoteReference"/>
        </w:rPr>
        <w:endnoteRef/>
      </w:r>
      <w:r>
        <w:t xml:space="preserve"> </w:t>
      </w:r>
      <w:r w:rsidRPr="00D56941">
        <w:rPr>
          <w:sz w:val="22"/>
          <w:szCs w:val="22"/>
        </w:rPr>
        <w:t xml:space="preserve">2005 California Energy Commission (CEC) Title 20 Appliance Efficiency Regulations, CEC </w:t>
      </w:r>
      <w:r>
        <w:rPr>
          <w:sz w:val="22"/>
          <w:szCs w:val="22"/>
          <w:lang w:val="en-US"/>
        </w:rPr>
        <w:tab/>
      </w:r>
      <w:r w:rsidRPr="00D56941">
        <w:rPr>
          <w:sz w:val="22"/>
          <w:szCs w:val="22"/>
        </w:rPr>
        <w:t>400-2005-012, p. 69</w:t>
      </w:r>
    </w:p>
    <w:p w:rsidR="00D00FCF" w:rsidRPr="00B4516B" w:rsidRDefault="00D00FCF" w:rsidP="00D00FCF">
      <w:pPr>
        <w:pStyle w:val="EndnoteText"/>
        <w:rPr>
          <w:sz w:val="22"/>
          <w:szCs w:val="22"/>
          <w:lang w:val="en-US"/>
        </w:rPr>
      </w:pPr>
    </w:p>
  </w:endnote>
  <w:endnote w:id="2">
    <w:p w:rsidR="00D00FCF" w:rsidRDefault="00D00FCF" w:rsidP="00D00FCF">
      <w:pPr>
        <w:ind w:left="540" w:hanging="180"/>
      </w:pPr>
      <w:r>
        <w:tab/>
        <w:t xml:space="preserve">  </w:t>
      </w:r>
      <w:r>
        <w:rPr>
          <w:rStyle w:val="EndnoteReference"/>
        </w:rPr>
        <w:endnoteRef/>
      </w:r>
      <w:r>
        <w:t xml:space="preserve"> </w:t>
      </w:r>
      <w:r w:rsidRPr="008F64E4">
        <w:t>American Society for Testing and Materials</w:t>
      </w:r>
      <w:r>
        <w:t>,</w:t>
      </w:r>
      <w:r w:rsidRPr="008F64E4">
        <w:t xml:space="preserve"> </w:t>
      </w:r>
      <w:r w:rsidRPr="008F64E4">
        <w:rPr>
          <w:i/>
          <w:iCs/>
        </w:rPr>
        <w:t xml:space="preserve">Standard Test Method for the Performance </w:t>
      </w:r>
      <w:r>
        <w:rPr>
          <w:i/>
          <w:iCs/>
        </w:rPr>
        <w:tab/>
      </w:r>
      <w:r w:rsidRPr="008F64E4">
        <w:rPr>
          <w:i/>
          <w:iCs/>
        </w:rPr>
        <w:t>of Steam Cookers</w:t>
      </w:r>
      <w:r>
        <w:t>;</w:t>
      </w:r>
      <w:r w:rsidRPr="008F64E4">
        <w:t xml:space="preserve"> ASTM Designation F1484, in Annual Book of ASTM S</w:t>
      </w:r>
      <w:r>
        <w:t xml:space="preserve">tandards, West </w:t>
      </w:r>
      <w:r>
        <w:tab/>
        <w:t>Conshohocken, PA</w:t>
      </w:r>
    </w:p>
    <w:p w:rsidR="00D00FCF" w:rsidRPr="0071029A" w:rsidRDefault="00D00FCF" w:rsidP="00D00FCF">
      <w:pPr>
        <w:pStyle w:val="EndnoteText"/>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E00" w:rsidRPr="00241A1F" w:rsidRDefault="00B57F32" w:rsidP="00241A1F">
    <w:pPr>
      <w:pStyle w:val="Footer"/>
      <w:rPr>
        <w:rFonts w:cstheme="minorHAnsi"/>
        <w:b/>
        <w:szCs w:val="22"/>
      </w:rPr>
    </w:pPr>
    <w:r>
      <w:rPr>
        <w:b/>
      </w:rPr>
      <w:t xml:space="preserve">Workpaper </w:t>
    </w:r>
    <w:r w:rsidR="002C15E6">
      <w:rPr>
        <w:b/>
      </w:rPr>
      <w:t>WPSDGENRCC0014</w:t>
    </w:r>
    <w:r>
      <w:rPr>
        <w:b/>
      </w:rPr>
      <w:t xml:space="preserve">, Revision </w:t>
    </w:r>
    <w:r w:rsidR="002C15E6">
      <w:rPr>
        <w:b/>
      </w:rPr>
      <w:t>4</w:t>
    </w:r>
    <w:r w:rsidR="00E372B8">
      <w:rPr>
        <w:b/>
      </w:rPr>
      <w:tab/>
    </w:r>
    <w:r w:rsidR="00E372B8">
      <w:rPr>
        <w:b/>
      </w:rPr>
      <w:tab/>
    </w:r>
    <w:r w:rsidR="00E35D68">
      <w:rPr>
        <w:rFonts w:cstheme="minorHAnsi"/>
        <w:b/>
        <w:szCs w:val="22"/>
      </w:rPr>
      <w:t>December</w:t>
    </w:r>
    <w:r w:rsidR="003E6E57">
      <w:rPr>
        <w:rFonts w:cstheme="minorHAnsi"/>
        <w:b/>
        <w:szCs w:val="22"/>
      </w:rPr>
      <w:t xml:space="preserve"> </w:t>
    </w:r>
    <w:r w:rsidR="00653B2E">
      <w:rPr>
        <w:rFonts w:cstheme="minorHAnsi"/>
        <w:b/>
        <w:szCs w:val="22"/>
      </w:rPr>
      <w:t>27</w:t>
    </w:r>
    <w:r w:rsidR="00E372B8" w:rsidRPr="00241A1F">
      <w:rPr>
        <w:rFonts w:cstheme="minorHAnsi"/>
        <w:b/>
        <w:szCs w:val="22"/>
      </w:rPr>
      <w:t>, 2016</w:t>
    </w:r>
  </w:p>
  <w:p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653B2E">
      <w:rPr>
        <w:b/>
        <w:noProof/>
      </w:rPr>
      <w:t>2</w:t>
    </w:r>
    <w:r w:rsidR="00C7215A" w:rsidRPr="00C7215A">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8B4" w:rsidRDefault="00B818B4" w:rsidP="00FE520B">
      <w:r>
        <w:separator/>
      </w:r>
    </w:p>
  </w:footnote>
  <w:footnote w:type="continuationSeparator" w:id="0">
    <w:p w:rsidR="00B818B4" w:rsidRDefault="00B818B4" w:rsidP="00FE52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7">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8"/>
  </w:num>
  <w:num w:numId="6">
    <w:abstractNumId w:val="3"/>
  </w:num>
  <w:num w:numId="7">
    <w:abstractNumId w:val="12"/>
  </w:num>
  <w:num w:numId="8">
    <w:abstractNumId w:val="9"/>
  </w:num>
  <w:num w:numId="9">
    <w:abstractNumId w:val="4"/>
  </w:num>
  <w:num w:numId="10">
    <w:abstractNumId w:val="10"/>
  </w:num>
  <w:num w:numId="11">
    <w:abstractNumId w:val="11"/>
  </w:num>
  <w:num w:numId="12">
    <w:abstractNumId w:val="7"/>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revisionView w:markup="0"/>
  <w:defaultTabStop w:val="720"/>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7C6"/>
    <w:rsid w:val="00004D4E"/>
    <w:rsid w:val="00023C32"/>
    <w:rsid w:val="00031221"/>
    <w:rsid w:val="00031BA0"/>
    <w:rsid w:val="00052743"/>
    <w:rsid w:val="00052CE4"/>
    <w:rsid w:val="00067315"/>
    <w:rsid w:val="000719BF"/>
    <w:rsid w:val="000C13AE"/>
    <w:rsid w:val="000E19CA"/>
    <w:rsid w:val="000E2CA6"/>
    <w:rsid w:val="000F6BA3"/>
    <w:rsid w:val="000F72EF"/>
    <w:rsid w:val="0012271D"/>
    <w:rsid w:val="00143843"/>
    <w:rsid w:val="001752E5"/>
    <w:rsid w:val="00194466"/>
    <w:rsid w:val="001A11C1"/>
    <w:rsid w:val="001A34A6"/>
    <w:rsid w:val="001A4875"/>
    <w:rsid w:val="001B1C8A"/>
    <w:rsid w:val="001B5D6C"/>
    <w:rsid w:val="001C3663"/>
    <w:rsid w:val="001D0AB9"/>
    <w:rsid w:val="001D57D7"/>
    <w:rsid w:val="001D6A64"/>
    <w:rsid w:val="00200310"/>
    <w:rsid w:val="00215828"/>
    <w:rsid w:val="00231DE1"/>
    <w:rsid w:val="00241A1F"/>
    <w:rsid w:val="00244447"/>
    <w:rsid w:val="00291B2B"/>
    <w:rsid w:val="002C1030"/>
    <w:rsid w:val="002C15E6"/>
    <w:rsid w:val="002D7B3E"/>
    <w:rsid w:val="002E0948"/>
    <w:rsid w:val="002E24BE"/>
    <w:rsid w:val="00323C28"/>
    <w:rsid w:val="0032761E"/>
    <w:rsid w:val="00360CFA"/>
    <w:rsid w:val="003A0D2B"/>
    <w:rsid w:val="003A4277"/>
    <w:rsid w:val="003A7B4E"/>
    <w:rsid w:val="003B5DCF"/>
    <w:rsid w:val="003C2EE4"/>
    <w:rsid w:val="003D1C21"/>
    <w:rsid w:val="003E0DC8"/>
    <w:rsid w:val="003E122A"/>
    <w:rsid w:val="003E6E57"/>
    <w:rsid w:val="003E6FA5"/>
    <w:rsid w:val="003F1F0D"/>
    <w:rsid w:val="00402B3D"/>
    <w:rsid w:val="00413EF4"/>
    <w:rsid w:val="00431763"/>
    <w:rsid w:val="0044686E"/>
    <w:rsid w:val="004519B4"/>
    <w:rsid w:val="00463A68"/>
    <w:rsid w:val="00467DB3"/>
    <w:rsid w:val="004A6215"/>
    <w:rsid w:val="004D0326"/>
    <w:rsid w:val="004D5D19"/>
    <w:rsid w:val="004E13B2"/>
    <w:rsid w:val="005428E1"/>
    <w:rsid w:val="00555671"/>
    <w:rsid w:val="00556B27"/>
    <w:rsid w:val="005613FC"/>
    <w:rsid w:val="00567FEF"/>
    <w:rsid w:val="00580664"/>
    <w:rsid w:val="0059117D"/>
    <w:rsid w:val="00591D85"/>
    <w:rsid w:val="0059663B"/>
    <w:rsid w:val="005B5614"/>
    <w:rsid w:val="005C1518"/>
    <w:rsid w:val="005E18A1"/>
    <w:rsid w:val="00636490"/>
    <w:rsid w:val="00650C31"/>
    <w:rsid w:val="00650F0D"/>
    <w:rsid w:val="00653B2E"/>
    <w:rsid w:val="00653C4B"/>
    <w:rsid w:val="00666CDA"/>
    <w:rsid w:val="00684ABA"/>
    <w:rsid w:val="006875B3"/>
    <w:rsid w:val="00695478"/>
    <w:rsid w:val="006A3E63"/>
    <w:rsid w:val="006B0D5C"/>
    <w:rsid w:val="006D03F9"/>
    <w:rsid w:val="00707736"/>
    <w:rsid w:val="00711B58"/>
    <w:rsid w:val="00727839"/>
    <w:rsid w:val="00762D81"/>
    <w:rsid w:val="0076481A"/>
    <w:rsid w:val="00785AC8"/>
    <w:rsid w:val="00786E32"/>
    <w:rsid w:val="00787D7C"/>
    <w:rsid w:val="00792928"/>
    <w:rsid w:val="00796174"/>
    <w:rsid w:val="00797B54"/>
    <w:rsid w:val="007D1F1E"/>
    <w:rsid w:val="007D3A21"/>
    <w:rsid w:val="0081521B"/>
    <w:rsid w:val="00856FA4"/>
    <w:rsid w:val="00862113"/>
    <w:rsid w:val="008724D6"/>
    <w:rsid w:val="008775D7"/>
    <w:rsid w:val="00884B9C"/>
    <w:rsid w:val="008A1557"/>
    <w:rsid w:val="008A1D1C"/>
    <w:rsid w:val="008A4224"/>
    <w:rsid w:val="008C2C8A"/>
    <w:rsid w:val="008D0B3C"/>
    <w:rsid w:val="008D2A13"/>
    <w:rsid w:val="008E0850"/>
    <w:rsid w:val="008E5CD5"/>
    <w:rsid w:val="00910D54"/>
    <w:rsid w:val="00920B88"/>
    <w:rsid w:val="009269CE"/>
    <w:rsid w:val="0093657B"/>
    <w:rsid w:val="00950249"/>
    <w:rsid w:val="00957C01"/>
    <w:rsid w:val="00986A83"/>
    <w:rsid w:val="009C3F2D"/>
    <w:rsid w:val="009C6AE8"/>
    <w:rsid w:val="009F3770"/>
    <w:rsid w:val="00A051D9"/>
    <w:rsid w:val="00A3401B"/>
    <w:rsid w:val="00A61271"/>
    <w:rsid w:val="00A75EDC"/>
    <w:rsid w:val="00AA43C4"/>
    <w:rsid w:val="00B471CC"/>
    <w:rsid w:val="00B47B58"/>
    <w:rsid w:val="00B57F32"/>
    <w:rsid w:val="00B61FCD"/>
    <w:rsid w:val="00B75260"/>
    <w:rsid w:val="00B818B4"/>
    <w:rsid w:val="00B9234D"/>
    <w:rsid w:val="00B9551F"/>
    <w:rsid w:val="00BB2D80"/>
    <w:rsid w:val="00BC6454"/>
    <w:rsid w:val="00C048F4"/>
    <w:rsid w:val="00C06B9E"/>
    <w:rsid w:val="00C15F66"/>
    <w:rsid w:val="00C228B0"/>
    <w:rsid w:val="00C23CAB"/>
    <w:rsid w:val="00C24892"/>
    <w:rsid w:val="00C414A6"/>
    <w:rsid w:val="00C44E5A"/>
    <w:rsid w:val="00C462C1"/>
    <w:rsid w:val="00C54AC6"/>
    <w:rsid w:val="00C7215A"/>
    <w:rsid w:val="00CA48A0"/>
    <w:rsid w:val="00CB10BC"/>
    <w:rsid w:val="00CF295D"/>
    <w:rsid w:val="00CF2ABA"/>
    <w:rsid w:val="00D00FCF"/>
    <w:rsid w:val="00D60240"/>
    <w:rsid w:val="00D73723"/>
    <w:rsid w:val="00DA5D17"/>
    <w:rsid w:val="00DB544A"/>
    <w:rsid w:val="00DB71F1"/>
    <w:rsid w:val="00DC7243"/>
    <w:rsid w:val="00DE1C5D"/>
    <w:rsid w:val="00DE364E"/>
    <w:rsid w:val="00E048EA"/>
    <w:rsid w:val="00E05871"/>
    <w:rsid w:val="00E05B9C"/>
    <w:rsid w:val="00E159C8"/>
    <w:rsid w:val="00E165FC"/>
    <w:rsid w:val="00E35D68"/>
    <w:rsid w:val="00E372B8"/>
    <w:rsid w:val="00E408A9"/>
    <w:rsid w:val="00E56CE7"/>
    <w:rsid w:val="00E6385A"/>
    <w:rsid w:val="00E6631C"/>
    <w:rsid w:val="00E733C7"/>
    <w:rsid w:val="00E76853"/>
    <w:rsid w:val="00E84938"/>
    <w:rsid w:val="00E859F0"/>
    <w:rsid w:val="00EC38B0"/>
    <w:rsid w:val="00ED3B34"/>
    <w:rsid w:val="00ED65C0"/>
    <w:rsid w:val="00EE38DA"/>
    <w:rsid w:val="00EE6CFE"/>
    <w:rsid w:val="00F117C6"/>
    <w:rsid w:val="00F77C08"/>
    <w:rsid w:val="00F855DD"/>
    <w:rsid w:val="00FA3359"/>
    <w:rsid w:val="00FB4B16"/>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3E9B0D6-2709-4EB9-A524-FD24DCAE5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715</Words>
  <Characters>4077</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2016-12-27T20:44:00Z</dcterms:created>
  <dcterms:modified xsi:type="dcterms:W3CDTF">2016-12-27T20:44:00Z</dcterms:modified>
</cp:coreProperties>
</file>