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1C3663">
        <w:t>WPSDGENRBS0001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103A51">
        <w:rPr>
          <w:rStyle w:val="CaptionChar"/>
          <w:b/>
          <w:bCs w:val="0"/>
        </w:rPr>
        <w:t>2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E6385A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 w:rsidRPr="00E6385A">
        <w:rPr>
          <w:rFonts w:cstheme="minorHAnsi"/>
          <w:b/>
          <w:sz w:val="36"/>
          <w:szCs w:val="36"/>
        </w:rPr>
        <w:t>San Diego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884B9C" w:rsidRDefault="00884B9C" w:rsidP="00884B9C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 xml:space="preserve">Window Film – </w:t>
      </w:r>
    </w:p>
    <w:p w:rsidR="000E19CA" w:rsidRDefault="00884B9C" w:rsidP="00884B9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DEER Unit Adjustment</w:t>
      </w:r>
      <w:r w:rsidR="00031BA0">
        <w:rPr>
          <w:rFonts w:cstheme="minorHAnsi"/>
          <w:b/>
          <w:sz w:val="72"/>
          <w:szCs w:val="72"/>
        </w:rPr>
        <w:t xml:space="preserve"> and Measure Cost</w:t>
      </w:r>
      <w:r w:rsidR="000E19CA" w:rsidRPr="000E19CA">
        <w:rPr>
          <w:rFonts w:cstheme="minorHAnsi"/>
          <w:b/>
          <w:sz w:val="28"/>
          <w:szCs w:val="28"/>
        </w:rPr>
        <w:t xml:space="preserve"> 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103A51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January 1</w:t>
      </w:r>
      <w:r w:rsidR="000E19CA">
        <w:rPr>
          <w:rFonts w:cstheme="minorHAnsi"/>
          <w:b/>
          <w:sz w:val="28"/>
          <w:szCs w:val="28"/>
        </w:rPr>
        <w:t>, 201</w:t>
      </w:r>
      <w:r>
        <w:rPr>
          <w:rFonts w:cstheme="minorHAnsi"/>
          <w:b/>
          <w:sz w:val="28"/>
          <w:szCs w:val="28"/>
        </w:rPr>
        <w:t>7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59117D" w:rsidP="00FE520B">
      <w:pPr>
        <w:pStyle w:val="Heading1"/>
      </w:pPr>
      <w:r>
        <w:lastRenderedPageBreak/>
        <w:t xml:space="preserve">SDG&amp;E </w:t>
      </w:r>
      <w:r w:rsidR="00884B9C">
        <w:t xml:space="preserve">Window Film </w:t>
      </w:r>
    </w:p>
    <w:p w:rsidR="00413EF4" w:rsidRDefault="00413EF4" w:rsidP="00413EF4">
      <w:pPr>
        <w:pStyle w:val="Heading2"/>
      </w:pPr>
      <w:r>
        <w:t>Introduction</w:t>
      </w:r>
    </w:p>
    <w:p w:rsidR="00413EF4" w:rsidRDefault="00413EF4" w:rsidP="00C06B9E">
      <w:r>
        <w:t xml:space="preserve">This short form workpaper documents the </w:t>
      </w:r>
      <w:r w:rsidR="00C414A6">
        <w:t>ex-ante</w:t>
      </w:r>
      <w:r w:rsidR="00C06B9E">
        <w:t xml:space="preserve"> load impact and cost-effectiveness </w:t>
      </w:r>
      <w:r>
        <w:t xml:space="preserve">values </w:t>
      </w:r>
      <w:r w:rsidR="00C06B9E">
        <w:t xml:space="preserve">used for </w:t>
      </w:r>
      <w:r w:rsidR="00884B9C">
        <w:t>Window Film</w:t>
      </w:r>
      <w:r w:rsidR="00C06B9E">
        <w:t xml:space="preserve">. </w:t>
      </w:r>
      <w:r w:rsidR="00C54AC6">
        <w:t xml:space="preserve"> It also translates the DEER units of per-100-SF of window area to per-1-sf of area</w:t>
      </w:r>
      <w:r w:rsidR="00665745">
        <w:t xml:space="preserve">.  </w:t>
      </w:r>
      <w:r w:rsidR="00650C31">
        <w:t>Savings are computed as a simple average of DEER orientations.</w:t>
      </w:r>
    </w:p>
    <w:p w:rsidR="00413EF4" w:rsidRDefault="00413EF4" w:rsidP="00413EF4"/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783"/>
        <w:gridCol w:w="5958"/>
      </w:tblGrid>
      <w:tr w:rsidR="00B57F32" w:rsidRPr="00500C4E" w:rsidTr="00241A1F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1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884B9C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0</w:t>
            </w:r>
          </w:p>
        </w:tc>
        <w:tc>
          <w:tcPr>
            <w:tcW w:w="684" w:type="pct"/>
          </w:tcPr>
          <w:p w:rsidR="00884B9C" w:rsidRPr="000E2B6B" w:rsidRDefault="00884B9C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08/29/2014</w:t>
            </w:r>
          </w:p>
        </w:tc>
        <w:tc>
          <w:tcPr>
            <w:tcW w:w="931" w:type="pct"/>
          </w:tcPr>
          <w:p w:rsidR="00884B9C" w:rsidRPr="000E2B6B" w:rsidRDefault="00884B9C" w:rsidP="00393E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Rocaciano Vega/RMS</w:t>
            </w:r>
          </w:p>
        </w:tc>
        <w:tc>
          <w:tcPr>
            <w:tcW w:w="3111" w:type="pct"/>
          </w:tcPr>
          <w:p w:rsidR="00884B9C" w:rsidRPr="005734A4" w:rsidRDefault="00884B9C" w:rsidP="0085100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Original workpaper (modified DEER) for Reflective Window Film.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884B9C" w:rsidP="00393EC8">
            <w:pPr>
              <w:jc w:val="center"/>
              <w:rPr>
                <w:rStyle w:val="Strong"/>
                <w:b w:val="0"/>
              </w:rPr>
            </w:pPr>
            <w:r w:rsidRPr="00F2079F">
              <w:t>1.0</w:t>
            </w:r>
          </w:p>
        </w:tc>
        <w:tc>
          <w:tcPr>
            <w:tcW w:w="684" w:type="pct"/>
          </w:tcPr>
          <w:p w:rsidR="00884B9C" w:rsidRPr="000E2B6B" w:rsidRDefault="003E6E57" w:rsidP="00393EC8">
            <w:pPr>
              <w:jc w:val="center"/>
              <w:rPr>
                <w:rStyle w:val="Strong"/>
                <w:b w:val="0"/>
              </w:rPr>
            </w:pPr>
            <w:r>
              <w:t>10</w:t>
            </w:r>
            <w:r w:rsidR="00884B9C">
              <w:t>/</w:t>
            </w:r>
            <w:r>
              <w:t>4</w:t>
            </w:r>
            <w:r w:rsidR="00884B9C">
              <w:t>/2016</w:t>
            </w:r>
          </w:p>
        </w:tc>
        <w:tc>
          <w:tcPr>
            <w:tcW w:w="931" w:type="pct"/>
          </w:tcPr>
          <w:p w:rsidR="00884B9C" w:rsidRPr="000E2B6B" w:rsidRDefault="00884B9C" w:rsidP="00393EC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SDGE</w:t>
            </w:r>
            <w:r w:rsidR="003B5DCF">
              <w:rPr>
                <w:rStyle w:val="Strong"/>
                <w:b w:val="0"/>
              </w:rPr>
              <w:t xml:space="preserve"> WP Team</w:t>
            </w:r>
          </w:p>
        </w:tc>
        <w:tc>
          <w:tcPr>
            <w:tcW w:w="3111" w:type="pct"/>
          </w:tcPr>
          <w:p w:rsidR="00884B9C" w:rsidRPr="000E2B6B" w:rsidRDefault="00884B9C" w:rsidP="00393EC8">
            <w:pPr>
              <w:rPr>
                <w:rStyle w:val="Strong"/>
                <w:b w:val="0"/>
                <w:bCs w:val="0"/>
              </w:rPr>
            </w:pPr>
            <w:r>
              <w:t>Updated documentation</w:t>
            </w:r>
            <w:r w:rsidR="003B5DCF">
              <w:t>, unit area,</w:t>
            </w:r>
            <w:r>
              <w:t xml:space="preserve"> and measure cost</w:t>
            </w:r>
          </w:p>
        </w:tc>
      </w:tr>
      <w:tr w:rsidR="00103A51" w:rsidRPr="00500C4E" w:rsidTr="00241A1F">
        <w:trPr>
          <w:trHeight w:val="20"/>
        </w:trPr>
        <w:tc>
          <w:tcPr>
            <w:tcW w:w="274" w:type="pct"/>
          </w:tcPr>
          <w:p w:rsidR="00103A51" w:rsidRPr="00F2079F" w:rsidRDefault="00103A51" w:rsidP="00393EC8">
            <w:pPr>
              <w:jc w:val="center"/>
            </w:pPr>
            <w:r>
              <w:t>2.0</w:t>
            </w:r>
          </w:p>
        </w:tc>
        <w:tc>
          <w:tcPr>
            <w:tcW w:w="684" w:type="pct"/>
          </w:tcPr>
          <w:p w:rsidR="00103A51" w:rsidRDefault="00103A51" w:rsidP="00393EC8">
            <w:pPr>
              <w:jc w:val="center"/>
            </w:pPr>
            <w:r>
              <w:t>01/01/2017</w:t>
            </w:r>
          </w:p>
        </w:tc>
        <w:tc>
          <w:tcPr>
            <w:tcW w:w="931" w:type="pct"/>
          </w:tcPr>
          <w:p w:rsidR="00103A51" w:rsidRDefault="00103A51" w:rsidP="00393EC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Eduardo Reynoso</w:t>
            </w:r>
            <w:r w:rsidR="00D856BA">
              <w:rPr>
                <w:rStyle w:val="Strong"/>
                <w:b w:val="0"/>
              </w:rPr>
              <w:t xml:space="preserve"> &amp; Kelvin Valenzuela</w:t>
            </w:r>
          </w:p>
          <w:p w:rsidR="00103A51" w:rsidRDefault="00103A51" w:rsidP="00393EC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(SDG&amp;E)</w:t>
            </w:r>
          </w:p>
        </w:tc>
        <w:tc>
          <w:tcPr>
            <w:tcW w:w="3111" w:type="pct"/>
          </w:tcPr>
          <w:p w:rsidR="00103A51" w:rsidRDefault="00103A51">
            <w:r>
              <w:t xml:space="preserve">Updated energy impacts to account for DEER </w:t>
            </w:r>
            <w:r w:rsidR="00C9457F">
              <w:t>2017 updates.</w:t>
            </w: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DB71F1" w:rsidTr="00241A1F">
        <w:trPr>
          <w:cantSplit/>
          <w:tblHeader/>
        </w:trPr>
        <w:tc>
          <w:tcPr>
            <w:tcW w:w="271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58" w:type="dxa"/>
          </w:tcPr>
          <w:p w:rsidR="00DB71F1" w:rsidRPr="00D86243" w:rsidRDefault="00DB71F1" w:rsidP="00D856BA">
            <w:pPr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This short form workpaper documents</w:t>
            </w:r>
            <w:r w:rsidR="00D856BA">
              <w:rPr>
                <w:rFonts w:cs="Arial"/>
                <w:sz w:val="20"/>
                <w:szCs w:val="20"/>
              </w:rPr>
              <w:t xml:space="preserve"> updated</w:t>
            </w:r>
            <w:r w:rsidRPr="00241A1F">
              <w:rPr>
                <w:rFonts w:cs="Arial"/>
                <w:sz w:val="20"/>
                <w:szCs w:val="20"/>
              </w:rPr>
              <w:t xml:space="preserve"> ex-ante load impact</w:t>
            </w:r>
            <w:r w:rsidR="00E733C7" w:rsidRPr="00241A1F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values for </w:t>
            </w:r>
            <w:r w:rsidR="00884B9C">
              <w:rPr>
                <w:rFonts w:cs="Arial"/>
                <w:sz w:val="20"/>
                <w:szCs w:val="20"/>
              </w:rPr>
              <w:t>Window Film</w:t>
            </w:r>
            <w:r w:rsidRPr="00241A1F">
              <w:rPr>
                <w:rFonts w:cs="Arial"/>
                <w:sz w:val="20"/>
                <w:szCs w:val="20"/>
              </w:rPr>
              <w:t xml:space="preserve">. </w:t>
            </w:r>
            <w:r w:rsidR="00884B9C">
              <w:rPr>
                <w:rFonts w:cs="Arial"/>
                <w:sz w:val="20"/>
                <w:szCs w:val="20"/>
              </w:rPr>
              <w:t xml:space="preserve">The energy savings and load impacts are based on DEER.  The savings units are adjusted from 100s of square feet to square feet.  </w:t>
            </w:r>
            <w:r w:rsidRPr="00241A1F">
              <w:rPr>
                <w:rFonts w:cs="Arial"/>
                <w:sz w:val="20"/>
                <w:szCs w:val="20"/>
              </w:rPr>
              <w:t>All other parameters are per DEER/READI and are used by SDG&amp;E as noted in th</w:t>
            </w:r>
            <w:r w:rsidR="00E733C7" w:rsidRPr="00241A1F">
              <w:rPr>
                <w:rFonts w:cs="Arial"/>
                <w:sz w:val="20"/>
                <w:szCs w:val="20"/>
              </w:rPr>
              <w:t>is</w:t>
            </w:r>
            <w:r w:rsidRPr="00241A1F">
              <w:rPr>
                <w:rFonts w:cs="Arial"/>
                <w:sz w:val="20"/>
                <w:szCs w:val="20"/>
              </w:rPr>
              <w:t xml:space="preserve"> Measure Table Summary (Table 1).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58" w:type="dxa"/>
          </w:tcPr>
          <w:p w:rsidR="00DB71F1" w:rsidRDefault="00EE6CFE" w:rsidP="001D57D7">
            <w:r>
              <w:t xml:space="preserve">Measure: Add </w:t>
            </w:r>
            <w:r w:rsidR="00A61271">
              <w:t>Reflective Window Film</w:t>
            </w:r>
          </w:p>
          <w:p w:rsidR="00EE6CFE" w:rsidRPr="00241A1F" w:rsidRDefault="00EE6CFE" w:rsidP="001D57D7">
            <w:pPr>
              <w:rPr>
                <w:rFonts w:cs="Arial"/>
                <w:sz w:val="20"/>
                <w:szCs w:val="20"/>
              </w:rPr>
            </w:pPr>
            <w:r>
              <w:t>Baseline: DEER Pre-Existing window without film.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58" w:type="dxa"/>
          </w:tcPr>
          <w:p w:rsidR="00DB71F1" w:rsidRPr="00241A1F" w:rsidRDefault="00E048EA" w:rsidP="008A1D1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Window fil</w:t>
            </w:r>
            <w:r w:rsidR="008A1D1C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 xml:space="preserve"> with a SHGC less than 0.39</w:t>
            </w:r>
            <w:r w:rsidR="00C54AC6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or </w:t>
            </w:r>
            <w:r w:rsidR="00004D4E">
              <w:rPr>
                <w:rFonts w:cs="Arial"/>
                <w:sz w:val="20"/>
                <w:szCs w:val="20"/>
              </w:rPr>
              <w:t xml:space="preserve">SHGC of 0.47 </w:t>
            </w:r>
            <w:r w:rsidR="00004D4E" w:rsidRPr="00004D4E">
              <w:rPr>
                <w:rFonts w:cs="Arial"/>
                <w:sz w:val="20"/>
                <w:szCs w:val="20"/>
              </w:rPr>
              <w:t xml:space="preserve">and visible transmittance/solar heat gain coefficient (VT/SHGC) ratio greater than </w:t>
            </w:r>
            <w:r w:rsidR="003A0D2B" w:rsidRPr="00004D4E">
              <w:rPr>
                <w:rFonts w:cs="Arial"/>
                <w:sz w:val="20"/>
                <w:szCs w:val="20"/>
              </w:rPr>
              <w:t>1.3.</w:t>
            </w: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858" w:type="dxa"/>
          </w:tcPr>
          <w:p w:rsidR="008775D7" w:rsidRPr="00E733C7" w:rsidRDefault="008775D7">
            <w:pPr>
              <w:rPr>
                <w:rFonts w:cs="Arial"/>
                <w:sz w:val="20"/>
                <w:szCs w:val="20"/>
              </w:rPr>
            </w:pPr>
            <w:r w:rsidRPr="00797B54">
              <w:rPr>
                <w:rFonts w:cs="Arial"/>
                <w:sz w:val="20"/>
                <w:szCs w:val="20"/>
              </w:rPr>
              <w:t>Per DEER/READI with IDs as below</w:t>
            </w: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Code for All Measures</w:t>
            </w:r>
          </w:p>
        </w:tc>
        <w:tc>
          <w:tcPr>
            <w:tcW w:w="6858" w:type="dxa"/>
          </w:tcPr>
          <w:p w:rsidR="008775D7" w:rsidRPr="00E733C7" w:rsidRDefault="00004D4E" w:rsidP="00E8493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Not applicable </w:t>
            </w:r>
            <w:r w:rsidR="00E84938">
              <w:rPr>
                <w:rFonts w:cs="Arial"/>
                <w:sz w:val="20"/>
                <w:szCs w:val="20"/>
              </w:rPr>
              <w:t>due to Requirements</w:t>
            </w:r>
          </w:p>
        </w:tc>
      </w:tr>
      <w:tr w:rsidR="00E84938" w:rsidTr="00241A1F">
        <w:trPr>
          <w:cantSplit/>
        </w:trPr>
        <w:tc>
          <w:tcPr>
            <w:tcW w:w="2718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858" w:type="dxa"/>
          </w:tcPr>
          <w:p w:rsidR="00E84938" w:rsidRPr="008724D6" w:rsidRDefault="00E84938" w:rsidP="008724D6">
            <w:pPr>
              <w:pStyle w:val="ListParagraph"/>
              <w:numPr>
                <w:ilvl w:val="0"/>
                <w:numId w:val="8"/>
              </w:numPr>
              <w:ind w:left="162" w:hanging="180"/>
              <w:rPr>
                <w:rFonts w:cs="Arial"/>
                <w:sz w:val="20"/>
                <w:szCs w:val="20"/>
              </w:rPr>
            </w:pPr>
            <w:r w:rsidRPr="008724D6">
              <w:rPr>
                <w:rFonts w:cs="Arial"/>
                <w:sz w:val="20"/>
                <w:szCs w:val="20"/>
              </w:rPr>
              <w:t>Film must have a minimum 5-year manufacturer’s warranty</w:t>
            </w:r>
          </w:p>
          <w:p w:rsidR="00E84938" w:rsidRPr="008724D6" w:rsidRDefault="00E84938" w:rsidP="008724D6">
            <w:pPr>
              <w:pStyle w:val="ListParagraph"/>
              <w:numPr>
                <w:ilvl w:val="0"/>
                <w:numId w:val="8"/>
              </w:numPr>
              <w:ind w:left="162" w:hanging="180"/>
              <w:rPr>
                <w:rFonts w:cs="Arial"/>
                <w:sz w:val="20"/>
                <w:szCs w:val="20"/>
              </w:rPr>
            </w:pPr>
            <w:r w:rsidRPr="008724D6">
              <w:rPr>
                <w:rFonts w:cs="Arial"/>
                <w:sz w:val="20"/>
                <w:szCs w:val="20"/>
              </w:rPr>
              <w:t xml:space="preserve">Space must be cooled by vapor-compression AC </w:t>
            </w:r>
          </w:p>
          <w:p w:rsidR="00E84938" w:rsidRPr="008724D6" w:rsidRDefault="00E84938" w:rsidP="008724D6">
            <w:pPr>
              <w:pStyle w:val="ListParagraph"/>
              <w:numPr>
                <w:ilvl w:val="0"/>
                <w:numId w:val="8"/>
              </w:numPr>
              <w:ind w:left="162" w:hanging="180"/>
              <w:rPr>
                <w:rFonts w:cs="Arial"/>
                <w:sz w:val="20"/>
                <w:szCs w:val="20"/>
              </w:rPr>
            </w:pPr>
            <w:r w:rsidRPr="008724D6">
              <w:rPr>
                <w:rFonts w:cs="Arial"/>
                <w:sz w:val="20"/>
                <w:szCs w:val="20"/>
              </w:rPr>
              <w:t>Rebates not available for northern exposure (+ 45 degrees of due north)</w:t>
            </w:r>
          </w:p>
          <w:p w:rsidR="00E84938" w:rsidRPr="008724D6" w:rsidRDefault="00E84938" w:rsidP="008724D6">
            <w:pPr>
              <w:pStyle w:val="ListParagraph"/>
              <w:numPr>
                <w:ilvl w:val="0"/>
                <w:numId w:val="8"/>
              </w:numPr>
              <w:ind w:left="162" w:hanging="180"/>
              <w:rPr>
                <w:rFonts w:cs="Arial"/>
                <w:sz w:val="20"/>
                <w:szCs w:val="20"/>
              </w:rPr>
            </w:pPr>
            <w:r w:rsidRPr="008724D6">
              <w:rPr>
                <w:rFonts w:cs="Arial"/>
                <w:sz w:val="20"/>
                <w:szCs w:val="20"/>
              </w:rPr>
              <w:t xml:space="preserve">Must be applied to windows installed </w:t>
            </w:r>
            <w:r>
              <w:rPr>
                <w:rFonts w:cs="Arial"/>
                <w:sz w:val="20"/>
                <w:szCs w:val="20"/>
              </w:rPr>
              <w:t xml:space="preserve">before </w:t>
            </w:r>
            <w:r w:rsidRPr="008724D6">
              <w:rPr>
                <w:rFonts w:cs="Arial"/>
                <w:sz w:val="20"/>
                <w:szCs w:val="20"/>
              </w:rPr>
              <w:t>2008 or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8724D6">
              <w:rPr>
                <w:rFonts w:cs="Arial"/>
                <w:sz w:val="20"/>
                <w:szCs w:val="20"/>
              </w:rPr>
              <w:t>clear, single-pane glass</w:t>
            </w:r>
          </w:p>
          <w:p w:rsidR="00E84938" w:rsidRPr="008724D6" w:rsidRDefault="00E84938" w:rsidP="008724D6">
            <w:pPr>
              <w:pStyle w:val="ListParagraph"/>
              <w:numPr>
                <w:ilvl w:val="0"/>
                <w:numId w:val="8"/>
              </w:numPr>
              <w:ind w:left="162" w:hanging="180"/>
              <w:rPr>
                <w:rFonts w:cs="Arial"/>
                <w:sz w:val="20"/>
                <w:szCs w:val="20"/>
              </w:rPr>
            </w:pPr>
            <w:r w:rsidRPr="008724D6">
              <w:rPr>
                <w:rFonts w:cs="Arial"/>
                <w:sz w:val="20"/>
                <w:szCs w:val="20"/>
              </w:rPr>
              <w:t>Must meet one of the following criteria:</w:t>
            </w:r>
          </w:p>
          <w:p w:rsidR="00E84938" w:rsidRPr="008724D6" w:rsidRDefault="00E84938" w:rsidP="008724D6">
            <w:pPr>
              <w:pStyle w:val="ListParagraph"/>
              <w:numPr>
                <w:ilvl w:val="0"/>
                <w:numId w:val="9"/>
              </w:numPr>
              <w:ind w:left="342" w:hanging="162"/>
              <w:rPr>
                <w:rFonts w:cs="Arial"/>
                <w:sz w:val="20"/>
                <w:szCs w:val="20"/>
              </w:rPr>
            </w:pPr>
            <w:r w:rsidRPr="008724D6">
              <w:rPr>
                <w:rFonts w:cs="Arial"/>
                <w:sz w:val="20"/>
                <w:szCs w:val="20"/>
              </w:rPr>
              <w:t>Film must have a SHGC less than 0.39</w:t>
            </w:r>
          </w:p>
          <w:p w:rsidR="00E84938" w:rsidRPr="008724D6" w:rsidRDefault="00E84938" w:rsidP="008724D6">
            <w:pPr>
              <w:pStyle w:val="ListParagraph"/>
              <w:numPr>
                <w:ilvl w:val="0"/>
                <w:numId w:val="9"/>
              </w:numPr>
              <w:ind w:left="342" w:hanging="162"/>
              <w:rPr>
                <w:rFonts w:cs="Arial"/>
                <w:sz w:val="20"/>
                <w:szCs w:val="20"/>
              </w:rPr>
            </w:pPr>
            <w:r w:rsidRPr="008724D6">
              <w:rPr>
                <w:rFonts w:cs="Arial"/>
                <w:sz w:val="20"/>
                <w:szCs w:val="20"/>
              </w:rPr>
              <w:t>Film can have a SHGC less than 0.47 and visible transmittance/SHGC (VT/SHGC) ratio greater than 1.3</w:t>
            </w:r>
          </w:p>
          <w:p w:rsidR="00E84938" w:rsidRPr="008724D6" w:rsidRDefault="00E84938" w:rsidP="008724D6">
            <w:pPr>
              <w:pStyle w:val="ListParagraph"/>
              <w:numPr>
                <w:ilvl w:val="0"/>
                <w:numId w:val="9"/>
              </w:numPr>
              <w:ind w:left="342" w:hanging="16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Invoice must document s</w:t>
            </w:r>
            <w:r w:rsidRPr="008724D6">
              <w:rPr>
                <w:rFonts w:cs="Arial"/>
                <w:sz w:val="20"/>
                <w:szCs w:val="20"/>
              </w:rPr>
              <w:t>pecification and square footage installed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858" w:type="dxa"/>
          </w:tcPr>
          <w:p w:rsidR="00DB71F1" w:rsidRDefault="00DB71F1" w:rsidP="00004D4E">
            <w:pPr>
              <w:pStyle w:val="ListParagraph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Re</w:t>
            </w:r>
            <w:r w:rsidR="00004D4E">
              <w:rPr>
                <w:rFonts w:cs="Arial"/>
                <w:sz w:val="20"/>
                <w:szCs w:val="20"/>
              </w:rPr>
              <w:t xml:space="preserve">trofit Add-on </w:t>
            </w:r>
            <w:r w:rsidRPr="00D86243">
              <w:rPr>
                <w:rFonts w:cs="Arial"/>
                <w:sz w:val="20"/>
                <w:szCs w:val="20"/>
              </w:rPr>
              <w:t>(R</w:t>
            </w:r>
            <w:r w:rsidR="00004D4E">
              <w:rPr>
                <w:rFonts w:cs="Arial"/>
                <w:sz w:val="20"/>
                <w:szCs w:val="20"/>
              </w:rPr>
              <w:t>EA</w:t>
            </w:r>
            <w:r w:rsidRPr="00D86243">
              <w:rPr>
                <w:rFonts w:cs="Arial"/>
                <w:sz w:val="20"/>
                <w:szCs w:val="20"/>
              </w:rPr>
              <w:t>)</w:t>
            </w:r>
            <w:r w:rsidR="00CF2ABA">
              <w:rPr>
                <w:rFonts w:cs="Arial"/>
                <w:sz w:val="20"/>
                <w:szCs w:val="20"/>
              </w:rPr>
              <w:t xml:space="preserve"> </w:t>
            </w:r>
          </w:p>
          <w:p w:rsidR="00CF2ABA" w:rsidRPr="00393EC8" w:rsidRDefault="00CF2ABA" w:rsidP="008724D6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Full EUL granted to this REA measure since window EUL </w:t>
            </w:r>
            <w:r w:rsidR="00B75260">
              <w:rPr>
                <w:rFonts w:cs="Arial"/>
                <w:sz w:val="20"/>
                <w:szCs w:val="20"/>
              </w:rPr>
              <w:t>well</w:t>
            </w:r>
            <w:r>
              <w:rPr>
                <w:rFonts w:cs="Arial"/>
                <w:sz w:val="20"/>
                <w:szCs w:val="20"/>
              </w:rPr>
              <w:t xml:space="preserve"> exceeds film EUL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58" w:type="dxa"/>
          </w:tcPr>
          <w:p w:rsidR="00DB71F1" w:rsidRPr="00241A1F" w:rsidRDefault="00DB71F1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 xml:space="preserve">Downstream </w:t>
            </w:r>
            <w:r w:rsidR="003E0DC8">
              <w:rPr>
                <w:rFonts w:cs="Arial"/>
                <w:sz w:val="20"/>
                <w:szCs w:val="20"/>
              </w:rPr>
              <w:t>Rebate</w:t>
            </w:r>
            <w:r w:rsidRPr="00476F40">
              <w:rPr>
                <w:rFonts w:cs="Arial"/>
                <w:sz w:val="20"/>
                <w:szCs w:val="20"/>
              </w:rPr>
              <w:t xml:space="preserve"> – Deemed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858" w:type="dxa"/>
          </w:tcPr>
          <w:p w:rsidR="00DB71F1" w:rsidRDefault="00DB71F1" w:rsidP="00393EC8"/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  <w:r w:rsidR="00F855DD">
              <w:rPr>
                <w:sz w:val="20"/>
                <w:szCs w:val="20"/>
              </w:rPr>
              <w:t xml:space="preserve"> - 1</w:t>
            </w:r>
          </w:p>
        </w:tc>
        <w:tc>
          <w:tcPr>
            <w:tcW w:w="6858" w:type="dxa"/>
          </w:tcPr>
          <w:p w:rsidR="00DB71F1" w:rsidRPr="00D86243" w:rsidRDefault="00A61271" w:rsidP="00393EC8">
            <w:pPr>
              <w:rPr>
                <w:rFonts w:cs="Arial"/>
                <w:sz w:val="20"/>
                <w:szCs w:val="20"/>
              </w:rPr>
            </w:pPr>
            <w:r w:rsidRPr="00440B52">
              <w:rPr>
                <w:rFonts w:cstheme="minorHAnsi"/>
                <w:bCs/>
                <w:sz w:val="20"/>
              </w:rPr>
              <w:t>D03-018</w:t>
            </w:r>
            <w:r>
              <w:rPr>
                <w:rFonts w:cstheme="minorHAnsi"/>
                <w:bCs/>
                <w:sz w:val="20"/>
              </w:rPr>
              <w:t xml:space="preserve"> - </w:t>
            </w:r>
            <w:r w:rsidRPr="00440B52">
              <w:rPr>
                <w:rFonts w:cstheme="minorHAnsi"/>
                <w:bCs/>
                <w:sz w:val="20"/>
              </w:rPr>
              <w:t xml:space="preserve">East glass SHGC 20% less than required by </w:t>
            </w:r>
            <w:r w:rsidR="003B5DCF">
              <w:rPr>
                <w:rFonts w:cstheme="minorHAnsi"/>
                <w:bCs/>
                <w:sz w:val="20"/>
              </w:rPr>
              <w:t xml:space="preserve">2005 </w:t>
            </w:r>
            <w:r w:rsidRPr="00440B52">
              <w:rPr>
                <w:rFonts w:cstheme="minorHAnsi"/>
                <w:bCs/>
                <w:sz w:val="20"/>
              </w:rPr>
              <w:t>T-24</w:t>
            </w:r>
          </w:p>
        </w:tc>
      </w:tr>
      <w:tr w:rsidR="00F855DD" w:rsidTr="00241A1F">
        <w:trPr>
          <w:cantSplit/>
        </w:trPr>
        <w:tc>
          <w:tcPr>
            <w:tcW w:w="2718" w:type="dxa"/>
            <w:vAlign w:val="center"/>
          </w:tcPr>
          <w:p w:rsidR="00F855DD" w:rsidRPr="00822B6F" w:rsidRDefault="00F855DD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  <w:r>
              <w:rPr>
                <w:sz w:val="20"/>
                <w:szCs w:val="20"/>
              </w:rPr>
              <w:t xml:space="preserve"> - 2</w:t>
            </w:r>
          </w:p>
        </w:tc>
        <w:tc>
          <w:tcPr>
            <w:tcW w:w="6858" w:type="dxa"/>
          </w:tcPr>
          <w:p w:rsidR="00F855DD" w:rsidRPr="00D86243" w:rsidRDefault="00A61271" w:rsidP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440B52">
              <w:rPr>
                <w:rFonts w:cstheme="minorHAnsi"/>
                <w:bCs/>
                <w:sz w:val="20"/>
              </w:rPr>
              <w:t>D03-01</w:t>
            </w:r>
            <w:r>
              <w:rPr>
                <w:rFonts w:cstheme="minorHAnsi"/>
                <w:bCs/>
                <w:sz w:val="20"/>
              </w:rPr>
              <w:t xml:space="preserve">9 - </w:t>
            </w:r>
            <w:r w:rsidRPr="00440B52">
              <w:rPr>
                <w:rFonts w:cstheme="minorHAnsi"/>
                <w:bCs/>
                <w:sz w:val="20"/>
              </w:rPr>
              <w:t xml:space="preserve">South glass SHGC 20% less than required by </w:t>
            </w:r>
            <w:r w:rsidR="003B5DCF">
              <w:rPr>
                <w:rFonts w:cstheme="minorHAnsi"/>
                <w:bCs/>
                <w:sz w:val="20"/>
              </w:rPr>
              <w:t xml:space="preserve">2005 </w:t>
            </w:r>
            <w:r w:rsidRPr="00440B52">
              <w:rPr>
                <w:rFonts w:cstheme="minorHAnsi"/>
                <w:bCs/>
                <w:sz w:val="20"/>
              </w:rPr>
              <w:t>T-24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822B6F" w:rsidRDefault="00A61271" w:rsidP="00851005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  <w:r>
              <w:rPr>
                <w:sz w:val="20"/>
                <w:szCs w:val="20"/>
              </w:rPr>
              <w:t xml:space="preserve"> - </w:t>
            </w:r>
            <w:r w:rsidR="004252CE">
              <w:rPr>
                <w:sz w:val="20"/>
                <w:szCs w:val="20"/>
              </w:rPr>
              <w:t>3</w:t>
            </w:r>
          </w:p>
        </w:tc>
        <w:tc>
          <w:tcPr>
            <w:tcW w:w="6858" w:type="dxa"/>
          </w:tcPr>
          <w:p w:rsidR="00A61271" w:rsidRPr="00D86243" w:rsidRDefault="00A61271" w:rsidP="00785A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440B52">
              <w:rPr>
                <w:rFonts w:cstheme="minorHAnsi"/>
                <w:bCs/>
                <w:sz w:val="20"/>
              </w:rPr>
              <w:t>D03-</w:t>
            </w:r>
            <w:r w:rsidR="00785AC8" w:rsidRPr="00440B52">
              <w:rPr>
                <w:rFonts w:cstheme="minorHAnsi"/>
                <w:bCs/>
                <w:sz w:val="20"/>
              </w:rPr>
              <w:t>0</w:t>
            </w:r>
            <w:r w:rsidR="00785AC8">
              <w:rPr>
                <w:rFonts w:cstheme="minorHAnsi"/>
                <w:bCs/>
                <w:sz w:val="20"/>
              </w:rPr>
              <w:t xml:space="preserve">20 </w:t>
            </w:r>
            <w:r>
              <w:rPr>
                <w:rFonts w:cstheme="minorHAnsi"/>
                <w:bCs/>
                <w:sz w:val="20"/>
              </w:rPr>
              <w:t>- West</w:t>
            </w:r>
            <w:r w:rsidRPr="00440B52">
              <w:rPr>
                <w:rFonts w:cstheme="minorHAnsi"/>
                <w:bCs/>
                <w:sz w:val="20"/>
              </w:rPr>
              <w:t xml:space="preserve"> glass SHGC 20% less than required by</w:t>
            </w:r>
            <w:r w:rsidR="0099350E">
              <w:rPr>
                <w:rFonts w:cstheme="minorHAnsi"/>
                <w:bCs/>
                <w:sz w:val="20"/>
              </w:rPr>
              <w:t xml:space="preserve"> 2005</w:t>
            </w:r>
            <w:r w:rsidRPr="00440B52">
              <w:rPr>
                <w:rFonts w:cstheme="minorHAnsi"/>
                <w:bCs/>
                <w:sz w:val="20"/>
              </w:rPr>
              <w:t xml:space="preserve"> T-24</w:t>
            </w:r>
          </w:p>
        </w:tc>
      </w:tr>
      <w:tr w:rsidR="00E048EA" w:rsidTr="00241A1F">
        <w:trPr>
          <w:cantSplit/>
        </w:trPr>
        <w:tc>
          <w:tcPr>
            <w:tcW w:w="2718" w:type="dxa"/>
            <w:vAlign w:val="center"/>
          </w:tcPr>
          <w:p w:rsidR="00E048EA" w:rsidRPr="00822B6F" w:rsidRDefault="00E048EA" w:rsidP="008510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58" w:type="dxa"/>
          </w:tcPr>
          <w:p w:rsidR="00E048EA" w:rsidRPr="00440B52" w:rsidRDefault="00E048EA" w:rsidP="00A61271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Savings and load impact</w:t>
            </w:r>
            <w:r w:rsidR="00CF2ABA">
              <w:rPr>
                <w:rFonts w:cstheme="minorHAnsi"/>
                <w:bCs/>
                <w:sz w:val="20"/>
              </w:rPr>
              <w:t>s</w:t>
            </w:r>
            <w:r>
              <w:rPr>
                <w:rFonts w:cstheme="minorHAnsi"/>
                <w:bCs/>
                <w:sz w:val="20"/>
              </w:rPr>
              <w:t xml:space="preserve"> are a simple average of the three DEER measures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858" w:type="dxa"/>
          </w:tcPr>
          <w:p w:rsidR="00A61271" w:rsidRPr="00D86243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A61271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858" w:type="dxa"/>
          </w:tcPr>
          <w:p w:rsidR="00A61271" w:rsidRPr="00D86243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A61271">
              <w:rPr>
                <w:rFonts w:cs="Arial"/>
                <w:sz w:val="20"/>
                <w:szCs w:val="20"/>
              </w:rPr>
              <w:t>GlazDaylt-WinFilm</w:t>
            </w:r>
            <w:proofErr w:type="spellEnd"/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858" w:type="dxa"/>
            <w:vAlign w:val="center"/>
          </w:tcPr>
          <w:p w:rsidR="00A61271" w:rsidRDefault="00A61271" w:rsidP="00CA212D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 w:rsidRPr="00CA212D">
              <w:rPr>
                <w:rFonts w:cs="Arial"/>
                <w:sz w:val="20"/>
                <w:szCs w:val="20"/>
              </w:rPr>
              <w:t>Measures will be processed by building type and Building Location.  All will be processed and claimed using “Existing” vintage.  Savings and load impacts are a simple average of the three measures</w:t>
            </w:r>
            <w:r w:rsidR="00004D4E" w:rsidRPr="00CA212D">
              <w:rPr>
                <w:rFonts w:cs="Arial"/>
                <w:sz w:val="20"/>
                <w:szCs w:val="20"/>
              </w:rPr>
              <w:t xml:space="preserve"> with the savings units converted from “per Area-100Win</w:t>
            </w:r>
            <w:r w:rsidR="00CF2ABA" w:rsidRPr="00CA212D">
              <w:rPr>
                <w:rFonts w:cs="Arial"/>
                <w:sz w:val="20"/>
                <w:szCs w:val="20"/>
              </w:rPr>
              <w:t>”</w:t>
            </w:r>
            <w:r w:rsidR="00004D4E" w:rsidRPr="00CA212D">
              <w:rPr>
                <w:rFonts w:cs="Arial"/>
                <w:sz w:val="20"/>
                <w:szCs w:val="20"/>
              </w:rPr>
              <w:t xml:space="preserve"> to “perArea-1Win</w:t>
            </w:r>
            <w:r w:rsidR="00CF2ABA" w:rsidRPr="00CA212D">
              <w:rPr>
                <w:rFonts w:cs="Arial"/>
                <w:sz w:val="20"/>
                <w:szCs w:val="20"/>
              </w:rPr>
              <w:t>”</w:t>
            </w:r>
            <w:r w:rsidR="00004D4E" w:rsidRPr="00CA212D">
              <w:rPr>
                <w:rFonts w:cs="Arial"/>
                <w:sz w:val="20"/>
                <w:szCs w:val="20"/>
              </w:rPr>
              <w:t xml:space="preserve"> (per square foot of glazing area).</w:t>
            </w:r>
          </w:p>
          <w:p w:rsidR="00103A51" w:rsidRPr="00CA212D" w:rsidRDefault="007B623E" w:rsidP="00CA212D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Refer below for supporting methodology used to update DEER 2017-2018 energy im</w:t>
            </w:r>
            <w:r w:rsidR="00C9457F">
              <w:rPr>
                <w:rFonts w:cs="Arial"/>
                <w:sz w:val="20"/>
                <w:szCs w:val="20"/>
              </w:rPr>
              <w:t>pacts by applying scaled efficiency</w:t>
            </w:r>
            <w:r>
              <w:rPr>
                <w:rFonts w:cs="Arial"/>
                <w:sz w:val="20"/>
                <w:szCs w:val="20"/>
              </w:rPr>
              <w:t xml:space="preserve"> factors.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6858" w:type="dxa"/>
          </w:tcPr>
          <w:p w:rsidR="00A61271" w:rsidRPr="00476F40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All Energy Impacts per DEER Measure IDs noted above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858" w:type="dxa"/>
          </w:tcPr>
          <w:p w:rsidR="00A61271" w:rsidRPr="00476F40" w:rsidRDefault="00E048EA" w:rsidP="00E048E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</w:rPr>
              <w:t>DEER:Com:HVAC_Split-Package_AC</w:t>
            </w:r>
            <w:proofErr w:type="spellEnd"/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858" w:type="dxa"/>
          </w:tcPr>
          <w:p w:rsidR="00A61271" w:rsidRPr="00476F40" w:rsidRDefault="00D856B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to the cost methodology</w:t>
            </w:r>
          </w:p>
        </w:tc>
      </w:tr>
      <w:tr w:rsidR="00A61271" w:rsidRPr="00393EC8" w:rsidTr="00393EC8">
        <w:trPr>
          <w:cantSplit/>
        </w:trPr>
        <w:tc>
          <w:tcPr>
            <w:tcW w:w="2718" w:type="dxa"/>
          </w:tcPr>
          <w:p w:rsidR="00A61271" w:rsidRPr="00393EC8" w:rsidRDefault="00A61271" w:rsidP="00393EC8">
            <w:pPr>
              <w:rPr>
                <w:b/>
              </w:rPr>
            </w:pPr>
            <w:r w:rsidRPr="00393EC8">
              <w:rPr>
                <w:b/>
              </w:rPr>
              <w:t>Section 4.1 Modeled Costs</w:t>
            </w:r>
          </w:p>
        </w:tc>
        <w:tc>
          <w:tcPr>
            <w:tcW w:w="6858" w:type="dxa"/>
          </w:tcPr>
          <w:p w:rsidR="00A61271" w:rsidRPr="00393EC8" w:rsidRDefault="00A61271" w:rsidP="00393EC8">
            <w:pPr>
              <w:rPr>
                <w:b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58" w:type="dxa"/>
          </w:tcPr>
          <w:p w:rsidR="00A61271" w:rsidRPr="00476F40" w:rsidRDefault="00A61271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58" w:type="dxa"/>
          </w:tcPr>
          <w:p w:rsidR="00A61271" w:rsidRPr="00476F40" w:rsidRDefault="00A61271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</w:tbl>
    <w:p w:rsidR="00787D7C" w:rsidRDefault="00787D7C">
      <w:pPr>
        <w:spacing w:after="200" w:line="276" w:lineRule="auto"/>
      </w:pPr>
    </w:p>
    <w:p w:rsidR="007B623E" w:rsidRPr="00CA212D" w:rsidRDefault="00C9457F" w:rsidP="00CA212D">
      <w:pPr>
        <w:pStyle w:val="Heading1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Efficiency Adjustment DEER 2005 to 2017 Factors (&lt;135-239k</w:t>
      </w:r>
      <w:r w:rsidR="007B623E" w:rsidRPr="00CA212D">
        <w:rPr>
          <w:rFonts w:ascii="Arial Narrow" w:hAnsi="Arial Narrow"/>
          <w:sz w:val="28"/>
          <w:szCs w:val="28"/>
        </w:rPr>
        <w:t>)</w:t>
      </w:r>
    </w:p>
    <w:p w:rsidR="00CA212D" w:rsidRDefault="00565AD7" w:rsidP="00C32FF9">
      <w:pPr>
        <w:rPr>
          <w:color w:val="000000"/>
        </w:rPr>
      </w:pPr>
      <w:r>
        <w:t xml:space="preserve">To account for the savings adjustments from DEER 2005 legacy measure IDs D03-018, D03-019, and </w:t>
      </w:r>
      <w:r w:rsidR="00053381">
        <w:t>D03-020, SDG&amp;E compared</w:t>
      </w:r>
      <w:r w:rsidR="00C9457F">
        <w:t xml:space="preserve"> measures that were similar in terms of size ranges, efficiency types, and were found in both DEER 2005 and DEER 2017.  T</w:t>
      </w:r>
      <w:r w:rsidR="00053381">
        <w:t>he Measure</w:t>
      </w:r>
      <w:r>
        <w:t xml:space="preserve"> IDs</w:t>
      </w:r>
      <w:r w:rsidR="00C9457F">
        <w:t xml:space="preserve"> that fit these criteria was</w:t>
      </w:r>
      <w:r w:rsidR="00053381">
        <w:t xml:space="preserve"> D03-103 and </w:t>
      </w:r>
      <w:r w:rsidR="00CA212D">
        <w:rPr>
          <w:color w:val="000000"/>
        </w:rPr>
        <w:t>NE-HVAC-airA</w:t>
      </w:r>
      <w:r w:rsidR="00CA212D">
        <w:rPr>
          <w:color w:val="000000"/>
        </w:rPr>
        <w:t>C-SpltPkg-135to239kBtuh-12p0eer, to correct 2005 to 2017, respectively.</w:t>
      </w:r>
      <w:r w:rsidR="00FE7187">
        <w:rPr>
          <w:color w:val="000000"/>
        </w:rPr>
        <w:t xml:space="preserve">  Further, we request the CPUC’s EAR Team, to change from “Proposed” to “Available” for the 2017 Measure ID. </w:t>
      </w:r>
    </w:p>
    <w:p w:rsidR="00CA212D" w:rsidRDefault="00CA212D" w:rsidP="00C32FF9">
      <w:pPr>
        <w:rPr>
          <w:color w:val="000000"/>
        </w:rPr>
      </w:pPr>
    </w:p>
    <w:p w:rsidR="00CA212D" w:rsidRDefault="00CA212D" w:rsidP="00C32FF9">
      <w:pPr>
        <w:rPr>
          <w:color w:val="000000"/>
        </w:rPr>
      </w:pPr>
      <w:r>
        <w:rPr>
          <w:color w:val="000000"/>
        </w:rPr>
        <w:t>Measure ID details:</w:t>
      </w:r>
    </w:p>
    <w:p w:rsidR="00FE7187" w:rsidRPr="00FE7187" w:rsidRDefault="00FE7187" w:rsidP="00C32FF9">
      <w:pPr>
        <w:rPr>
          <w:b/>
          <w:u w:val="single"/>
        </w:rPr>
      </w:pPr>
      <w:r w:rsidRPr="00FE7187">
        <w:rPr>
          <w:b/>
          <w:u w:val="single"/>
        </w:rPr>
        <w:t>D03-103:</w:t>
      </w:r>
    </w:p>
    <w:p w:rsidR="00D32AA0" w:rsidRDefault="00D32AA0" w:rsidP="00C32FF9">
      <w:r>
        <w:t xml:space="preserve">Measure Name: </w:t>
      </w:r>
      <w:r w:rsidRPr="00D32AA0">
        <w:t>High eff. packaged unitary system A/C (135-239k)</w:t>
      </w:r>
    </w:p>
    <w:p w:rsidR="00FE7187" w:rsidRDefault="00D32AA0" w:rsidP="00C32FF9">
      <w:r>
        <w:t xml:space="preserve">Base Description: </w:t>
      </w:r>
      <w:r w:rsidR="00FE7187" w:rsidRPr="00FE7187">
        <w:t xml:space="preserve">8.30 EER (based on vintage) A/C, </w:t>
      </w:r>
      <w:proofErr w:type="spellStart"/>
      <w:r w:rsidR="00FE7187" w:rsidRPr="00FE7187">
        <w:t>econo</w:t>
      </w:r>
      <w:proofErr w:type="spellEnd"/>
      <w:r w:rsidR="00FE7187" w:rsidRPr="00FE7187">
        <w:t xml:space="preserve"> based on vintage</w:t>
      </w:r>
    </w:p>
    <w:p w:rsidR="00FE7187" w:rsidRDefault="00FE7187" w:rsidP="00C32FF9"/>
    <w:p w:rsidR="00FE7187" w:rsidRPr="00FE7187" w:rsidRDefault="00FE7187" w:rsidP="00C32FF9">
      <w:pPr>
        <w:rPr>
          <w:b/>
          <w:color w:val="000000"/>
          <w:u w:val="single"/>
        </w:rPr>
      </w:pPr>
      <w:r w:rsidRPr="00FE7187">
        <w:rPr>
          <w:b/>
          <w:color w:val="000000"/>
          <w:u w:val="single"/>
        </w:rPr>
        <w:t>NE-HVAC-airAC-SpltPkg-135to239kBtuh-12p0eer</w:t>
      </w:r>
      <w:r w:rsidRPr="00FE7187">
        <w:rPr>
          <w:b/>
          <w:color w:val="000000"/>
          <w:u w:val="single"/>
        </w:rPr>
        <w:t>:</w:t>
      </w:r>
    </w:p>
    <w:p w:rsidR="00FE7187" w:rsidRDefault="00FE7187" w:rsidP="00C32FF9">
      <w:r>
        <w:rPr>
          <w:color w:val="000000"/>
        </w:rPr>
        <w:t xml:space="preserve">Base Description: EER-Rated Pkg AC, 135-240 </w:t>
      </w:r>
      <w:proofErr w:type="spellStart"/>
      <w:r>
        <w:rPr>
          <w:color w:val="000000"/>
        </w:rPr>
        <w:t>kBTU</w:t>
      </w:r>
      <w:proofErr w:type="spellEnd"/>
      <w:r>
        <w:rPr>
          <w:color w:val="000000"/>
        </w:rPr>
        <w:t>/h; Pre-2005: EER = 9.5, one-speed fan, w/Econo</w:t>
      </w:r>
    </w:p>
    <w:p w:rsidR="00CA212D" w:rsidRDefault="00CA212D" w:rsidP="00C32FF9">
      <w:pPr>
        <w:rPr>
          <w:color w:val="000000"/>
        </w:rPr>
      </w:pPr>
      <w:bookmarkStart w:id="1" w:name="_GoBack"/>
      <w:bookmarkEnd w:id="1"/>
    </w:p>
    <w:p w:rsidR="00CA212D" w:rsidRDefault="00CA212D" w:rsidP="00C32FF9">
      <w:pPr>
        <w:rPr>
          <w:color w:val="000000"/>
        </w:rPr>
      </w:pPr>
      <w:r>
        <w:rPr>
          <w:color w:val="000000"/>
        </w:rPr>
        <w:t>Comparing the EER ratings for pre-existing conditions;</w:t>
      </w:r>
    </w:p>
    <w:p w:rsidR="00CA212D" w:rsidRDefault="00CA212D" w:rsidP="00C32FF9">
      <w:pPr>
        <w:rPr>
          <w:color w:val="000000"/>
        </w:rPr>
      </w:pPr>
      <w:r>
        <w:rPr>
          <w:color w:val="000000"/>
        </w:rPr>
        <w:t>DEER 2005 – EER = 8.3</w:t>
      </w:r>
    </w:p>
    <w:p w:rsidR="00CA212D" w:rsidRDefault="00CA212D" w:rsidP="00C32FF9">
      <w:pPr>
        <w:rPr>
          <w:color w:val="000000"/>
        </w:rPr>
      </w:pPr>
      <w:r>
        <w:rPr>
          <w:color w:val="000000"/>
        </w:rPr>
        <w:t>DEER 20</w:t>
      </w:r>
      <w:r w:rsidR="002C69FD">
        <w:rPr>
          <w:color w:val="000000"/>
        </w:rPr>
        <w:t>1</w:t>
      </w:r>
      <w:r>
        <w:rPr>
          <w:color w:val="000000"/>
        </w:rPr>
        <w:t>7 – EER = 9.5</w:t>
      </w:r>
    </w:p>
    <w:p w:rsidR="00CA212D" w:rsidRDefault="00CA212D" w:rsidP="00C32FF9">
      <w:pPr>
        <w:rPr>
          <w:color w:val="000000"/>
        </w:rPr>
      </w:pPr>
    </w:p>
    <w:p w:rsidR="00CA212D" w:rsidRDefault="00CA212D" w:rsidP="00C32FF9">
      <w:pPr>
        <w:rPr>
          <w:color w:val="000000"/>
        </w:rPr>
      </w:pPr>
      <w:r>
        <w:rPr>
          <w:color w:val="000000"/>
        </w:rPr>
        <w:t xml:space="preserve">Correction factor </w:t>
      </w:r>
    </w:p>
    <w:p w:rsidR="00CA212D" w:rsidRDefault="00CA212D" w:rsidP="00C32FF9">
      <w:pPr>
        <w:rPr>
          <w:color w:val="000000"/>
        </w:rPr>
      </w:pPr>
      <w:r>
        <w:rPr>
          <w:color w:val="000000"/>
        </w:rPr>
        <w:t>9.5 EER/8.3 EER = 1.14 (or 14.4 % improvement in efficiency rating)</w:t>
      </w:r>
    </w:p>
    <w:p w:rsidR="00CA212D" w:rsidRDefault="00CA212D" w:rsidP="00C32FF9">
      <w:r>
        <w:rPr>
          <w:color w:val="000000"/>
        </w:rPr>
        <w:t>Adjust existing 2005 savings with 1-</w:t>
      </w:r>
      <w:r w:rsidR="00D32AA0">
        <w:rPr>
          <w:color w:val="000000"/>
        </w:rPr>
        <w:t>0</w:t>
      </w:r>
      <w:r>
        <w:rPr>
          <w:color w:val="000000"/>
        </w:rPr>
        <w:t>.144 = 0.86 correction factor;</w:t>
      </w:r>
    </w:p>
    <w:p w:rsidR="00565AD7" w:rsidRDefault="00565AD7" w:rsidP="00C32FF9">
      <w:r>
        <w:t xml:space="preserve"> </w:t>
      </w:r>
    </w:p>
    <w:p w:rsidR="00FD7937" w:rsidRDefault="00FD7937" w:rsidP="00C32FF9">
      <w:pPr>
        <w:rPr>
          <w:rFonts w:ascii="Calibri" w:hAnsi="Calibri"/>
          <w:color w:val="000000"/>
          <w:szCs w:val="22"/>
        </w:rPr>
      </w:pPr>
    </w:p>
    <w:p w:rsidR="00A20C34" w:rsidRPr="0059117D" w:rsidRDefault="00A20C34" w:rsidP="0059117D"/>
    <w:sectPr w:rsidR="00A20C34" w:rsidRPr="00591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481" w:rsidRDefault="00297481" w:rsidP="00FE520B">
      <w:r>
        <w:separator/>
      </w:r>
    </w:p>
  </w:endnote>
  <w:endnote w:type="continuationSeparator" w:id="0">
    <w:p w:rsidR="00297481" w:rsidRDefault="00297481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B9234D" w:rsidRPr="00B9234D">
      <w:rPr>
        <w:b/>
      </w:rPr>
      <w:t>WPSDGENRBS0001</w:t>
    </w:r>
    <w:r>
      <w:rPr>
        <w:b/>
      </w:rPr>
      <w:t xml:space="preserve">, Revision </w:t>
    </w:r>
    <w:r w:rsidR="00256BF3">
      <w:rPr>
        <w:b/>
      </w:rPr>
      <w:t>2</w:t>
    </w:r>
    <w:r w:rsidR="00E372B8">
      <w:rPr>
        <w:b/>
      </w:rPr>
      <w:tab/>
    </w:r>
    <w:r w:rsidR="00E372B8">
      <w:rPr>
        <w:b/>
      </w:rPr>
      <w:tab/>
    </w:r>
    <w:r w:rsidR="00256BF3">
      <w:rPr>
        <w:rFonts w:cstheme="minorHAnsi"/>
        <w:b/>
        <w:szCs w:val="22"/>
      </w:rPr>
      <w:t>January</w:t>
    </w:r>
    <w:r w:rsidR="003E6E57">
      <w:rPr>
        <w:rFonts w:cstheme="minorHAnsi"/>
        <w:b/>
        <w:szCs w:val="22"/>
      </w:rPr>
      <w:t xml:space="preserve"> </w:t>
    </w:r>
    <w:r w:rsidR="00256BF3">
      <w:rPr>
        <w:rFonts w:cstheme="minorHAnsi"/>
        <w:b/>
        <w:szCs w:val="22"/>
      </w:rPr>
      <w:t>1</w:t>
    </w:r>
    <w:r w:rsidR="00E372B8" w:rsidRPr="00241A1F">
      <w:rPr>
        <w:rFonts w:cstheme="minorHAnsi"/>
        <w:b/>
        <w:szCs w:val="22"/>
      </w:rPr>
      <w:t>, 201</w:t>
    </w:r>
    <w:r w:rsidR="00256BF3">
      <w:rPr>
        <w:rFonts w:cstheme="minorHAnsi"/>
        <w:b/>
        <w:szCs w:val="22"/>
      </w:rPr>
      <w:t>7</w:t>
    </w:r>
  </w:p>
  <w:p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481" w:rsidRDefault="00297481" w:rsidP="00FE520B">
      <w:r>
        <w:separator/>
      </w:r>
    </w:p>
  </w:footnote>
  <w:footnote w:type="continuationSeparator" w:id="0">
    <w:p w:rsidR="00297481" w:rsidRDefault="00297481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731B3E"/>
    <w:multiLevelType w:val="hybridMultilevel"/>
    <w:tmpl w:val="1988E0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452181"/>
    <w:multiLevelType w:val="hybridMultilevel"/>
    <w:tmpl w:val="08D2E2AE"/>
    <w:lvl w:ilvl="0" w:tplc="AF40B9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4D4E"/>
    <w:rsid w:val="00023C32"/>
    <w:rsid w:val="00031BA0"/>
    <w:rsid w:val="00052743"/>
    <w:rsid w:val="00052CE4"/>
    <w:rsid w:val="00053381"/>
    <w:rsid w:val="000C13AE"/>
    <w:rsid w:val="000E19CA"/>
    <w:rsid w:val="000F72EF"/>
    <w:rsid w:val="00103A51"/>
    <w:rsid w:val="00127700"/>
    <w:rsid w:val="00194466"/>
    <w:rsid w:val="001A4875"/>
    <w:rsid w:val="001B1C8A"/>
    <w:rsid w:val="001C3663"/>
    <w:rsid w:val="001D0AB9"/>
    <w:rsid w:val="001D57D7"/>
    <w:rsid w:val="002146D1"/>
    <w:rsid w:val="00215828"/>
    <w:rsid w:val="00241A1F"/>
    <w:rsid w:val="00256BF3"/>
    <w:rsid w:val="00291B2B"/>
    <w:rsid w:val="00297481"/>
    <w:rsid w:val="002C69FD"/>
    <w:rsid w:val="002E0948"/>
    <w:rsid w:val="00305F25"/>
    <w:rsid w:val="00360CFA"/>
    <w:rsid w:val="00365A8F"/>
    <w:rsid w:val="003A0D2B"/>
    <w:rsid w:val="003A7B4E"/>
    <w:rsid w:val="003B5DCF"/>
    <w:rsid w:val="003C2EE4"/>
    <w:rsid w:val="003C6175"/>
    <w:rsid w:val="003D1C21"/>
    <w:rsid w:val="003E0DC8"/>
    <w:rsid w:val="003E122A"/>
    <w:rsid w:val="003E6E57"/>
    <w:rsid w:val="003E6FA5"/>
    <w:rsid w:val="00413EF4"/>
    <w:rsid w:val="004252CE"/>
    <w:rsid w:val="0044686E"/>
    <w:rsid w:val="00467DB3"/>
    <w:rsid w:val="004807DF"/>
    <w:rsid w:val="004A6215"/>
    <w:rsid w:val="004D0326"/>
    <w:rsid w:val="004D5D19"/>
    <w:rsid w:val="005428E1"/>
    <w:rsid w:val="00561AF0"/>
    <w:rsid w:val="00565AD7"/>
    <w:rsid w:val="0059117D"/>
    <w:rsid w:val="005A1665"/>
    <w:rsid w:val="005B5614"/>
    <w:rsid w:val="00636490"/>
    <w:rsid w:val="00650C31"/>
    <w:rsid w:val="00665745"/>
    <w:rsid w:val="00684ABA"/>
    <w:rsid w:val="006B0D5C"/>
    <w:rsid w:val="00727839"/>
    <w:rsid w:val="00785AC8"/>
    <w:rsid w:val="00787D7C"/>
    <w:rsid w:val="00792928"/>
    <w:rsid w:val="00797B54"/>
    <w:rsid w:val="007B623E"/>
    <w:rsid w:val="007D1F1E"/>
    <w:rsid w:val="007D3A21"/>
    <w:rsid w:val="0081521B"/>
    <w:rsid w:val="00856FA4"/>
    <w:rsid w:val="00862113"/>
    <w:rsid w:val="008724D6"/>
    <w:rsid w:val="008775D7"/>
    <w:rsid w:val="00884B9C"/>
    <w:rsid w:val="008A1557"/>
    <w:rsid w:val="008A1D1C"/>
    <w:rsid w:val="008A4224"/>
    <w:rsid w:val="00910D54"/>
    <w:rsid w:val="00950249"/>
    <w:rsid w:val="00957C01"/>
    <w:rsid w:val="0099350E"/>
    <w:rsid w:val="00995CD5"/>
    <w:rsid w:val="009C3F2D"/>
    <w:rsid w:val="00A051D9"/>
    <w:rsid w:val="00A20C34"/>
    <w:rsid w:val="00A61271"/>
    <w:rsid w:val="00A75EDC"/>
    <w:rsid w:val="00B47B58"/>
    <w:rsid w:val="00B57F32"/>
    <w:rsid w:val="00B61FCD"/>
    <w:rsid w:val="00B75260"/>
    <w:rsid w:val="00B9234D"/>
    <w:rsid w:val="00C048F4"/>
    <w:rsid w:val="00C06B9E"/>
    <w:rsid w:val="00C15F66"/>
    <w:rsid w:val="00C32FF9"/>
    <w:rsid w:val="00C414A6"/>
    <w:rsid w:val="00C44E5A"/>
    <w:rsid w:val="00C54AC6"/>
    <w:rsid w:val="00C9457F"/>
    <w:rsid w:val="00CA212D"/>
    <w:rsid w:val="00CF2ABA"/>
    <w:rsid w:val="00D32AA0"/>
    <w:rsid w:val="00D60240"/>
    <w:rsid w:val="00D73723"/>
    <w:rsid w:val="00D856BA"/>
    <w:rsid w:val="00DB71F1"/>
    <w:rsid w:val="00DC7243"/>
    <w:rsid w:val="00DE1C5D"/>
    <w:rsid w:val="00DF0107"/>
    <w:rsid w:val="00E048EA"/>
    <w:rsid w:val="00E165FC"/>
    <w:rsid w:val="00E372B8"/>
    <w:rsid w:val="00E56CE7"/>
    <w:rsid w:val="00E6385A"/>
    <w:rsid w:val="00E6631C"/>
    <w:rsid w:val="00E733C7"/>
    <w:rsid w:val="00E84938"/>
    <w:rsid w:val="00ED3B34"/>
    <w:rsid w:val="00EE38DA"/>
    <w:rsid w:val="00EE6CFE"/>
    <w:rsid w:val="00F117C6"/>
    <w:rsid w:val="00F77C08"/>
    <w:rsid w:val="00F855DD"/>
    <w:rsid w:val="00FD7937"/>
    <w:rsid w:val="00FE520B"/>
    <w:rsid w:val="00FE7187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5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2017-01-04T02:24:00Z</dcterms:created>
  <dcterms:modified xsi:type="dcterms:W3CDTF">2017-01-04T02:26:00Z</dcterms:modified>
</cp:coreProperties>
</file>