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66E4F" w14:textId="38738E84" w:rsidR="00C5393B" w:rsidRPr="00500C4E" w:rsidRDefault="004F3B6F" w:rsidP="00C5393B">
      <w:pPr>
        <w:pStyle w:val="WPnumber"/>
        <w:jc w:val="center"/>
      </w:pPr>
      <w:bookmarkStart w:id="0" w:name="_Toc153189647"/>
      <w:r>
        <w:t xml:space="preserve">      </w:t>
      </w:r>
      <w:r w:rsidR="00E6385A">
        <w:t xml:space="preserve">Short Form </w:t>
      </w:r>
      <w:r w:rsidR="00F117C6" w:rsidRPr="00500C4E">
        <w:t>Work Paper</w:t>
      </w:r>
      <w:r w:rsidR="00E6385A">
        <w:t xml:space="preserve"> </w:t>
      </w:r>
      <w:bookmarkEnd w:id="0"/>
      <w:r w:rsidR="00C5393B">
        <w:t>WPSDGENR</w:t>
      </w:r>
      <w:r w:rsidR="00FC4CEA">
        <w:t>AP0001</w:t>
      </w:r>
    </w:p>
    <w:p w14:paraId="1A32A39E" w14:textId="5F90DA0B" w:rsidR="00C5393B" w:rsidRPr="00500C4E" w:rsidRDefault="00C5393B" w:rsidP="00C5393B">
      <w:pPr>
        <w:pStyle w:val="WPnumber"/>
      </w:pPr>
      <w:r>
        <w:tab/>
      </w:r>
      <w:r>
        <w:rPr>
          <w:rStyle w:val="CaptionChar"/>
          <w:b/>
          <w:bCs w:val="0"/>
        </w:rPr>
        <w:t xml:space="preserve">Revision </w:t>
      </w:r>
      <w:r w:rsidR="00FC4CEA">
        <w:rPr>
          <w:rStyle w:val="CaptionChar"/>
          <w:b/>
          <w:bCs w:val="0"/>
        </w:rPr>
        <w:t>0</w:t>
      </w:r>
    </w:p>
    <w:p w14:paraId="0ED6C051" w14:textId="3B8C6E0A" w:rsidR="00F117C6" w:rsidRPr="00500C4E" w:rsidRDefault="00F117C6" w:rsidP="00C5393B">
      <w:pPr>
        <w:pStyle w:val="WPnumber"/>
        <w:jc w:val="center"/>
        <w:rPr>
          <w:b w:val="0"/>
        </w:rPr>
      </w:pPr>
    </w:p>
    <w:p w14:paraId="5F9C926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14A9755A" w14:textId="77777777" w:rsidR="00E6385A" w:rsidRPr="00E6385A" w:rsidRDefault="00E6385A" w:rsidP="00E6385A">
      <w:pPr>
        <w:rPr>
          <w:rFonts w:cstheme="minorHAnsi"/>
          <w:b/>
          <w:sz w:val="32"/>
        </w:rPr>
      </w:pPr>
      <w:r w:rsidRPr="00E6385A">
        <w:rPr>
          <w:rFonts w:cstheme="minorHAnsi"/>
          <w:b/>
          <w:sz w:val="32"/>
        </w:rPr>
        <w:t>Energy Efficiency Engineering</w:t>
      </w:r>
    </w:p>
    <w:p w14:paraId="4407C1CE" w14:textId="77777777" w:rsidR="00F117C6" w:rsidRPr="00500C4E" w:rsidRDefault="00F117C6" w:rsidP="00F117C6">
      <w:pPr>
        <w:rPr>
          <w:rFonts w:cstheme="minorHAnsi"/>
        </w:rPr>
      </w:pPr>
    </w:p>
    <w:p w14:paraId="78A2D9F1" w14:textId="77777777" w:rsidR="00F117C6" w:rsidRPr="00500C4E" w:rsidRDefault="00F117C6" w:rsidP="00F117C6">
      <w:pPr>
        <w:tabs>
          <w:tab w:val="left" w:pos="8190"/>
        </w:tabs>
        <w:rPr>
          <w:rFonts w:cstheme="minorHAnsi"/>
        </w:rPr>
      </w:pPr>
      <w:r w:rsidRPr="00500C4E">
        <w:rPr>
          <w:rFonts w:cstheme="minorHAnsi"/>
        </w:rPr>
        <w:tab/>
      </w:r>
    </w:p>
    <w:p w14:paraId="1A8FF827" w14:textId="77777777" w:rsidR="00F117C6" w:rsidRPr="00500C4E" w:rsidRDefault="00F117C6" w:rsidP="00F117C6">
      <w:pPr>
        <w:rPr>
          <w:rFonts w:cstheme="minorHAnsi"/>
        </w:rPr>
      </w:pPr>
    </w:p>
    <w:p w14:paraId="202F9E8D" w14:textId="77777777" w:rsidR="00F117C6" w:rsidRPr="00500C4E" w:rsidRDefault="00F117C6" w:rsidP="00F117C6">
      <w:pPr>
        <w:rPr>
          <w:rFonts w:cstheme="minorHAnsi"/>
        </w:rPr>
      </w:pPr>
    </w:p>
    <w:p w14:paraId="5DE24B68" w14:textId="77777777" w:rsidR="00F117C6" w:rsidRPr="00500C4E" w:rsidRDefault="00F117C6" w:rsidP="00F117C6">
      <w:pPr>
        <w:rPr>
          <w:rFonts w:cstheme="minorHAnsi"/>
        </w:rPr>
      </w:pPr>
    </w:p>
    <w:p w14:paraId="4D73B9DC" w14:textId="77777777" w:rsidR="00F117C6" w:rsidRPr="00500C4E" w:rsidRDefault="00F117C6" w:rsidP="00F117C6">
      <w:pPr>
        <w:rPr>
          <w:rFonts w:cstheme="minorHAnsi"/>
        </w:rPr>
      </w:pPr>
    </w:p>
    <w:p w14:paraId="6BAE0808" w14:textId="77777777" w:rsidR="00F117C6" w:rsidRPr="00500C4E" w:rsidRDefault="00F117C6" w:rsidP="00F117C6">
      <w:pPr>
        <w:rPr>
          <w:rFonts w:cstheme="minorHAnsi"/>
        </w:rPr>
      </w:pPr>
    </w:p>
    <w:p w14:paraId="099FDB33" w14:textId="0EA8CF57" w:rsidR="000E19CA" w:rsidRDefault="00FC4CEA" w:rsidP="000E19CA">
      <w:pPr>
        <w:jc w:val="right"/>
        <w:rPr>
          <w:rFonts w:cstheme="minorHAnsi"/>
          <w:b/>
          <w:sz w:val="28"/>
          <w:szCs w:val="28"/>
        </w:rPr>
      </w:pPr>
      <w:r>
        <w:rPr>
          <w:rFonts w:cstheme="minorHAnsi"/>
          <w:b/>
          <w:sz w:val="72"/>
          <w:szCs w:val="72"/>
        </w:rPr>
        <w:t>Gas Dryer Modulating Valve: Commercial and Multi-Family</w:t>
      </w:r>
    </w:p>
    <w:p w14:paraId="54A8E8BA" w14:textId="77777777" w:rsidR="000E19CA" w:rsidRDefault="000E19CA" w:rsidP="000E19CA">
      <w:pPr>
        <w:jc w:val="right"/>
        <w:rPr>
          <w:rFonts w:cstheme="minorHAnsi"/>
          <w:b/>
          <w:sz w:val="28"/>
          <w:szCs w:val="28"/>
        </w:rPr>
      </w:pPr>
    </w:p>
    <w:p w14:paraId="6EF5000F" w14:textId="77777777" w:rsidR="000E19CA" w:rsidRDefault="000E19CA" w:rsidP="000E19CA">
      <w:pPr>
        <w:jc w:val="right"/>
        <w:rPr>
          <w:rFonts w:cstheme="minorHAnsi"/>
          <w:b/>
          <w:sz w:val="28"/>
          <w:szCs w:val="28"/>
        </w:rPr>
      </w:pPr>
    </w:p>
    <w:p w14:paraId="48102D25" w14:textId="77777777" w:rsidR="000E19CA" w:rsidRDefault="000E19CA" w:rsidP="000E19CA">
      <w:pPr>
        <w:jc w:val="right"/>
        <w:rPr>
          <w:rFonts w:cstheme="minorHAnsi"/>
          <w:b/>
          <w:sz w:val="28"/>
          <w:szCs w:val="28"/>
        </w:rPr>
      </w:pPr>
    </w:p>
    <w:p w14:paraId="2FA0BB49" w14:textId="77777777" w:rsidR="000E19CA" w:rsidRDefault="000E19CA" w:rsidP="000E19CA">
      <w:pPr>
        <w:jc w:val="right"/>
        <w:rPr>
          <w:rFonts w:cstheme="minorHAnsi"/>
          <w:b/>
          <w:sz w:val="28"/>
          <w:szCs w:val="28"/>
        </w:rPr>
      </w:pPr>
    </w:p>
    <w:p w14:paraId="0A64AAE6" w14:textId="14A9980E" w:rsidR="00E372B8" w:rsidRDefault="007E38C1" w:rsidP="0062124C">
      <w:pPr>
        <w:ind w:left="6480"/>
        <w:rPr>
          <w:rFonts w:cstheme="minorHAnsi"/>
          <w:b/>
          <w:sz w:val="28"/>
          <w:szCs w:val="28"/>
        </w:rPr>
      </w:pPr>
      <w:r>
        <w:rPr>
          <w:rFonts w:cstheme="minorHAnsi"/>
          <w:b/>
          <w:sz w:val="28"/>
          <w:szCs w:val="28"/>
        </w:rPr>
        <w:t>April</w:t>
      </w:r>
      <w:r w:rsidR="00FC4CEA">
        <w:rPr>
          <w:rFonts w:cstheme="minorHAnsi"/>
          <w:b/>
          <w:sz w:val="28"/>
          <w:szCs w:val="28"/>
        </w:rPr>
        <w:t xml:space="preserve"> 1</w:t>
      </w:r>
      <w:r w:rsidR="00970B1F">
        <w:rPr>
          <w:rFonts w:cstheme="minorHAnsi"/>
          <w:b/>
          <w:sz w:val="28"/>
          <w:szCs w:val="28"/>
        </w:rPr>
        <w:t>, 201</w:t>
      </w:r>
      <w:r w:rsidR="00FC4CEA">
        <w:rPr>
          <w:rFonts w:cstheme="minorHAnsi"/>
          <w:b/>
          <w:sz w:val="28"/>
          <w:szCs w:val="28"/>
        </w:rPr>
        <w:t>9</w:t>
      </w:r>
    </w:p>
    <w:p w14:paraId="52FCF8B8"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7EE2FCBF" w14:textId="46EF62CB" w:rsidR="00DF780B" w:rsidRPr="00FC4CEA" w:rsidRDefault="0059117D" w:rsidP="00DF780B">
      <w:pPr>
        <w:jc w:val="right"/>
        <w:rPr>
          <w:rFonts w:cstheme="minorHAnsi"/>
          <w:b/>
          <w:sz w:val="36"/>
          <w:szCs w:val="36"/>
        </w:rPr>
      </w:pPr>
      <w:r w:rsidRPr="00FC4CEA">
        <w:rPr>
          <w:b/>
          <w:sz w:val="36"/>
          <w:szCs w:val="36"/>
        </w:rPr>
        <w:lastRenderedPageBreak/>
        <w:t xml:space="preserve">SDG&amp;E </w:t>
      </w:r>
      <w:r w:rsidR="00DF780B" w:rsidRPr="00FC4CEA">
        <w:rPr>
          <w:rFonts w:cstheme="minorHAnsi"/>
          <w:b/>
          <w:sz w:val="36"/>
          <w:szCs w:val="36"/>
        </w:rPr>
        <w:t xml:space="preserve">Non-Residential </w:t>
      </w:r>
      <w:r w:rsidR="00FC4CEA" w:rsidRPr="00FC4CEA">
        <w:rPr>
          <w:rFonts w:cstheme="minorHAnsi"/>
          <w:b/>
          <w:sz w:val="36"/>
          <w:szCs w:val="36"/>
        </w:rPr>
        <w:t>Gas Dryer Modulating Valve: Commercial and Multi-Family</w:t>
      </w:r>
    </w:p>
    <w:p w14:paraId="14979BE1" w14:textId="4EB13249" w:rsidR="006B3975" w:rsidRPr="006B3975" w:rsidRDefault="006B3975" w:rsidP="006B3975">
      <w:pPr>
        <w:rPr>
          <w:rFonts w:cs="Calibri"/>
          <w:b/>
          <w:sz w:val="36"/>
          <w:szCs w:val="36"/>
        </w:rPr>
      </w:pPr>
    </w:p>
    <w:p w14:paraId="4DDE8967" w14:textId="5787ECE3" w:rsidR="00FE520B" w:rsidRPr="006374F1" w:rsidRDefault="00FE520B" w:rsidP="00FE520B">
      <w:pPr>
        <w:pStyle w:val="Heading1"/>
        <w:rPr>
          <w:szCs w:val="36"/>
        </w:rPr>
      </w:pPr>
    </w:p>
    <w:p w14:paraId="6D4A1719" w14:textId="77777777" w:rsidR="00413EF4" w:rsidRDefault="00413EF4" w:rsidP="00413EF4">
      <w:pPr>
        <w:pStyle w:val="Heading2"/>
      </w:pPr>
      <w:r>
        <w:t>Introduction</w:t>
      </w:r>
    </w:p>
    <w:p w14:paraId="11509F1B" w14:textId="32128D44" w:rsidR="0062124C" w:rsidRPr="00C5393B" w:rsidRDefault="0062124C" w:rsidP="00C5393B">
      <w:pPr>
        <w:rPr>
          <w:rFonts w:cs="Calibri"/>
          <w:b/>
          <w:sz w:val="20"/>
          <w:szCs w:val="20"/>
        </w:rPr>
      </w:pPr>
      <w:r w:rsidRPr="00C5393B">
        <w:rPr>
          <w:sz w:val="20"/>
          <w:szCs w:val="20"/>
        </w:rPr>
        <w:t>This short form workpaper docum</w:t>
      </w:r>
      <w:r w:rsidR="006B3975" w:rsidRPr="00C5393B">
        <w:rPr>
          <w:sz w:val="20"/>
          <w:szCs w:val="20"/>
        </w:rPr>
        <w:t xml:space="preserve">ents the values adopted from </w:t>
      </w:r>
      <w:r w:rsidR="00FC4CEA">
        <w:rPr>
          <w:sz w:val="20"/>
          <w:szCs w:val="20"/>
        </w:rPr>
        <w:t>SCG</w:t>
      </w:r>
      <w:r w:rsidRPr="00C5393B">
        <w:rPr>
          <w:sz w:val="20"/>
          <w:szCs w:val="20"/>
        </w:rPr>
        <w:t>’s workpaper entitled “</w:t>
      </w:r>
      <w:r w:rsidR="00FC4CEA" w:rsidRPr="00FC4CEA">
        <w:rPr>
          <w:rFonts w:cs="Calibri"/>
          <w:sz w:val="20"/>
          <w:szCs w:val="20"/>
        </w:rPr>
        <w:t>Gas Dryer Modulating Valve: Commercial and Multi-Family</w:t>
      </w:r>
      <w:r w:rsidRPr="00C5393B">
        <w:rPr>
          <w:sz w:val="20"/>
          <w:szCs w:val="20"/>
        </w:rPr>
        <w:t>”</w:t>
      </w:r>
      <w:r w:rsidRPr="0062124C">
        <w:rPr>
          <w:sz w:val="20"/>
          <w:szCs w:val="20"/>
        </w:rPr>
        <w:t xml:space="preserve"> (</w:t>
      </w:r>
      <w:r w:rsidR="00FC4CEA" w:rsidRPr="00FC4CEA">
        <w:rPr>
          <w:sz w:val="20"/>
          <w:szCs w:val="20"/>
        </w:rPr>
        <w:t>WPSCGNRAP170103</w:t>
      </w:r>
      <w:r w:rsidR="00C5393B">
        <w:rPr>
          <w:sz w:val="20"/>
          <w:szCs w:val="20"/>
        </w:rPr>
        <w:t xml:space="preserve"> Revision </w:t>
      </w:r>
      <w:r w:rsidR="00FC4CEA">
        <w:rPr>
          <w:sz w:val="20"/>
          <w:szCs w:val="20"/>
        </w:rPr>
        <w:t>0</w:t>
      </w:r>
      <w:r w:rsidRPr="0062124C">
        <w:rPr>
          <w:sz w:val="20"/>
          <w:szCs w:val="20"/>
        </w:rPr>
        <w:t xml:space="preserve">).  SDG&amp;E adopts all the values in </w:t>
      </w:r>
      <w:r w:rsidR="00FC4CEA" w:rsidRPr="00FC4CEA">
        <w:rPr>
          <w:sz w:val="20"/>
          <w:szCs w:val="20"/>
        </w:rPr>
        <w:t>WPSCGNRAP170103</w:t>
      </w:r>
      <w:r w:rsidR="00FC4CEA">
        <w:rPr>
          <w:sz w:val="20"/>
          <w:szCs w:val="20"/>
        </w:rPr>
        <w:t xml:space="preserve"> Revision 0</w:t>
      </w:r>
      <w:r w:rsidRPr="0062124C">
        <w:rPr>
          <w:sz w:val="20"/>
          <w:szCs w:val="20"/>
        </w:rPr>
        <w:t>, with the following exceptions:</w:t>
      </w:r>
    </w:p>
    <w:p w14:paraId="2AA462CA" w14:textId="7B932E7A" w:rsidR="0062124C" w:rsidRDefault="0062124C" w:rsidP="0062124C">
      <w:pPr>
        <w:pStyle w:val="ListParagraph"/>
        <w:numPr>
          <w:ilvl w:val="0"/>
          <w:numId w:val="18"/>
        </w:numPr>
        <w:jc w:val="both"/>
        <w:rPr>
          <w:sz w:val="20"/>
          <w:szCs w:val="20"/>
        </w:rPr>
      </w:pPr>
      <w:r>
        <w:rPr>
          <w:sz w:val="20"/>
          <w:szCs w:val="20"/>
        </w:rPr>
        <w:t xml:space="preserve">Measure Application Type was adjusted to </w:t>
      </w:r>
      <w:r w:rsidR="00FC4CEA">
        <w:rPr>
          <w:sz w:val="20"/>
          <w:szCs w:val="20"/>
        </w:rPr>
        <w:t>AOE</w:t>
      </w:r>
      <w:r>
        <w:rPr>
          <w:sz w:val="20"/>
          <w:szCs w:val="20"/>
        </w:rPr>
        <w:t xml:space="preserve"> </w:t>
      </w:r>
      <w:r w:rsidRPr="0062124C">
        <w:rPr>
          <w:sz w:val="20"/>
          <w:szCs w:val="20"/>
        </w:rPr>
        <w:t xml:space="preserve">from </w:t>
      </w:r>
      <w:r w:rsidR="00FC4CEA">
        <w:rPr>
          <w:rFonts w:cs="Arial"/>
          <w:sz w:val="20"/>
          <w:szCs w:val="20"/>
        </w:rPr>
        <w:t>REA</w:t>
      </w:r>
      <w:r w:rsidR="006C697C">
        <w:rPr>
          <w:rFonts w:cs="Arial"/>
          <w:sz w:val="20"/>
          <w:szCs w:val="20"/>
        </w:rPr>
        <w:t xml:space="preserve"> </w:t>
      </w:r>
      <w:r w:rsidR="006C697C">
        <w:rPr>
          <w:sz w:val="20"/>
          <w:szCs w:val="20"/>
        </w:rPr>
        <w:t>per E-4818.</w:t>
      </w:r>
    </w:p>
    <w:p w14:paraId="586AE665" w14:textId="11F74061" w:rsidR="00E125DE" w:rsidRPr="0087490D" w:rsidRDefault="00E125DE" w:rsidP="0062124C">
      <w:pPr>
        <w:pStyle w:val="ListParagraph"/>
        <w:numPr>
          <w:ilvl w:val="0"/>
          <w:numId w:val="18"/>
        </w:numPr>
        <w:jc w:val="both"/>
        <w:rPr>
          <w:sz w:val="20"/>
          <w:szCs w:val="20"/>
        </w:rPr>
      </w:pPr>
      <w:r>
        <w:rPr>
          <w:sz w:val="20"/>
          <w:szCs w:val="20"/>
        </w:rPr>
        <w:t xml:space="preserve">SDG&amp;E delivery mechanisms include </w:t>
      </w:r>
      <w:r>
        <w:rPr>
          <w:rFonts w:cstheme="minorHAnsi"/>
          <w:sz w:val="20"/>
          <w:szCs w:val="20"/>
        </w:rPr>
        <w:t xml:space="preserve">Direct Install </w:t>
      </w:r>
      <w:r w:rsidRPr="003115FE">
        <w:rPr>
          <w:rFonts w:cstheme="minorHAnsi"/>
          <w:sz w:val="20"/>
          <w:szCs w:val="20"/>
        </w:rPr>
        <w:t>and Downstream Incentive</w:t>
      </w:r>
      <w:r w:rsidR="00D71BED">
        <w:rPr>
          <w:rFonts w:cstheme="minorHAnsi"/>
          <w:sz w:val="20"/>
          <w:szCs w:val="20"/>
        </w:rPr>
        <w:t>.</w:t>
      </w:r>
    </w:p>
    <w:p w14:paraId="79E3F253" w14:textId="5DD10674" w:rsidR="000A6D58" w:rsidRPr="00FD6239" w:rsidRDefault="000A6D58" w:rsidP="000A6D58">
      <w:pPr>
        <w:pStyle w:val="ListParagraph"/>
        <w:numPr>
          <w:ilvl w:val="0"/>
          <w:numId w:val="18"/>
        </w:numPr>
        <w:jc w:val="both"/>
        <w:rPr>
          <w:sz w:val="20"/>
          <w:szCs w:val="20"/>
        </w:rPr>
      </w:pPr>
      <w:r w:rsidRPr="00FD6239">
        <w:rPr>
          <w:sz w:val="20"/>
          <w:szCs w:val="20"/>
        </w:rPr>
        <w:t>SDG&amp;E is in the process of simplifying its internal Ex Ante data and tracking data warehouse.   Part of that process requires that there be savings values</w:t>
      </w:r>
      <w:r>
        <w:rPr>
          <w:sz w:val="20"/>
          <w:szCs w:val="20"/>
        </w:rPr>
        <w:t xml:space="preserve"> for all potential climate zone and building type </w:t>
      </w:r>
      <w:r w:rsidRPr="00FD6239">
        <w:rPr>
          <w:sz w:val="20"/>
          <w:szCs w:val="20"/>
        </w:rPr>
        <w:t>combinations</w:t>
      </w:r>
      <w:r>
        <w:rPr>
          <w:sz w:val="20"/>
          <w:szCs w:val="20"/>
        </w:rPr>
        <w:t xml:space="preserve">. </w:t>
      </w:r>
      <w:r w:rsidRPr="00FD6239">
        <w:rPr>
          <w:sz w:val="20"/>
          <w:szCs w:val="20"/>
        </w:rPr>
        <w:t xml:space="preserve"> </w:t>
      </w:r>
      <w:r>
        <w:rPr>
          <w:sz w:val="20"/>
          <w:szCs w:val="20"/>
        </w:rPr>
        <w:t xml:space="preserve">The savings are not climate zone dependent therefor </w:t>
      </w:r>
      <w:r w:rsidR="001758C8">
        <w:rPr>
          <w:sz w:val="20"/>
          <w:szCs w:val="20"/>
        </w:rPr>
        <w:t>no</w:t>
      </w:r>
      <w:r>
        <w:rPr>
          <w:sz w:val="20"/>
          <w:szCs w:val="20"/>
        </w:rPr>
        <w:t xml:space="preserve"> adjust</w:t>
      </w:r>
      <w:r w:rsidR="00380ACB">
        <w:rPr>
          <w:sz w:val="20"/>
          <w:szCs w:val="20"/>
        </w:rPr>
        <w:t>ment</w:t>
      </w:r>
      <w:r>
        <w:rPr>
          <w:sz w:val="20"/>
          <w:szCs w:val="20"/>
        </w:rPr>
        <w:t xml:space="preserve"> was required for climate zone. The SCG workpaper only included Com, Htl, MFm, Mtl, Nrs and COL building types. COL is coin operated laundry facilities which is not a DEER building type therefor the savings were mapped to small retail (Rts). The remaining commercial building types (Asm, Ecc, EPr, ERC, Ese, EUD, EUn, Gro, HGR, Hsp, OFL, OfS, RFF, RSD, Rt3, RtL, SCn, Sun and WRf) were mapped to the Com savings. </w:t>
      </w:r>
    </w:p>
    <w:p w14:paraId="058F350D" w14:textId="77777777" w:rsidR="0087490D" w:rsidRDefault="0087490D" w:rsidP="000A6D58">
      <w:pPr>
        <w:pStyle w:val="ListParagraph"/>
        <w:ind w:left="1080"/>
        <w:jc w:val="both"/>
        <w:rPr>
          <w:sz w:val="20"/>
          <w:szCs w:val="20"/>
        </w:rPr>
      </w:pPr>
    </w:p>
    <w:p w14:paraId="133347CC"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59"/>
        <w:gridCol w:w="1763"/>
        <w:gridCol w:w="5804"/>
      </w:tblGrid>
      <w:tr w:rsidR="00B57F32" w:rsidRPr="00500C4E" w14:paraId="77A36BBE" w14:textId="77777777" w:rsidTr="00A348B9">
        <w:trPr>
          <w:trHeight w:val="20"/>
        </w:trPr>
        <w:tc>
          <w:tcPr>
            <w:tcW w:w="280" w:type="pct"/>
            <w:shd w:val="clear" w:color="auto" w:fill="D9D9D9" w:themeFill="background1" w:themeFillShade="D9"/>
          </w:tcPr>
          <w:p w14:paraId="31560AD1" w14:textId="77777777" w:rsidR="00B57F32" w:rsidRPr="000E2B6B" w:rsidRDefault="00B57F32" w:rsidP="00393EC8">
            <w:pPr>
              <w:rPr>
                <w:rStyle w:val="Strong"/>
                <w:bCs w:val="0"/>
              </w:rPr>
            </w:pPr>
            <w:r w:rsidRPr="000E2B6B">
              <w:rPr>
                <w:rStyle w:val="Strong"/>
              </w:rPr>
              <w:t>Rev</w:t>
            </w:r>
          </w:p>
        </w:tc>
        <w:tc>
          <w:tcPr>
            <w:tcW w:w="673" w:type="pct"/>
            <w:shd w:val="clear" w:color="auto" w:fill="D9D9D9" w:themeFill="background1" w:themeFillShade="D9"/>
          </w:tcPr>
          <w:p w14:paraId="4CE9C61F" w14:textId="77777777" w:rsidR="00B57F32" w:rsidRPr="000E2B6B" w:rsidRDefault="00B57F32" w:rsidP="00393EC8">
            <w:pPr>
              <w:rPr>
                <w:rStyle w:val="Strong"/>
                <w:bCs w:val="0"/>
              </w:rPr>
            </w:pPr>
            <w:r w:rsidRPr="000E2B6B">
              <w:rPr>
                <w:rStyle w:val="Strong"/>
              </w:rPr>
              <w:t>Date</w:t>
            </w:r>
          </w:p>
        </w:tc>
        <w:tc>
          <w:tcPr>
            <w:tcW w:w="943" w:type="pct"/>
            <w:shd w:val="clear" w:color="auto" w:fill="D9D9D9" w:themeFill="background1" w:themeFillShade="D9"/>
          </w:tcPr>
          <w:p w14:paraId="3F627711" w14:textId="77777777" w:rsidR="00B57F32" w:rsidRPr="000E2B6B" w:rsidRDefault="00B57F32" w:rsidP="00393EC8">
            <w:pPr>
              <w:rPr>
                <w:rStyle w:val="Strong"/>
                <w:bCs w:val="0"/>
              </w:rPr>
            </w:pPr>
            <w:r w:rsidRPr="000E2B6B">
              <w:rPr>
                <w:rStyle w:val="Strong"/>
              </w:rPr>
              <w:t>Author</w:t>
            </w:r>
          </w:p>
        </w:tc>
        <w:tc>
          <w:tcPr>
            <w:tcW w:w="3104" w:type="pct"/>
            <w:shd w:val="clear" w:color="auto" w:fill="D9D9D9" w:themeFill="background1" w:themeFillShade="D9"/>
          </w:tcPr>
          <w:p w14:paraId="3F7E9EEB" w14:textId="77777777" w:rsidR="00B57F32" w:rsidRPr="000E2B6B" w:rsidRDefault="00B57F32" w:rsidP="00393EC8">
            <w:pPr>
              <w:rPr>
                <w:rStyle w:val="Strong"/>
                <w:bCs w:val="0"/>
              </w:rPr>
            </w:pPr>
            <w:r w:rsidRPr="000E2B6B">
              <w:rPr>
                <w:rStyle w:val="Strong"/>
              </w:rPr>
              <w:t>Summary of Changes</w:t>
            </w:r>
          </w:p>
        </w:tc>
      </w:tr>
      <w:tr w:rsidR="00C5393B" w:rsidRPr="00500C4E" w14:paraId="19ED8C42" w14:textId="77777777" w:rsidTr="00A348B9">
        <w:trPr>
          <w:trHeight w:val="20"/>
        </w:trPr>
        <w:tc>
          <w:tcPr>
            <w:tcW w:w="280" w:type="pct"/>
          </w:tcPr>
          <w:p w14:paraId="53695813" w14:textId="2CC2F3F4" w:rsidR="00C5393B" w:rsidRPr="000E2B6B" w:rsidRDefault="00C5393B" w:rsidP="00C5393B">
            <w:pPr>
              <w:jc w:val="center"/>
              <w:rPr>
                <w:rFonts w:cstheme="minorHAnsi"/>
              </w:rPr>
            </w:pPr>
            <w:r>
              <w:t>0</w:t>
            </w:r>
          </w:p>
        </w:tc>
        <w:tc>
          <w:tcPr>
            <w:tcW w:w="673" w:type="pct"/>
          </w:tcPr>
          <w:p w14:paraId="0B64BB14" w14:textId="2B69B2DB" w:rsidR="00C5393B" w:rsidRPr="000E2B6B" w:rsidRDefault="00FC4CEA" w:rsidP="00C5393B">
            <w:pPr>
              <w:jc w:val="center"/>
              <w:rPr>
                <w:rFonts w:cstheme="minorHAnsi"/>
              </w:rPr>
            </w:pPr>
            <w:r>
              <w:t>0</w:t>
            </w:r>
            <w:r w:rsidR="000060EF">
              <w:t>4</w:t>
            </w:r>
            <w:r>
              <w:t>/1</w:t>
            </w:r>
            <w:bookmarkStart w:id="1" w:name="_GoBack"/>
            <w:bookmarkEnd w:id="1"/>
            <w:r>
              <w:t>/19</w:t>
            </w:r>
          </w:p>
        </w:tc>
        <w:tc>
          <w:tcPr>
            <w:tcW w:w="943" w:type="pct"/>
          </w:tcPr>
          <w:p w14:paraId="3269B081" w14:textId="320D5C5F" w:rsidR="00C5393B" w:rsidRPr="000E2B6B" w:rsidRDefault="00C5393B" w:rsidP="00C5393B">
            <w:pPr>
              <w:rPr>
                <w:rFonts w:cstheme="minorHAnsi"/>
              </w:rPr>
            </w:pPr>
            <w:r>
              <w:rPr>
                <w:rFonts w:cstheme="minorHAnsi"/>
              </w:rPr>
              <w:t xml:space="preserve"> </w:t>
            </w:r>
            <w:r w:rsidR="00FC4CEA">
              <w:rPr>
                <w:rFonts w:cstheme="minorHAnsi"/>
              </w:rPr>
              <w:t>Keith Valenzuela (AESC</w:t>
            </w:r>
            <w:r w:rsidR="00FB03ED">
              <w:rPr>
                <w:rFonts w:cstheme="minorHAnsi"/>
              </w:rPr>
              <w:t>)</w:t>
            </w:r>
          </w:p>
        </w:tc>
        <w:tc>
          <w:tcPr>
            <w:tcW w:w="3104" w:type="pct"/>
          </w:tcPr>
          <w:p w14:paraId="30D3A3BC" w14:textId="473E93FF" w:rsidR="00C5393B" w:rsidRPr="00A348B9" w:rsidRDefault="00FC4CEA" w:rsidP="00FC4CEA">
            <w:pPr>
              <w:numPr>
                <w:ilvl w:val="0"/>
                <w:numId w:val="17"/>
              </w:numPr>
              <w:rPr>
                <w:bCs/>
              </w:rPr>
            </w:pPr>
            <w:r>
              <w:rPr>
                <w:bCs/>
              </w:rPr>
              <w:t xml:space="preserve">New short form workpaper. Adopted </w:t>
            </w:r>
            <w:r w:rsidRPr="00FC4CEA">
              <w:t>WPSCGNRAP170103</w:t>
            </w:r>
            <w:r>
              <w:t xml:space="preserve"> Revision 0 energy impacts and cost values.</w:t>
            </w:r>
          </w:p>
          <w:p w14:paraId="46C069B1" w14:textId="501084F2" w:rsidR="00A348B9" w:rsidRPr="00FC4CEA" w:rsidRDefault="00A348B9" w:rsidP="00FC4CEA">
            <w:pPr>
              <w:numPr>
                <w:ilvl w:val="0"/>
                <w:numId w:val="17"/>
              </w:numPr>
              <w:rPr>
                <w:bCs/>
              </w:rPr>
            </w:pPr>
            <w:r>
              <w:t>The SCG workpaper only included Com, Htl, MFm, Mtl, Nrs and COL building types. COL is coin operated laundry facilities which is not a DEER building type therefor the savings were mapped to small retail (Rts). The remaining commercial building types (Asm, Ecc, EPr, ERC, Ese, EUD, EUn, Gro, HGR, Hsp, OFL, OfS, RFF, RSD, Rt3, RtL, SCn, Sun and WRf) were mapped to the Com savings.</w:t>
            </w:r>
          </w:p>
          <w:p w14:paraId="261F4D84" w14:textId="628C061E" w:rsidR="00C5393B" w:rsidRPr="005734A4" w:rsidRDefault="00C5393B" w:rsidP="00C5393B">
            <w:pPr>
              <w:rPr>
                <w:rFonts w:cstheme="minorHAnsi"/>
              </w:rPr>
            </w:pPr>
          </w:p>
        </w:tc>
      </w:tr>
      <w:tr w:rsidR="00C5393B" w:rsidRPr="00500C4E" w14:paraId="3F8262D5" w14:textId="77777777" w:rsidTr="00A348B9">
        <w:trPr>
          <w:trHeight w:val="20"/>
        </w:trPr>
        <w:tc>
          <w:tcPr>
            <w:tcW w:w="280" w:type="pct"/>
          </w:tcPr>
          <w:p w14:paraId="492A8882" w14:textId="19C8790C" w:rsidR="00C5393B" w:rsidRPr="00970B1F" w:rsidRDefault="00C5393B" w:rsidP="00C5393B">
            <w:pPr>
              <w:jc w:val="center"/>
              <w:rPr>
                <w:rStyle w:val="Strong"/>
                <w:b w:val="0"/>
              </w:rPr>
            </w:pPr>
          </w:p>
        </w:tc>
        <w:tc>
          <w:tcPr>
            <w:tcW w:w="673" w:type="pct"/>
          </w:tcPr>
          <w:p w14:paraId="7FC3B678" w14:textId="53BD21DA" w:rsidR="00C5393B" w:rsidRPr="00970B1F" w:rsidRDefault="00C5393B" w:rsidP="00C5393B">
            <w:pPr>
              <w:jc w:val="center"/>
              <w:rPr>
                <w:rStyle w:val="Strong"/>
                <w:b w:val="0"/>
              </w:rPr>
            </w:pPr>
          </w:p>
        </w:tc>
        <w:tc>
          <w:tcPr>
            <w:tcW w:w="943" w:type="pct"/>
          </w:tcPr>
          <w:p w14:paraId="123C123B" w14:textId="2FB5279B" w:rsidR="00C5393B" w:rsidRPr="000E2B6B" w:rsidRDefault="00C5393B" w:rsidP="00C5393B">
            <w:pPr>
              <w:rPr>
                <w:rStyle w:val="Strong"/>
                <w:b w:val="0"/>
              </w:rPr>
            </w:pPr>
          </w:p>
        </w:tc>
        <w:tc>
          <w:tcPr>
            <w:tcW w:w="3104" w:type="pct"/>
          </w:tcPr>
          <w:p w14:paraId="259425FF" w14:textId="1A9DCB16" w:rsidR="00C5393B" w:rsidRPr="00762D81" w:rsidRDefault="00C5393B" w:rsidP="00C5393B">
            <w:pPr>
              <w:rPr>
                <w:rStyle w:val="Strong"/>
                <w:b w:val="0"/>
              </w:rPr>
            </w:pPr>
          </w:p>
        </w:tc>
      </w:tr>
      <w:tr w:rsidR="00C5393B" w:rsidRPr="00500C4E" w14:paraId="4FCE8637" w14:textId="77777777" w:rsidTr="00A348B9">
        <w:trPr>
          <w:trHeight w:val="20"/>
        </w:trPr>
        <w:tc>
          <w:tcPr>
            <w:tcW w:w="280" w:type="pct"/>
          </w:tcPr>
          <w:p w14:paraId="08164BE4" w14:textId="0A543573" w:rsidR="00C5393B" w:rsidRPr="00F2079F" w:rsidRDefault="00C5393B" w:rsidP="00C5393B">
            <w:pPr>
              <w:jc w:val="center"/>
            </w:pPr>
          </w:p>
        </w:tc>
        <w:tc>
          <w:tcPr>
            <w:tcW w:w="673" w:type="pct"/>
          </w:tcPr>
          <w:p w14:paraId="5A6A1A61" w14:textId="1CF8A810" w:rsidR="00C5393B" w:rsidRDefault="00C5393B" w:rsidP="00C5393B">
            <w:pPr>
              <w:jc w:val="center"/>
            </w:pPr>
          </w:p>
        </w:tc>
        <w:tc>
          <w:tcPr>
            <w:tcW w:w="943" w:type="pct"/>
          </w:tcPr>
          <w:p w14:paraId="3382F00D" w14:textId="3AD87476" w:rsidR="00C5393B" w:rsidRDefault="00C5393B" w:rsidP="00C5393B"/>
        </w:tc>
        <w:tc>
          <w:tcPr>
            <w:tcW w:w="3104" w:type="pct"/>
          </w:tcPr>
          <w:p w14:paraId="41400361" w14:textId="54F48E02" w:rsidR="00C5393B" w:rsidRPr="006A478E" w:rsidRDefault="00C5393B" w:rsidP="00C5393B">
            <w:pPr>
              <w:rPr>
                <w:bCs/>
              </w:rPr>
            </w:pPr>
          </w:p>
        </w:tc>
      </w:tr>
    </w:tbl>
    <w:p w14:paraId="40FFCDFD" w14:textId="77777777" w:rsidR="00DB71F1" w:rsidRDefault="00DB71F1" w:rsidP="00413EF4"/>
    <w:p w14:paraId="308E2CDE" w14:textId="77777777" w:rsidR="00DB71F1" w:rsidRDefault="00DB71F1">
      <w:r>
        <w:br w:type="page"/>
      </w:r>
    </w:p>
    <w:p w14:paraId="595BFED6" w14:textId="77777777" w:rsidR="00DB71F1" w:rsidRDefault="00DB71F1" w:rsidP="00DB71F1">
      <w:pPr>
        <w:pStyle w:val="Heading2"/>
      </w:pPr>
      <w:r>
        <w:lastRenderedPageBreak/>
        <w:t>Measure Summary</w:t>
      </w:r>
      <w:r w:rsidRPr="0025216C">
        <w:t xml:space="preserve"> </w:t>
      </w:r>
    </w:p>
    <w:p w14:paraId="394C4ECE" w14:textId="77777777" w:rsidR="00EE6CFE" w:rsidRPr="00EE6CFE" w:rsidRDefault="00EE6CFE" w:rsidP="0081521B"/>
    <w:p w14:paraId="3F78005D" w14:textId="77777777" w:rsidR="00DB71F1" w:rsidRDefault="00DB71F1" w:rsidP="00DB71F1">
      <w:pPr>
        <w:pStyle w:val="Caption"/>
        <w:keepNext/>
        <w:jc w:val="center"/>
      </w:pPr>
      <w:r>
        <w:t xml:space="preserve">Table </w:t>
      </w:r>
      <w:r w:rsidR="001656F6">
        <w:rPr>
          <w:noProof/>
        </w:rPr>
        <w:fldChar w:fldCharType="begin"/>
      </w:r>
      <w:r w:rsidR="001656F6">
        <w:rPr>
          <w:noProof/>
        </w:rPr>
        <w:instrText xml:space="preserve"> SEQ Table \* ARABIC </w:instrText>
      </w:r>
      <w:r w:rsidR="001656F6">
        <w:rPr>
          <w:noProof/>
        </w:rPr>
        <w:fldChar w:fldCharType="separate"/>
      </w:r>
      <w:r w:rsidR="00C6110B">
        <w:rPr>
          <w:noProof/>
        </w:rPr>
        <w:t>1</w:t>
      </w:r>
      <w:r w:rsidR="001656F6">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1DA3D667" w14:textId="77777777" w:rsidTr="00FC4CEA">
        <w:trPr>
          <w:cantSplit/>
          <w:tblHeader/>
        </w:trPr>
        <w:tc>
          <w:tcPr>
            <w:tcW w:w="1975" w:type="dxa"/>
          </w:tcPr>
          <w:p w14:paraId="79B2CD38" w14:textId="77777777" w:rsidR="00DB71F1" w:rsidRPr="00D86243" w:rsidRDefault="00DB71F1" w:rsidP="00393EC8">
            <w:pPr>
              <w:jc w:val="center"/>
              <w:rPr>
                <w:b/>
              </w:rPr>
            </w:pPr>
            <w:r w:rsidRPr="00D86243">
              <w:rPr>
                <w:b/>
              </w:rPr>
              <w:t>Section</w:t>
            </w:r>
          </w:p>
        </w:tc>
        <w:tc>
          <w:tcPr>
            <w:tcW w:w="7375" w:type="dxa"/>
          </w:tcPr>
          <w:p w14:paraId="5B77CA96" w14:textId="77777777" w:rsidR="00DB71F1" w:rsidRPr="00D86243" w:rsidRDefault="00DB71F1" w:rsidP="00393EC8">
            <w:pPr>
              <w:jc w:val="center"/>
              <w:rPr>
                <w:b/>
              </w:rPr>
            </w:pPr>
            <w:r w:rsidRPr="00D86243">
              <w:rPr>
                <w:b/>
              </w:rPr>
              <w:t>Value</w:t>
            </w:r>
          </w:p>
        </w:tc>
      </w:tr>
      <w:tr w:rsidR="00DB71F1" w14:paraId="1DB5595B" w14:textId="77777777" w:rsidTr="00FC4CEA">
        <w:trPr>
          <w:cantSplit/>
        </w:trPr>
        <w:tc>
          <w:tcPr>
            <w:tcW w:w="1975" w:type="dxa"/>
            <w:vAlign w:val="center"/>
          </w:tcPr>
          <w:p w14:paraId="3164F533" w14:textId="50240EA8" w:rsidR="00DB71F1" w:rsidRPr="001D77F7" w:rsidRDefault="00B435A3" w:rsidP="00393EC8">
            <w:pPr>
              <w:rPr>
                <w:b/>
              </w:rPr>
            </w:pPr>
            <w:r w:rsidRPr="001D77F7">
              <w:rPr>
                <w:b/>
              </w:rPr>
              <w:t>1.1 Measure &amp; Baseline Data</w:t>
            </w:r>
          </w:p>
        </w:tc>
        <w:tc>
          <w:tcPr>
            <w:tcW w:w="7375" w:type="dxa"/>
          </w:tcPr>
          <w:p w14:paraId="13577878" w14:textId="5ADF5467" w:rsidR="0018637F" w:rsidRPr="001D4662" w:rsidRDefault="00A3243C" w:rsidP="00A3243C">
            <w:pPr>
              <w:widowControl w:val="0"/>
              <w:overflowPunct w:val="0"/>
              <w:autoSpaceDE w:val="0"/>
              <w:autoSpaceDN w:val="0"/>
              <w:adjustRightInd w:val="0"/>
              <w:textAlignment w:val="baseline"/>
              <w:rPr>
                <w:rFonts w:cstheme="minorHAnsi"/>
                <w:sz w:val="20"/>
                <w:szCs w:val="20"/>
              </w:rPr>
            </w:pPr>
            <w:r w:rsidRPr="001D4662">
              <w:rPr>
                <w:rFonts w:cs="Arial"/>
                <w:sz w:val="20"/>
                <w:szCs w:val="20"/>
              </w:rPr>
              <w:t xml:space="preserve">Please reference </w:t>
            </w:r>
            <w:r w:rsidR="00FC4CEA" w:rsidRPr="001D4662">
              <w:rPr>
                <w:sz w:val="20"/>
                <w:szCs w:val="20"/>
              </w:rPr>
              <w:t xml:space="preserve">WPSCGNRAP170103 Revision 0 </w:t>
            </w:r>
            <w:r w:rsidRPr="001D4662">
              <w:rPr>
                <w:sz w:val="20"/>
                <w:szCs w:val="20"/>
              </w:rPr>
              <w:t>Section</w:t>
            </w:r>
            <w:r w:rsidRPr="001D4662">
              <w:rPr>
                <w:rFonts w:cstheme="minorHAnsi"/>
                <w:sz w:val="20"/>
                <w:szCs w:val="20"/>
              </w:rPr>
              <w:t xml:space="preserve"> 1.1 Measure Description &amp; Background.</w:t>
            </w:r>
          </w:p>
        </w:tc>
      </w:tr>
      <w:tr w:rsidR="00DB71F1" w14:paraId="5C999C77" w14:textId="77777777" w:rsidTr="00FC4CEA">
        <w:trPr>
          <w:cantSplit/>
        </w:trPr>
        <w:tc>
          <w:tcPr>
            <w:tcW w:w="1975" w:type="dxa"/>
            <w:vAlign w:val="center"/>
          </w:tcPr>
          <w:p w14:paraId="1AD0206E" w14:textId="77777777" w:rsidR="00DB71F1" w:rsidRPr="001D77F7" w:rsidRDefault="00DB71F1" w:rsidP="00393EC8">
            <w:pPr>
              <w:rPr>
                <w:b/>
              </w:rPr>
            </w:pPr>
            <w:r w:rsidRPr="001D77F7">
              <w:rPr>
                <w:b/>
              </w:rPr>
              <w:t xml:space="preserve">1.2 Technical Description </w:t>
            </w:r>
          </w:p>
        </w:tc>
        <w:tc>
          <w:tcPr>
            <w:tcW w:w="7375" w:type="dxa"/>
          </w:tcPr>
          <w:p w14:paraId="6C197DB9" w14:textId="756E01ED" w:rsidR="00A3243C" w:rsidRPr="001D4662" w:rsidRDefault="00A3243C" w:rsidP="00A3243C">
            <w:pPr>
              <w:jc w:val="both"/>
              <w:rPr>
                <w:rFonts w:cs="Arial"/>
                <w:sz w:val="20"/>
                <w:szCs w:val="20"/>
              </w:rPr>
            </w:pPr>
            <w:r w:rsidRPr="001D4662">
              <w:rPr>
                <w:rFonts w:cs="Arial"/>
                <w:sz w:val="20"/>
                <w:szCs w:val="20"/>
              </w:rPr>
              <w:t xml:space="preserve">Please reference </w:t>
            </w:r>
            <w:r w:rsidR="00FC4CEA" w:rsidRPr="001D4662">
              <w:rPr>
                <w:sz w:val="20"/>
                <w:szCs w:val="20"/>
              </w:rPr>
              <w:t xml:space="preserve">WPSCGNRAP170103 Revision 0 Section </w:t>
            </w:r>
            <w:r w:rsidRPr="001D4662">
              <w:rPr>
                <w:sz w:val="20"/>
                <w:szCs w:val="20"/>
              </w:rPr>
              <w:t>1.2 Technical Description</w:t>
            </w:r>
          </w:p>
          <w:p w14:paraId="2CD0AD6B" w14:textId="77777777" w:rsidR="00DB71F1" w:rsidRPr="00D4142C" w:rsidRDefault="00DB71F1" w:rsidP="00D4142C">
            <w:pPr>
              <w:rPr>
                <w:rFonts w:cs="Arial"/>
                <w:sz w:val="20"/>
                <w:szCs w:val="20"/>
              </w:rPr>
            </w:pPr>
          </w:p>
        </w:tc>
      </w:tr>
      <w:tr w:rsidR="005F021A" w:rsidRPr="008775D7" w14:paraId="7E0F1030" w14:textId="77777777" w:rsidTr="00FC4CEA">
        <w:trPr>
          <w:cantSplit/>
        </w:trPr>
        <w:tc>
          <w:tcPr>
            <w:tcW w:w="1975" w:type="dxa"/>
          </w:tcPr>
          <w:p w14:paraId="0C145CB9" w14:textId="77777777" w:rsidR="005F021A" w:rsidRPr="00241A1F" w:rsidRDefault="005F021A" w:rsidP="005F021A">
            <w:pPr>
              <w:jc w:val="right"/>
              <w:rPr>
                <w:sz w:val="20"/>
                <w:szCs w:val="20"/>
              </w:rPr>
            </w:pPr>
            <w:r w:rsidRPr="00241A1F">
              <w:rPr>
                <w:sz w:val="20"/>
                <w:szCs w:val="20"/>
              </w:rPr>
              <w:t>Measures</w:t>
            </w:r>
          </w:p>
        </w:tc>
        <w:tc>
          <w:tcPr>
            <w:tcW w:w="7375" w:type="dxa"/>
          </w:tcPr>
          <w:p w14:paraId="3EC30EF5" w14:textId="77777777" w:rsidR="004D4511" w:rsidRPr="0018637F" w:rsidRDefault="004D4511" w:rsidP="004D4511">
            <w:pPr>
              <w:pStyle w:val="Caption"/>
              <w:rPr>
                <w:rFonts w:cstheme="minorHAnsi"/>
                <w:sz w:val="20"/>
                <w:szCs w:val="20"/>
              </w:rPr>
            </w:pPr>
            <w:r w:rsidRPr="0018637F">
              <w:rPr>
                <w:rFonts w:cstheme="minorHAnsi"/>
                <w:sz w:val="20"/>
                <w:szCs w:val="20"/>
              </w:rPr>
              <w:t>Measures and Codes</w:t>
            </w:r>
          </w:p>
          <w:tbl>
            <w:tblPr>
              <w:tblStyle w:val="TableGrid1"/>
              <w:tblW w:w="5000" w:type="pct"/>
              <w:tblLayout w:type="fixed"/>
              <w:tblLook w:val="04A0" w:firstRow="1" w:lastRow="0" w:firstColumn="1" w:lastColumn="0" w:noHBand="0" w:noVBand="1"/>
            </w:tblPr>
            <w:tblGrid>
              <w:gridCol w:w="622"/>
              <w:gridCol w:w="1431"/>
              <w:gridCol w:w="742"/>
              <w:gridCol w:w="759"/>
              <w:gridCol w:w="3595"/>
            </w:tblGrid>
            <w:tr w:rsidR="004D4511" w:rsidRPr="0018637F" w14:paraId="006340F9" w14:textId="77777777" w:rsidTr="009B64EC">
              <w:tc>
                <w:tcPr>
                  <w:tcW w:w="2486" w:type="pct"/>
                  <w:gridSpan w:val="4"/>
                  <w:shd w:val="clear" w:color="auto" w:fill="D9D9D9" w:themeFill="background1" w:themeFillShade="D9"/>
                </w:tcPr>
                <w:p w14:paraId="5C21A93D"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Codes</w:t>
                  </w:r>
                </w:p>
              </w:tc>
              <w:tc>
                <w:tcPr>
                  <w:tcW w:w="2514" w:type="pct"/>
                  <w:vMerge w:val="restart"/>
                  <w:shd w:val="clear" w:color="auto" w:fill="D9D9D9" w:themeFill="background1" w:themeFillShade="D9"/>
                </w:tcPr>
                <w:p w14:paraId="12667A01" w14:textId="77777777" w:rsidR="004D4511" w:rsidRPr="0018637F" w:rsidRDefault="004D4511" w:rsidP="004D4511">
                  <w:pPr>
                    <w:rPr>
                      <w:rFonts w:asciiTheme="minorHAnsi" w:hAnsiTheme="minorHAnsi" w:cstheme="minorHAnsi"/>
                      <w:b/>
                    </w:rPr>
                  </w:pPr>
                  <w:r w:rsidRPr="0018637F">
                    <w:rPr>
                      <w:rFonts w:asciiTheme="minorHAnsi" w:hAnsiTheme="minorHAnsi" w:cstheme="minorHAnsi"/>
                      <w:b/>
                    </w:rPr>
                    <w:t>Measure Name</w:t>
                  </w:r>
                </w:p>
              </w:tc>
            </w:tr>
            <w:tr w:rsidR="004D4511" w:rsidRPr="0018637F" w14:paraId="753822EE" w14:textId="77777777" w:rsidTr="009B64EC">
              <w:tc>
                <w:tcPr>
                  <w:tcW w:w="435" w:type="pct"/>
                  <w:shd w:val="clear" w:color="auto" w:fill="F2F2F2" w:themeFill="background1" w:themeFillShade="F2"/>
                </w:tcPr>
                <w:p w14:paraId="7AC0444E"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SCG</w:t>
                  </w:r>
                </w:p>
              </w:tc>
              <w:tc>
                <w:tcPr>
                  <w:tcW w:w="1001" w:type="pct"/>
                  <w:shd w:val="clear" w:color="auto" w:fill="F2F2F2" w:themeFill="background1" w:themeFillShade="F2"/>
                </w:tcPr>
                <w:p w14:paraId="3D0958DA"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SDG&amp;E</w:t>
                  </w:r>
                </w:p>
              </w:tc>
              <w:tc>
                <w:tcPr>
                  <w:tcW w:w="519" w:type="pct"/>
                  <w:shd w:val="clear" w:color="auto" w:fill="F2F2F2" w:themeFill="background1" w:themeFillShade="F2"/>
                </w:tcPr>
                <w:p w14:paraId="2AA27671"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SCE</w:t>
                  </w:r>
                </w:p>
              </w:tc>
              <w:tc>
                <w:tcPr>
                  <w:tcW w:w="531" w:type="pct"/>
                  <w:shd w:val="clear" w:color="auto" w:fill="F2F2F2" w:themeFill="background1" w:themeFillShade="F2"/>
                </w:tcPr>
                <w:p w14:paraId="35A69F53" w14:textId="77777777" w:rsidR="004D4511" w:rsidRPr="0018637F" w:rsidRDefault="004D4511" w:rsidP="004D4511">
                  <w:pPr>
                    <w:rPr>
                      <w:rFonts w:asciiTheme="minorHAnsi" w:hAnsiTheme="minorHAnsi" w:cstheme="minorHAnsi"/>
                    </w:rPr>
                  </w:pPr>
                  <w:r w:rsidRPr="0018637F">
                    <w:rPr>
                      <w:rFonts w:asciiTheme="minorHAnsi" w:hAnsiTheme="minorHAnsi" w:cstheme="minorHAnsi"/>
                    </w:rPr>
                    <w:t>PG&amp;E</w:t>
                  </w:r>
                </w:p>
              </w:tc>
              <w:tc>
                <w:tcPr>
                  <w:tcW w:w="2514" w:type="pct"/>
                  <w:vMerge/>
                </w:tcPr>
                <w:p w14:paraId="543AF790" w14:textId="77777777" w:rsidR="004D4511" w:rsidRPr="0018637F" w:rsidRDefault="004D4511" w:rsidP="004D4511">
                  <w:pPr>
                    <w:rPr>
                      <w:rFonts w:asciiTheme="minorHAnsi" w:hAnsiTheme="minorHAnsi" w:cstheme="minorHAnsi"/>
                    </w:rPr>
                  </w:pPr>
                </w:p>
              </w:tc>
            </w:tr>
            <w:tr w:rsidR="00C5393B" w:rsidRPr="0018637F" w14:paraId="53E8479A" w14:textId="77777777" w:rsidTr="009B64EC">
              <w:trPr>
                <w:trHeight w:val="243"/>
              </w:trPr>
              <w:tc>
                <w:tcPr>
                  <w:tcW w:w="435" w:type="pct"/>
                </w:tcPr>
                <w:p w14:paraId="05A0F994" w14:textId="34C70819" w:rsidR="00C5393B" w:rsidRPr="0018637F" w:rsidRDefault="00A128B0" w:rsidP="00C5393B">
                  <w:pPr>
                    <w:rPr>
                      <w:rFonts w:asciiTheme="minorHAnsi" w:hAnsiTheme="minorHAnsi" w:cstheme="minorHAnsi"/>
                    </w:rPr>
                  </w:pPr>
                  <w:r w:rsidRPr="00A128B0">
                    <w:rPr>
                      <w:rFonts w:asciiTheme="minorHAnsi" w:hAnsiTheme="minorHAnsi" w:cstheme="minorHAnsi"/>
                    </w:rPr>
                    <w:t>540455</w:t>
                  </w:r>
                </w:p>
              </w:tc>
              <w:tc>
                <w:tcPr>
                  <w:tcW w:w="1001" w:type="pct"/>
                </w:tcPr>
                <w:p w14:paraId="3BA56A87" w14:textId="77777777" w:rsidR="007D7846" w:rsidRDefault="009B64EC" w:rsidP="00C5393B">
                  <w:pPr>
                    <w:rPr>
                      <w:rFonts w:asciiTheme="minorHAnsi" w:hAnsiTheme="minorHAnsi" w:cstheme="minorHAnsi"/>
                    </w:rPr>
                  </w:pPr>
                  <w:r>
                    <w:rPr>
                      <w:rFonts w:asciiTheme="minorHAnsi" w:hAnsiTheme="minorHAnsi" w:cstheme="minorHAnsi"/>
                    </w:rPr>
                    <w:t>466953</w:t>
                  </w:r>
                </w:p>
                <w:p w14:paraId="4B3DFA12" w14:textId="713349D5" w:rsidR="009B64EC" w:rsidRDefault="009B64EC" w:rsidP="009B64EC">
                  <w:pPr>
                    <w:rPr>
                      <w:rFonts w:asciiTheme="minorHAnsi" w:hAnsiTheme="minorHAnsi" w:cstheme="minorHAnsi"/>
                    </w:rPr>
                  </w:pPr>
                  <w:r>
                    <w:rPr>
                      <w:rFonts w:asciiTheme="minorHAnsi" w:hAnsiTheme="minorHAnsi" w:cstheme="minorHAnsi"/>
                    </w:rPr>
                    <w:t>466954</w:t>
                  </w:r>
                </w:p>
                <w:p w14:paraId="57A45AB3" w14:textId="0F8821A3" w:rsidR="009B64EC" w:rsidRDefault="009B64EC" w:rsidP="009B64EC">
                  <w:pPr>
                    <w:rPr>
                      <w:rFonts w:asciiTheme="minorHAnsi" w:hAnsiTheme="minorHAnsi" w:cstheme="minorHAnsi"/>
                    </w:rPr>
                  </w:pPr>
                  <w:r>
                    <w:rPr>
                      <w:rFonts w:asciiTheme="minorHAnsi" w:hAnsiTheme="minorHAnsi" w:cstheme="minorHAnsi"/>
                    </w:rPr>
                    <w:t>466955</w:t>
                  </w:r>
                </w:p>
                <w:p w14:paraId="0B9352A6" w14:textId="7AF0C073" w:rsidR="009B64EC" w:rsidRPr="0018637F" w:rsidRDefault="009B64EC" w:rsidP="00C5393B">
                  <w:pPr>
                    <w:rPr>
                      <w:rFonts w:asciiTheme="minorHAnsi" w:hAnsiTheme="minorHAnsi" w:cstheme="minorHAnsi"/>
                    </w:rPr>
                  </w:pPr>
                  <w:r>
                    <w:rPr>
                      <w:rFonts w:asciiTheme="minorHAnsi" w:hAnsiTheme="minorHAnsi" w:cstheme="minorHAnsi"/>
                    </w:rPr>
                    <w:t>466956</w:t>
                  </w:r>
                </w:p>
              </w:tc>
              <w:tc>
                <w:tcPr>
                  <w:tcW w:w="519" w:type="pct"/>
                </w:tcPr>
                <w:p w14:paraId="2DD66068" w14:textId="040979C3" w:rsidR="00C5393B" w:rsidRPr="0018637F" w:rsidRDefault="00C5393B" w:rsidP="00C5393B">
                  <w:pPr>
                    <w:rPr>
                      <w:rFonts w:asciiTheme="minorHAnsi" w:hAnsiTheme="minorHAnsi" w:cstheme="minorHAnsi"/>
                    </w:rPr>
                  </w:pPr>
                  <w:r w:rsidRPr="0018637F">
                    <w:rPr>
                      <w:rFonts w:asciiTheme="minorHAnsi" w:hAnsiTheme="minorHAnsi" w:cstheme="minorHAnsi"/>
                    </w:rPr>
                    <w:t>N/A</w:t>
                  </w:r>
                </w:p>
              </w:tc>
              <w:tc>
                <w:tcPr>
                  <w:tcW w:w="531" w:type="pct"/>
                </w:tcPr>
                <w:p w14:paraId="143D2ECE" w14:textId="39AF41C1" w:rsidR="00C5393B" w:rsidRPr="0018637F" w:rsidRDefault="00FC4CEA" w:rsidP="00C5393B">
                  <w:pPr>
                    <w:rPr>
                      <w:rFonts w:asciiTheme="minorHAnsi" w:hAnsiTheme="minorHAnsi" w:cstheme="minorHAnsi"/>
                    </w:rPr>
                  </w:pPr>
                  <w:r>
                    <w:t>N/A</w:t>
                  </w:r>
                </w:p>
              </w:tc>
              <w:tc>
                <w:tcPr>
                  <w:tcW w:w="2514" w:type="pct"/>
                </w:tcPr>
                <w:p w14:paraId="0A395115" w14:textId="7D19195D" w:rsidR="00C5393B" w:rsidRPr="0018637F" w:rsidRDefault="00FC4CEA" w:rsidP="00C5393B">
                  <w:pPr>
                    <w:rPr>
                      <w:rFonts w:asciiTheme="minorHAnsi" w:hAnsiTheme="minorHAnsi" w:cstheme="minorHAnsi"/>
                      <w:color w:val="FF0000"/>
                    </w:rPr>
                  </w:pPr>
                  <w:r>
                    <w:t>Modulating Gas Valve with hi/low fires for natural gas dryers for on-site commercial dryers up to 200 Lb. capacity</w:t>
                  </w:r>
                </w:p>
              </w:tc>
            </w:tr>
          </w:tbl>
          <w:p w14:paraId="1FF11067" w14:textId="7A5F8D77" w:rsidR="005F021A" w:rsidRPr="00E733C7" w:rsidRDefault="005F021A" w:rsidP="00E97EFD">
            <w:pPr>
              <w:jc w:val="both"/>
              <w:rPr>
                <w:rFonts w:cs="Arial"/>
                <w:sz w:val="20"/>
                <w:szCs w:val="20"/>
              </w:rPr>
            </w:pPr>
          </w:p>
        </w:tc>
      </w:tr>
      <w:tr w:rsidR="005F021A" w:rsidRPr="008775D7" w14:paraId="4A9FB8AB" w14:textId="77777777" w:rsidTr="00FC4CEA">
        <w:trPr>
          <w:cantSplit/>
        </w:trPr>
        <w:tc>
          <w:tcPr>
            <w:tcW w:w="1975" w:type="dxa"/>
          </w:tcPr>
          <w:p w14:paraId="22ECFA4D" w14:textId="77777777" w:rsidR="005F021A" w:rsidRPr="00653C4B" w:rsidRDefault="005F021A" w:rsidP="005F021A">
            <w:pPr>
              <w:jc w:val="right"/>
              <w:rPr>
                <w:sz w:val="20"/>
                <w:szCs w:val="20"/>
              </w:rPr>
            </w:pPr>
            <w:r w:rsidRPr="00653C4B">
              <w:rPr>
                <w:sz w:val="20"/>
                <w:szCs w:val="20"/>
              </w:rPr>
              <w:t>Code for All Measures</w:t>
            </w:r>
          </w:p>
        </w:tc>
        <w:tc>
          <w:tcPr>
            <w:tcW w:w="7375" w:type="dxa"/>
          </w:tcPr>
          <w:p w14:paraId="50F1043E" w14:textId="3C422C02" w:rsidR="005F021A" w:rsidRPr="001D4662" w:rsidRDefault="00A52998" w:rsidP="005F021A">
            <w:pPr>
              <w:jc w:val="both"/>
              <w:rPr>
                <w:rFonts w:cs="Arial"/>
                <w:sz w:val="20"/>
                <w:szCs w:val="20"/>
              </w:rPr>
            </w:pPr>
            <w:r w:rsidRPr="001D4662">
              <w:rPr>
                <w:rFonts w:cs="Arial"/>
                <w:sz w:val="20"/>
                <w:szCs w:val="20"/>
              </w:rPr>
              <w:t xml:space="preserve">Please reference </w:t>
            </w:r>
            <w:r w:rsidR="00FC4CEA" w:rsidRPr="001D4662">
              <w:rPr>
                <w:sz w:val="20"/>
                <w:szCs w:val="20"/>
              </w:rPr>
              <w:t xml:space="preserve">WPSCGNRAP170103 Revision 0 </w:t>
            </w:r>
            <w:r w:rsidRPr="001D4662">
              <w:rPr>
                <w:sz w:val="20"/>
                <w:szCs w:val="20"/>
              </w:rPr>
              <w:t>Section 1.4.2 Codes and Standards Analysis</w:t>
            </w:r>
          </w:p>
          <w:p w14:paraId="493C8EEC" w14:textId="77777777" w:rsidR="005F021A" w:rsidRPr="000E65D6" w:rsidRDefault="005F021A" w:rsidP="005F021A">
            <w:pPr>
              <w:jc w:val="both"/>
              <w:rPr>
                <w:rFonts w:cs="Arial"/>
                <w:sz w:val="20"/>
                <w:szCs w:val="20"/>
              </w:rPr>
            </w:pPr>
          </w:p>
          <w:p w14:paraId="3343C9C1" w14:textId="77777777" w:rsidR="005F021A" w:rsidRPr="00653C4B" w:rsidRDefault="005F021A" w:rsidP="005F021A">
            <w:pPr>
              <w:jc w:val="both"/>
              <w:rPr>
                <w:rFonts w:cs="Arial"/>
                <w:sz w:val="20"/>
                <w:szCs w:val="20"/>
              </w:rPr>
            </w:pPr>
          </w:p>
        </w:tc>
      </w:tr>
      <w:tr w:rsidR="005F021A" w14:paraId="6B1E00C2" w14:textId="77777777" w:rsidTr="00FC4CEA">
        <w:trPr>
          <w:cantSplit/>
        </w:trPr>
        <w:tc>
          <w:tcPr>
            <w:tcW w:w="1975" w:type="dxa"/>
          </w:tcPr>
          <w:p w14:paraId="6C7C63DE" w14:textId="77777777" w:rsidR="005F021A" w:rsidRPr="001D77F7" w:rsidRDefault="005F021A" w:rsidP="005F021A">
            <w:pPr>
              <w:jc w:val="right"/>
              <w:rPr>
                <w:b/>
              </w:rPr>
            </w:pPr>
            <w:r w:rsidRPr="00197677">
              <w:rPr>
                <w:rFonts w:cs="Arial"/>
                <w:sz w:val="20"/>
                <w:szCs w:val="20"/>
              </w:rPr>
              <w:t>Requirements</w:t>
            </w:r>
          </w:p>
        </w:tc>
        <w:tc>
          <w:tcPr>
            <w:tcW w:w="7375" w:type="dxa"/>
          </w:tcPr>
          <w:p w14:paraId="03553101" w14:textId="72A0AFDF" w:rsidR="005F021A" w:rsidRPr="00876DF4" w:rsidRDefault="00A52998" w:rsidP="00876DF4">
            <w:pPr>
              <w:widowControl w:val="0"/>
              <w:overflowPunct w:val="0"/>
              <w:autoSpaceDE w:val="0"/>
              <w:autoSpaceDN w:val="0"/>
              <w:adjustRightInd w:val="0"/>
              <w:textAlignment w:val="baseline"/>
              <w:rPr>
                <w:rFonts w:cstheme="minorHAnsi"/>
                <w:sz w:val="20"/>
                <w:szCs w:val="20"/>
              </w:rPr>
            </w:pPr>
            <w:r w:rsidRPr="001D4662">
              <w:rPr>
                <w:rFonts w:cs="Arial"/>
                <w:sz w:val="20"/>
                <w:szCs w:val="20"/>
              </w:rPr>
              <w:t xml:space="preserve">Please reference </w:t>
            </w:r>
            <w:r w:rsidR="00FC4CEA" w:rsidRPr="001D4662">
              <w:rPr>
                <w:sz w:val="20"/>
                <w:szCs w:val="20"/>
              </w:rPr>
              <w:t xml:space="preserve">WPSCGNRAP170103 Revision 0 </w:t>
            </w:r>
            <w:r w:rsidRPr="001D4662">
              <w:rPr>
                <w:sz w:val="20"/>
                <w:szCs w:val="20"/>
              </w:rPr>
              <w:t>Section</w:t>
            </w:r>
            <w:r w:rsidRPr="001D4662">
              <w:rPr>
                <w:rFonts w:cstheme="minorHAnsi"/>
                <w:sz w:val="20"/>
                <w:szCs w:val="20"/>
              </w:rPr>
              <w:t xml:space="preserve"> 1.1 Measure Description &amp; Background.</w:t>
            </w:r>
          </w:p>
          <w:p w14:paraId="7645B42C" w14:textId="77777777" w:rsidR="005F021A" w:rsidRPr="00555671" w:rsidRDefault="005F021A" w:rsidP="005F021A">
            <w:pPr>
              <w:jc w:val="both"/>
              <w:rPr>
                <w:sz w:val="20"/>
                <w:szCs w:val="20"/>
              </w:rPr>
            </w:pPr>
          </w:p>
        </w:tc>
      </w:tr>
      <w:tr w:rsidR="005F021A" w14:paraId="759B9222" w14:textId="77777777" w:rsidTr="00FC4CEA">
        <w:trPr>
          <w:cantSplit/>
        </w:trPr>
        <w:tc>
          <w:tcPr>
            <w:tcW w:w="9350" w:type="dxa"/>
            <w:gridSpan w:val="2"/>
          </w:tcPr>
          <w:p w14:paraId="790FFE4C" w14:textId="77777777" w:rsidR="005F021A" w:rsidRPr="00D86243" w:rsidRDefault="005F021A" w:rsidP="005F021A">
            <w:pPr>
              <w:rPr>
                <w:rFonts w:cs="Arial"/>
                <w:sz w:val="20"/>
                <w:szCs w:val="20"/>
              </w:rPr>
            </w:pPr>
            <w:r w:rsidRPr="001D77F7">
              <w:rPr>
                <w:b/>
              </w:rPr>
              <w:t>1.3 Installation Type and Delivery Mechanisms</w:t>
            </w:r>
          </w:p>
        </w:tc>
      </w:tr>
      <w:tr w:rsidR="005F021A" w14:paraId="5168566D" w14:textId="77777777" w:rsidTr="00FC4CEA">
        <w:trPr>
          <w:cantSplit/>
        </w:trPr>
        <w:tc>
          <w:tcPr>
            <w:tcW w:w="1975" w:type="dxa"/>
            <w:vAlign w:val="center"/>
          </w:tcPr>
          <w:p w14:paraId="6C420B2D" w14:textId="77777777" w:rsidR="005F021A" w:rsidRPr="00822B6F" w:rsidRDefault="005F021A" w:rsidP="005F021A">
            <w:pPr>
              <w:jc w:val="right"/>
              <w:rPr>
                <w:sz w:val="20"/>
                <w:szCs w:val="20"/>
              </w:rPr>
            </w:pPr>
            <w:r w:rsidRPr="00822B6F">
              <w:rPr>
                <w:sz w:val="20"/>
                <w:szCs w:val="20"/>
              </w:rPr>
              <w:t>Installation Type</w:t>
            </w:r>
          </w:p>
        </w:tc>
        <w:tc>
          <w:tcPr>
            <w:tcW w:w="7375" w:type="dxa"/>
          </w:tcPr>
          <w:p w14:paraId="3CB39BAF" w14:textId="2BD7C119" w:rsidR="005F021A" w:rsidRPr="00F52060" w:rsidRDefault="00171C3F" w:rsidP="005F021A">
            <w:pPr>
              <w:rPr>
                <w:rFonts w:cs="Arial"/>
                <w:sz w:val="20"/>
                <w:szCs w:val="20"/>
              </w:rPr>
            </w:pPr>
            <w:r>
              <w:rPr>
                <w:sz w:val="20"/>
                <w:szCs w:val="20"/>
              </w:rPr>
              <w:t>AOE</w:t>
            </w:r>
          </w:p>
        </w:tc>
      </w:tr>
      <w:tr w:rsidR="005F021A" w14:paraId="7FC5D739" w14:textId="77777777" w:rsidTr="00FC4CEA">
        <w:trPr>
          <w:cantSplit/>
        </w:trPr>
        <w:tc>
          <w:tcPr>
            <w:tcW w:w="1975" w:type="dxa"/>
            <w:vAlign w:val="center"/>
          </w:tcPr>
          <w:p w14:paraId="2AC862E0" w14:textId="77777777" w:rsidR="005F021A" w:rsidRPr="00822B6F" w:rsidRDefault="005F021A" w:rsidP="005F021A">
            <w:pPr>
              <w:jc w:val="right"/>
              <w:rPr>
                <w:sz w:val="20"/>
                <w:szCs w:val="20"/>
              </w:rPr>
            </w:pPr>
            <w:r w:rsidRPr="00822B6F">
              <w:rPr>
                <w:sz w:val="20"/>
                <w:szCs w:val="20"/>
              </w:rPr>
              <w:t>Delivery Mechanisms</w:t>
            </w:r>
          </w:p>
        </w:tc>
        <w:tc>
          <w:tcPr>
            <w:tcW w:w="7375" w:type="dxa"/>
          </w:tcPr>
          <w:p w14:paraId="5E4A29A9" w14:textId="45777664" w:rsidR="00E125DE" w:rsidRDefault="00E125DE" w:rsidP="00E125DE">
            <w:pPr>
              <w:jc w:val="both"/>
              <w:rPr>
                <w:rFonts w:asciiTheme="minorHAnsi" w:hAnsiTheme="minorHAnsi" w:cstheme="minorHAnsi"/>
                <w:sz w:val="20"/>
                <w:szCs w:val="20"/>
              </w:rPr>
            </w:pPr>
            <w:r>
              <w:rPr>
                <w:rFonts w:asciiTheme="minorHAnsi" w:hAnsiTheme="minorHAnsi" w:cstheme="minorHAnsi"/>
                <w:sz w:val="20"/>
                <w:szCs w:val="20"/>
              </w:rPr>
              <w:t>Direct Install (</w:t>
            </w:r>
            <w:r w:rsidR="00FC1DE4">
              <w:rPr>
                <w:rFonts w:asciiTheme="minorHAnsi" w:hAnsiTheme="minorHAnsi" w:cstheme="minorHAnsi"/>
                <w:sz w:val="20"/>
                <w:szCs w:val="20"/>
              </w:rPr>
              <w:t>DnDeemDI)</w:t>
            </w:r>
          </w:p>
          <w:p w14:paraId="6485E598" w14:textId="2B666F7E" w:rsidR="005F021A" w:rsidRPr="00E125DE" w:rsidRDefault="00E125DE" w:rsidP="00E125DE">
            <w:pPr>
              <w:jc w:val="both"/>
              <w:rPr>
                <w:rFonts w:asciiTheme="minorHAnsi" w:hAnsiTheme="minorHAnsi" w:cstheme="minorHAnsi"/>
                <w:sz w:val="20"/>
                <w:szCs w:val="20"/>
              </w:rPr>
            </w:pPr>
            <w:r w:rsidRPr="003115FE">
              <w:rPr>
                <w:rFonts w:cstheme="minorHAnsi"/>
                <w:sz w:val="20"/>
                <w:szCs w:val="20"/>
              </w:rPr>
              <w:t>Downstream Incentive</w:t>
            </w:r>
            <w:r w:rsidR="00FC1DE4">
              <w:rPr>
                <w:rFonts w:asciiTheme="minorHAnsi" w:hAnsiTheme="minorHAnsi" w:cstheme="minorHAnsi"/>
                <w:sz w:val="20"/>
                <w:szCs w:val="20"/>
              </w:rPr>
              <w:t xml:space="preserve"> (DnDeemed)</w:t>
            </w:r>
          </w:p>
        </w:tc>
      </w:tr>
      <w:tr w:rsidR="005F021A" w14:paraId="7167182E" w14:textId="77777777" w:rsidTr="00FC4CEA">
        <w:trPr>
          <w:cantSplit/>
        </w:trPr>
        <w:tc>
          <w:tcPr>
            <w:tcW w:w="9350" w:type="dxa"/>
            <w:gridSpan w:val="2"/>
          </w:tcPr>
          <w:p w14:paraId="63DEB232" w14:textId="54547A9F" w:rsidR="005F021A" w:rsidRDefault="00677A43" w:rsidP="005F021A">
            <w:r>
              <w:rPr>
                <w:b/>
              </w:rPr>
              <w:t>1.4</w:t>
            </w:r>
            <w:r w:rsidR="005F021A" w:rsidRPr="001D77F7">
              <w:rPr>
                <w:b/>
              </w:rPr>
              <w:t xml:space="preserve"> DEER Data</w:t>
            </w:r>
          </w:p>
        </w:tc>
      </w:tr>
      <w:tr w:rsidR="005F021A" w14:paraId="066131AC" w14:textId="77777777" w:rsidTr="00FC4CEA">
        <w:trPr>
          <w:cantSplit/>
        </w:trPr>
        <w:tc>
          <w:tcPr>
            <w:tcW w:w="1975" w:type="dxa"/>
            <w:vAlign w:val="center"/>
          </w:tcPr>
          <w:p w14:paraId="1B178BC2" w14:textId="77777777" w:rsidR="005F021A" w:rsidRPr="00822B6F" w:rsidRDefault="005F021A" w:rsidP="005F021A">
            <w:pPr>
              <w:jc w:val="right"/>
              <w:rPr>
                <w:sz w:val="20"/>
                <w:szCs w:val="20"/>
              </w:rPr>
            </w:pPr>
            <w:r w:rsidRPr="00822B6F">
              <w:rPr>
                <w:sz w:val="20"/>
                <w:szCs w:val="20"/>
              </w:rPr>
              <w:t>Net-to-Gross Ratio</w:t>
            </w:r>
          </w:p>
        </w:tc>
        <w:tc>
          <w:tcPr>
            <w:tcW w:w="7375" w:type="dxa"/>
          </w:tcPr>
          <w:p w14:paraId="02AA52B5" w14:textId="0E39DF6F" w:rsidR="00677A43" w:rsidRDefault="00677A43" w:rsidP="00677A43">
            <w:pPr>
              <w:jc w:val="both"/>
              <w:rPr>
                <w:sz w:val="20"/>
                <w:szCs w:val="20"/>
              </w:rPr>
            </w:pPr>
            <w:r w:rsidRPr="001D4662">
              <w:rPr>
                <w:rFonts w:cs="Arial"/>
                <w:sz w:val="20"/>
                <w:szCs w:val="20"/>
              </w:rPr>
              <w:t xml:space="preserve">Please reference </w:t>
            </w:r>
            <w:r w:rsidR="001D4662" w:rsidRPr="001D4662">
              <w:rPr>
                <w:sz w:val="20"/>
                <w:szCs w:val="20"/>
              </w:rPr>
              <w:t xml:space="preserve">WPSCGNRAP170103 Revision 0 </w:t>
            </w:r>
            <w:r w:rsidRPr="001D4662">
              <w:rPr>
                <w:sz w:val="20"/>
                <w:szCs w:val="20"/>
              </w:rPr>
              <w:t>Section 1.4.1 DEER Data</w:t>
            </w:r>
          </w:p>
          <w:p w14:paraId="09D68962" w14:textId="5596D306" w:rsidR="005F021A" w:rsidRPr="00D86243" w:rsidRDefault="0037142D" w:rsidP="00B54BC4">
            <w:pPr>
              <w:jc w:val="both"/>
              <w:rPr>
                <w:rFonts w:cs="Arial"/>
                <w:sz w:val="20"/>
                <w:szCs w:val="20"/>
              </w:rPr>
            </w:pPr>
            <w:r>
              <w:rPr>
                <w:sz w:val="20"/>
                <w:szCs w:val="20"/>
              </w:rPr>
              <w:t xml:space="preserve">NTG ID = </w:t>
            </w:r>
            <w:r w:rsidR="00B54BC4">
              <w:rPr>
                <w:sz w:val="20"/>
                <w:szCs w:val="20"/>
              </w:rPr>
              <w:t>All-Default&lt;=2yrs = 0.70</w:t>
            </w:r>
          </w:p>
        </w:tc>
      </w:tr>
      <w:tr w:rsidR="005F021A" w14:paraId="23763F29" w14:textId="77777777" w:rsidTr="00FC4CEA">
        <w:trPr>
          <w:cantSplit/>
          <w:trHeight w:val="845"/>
        </w:trPr>
        <w:tc>
          <w:tcPr>
            <w:tcW w:w="1975" w:type="dxa"/>
            <w:vAlign w:val="center"/>
          </w:tcPr>
          <w:p w14:paraId="59BB4862" w14:textId="77777777" w:rsidR="005F021A" w:rsidRPr="00822B6F" w:rsidRDefault="005F021A" w:rsidP="005F021A">
            <w:pPr>
              <w:jc w:val="right"/>
              <w:rPr>
                <w:sz w:val="20"/>
                <w:szCs w:val="20"/>
              </w:rPr>
            </w:pPr>
            <w:r w:rsidRPr="00822B6F">
              <w:rPr>
                <w:sz w:val="20"/>
                <w:szCs w:val="20"/>
              </w:rPr>
              <w:t>Effective and Remaining Useful Life</w:t>
            </w:r>
          </w:p>
        </w:tc>
        <w:tc>
          <w:tcPr>
            <w:tcW w:w="7375" w:type="dxa"/>
          </w:tcPr>
          <w:p w14:paraId="6C5AC123" w14:textId="552F5E76" w:rsidR="00677A43" w:rsidRPr="000E65D6" w:rsidRDefault="00677A43" w:rsidP="00677A43">
            <w:pPr>
              <w:jc w:val="both"/>
              <w:rPr>
                <w:rFonts w:cs="Arial"/>
                <w:sz w:val="20"/>
                <w:szCs w:val="20"/>
              </w:rPr>
            </w:pPr>
            <w:r>
              <w:rPr>
                <w:rFonts w:cs="Arial"/>
                <w:sz w:val="20"/>
                <w:szCs w:val="20"/>
              </w:rPr>
              <w:t xml:space="preserve">Please reference </w:t>
            </w:r>
            <w:r w:rsidR="001D4662" w:rsidRPr="00FC4CEA">
              <w:rPr>
                <w:sz w:val="20"/>
                <w:szCs w:val="20"/>
              </w:rPr>
              <w:t>WPSCGNRAP170103</w:t>
            </w:r>
            <w:r w:rsidR="001D4662">
              <w:t xml:space="preserve"> Revision 0 </w:t>
            </w:r>
            <w:r>
              <w:rPr>
                <w:sz w:val="20"/>
                <w:szCs w:val="20"/>
              </w:rPr>
              <w:t>Section 1.4.1 DEER Data</w:t>
            </w:r>
          </w:p>
          <w:p w14:paraId="498E6B9D" w14:textId="13392997" w:rsidR="005F021A" w:rsidRDefault="00B54BC4" w:rsidP="005F021A">
            <w:pPr>
              <w:tabs>
                <w:tab w:val="right" w:pos="6732"/>
              </w:tabs>
              <w:rPr>
                <w:rFonts w:cs="Arial"/>
                <w:sz w:val="20"/>
                <w:szCs w:val="20"/>
              </w:rPr>
            </w:pPr>
            <w:r>
              <w:rPr>
                <w:rFonts w:cs="Arial"/>
                <w:sz w:val="20"/>
                <w:szCs w:val="20"/>
              </w:rPr>
              <w:t xml:space="preserve">EUL ID = </w:t>
            </w:r>
            <w:proofErr w:type="spellStart"/>
            <w:r w:rsidRPr="00B54BC4">
              <w:rPr>
                <w:rFonts w:cs="Arial"/>
                <w:sz w:val="20"/>
                <w:szCs w:val="20"/>
              </w:rPr>
              <w:t>Appl-EffCD</w:t>
            </w:r>
            <w:proofErr w:type="spellEnd"/>
            <w:r w:rsidR="00CD6036">
              <w:rPr>
                <w:rFonts w:cs="Arial"/>
                <w:sz w:val="20"/>
                <w:szCs w:val="20"/>
              </w:rPr>
              <w:t>: 12 years</w:t>
            </w:r>
          </w:p>
          <w:p w14:paraId="29B1C243" w14:textId="7B0E1FEF" w:rsidR="00CD6036" w:rsidRPr="00D86243" w:rsidRDefault="00CD6036" w:rsidP="005F021A">
            <w:pPr>
              <w:tabs>
                <w:tab w:val="right" w:pos="6732"/>
              </w:tabs>
              <w:rPr>
                <w:rFonts w:cs="Arial"/>
                <w:sz w:val="20"/>
                <w:szCs w:val="20"/>
              </w:rPr>
            </w:pPr>
            <w:r>
              <w:rPr>
                <w:rFonts w:cs="Arial"/>
                <w:sz w:val="20"/>
                <w:szCs w:val="20"/>
              </w:rPr>
              <w:t>RUL ID: 4 years</w:t>
            </w:r>
          </w:p>
        </w:tc>
      </w:tr>
      <w:tr w:rsidR="005F021A" w14:paraId="3AFEBA66" w14:textId="77777777" w:rsidTr="00FC4CEA">
        <w:trPr>
          <w:cantSplit/>
          <w:trHeight w:val="845"/>
        </w:trPr>
        <w:tc>
          <w:tcPr>
            <w:tcW w:w="1975" w:type="dxa"/>
            <w:vAlign w:val="center"/>
          </w:tcPr>
          <w:p w14:paraId="0A61D1ED" w14:textId="77777777" w:rsidR="005F021A" w:rsidRPr="00822B6F" w:rsidRDefault="005F021A" w:rsidP="005F021A">
            <w:pPr>
              <w:jc w:val="right"/>
              <w:rPr>
                <w:sz w:val="20"/>
                <w:szCs w:val="20"/>
              </w:rPr>
            </w:pPr>
            <w:r>
              <w:rPr>
                <w:sz w:val="20"/>
                <w:szCs w:val="20"/>
              </w:rPr>
              <w:t>GSIA</w:t>
            </w:r>
          </w:p>
        </w:tc>
        <w:tc>
          <w:tcPr>
            <w:tcW w:w="7375" w:type="dxa"/>
          </w:tcPr>
          <w:p w14:paraId="39EDB550" w14:textId="77777777" w:rsidR="005F021A" w:rsidRDefault="00677A43" w:rsidP="00303D94">
            <w:pPr>
              <w:jc w:val="both"/>
              <w:rPr>
                <w:sz w:val="20"/>
                <w:szCs w:val="20"/>
              </w:rPr>
            </w:pPr>
            <w:r>
              <w:rPr>
                <w:rFonts w:cs="Arial"/>
                <w:sz w:val="20"/>
                <w:szCs w:val="20"/>
              </w:rPr>
              <w:t xml:space="preserve">Please reference </w:t>
            </w:r>
            <w:r w:rsidR="001D4662" w:rsidRPr="00FC4CEA">
              <w:rPr>
                <w:sz w:val="20"/>
                <w:szCs w:val="20"/>
              </w:rPr>
              <w:t>WPSCGNRAP170103</w:t>
            </w:r>
            <w:r w:rsidR="001D4662">
              <w:t xml:space="preserve"> Revision 0</w:t>
            </w:r>
            <w:r>
              <w:rPr>
                <w:sz w:val="20"/>
                <w:szCs w:val="20"/>
              </w:rPr>
              <w:t xml:space="preserve"> Section 1.4.1 </w:t>
            </w:r>
            <w:r w:rsidR="00303D94">
              <w:rPr>
                <w:sz w:val="20"/>
                <w:szCs w:val="20"/>
              </w:rPr>
              <w:t>DEER Data</w:t>
            </w:r>
          </w:p>
          <w:p w14:paraId="287F697D" w14:textId="7F4FA5DB" w:rsidR="00B54BC4" w:rsidRPr="004748BE" w:rsidRDefault="00B54BC4" w:rsidP="00303D94">
            <w:pPr>
              <w:jc w:val="both"/>
              <w:rPr>
                <w:rFonts w:cs="Arial"/>
                <w:sz w:val="20"/>
                <w:szCs w:val="20"/>
              </w:rPr>
            </w:pPr>
            <w:r>
              <w:rPr>
                <w:sz w:val="20"/>
                <w:szCs w:val="20"/>
              </w:rPr>
              <w:t>GSIA ID = Def-GSIA</w:t>
            </w:r>
          </w:p>
        </w:tc>
      </w:tr>
      <w:tr w:rsidR="005F021A" w14:paraId="49A2DCE8" w14:textId="77777777" w:rsidTr="00FC4CEA">
        <w:trPr>
          <w:cantSplit/>
          <w:trHeight w:val="458"/>
        </w:trPr>
        <w:tc>
          <w:tcPr>
            <w:tcW w:w="9350" w:type="dxa"/>
            <w:gridSpan w:val="2"/>
            <w:vAlign w:val="center"/>
          </w:tcPr>
          <w:p w14:paraId="5941BAA9" w14:textId="77777777" w:rsidR="005F021A" w:rsidRPr="00241A1F" w:rsidRDefault="005F021A" w:rsidP="005F021A">
            <w:pPr>
              <w:rPr>
                <w:rFonts w:cs="Arial"/>
                <w:sz w:val="20"/>
                <w:szCs w:val="20"/>
              </w:rPr>
            </w:pPr>
            <w:r w:rsidRPr="001D77F7">
              <w:rPr>
                <w:b/>
              </w:rPr>
              <w:t>Section 2. Calculation Methodology</w:t>
            </w:r>
          </w:p>
        </w:tc>
      </w:tr>
      <w:tr w:rsidR="005F021A" w14:paraId="3AE19B38" w14:textId="77777777" w:rsidTr="00FC4CEA">
        <w:trPr>
          <w:cantSplit/>
        </w:trPr>
        <w:tc>
          <w:tcPr>
            <w:tcW w:w="1975" w:type="dxa"/>
            <w:vAlign w:val="center"/>
          </w:tcPr>
          <w:p w14:paraId="08017F42" w14:textId="77777777" w:rsidR="005F021A" w:rsidRDefault="005F021A" w:rsidP="005F021A">
            <w:pPr>
              <w:jc w:val="right"/>
            </w:pPr>
            <w:r>
              <w:rPr>
                <w:rFonts w:cs="Arial"/>
                <w:sz w:val="20"/>
                <w:szCs w:val="20"/>
              </w:rPr>
              <w:t>Energy Savings/Peak Demand Reduction – All Measures</w:t>
            </w:r>
          </w:p>
        </w:tc>
        <w:tc>
          <w:tcPr>
            <w:tcW w:w="7375" w:type="dxa"/>
          </w:tcPr>
          <w:p w14:paraId="1BE87CF3" w14:textId="4AF13222" w:rsidR="005F021A" w:rsidRDefault="00677A43" w:rsidP="00CD07B4">
            <w:pPr>
              <w:jc w:val="both"/>
              <w:rPr>
                <w:sz w:val="20"/>
                <w:szCs w:val="20"/>
              </w:rPr>
            </w:pPr>
            <w:r>
              <w:rPr>
                <w:rFonts w:cs="Arial"/>
                <w:sz w:val="20"/>
                <w:szCs w:val="20"/>
              </w:rPr>
              <w:t xml:space="preserve">Please reference </w:t>
            </w:r>
            <w:r w:rsidR="001D4662" w:rsidRPr="00FC4CEA">
              <w:rPr>
                <w:sz w:val="20"/>
                <w:szCs w:val="20"/>
              </w:rPr>
              <w:t>WPSCGNRAP170103</w:t>
            </w:r>
            <w:r w:rsidR="001D4662">
              <w:t xml:space="preserve"> Revision 0 </w:t>
            </w:r>
            <w:r>
              <w:rPr>
                <w:sz w:val="20"/>
                <w:szCs w:val="20"/>
              </w:rPr>
              <w:t>Section 2 Calculation Methodology</w:t>
            </w:r>
          </w:p>
          <w:p w14:paraId="0DE4B11C" w14:textId="77777777" w:rsidR="00CD07B4" w:rsidRDefault="00CD07B4" w:rsidP="00CD07B4">
            <w:pPr>
              <w:jc w:val="both"/>
              <w:rPr>
                <w:rFonts w:cs="Arial"/>
                <w:sz w:val="20"/>
                <w:szCs w:val="20"/>
              </w:rPr>
            </w:pPr>
          </w:p>
          <w:p w14:paraId="1A1536BC" w14:textId="61174CC5" w:rsidR="00CD07B4" w:rsidRPr="00555671" w:rsidRDefault="00CD07B4" w:rsidP="00690961">
            <w:pPr>
              <w:rPr>
                <w:rFonts w:cs="Arial"/>
                <w:sz w:val="20"/>
                <w:szCs w:val="20"/>
              </w:rPr>
            </w:pPr>
          </w:p>
        </w:tc>
      </w:tr>
      <w:tr w:rsidR="005F021A" w14:paraId="098E0A5E" w14:textId="77777777" w:rsidTr="00FC4CEA">
        <w:trPr>
          <w:cantSplit/>
        </w:trPr>
        <w:tc>
          <w:tcPr>
            <w:tcW w:w="9350" w:type="dxa"/>
            <w:gridSpan w:val="2"/>
            <w:vAlign w:val="center"/>
          </w:tcPr>
          <w:p w14:paraId="7C0C93C6" w14:textId="77777777" w:rsidR="005F021A" w:rsidRPr="00476F40" w:rsidRDefault="005F021A" w:rsidP="005F021A">
            <w:pPr>
              <w:tabs>
                <w:tab w:val="right" w:pos="6732"/>
              </w:tabs>
              <w:rPr>
                <w:rFonts w:cs="Arial"/>
                <w:sz w:val="20"/>
                <w:szCs w:val="20"/>
              </w:rPr>
            </w:pPr>
            <w:r w:rsidRPr="001D77F7">
              <w:rPr>
                <w:b/>
              </w:rPr>
              <w:t>Section 3. Load Shapes</w:t>
            </w:r>
          </w:p>
        </w:tc>
      </w:tr>
      <w:tr w:rsidR="005F021A" w14:paraId="3C985753" w14:textId="77777777" w:rsidTr="00FC4CEA">
        <w:trPr>
          <w:cantSplit/>
        </w:trPr>
        <w:tc>
          <w:tcPr>
            <w:tcW w:w="1975" w:type="dxa"/>
            <w:vAlign w:val="center"/>
          </w:tcPr>
          <w:p w14:paraId="2930804E" w14:textId="77777777" w:rsidR="005F021A" w:rsidRPr="00DD2F3D" w:rsidRDefault="005F021A" w:rsidP="005F021A">
            <w:r>
              <w:t>Load Shape</w:t>
            </w:r>
          </w:p>
        </w:tc>
        <w:tc>
          <w:tcPr>
            <w:tcW w:w="7375" w:type="dxa"/>
          </w:tcPr>
          <w:p w14:paraId="14B4BF28" w14:textId="77777777" w:rsidR="005F021A" w:rsidRDefault="00677A43" w:rsidP="005F021A">
            <w:pPr>
              <w:tabs>
                <w:tab w:val="right" w:pos="6732"/>
              </w:tabs>
              <w:rPr>
                <w:sz w:val="20"/>
                <w:szCs w:val="20"/>
              </w:rPr>
            </w:pPr>
            <w:r>
              <w:rPr>
                <w:rFonts w:cs="Arial"/>
                <w:sz w:val="20"/>
                <w:szCs w:val="20"/>
              </w:rPr>
              <w:t xml:space="preserve">Please reference </w:t>
            </w:r>
            <w:r w:rsidR="001D4662" w:rsidRPr="00FC4CEA">
              <w:rPr>
                <w:sz w:val="20"/>
                <w:szCs w:val="20"/>
              </w:rPr>
              <w:t>WPSCGNRAP170103</w:t>
            </w:r>
            <w:r w:rsidR="001D4662">
              <w:t xml:space="preserve"> Revision 0</w:t>
            </w:r>
            <w:r>
              <w:rPr>
                <w:sz w:val="20"/>
                <w:szCs w:val="20"/>
              </w:rPr>
              <w:t xml:space="preserve"> Section 3 Load Shapes</w:t>
            </w:r>
          </w:p>
          <w:p w14:paraId="677BE5C5" w14:textId="55593126" w:rsidR="00E2215B" w:rsidRDefault="0020269B" w:rsidP="005F021A">
            <w:pPr>
              <w:tabs>
                <w:tab w:val="right" w:pos="6732"/>
              </w:tabs>
              <w:rPr>
                <w:rFonts w:cstheme="minorHAnsi"/>
                <w:bCs/>
                <w:sz w:val="20"/>
              </w:rPr>
            </w:pPr>
            <w:proofErr w:type="spellStart"/>
            <w:r>
              <w:rPr>
                <w:rFonts w:cstheme="minorHAnsi"/>
                <w:bCs/>
                <w:sz w:val="20"/>
              </w:rPr>
              <w:t>ElecImpProfile</w:t>
            </w:r>
            <w:proofErr w:type="spellEnd"/>
            <w:r>
              <w:rPr>
                <w:rFonts w:cstheme="minorHAnsi"/>
                <w:bCs/>
                <w:sz w:val="20"/>
              </w:rPr>
              <w:t>:</w:t>
            </w:r>
            <w:r w:rsidR="00E2215B">
              <w:rPr>
                <w:rFonts w:cstheme="minorHAnsi"/>
                <w:bCs/>
                <w:sz w:val="20"/>
              </w:rPr>
              <w:t xml:space="preserve"> </w:t>
            </w:r>
            <w:proofErr w:type="gramStart"/>
            <w:r w:rsidR="00E2215B">
              <w:rPr>
                <w:rFonts w:cstheme="minorHAnsi"/>
                <w:bCs/>
                <w:sz w:val="20"/>
              </w:rPr>
              <w:t>SDGE:N</w:t>
            </w:r>
            <w:proofErr w:type="gramEnd"/>
            <w:r w:rsidR="00E2215B">
              <w:rPr>
                <w:rFonts w:cstheme="minorHAnsi"/>
                <w:bCs/>
                <w:sz w:val="20"/>
              </w:rPr>
              <w:t>/A-Gas Only Measure</w:t>
            </w:r>
          </w:p>
          <w:p w14:paraId="44B7071A" w14:textId="3256EE7B" w:rsidR="006954B0" w:rsidRDefault="006954B0" w:rsidP="005F021A">
            <w:pPr>
              <w:tabs>
                <w:tab w:val="right" w:pos="6732"/>
              </w:tabs>
              <w:rPr>
                <w:rFonts w:cstheme="minorHAnsi"/>
                <w:bCs/>
                <w:sz w:val="20"/>
              </w:rPr>
            </w:pPr>
            <w:r>
              <w:rPr>
                <w:rFonts w:cstheme="minorHAnsi"/>
                <w:bCs/>
                <w:sz w:val="20"/>
              </w:rPr>
              <w:t xml:space="preserve">E3 Gas Profile: Annual </w:t>
            </w:r>
          </w:p>
        </w:tc>
      </w:tr>
      <w:tr w:rsidR="005F021A" w14:paraId="2591BE2B" w14:textId="77777777" w:rsidTr="00FC4CEA">
        <w:trPr>
          <w:cantSplit/>
        </w:trPr>
        <w:tc>
          <w:tcPr>
            <w:tcW w:w="9350" w:type="dxa"/>
            <w:gridSpan w:val="2"/>
            <w:vAlign w:val="center"/>
          </w:tcPr>
          <w:p w14:paraId="3B5ACDB0" w14:textId="77777777" w:rsidR="005F021A" w:rsidRDefault="005F021A" w:rsidP="005F021A">
            <w:pPr>
              <w:tabs>
                <w:tab w:val="right" w:pos="6732"/>
              </w:tabs>
              <w:rPr>
                <w:rFonts w:cstheme="minorHAnsi"/>
                <w:bCs/>
                <w:sz w:val="20"/>
              </w:rPr>
            </w:pPr>
            <w:r>
              <w:rPr>
                <w:b/>
              </w:rPr>
              <w:t>Section 4</w:t>
            </w:r>
            <w:r w:rsidRPr="00244805">
              <w:rPr>
                <w:b/>
              </w:rPr>
              <w:t xml:space="preserve">. </w:t>
            </w:r>
            <w:r>
              <w:rPr>
                <w:b/>
              </w:rPr>
              <w:t>Cost</w:t>
            </w:r>
          </w:p>
        </w:tc>
      </w:tr>
      <w:tr w:rsidR="005F021A" w14:paraId="257EB581" w14:textId="77777777" w:rsidTr="00FC4CEA">
        <w:trPr>
          <w:cantSplit/>
        </w:trPr>
        <w:tc>
          <w:tcPr>
            <w:tcW w:w="9350" w:type="dxa"/>
            <w:gridSpan w:val="2"/>
            <w:vAlign w:val="center"/>
          </w:tcPr>
          <w:p w14:paraId="63393A4E" w14:textId="77777777" w:rsidR="005F021A" w:rsidRDefault="005F021A" w:rsidP="005F021A">
            <w:pPr>
              <w:tabs>
                <w:tab w:val="right" w:pos="6732"/>
              </w:tabs>
              <w:rPr>
                <w:rFonts w:cstheme="minorHAnsi"/>
                <w:bCs/>
                <w:sz w:val="20"/>
              </w:rPr>
            </w:pPr>
            <w:r>
              <w:rPr>
                <w:b/>
              </w:rPr>
              <w:t>Section 4.1 Base and Measure Costs</w:t>
            </w:r>
          </w:p>
        </w:tc>
      </w:tr>
      <w:tr w:rsidR="005F021A" w14:paraId="2B825504" w14:textId="77777777" w:rsidTr="00FC4CEA">
        <w:trPr>
          <w:cantSplit/>
          <w:trHeight w:val="575"/>
        </w:trPr>
        <w:tc>
          <w:tcPr>
            <w:tcW w:w="1975" w:type="dxa"/>
          </w:tcPr>
          <w:p w14:paraId="0905D050" w14:textId="77777777" w:rsidR="005F021A" w:rsidRPr="00D91B6C" w:rsidRDefault="005F021A" w:rsidP="005F021A">
            <w:r w:rsidRPr="00D91B6C">
              <w:lastRenderedPageBreak/>
              <w:t>Base Cost</w:t>
            </w:r>
          </w:p>
        </w:tc>
        <w:tc>
          <w:tcPr>
            <w:tcW w:w="7375" w:type="dxa"/>
          </w:tcPr>
          <w:p w14:paraId="0B1527AB" w14:textId="6D5B3DB6" w:rsidR="00510606" w:rsidRDefault="00677A43" w:rsidP="00510606">
            <w:pPr>
              <w:rPr>
                <w:sz w:val="20"/>
                <w:szCs w:val="20"/>
              </w:rPr>
            </w:pPr>
            <w:r>
              <w:rPr>
                <w:rFonts w:cs="Arial"/>
                <w:sz w:val="20"/>
                <w:szCs w:val="20"/>
              </w:rPr>
              <w:t xml:space="preserve">Please reference </w:t>
            </w:r>
            <w:r w:rsidR="001D4662" w:rsidRPr="00FC4CEA">
              <w:rPr>
                <w:sz w:val="20"/>
                <w:szCs w:val="20"/>
              </w:rPr>
              <w:t>WPSCGNRAP170103</w:t>
            </w:r>
            <w:r w:rsidR="001D4662">
              <w:t xml:space="preserve"> Revision 0</w:t>
            </w:r>
            <w:r w:rsidR="001D4662">
              <w:rPr>
                <w:sz w:val="20"/>
                <w:szCs w:val="20"/>
              </w:rPr>
              <w:t xml:space="preserve"> </w:t>
            </w:r>
            <w:r>
              <w:rPr>
                <w:sz w:val="20"/>
                <w:szCs w:val="20"/>
              </w:rPr>
              <w:t>Section 4.1 Base Case Cost</w:t>
            </w:r>
            <w:r w:rsidR="00510606">
              <w:rPr>
                <w:sz w:val="20"/>
                <w:szCs w:val="20"/>
              </w:rPr>
              <w:t xml:space="preserve"> for details on how </w:t>
            </w:r>
            <w:r w:rsidR="00046DC6">
              <w:rPr>
                <w:sz w:val="20"/>
                <w:szCs w:val="20"/>
              </w:rPr>
              <w:t xml:space="preserve">baseline </w:t>
            </w:r>
            <w:r w:rsidR="00510606">
              <w:rPr>
                <w:sz w:val="20"/>
                <w:szCs w:val="20"/>
              </w:rPr>
              <w:t xml:space="preserve">cost estimates were determined. </w:t>
            </w:r>
          </w:p>
          <w:p w14:paraId="459F7D40" w14:textId="77777777" w:rsidR="00510606" w:rsidRDefault="00510606" w:rsidP="00510606">
            <w:pPr>
              <w:rPr>
                <w:sz w:val="20"/>
                <w:szCs w:val="20"/>
              </w:rPr>
            </w:pPr>
          </w:p>
          <w:p w14:paraId="7D1562D0" w14:textId="77777777" w:rsidR="001C5614" w:rsidRDefault="001C5614" w:rsidP="001C5614">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p>
          <w:p w14:paraId="111415DD" w14:textId="327D46E2" w:rsidR="005F021A" w:rsidRDefault="005F021A" w:rsidP="005F021A">
            <w:pPr>
              <w:rPr>
                <w:sz w:val="20"/>
                <w:szCs w:val="20"/>
              </w:rPr>
            </w:pPr>
          </w:p>
          <w:p w14:paraId="3F153440" w14:textId="0A5C46C8" w:rsidR="00025499" w:rsidRPr="00F44876" w:rsidRDefault="00025499" w:rsidP="005F021A">
            <w:pPr>
              <w:rPr>
                <w:sz w:val="20"/>
                <w:szCs w:val="20"/>
              </w:rPr>
            </w:pPr>
          </w:p>
        </w:tc>
      </w:tr>
      <w:tr w:rsidR="005F021A" w14:paraId="3FBD5C64" w14:textId="77777777" w:rsidTr="00FC4CEA">
        <w:trPr>
          <w:cantSplit/>
        </w:trPr>
        <w:tc>
          <w:tcPr>
            <w:tcW w:w="1975" w:type="dxa"/>
          </w:tcPr>
          <w:p w14:paraId="42044528" w14:textId="77777777" w:rsidR="005F021A" w:rsidRPr="00D91B6C" w:rsidRDefault="005F021A" w:rsidP="005F021A">
            <w:r w:rsidRPr="00D91B6C">
              <w:t xml:space="preserve">Measure Cost </w:t>
            </w:r>
          </w:p>
        </w:tc>
        <w:tc>
          <w:tcPr>
            <w:tcW w:w="7375" w:type="dxa"/>
          </w:tcPr>
          <w:p w14:paraId="348433F8" w14:textId="15B332D8" w:rsidR="00234E6B" w:rsidRDefault="00677A43" w:rsidP="00234E6B">
            <w:pPr>
              <w:rPr>
                <w:sz w:val="20"/>
                <w:szCs w:val="20"/>
              </w:rPr>
            </w:pPr>
            <w:r>
              <w:rPr>
                <w:rFonts w:cs="Arial"/>
                <w:sz w:val="20"/>
                <w:szCs w:val="20"/>
              </w:rPr>
              <w:t xml:space="preserve">Please reference </w:t>
            </w:r>
            <w:r w:rsidR="001D4662" w:rsidRPr="00FC4CEA">
              <w:rPr>
                <w:sz w:val="20"/>
                <w:szCs w:val="20"/>
              </w:rPr>
              <w:t>WPSCGNRAP170103</w:t>
            </w:r>
            <w:r w:rsidR="001D4662">
              <w:t xml:space="preserve"> Revision 0</w:t>
            </w:r>
            <w:r w:rsidR="001D4662">
              <w:rPr>
                <w:sz w:val="20"/>
                <w:szCs w:val="20"/>
              </w:rPr>
              <w:t xml:space="preserve"> </w:t>
            </w:r>
            <w:r>
              <w:rPr>
                <w:sz w:val="20"/>
                <w:szCs w:val="20"/>
              </w:rPr>
              <w:t>Section 4.2 Measure Case Cost</w:t>
            </w:r>
            <w:r w:rsidR="00234E6B">
              <w:rPr>
                <w:sz w:val="20"/>
                <w:szCs w:val="20"/>
              </w:rPr>
              <w:t xml:space="preserve"> for details on how measure cost estimates were determined. </w:t>
            </w:r>
          </w:p>
          <w:p w14:paraId="4ECA774D" w14:textId="77777777" w:rsidR="00234E6B" w:rsidRDefault="00234E6B" w:rsidP="00234E6B">
            <w:pPr>
              <w:rPr>
                <w:sz w:val="20"/>
                <w:szCs w:val="20"/>
              </w:rPr>
            </w:pPr>
          </w:p>
          <w:p w14:paraId="544275B4" w14:textId="77777777" w:rsidR="00E36ACE" w:rsidRDefault="00E36ACE" w:rsidP="00E36ACE">
            <w:pPr>
              <w:rPr>
                <w:rFonts w:asciiTheme="minorHAnsi" w:hAnsiTheme="minorHAnsi"/>
                <w:sz w:val="20"/>
                <w:szCs w:val="20"/>
              </w:rPr>
            </w:pPr>
            <w:r>
              <w:rPr>
                <w:sz w:val="20"/>
                <w:szCs w:val="20"/>
              </w:rPr>
              <w:t xml:space="preserve">SDG&amp;E adopts all cost and created SDG&amp;E measure cost IDs for reporting purposes. SDG&amp;E measure cost IDs are included in Ex-Ante tables submission. </w:t>
            </w:r>
          </w:p>
          <w:p w14:paraId="65B7301B" w14:textId="14AA6458" w:rsidR="005F021A" w:rsidRPr="00F44876" w:rsidRDefault="005F021A" w:rsidP="00677A43">
            <w:pPr>
              <w:rPr>
                <w:sz w:val="20"/>
                <w:szCs w:val="20"/>
              </w:rPr>
            </w:pPr>
          </w:p>
        </w:tc>
      </w:tr>
    </w:tbl>
    <w:p w14:paraId="5E8E4756" w14:textId="77777777"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E4067" w14:textId="77777777" w:rsidR="005D7526" w:rsidRDefault="005D7526" w:rsidP="00FE520B">
      <w:r>
        <w:separator/>
      </w:r>
    </w:p>
  </w:endnote>
  <w:endnote w:type="continuationSeparator" w:id="0">
    <w:p w14:paraId="344D7484" w14:textId="77777777" w:rsidR="005D7526" w:rsidRDefault="005D7526"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9B3F" w14:textId="1E3A0914" w:rsidR="008F2E00" w:rsidRPr="00241A1F" w:rsidRDefault="00B57F32" w:rsidP="00241A1F">
    <w:pPr>
      <w:pStyle w:val="Footer"/>
      <w:rPr>
        <w:rFonts w:cstheme="minorHAnsi"/>
        <w:b/>
        <w:szCs w:val="22"/>
      </w:rPr>
    </w:pPr>
    <w:r>
      <w:rPr>
        <w:b/>
      </w:rPr>
      <w:t xml:space="preserve">Workpaper </w:t>
    </w:r>
    <w:r w:rsidR="00DF780B">
      <w:rPr>
        <w:b/>
      </w:rPr>
      <w:t>WPSDGENR</w:t>
    </w:r>
    <w:r w:rsidR="007E38C1">
      <w:rPr>
        <w:b/>
      </w:rPr>
      <w:t>AP</w:t>
    </w:r>
    <w:r w:rsidR="007545B7">
      <w:rPr>
        <w:b/>
      </w:rPr>
      <w:t>00</w:t>
    </w:r>
    <w:r w:rsidR="007E38C1">
      <w:rPr>
        <w:b/>
      </w:rPr>
      <w:t>01</w:t>
    </w:r>
    <w:r>
      <w:rPr>
        <w:b/>
      </w:rPr>
      <w:t>, Revision</w:t>
    </w:r>
    <w:r w:rsidR="001C734D">
      <w:rPr>
        <w:b/>
      </w:rPr>
      <w:t xml:space="preserve"> </w:t>
    </w:r>
    <w:r w:rsidR="007E38C1">
      <w:rPr>
        <w:b/>
      </w:rPr>
      <w:t>0</w:t>
    </w:r>
    <w:r w:rsidR="00E372B8">
      <w:rPr>
        <w:b/>
      </w:rPr>
      <w:tab/>
    </w:r>
    <w:r w:rsidR="00E372B8">
      <w:rPr>
        <w:b/>
      </w:rPr>
      <w:tab/>
    </w:r>
    <w:r w:rsidR="007E38C1">
      <w:rPr>
        <w:b/>
      </w:rPr>
      <w:t xml:space="preserve">April </w:t>
    </w:r>
    <w:r w:rsidR="006B3975">
      <w:rPr>
        <w:rFonts w:cstheme="minorHAnsi"/>
        <w:b/>
        <w:szCs w:val="22"/>
      </w:rPr>
      <w:t>1</w:t>
    </w:r>
    <w:r w:rsidR="00D11030">
      <w:rPr>
        <w:rFonts w:cstheme="minorHAnsi"/>
        <w:b/>
        <w:szCs w:val="22"/>
      </w:rPr>
      <w:t>, 201</w:t>
    </w:r>
    <w:r w:rsidR="007E38C1">
      <w:rPr>
        <w:rFonts w:cstheme="minorHAnsi"/>
        <w:b/>
        <w:szCs w:val="22"/>
      </w:rPr>
      <w:t>9</w:t>
    </w:r>
  </w:p>
  <w:p w14:paraId="198790A9" w14:textId="65C0785B"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903A2C">
      <w:rPr>
        <w:b/>
        <w:noProof/>
      </w:rPr>
      <w:t>9</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339E7" w14:textId="77777777" w:rsidR="005D7526" w:rsidRDefault="005D7526" w:rsidP="00FE520B">
      <w:r>
        <w:separator/>
      </w:r>
    </w:p>
  </w:footnote>
  <w:footnote w:type="continuationSeparator" w:id="0">
    <w:p w14:paraId="4C8D7B91" w14:textId="77777777" w:rsidR="005D7526" w:rsidRDefault="005D7526"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9"/>
  </w:num>
  <w:num w:numId="5">
    <w:abstractNumId w:val="14"/>
  </w:num>
  <w:num w:numId="6">
    <w:abstractNumId w:val="4"/>
  </w:num>
  <w:num w:numId="7">
    <w:abstractNumId w:val="20"/>
  </w:num>
  <w:num w:numId="8">
    <w:abstractNumId w:val="17"/>
  </w:num>
  <w:num w:numId="9">
    <w:abstractNumId w:val="5"/>
  </w:num>
  <w:num w:numId="10">
    <w:abstractNumId w:val="18"/>
  </w:num>
  <w:num w:numId="11">
    <w:abstractNumId w:val="19"/>
  </w:num>
  <w:num w:numId="12">
    <w:abstractNumId w:val="12"/>
  </w:num>
  <w:num w:numId="13">
    <w:abstractNumId w:val="21"/>
  </w:num>
  <w:num w:numId="14">
    <w:abstractNumId w:val="11"/>
  </w:num>
  <w:num w:numId="15">
    <w:abstractNumId w:val="13"/>
  </w:num>
  <w:num w:numId="16">
    <w:abstractNumId w:val="16"/>
  </w:num>
  <w:num w:numId="17">
    <w:abstractNumId w:val="10"/>
  </w:num>
  <w:num w:numId="18">
    <w:abstractNumId w:val="0"/>
  </w:num>
  <w:num w:numId="19">
    <w:abstractNumId w:val="7"/>
  </w:num>
  <w:num w:numId="20">
    <w:abstractNumId w:val="15"/>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1CEA"/>
    <w:rsid w:val="00004D4E"/>
    <w:rsid w:val="0000540F"/>
    <w:rsid w:val="000060EF"/>
    <w:rsid w:val="00023C32"/>
    <w:rsid w:val="00025499"/>
    <w:rsid w:val="00026FA7"/>
    <w:rsid w:val="00031221"/>
    <w:rsid w:val="00031BA0"/>
    <w:rsid w:val="00036A2C"/>
    <w:rsid w:val="00046DC6"/>
    <w:rsid w:val="00051762"/>
    <w:rsid w:val="00052743"/>
    <w:rsid w:val="00052CE4"/>
    <w:rsid w:val="00061B30"/>
    <w:rsid w:val="00066880"/>
    <w:rsid w:val="00067315"/>
    <w:rsid w:val="00067AF1"/>
    <w:rsid w:val="000719BF"/>
    <w:rsid w:val="000815F4"/>
    <w:rsid w:val="000950B7"/>
    <w:rsid w:val="000A04AA"/>
    <w:rsid w:val="000A2B83"/>
    <w:rsid w:val="000A3A47"/>
    <w:rsid w:val="000A6D58"/>
    <w:rsid w:val="000B6542"/>
    <w:rsid w:val="000C13AE"/>
    <w:rsid w:val="000C19C4"/>
    <w:rsid w:val="000C441A"/>
    <w:rsid w:val="000D243C"/>
    <w:rsid w:val="000D69BE"/>
    <w:rsid w:val="000E19CA"/>
    <w:rsid w:val="000E2BAF"/>
    <w:rsid w:val="000E2CA6"/>
    <w:rsid w:val="000E6540"/>
    <w:rsid w:val="000E65D6"/>
    <w:rsid w:val="000E69F0"/>
    <w:rsid w:val="000F5B93"/>
    <w:rsid w:val="000F6BA3"/>
    <w:rsid w:val="000F72EF"/>
    <w:rsid w:val="001039B0"/>
    <w:rsid w:val="001046CB"/>
    <w:rsid w:val="00113B82"/>
    <w:rsid w:val="00114EEC"/>
    <w:rsid w:val="00121B4E"/>
    <w:rsid w:val="0012271D"/>
    <w:rsid w:val="00125D9E"/>
    <w:rsid w:val="00131C78"/>
    <w:rsid w:val="00132B69"/>
    <w:rsid w:val="001351BC"/>
    <w:rsid w:val="00143843"/>
    <w:rsid w:val="001505DA"/>
    <w:rsid w:val="001518E0"/>
    <w:rsid w:val="0016189C"/>
    <w:rsid w:val="001656F6"/>
    <w:rsid w:val="00171C3F"/>
    <w:rsid w:val="001752E5"/>
    <w:rsid w:val="001758C8"/>
    <w:rsid w:val="00183A2F"/>
    <w:rsid w:val="0018637F"/>
    <w:rsid w:val="00194466"/>
    <w:rsid w:val="00196DC7"/>
    <w:rsid w:val="001979FF"/>
    <w:rsid w:val="001A11C1"/>
    <w:rsid w:val="001A4875"/>
    <w:rsid w:val="001B1C8A"/>
    <w:rsid w:val="001B5D6C"/>
    <w:rsid w:val="001C3663"/>
    <w:rsid w:val="001C5614"/>
    <w:rsid w:val="001C734D"/>
    <w:rsid w:val="001D0AB9"/>
    <w:rsid w:val="001D4662"/>
    <w:rsid w:val="001D57D7"/>
    <w:rsid w:val="001D6A64"/>
    <w:rsid w:val="001E1F6A"/>
    <w:rsid w:val="001F36D8"/>
    <w:rsid w:val="001F64F8"/>
    <w:rsid w:val="00200310"/>
    <w:rsid w:val="00201A3F"/>
    <w:rsid w:val="0020269B"/>
    <w:rsid w:val="00215828"/>
    <w:rsid w:val="0022142D"/>
    <w:rsid w:val="00225080"/>
    <w:rsid w:val="00231DE1"/>
    <w:rsid w:val="00234E6B"/>
    <w:rsid w:val="00235AFB"/>
    <w:rsid w:val="00241A1F"/>
    <w:rsid w:val="00244447"/>
    <w:rsid w:val="00244805"/>
    <w:rsid w:val="00285F4F"/>
    <w:rsid w:val="00291B2B"/>
    <w:rsid w:val="00295895"/>
    <w:rsid w:val="002C1030"/>
    <w:rsid w:val="002C15E6"/>
    <w:rsid w:val="002C283C"/>
    <w:rsid w:val="002C3734"/>
    <w:rsid w:val="002D0BD6"/>
    <w:rsid w:val="002D7807"/>
    <w:rsid w:val="002D7B3E"/>
    <w:rsid w:val="002E0948"/>
    <w:rsid w:val="002E24BE"/>
    <w:rsid w:val="002F24CE"/>
    <w:rsid w:val="00303D94"/>
    <w:rsid w:val="003115FE"/>
    <w:rsid w:val="00314DF5"/>
    <w:rsid w:val="00315EE8"/>
    <w:rsid w:val="003166DF"/>
    <w:rsid w:val="00323C28"/>
    <w:rsid w:val="0032761E"/>
    <w:rsid w:val="003279DB"/>
    <w:rsid w:val="00332126"/>
    <w:rsid w:val="0034557D"/>
    <w:rsid w:val="003607BA"/>
    <w:rsid w:val="00360CFA"/>
    <w:rsid w:val="0037142D"/>
    <w:rsid w:val="00373EC5"/>
    <w:rsid w:val="00380ACB"/>
    <w:rsid w:val="0039166D"/>
    <w:rsid w:val="00397A6D"/>
    <w:rsid w:val="003A0D2B"/>
    <w:rsid w:val="003A4277"/>
    <w:rsid w:val="003A43AE"/>
    <w:rsid w:val="003A7B4E"/>
    <w:rsid w:val="003B5806"/>
    <w:rsid w:val="003B5DCF"/>
    <w:rsid w:val="003B6A2A"/>
    <w:rsid w:val="003B7A13"/>
    <w:rsid w:val="003C2EE4"/>
    <w:rsid w:val="003D1C21"/>
    <w:rsid w:val="003E035B"/>
    <w:rsid w:val="003E0DC8"/>
    <w:rsid w:val="003E122A"/>
    <w:rsid w:val="003E5528"/>
    <w:rsid w:val="003E6E57"/>
    <w:rsid w:val="003E6FA5"/>
    <w:rsid w:val="003F1F0D"/>
    <w:rsid w:val="00402B3D"/>
    <w:rsid w:val="00404A43"/>
    <w:rsid w:val="00413EF4"/>
    <w:rsid w:val="00416118"/>
    <w:rsid w:val="00430775"/>
    <w:rsid w:val="00431763"/>
    <w:rsid w:val="004402EE"/>
    <w:rsid w:val="004452CE"/>
    <w:rsid w:val="0044686E"/>
    <w:rsid w:val="00446BE5"/>
    <w:rsid w:val="004519B4"/>
    <w:rsid w:val="004576DC"/>
    <w:rsid w:val="004638E4"/>
    <w:rsid w:val="00467DB3"/>
    <w:rsid w:val="004748BE"/>
    <w:rsid w:val="00492365"/>
    <w:rsid w:val="004A6215"/>
    <w:rsid w:val="004B01C6"/>
    <w:rsid w:val="004B2E23"/>
    <w:rsid w:val="004B77DF"/>
    <w:rsid w:val="004D0326"/>
    <w:rsid w:val="004D4511"/>
    <w:rsid w:val="004D5D19"/>
    <w:rsid w:val="004E13B2"/>
    <w:rsid w:val="004E1E7E"/>
    <w:rsid w:val="004F3B6F"/>
    <w:rsid w:val="004F7D90"/>
    <w:rsid w:val="00510606"/>
    <w:rsid w:val="00513723"/>
    <w:rsid w:val="005248E2"/>
    <w:rsid w:val="00541556"/>
    <w:rsid w:val="005428E1"/>
    <w:rsid w:val="00543687"/>
    <w:rsid w:val="00555671"/>
    <w:rsid w:val="005613FC"/>
    <w:rsid w:val="00567FEF"/>
    <w:rsid w:val="00580664"/>
    <w:rsid w:val="0059117D"/>
    <w:rsid w:val="00591D85"/>
    <w:rsid w:val="0059663B"/>
    <w:rsid w:val="005A08D4"/>
    <w:rsid w:val="005B5614"/>
    <w:rsid w:val="005C1518"/>
    <w:rsid w:val="005D0DA1"/>
    <w:rsid w:val="005D20E4"/>
    <w:rsid w:val="005D5D5A"/>
    <w:rsid w:val="005D7526"/>
    <w:rsid w:val="005E18A1"/>
    <w:rsid w:val="005F021A"/>
    <w:rsid w:val="005F46E1"/>
    <w:rsid w:val="00606E8C"/>
    <w:rsid w:val="006173CC"/>
    <w:rsid w:val="0062124C"/>
    <w:rsid w:val="0062489A"/>
    <w:rsid w:val="00633308"/>
    <w:rsid w:val="00636490"/>
    <w:rsid w:val="006374F1"/>
    <w:rsid w:val="00650C31"/>
    <w:rsid w:val="00650F0D"/>
    <w:rsid w:val="0065373B"/>
    <w:rsid w:val="00653C4B"/>
    <w:rsid w:val="00666CDA"/>
    <w:rsid w:val="00677A43"/>
    <w:rsid w:val="00681B91"/>
    <w:rsid w:val="00682E19"/>
    <w:rsid w:val="00684ABA"/>
    <w:rsid w:val="00686789"/>
    <w:rsid w:val="006875B3"/>
    <w:rsid w:val="00690961"/>
    <w:rsid w:val="00690A38"/>
    <w:rsid w:val="00695478"/>
    <w:rsid w:val="006954B0"/>
    <w:rsid w:val="006A2C49"/>
    <w:rsid w:val="006A3E63"/>
    <w:rsid w:val="006A4C65"/>
    <w:rsid w:val="006B0D5C"/>
    <w:rsid w:val="006B3975"/>
    <w:rsid w:val="006B4F62"/>
    <w:rsid w:val="006C697C"/>
    <w:rsid w:val="006D03F9"/>
    <w:rsid w:val="006D2B70"/>
    <w:rsid w:val="00707736"/>
    <w:rsid w:val="00711B58"/>
    <w:rsid w:val="00722C9C"/>
    <w:rsid w:val="00727839"/>
    <w:rsid w:val="007321C3"/>
    <w:rsid w:val="007450D5"/>
    <w:rsid w:val="00752529"/>
    <w:rsid w:val="007545B7"/>
    <w:rsid w:val="0075514D"/>
    <w:rsid w:val="00757057"/>
    <w:rsid w:val="00762D81"/>
    <w:rsid w:val="00764A26"/>
    <w:rsid w:val="0077685A"/>
    <w:rsid w:val="0078006D"/>
    <w:rsid w:val="0078177A"/>
    <w:rsid w:val="00785AC8"/>
    <w:rsid w:val="00786E32"/>
    <w:rsid w:val="00787D7C"/>
    <w:rsid w:val="00792928"/>
    <w:rsid w:val="00797B54"/>
    <w:rsid w:val="007B18FE"/>
    <w:rsid w:val="007B785F"/>
    <w:rsid w:val="007C544A"/>
    <w:rsid w:val="007D1A21"/>
    <w:rsid w:val="007D1F1E"/>
    <w:rsid w:val="007D3A21"/>
    <w:rsid w:val="007D4F8E"/>
    <w:rsid w:val="007D5232"/>
    <w:rsid w:val="007D6FF1"/>
    <w:rsid w:val="007D7846"/>
    <w:rsid w:val="007E38C1"/>
    <w:rsid w:val="007E6B58"/>
    <w:rsid w:val="007E7E00"/>
    <w:rsid w:val="008043F4"/>
    <w:rsid w:val="008078B2"/>
    <w:rsid w:val="0081326E"/>
    <w:rsid w:val="008137B0"/>
    <w:rsid w:val="0081521B"/>
    <w:rsid w:val="00821517"/>
    <w:rsid w:val="008301EC"/>
    <w:rsid w:val="00856FA4"/>
    <w:rsid w:val="00862113"/>
    <w:rsid w:val="00870139"/>
    <w:rsid w:val="008724D6"/>
    <w:rsid w:val="0087490D"/>
    <w:rsid w:val="00876DF4"/>
    <w:rsid w:val="008775D7"/>
    <w:rsid w:val="00881BC9"/>
    <w:rsid w:val="00884AC7"/>
    <w:rsid w:val="00884B9C"/>
    <w:rsid w:val="00895D80"/>
    <w:rsid w:val="00895FBB"/>
    <w:rsid w:val="008A0678"/>
    <w:rsid w:val="008A1557"/>
    <w:rsid w:val="008A1D1C"/>
    <w:rsid w:val="008A4224"/>
    <w:rsid w:val="008A4682"/>
    <w:rsid w:val="008A739E"/>
    <w:rsid w:val="008B5184"/>
    <w:rsid w:val="008B55C2"/>
    <w:rsid w:val="008C01F7"/>
    <w:rsid w:val="008C1BDA"/>
    <w:rsid w:val="008C2C8A"/>
    <w:rsid w:val="008D0B3C"/>
    <w:rsid w:val="008D1C6F"/>
    <w:rsid w:val="008D1E50"/>
    <w:rsid w:val="008E05E3"/>
    <w:rsid w:val="008E0850"/>
    <w:rsid w:val="008E5CD5"/>
    <w:rsid w:val="008F7570"/>
    <w:rsid w:val="0090016E"/>
    <w:rsid w:val="00903A2C"/>
    <w:rsid w:val="00910D54"/>
    <w:rsid w:val="0091470C"/>
    <w:rsid w:val="00920B07"/>
    <w:rsid w:val="00925509"/>
    <w:rsid w:val="00934138"/>
    <w:rsid w:val="0093460A"/>
    <w:rsid w:val="00934C34"/>
    <w:rsid w:val="0093657B"/>
    <w:rsid w:val="009374BC"/>
    <w:rsid w:val="0094267E"/>
    <w:rsid w:val="00950249"/>
    <w:rsid w:val="00957C01"/>
    <w:rsid w:val="009618BA"/>
    <w:rsid w:val="00963C3D"/>
    <w:rsid w:val="00970B1F"/>
    <w:rsid w:val="00985CB7"/>
    <w:rsid w:val="00986A83"/>
    <w:rsid w:val="00993CC0"/>
    <w:rsid w:val="009A6C37"/>
    <w:rsid w:val="009B5444"/>
    <w:rsid w:val="009B64EC"/>
    <w:rsid w:val="009C3F2D"/>
    <w:rsid w:val="009C6AE8"/>
    <w:rsid w:val="009E1662"/>
    <w:rsid w:val="009F016E"/>
    <w:rsid w:val="009F3770"/>
    <w:rsid w:val="00A051D9"/>
    <w:rsid w:val="00A06AD4"/>
    <w:rsid w:val="00A128B0"/>
    <w:rsid w:val="00A21710"/>
    <w:rsid w:val="00A21EF8"/>
    <w:rsid w:val="00A24899"/>
    <w:rsid w:val="00A3243C"/>
    <w:rsid w:val="00A3401B"/>
    <w:rsid w:val="00A348B9"/>
    <w:rsid w:val="00A52998"/>
    <w:rsid w:val="00A578F7"/>
    <w:rsid w:val="00A57E11"/>
    <w:rsid w:val="00A61271"/>
    <w:rsid w:val="00A741B2"/>
    <w:rsid w:val="00A75EDC"/>
    <w:rsid w:val="00A822C2"/>
    <w:rsid w:val="00A827AB"/>
    <w:rsid w:val="00A82AF8"/>
    <w:rsid w:val="00A854EE"/>
    <w:rsid w:val="00A86ECB"/>
    <w:rsid w:val="00A90F14"/>
    <w:rsid w:val="00A9441E"/>
    <w:rsid w:val="00A96751"/>
    <w:rsid w:val="00AA43C4"/>
    <w:rsid w:val="00AB5449"/>
    <w:rsid w:val="00AC3C21"/>
    <w:rsid w:val="00AC696A"/>
    <w:rsid w:val="00AD034F"/>
    <w:rsid w:val="00AD3663"/>
    <w:rsid w:val="00AD36B2"/>
    <w:rsid w:val="00AD74B2"/>
    <w:rsid w:val="00AE2F50"/>
    <w:rsid w:val="00AE4353"/>
    <w:rsid w:val="00AF368D"/>
    <w:rsid w:val="00B00846"/>
    <w:rsid w:val="00B0573F"/>
    <w:rsid w:val="00B079DA"/>
    <w:rsid w:val="00B16652"/>
    <w:rsid w:val="00B26A01"/>
    <w:rsid w:val="00B26A30"/>
    <w:rsid w:val="00B30BB9"/>
    <w:rsid w:val="00B435A3"/>
    <w:rsid w:val="00B471CC"/>
    <w:rsid w:val="00B47B58"/>
    <w:rsid w:val="00B512B8"/>
    <w:rsid w:val="00B521D4"/>
    <w:rsid w:val="00B54BC4"/>
    <w:rsid w:val="00B57F32"/>
    <w:rsid w:val="00B61FCD"/>
    <w:rsid w:val="00B72EB6"/>
    <w:rsid w:val="00B75260"/>
    <w:rsid w:val="00B7668F"/>
    <w:rsid w:val="00B8285F"/>
    <w:rsid w:val="00B90F97"/>
    <w:rsid w:val="00B9234D"/>
    <w:rsid w:val="00B9551F"/>
    <w:rsid w:val="00B96BC7"/>
    <w:rsid w:val="00BA1B6B"/>
    <w:rsid w:val="00BB285E"/>
    <w:rsid w:val="00BB2D80"/>
    <w:rsid w:val="00BC0998"/>
    <w:rsid w:val="00BC237D"/>
    <w:rsid w:val="00BC6454"/>
    <w:rsid w:val="00BD0032"/>
    <w:rsid w:val="00BD4AFD"/>
    <w:rsid w:val="00BD5433"/>
    <w:rsid w:val="00BD600D"/>
    <w:rsid w:val="00BF47C9"/>
    <w:rsid w:val="00C048F4"/>
    <w:rsid w:val="00C05E32"/>
    <w:rsid w:val="00C06B9E"/>
    <w:rsid w:val="00C131CB"/>
    <w:rsid w:val="00C14DCC"/>
    <w:rsid w:val="00C15F66"/>
    <w:rsid w:val="00C228B0"/>
    <w:rsid w:val="00C23CAB"/>
    <w:rsid w:val="00C414A6"/>
    <w:rsid w:val="00C419C5"/>
    <w:rsid w:val="00C44E5A"/>
    <w:rsid w:val="00C462C1"/>
    <w:rsid w:val="00C52867"/>
    <w:rsid w:val="00C5393B"/>
    <w:rsid w:val="00C54AC6"/>
    <w:rsid w:val="00C6110B"/>
    <w:rsid w:val="00C62A00"/>
    <w:rsid w:val="00C63184"/>
    <w:rsid w:val="00C6449C"/>
    <w:rsid w:val="00C675ED"/>
    <w:rsid w:val="00C7215A"/>
    <w:rsid w:val="00C75814"/>
    <w:rsid w:val="00C76CE3"/>
    <w:rsid w:val="00C86F63"/>
    <w:rsid w:val="00C97CC3"/>
    <w:rsid w:val="00CA1C3F"/>
    <w:rsid w:val="00CA43ED"/>
    <w:rsid w:val="00CA48A0"/>
    <w:rsid w:val="00CB10BC"/>
    <w:rsid w:val="00CC4C0C"/>
    <w:rsid w:val="00CD07B4"/>
    <w:rsid w:val="00CD0996"/>
    <w:rsid w:val="00CD0F98"/>
    <w:rsid w:val="00CD6036"/>
    <w:rsid w:val="00CF295D"/>
    <w:rsid w:val="00CF2ABA"/>
    <w:rsid w:val="00D02F02"/>
    <w:rsid w:val="00D11030"/>
    <w:rsid w:val="00D201A1"/>
    <w:rsid w:val="00D204BF"/>
    <w:rsid w:val="00D33B3A"/>
    <w:rsid w:val="00D4142C"/>
    <w:rsid w:val="00D427BC"/>
    <w:rsid w:val="00D60240"/>
    <w:rsid w:val="00D645DB"/>
    <w:rsid w:val="00D71BED"/>
    <w:rsid w:val="00D73600"/>
    <w:rsid w:val="00D73723"/>
    <w:rsid w:val="00D902CF"/>
    <w:rsid w:val="00DA4D9F"/>
    <w:rsid w:val="00DA5D17"/>
    <w:rsid w:val="00DB544A"/>
    <w:rsid w:val="00DB6288"/>
    <w:rsid w:val="00DB71F1"/>
    <w:rsid w:val="00DC42DE"/>
    <w:rsid w:val="00DC43CD"/>
    <w:rsid w:val="00DC4FA7"/>
    <w:rsid w:val="00DC7243"/>
    <w:rsid w:val="00DD2F3D"/>
    <w:rsid w:val="00DD7BCB"/>
    <w:rsid w:val="00DE1C5D"/>
    <w:rsid w:val="00DE364E"/>
    <w:rsid w:val="00DE5AC3"/>
    <w:rsid w:val="00DF780B"/>
    <w:rsid w:val="00E037BE"/>
    <w:rsid w:val="00E048EA"/>
    <w:rsid w:val="00E05871"/>
    <w:rsid w:val="00E05B9C"/>
    <w:rsid w:val="00E125DE"/>
    <w:rsid w:val="00E159C8"/>
    <w:rsid w:val="00E165FC"/>
    <w:rsid w:val="00E21FEA"/>
    <w:rsid w:val="00E2215B"/>
    <w:rsid w:val="00E33C12"/>
    <w:rsid w:val="00E36ACE"/>
    <w:rsid w:val="00E372B8"/>
    <w:rsid w:val="00E408A9"/>
    <w:rsid w:val="00E455B7"/>
    <w:rsid w:val="00E45B3B"/>
    <w:rsid w:val="00E472EA"/>
    <w:rsid w:val="00E50785"/>
    <w:rsid w:val="00E56CE7"/>
    <w:rsid w:val="00E614CB"/>
    <w:rsid w:val="00E6385A"/>
    <w:rsid w:val="00E6631C"/>
    <w:rsid w:val="00E733C7"/>
    <w:rsid w:val="00E74325"/>
    <w:rsid w:val="00E76853"/>
    <w:rsid w:val="00E800A8"/>
    <w:rsid w:val="00E83424"/>
    <w:rsid w:val="00E84938"/>
    <w:rsid w:val="00E859F0"/>
    <w:rsid w:val="00E9295E"/>
    <w:rsid w:val="00E97EFD"/>
    <w:rsid w:val="00EB2DBB"/>
    <w:rsid w:val="00EC2C0C"/>
    <w:rsid w:val="00EC34A0"/>
    <w:rsid w:val="00EC38B0"/>
    <w:rsid w:val="00EC550F"/>
    <w:rsid w:val="00ED2993"/>
    <w:rsid w:val="00ED3B34"/>
    <w:rsid w:val="00ED65C0"/>
    <w:rsid w:val="00EE38DA"/>
    <w:rsid w:val="00EE6CFE"/>
    <w:rsid w:val="00F0527C"/>
    <w:rsid w:val="00F117C6"/>
    <w:rsid w:val="00F22251"/>
    <w:rsid w:val="00F3167F"/>
    <w:rsid w:val="00F350A8"/>
    <w:rsid w:val="00F4328B"/>
    <w:rsid w:val="00F44876"/>
    <w:rsid w:val="00F44FA6"/>
    <w:rsid w:val="00F52060"/>
    <w:rsid w:val="00F66B1B"/>
    <w:rsid w:val="00F7209B"/>
    <w:rsid w:val="00F77C08"/>
    <w:rsid w:val="00F855DD"/>
    <w:rsid w:val="00F915C5"/>
    <w:rsid w:val="00FA00D7"/>
    <w:rsid w:val="00FA3359"/>
    <w:rsid w:val="00FB03ED"/>
    <w:rsid w:val="00FB3F41"/>
    <w:rsid w:val="00FB4B16"/>
    <w:rsid w:val="00FB6C42"/>
    <w:rsid w:val="00FC04A3"/>
    <w:rsid w:val="00FC1793"/>
    <w:rsid w:val="00FC1DE4"/>
    <w:rsid w:val="00FC4CEA"/>
    <w:rsid w:val="00FD0565"/>
    <w:rsid w:val="00FD3A95"/>
    <w:rsid w:val="00FD3D43"/>
    <w:rsid w:val="00FD6239"/>
    <w:rsid w:val="00FE520B"/>
    <w:rsid w:val="00FE636E"/>
    <w:rsid w:val="00FE7645"/>
    <w:rsid w:val="00FE7963"/>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4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66419861">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234046977">
      <w:bodyDiv w:val="1"/>
      <w:marLeft w:val="0"/>
      <w:marRight w:val="0"/>
      <w:marTop w:val="0"/>
      <w:marBottom w:val="0"/>
      <w:divBdr>
        <w:top w:val="none" w:sz="0" w:space="0" w:color="auto"/>
        <w:left w:val="none" w:sz="0" w:space="0" w:color="auto"/>
        <w:bottom w:val="none" w:sz="0" w:space="0" w:color="auto"/>
        <w:right w:val="none" w:sz="0" w:space="0" w:color="auto"/>
      </w:divBdr>
    </w:div>
    <w:div w:id="671831480">
      <w:bodyDiv w:val="1"/>
      <w:marLeft w:val="0"/>
      <w:marRight w:val="0"/>
      <w:marTop w:val="0"/>
      <w:marBottom w:val="0"/>
      <w:divBdr>
        <w:top w:val="none" w:sz="0" w:space="0" w:color="auto"/>
        <w:left w:val="none" w:sz="0" w:space="0" w:color="auto"/>
        <w:bottom w:val="none" w:sz="0" w:space="0" w:color="auto"/>
        <w:right w:val="none" w:sz="0" w:space="0" w:color="auto"/>
      </w:divBdr>
    </w:div>
    <w:div w:id="885213421">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267158154">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766919249">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 w:id="2039430032">
      <w:bodyDiv w:val="1"/>
      <w:marLeft w:val="0"/>
      <w:marRight w:val="0"/>
      <w:marTop w:val="0"/>
      <w:marBottom w:val="0"/>
      <w:divBdr>
        <w:top w:val="none" w:sz="0" w:space="0" w:color="auto"/>
        <w:left w:val="none" w:sz="0" w:space="0" w:color="auto"/>
        <w:bottom w:val="none" w:sz="0" w:space="0" w:color="auto"/>
        <w:right w:val="none" w:sz="0" w:space="0" w:color="auto"/>
      </w:divBdr>
    </w:div>
    <w:div w:id="208352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50478E-3C3D-41F9-A700-83389131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2019-04-02T06:08:00Z</dcterms:created>
  <dcterms:modified xsi:type="dcterms:W3CDTF">2019-04-02T06:11:00Z</dcterms:modified>
</cp:coreProperties>
</file>