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08DE04FA"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0</w:t>
      </w:r>
      <w:bookmarkEnd w:id="1"/>
    </w:p>
    <w:p w14:paraId="4871AF88" w14:textId="1FFE0EFE"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Pr>
          <w:rStyle w:val="MessageHeaderLabel"/>
          <w:b w:val="0"/>
          <w:sz w:val="22"/>
        </w:rPr>
        <w:t>3/15/2019</w:t>
      </w:r>
      <w:r w:rsidR="006075D8">
        <w:rPr>
          <w:rStyle w:val="MessageHeaderLabel"/>
          <w:b w:val="0"/>
          <w:sz w:val="22"/>
        </w:rPr>
        <w:t>, To be used starting 3/18/2019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622F16">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622F16">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622F16">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77777777" w:rsidR="00420467" w:rsidRDefault="002B61BC" w:rsidP="00420467">
            <w:pPr>
              <w:pStyle w:val="BodyText"/>
            </w:pPr>
            <w:sdt>
              <w:sdtPr>
                <w:id w:val="-2117282711"/>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SW      </w:t>
            </w:r>
            <w:sdt>
              <w:sdtPr>
                <w:id w:val="659738758"/>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1E7A02E0" w:rsidR="00420467" w:rsidRDefault="002B61BC"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1"/>
                  <w14:checkedState w14:val="2612" w14:font="MS Gothic"/>
                  <w14:uncheckedState w14:val="2610" w14:font="MS Gothic"/>
                </w14:checkbox>
              </w:sdtPr>
              <w:sdtEndPr/>
              <w:sdtContent>
                <w:r w:rsidR="00622F16">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622F16">
        <w:trPr>
          <w:trHeight w:val="405"/>
          <w:jc w:val="center"/>
        </w:trPr>
        <w:tc>
          <w:tcPr>
            <w:tcW w:w="1602" w:type="dxa"/>
          </w:tcPr>
          <w:p w14:paraId="32F0125B" w14:textId="103CF414" w:rsidR="00C2126E" w:rsidRDefault="00C2126E" w:rsidP="00C2126E">
            <w:pPr>
              <w:pStyle w:val="BodyText"/>
            </w:pPr>
            <w:r>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23DAB846" w14:textId="77777777" w:rsidR="00C2126E" w:rsidRDefault="00622F16" w:rsidP="00C2126E">
            <w:pPr>
              <w:pStyle w:val="BodyText"/>
            </w:pPr>
            <w:r>
              <w:t>Ed Reynoso</w:t>
            </w:r>
          </w:p>
          <w:p w14:paraId="3EFD04CD" w14:textId="7F6D226B" w:rsidR="00622F16" w:rsidRDefault="002B61BC" w:rsidP="00C2126E">
            <w:pPr>
              <w:pStyle w:val="BodyText"/>
            </w:pPr>
            <w:hyperlink r:id="rId8" w:history="1">
              <w:r w:rsidR="00622F16" w:rsidRPr="00D92587">
                <w:rPr>
                  <w:rStyle w:val="Hyperlink"/>
                </w:rPr>
                <w:t>EReynoso@semprautilities.com</w:t>
              </w:r>
            </w:hyperlink>
            <w:r w:rsidR="00622F16">
              <w:t xml:space="preserve"> </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DC26C7">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DC26C7">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DC26C7">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678C22B9" w:rsidR="00A047C5" w:rsidRDefault="00DC26C7" w:rsidP="006B5B36">
            <w:pPr>
              <w:pStyle w:val="BodyText"/>
            </w:pPr>
            <w:r w:rsidRPr="00DC26C7">
              <w:t>Gas Dryer Modulating Valve: Commercial and Multi-Family</w:t>
            </w:r>
          </w:p>
        </w:tc>
      </w:tr>
      <w:tr w:rsidR="00A047C5" w14:paraId="5A1359C9" w14:textId="014EC27F" w:rsidTr="00DC26C7">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45E57934" w:rsidR="00A047C5" w:rsidRDefault="00DC26C7" w:rsidP="00DC26C7">
            <w:pPr>
              <w:pStyle w:val="BodyText"/>
            </w:pPr>
            <w:r>
              <w:t xml:space="preserve">WPSDGENRAP0001 </w:t>
            </w:r>
          </w:p>
        </w:tc>
      </w:tr>
      <w:tr w:rsidR="00A047C5" w14:paraId="40C45486" w14:textId="16525024" w:rsidTr="00DC26C7">
        <w:tc>
          <w:tcPr>
            <w:tcW w:w="2713" w:type="dxa"/>
          </w:tcPr>
          <w:p w14:paraId="33684E3C" w14:textId="55689C0C" w:rsidR="00A047C5" w:rsidRDefault="00A047C5" w:rsidP="006B5B36">
            <w:pPr>
              <w:pStyle w:val="BodyText"/>
            </w:pPr>
            <w:r>
              <w:lastRenderedPageBreak/>
              <w:t>Revision Number</w:t>
            </w:r>
          </w:p>
        </w:tc>
        <w:tc>
          <w:tcPr>
            <w:tcW w:w="3677"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0F6798AF" w:rsidR="00A047C5" w:rsidRDefault="00DC26C7" w:rsidP="006B5B36">
            <w:pPr>
              <w:pStyle w:val="BodyText"/>
            </w:pPr>
            <w:r>
              <w:t>Revision 0</w:t>
            </w:r>
          </w:p>
        </w:tc>
      </w:tr>
      <w:tr w:rsidR="007C6229" w14:paraId="4466F13C" w14:textId="77777777" w:rsidTr="00DC26C7">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5E41F16A" w:rsidR="007C6229" w:rsidRDefault="00DC26C7" w:rsidP="006B5B36">
            <w:pPr>
              <w:pStyle w:val="BodyText"/>
            </w:pPr>
            <w:r w:rsidRPr="00DC26C7">
              <w:t>WPSDGENRAP0001-0</w:t>
            </w:r>
          </w:p>
        </w:tc>
      </w:tr>
      <w:tr w:rsidR="00A047C5" w14:paraId="75FA055D" w14:textId="1DE6EAE3" w:rsidTr="00DC26C7">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4B8509D2" w:rsidR="0040312B" w:rsidRDefault="0040312B" w:rsidP="006B5B36">
                  <w:pPr>
                    <w:pStyle w:val="BodyText"/>
                  </w:pPr>
                  <w:r>
                    <w:t xml:space="preserve">Year: </w:t>
                  </w:r>
                  <w:r w:rsidR="00DC26C7">
                    <w:t>2019</w:t>
                  </w:r>
                </w:p>
              </w:tc>
              <w:tc>
                <w:tcPr>
                  <w:tcW w:w="1955" w:type="dxa"/>
                </w:tcPr>
                <w:p w14:paraId="200B9CC7" w14:textId="3E297EBB" w:rsidR="0040312B" w:rsidRDefault="0040312B" w:rsidP="0040312B">
                  <w:pPr>
                    <w:pStyle w:val="BodyText"/>
                  </w:pPr>
                  <w:r>
                    <w:t xml:space="preserve">  </w:t>
                  </w:r>
                  <w:sdt>
                    <w:sdtPr>
                      <w:id w:val="15019315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Phase 1</w:t>
                  </w:r>
                </w:p>
                <w:p w14:paraId="0BE83D55" w14:textId="2A3E9336" w:rsidR="0040312B" w:rsidRDefault="0040312B" w:rsidP="0040312B">
                  <w:pPr>
                    <w:pStyle w:val="BodyText"/>
                  </w:pPr>
                  <w:r>
                    <w:t xml:space="preserve">  </w:t>
                  </w:r>
                  <w:sdt>
                    <w:sdtPr>
                      <w:id w:val="-250358193"/>
                      <w14:checkbox>
                        <w14:checked w14:val="1"/>
                        <w14:checkedState w14:val="2612" w14:font="MS Gothic"/>
                        <w14:uncheckedState w14:val="2610" w14:font="MS Gothic"/>
                      </w14:checkbox>
                    </w:sdtPr>
                    <w:sdtEndPr/>
                    <w:sdtContent>
                      <w:r w:rsidR="00DC26C7">
                        <w:rPr>
                          <w:rFonts w:ascii="MS Gothic" w:eastAsia="MS Gothic" w:hAnsi="MS Gothic" w:hint="eastAsia"/>
                        </w:rPr>
                        <w:t>☒</w:t>
                      </w:r>
                    </w:sdtContent>
                  </w:sdt>
                  <w:r>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DC26C7">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08462961" w:rsidR="006565AA" w:rsidRDefault="00DC26C7" w:rsidP="006565AA">
                  <w:pPr>
                    <w:pStyle w:val="BodyText"/>
                  </w:pPr>
                  <w:r>
                    <w:t>1/1/2019</w:t>
                  </w:r>
                </w:p>
              </w:tc>
            </w:tr>
          </w:tbl>
          <w:p w14:paraId="10A7815C" w14:textId="171863FD" w:rsidR="00A047C5" w:rsidRDefault="00FE7B2D" w:rsidP="006B5B36">
            <w:pPr>
              <w:pStyle w:val="BodyText"/>
            </w:pPr>
            <w:r>
              <w:t>Notes:</w:t>
            </w:r>
          </w:p>
        </w:tc>
      </w:tr>
      <w:tr w:rsidR="00A047C5" w14:paraId="2044C5DB" w14:textId="051A4F90" w:rsidTr="00DC26C7">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4148ADB4" w:rsidR="006565AA" w:rsidRDefault="00DC26C7" w:rsidP="006565AA">
                  <w:pPr>
                    <w:pStyle w:val="BodyText"/>
                  </w:pPr>
                  <w:r>
                    <w:t>N/A</w:t>
                  </w:r>
                </w:p>
              </w:tc>
            </w:tr>
          </w:tbl>
          <w:p w14:paraId="773F5199" w14:textId="69D08AAB" w:rsidR="00A047C5" w:rsidRDefault="00965CA8" w:rsidP="006B5B36">
            <w:pPr>
              <w:pStyle w:val="BodyText"/>
            </w:pPr>
            <w:r>
              <w:t>Notes:</w:t>
            </w:r>
            <w:r w:rsidR="00DC26C7">
              <w:t xml:space="preserve"> The expiry date is unknown.</w:t>
            </w:r>
          </w:p>
          <w:p w14:paraId="5D6AF012" w14:textId="56C8D415" w:rsidR="007A63DE" w:rsidRDefault="007A63DE" w:rsidP="006B5B36">
            <w:pPr>
              <w:pStyle w:val="BodyText"/>
            </w:pPr>
          </w:p>
        </w:tc>
      </w:tr>
      <w:tr w:rsidR="00A047C5" w14:paraId="66E0B34C" w14:textId="6A88DB8C" w:rsidTr="00DC26C7">
        <w:trPr>
          <w:trHeight w:val="2690"/>
        </w:trPr>
        <w:tc>
          <w:tcPr>
            <w:tcW w:w="2713" w:type="dxa"/>
          </w:tcPr>
          <w:p w14:paraId="09671729" w14:textId="74CDB42E" w:rsidR="00A047C5" w:rsidRDefault="00A047C5" w:rsidP="006B5B36">
            <w:pPr>
              <w:pStyle w:val="BodyText"/>
            </w:pPr>
            <w:r>
              <w:t>% savings of total</w:t>
            </w:r>
            <w:r w:rsidR="00225F3D">
              <w:t xml:space="preserve"> PA</w:t>
            </w:r>
            <w:r>
              <w:t xml:space="preserve"> </w:t>
            </w:r>
            <w:r w:rsidR="00DC1A5B">
              <w:t xml:space="preserve">net lifetime </w:t>
            </w:r>
            <w:r>
              <w:t>portfolio</w:t>
            </w:r>
            <w:r w:rsidR="00225F3D">
              <w:t xml:space="preserve"> as reported in the most recent ABAL</w:t>
            </w:r>
          </w:p>
        </w:tc>
        <w:tc>
          <w:tcPr>
            <w:tcW w:w="3677"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39EB40E3" w14:textId="77777777" w:rsidR="0040312B" w:rsidRDefault="0040312B" w:rsidP="006B5B36">
                  <w:pPr>
                    <w:pStyle w:val="BodyText"/>
                  </w:pPr>
                  <w:r>
                    <w:t>ABAL</w:t>
                  </w:r>
                  <w:r w:rsidR="005D10D9">
                    <w:t xml:space="preserve"> Year</w:t>
                  </w:r>
                </w:p>
                <w:p w14:paraId="1703955F" w14:textId="282AA86A" w:rsidR="00DC26C7" w:rsidRDefault="00DC26C7" w:rsidP="006B5B36">
                  <w:pPr>
                    <w:pStyle w:val="BodyText"/>
                  </w:pPr>
                  <w:r>
                    <w:t>2019</w:t>
                  </w:r>
                </w:p>
              </w:tc>
              <w:tc>
                <w:tcPr>
                  <w:tcW w:w="1955" w:type="dxa"/>
                </w:tcPr>
                <w:p w14:paraId="06BE3C1F" w14:textId="1ED61DEF" w:rsidR="0040312B" w:rsidRDefault="00DC1A5B" w:rsidP="006B5B36">
                  <w:pPr>
                    <w:pStyle w:val="BodyText"/>
                  </w:pPr>
                  <w:r>
                    <w:t>Gas:</w:t>
                  </w:r>
                  <w:r w:rsidR="00DC26C7">
                    <w:t xml:space="preserve"> 0</w:t>
                  </w:r>
                </w:p>
                <w:p w14:paraId="7F8629A3" w14:textId="31FEB8AA" w:rsidR="00DC1A5B" w:rsidRDefault="00DC1A5B" w:rsidP="006B5B36">
                  <w:pPr>
                    <w:pStyle w:val="BodyText"/>
                  </w:pPr>
                  <w:r>
                    <w:t>Electric:</w:t>
                  </w:r>
                  <w:r w:rsidR="00DC26C7">
                    <w:t xml:space="preserve"> 0</w:t>
                  </w:r>
                </w:p>
              </w:tc>
            </w:tr>
          </w:tbl>
          <w:p w14:paraId="3B6394DD" w14:textId="77777777" w:rsidR="00A047C5" w:rsidRDefault="007A63DE" w:rsidP="006B5B36">
            <w:pPr>
              <w:pStyle w:val="BodyText"/>
            </w:pPr>
            <w:r>
              <w:t>Notes:</w:t>
            </w:r>
          </w:p>
          <w:p w14:paraId="1F5B711D" w14:textId="1F178581" w:rsidR="007A63DE" w:rsidRDefault="00DC26C7" w:rsidP="006B5B36">
            <w:pPr>
              <w:pStyle w:val="BodyText"/>
            </w:pPr>
            <w:r>
              <w:t xml:space="preserve">This is a new </w:t>
            </w:r>
            <w:proofErr w:type="gramStart"/>
            <w:r>
              <w:t>workpaper</w:t>
            </w:r>
            <w:proofErr w:type="gramEnd"/>
            <w:r>
              <w:t xml:space="preserve"> so the measure was not included in the 2019 ABAL.</w:t>
            </w:r>
          </w:p>
        </w:tc>
      </w:tr>
      <w:tr w:rsidR="00225F3D" w14:paraId="44CDA752" w14:textId="77777777" w:rsidTr="00DC26C7">
        <w:tc>
          <w:tcPr>
            <w:tcW w:w="2713" w:type="dxa"/>
          </w:tcPr>
          <w:p w14:paraId="4E0E134A" w14:textId="5C07A523" w:rsidR="00225F3D" w:rsidRDefault="00225F3D" w:rsidP="006B5B36">
            <w:pPr>
              <w:pStyle w:val="BodyText"/>
            </w:pPr>
            <w:r>
              <w:lastRenderedPageBreak/>
              <w:t>% change to savings</w:t>
            </w:r>
            <w:r w:rsidR="00DC1A5B">
              <w:t xml:space="preserve"> of total PA net lifetime portfolio due to workpaper revision</w:t>
            </w:r>
          </w:p>
        </w:tc>
        <w:tc>
          <w:tcPr>
            <w:tcW w:w="3677" w:type="dxa"/>
          </w:tcPr>
          <w:p w14:paraId="0D06E49D" w14:textId="5CACF627" w:rsidR="00225F3D" w:rsidRDefault="00DC1A5B" w:rsidP="006B5B36">
            <w:pPr>
              <w:pStyle w:val="BodyText"/>
            </w:pPr>
            <w:r>
              <w:t>This value is expressed as a % for both electric and gas.</w:t>
            </w:r>
          </w:p>
        </w:tc>
        <w:tc>
          <w:tcPr>
            <w:tcW w:w="4140" w:type="dxa"/>
          </w:tcPr>
          <w:p w14:paraId="58124E65" w14:textId="77777777" w:rsidR="00156D43" w:rsidRDefault="00156D43"/>
          <w:tbl>
            <w:tblPr>
              <w:tblStyle w:val="TableGrid"/>
              <w:tblW w:w="0" w:type="auto"/>
              <w:tblLook w:val="04A0" w:firstRow="1" w:lastRow="0" w:firstColumn="1" w:lastColumn="0" w:noHBand="0" w:noVBand="1"/>
            </w:tblPr>
            <w:tblGrid>
              <w:gridCol w:w="1954"/>
              <w:gridCol w:w="1955"/>
            </w:tblGrid>
            <w:tr w:rsidR="00DC1A5B" w14:paraId="16873A04" w14:textId="77777777" w:rsidTr="00DC26C7">
              <w:tc>
                <w:tcPr>
                  <w:tcW w:w="1954" w:type="dxa"/>
                </w:tcPr>
                <w:p w14:paraId="378494A9" w14:textId="5C8FDA52" w:rsidR="00DC1A5B" w:rsidRDefault="00DC1A5B" w:rsidP="00DC1A5B">
                  <w:pPr>
                    <w:pStyle w:val="BodyText"/>
                  </w:pPr>
                  <w:r>
                    <w:t>ABAL</w:t>
                  </w:r>
                  <w:r w:rsidR="005D10D9">
                    <w:t xml:space="preserve"> Year</w:t>
                  </w:r>
                </w:p>
              </w:tc>
              <w:tc>
                <w:tcPr>
                  <w:tcW w:w="1955" w:type="dxa"/>
                </w:tcPr>
                <w:p w14:paraId="52490E2F" w14:textId="3ECECEFE" w:rsidR="00DC26C7" w:rsidRDefault="00DC26C7" w:rsidP="00DC26C7">
                  <w:pPr>
                    <w:pStyle w:val="BodyText"/>
                  </w:pPr>
                  <w:r>
                    <w:t>Gas: &lt; 0.1</w:t>
                  </w:r>
                  <w:r w:rsidR="002B61BC">
                    <w:t>%</w:t>
                  </w:r>
                </w:p>
                <w:p w14:paraId="067A226C" w14:textId="629A6D2D" w:rsidR="00DC1A5B" w:rsidRDefault="00DC1A5B" w:rsidP="00DC1A5B">
                  <w:pPr>
                    <w:pStyle w:val="BodyText"/>
                  </w:pPr>
                  <w:r>
                    <w:t>Electric:</w:t>
                  </w:r>
                  <w:r w:rsidR="00DC26C7">
                    <w:t xml:space="preserve"> 0</w:t>
                  </w:r>
                </w:p>
              </w:tc>
            </w:tr>
          </w:tbl>
          <w:p w14:paraId="295CEF4B" w14:textId="48208F03" w:rsidR="00225F3D" w:rsidRDefault="007A63DE" w:rsidP="006B5B36">
            <w:pPr>
              <w:pStyle w:val="BodyText"/>
            </w:pPr>
            <w:r>
              <w:t>Notes:</w:t>
            </w:r>
            <w:r w:rsidR="00DC26C7">
              <w:t xml:space="preserve"> Few installations are expect</w:t>
            </w:r>
            <w:r w:rsidR="00605C72">
              <w:t>ed</w:t>
            </w:r>
            <w:r w:rsidR="00DC26C7">
              <w:t>.</w:t>
            </w:r>
          </w:p>
          <w:p w14:paraId="5C7D0FA2" w14:textId="1CA9638E" w:rsidR="007A63DE" w:rsidRDefault="007A63DE" w:rsidP="006B5B36">
            <w:pPr>
              <w:pStyle w:val="BodyText"/>
            </w:pPr>
          </w:p>
        </w:tc>
      </w:tr>
      <w:tr w:rsidR="00A047C5" w14:paraId="5FE236FD" w14:textId="58597DF9" w:rsidTr="00DC26C7">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40B636EE" w:rsidR="00ED4A6C" w:rsidRDefault="002B61BC" w:rsidP="00ED4A6C">
            <w:pPr>
              <w:pStyle w:val="BodyText"/>
            </w:pPr>
            <w:sdt>
              <w:sdtPr>
                <w:id w:val="860399619"/>
                <w14:checkbox>
                  <w14:checked w14:val="1"/>
                  <w14:checkedState w14:val="2612" w14:font="MS Gothic"/>
                  <w14:uncheckedState w14:val="2610" w14:font="MS Gothic"/>
                </w14:checkbox>
              </w:sdtPr>
              <w:sdtEndPr/>
              <w:sdtContent>
                <w:r w:rsidR="00DC26C7">
                  <w:rPr>
                    <w:rFonts w:ascii="MS Gothic" w:eastAsia="MS Gothic" w:hAnsi="MS Gothic" w:hint="eastAsia"/>
                  </w:rPr>
                  <w:t>☒</w:t>
                </w:r>
              </w:sdtContent>
            </w:sdt>
            <w:r w:rsidR="00ED4A6C">
              <w:t xml:space="preserve">  Yes        </w:t>
            </w:r>
            <w:sdt>
              <w:sdtPr>
                <w:id w:val="-834452388"/>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No</w:t>
            </w:r>
          </w:p>
          <w:p w14:paraId="236988D3" w14:textId="77777777" w:rsidR="00DC747E" w:rsidRDefault="00421F5A" w:rsidP="00ED4A6C">
            <w:pPr>
              <w:pStyle w:val="BodyText"/>
              <w:rPr>
                <w:sz w:val="20"/>
                <w:szCs w:val="20"/>
              </w:rPr>
            </w:pPr>
            <w:r>
              <w:t>Notes:</w:t>
            </w:r>
            <w:r w:rsidR="00DC26C7" w:rsidRPr="00C5393B">
              <w:rPr>
                <w:sz w:val="20"/>
                <w:szCs w:val="20"/>
              </w:rPr>
              <w:t xml:space="preserve"> </w:t>
            </w:r>
          </w:p>
          <w:p w14:paraId="46414C18" w14:textId="5229A9F2" w:rsidR="00A047C5" w:rsidRDefault="00DC26C7" w:rsidP="00ED4A6C">
            <w:pPr>
              <w:pStyle w:val="BodyText"/>
              <w:rPr>
                <w:sz w:val="20"/>
                <w:szCs w:val="20"/>
              </w:rPr>
            </w:pPr>
            <w:r>
              <w:rPr>
                <w:sz w:val="20"/>
                <w:szCs w:val="20"/>
              </w:rPr>
              <w:t>A</w:t>
            </w:r>
            <w:r w:rsidRPr="00C5393B">
              <w:rPr>
                <w:sz w:val="20"/>
                <w:szCs w:val="20"/>
              </w:rPr>
              <w:t xml:space="preserve">dopted from </w:t>
            </w:r>
            <w:r>
              <w:rPr>
                <w:sz w:val="20"/>
                <w:szCs w:val="20"/>
              </w:rPr>
              <w:t>SCG</w:t>
            </w:r>
            <w:r w:rsidRPr="00C5393B">
              <w:rPr>
                <w:sz w:val="20"/>
                <w:szCs w:val="20"/>
              </w:rPr>
              <w:t>’s workpaper entitled “</w:t>
            </w:r>
            <w:r w:rsidRPr="00FC4CEA">
              <w:rPr>
                <w:rFonts w:cs="Calibri"/>
                <w:sz w:val="20"/>
                <w:szCs w:val="20"/>
              </w:rPr>
              <w:t>Gas Dryer Modulating Valve: Commercial and Multi-Family</w:t>
            </w:r>
            <w:r w:rsidRPr="00C5393B">
              <w:rPr>
                <w:sz w:val="20"/>
                <w:szCs w:val="20"/>
              </w:rPr>
              <w:t>”</w:t>
            </w:r>
            <w:r w:rsidRPr="0062124C">
              <w:rPr>
                <w:sz w:val="20"/>
                <w:szCs w:val="20"/>
              </w:rPr>
              <w:t xml:space="preserve"> (</w:t>
            </w:r>
            <w:r w:rsidRPr="00FC4CEA">
              <w:rPr>
                <w:sz w:val="20"/>
                <w:szCs w:val="20"/>
              </w:rPr>
              <w:t>WPSCGNRAP170103</w:t>
            </w:r>
            <w:r>
              <w:rPr>
                <w:sz w:val="20"/>
                <w:szCs w:val="20"/>
              </w:rPr>
              <w:t xml:space="preserve"> Revision 0</w:t>
            </w:r>
            <w:r w:rsidRPr="0062124C">
              <w:rPr>
                <w:sz w:val="20"/>
                <w:szCs w:val="20"/>
              </w:rPr>
              <w:t>)</w:t>
            </w:r>
            <w:r w:rsidR="00DC747E">
              <w:rPr>
                <w:sz w:val="20"/>
                <w:szCs w:val="20"/>
              </w:rPr>
              <w:t>.</w:t>
            </w:r>
          </w:p>
          <w:p w14:paraId="52110710" w14:textId="05213BC4" w:rsidR="00DC747E" w:rsidRPr="00C5393B" w:rsidRDefault="00DC747E" w:rsidP="00DC747E">
            <w:pPr>
              <w:rPr>
                <w:rFonts w:cs="Calibri"/>
                <w:b/>
                <w:sz w:val="20"/>
                <w:szCs w:val="20"/>
              </w:rPr>
            </w:pPr>
            <w:r w:rsidRPr="0062124C">
              <w:rPr>
                <w:sz w:val="20"/>
                <w:szCs w:val="20"/>
              </w:rPr>
              <w:t>SDG&amp;E adopt</w:t>
            </w:r>
            <w:r>
              <w:rPr>
                <w:sz w:val="20"/>
                <w:szCs w:val="20"/>
              </w:rPr>
              <w:t xml:space="preserve">ed </w:t>
            </w:r>
            <w:r w:rsidRPr="0062124C">
              <w:rPr>
                <w:sz w:val="20"/>
                <w:szCs w:val="20"/>
              </w:rPr>
              <w:t xml:space="preserve">all the values in </w:t>
            </w:r>
            <w:r w:rsidRPr="00FC4CEA">
              <w:rPr>
                <w:sz w:val="20"/>
                <w:szCs w:val="20"/>
              </w:rPr>
              <w:t>WPSCGNRAP170103</w:t>
            </w:r>
            <w:r>
              <w:rPr>
                <w:sz w:val="20"/>
                <w:szCs w:val="20"/>
              </w:rPr>
              <w:t xml:space="preserve"> Revision 0</w:t>
            </w:r>
            <w:r w:rsidRPr="0062124C">
              <w:rPr>
                <w:sz w:val="20"/>
                <w:szCs w:val="20"/>
              </w:rPr>
              <w:t>, with the following exceptions:</w:t>
            </w:r>
          </w:p>
          <w:p w14:paraId="7248E28D" w14:textId="198E01C3" w:rsidR="00DC747E" w:rsidRPr="00DC747E" w:rsidRDefault="00DC747E" w:rsidP="00DC747E">
            <w:pPr>
              <w:pStyle w:val="ListParagraph"/>
              <w:numPr>
                <w:ilvl w:val="0"/>
                <w:numId w:val="14"/>
              </w:numPr>
              <w:jc w:val="both"/>
              <w:rPr>
                <w:sz w:val="20"/>
                <w:szCs w:val="20"/>
              </w:rPr>
            </w:pPr>
            <w:r w:rsidRPr="00DC747E">
              <w:rPr>
                <w:sz w:val="20"/>
                <w:szCs w:val="20"/>
              </w:rPr>
              <w:t xml:space="preserve">Measure Application Type was adjusted to AOE from </w:t>
            </w:r>
            <w:r w:rsidRPr="00DC747E">
              <w:rPr>
                <w:rFonts w:cs="Arial"/>
                <w:sz w:val="20"/>
                <w:szCs w:val="20"/>
              </w:rPr>
              <w:t xml:space="preserve">REA </w:t>
            </w:r>
            <w:r w:rsidRPr="00DC747E">
              <w:rPr>
                <w:sz w:val="20"/>
                <w:szCs w:val="20"/>
              </w:rPr>
              <w:t>per E-4818.</w:t>
            </w:r>
          </w:p>
          <w:p w14:paraId="71283115" w14:textId="34425847" w:rsidR="00DC747E" w:rsidRPr="00DC747E" w:rsidRDefault="00DC747E" w:rsidP="00DC747E">
            <w:pPr>
              <w:pStyle w:val="ListParagraph"/>
              <w:numPr>
                <w:ilvl w:val="0"/>
                <w:numId w:val="14"/>
              </w:numPr>
              <w:jc w:val="both"/>
              <w:rPr>
                <w:sz w:val="20"/>
                <w:szCs w:val="20"/>
              </w:rPr>
            </w:pPr>
            <w:r w:rsidRPr="00DC747E">
              <w:rPr>
                <w:sz w:val="20"/>
                <w:szCs w:val="20"/>
              </w:rPr>
              <w:t xml:space="preserve">SDG&amp;E delivery mechanisms include </w:t>
            </w:r>
            <w:r w:rsidRPr="00DC747E">
              <w:rPr>
                <w:rFonts w:cstheme="minorHAnsi"/>
                <w:sz w:val="20"/>
                <w:szCs w:val="20"/>
              </w:rPr>
              <w:t>Direct Install and Downstream Incentive.</w:t>
            </w:r>
          </w:p>
          <w:p w14:paraId="2DEFE831" w14:textId="35386C12" w:rsidR="00DC747E" w:rsidRPr="00DC747E" w:rsidRDefault="00DC747E" w:rsidP="00DC747E">
            <w:pPr>
              <w:pStyle w:val="ListParagraph"/>
              <w:numPr>
                <w:ilvl w:val="0"/>
                <w:numId w:val="14"/>
              </w:numPr>
              <w:jc w:val="both"/>
              <w:rPr>
                <w:sz w:val="20"/>
                <w:szCs w:val="20"/>
              </w:rPr>
            </w:pPr>
            <w:r w:rsidRPr="00DC747E">
              <w:rPr>
                <w:sz w:val="20"/>
                <w:szCs w:val="20"/>
              </w:rPr>
              <w:t xml:space="preserve">SDG&amp;E is in the process of simplifying its internal Ex Ante data and tracking data warehouse.   Part of that process requires that there be savings values for all potential climate zone and building type combinations.  The savings are not climate zone dependent therefor no adjustment was required for climate zone. The SCG workpaper only included Com, Htl, MFm, Mtl, Nrs and COL building types. COL is coin operated laundry facilities which is not a DEER building type therefor the savings were mapped to small retail (Rts). The remaining commercial building types (Asm, Ecc, EPr, ERC, Ese, EUD, EUn, Gro, HGR, Hsp, OFL, OfS, RFF, RSD, Rt3, RtL, SCn, Sun and WRf) were mapped to the Com savings. </w:t>
            </w:r>
          </w:p>
          <w:p w14:paraId="67AB797D" w14:textId="77777777" w:rsidR="00DC747E" w:rsidRDefault="00DC747E" w:rsidP="00DC747E">
            <w:pPr>
              <w:pStyle w:val="ListParagraph"/>
              <w:ind w:left="1080"/>
              <w:jc w:val="both"/>
              <w:rPr>
                <w:sz w:val="20"/>
                <w:szCs w:val="20"/>
              </w:rPr>
            </w:pPr>
          </w:p>
          <w:p w14:paraId="7C42905F" w14:textId="5A6DED9B" w:rsidR="00DC747E" w:rsidRDefault="00DC747E" w:rsidP="00ED4A6C">
            <w:pPr>
              <w:pStyle w:val="BodyText"/>
            </w:pPr>
          </w:p>
        </w:tc>
      </w:tr>
      <w:tr w:rsidR="00ED4A6C" w14:paraId="5C38E2BE" w14:textId="20A98154" w:rsidTr="00DC26C7">
        <w:tc>
          <w:tcPr>
            <w:tcW w:w="2713" w:type="dxa"/>
          </w:tcPr>
          <w:p w14:paraId="7D84A7DB" w14:textId="1F592ABC" w:rsidR="00ED4A6C" w:rsidRDefault="00ED4A6C" w:rsidP="00ED4A6C">
            <w:pPr>
              <w:pStyle w:val="BodyText"/>
            </w:pPr>
            <w:r>
              <w:lastRenderedPageBreak/>
              <w:t>Associated disposition</w:t>
            </w:r>
            <w:r w:rsidR="00DC1A5B">
              <w:t>s</w:t>
            </w:r>
          </w:p>
        </w:tc>
        <w:tc>
          <w:tcPr>
            <w:tcW w:w="367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If Yes, please include the file name (</w:t>
            </w:r>
            <w:proofErr w:type="spellStart"/>
            <w:r>
              <w:t>eg.</w:t>
            </w:r>
            <w:proofErr w:type="spellEnd"/>
            <w:r>
              <w:t xml:space="preserve"> </w:t>
            </w:r>
            <w:r w:rsidRPr="00667F8E">
              <w:t>SCE17WP001R1_Pool Pump_2019-01-28.pdf)</w:t>
            </w:r>
          </w:p>
        </w:tc>
        <w:tc>
          <w:tcPr>
            <w:tcW w:w="4140" w:type="dxa"/>
          </w:tcPr>
          <w:p w14:paraId="76499D71" w14:textId="0591E9A1" w:rsidR="00ED4A6C" w:rsidRDefault="002B61BC" w:rsidP="00ED4A6C">
            <w:pPr>
              <w:pStyle w:val="BodyText"/>
            </w:pPr>
            <w:sdt>
              <w:sdtPr>
                <w:id w:val="88283346"/>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Yes        </w:t>
            </w:r>
            <w:sdt>
              <w:sdtPr>
                <w:id w:val="-2074341574"/>
                <w14:checkbox>
                  <w14:checked w14:val="1"/>
                  <w14:checkedState w14:val="2612" w14:font="MS Gothic"/>
                  <w14:uncheckedState w14:val="2610" w14:font="MS Gothic"/>
                </w14:checkbox>
              </w:sdtPr>
              <w:sdtEndPr/>
              <w:sdtContent>
                <w:r w:rsidR="00DC26C7">
                  <w:rPr>
                    <w:rFonts w:ascii="MS Gothic" w:eastAsia="MS Gothic" w:hAnsi="MS Gothic" w:hint="eastAsia"/>
                  </w:rPr>
                  <w:t>☒</w:t>
                </w:r>
              </w:sdtContent>
            </w:sdt>
            <w:r w:rsidR="00ED4A6C">
              <w:t xml:space="preserve">  No</w:t>
            </w:r>
          </w:p>
          <w:p w14:paraId="21D32DE3" w14:textId="06AC445D" w:rsidR="00ED4A6C" w:rsidRDefault="00421F5A" w:rsidP="00ED4A6C">
            <w:pPr>
              <w:pStyle w:val="BodyText"/>
            </w:pPr>
            <w:r>
              <w:t>Notes:</w:t>
            </w:r>
          </w:p>
        </w:tc>
      </w:tr>
      <w:tr w:rsidR="00A047C5" w14:paraId="3E3C5BAD" w14:textId="3D94240C" w:rsidTr="00DC26C7">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w:t>
            </w:r>
            <w:proofErr w:type="spellStart"/>
            <w:r>
              <w:t>Eg.</w:t>
            </w:r>
            <w:proofErr w:type="spellEnd"/>
            <w:r>
              <w:rPr>
                <w:sz w:val="20"/>
                <w:szCs w:val="20"/>
              </w:rPr>
              <w:t xml:space="preserve">, </w:t>
            </w:r>
            <w:r w:rsidRPr="004A647E">
              <w:rPr>
                <w:sz w:val="20"/>
                <w:szCs w:val="20"/>
              </w:rPr>
              <w:t xml:space="preserve">Code or standard change, DEER resolution, </w:t>
            </w:r>
            <w:proofErr w:type="gramStart"/>
            <w:r w:rsidRPr="004A647E">
              <w:rPr>
                <w:sz w:val="20"/>
                <w:szCs w:val="20"/>
              </w:rPr>
              <w:t>Change</w:t>
            </w:r>
            <w:proofErr w:type="gramEnd"/>
            <w:r w:rsidRPr="004A647E">
              <w:rPr>
                <w:sz w:val="20"/>
                <w:szCs w:val="20"/>
              </w:rPr>
              <w:t xml:space="preserve"> to statewide workpaper, Designated high uncertainty measure by CPUC that required new studies, New impact evaluations that changed values, Other)</w:t>
            </w:r>
          </w:p>
        </w:tc>
        <w:tc>
          <w:tcPr>
            <w:tcW w:w="4140" w:type="dxa"/>
          </w:tcPr>
          <w:p w14:paraId="4FD35BD5" w14:textId="3B9DAB46" w:rsidR="0040312B" w:rsidRDefault="002B61BC" w:rsidP="006B5B36">
            <w:pPr>
              <w:pStyle w:val="BodyText"/>
            </w:pPr>
            <w:sdt>
              <w:sdtPr>
                <w:id w:val="1658107621"/>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Code       </w:t>
            </w:r>
            <w:sdt>
              <w:sdtPr>
                <w:id w:val="167545377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DEER</w:t>
            </w:r>
          </w:p>
          <w:p w14:paraId="3E1207BF" w14:textId="71FB610C" w:rsidR="0040312B" w:rsidRDefault="002B61BC" w:rsidP="006B5B36">
            <w:pPr>
              <w:pStyle w:val="BodyText"/>
            </w:pPr>
            <w:sdt>
              <w:sdtPr>
                <w:id w:val="-662932476"/>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Disposition</w:t>
            </w:r>
          </w:p>
          <w:p w14:paraId="7063393C" w14:textId="0ECBAE10" w:rsidR="0040312B" w:rsidRDefault="002B61BC" w:rsidP="006B5B36">
            <w:pPr>
              <w:pStyle w:val="BodyText"/>
            </w:pPr>
            <w:sdt>
              <w:sdtPr>
                <w:id w:val="139555250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CPUC Resolution</w:t>
            </w:r>
          </w:p>
          <w:p w14:paraId="63AE8AEA" w14:textId="1799E002" w:rsidR="00A047C5" w:rsidRDefault="002B61BC" w:rsidP="006B5B36">
            <w:pPr>
              <w:pStyle w:val="BodyText"/>
            </w:pPr>
            <w:sdt>
              <w:sdtPr>
                <w:id w:val="63606589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Baseline Update</w:t>
            </w:r>
          </w:p>
          <w:p w14:paraId="060548FE" w14:textId="07EEA06B" w:rsidR="0040312B" w:rsidRDefault="002B61BC" w:rsidP="00421F5A">
            <w:pPr>
              <w:pStyle w:val="BodyText"/>
            </w:pPr>
            <w:sdt>
              <w:sdtPr>
                <w:id w:val="1948738831"/>
                <w14:checkbox>
                  <w14:checked w14:val="1"/>
                  <w14:checkedState w14:val="2612" w14:font="MS Gothic"/>
                  <w14:uncheckedState w14:val="2610" w14:font="MS Gothic"/>
                </w14:checkbox>
              </w:sdtPr>
              <w:sdtEndPr/>
              <w:sdtContent>
                <w:r w:rsidR="00DC26C7">
                  <w:rPr>
                    <w:rFonts w:ascii="MS Gothic" w:eastAsia="MS Gothic" w:hAnsi="MS Gothic" w:hint="eastAsia"/>
                  </w:rPr>
                  <w:t>☒</w:t>
                </w:r>
              </w:sdtContent>
            </w:sdt>
            <w:r w:rsidR="0040312B">
              <w:t xml:space="preserve"> </w:t>
            </w:r>
            <w:r w:rsidR="00E55B86">
              <w:t xml:space="preserve"> </w:t>
            </w:r>
            <w:r w:rsidR="0040312B">
              <w:t xml:space="preserve">Other: </w:t>
            </w:r>
            <w:r w:rsidR="00DC26C7">
              <w:t>New measure.</w:t>
            </w:r>
          </w:p>
          <w:p w14:paraId="5160E724" w14:textId="1EFE7C91" w:rsidR="0040312B" w:rsidRDefault="002B61BC" w:rsidP="006B5B36">
            <w:pPr>
              <w:pStyle w:val="BodyText"/>
            </w:pPr>
            <w:sdt>
              <w:sdtPr>
                <w:id w:val="1677842098"/>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Cost Update</w:t>
            </w:r>
          </w:p>
          <w:p w14:paraId="7E85E636" w14:textId="77777777" w:rsidR="0040312B" w:rsidRDefault="002B61BC" w:rsidP="006B5B36">
            <w:pPr>
              <w:pStyle w:val="BodyText"/>
            </w:pPr>
            <w:sdt>
              <w:sdtPr>
                <w:id w:val="455139610"/>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Industry Standard Practice Study</w:t>
            </w:r>
          </w:p>
          <w:p w14:paraId="62A94FAF" w14:textId="77777777" w:rsidR="0040312B" w:rsidRDefault="0040312B" w:rsidP="006B5B36">
            <w:pPr>
              <w:pStyle w:val="BodyText"/>
            </w:pPr>
          </w:p>
          <w:p w14:paraId="7737BE3E" w14:textId="1462D973" w:rsidR="0040312B" w:rsidRDefault="0040312B" w:rsidP="006B5B36">
            <w:pPr>
              <w:pStyle w:val="BodyText"/>
            </w:pPr>
          </w:p>
        </w:tc>
      </w:tr>
      <w:tr w:rsidR="00A047C5" w14:paraId="4A997D1A" w14:textId="308A4138" w:rsidTr="00DC26C7">
        <w:trPr>
          <w:trHeight w:val="2042"/>
        </w:trPr>
        <w:tc>
          <w:tcPr>
            <w:tcW w:w="2713" w:type="dxa"/>
          </w:tcPr>
          <w:p w14:paraId="2ED25A21" w14:textId="30D73129" w:rsidR="00A047C5" w:rsidRDefault="00DC1A5B" w:rsidP="00165E3B">
            <w:pPr>
              <w:pStyle w:val="BodyText"/>
            </w:pPr>
            <w:r>
              <w:t>Additional</w:t>
            </w:r>
            <w:r w:rsidR="00A047C5">
              <w:t xml:space="preserve"> notes: </w:t>
            </w:r>
          </w:p>
        </w:tc>
        <w:tc>
          <w:tcPr>
            <w:tcW w:w="3677" w:type="dxa"/>
          </w:tcPr>
          <w:p w14:paraId="56D87F53" w14:textId="77777777" w:rsidR="00A047C5" w:rsidRDefault="00A047C5" w:rsidP="006B5B36">
            <w:pPr>
              <w:pStyle w:val="BodyText"/>
            </w:pPr>
          </w:p>
        </w:tc>
        <w:tc>
          <w:tcPr>
            <w:tcW w:w="4140" w:type="dxa"/>
          </w:tcPr>
          <w:p w14:paraId="42F4BC03" w14:textId="5DBCEF77" w:rsidR="00605C72" w:rsidRDefault="00605C72" w:rsidP="006B5B36">
            <w:pPr>
              <w:pStyle w:val="BodyText"/>
            </w:pPr>
            <w:r>
              <w:t>EAD tables are submitted with the file name “</w:t>
            </w:r>
            <w:r w:rsidRPr="00605C72">
              <w:t>EAD_2019-0</w:t>
            </w:r>
            <w:r w:rsidR="002B61BC">
              <w:t>4</w:t>
            </w:r>
            <w:r w:rsidRPr="00605C72">
              <w:t>-</w:t>
            </w:r>
            <w:r w:rsidR="002B61BC">
              <w:t>0</w:t>
            </w:r>
            <w:r w:rsidRPr="00605C72">
              <w:t>1</w:t>
            </w:r>
            <w:bookmarkStart w:id="2" w:name="_GoBack"/>
            <w:bookmarkEnd w:id="2"/>
            <w:r>
              <w:t>.mdb”.</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740E1226" w:rsidR="00D57009" w:rsidRDefault="00D57009"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9"/>
      <w:headerReference w:type="default" r:id="rId10"/>
      <w:footerReference w:type="even" r:id="rId11"/>
      <w:footerReference w:type="default" r:id="rId12"/>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F513B" w14:textId="77777777" w:rsidR="00016F49" w:rsidRDefault="00016F49">
      <w:r>
        <w:separator/>
      </w:r>
    </w:p>
  </w:endnote>
  <w:endnote w:type="continuationSeparator" w:id="0">
    <w:p w14:paraId="7146A510" w14:textId="77777777" w:rsidR="00016F49" w:rsidRDefault="0001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2AFE6" w14:textId="77777777" w:rsidR="002C735D" w:rsidRPr="00C43666" w:rsidRDefault="002B61BC"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15666187"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C830E3">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C830E3">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D0489" w14:textId="77777777" w:rsidR="00016F49" w:rsidRDefault="00016F49">
      <w:r>
        <w:separator/>
      </w:r>
    </w:p>
  </w:footnote>
  <w:footnote w:type="continuationSeparator" w:id="0">
    <w:p w14:paraId="6857DEDE" w14:textId="77777777" w:rsidR="00016F49" w:rsidRDefault="00016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704019D4"/>
    <w:multiLevelType w:val="hybridMultilevel"/>
    <w:tmpl w:val="EFCAB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0"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13"/>
  </w:num>
  <w:num w:numId="5">
    <w:abstractNumId w:val="0"/>
  </w:num>
  <w:num w:numId="6">
    <w:abstractNumId w:val="2"/>
  </w:num>
  <w:num w:numId="7">
    <w:abstractNumId w:val="12"/>
  </w:num>
  <w:num w:numId="8">
    <w:abstractNumId w:val="7"/>
  </w:num>
  <w:num w:numId="9">
    <w:abstractNumId w:val="3"/>
  </w:num>
  <w:num w:numId="10">
    <w:abstractNumId w:val="6"/>
  </w:num>
  <w:num w:numId="11">
    <w:abstractNumId w:val="10"/>
  </w:num>
  <w:num w:numId="12">
    <w:abstractNumId w:val="5"/>
  </w:num>
  <w:num w:numId="13">
    <w:abstractNumId w:val="1"/>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FCB"/>
    <w:rsid w:val="00002606"/>
    <w:rsid w:val="00002CCA"/>
    <w:rsid w:val="00015814"/>
    <w:rsid w:val="00016F49"/>
    <w:rsid w:val="00020B2E"/>
    <w:rsid w:val="00023355"/>
    <w:rsid w:val="00023628"/>
    <w:rsid w:val="00023E42"/>
    <w:rsid w:val="00023FF0"/>
    <w:rsid w:val="00025586"/>
    <w:rsid w:val="00025FD6"/>
    <w:rsid w:val="00065BC2"/>
    <w:rsid w:val="00066690"/>
    <w:rsid w:val="0008343D"/>
    <w:rsid w:val="00084989"/>
    <w:rsid w:val="000916B5"/>
    <w:rsid w:val="000949B1"/>
    <w:rsid w:val="000952CF"/>
    <w:rsid w:val="000A24FE"/>
    <w:rsid w:val="000A4EFE"/>
    <w:rsid w:val="000A6D6C"/>
    <w:rsid w:val="000C6C2A"/>
    <w:rsid w:val="000D73BA"/>
    <w:rsid w:val="000E42F0"/>
    <w:rsid w:val="000F0121"/>
    <w:rsid w:val="0011600C"/>
    <w:rsid w:val="001179DB"/>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1BC"/>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725"/>
    <w:rsid w:val="00396D32"/>
    <w:rsid w:val="003A3E44"/>
    <w:rsid w:val="003A428A"/>
    <w:rsid w:val="003A6125"/>
    <w:rsid w:val="003B2558"/>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4715E"/>
    <w:rsid w:val="00450B70"/>
    <w:rsid w:val="00462F42"/>
    <w:rsid w:val="00463302"/>
    <w:rsid w:val="00477C7D"/>
    <w:rsid w:val="004845D7"/>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5C72"/>
    <w:rsid w:val="006075D8"/>
    <w:rsid w:val="00607911"/>
    <w:rsid w:val="00611D36"/>
    <w:rsid w:val="006158A1"/>
    <w:rsid w:val="00617795"/>
    <w:rsid w:val="00622F16"/>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4922"/>
    <w:rsid w:val="008323A4"/>
    <w:rsid w:val="00832DEC"/>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83E42"/>
    <w:rsid w:val="00993BDA"/>
    <w:rsid w:val="009A2720"/>
    <w:rsid w:val="009A448B"/>
    <w:rsid w:val="009A7A82"/>
    <w:rsid w:val="009B257E"/>
    <w:rsid w:val="009C268A"/>
    <w:rsid w:val="009D03CB"/>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803AE"/>
    <w:rsid w:val="00A84069"/>
    <w:rsid w:val="00A85FCB"/>
    <w:rsid w:val="00A95055"/>
    <w:rsid w:val="00AA197B"/>
    <w:rsid w:val="00AB373C"/>
    <w:rsid w:val="00AD070C"/>
    <w:rsid w:val="00AD4A6D"/>
    <w:rsid w:val="00AE0BDF"/>
    <w:rsid w:val="00AE2698"/>
    <w:rsid w:val="00AE6FD0"/>
    <w:rsid w:val="00B04030"/>
    <w:rsid w:val="00B04C96"/>
    <w:rsid w:val="00B20CBB"/>
    <w:rsid w:val="00B216EF"/>
    <w:rsid w:val="00B22BE4"/>
    <w:rsid w:val="00B3078E"/>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80715"/>
    <w:rsid w:val="00C830E3"/>
    <w:rsid w:val="00C8462D"/>
    <w:rsid w:val="00C848E8"/>
    <w:rsid w:val="00C86721"/>
    <w:rsid w:val="00C90218"/>
    <w:rsid w:val="00CA7A89"/>
    <w:rsid w:val="00CC490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7204"/>
    <w:rsid w:val="00D81485"/>
    <w:rsid w:val="00D85E5F"/>
    <w:rsid w:val="00D97520"/>
    <w:rsid w:val="00DC1000"/>
    <w:rsid w:val="00DC1A5B"/>
    <w:rsid w:val="00DC26C7"/>
    <w:rsid w:val="00DC58ED"/>
    <w:rsid w:val="00DC6BE3"/>
    <w:rsid w:val="00DC747E"/>
    <w:rsid w:val="00DD0F05"/>
    <w:rsid w:val="00DD3FDD"/>
    <w:rsid w:val="00DE3523"/>
    <w:rsid w:val="00DE57CC"/>
    <w:rsid w:val="00DE5B0A"/>
    <w:rsid w:val="00DF1C08"/>
    <w:rsid w:val="00E016BB"/>
    <w:rsid w:val="00E038B2"/>
    <w:rsid w:val="00E0483C"/>
    <w:rsid w:val="00E0505E"/>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styleId="UnresolvedMention">
    <w:name w:val="Unresolved Mention"/>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eynoso@semprautiliti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82387-D50A-4EDC-B414-EE262E9A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Reynoso, Ed</cp:lastModifiedBy>
  <cp:revision>2</cp:revision>
  <cp:lastPrinted>2018-09-13T14:26:00Z</cp:lastPrinted>
  <dcterms:created xsi:type="dcterms:W3CDTF">2019-04-02T06:23:00Z</dcterms:created>
  <dcterms:modified xsi:type="dcterms:W3CDTF">2019-04-02T06:23:00Z</dcterms:modified>
</cp:coreProperties>
</file>