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29DD" w:rsidRDefault="00306067" w:rsidP="002F29DD">
      <w:pPr>
        <w:jc w:val="right"/>
        <w:rPr>
          <w:rFonts w:cs="Arial"/>
          <w:b/>
          <w:sz w:val="48"/>
          <w:szCs w:val="48"/>
        </w:rPr>
      </w:pPr>
      <w:bookmarkStart w:id="0" w:name="_Toc153189646"/>
      <w:r>
        <w:rPr>
          <w:rFonts w:cs="Arial"/>
          <w:b/>
          <w:sz w:val="48"/>
          <w:szCs w:val="48"/>
        </w:rPr>
        <w:t>Workp</w:t>
      </w:r>
      <w:r w:rsidR="002F29DD" w:rsidRPr="00E47372">
        <w:rPr>
          <w:rFonts w:cs="Arial"/>
          <w:b/>
          <w:sz w:val="48"/>
          <w:szCs w:val="48"/>
        </w:rPr>
        <w:t xml:space="preserve">aper </w:t>
      </w:r>
      <w:bookmarkEnd w:id="0"/>
      <w:r w:rsidR="002F29DD">
        <w:rPr>
          <w:rFonts w:cs="Arial"/>
          <w:b/>
          <w:sz w:val="48"/>
          <w:szCs w:val="48"/>
        </w:rPr>
        <w:t>WP</w:t>
      </w:r>
      <w:r>
        <w:rPr>
          <w:rFonts w:cs="Arial"/>
          <w:b/>
          <w:sz w:val="48"/>
          <w:szCs w:val="48"/>
        </w:rPr>
        <w:t>SCG</w:t>
      </w:r>
      <w:r w:rsidR="001F2AA9">
        <w:rPr>
          <w:rFonts w:cs="Arial"/>
          <w:b/>
          <w:sz w:val="48"/>
          <w:szCs w:val="48"/>
        </w:rPr>
        <w:t>RE</w:t>
      </w:r>
      <w:r w:rsidR="00C02395">
        <w:rPr>
          <w:rFonts w:cs="Arial"/>
          <w:b/>
          <w:sz w:val="48"/>
          <w:szCs w:val="48"/>
        </w:rPr>
        <w:t>WH</w:t>
      </w:r>
      <w:r w:rsidR="006E4275">
        <w:rPr>
          <w:rFonts w:cs="Arial"/>
          <w:b/>
          <w:sz w:val="48"/>
          <w:szCs w:val="48"/>
        </w:rPr>
        <w:t>1</w:t>
      </w:r>
      <w:r w:rsidR="00F52A0E">
        <w:rPr>
          <w:rFonts w:cs="Arial"/>
          <w:b/>
          <w:sz w:val="48"/>
          <w:szCs w:val="48"/>
        </w:rPr>
        <w:t>3</w:t>
      </w:r>
      <w:r w:rsidR="006E4275">
        <w:rPr>
          <w:rFonts w:cs="Arial"/>
          <w:b/>
          <w:sz w:val="48"/>
          <w:szCs w:val="48"/>
        </w:rPr>
        <w:t>0</w:t>
      </w:r>
      <w:r w:rsidR="00F52A0E">
        <w:rPr>
          <w:rFonts w:cs="Arial"/>
          <w:b/>
          <w:sz w:val="48"/>
          <w:szCs w:val="48"/>
        </w:rPr>
        <w:t>613</w:t>
      </w:r>
      <w:r w:rsidR="000747F3">
        <w:rPr>
          <w:rFonts w:cs="Arial"/>
          <w:b/>
          <w:sz w:val="48"/>
          <w:szCs w:val="48"/>
        </w:rPr>
        <w:t>A</w:t>
      </w:r>
    </w:p>
    <w:p w:rsidR="002F29DD" w:rsidRDefault="004C5A04" w:rsidP="002F29DD">
      <w:pPr>
        <w:jc w:val="right"/>
        <w:rPr>
          <w:rFonts w:cs="Arial"/>
          <w:b/>
          <w:sz w:val="48"/>
          <w:szCs w:val="48"/>
        </w:rPr>
      </w:pPr>
      <w:bookmarkStart w:id="1" w:name="_Toc153189647"/>
      <w:r w:rsidRPr="00E47372">
        <w:rPr>
          <w:rFonts w:cs="Arial"/>
          <w:b/>
          <w:sz w:val="48"/>
          <w:szCs w:val="48"/>
        </w:rPr>
        <w:t xml:space="preserve">Revision </w:t>
      </w:r>
      <w:bookmarkEnd w:id="1"/>
      <w:r w:rsidR="007C1138">
        <w:rPr>
          <w:rFonts w:cs="Arial"/>
          <w:b/>
          <w:sz w:val="48"/>
          <w:szCs w:val="48"/>
        </w:rPr>
        <w:t>1</w:t>
      </w:r>
    </w:p>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Pr>
        <w:pBdr>
          <w:bottom w:val="single" w:sz="4" w:space="1" w:color="auto"/>
        </w:pBdr>
        <w:rPr>
          <w:rFonts w:cs="Arial"/>
          <w:b/>
          <w:sz w:val="36"/>
          <w:szCs w:val="36"/>
        </w:rPr>
      </w:pPr>
      <w:r>
        <w:rPr>
          <w:rFonts w:cs="Arial"/>
          <w:b/>
          <w:sz w:val="36"/>
          <w:szCs w:val="36"/>
        </w:rPr>
        <w:t>Southern California Gas Company</w:t>
      </w:r>
    </w:p>
    <w:p w:rsidR="002F29DD" w:rsidRDefault="002F29DD" w:rsidP="002F29DD">
      <w:pPr>
        <w:rPr>
          <w:rFonts w:cs="Arial"/>
          <w:b/>
          <w:sz w:val="32"/>
          <w:szCs w:val="32"/>
        </w:rPr>
      </w:pPr>
      <w:r>
        <w:rPr>
          <w:rFonts w:cs="Arial"/>
          <w:b/>
          <w:sz w:val="32"/>
          <w:szCs w:val="32"/>
        </w:rPr>
        <w:t>Customer Programs Department</w:t>
      </w: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2F29DD" w:rsidRPr="0043456C" w:rsidRDefault="00144D55" w:rsidP="002F29DD">
      <w:pPr>
        <w:rPr>
          <w:rFonts w:cs="Arial"/>
          <w:b/>
          <w:sz w:val="48"/>
          <w:szCs w:val="48"/>
        </w:rPr>
      </w:pPr>
      <w:r>
        <w:rPr>
          <w:rFonts w:cs="Arial"/>
          <w:b/>
          <w:sz w:val="48"/>
          <w:szCs w:val="48"/>
        </w:rPr>
        <w:t xml:space="preserve">Central </w:t>
      </w:r>
      <w:r w:rsidR="00D0217D">
        <w:rPr>
          <w:rFonts w:cs="Arial"/>
          <w:b/>
          <w:sz w:val="48"/>
          <w:szCs w:val="48"/>
        </w:rPr>
        <w:t>Storage Water Heaters</w:t>
      </w:r>
      <w:r>
        <w:rPr>
          <w:rFonts w:cs="Arial"/>
          <w:b/>
          <w:sz w:val="48"/>
          <w:szCs w:val="48"/>
        </w:rPr>
        <w:t xml:space="preserve"> for </w:t>
      </w:r>
      <w:r w:rsidR="001C7496">
        <w:rPr>
          <w:rFonts w:cs="Arial"/>
          <w:b/>
          <w:sz w:val="48"/>
          <w:szCs w:val="48"/>
        </w:rPr>
        <w:br/>
      </w:r>
      <w:r>
        <w:rPr>
          <w:rFonts w:cs="Arial"/>
          <w:b/>
          <w:sz w:val="48"/>
          <w:szCs w:val="48"/>
        </w:rPr>
        <w:t>Multifamily Residential Applications</w:t>
      </w:r>
    </w:p>
    <w:p w:rsidR="00E97D72" w:rsidRDefault="00E97D72" w:rsidP="002F29DD">
      <w:pPr>
        <w:pStyle w:val="Normal1"/>
        <w:sectPr w:rsidR="00E97D72" w:rsidSect="003F2BB3">
          <w:footerReference w:type="even" r:id="rId8"/>
          <w:footerReference w:type="default" r:id="rId9"/>
          <w:footerReference w:type="first" r:id="rId10"/>
          <w:endnotePr>
            <w:numFmt w:val="decimal"/>
          </w:endnotePr>
          <w:pgSz w:w="12240" w:h="15840" w:code="1"/>
          <w:pgMar w:top="1440" w:right="1440" w:bottom="1440" w:left="1440" w:header="720" w:footer="720" w:gutter="0"/>
          <w:pgNumType w:fmt="lowerRoman" w:start="1"/>
          <w:cols w:space="720"/>
          <w:titlePg/>
          <w:docGrid w:linePitch="360"/>
        </w:sectPr>
      </w:pPr>
    </w:p>
    <w:p w:rsidR="002F29DD" w:rsidRDefault="002F29DD" w:rsidP="004C49C2">
      <w:pPr>
        <w:pStyle w:val="Pref"/>
        <w:tabs>
          <w:tab w:val="left" w:pos="5973"/>
        </w:tabs>
      </w:pPr>
      <w:bookmarkStart w:id="2" w:name="_Toc461101276"/>
      <w:r>
        <w:lastRenderedPageBreak/>
        <w:t>Revision History</w:t>
      </w:r>
      <w:bookmarkEnd w:id="2"/>
    </w:p>
    <w:tbl>
      <w:tblPr>
        <w:tblW w:w="9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29" w:type="dxa"/>
          <w:bottom w:w="29" w:type="dxa"/>
          <w:right w:w="29" w:type="dxa"/>
        </w:tblCellMar>
        <w:tblLook w:val="0000" w:firstRow="0" w:lastRow="0" w:firstColumn="0" w:lastColumn="0" w:noHBand="0" w:noVBand="0"/>
      </w:tblPr>
      <w:tblGrid>
        <w:gridCol w:w="1015"/>
        <w:gridCol w:w="2614"/>
        <w:gridCol w:w="3756"/>
        <w:gridCol w:w="1820"/>
      </w:tblGrid>
      <w:tr w:rsidR="002F29DD" w:rsidTr="00327E51">
        <w:tc>
          <w:tcPr>
            <w:tcW w:w="1015" w:type="dxa"/>
            <w:shd w:val="clear" w:color="auto" w:fill="BFBFBF" w:themeFill="background1" w:themeFillShade="BF"/>
            <w:vAlign w:val="center"/>
          </w:tcPr>
          <w:p w:rsidR="002F29DD" w:rsidRDefault="002F29DD" w:rsidP="003F2BB3">
            <w:pPr>
              <w:pStyle w:val="NormalBold"/>
              <w:spacing w:after="0"/>
              <w:jc w:val="center"/>
              <w:rPr>
                <w:rFonts w:ascii="Arial" w:hAnsi="Arial" w:cs="Arial"/>
                <w:sz w:val="18"/>
              </w:rPr>
            </w:pPr>
            <w:r>
              <w:rPr>
                <w:rFonts w:ascii="Arial" w:hAnsi="Arial" w:cs="Arial"/>
                <w:sz w:val="18"/>
              </w:rPr>
              <w:t>Revision No.</w:t>
            </w:r>
          </w:p>
        </w:tc>
        <w:tc>
          <w:tcPr>
            <w:tcW w:w="2614" w:type="dxa"/>
            <w:shd w:val="clear" w:color="auto" w:fill="BFBFBF" w:themeFill="background1" w:themeFillShade="BF"/>
            <w:vAlign w:val="center"/>
          </w:tcPr>
          <w:p w:rsidR="002F29DD" w:rsidRDefault="002F29DD" w:rsidP="003F2BB3">
            <w:pPr>
              <w:pStyle w:val="CommentSubject"/>
              <w:rPr>
                <w:rFonts w:ascii="Arial" w:hAnsi="Arial" w:cs="Arial"/>
                <w:bCs w:val="0"/>
                <w:sz w:val="18"/>
                <w:szCs w:val="24"/>
              </w:rPr>
            </w:pPr>
            <w:r>
              <w:rPr>
                <w:rFonts w:ascii="Arial" w:hAnsi="Arial" w:cs="Arial"/>
                <w:bCs w:val="0"/>
                <w:sz w:val="18"/>
                <w:szCs w:val="24"/>
              </w:rPr>
              <w:t>Date</w:t>
            </w:r>
          </w:p>
        </w:tc>
        <w:tc>
          <w:tcPr>
            <w:tcW w:w="3756" w:type="dxa"/>
            <w:shd w:val="clear" w:color="auto" w:fill="BFBFBF" w:themeFill="background1" w:themeFillShade="BF"/>
            <w:vAlign w:val="center"/>
          </w:tcPr>
          <w:p w:rsidR="002F29DD" w:rsidRDefault="002F29DD" w:rsidP="003F2BB3">
            <w:pPr>
              <w:rPr>
                <w:rFonts w:cs="Arial"/>
                <w:b/>
                <w:sz w:val="18"/>
              </w:rPr>
            </w:pPr>
            <w:r>
              <w:rPr>
                <w:rFonts w:cs="Arial"/>
                <w:b/>
                <w:sz w:val="18"/>
              </w:rPr>
              <w:t>Description</w:t>
            </w:r>
          </w:p>
        </w:tc>
        <w:tc>
          <w:tcPr>
            <w:tcW w:w="1820" w:type="dxa"/>
            <w:shd w:val="clear" w:color="auto" w:fill="BFBFBF" w:themeFill="background1" w:themeFillShade="BF"/>
            <w:vAlign w:val="center"/>
          </w:tcPr>
          <w:p w:rsidR="002F29DD" w:rsidRDefault="002F29DD" w:rsidP="003F2BB3">
            <w:pPr>
              <w:spacing w:after="120"/>
              <w:jc w:val="both"/>
              <w:rPr>
                <w:rFonts w:cs="Arial"/>
                <w:b/>
                <w:sz w:val="18"/>
                <w:szCs w:val="18"/>
              </w:rPr>
            </w:pPr>
            <w:r>
              <w:rPr>
                <w:rFonts w:cs="Arial"/>
                <w:b/>
                <w:sz w:val="18"/>
                <w:szCs w:val="18"/>
              </w:rPr>
              <w:t>Author</w:t>
            </w:r>
          </w:p>
        </w:tc>
      </w:tr>
      <w:tr w:rsidR="009F1782" w:rsidTr="00327E51">
        <w:tc>
          <w:tcPr>
            <w:tcW w:w="1015" w:type="dxa"/>
            <w:vAlign w:val="center"/>
          </w:tcPr>
          <w:p w:rsidR="009F1782" w:rsidRDefault="009F1782" w:rsidP="00BD2E93">
            <w:pPr>
              <w:jc w:val="center"/>
              <w:rPr>
                <w:rFonts w:cs="Arial"/>
                <w:bCs/>
                <w:sz w:val="18"/>
              </w:rPr>
            </w:pPr>
            <w:r>
              <w:rPr>
                <w:rFonts w:cs="Arial"/>
                <w:bCs/>
                <w:sz w:val="18"/>
              </w:rPr>
              <w:t>0</w:t>
            </w:r>
          </w:p>
        </w:tc>
        <w:tc>
          <w:tcPr>
            <w:tcW w:w="2614" w:type="dxa"/>
            <w:vAlign w:val="center"/>
          </w:tcPr>
          <w:p w:rsidR="009F1782" w:rsidRDefault="009F1782" w:rsidP="009F1782">
            <w:pPr>
              <w:rPr>
                <w:rFonts w:cs="Arial"/>
                <w:bCs/>
                <w:sz w:val="18"/>
              </w:rPr>
            </w:pPr>
            <w:r>
              <w:rPr>
                <w:rFonts w:cs="Arial"/>
                <w:bCs/>
                <w:sz w:val="18"/>
              </w:rPr>
              <w:t>November 27, 2013</w:t>
            </w:r>
          </w:p>
        </w:tc>
        <w:tc>
          <w:tcPr>
            <w:tcW w:w="3756" w:type="dxa"/>
            <w:vAlign w:val="center"/>
          </w:tcPr>
          <w:p w:rsidR="009F1782" w:rsidRDefault="008C18E5" w:rsidP="00BD2E93">
            <w:pPr>
              <w:tabs>
                <w:tab w:val="left" w:pos="366"/>
              </w:tabs>
              <w:rPr>
                <w:rFonts w:cs="Arial"/>
                <w:bCs/>
                <w:sz w:val="18"/>
              </w:rPr>
            </w:pPr>
            <w:r>
              <w:rPr>
                <w:rFonts w:cs="Arial"/>
                <w:bCs/>
                <w:sz w:val="18"/>
              </w:rPr>
              <w:t>Original Release</w:t>
            </w:r>
          </w:p>
        </w:tc>
        <w:tc>
          <w:tcPr>
            <w:tcW w:w="1820" w:type="dxa"/>
            <w:vAlign w:val="center"/>
          </w:tcPr>
          <w:p w:rsidR="009F1782" w:rsidRDefault="009F1782" w:rsidP="00BD2E93">
            <w:pPr>
              <w:ind w:left="6"/>
              <w:rPr>
                <w:rFonts w:cs="Arial"/>
                <w:bCs/>
                <w:sz w:val="18"/>
              </w:rPr>
            </w:pPr>
            <w:r>
              <w:rPr>
                <w:rFonts w:cs="Arial"/>
                <w:bCs/>
                <w:sz w:val="18"/>
              </w:rPr>
              <w:t>Ali Bozorgi (ICF)</w:t>
            </w:r>
          </w:p>
        </w:tc>
      </w:tr>
      <w:tr w:rsidR="007C1138" w:rsidTr="00327E51">
        <w:tc>
          <w:tcPr>
            <w:tcW w:w="1015" w:type="dxa"/>
            <w:vAlign w:val="center"/>
          </w:tcPr>
          <w:p w:rsidR="007C1138" w:rsidRDefault="007C1138" w:rsidP="00BD2E93">
            <w:pPr>
              <w:jc w:val="center"/>
              <w:rPr>
                <w:rFonts w:cs="Arial"/>
                <w:bCs/>
                <w:sz w:val="18"/>
              </w:rPr>
            </w:pPr>
            <w:r>
              <w:rPr>
                <w:rFonts w:cs="Arial"/>
                <w:bCs/>
                <w:sz w:val="18"/>
              </w:rPr>
              <w:t>1</w:t>
            </w:r>
          </w:p>
        </w:tc>
        <w:tc>
          <w:tcPr>
            <w:tcW w:w="2614" w:type="dxa"/>
            <w:vAlign w:val="center"/>
          </w:tcPr>
          <w:p w:rsidR="007C1138" w:rsidRDefault="003846CE" w:rsidP="009F1782">
            <w:pPr>
              <w:rPr>
                <w:rFonts w:cs="Arial"/>
                <w:bCs/>
                <w:sz w:val="18"/>
              </w:rPr>
            </w:pPr>
            <w:r w:rsidRPr="003846CE">
              <w:rPr>
                <w:rFonts w:cs="Arial"/>
                <w:bCs/>
                <w:sz w:val="18"/>
              </w:rPr>
              <w:t>September 08, 2016</w:t>
            </w:r>
          </w:p>
        </w:tc>
        <w:tc>
          <w:tcPr>
            <w:tcW w:w="3756" w:type="dxa"/>
            <w:vAlign w:val="center"/>
          </w:tcPr>
          <w:p w:rsidR="007C1138" w:rsidRDefault="003846CE" w:rsidP="003846CE">
            <w:pPr>
              <w:pStyle w:val="ListParagraph"/>
              <w:numPr>
                <w:ilvl w:val="0"/>
                <w:numId w:val="64"/>
              </w:numPr>
              <w:tabs>
                <w:tab w:val="left" w:pos="366"/>
              </w:tabs>
              <w:rPr>
                <w:rFonts w:cs="Arial"/>
                <w:bCs/>
                <w:sz w:val="18"/>
              </w:rPr>
            </w:pPr>
            <w:r w:rsidRPr="003846CE">
              <w:rPr>
                <w:rFonts w:cs="Arial"/>
                <w:bCs/>
                <w:sz w:val="18"/>
              </w:rPr>
              <w:t>Updates per Water Heater Disposition (At</w:t>
            </w:r>
            <w:r w:rsidR="004A4FB2">
              <w:rPr>
                <w:rFonts w:cs="Arial"/>
                <w:bCs/>
                <w:sz w:val="18"/>
              </w:rPr>
              <w:t>tachment G</w:t>
            </w:r>
            <w:r w:rsidRPr="003846CE">
              <w:rPr>
                <w:rFonts w:cs="Arial"/>
                <w:bCs/>
                <w:sz w:val="18"/>
              </w:rPr>
              <w:t>)</w:t>
            </w:r>
          </w:p>
          <w:p w:rsidR="00C65AB5" w:rsidRDefault="003846CE" w:rsidP="00C65AB5">
            <w:pPr>
              <w:pStyle w:val="ListParagraph"/>
              <w:numPr>
                <w:ilvl w:val="0"/>
                <w:numId w:val="64"/>
              </w:numPr>
              <w:rPr>
                <w:rFonts w:cs="Arial"/>
                <w:bCs/>
                <w:sz w:val="18"/>
              </w:rPr>
            </w:pPr>
            <w:r w:rsidRPr="003846CE">
              <w:rPr>
                <w:rFonts w:cs="Arial"/>
                <w:bCs/>
                <w:sz w:val="18"/>
              </w:rPr>
              <w:t>Adjust cost to include installation (Labor and Material)</w:t>
            </w:r>
          </w:p>
          <w:p w:rsidR="003846CE" w:rsidRPr="00C65AB5" w:rsidRDefault="003846CE" w:rsidP="00C65AB5">
            <w:pPr>
              <w:pStyle w:val="ListParagraph"/>
              <w:numPr>
                <w:ilvl w:val="0"/>
                <w:numId w:val="64"/>
              </w:numPr>
              <w:rPr>
                <w:rFonts w:cs="Arial"/>
                <w:bCs/>
                <w:sz w:val="18"/>
              </w:rPr>
            </w:pPr>
            <w:r w:rsidRPr="00C65AB5">
              <w:rPr>
                <w:rFonts w:cs="Arial"/>
                <w:bCs/>
                <w:sz w:val="18"/>
              </w:rPr>
              <w:t>Added air quality emission requirements</w:t>
            </w:r>
          </w:p>
        </w:tc>
        <w:tc>
          <w:tcPr>
            <w:tcW w:w="1820" w:type="dxa"/>
            <w:vAlign w:val="center"/>
          </w:tcPr>
          <w:p w:rsidR="007C1138" w:rsidRDefault="007C1138" w:rsidP="00BD2E93">
            <w:pPr>
              <w:ind w:left="6"/>
              <w:rPr>
                <w:rFonts w:cs="Arial"/>
                <w:bCs/>
                <w:sz w:val="18"/>
              </w:rPr>
            </w:pPr>
            <w:r>
              <w:rPr>
                <w:rFonts w:cs="Arial"/>
                <w:bCs/>
                <w:sz w:val="18"/>
              </w:rPr>
              <w:t>Miguel Urrea (SCG)</w:t>
            </w:r>
          </w:p>
        </w:tc>
      </w:tr>
    </w:tbl>
    <w:p w:rsidR="002F29DD" w:rsidRPr="004C49C2" w:rsidRDefault="002F29DD" w:rsidP="002F29DD">
      <w:pPr>
        <w:spacing w:after="120"/>
        <w:jc w:val="both"/>
      </w:pPr>
    </w:p>
    <w:p w:rsidR="002F29DD" w:rsidRPr="004C49C2" w:rsidRDefault="002F29DD" w:rsidP="002F29DD">
      <w:pPr>
        <w:pStyle w:val="Heading1"/>
        <w:rPr>
          <w:b w:val="0"/>
          <w:sz w:val="20"/>
        </w:rPr>
      </w:pPr>
      <w:bookmarkStart w:id="3" w:name="_Toc184544712"/>
      <w:bookmarkStart w:id="4" w:name="_Toc185161311"/>
    </w:p>
    <w:p w:rsidR="002F29DD" w:rsidRDefault="002F29DD" w:rsidP="002F29DD">
      <w:pPr>
        <w:pStyle w:val="Heading1"/>
        <w:sectPr w:rsidR="002F29DD" w:rsidSect="003F2BB3">
          <w:footerReference w:type="default" r:id="rId11"/>
          <w:endnotePr>
            <w:numFmt w:val="decimal"/>
          </w:endnotePr>
          <w:pgSz w:w="12240" w:h="15840" w:code="1"/>
          <w:pgMar w:top="1440" w:right="1440" w:bottom="1440" w:left="1440" w:header="720" w:footer="720" w:gutter="0"/>
          <w:pgNumType w:fmt="lowerRoman" w:start="1"/>
          <w:cols w:space="720"/>
          <w:docGrid w:linePitch="360"/>
        </w:sectPr>
      </w:pPr>
    </w:p>
    <w:p w:rsidR="002F29DD" w:rsidRDefault="002F29DD" w:rsidP="002F29DD">
      <w:pPr>
        <w:pStyle w:val="Pref"/>
      </w:pPr>
      <w:bookmarkStart w:id="5" w:name="_Toc461101277"/>
      <w:r>
        <w:lastRenderedPageBreak/>
        <w:t>Measure Summary Table</w:t>
      </w:r>
      <w:r w:rsidR="004C5A04">
        <w:t xml:space="preserve"> A</w:t>
      </w:r>
      <w:bookmarkEnd w:id="5"/>
    </w:p>
    <w:tbl>
      <w:tblPr>
        <w:tblW w:w="13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29" w:type="dxa"/>
          <w:bottom w:w="29" w:type="dxa"/>
          <w:right w:w="29" w:type="dxa"/>
        </w:tblCellMar>
        <w:tblLook w:val="0000" w:firstRow="0" w:lastRow="0" w:firstColumn="0" w:lastColumn="0" w:noHBand="0" w:noVBand="0"/>
      </w:tblPr>
      <w:tblGrid>
        <w:gridCol w:w="5040"/>
        <w:gridCol w:w="1080"/>
        <w:gridCol w:w="720"/>
        <w:gridCol w:w="360"/>
        <w:gridCol w:w="1350"/>
        <w:gridCol w:w="810"/>
        <w:gridCol w:w="810"/>
        <w:gridCol w:w="715"/>
        <w:gridCol w:w="1085"/>
        <w:gridCol w:w="900"/>
        <w:gridCol w:w="990"/>
      </w:tblGrid>
      <w:tr w:rsidR="00B0174E" w:rsidTr="00084C33">
        <w:trPr>
          <w:trHeight w:val="1205"/>
          <w:tblHeader/>
          <w:jc w:val="center"/>
        </w:trPr>
        <w:tc>
          <w:tcPr>
            <w:tcW w:w="5040" w:type="dxa"/>
            <w:shd w:val="clear" w:color="auto" w:fill="C0C0C0"/>
            <w:vAlign w:val="bottom"/>
          </w:tcPr>
          <w:bookmarkEnd w:id="3"/>
          <w:bookmarkEnd w:id="4"/>
          <w:p w:rsidR="00B0174E" w:rsidRPr="00E23610" w:rsidRDefault="00B0174E" w:rsidP="008D1B58">
            <w:pPr>
              <w:jc w:val="center"/>
              <w:rPr>
                <w:sz w:val="18"/>
                <w:szCs w:val="16"/>
              </w:rPr>
            </w:pPr>
            <w:r w:rsidRPr="00E23610">
              <w:rPr>
                <w:sz w:val="18"/>
                <w:szCs w:val="16"/>
              </w:rPr>
              <w:t>Measure Name</w:t>
            </w:r>
          </w:p>
        </w:tc>
        <w:tc>
          <w:tcPr>
            <w:tcW w:w="1080" w:type="dxa"/>
            <w:shd w:val="clear" w:color="auto" w:fill="C0C0C0"/>
            <w:vAlign w:val="bottom"/>
          </w:tcPr>
          <w:p w:rsidR="00B0174E" w:rsidRPr="00E23610" w:rsidRDefault="00B0174E" w:rsidP="00221B0F">
            <w:pPr>
              <w:jc w:val="center"/>
              <w:rPr>
                <w:sz w:val="18"/>
                <w:szCs w:val="16"/>
              </w:rPr>
            </w:pPr>
            <w:r w:rsidRPr="00E23610">
              <w:rPr>
                <w:sz w:val="18"/>
                <w:szCs w:val="16"/>
              </w:rPr>
              <w:t xml:space="preserve">Program </w:t>
            </w:r>
            <w:r>
              <w:rPr>
                <w:sz w:val="18"/>
                <w:szCs w:val="16"/>
              </w:rPr>
              <w:t xml:space="preserve">Application </w:t>
            </w:r>
            <w:r w:rsidRPr="00E23610">
              <w:rPr>
                <w:sz w:val="18"/>
                <w:szCs w:val="16"/>
              </w:rPr>
              <w:t>Type (</w:t>
            </w:r>
            <w:r>
              <w:rPr>
                <w:sz w:val="18"/>
                <w:szCs w:val="16"/>
              </w:rPr>
              <w:t>RE</w:t>
            </w:r>
            <w:r w:rsidRPr="00E23610">
              <w:rPr>
                <w:sz w:val="18"/>
                <w:szCs w:val="16"/>
              </w:rPr>
              <w:t xml:space="preserve">, </w:t>
            </w:r>
            <w:r>
              <w:rPr>
                <w:sz w:val="18"/>
                <w:szCs w:val="16"/>
              </w:rPr>
              <w:t xml:space="preserve">NC, </w:t>
            </w:r>
            <w:r w:rsidRPr="00E23610">
              <w:rPr>
                <w:sz w:val="18"/>
                <w:szCs w:val="16"/>
              </w:rPr>
              <w:t xml:space="preserve">ROB, </w:t>
            </w:r>
            <w:r>
              <w:rPr>
                <w:sz w:val="18"/>
                <w:szCs w:val="16"/>
              </w:rPr>
              <w:t>ER</w:t>
            </w:r>
            <w:r w:rsidRPr="00E23610">
              <w:rPr>
                <w:sz w:val="18"/>
                <w:szCs w:val="16"/>
              </w:rPr>
              <w:t>)</w:t>
            </w:r>
          </w:p>
        </w:tc>
        <w:tc>
          <w:tcPr>
            <w:tcW w:w="720" w:type="dxa"/>
            <w:shd w:val="clear" w:color="auto" w:fill="C0C0C0"/>
            <w:vAlign w:val="bottom"/>
          </w:tcPr>
          <w:p w:rsidR="00B0174E" w:rsidRPr="00E23610" w:rsidRDefault="00B0174E" w:rsidP="008D1B58">
            <w:pPr>
              <w:jc w:val="center"/>
              <w:rPr>
                <w:sz w:val="18"/>
                <w:szCs w:val="16"/>
              </w:rPr>
            </w:pPr>
            <w:r w:rsidRPr="00E23610">
              <w:rPr>
                <w:sz w:val="18"/>
                <w:szCs w:val="16"/>
              </w:rPr>
              <w:t>EUL or RUL</w:t>
            </w:r>
            <w:r>
              <w:rPr>
                <w:sz w:val="18"/>
                <w:szCs w:val="16"/>
              </w:rPr>
              <w:t xml:space="preserve"> (yr)</w:t>
            </w:r>
          </w:p>
        </w:tc>
        <w:tc>
          <w:tcPr>
            <w:tcW w:w="360" w:type="dxa"/>
            <w:shd w:val="clear" w:color="auto" w:fill="C0C0C0"/>
            <w:vAlign w:val="bottom"/>
          </w:tcPr>
          <w:p w:rsidR="00B0174E" w:rsidRPr="00E23610" w:rsidRDefault="00B0174E" w:rsidP="008D1B58">
            <w:pPr>
              <w:jc w:val="center"/>
              <w:rPr>
                <w:sz w:val="18"/>
                <w:szCs w:val="16"/>
              </w:rPr>
            </w:pPr>
            <w:r w:rsidRPr="00E23610">
              <w:rPr>
                <w:sz w:val="18"/>
                <w:szCs w:val="16"/>
              </w:rPr>
              <w:t>CZ</w:t>
            </w:r>
          </w:p>
        </w:tc>
        <w:tc>
          <w:tcPr>
            <w:tcW w:w="1350" w:type="dxa"/>
            <w:shd w:val="clear" w:color="auto" w:fill="BFBFBF" w:themeFill="background1" w:themeFillShade="BF"/>
            <w:vAlign w:val="bottom"/>
          </w:tcPr>
          <w:p w:rsidR="00B0174E" w:rsidRPr="00E23610" w:rsidRDefault="00B0174E" w:rsidP="008D1B58">
            <w:pPr>
              <w:jc w:val="center"/>
              <w:rPr>
                <w:sz w:val="18"/>
                <w:szCs w:val="16"/>
              </w:rPr>
            </w:pPr>
            <w:r>
              <w:rPr>
                <w:sz w:val="18"/>
                <w:szCs w:val="16"/>
              </w:rPr>
              <w:t>Building Type</w:t>
            </w:r>
          </w:p>
        </w:tc>
        <w:tc>
          <w:tcPr>
            <w:tcW w:w="810" w:type="dxa"/>
            <w:shd w:val="clear" w:color="auto" w:fill="C0C0C0"/>
            <w:vAlign w:val="bottom"/>
          </w:tcPr>
          <w:p w:rsidR="00B0174E" w:rsidRPr="00E23610" w:rsidRDefault="00B0174E" w:rsidP="008D1B58">
            <w:pPr>
              <w:jc w:val="center"/>
              <w:rPr>
                <w:sz w:val="18"/>
                <w:szCs w:val="16"/>
              </w:rPr>
            </w:pPr>
            <w:r>
              <w:rPr>
                <w:sz w:val="18"/>
                <w:szCs w:val="16"/>
              </w:rPr>
              <w:t>Building Vintage</w:t>
            </w:r>
          </w:p>
        </w:tc>
        <w:tc>
          <w:tcPr>
            <w:tcW w:w="810" w:type="dxa"/>
            <w:shd w:val="clear" w:color="auto" w:fill="C0C0C0"/>
            <w:vAlign w:val="bottom"/>
          </w:tcPr>
          <w:p w:rsidR="00B0174E" w:rsidRPr="00E23610" w:rsidRDefault="00B0174E" w:rsidP="008D1B58">
            <w:pPr>
              <w:jc w:val="center"/>
              <w:rPr>
                <w:sz w:val="18"/>
                <w:szCs w:val="16"/>
              </w:rPr>
            </w:pPr>
            <w:r w:rsidRPr="00E23610">
              <w:rPr>
                <w:sz w:val="18"/>
                <w:szCs w:val="16"/>
              </w:rPr>
              <w:t xml:space="preserve">Unit </w:t>
            </w:r>
            <w:r>
              <w:rPr>
                <w:sz w:val="18"/>
                <w:szCs w:val="16"/>
              </w:rPr>
              <w:br/>
            </w:r>
            <w:r w:rsidRPr="00E23610">
              <w:rPr>
                <w:sz w:val="18"/>
                <w:szCs w:val="16"/>
              </w:rPr>
              <w:t>Definition</w:t>
            </w:r>
          </w:p>
        </w:tc>
        <w:tc>
          <w:tcPr>
            <w:tcW w:w="715" w:type="dxa"/>
            <w:shd w:val="clear" w:color="auto" w:fill="C0C0C0"/>
            <w:vAlign w:val="bottom"/>
          </w:tcPr>
          <w:p w:rsidR="00B0174E" w:rsidRPr="00E23610" w:rsidRDefault="00B0174E" w:rsidP="00B0174E">
            <w:pPr>
              <w:jc w:val="center"/>
              <w:rPr>
                <w:sz w:val="18"/>
                <w:szCs w:val="16"/>
              </w:rPr>
            </w:pPr>
            <w:r>
              <w:rPr>
                <w:sz w:val="18"/>
                <w:szCs w:val="16"/>
              </w:rPr>
              <w:t>NTG</w:t>
            </w:r>
            <w:r w:rsidR="00AB55CE">
              <w:rPr>
                <w:sz w:val="18"/>
                <w:szCs w:val="16"/>
              </w:rPr>
              <w:t>R</w:t>
            </w:r>
            <w:r>
              <w:rPr>
                <w:sz w:val="18"/>
                <w:szCs w:val="16"/>
              </w:rPr>
              <w:t xml:space="preserve"> </w:t>
            </w:r>
          </w:p>
        </w:tc>
        <w:tc>
          <w:tcPr>
            <w:tcW w:w="1085" w:type="dxa"/>
            <w:shd w:val="clear" w:color="auto" w:fill="C0C0C0"/>
            <w:vAlign w:val="bottom"/>
          </w:tcPr>
          <w:p w:rsidR="00B0174E" w:rsidRPr="00E23610" w:rsidRDefault="00B0174E" w:rsidP="008D1B58">
            <w:pPr>
              <w:jc w:val="center"/>
              <w:rPr>
                <w:sz w:val="18"/>
                <w:szCs w:val="16"/>
              </w:rPr>
            </w:pPr>
            <w:r>
              <w:rPr>
                <w:sz w:val="18"/>
                <w:szCs w:val="16"/>
              </w:rPr>
              <w:t>Program Delivery Method (CustIncent, PreReb, DirInstall)</w:t>
            </w:r>
          </w:p>
        </w:tc>
        <w:tc>
          <w:tcPr>
            <w:tcW w:w="900" w:type="dxa"/>
            <w:shd w:val="clear" w:color="auto" w:fill="C0C0C0"/>
            <w:vAlign w:val="bottom"/>
          </w:tcPr>
          <w:p w:rsidR="00B0174E" w:rsidRPr="00E23610" w:rsidRDefault="00B0174E" w:rsidP="00310BC9">
            <w:pPr>
              <w:jc w:val="center"/>
              <w:rPr>
                <w:sz w:val="18"/>
                <w:szCs w:val="16"/>
              </w:rPr>
            </w:pPr>
            <w:r w:rsidRPr="00E23610">
              <w:rPr>
                <w:sz w:val="18"/>
                <w:szCs w:val="16"/>
              </w:rPr>
              <w:t>Gross</w:t>
            </w:r>
            <w:r>
              <w:rPr>
                <w:sz w:val="18"/>
                <w:szCs w:val="16"/>
              </w:rPr>
              <w:t xml:space="preserve"> </w:t>
            </w:r>
            <w:r w:rsidRPr="00E23610">
              <w:rPr>
                <w:sz w:val="18"/>
                <w:szCs w:val="16"/>
              </w:rPr>
              <w:t>Realization Rate (GRR)</w:t>
            </w:r>
          </w:p>
        </w:tc>
        <w:tc>
          <w:tcPr>
            <w:tcW w:w="990" w:type="dxa"/>
            <w:shd w:val="clear" w:color="auto" w:fill="C0C0C0"/>
            <w:vAlign w:val="bottom"/>
          </w:tcPr>
          <w:p w:rsidR="00B0174E" w:rsidRPr="00E23610" w:rsidRDefault="00B0174E" w:rsidP="008D1B58">
            <w:pPr>
              <w:jc w:val="center"/>
              <w:rPr>
                <w:sz w:val="18"/>
                <w:szCs w:val="16"/>
              </w:rPr>
            </w:pPr>
            <w:r w:rsidRPr="00E23610">
              <w:rPr>
                <w:sz w:val="18"/>
                <w:szCs w:val="16"/>
              </w:rPr>
              <w:t xml:space="preserve">% Eligible for TOU AC </w:t>
            </w:r>
            <w:r>
              <w:rPr>
                <w:sz w:val="18"/>
                <w:szCs w:val="16"/>
              </w:rPr>
              <w:br/>
            </w:r>
            <w:r w:rsidRPr="00E23610">
              <w:rPr>
                <w:sz w:val="18"/>
                <w:szCs w:val="16"/>
              </w:rPr>
              <w:t>Adjustment</w:t>
            </w:r>
          </w:p>
        </w:tc>
      </w:tr>
      <w:tr w:rsidR="00691004" w:rsidTr="00BD2E93">
        <w:trPr>
          <w:trHeight w:val="20"/>
          <w:jc w:val="center"/>
        </w:trPr>
        <w:tc>
          <w:tcPr>
            <w:tcW w:w="5040" w:type="dxa"/>
            <w:shd w:val="clear" w:color="auto" w:fill="auto"/>
            <w:noWrap/>
            <w:vAlign w:val="bottom"/>
          </w:tcPr>
          <w:p w:rsidR="00691004" w:rsidRDefault="00691004">
            <w:pPr>
              <w:rPr>
                <w:rFonts w:cs="Arial"/>
                <w:color w:val="000000"/>
                <w:sz w:val="18"/>
                <w:szCs w:val="18"/>
              </w:rPr>
            </w:pPr>
            <w:r>
              <w:rPr>
                <w:rFonts w:cs="Arial"/>
                <w:color w:val="000000"/>
                <w:sz w:val="18"/>
                <w:szCs w:val="18"/>
              </w:rPr>
              <w:t>MF Central Storage Water Heater &gt;75 kBtu</w:t>
            </w:r>
            <w:r w:rsidR="00C65AB5">
              <w:rPr>
                <w:rFonts w:cs="Arial"/>
                <w:color w:val="000000"/>
                <w:sz w:val="18"/>
                <w:szCs w:val="18"/>
              </w:rPr>
              <w:t>h, Tier 1 (83% TE)</w:t>
            </w:r>
          </w:p>
        </w:tc>
        <w:tc>
          <w:tcPr>
            <w:tcW w:w="1080" w:type="dxa"/>
            <w:vAlign w:val="center"/>
          </w:tcPr>
          <w:p w:rsidR="00691004" w:rsidRPr="000747F3" w:rsidRDefault="0047603C" w:rsidP="00221B0F">
            <w:pPr>
              <w:jc w:val="center"/>
            </w:pPr>
            <w:r w:rsidRPr="000747F3">
              <w:rPr>
                <w:rFonts w:cs="Arial"/>
                <w:bCs/>
                <w:sz w:val="18"/>
              </w:rPr>
              <w:t>ROB</w:t>
            </w:r>
          </w:p>
        </w:tc>
        <w:tc>
          <w:tcPr>
            <w:tcW w:w="720" w:type="dxa"/>
            <w:vAlign w:val="center"/>
          </w:tcPr>
          <w:p w:rsidR="00691004" w:rsidRPr="00A50306" w:rsidRDefault="00691004" w:rsidP="00221B0F">
            <w:pPr>
              <w:jc w:val="center"/>
            </w:pPr>
            <w:r w:rsidRPr="00A50306">
              <w:rPr>
                <w:sz w:val="18"/>
                <w:szCs w:val="18"/>
              </w:rPr>
              <w:t>15</w:t>
            </w:r>
          </w:p>
        </w:tc>
        <w:tc>
          <w:tcPr>
            <w:tcW w:w="360" w:type="dxa"/>
            <w:vAlign w:val="center"/>
          </w:tcPr>
          <w:p w:rsidR="00691004" w:rsidRPr="00D15D30" w:rsidRDefault="00691004" w:rsidP="00221B0F">
            <w:pPr>
              <w:jc w:val="center"/>
              <w:rPr>
                <w:rFonts w:cs="Arial"/>
                <w:color w:val="000000"/>
                <w:sz w:val="18"/>
                <w:szCs w:val="22"/>
              </w:rPr>
            </w:pPr>
            <w:r w:rsidRPr="00D15D30">
              <w:rPr>
                <w:rFonts w:cs="Arial"/>
                <w:color w:val="000000"/>
                <w:sz w:val="18"/>
                <w:szCs w:val="22"/>
              </w:rPr>
              <w:t>9</w:t>
            </w:r>
          </w:p>
        </w:tc>
        <w:tc>
          <w:tcPr>
            <w:tcW w:w="1350" w:type="dxa"/>
            <w:vAlign w:val="center"/>
          </w:tcPr>
          <w:p w:rsidR="00691004" w:rsidRDefault="00691004" w:rsidP="00F87C81">
            <w:pPr>
              <w:jc w:val="center"/>
            </w:pPr>
            <w:r w:rsidRPr="002D167A">
              <w:rPr>
                <w:rFonts w:cs="Arial"/>
                <w:color w:val="000000"/>
                <w:sz w:val="18"/>
                <w:szCs w:val="22"/>
              </w:rPr>
              <w:t>MF Residential</w:t>
            </w:r>
          </w:p>
        </w:tc>
        <w:tc>
          <w:tcPr>
            <w:tcW w:w="810" w:type="dxa"/>
            <w:vAlign w:val="center"/>
          </w:tcPr>
          <w:p w:rsidR="00691004" w:rsidRPr="002D12EC" w:rsidRDefault="00691004" w:rsidP="00221B0F">
            <w:pPr>
              <w:jc w:val="center"/>
              <w:rPr>
                <w:sz w:val="18"/>
                <w:szCs w:val="18"/>
              </w:rPr>
            </w:pPr>
            <w:r w:rsidRPr="002D12EC">
              <w:rPr>
                <w:sz w:val="18"/>
                <w:szCs w:val="18"/>
              </w:rPr>
              <w:t>N/A</w:t>
            </w:r>
          </w:p>
        </w:tc>
        <w:tc>
          <w:tcPr>
            <w:tcW w:w="810" w:type="dxa"/>
            <w:vAlign w:val="center"/>
          </w:tcPr>
          <w:p w:rsidR="00691004" w:rsidRDefault="00691004" w:rsidP="00F87C81">
            <w:pPr>
              <w:jc w:val="center"/>
            </w:pPr>
            <w:r w:rsidRPr="001328A2">
              <w:rPr>
                <w:sz w:val="18"/>
                <w:szCs w:val="18"/>
              </w:rPr>
              <w:t>MBtuh</w:t>
            </w:r>
          </w:p>
        </w:tc>
        <w:tc>
          <w:tcPr>
            <w:tcW w:w="715" w:type="dxa"/>
          </w:tcPr>
          <w:p w:rsidR="00691004" w:rsidRDefault="00691004" w:rsidP="00691004">
            <w:pPr>
              <w:jc w:val="center"/>
            </w:pPr>
            <w:r w:rsidRPr="001C102F">
              <w:rPr>
                <w:sz w:val="18"/>
                <w:szCs w:val="18"/>
              </w:rPr>
              <w:t>0.70</w:t>
            </w:r>
          </w:p>
        </w:tc>
        <w:tc>
          <w:tcPr>
            <w:tcW w:w="1085" w:type="dxa"/>
            <w:shd w:val="clear" w:color="auto" w:fill="auto"/>
          </w:tcPr>
          <w:p w:rsidR="00691004" w:rsidRPr="004963A4" w:rsidRDefault="00691004" w:rsidP="004963A4">
            <w:pPr>
              <w:jc w:val="center"/>
              <w:rPr>
                <w:sz w:val="18"/>
                <w:szCs w:val="16"/>
              </w:rPr>
            </w:pPr>
            <w:r w:rsidRPr="001735B4">
              <w:rPr>
                <w:sz w:val="18"/>
                <w:szCs w:val="16"/>
              </w:rPr>
              <w:t>PreReb</w:t>
            </w:r>
          </w:p>
        </w:tc>
        <w:tc>
          <w:tcPr>
            <w:tcW w:w="900" w:type="dxa"/>
            <w:vAlign w:val="center"/>
          </w:tcPr>
          <w:p w:rsidR="00691004" w:rsidRPr="002D12EC" w:rsidRDefault="00691004" w:rsidP="00221B0F">
            <w:pPr>
              <w:jc w:val="center"/>
              <w:rPr>
                <w:sz w:val="18"/>
                <w:szCs w:val="18"/>
              </w:rPr>
            </w:pPr>
            <w:r>
              <w:rPr>
                <w:sz w:val="18"/>
                <w:szCs w:val="18"/>
              </w:rPr>
              <w:t>1.00</w:t>
            </w:r>
          </w:p>
        </w:tc>
        <w:tc>
          <w:tcPr>
            <w:tcW w:w="990" w:type="dxa"/>
            <w:vAlign w:val="center"/>
          </w:tcPr>
          <w:p w:rsidR="00691004" w:rsidRPr="002D12EC" w:rsidRDefault="00691004" w:rsidP="00221B0F">
            <w:pPr>
              <w:jc w:val="center"/>
              <w:rPr>
                <w:sz w:val="18"/>
                <w:szCs w:val="18"/>
              </w:rPr>
            </w:pPr>
            <w:r w:rsidRPr="002D12EC">
              <w:rPr>
                <w:sz w:val="18"/>
                <w:szCs w:val="18"/>
              </w:rPr>
              <w:t>N/A</w:t>
            </w:r>
          </w:p>
        </w:tc>
      </w:tr>
      <w:tr w:rsidR="00A407B2" w:rsidTr="00154904">
        <w:trPr>
          <w:trHeight w:val="20"/>
          <w:jc w:val="center"/>
        </w:trPr>
        <w:tc>
          <w:tcPr>
            <w:tcW w:w="5040" w:type="dxa"/>
            <w:shd w:val="clear" w:color="auto" w:fill="auto"/>
            <w:noWrap/>
            <w:vAlign w:val="bottom"/>
          </w:tcPr>
          <w:p w:rsidR="00A407B2" w:rsidRDefault="00A407B2">
            <w:pPr>
              <w:rPr>
                <w:rFonts w:cs="Arial"/>
                <w:color w:val="000000"/>
                <w:sz w:val="18"/>
                <w:szCs w:val="18"/>
              </w:rPr>
            </w:pPr>
            <w:r>
              <w:rPr>
                <w:rFonts w:cs="Arial"/>
                <w:color w:val="000000"/>
                <w:sz w:val="18"/>
                <w:szCs w:val="18"/>
              </w:rPr>
              <w:t xml:space="preserve">MF Central Storage Water Heater &gt;75 </w:t>
            </w:r>
            <w:r w:rsidR="00FD52AD">
              <w:rPr>
                <w:rFonts w:cs="Arial"/>
                <w:color w:val="000000"/>
                <w:sz w:val="18"/>
                <w:szCs w:val="18"/>
              </w:rPr>
              <w:t>kBtuh</w:t>
            </w:r>
            <w:r w:rsidR="00C65AB5">
              <w:rPr>
                <w:rFonts w:cs="Arial"/>
                <w:color w:val="000000"/>
                <w:sz w:val="18"/>
                <w:szCs w:val="18"/>
              </w:rPr>
              <w:t>, Tier 2 (90% TE)</w:t>
            </w:r>
          </w:p>
        </w:tc>
        <w:tc>
          <w:tcPr>
            <w:tcW w:w="1080" w:type="dxa"/>
            <w:vAlign w:val="center"/>
          </w:tcPr>
          <w:p w:rsidR="00A407B2" w:rsidRPr="000747F3" w:rsidRDefault="0047603C" w:rsidP="00221B0F">
            <w:pPr>
              <w:jc w:val="center"/>
            </w:pPr>
            <w:r w:rsidRPr="000747F3">
              <w:rPr>
                <w:rFonts w:cs="Arial"/>
                <w:bCs/>
                <w:sz w:val="18"/>
              </w:rPr>
              <w:t>ROB</w:t>
            </w:r>
          </w:p>
        </w:tc>
        <w:tc>
          <w:tcPr>
            <w:tcW w:w="720" w:type="dxa"/>
            <w:vAlign w:val="center"/>
          </w:tcPr>
          <w:p w:rsidR="00A407B2" w:rsidRPr="00A50306" w:rsidRDefault="00A407B2" w:rsidP="00221B0F">
            <w:pPr>
              <w:jc w:val="center"/>
            </w:pPr>
            <w:r w:rsidRPr="00A50306">
              <w:rPr>
                <w:sz w:val="18"/>
                <w:szCs w:val="18"/>
              </w:rPr>
              <w:t>15</w:t>
            </w:r>
          </w:p>
        </w:tc>
        <w:tc>
          <w:tcPr>
            <w:tcW w:w="360" w:type="dxa"/>
            <w:vAlign w:val="center"/>
          </w:tcPr>
          <w:p w:rsidR="00A407B2" w:rsidRPr="00D15D30" w:rsidRDefault="00A407B2" w:rsidP="00221B0F">
            <w:pPr>
              <w:jc w:val="center"/>
              <w:rPr>
                <w:rFonts w:cs="Arial"/>
                <w:color w:val="000000"/>
                <w:sz w:val="18"/>
                <w:szCs w:val="22"/>
              </w:rPr>
            </w:pPr>
            <w:r w:rsidRPr="00D15D30">
              <w:rPr>
                <w:rFonts w:cs="Arial"/>
                <w:color w:val="000000"/>
                <w:sz w:val="18"/>
                <w:szCs w:val="22"/>
              </w:rPr>
              <w:t>9</w:t>
            </w:r>
          </w:p>
        </w:tc>
        <w:tc>
          <w:tcPr>
            <w:tcW w:w="1350" w:type="dxa"/>
            <w:vAlign w:val="center"/>
          </w:tcPr>
          <w:p w:rsidR="00A407B2" w:rsidRDefault="00A407B2" w:rsidP="00F87C81">
            <w:pPr>
              <w:jc w:val="center"/>
            </w:pPr>
            <w:r w:rsidRPr="002D167A">
              <w:rPr>
                <w:rFonts w:cs="Arial"/>
                <w:color w:val="000000"/>
                <w:sz w:val="18"/>
                <w:szCs w:val="22"/>
              </w:rPr>
              <w:t>MF Residential</w:t>
            </w:r>
          </w:p>
        </w:tc>
        <w:tc>
          <w:tcPr>
            <w:tcW w:w="810" w:type="dxa"/>
            <w:vAlign w:val="center"/>
          </w:tcPr>
          <w:p w:rsidR="00A407B2" w:rsidRPr="002D12EC" w:rsidRDefault="00A407B2" w:rsidP="00221B0F">
            <w:pPr>
              <w:jc w:val="center"/>
              <w:rPr>
                <w:sz w:val="18"/>
                <w:szCs w:val="18"/>
              </w:rPr>
            </w:pPr>
            <w:r w:rsidRPr="002D12EC">
              <w:rPr>
                <w:sz w:val="18"/>
                <w:szCs w:val="18"/>
              </w:rPr>
              <w:t>N/A</w:t>
            </w:r>
          </w:p>
        </w:tc>
        <w:tc>
          <w:tcPr>
            <w:tcW w:w="810" w:type="dxa"/>
            <w:vAlign w:val="center"/>
          </w:tcPr>
          <w:p w:rsidR="00A407B2" w:rsidRDefault="00A407B2" w:rsidP="00F87C81">
            <w:pPr>
              <w:jc w:val="center"/>
            </w:pPr>
            <w:r w:rsidRPr="001328A2">
              <w:rPr>
                <w:sz w:val="18"/>
                <w:szCs w:val="18"/>
              </w:rPr>
              <w:t>MBtuh</w:t>
            </w:r>
          </w:p>
        </w:tc>
        <w:tc>
          <w:tcPr>
            <w:tcW w:w="715" w:type="dxa"/>
            <w:vAlign w:val="center"/>
          </w:tcPr>
          <w:p w:rsidR="00A407B2" w:rsidRDefault="00A407B2" w:rsidP="00221B0F">
            <w:pPr>
              <w:jc w:val="center"/>
            </w:pPr>
            <w:r w:rsidRPr="00066A4F">
              <w:rPr>
                <w:sz w:val="18"/>
                <w:szCs w:val="18"/>
              </w:rPr>
              <w:t>0.70</w:t>
            </w:r>
          </w:p>
        </w:tc>
        <w:tc>
          <w:tcPr>
            <w:tcW w:w="1085" w:type="dxa"/>
            <w:shd w:val="clear" w:color="auto" w:fill="auto"/>
          </w:tcPr>
          <w:p w:rsidR="00A407B2" w:rsidRPr="004963A4" w:rsidRDefault="00A407B2" w:rsidP="004963A4">
            <w:pPr>
              <w:jc w:val="center"/>
              <w:rPr>
                <w:sz w:val="18"/>
                <w:szCs w:val="16"/>
              </w:rPr>
            </w:pPr>
            <w:r w:rsidRPr="007F1514">
              <w:rPr>
                <w:sz w:val="18"/>
                <w:szCs w:val="16"/>
              </w:rPr>
              <w:t>PreReb</w:t>
            </w:r>
          </w:p>
        </w:tc>
        <w:tc>
          <w:tcPr>
            <w:tcW w:w="900" w:type="dxa"/>
            <w:vAlign w:val="center"/>
          </w:tcPr>
          <w:p w:rsidR="00A407B2" w:rsidRPr="002D12EC" w:rsidRDefault="00A407B2" w:rsidP="00221B0F">
            <w:pPr>
              <w:jc w:val="center"/>
              <w:rPr>
                <w:sz w:val="18"/>
                <w:szCs w:val="18"/>
              </w:rPr>
            </w:pPr>
            <w:r>
              <w:rPr>
                <w:sz w:val="18"/>
                <w:szCs w:val="18"/>
              </w:rPr>
              <w:t>1.00</w:t>
            </w:r>
          </w:p>
        </w:tc>
        <w:tc>
          <w:tcPr>
            <w:tcW w:w="990" w:type="dxa"/>
            <w:vAlign w:val="center"/>
          </w:tcPr>
          <w:p w:rsidR="00A407B2" w:rsidRPr="002D12EC" w:rsidRDefault="00A407B2" w:rsidP="00221B0F">
            <w:pPr>
              <w:jc w:val="center"/>
              <w:rPr>
                <w:sz w:val="18"/>
                <w:szCs w:val="18"/>
              </w:rPr>
            </w:pPr>
            <w:r w:rsidRPr="002D12EC">
              <w:rPr>
                <w:sz w:val="18"/>
                <w:szCs w:val="18"/>
              </w:rPr>
              <w:t>N/A</w:t>
            </w:r>
          </w:p>
        </w:tc>
      </w:tr>
    </w:tbl>
    <w:p w:rsidR="00A407B2" w:rsidRDefault="00A407B2" w:rsidP="003A5ACA">
      <w:pPr>
        <w:spacing w:before="60"/>
      </w:pPr>
    </w:p>
    <w:p w:rsidR="00A407B2" w:rsidRDefault="00A407B2" w:rsidP="003A5ACA">
      <w:pPr>
        <w:spacing w:before="60"/>
      </w:pPr>
    </w:p>
    <w:p w:rsidR="00A407B2" w:rsidRDefault="00A407B2" w:rsidP="003A5ACA">
      <w:pPr>
        <w:spacing w:before="60"/>
      </w:pPr>
    </w:p>
    <w:p w:rsidR="00A407B2" w:rsidRPr="003A5ACA" w:rsidRDefault="00A407B2" w:rsidP="003A5ACA">
      <w:pPr>
        <w:spacing w:before="60"/>
      </w:pPr>
    </w:p>
    <w:p w:rsidR="00E25E45" w:rsidRDefault="004C5A04" w:rsidP="004C5A04">
      <w:pPr>
        <w:pStyle w:val="Pref"/>
      </w:pPr>
      <w:bookmarkStart w:id="6" w:name="_Toc348016522"/>
      <w:bookmarkStart w:id="7" w:name="_Toc461101278"/>
      <w:r>
        <w:t>Measure Summary Table B</w:t>
      </w:r>
      <w:bookmarkEnd w:id="6"/>
      <w:bookmarkEnd w:id="7"/>
    </w:p>
    <w:tbl>
      <w:tblPr>
        <w:tblW w:w="13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5421"/>
        <w:gridCol w:w="1629"/>
        <w:gridCol w:w="1617"/>
        <w:gridCol w:w="1798"/>
        <w:gridCol w:w="1887"/>
        <w:gridCol w:w="1550"/>
      </w:tblGrid>
      <w:tr w:rsidR="00221B0F" w:rsidTr="0012258A">
        <w:trPr>
          <w:trHeight w:val="20"/>
          <w:tblHeader/>
          <w:jc w:val="center"/>
        </w:trPr>
        <w:tc>
          <w:tcPr>
            <w:tcW w:w="5421" w:type="dxa"/>
            <w:shd w:val="clear" w:color="auto" w:fill="BFBFBF" w:themeFill="background1" w:themeFillShade="BF"/>
            <w:vAlign w:val="bottom"/>
          </w:tcPr>
          <w:p w:rsidR="00221B0F" w:rsidRPr="00AE1EAB" w:rsidRDefault="00221B0F" w:rsidP="00E25E45">
            <w:pPr>
              <w:jc w:val="center"/>
              <w:rPr>
                <w:sz w:val="18"/>
                <w:szCs w:val="16"/>
              </w:rPr>
            </w:pPr>
            <w:r w:rsidRPr="00AE1EAB">
              <w:rPr>
                <w:sz w:val="18"/>
                <w:szCs w:val="16"/>
              </w:rPr>
              <w:t>Measure Name</w:t>
            </w:r>
          </w:p>
        </w:tc>
        <w:tc>
          <w:tcPr>
            <w:tcW w:w="1629" w:type="dxa"/>
            <w:shd w:val="clear" w:color="auto" w:fill="BFBFBF" w:themeFill="background1" w:themeFillShade="BF"/>
            <w:vAlign w:val="bottom"/>
          </w:tcPr>
          <w:p w:rsidR="00221B0F" w:rsidRPr="00AE1EAB" w:rsidRDefault="00221B0F" w:rsidP="0012258A">
            <w:pPr>
              <w:jc w:val="center"/>
              <w:rPr>
                <w:sz w:val="18"/>
                <w:szCs w:val="16"/>
              </w:rPr>
            </w:pPr>
            <w:r w:rsidRPr="00AE1EAB">
              <w:rPr>
                <w:sz w:val="18"/>
                <w:szCs w:val="16"/>
              </w:rPr>
              <w:t>Gas Savings (therms/</w:t>
            </w:r>
            <w:r w:rsidR="00B77E3C" w:rsidRPr="00AE1EAB">
              <w:rPr>
                <w:sz w:val="18"/>
                <w:szCs w:val="16"/>
              </w:rPr>
              <w:t>yr/</w:t>
            </w:r>
            <w:r w:rsidR="0012258A">
              <w:rPr>
                <w:sz w:val="18"/>
                <w:szCs w:val="16"/>
              </w:rPr>
              <w:t>kBtu</w:t>
            </w:r>
            <w:r w:rsidRPr="00AE1EAB">
              <w:rPr>
                <w:sz w:val="18"/>
                <w:szCs w:val="16"/>
              </w:rPr>
              <w:t>)</w:t>
            </w:r>
          </w:p>
        </w:tc>
        <w:tc>
          <w:tcPr>
            <w:tcW w:w="1617" w:type="dxa"/>
            <w:shd w:val="clear" w:color="auto" w:fill="BFBFBF" w:themeFill="background1" w:themeFillShade="BF"/>
            <w:vAlign w:val="bottom"/>
          </w:tcPr>
          <w:p w:rsidR="00221B0F" w:rsidRPr="00AE1EAB" w:rsidRDefault="00221B0F" w:rsidP="00E25E45">
            <w:pPr>
              <w:jc w:val="center"/>
              <w:rPr>
                <w:sz w:val="18"/>
                <w:szCs w:val="16"/>
              </w:rPr>
            </w:pPr>
            <w:r w:rsidRPr="00AE1EAB">
              <w:rPr>
                <w:sz w:val="18"/>
                <w:szCs w:val="16"/>
              </w:rPr>
              <w:t>User Entered kW Savings per unit (kW/unit)</w:t>
            </w:r>
          </w:p>
        </w:tc>
        <w:tc>
          <w:tcPr>
            <w:tcW w:w="1798" w:type="dxa"/>
            <w:shd w:val="clear" w:color="auto" w:fill="BFBFBF" w:themeFill="background1" w:themeFillShade="BF"/>
            <w:vAlign w:val="bottom"/>
          </w:tcPr>
          <w:p w:rsidR="00221B0F" w:rsidRPr="00AE1EAB" w:rsidRDefault="00221B0F" w:rsidP="00E25E45">
            <w:pPr>
              <w:jc w:val="center"/>
              <w:rPr>
                <w:sz w:val="18"/>
                <w:szCs w:val="16"/>
              </w:rPr>
            </w:pPr>
            <w:r w:rsidRPr="00AE1EAB">
              <w:rPr>
                <w:sz w:val="18"/>
                <w:szCs w:val="16"/>
              </w:rPr>
              <w:t>Gross Unit Annual Electricity Savings (kWh/unit)</w:t>
            </w:r>
          </w:p>
        </w:tc>
        <w:tc>
          <w:tcPr>
            <w:tcW w:w="1887" w:type="dxa"/>
            <w:shd w:val="clear" w:color="auto" w:fill="BFBFBF" w:themeFill="background1" w:themeFillShade="BF"/>
            <w:vAlign w:val="bottom"/>
          </w:tcPr>
          <w:p w:rsidR="00221B0F" w:rsidRPr="00AE1EAB" w:rsidRDefault="00221B0F" w:rsidP="00221B0F">
            <w:pPr>
              <w:jc w:val="center"/>
              <w:rPr>
                <w:sz w:val="18"/>
                <w:szCs w:val="16"/>
              </w:rPr>
            </w:pPr>
            <w:r w:rsidRPr="00AE1EAB">
              <w:rPr>
                <w:sz w:val="18"/>
                <w:szCs w:val="16"/>
              </w:rPr>
              <w:t>Measure Electric End Use Shape (Load Shape)</w:t>
            </w:r>
          </w:p>
        </w:tc>
        <w:tc>
          <w:tcPr>
            <w:tcW w:w="1550" w:type="dxa"/>
            <w:shd w:val="clear" w:color="auto" w:fill="BFBFBF" w:themeFill="background1" w:themeFillShade="BF"/>
            <w:vAlign w:val="bottom"/>
          </w:tcPr>
          <w:p w:rsidR="00221B0F" w:rsidRPr="00AE1EAB" w:rsidRDefault="00221B0F" w:rsidP="0012258A">
            <w:pPr>
              <w:jc w:val="center"/>
              <w:rPr>
                <w:sz w:val="18"/>
                <w:szCs w:val="16"/>
              </w:rPr>
            </w:pPr>
            <w:r w:rsidRPr="00AE1EAB">
              <w:rPr>
                <w:sz w:val="18"/>
                <w:szCs w:val="16"/>
              </w:rPr>
              <w:t>Incremental  Measure Cost ($/</w:t>
            </w:r>
            <w:r w:rsidR="0012258A">
              <w:rPr>
                <w:sz w:val="18"/>
                <w:szCs w:val="16"/>
              </w:rPr>
              <w:t>kBtu</w:t>
            </w:r>
            <w:r w:rsidRPr="00AE1EAB">
              <w:rPr>
                <w:sz w:val="18"/>
                <w:szCs w:val="16"/>
              </w:rPr>
              <w:t>)</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w:t>
            </w:r>
            <w:r>
              <w:rPr>
                <w:rFonts w:cs="Arial"/>
                <w:color w:val="000000"/>
                <w:sz w:val="18"/>
                <w:szCs w:val="18"/>
              </w:rPr>
              <w:t>ntral Storage Water Heater &gt;75 kBtuh</w:t>
            </w:r>
            <w:r w:rsidRPr="00AE1EAB">
              <w:rPr>
                <w:rFonts w:cs="Arial"/>
                <w:color w:val="000000"/>
                <w:sz w:val="18"/>
                <w:szCs w:val="18"/>
              </w:rPr>
              <w:t>, Tier 1, CZ 9</w:t>
            </w:r>
          </w:p>
        </w:tc>
        <w:tc>
          <w:tcPr>
            <w:tcW w:w="1629" w:type="dxa"/>
            <w:vAlign w:val="center"/>
          </w:tcPr>
          <w:p w:rsidR="00AD3995" w:rsidRDefault="00AD3995">
            <w:pPr>
              <w:jc w:val="center"/>
              <w:rPr>
                <w:rFonts w:cs="Arial"/>
              </w:rPr>
            </w:pPr>
            <w:r>
              <w:rPr>
                <w:rFonts w:cs="Arial"/>
              </w:rPr>
              <w:t>1.01</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$2.</w:t>
            </w:r>
            <w:r w:rsidR="00C65AB5">
              <w:rPr>
                <w:rFonts w:cs="Arial"/>
                <w:bCs/>
                <w:sz w:val="18"/>
                <w:szCs w:val="18"/>
              </w:rPr>
              <w:t>56</w:t>
            </w:r>
          </w:p>
        </w:tc>
      </w:tr>
      <w:tr w:rsidR="00AD3995" w:rsidTr="0012258A">
        <w:trPr>
          <w:trHeight w:val="20"/>
          <w:jc w:val="center"/>
        </w:trPr>
        <w:tc>
          <w:tcPr>
            <w:tcW w:w="5421" w:type="dxa"/>
            <w:shd w:val="clear" w:color="auto" w:fill="auto"/>
            <w:noWrap/>
            <w:vAlign w:val="center"/>
          </w:tcPr>
          <w:p w:rsidR="00AD3995" w:rsidRPr="00AE1EAB" w:rsidRDefault="00AD3995" w:rsidP="00154904">
            <w:pPr>
              <w:rPr>
                <w:rFonts w:cs="Arial"/>
                <w:color w:val="000000"/>
                <w:sz w:val="18"/>
                <w:szCs w:val="18"/>
              </w:rPr>
            </w:pPr>
            <w:r w:rsidRPr="00AE1EAB">
              <w:rPr>
                <w:rFonts w:cs="Arial"/>
                <w:color w:val="000000"/>
                <w:sz w:val="18"/>
                <w:szCs w:val="18"/>
              </w:rPr>
              <w:t>MF Central Storage Water Heater</w:t>
            </w:r>
            <w:r>
              <w:rPr>
                <w:rFonts w:cs="Arial"/>
                <w:color w:val="000000"/>
                <w:sz w:val="18"/>
                <w:szCs w:val="18"/>
              </w:rPr>
              <w:t xml:space="preserve"> &gt;75 kBtuh</w:t>
            </w:r>
            <w:r w:rsidRPr="00AE1EAB">
              <w:rPr>
                <w:rFonts w:cs="Arial"/>
                <w:color w:val="000000"/>
                <w:sz w:val="18"/>
                <w:szCs w:val="18"/>
              </w:rPr>
              <w:t>, Tier 2, CZ 9</w:t>
            </w:r>
          </w:p>
        </w:tc>
        <w:tc>
          <w:tcPr>
            <w:tcW w:w="1629" w:type="dxa"/>
            <w:vAlign w:val="center"/>
          </w:tcPr>
          <w:p w:rsidR="00AD3995" w:rsidRDefault="00AD3995">
            <w:pPr>
              <w:jc w:val="center"/>
              <w:rPr>
                <w:rFonts w:cs="Arial"/>
              </w:rPr>
            </w:pPr>
            <w:r>
              <w:rPr>
                <w:rFonts w:cs="Arial"/>
              </w:rPr>
              <w:t>3.09</w:t>
            </w:r>
          </w:p>
        </w:tc>
        <w:tc>
          <w:tcPr>
            <w:tcW w:w="161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798"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887" w:type="dxa"/>
            <w:vAlign w:val="center"/>
          </w:tcPr>
          <w:p w:rsidR="00AD3995" w:rsidRPr="00AE1EAB" w:rsidRDefault="00AD3995" w:rsidP="00154904">
            <w:pPr>
              <w:jc w:val="center"/>
              <w:rPr>
                <w:rFonts w:cs="Arial"/>
                <w:sz w:val="18"/>
                <w:szCs w:val="18"/>
              </w:rPr>
            </w:pPr>
            <w:r w:rsidRPr="00AE1EAB">
              <w:rPr>
                <w:rFonts w:cs="Arial"/>
                <w:sz w:val="18"/>
                <w:szCs w:val="18"/>
              </w:rPr>
              <w:t>N/A</w:t>
            </w:r>
          </w:p>
        </w:tc>
        <w:tc>
          <w:tcPr>
            <w:tcW w:w="1550" w:type="dxa"/>
            <w:vAlign w:val="center"/>
          </w:tcPr>
          <w:p w:rsidR="00AD3995" w:rsidRPr="00EE0715" w:rsidRDefault="00AD3995" w:rsidP="00154904">
            <w:pPr>
              <w:overflowPunct w:val="0"/>
              <w:autoSpaceDE w:val="0"/>
              <w:autoSpaceDN w:val="0"/>
              <w:adjustRightInd w:val="0"/>
              <w:jc w:val="center"/>
              <w:textAlignment w:val="baseline"/>
              <w:rPr>
                <w:sz w:val="22"/>
              </w:rPr>
            </w:pPr>
            <w:r w:rsidRPr="00EE0715">
              <w:rPr>
                <w:rFonts w:cs="Arial"/>
                <w:bCs/>
                <w:sz w:val="18"/>
                <w:szCs w:val="18"/>
              </w:rPr>
              <w:t>$</w:t>
            </w:r>
            <w:r w:rsidR="00C65AB5">
              <w:rPr>
                <w:rFonts w:cs="Arial"/>
                <w:bCs/>
                <w:sz w:val="18"/>
                <w:szCs w:val="18"/>
              </w:rPr>
              <w:t>8.81</w:t>
            </w:r>
          </w:p>
        </w:tc>
      </w:tr>
    </w:tbl>
    <w:p w:rsidR="00C65AB5" w:rsidRDefault="00C65AB5" w:rsidP="00C65AB5">
      <w:r w:rsidRPr="00935894">
        <w:rPr>
          <w:b/>
        </w:rPr>
        <w:t>Note: For the complete list of Measures, refer to the accompanying calculation spreadsheet</w:t>
      </w:r>
    </w:p>
    <w:p w:rsidR="00E25E45" w:rsidRDefault="00E25E45" w:rsidP="002F29DD"/>
    <w:p w:rsidR="006E4275" w:rsidRDefault="006E4275" w:rsidP="002F29DD"/>
    <w:p w:rsidR="00D64C10" w:rsidRDefault="00D64C10" w:rsidP="002F29DD">
      <w:pPr>
        <w:sectPr w:rsidR="00D64C10" w:rsidSect="00800ED3">
          <w:footerReference w:type="even" r:id="rId12"/>
          <w:footerReference w:type="default" r:id="rId13"/>
          <w:endnotePr>
            <w:numFmt w:val="decimal"/>
          </w:endnotePr>
          <w:pgSz w:w="15840" w:h="12240" w:orient="landscape" w:code="1"/>
          <w:pgMar w:top="1440" w:right="1440" w:bottom="1440" w:left="1440" w:header="720" w:footer="720" w:gutter="0"/>
          <w:pgNumType w:fmt="lowerRoman"/>
          <w:cols w:space="720"/>
          <w:docGrid w:linePitch="360"/>
        </w:sectPr>
      </w:pPr>
    </w:p>
    <w:p w:rsidR="002F29DD" w:rsidRPr="007E3E56" w:rsidRDefault="002F29DD" w:rsidP="002F29DD">
      <w:pPr>
        <w:pStyle w:val="Heading1"/>
        <w:rPr>
          <w:vertAlign w:val="subscript"/>
        </w:rPr>
      </w:pPr>
      <w:bookmarkStart w:id="8" w:name="_Toc238955952"/>
      <w:r>
        <w:lastRenderedPageBreak/>
        <w:t>Table of Contents</w:t>
      </w:r>
      <w:bookmarkEnd w:id="8"/>
    </w:p>
    <w:p w:rsidR="00350153" w:rsidRDefault="008013C9">
      <w:pPr>
        <w:pStyle w:val="TOC1"/>
        <w:tabs>
          <w:tab w:val="right" w:leader="dot" w:pos="9350"/>
        </w:tabs>
        <w:rPr>
          <w:rFonts w:asciiTheme="minorHAnsi" w:eastAsiaTheme="minorEastAsia" w:hAnsiTheme="minorHAnsi" w:cstheme="minorBidi"/>
          <w:noProof/>
          <w:sz w:val="22"/>
          <w:szCs w:val="22"/>
        </w:rPr>
      </w:pPr>
      <w:r>
        <w:fldChar w:fldCharType="begin"/>
      </w:r>
      <w:r w:rsidR="00B07AE0">
        <w:instrText xml:space="preserve"> TOC \h \z \t "Pref,1,Appx,1,WPSCT,1,WPART,2" </w:instrText>
      </w:r>
      <w:r>
        <w:fldChar w:fldCharType="separate"/>
      </w:r>
      <w:hyperlink w:anchor="_Toc461101276" w:history="1">
        <w:r w:rsidR="00350153" w:rsidRPr="002B7E1B">
          <w:rPr>
            <w:rStyle w:val="Hyperlink"/>
            <w:noProof/>
          </w:rPr>
          <w:t>Revision History</w:t>
        </w:r>
        <w:r w:rsidR="00350153">
          <w:rPr>
            <w:noProof/>
            <w:webHidden/>
          </w:rPr>
          <w:tab/>
        </w:r>
        <w:r w:rsidR="00350153">
          <w:rPr>
            <w:noProof/>
            <w:webHidden/>
          </w:rPr>
          <w:fldChar w:fldCharType="begin"/>
        </w:r>
        <w:r w:rsidR="00350153">
          <w:rPr>
            <w:noProof/>
            <w:webHidden/>
          </w:rPr>
          <w:instrText xml:space="preserve"> PAGEREF _Toc461101276 \h </w:instrText>
        </w:r>
        <w:r w:rsidR="00350153">
          <w:rPr>
            <w:noProof/>
            <w:webHidden/>
          </w:rPr>
        </w:r>
        <w:r w:rsidR="00350153">
          <w:rPr>
            <w:noProof/>
            <w:webHidden/>
          </w:rPr>
          <w:fldChar w:fldCharType="separate"/>
        </w:r>
        <w:r w:rsidR="00350153">
          <w:rPr>
            <w:noProof/>
            <w:webHidden/>
          </w:rPr>
          <w:t>i</w:t>
        </w:r>
        <w:r w:rsidR="00350153">
          <w:rPr>
            <w:noProof/>
            <w:webHidden/>
          </w:rPr>
          <w:fldChar w:fldCharType="end"/>
        </w:r>
      </w:hyperlink>
    </w:p>
    <w:p w:rsidR="00350153" w:rsidRDefault="005571BD">
      <w:pPr>
        <w:pStyle w:val="TOC1"/>
        <w:tabs>
          <w:tab w:val="right" w:leader="dot" w:pos="9350"/>
        </w:tabs>
        <w:rPr>
          <w:rFonts w:asciiTheme="minorHAnsi" w:eastAsiaTheme="minorEastAsia" w:hAnsiTheme="minorHAnsi" w:cstheme="minorBidi"/>
          <w:noProof/>
          <w:sz w:val="22"/>
          <w:szCs w:val="22"/>
        </w:rPr>
      </w:pPr>
      <w:hyperlink w:anchor="_Toc461101277" w:history="1">
        <w:r w:rsidR="00350153" w:rsidRPr="002B7E1B">
          <w:rPr>
            <w:rStyle w:val="Hyperlink"/>
            <w:noProof/>
          </w:rPr>
          <w:t>Measure Summary Table A</w:t>
        </w:r>
        <w:r w:rsidR="00350153">
          <w:rPr>
            <w:noProof/>
            <w:webHidden/>
          </w:rPr>
          <w:tab/>
        </w:r>
        <w:r w:rsidR="00350153">
          <w:rPr>
            <w:noProof/>
            <w:webHidden/>
          </w:rPr>
          <w:fldChar w:fldCharType="begin"/>
        </w:r>
        <w:r w:rsidR="00350153">
          <w:rPr>
            <w:noProof/>
            <w:webHidden/>
          </w:rPr>
          <w:instrText xml:space="preserve"> PAGEREF _Toc461101277 \h </w:instrText>
        </w:r>
        <w:r w:rsidR="00350153">
          <w:rPr>
            <w:noProof/>
            <w:webHidden/>
          </w:rPr>
        </w:r>
        <w:r w:rsidR="00350153">
          <w:rPr>
            <w:noProof/>
            <w:webHidden/>
          </w:rPr>
          <w:fldChar w:fldCharType="separate"/>
        </w:r>
        <w:r w:rsidR="00350153">
          <w:rPr>
            <w:noProof/>
            <w:webHidden/>
          </w:rPr>
          <w:t>ii</w:t>
        </w:r>
        <w:r w:rsidR="00350153">
          <w:rPr>
            <w:noProof/>
            <w:webHidden/>
          </w:rPr>
          <w:fldChar w:fldCharType="end"/>
        </w:r>
      </w:hyperlink>
    </w:p>
    <w:p w:rsidR="00350153" w:rsidRDefault="005571BD">
      <w:pPr>
        <w:pStyle w:val="TOC1"/>
        <w:tabs>
          <w:tab w:val="right" w:leader="dot" w:pos="9350"/>
        </w:tabs>
        <w:rPr>
          <w:rFonts w:asciiTheme="minorHAnsi" w:eastAsiaTheme="minorEastAsia" w:hAnsiTheme="minorHAnsi" w:cstheme="minorBidi"/>
          <w:noProof/>
          <w:sz w:val="22"/>
          <w:szCs w:val="22"/>
        </w:rPr>
      </w:pPr>
      <w:hyperlink w:anchor="_Toc461101278" w:history="1">
        <w:r w:rsidR="00350153" w:rsidRPr="002B7E1B">
          <w:rPr>
            <w:rStyle w:val="Hyperlink"/>
            <w:noProof/>
          </w:rPr>
          <w:t>Measure Summary Table B</w:t>
        </w:r>
        <w:r w:rsidR="00350153">
          <w:rPr>
            <w:noProof/>
            <w:webHidden/>
          </w:rPr>
          <w:tab/>
        </w:r>
        <w:r w:rsidR="00350153">
          <w:rPr>
            <w:noProof/>
            <w:webHidden/>
          </w:rPr>
          <w:fldChar w:fldCharType="begin"/>
        </w:r>
        <w:r w:rsidR="00350153">
          <w:rPr>
            <w:noProof/>
            <w:webHidden/>
          </w:rPr>
          <w:instrText xml:space="preserve"> PAGEREF _Toc461101278 \h </w:instrText>
        </w:r>
        <w:r w:rsidR="00350153">
          <w:rPr>
            <w:noProof/>
            <w:webHidden/>
          </w:rPr>
        </w:r>
        <w:r w:rsidR="00350153">
          <w:rPr>
            <w:noProof/>
            <w:webHidden/>
          </w:rPr>
          <w:fldChar w:fldCharType="separate"/>
        </w:r>
        <w:r w:rsidR="00350153">
          <w:rPr>
            <w:noProof/>
            <w:webHidden/>
          </w:rPr>
          <w:t>ii</w:t>
        </w:r>
        <w:r w:rsidR="00350153">
          <w:rPr>
            <w:noProof/>
            <w:webHidden/>
          </w:rPr>
          <w:fldChar w:fldCharType="end"/>
        </w:r>
      </w:hyperlink>
    </w:p>
    <w:p w:rsidR="00350153" w:rsidRDefault="005571BD">
      <w:pPr>
        <w:pStyle w:val="TOC1"/>
        <w:tabs>
          <w:tab w:val="right" w:leader="dot" w:pos="9350"/>
        </w:tabs>
        <w:rPr>
          <w:rFonts w:asciiTheme="minorHAnsi" w:eastAsiaTheme="minorEastAsia" w:hAnsiTheme="minorHAnsi" w:cstheme="minorBidi"/>
          <w:noProof/>
          <w:sz w:val="22"/>
          <w:szCs w:val="22"/>
        </w:rPr>
      </w:pPr>
      <w:hyperlink w:anchor="_Toc461101279" w:history="1">
        <w:r w:rsidR="00350153" w:rsidRPr="002B7E1B">
          <w:rPr>
            <w:rStyle w:val="Hyperlink"/>
            <w:noProof/>
          </w:rPr>
          <w:t>List of Tables</w:t>
        </w:r>
        <w:r w:rsidR="00350153">
          <w:rPr>
            <w:noProof/>
            <w:webHidden/>
          </w:rPr>
          <w:tab/>
        </w:r>
        <w:r w:rsidR="00350153">
          <w:rPr>
            <w:noProof/>
            <w:webHidden/>
          </w:rPr>
          <w:fldChar w:fldCharType="begin"/>
        </w:r>
        <w:r w:rsidR="00350153">
          <w:rPr>
            <w:noProof/>
            <w:webHidden/>
          </w:rPr>
          <w:instrText xml:space="preserve"> PAGEREF _Toc461101279 \h </w:instrText>
        </w:r>
        <w:r w:rsidR="00350153">
          <w:rPr>
            <w:noProof/>
            <w:webHidden/>
          </w:rPr>
        </w:r>
        <w:r w:rsidR="00350153">
          <w:rPr>
            <w:noProof/>
            <w:webHidden/>
          </w:rPr>
          <w:fldChar w:fldCharType="separate"/>
        </w:r>
        <w:r w:rsidR="00350153">
          <w:rPr>
            <w:noProof/>
            <w:webHidden/>
          </w:rPr>
          <w:t>iv</w:t>
        </w:r>
        <w:r w:rsidR="00350153">
          <w:rPr>
            <w:noProof/>
            <w:webHidden/>
          </w:rPr>
          <w:fldChar w:fldCharType="end"/>
        </w:r>
      </w:hyperlink>
    </w:p>
    <w:p w:rsidR="00350153" w:rsidRDefault="005571BD">
      <w:pPr>
        <w:pStyle w:val="TOC1"/>
        <w:tabs>
          <w:tab w:val="right" w:leader="dot" w:pos="9350"/>
        </w:tabs>
        <w:rPr>
          <w:rFonts w:asciiTheme="minorHAnsi" w:eastAsiaTheme="minorEastAsia" w:hAnsiTheme="minorHAnsi" w:cstheme="minorBidi"/>
          <w:noProof/>
          <w:sz w:val="22"/>
          <w:szCs w:val="22"/>
        </w:rPr>
      </w:pPr>
      <w:hyperlink w:anchor="_Toc461101280" w:history="1">
        <w:r w:rsidR="00350153" w:rsidRPr="002B7E1B">
          <w:rPr>
            <w:rStyle w:val="Hyperlink"/>
            <w:noProof/>
          </w:rPr>
          <w:t>List of Figures</w:t>
        </w:r>
        <w:r w:rsidR="00350153">
          <w:rPr>
            <w:noProof/>
            <w:webHidden/>
          </w:rPr>
          <w:tab/>
        </w:r>
        <w:r w:rsidR="00350153">
          <w:rPr>
            <w:noProof/>
            <w:webHidden/>
          </w:rPr>
          <w:fldChar w:fldCharType="begin"/>
        </w:r>
        <w:r w:rsidR="00350153">
          <w:rPr>
            <w:noProof/>
            <w:webHidden/>
          </w:rPr>
          <w:instrText xml:space="preserve"> PAGEREF _Toc461101280 \h </w:instrText>
        </w:r>
        <w:r w:rsidR="00350153">
          <w:rPr>
            <w:noProof/>
            <w:webHidden/>
          </w:rPr>
        </w:r>
        <w:r w:rsidR="00350153">
          <w:rPr>
            <w:noProof/>
            <w:webHidden/>
          </w:rPr>
          <w:fldChar w:fldCharType="separate"/>
        </w:r>
        <w:r w:rsidR="00350153">
          <w:rPr>
            <w:noProof/>
            <w:webHidden/>
          </w:rPr>
          <w:t>iv</w:t>
        </w:r>
        <w:r w:rsidR="00350153">
          <w:rPr>
            <w:noProof/>
            <w:webHidden/>
          </w:rPr>
          <w:fldChar w:fldCharType="end"/>
        </w:r>
      </w:hyperlink>
    </w:p>
    <w:p w:rsidR="00350153" w:rsidRDefault="005571BD">
      <w:pPr>
        <w:pStyle w:val="TOC1"/>
        <w:tabs>
          <w:tab w:val="right" w:leader="dot" w:pos="9350"/>
        </w:tabs>
        <w:rPr>
          <w:rFonts w:asciiTheme="minorHAnsi" w:eastAsiaTheme="minorEastAsia" w:hAnsiTheme="minorHAnsi" w:cstheme="minorBidi"/>
          <w:noProof/>
          <w:sz w:val="22"/>
          <w:szCs w:val="22"/>
        </w:rPr>
      </w:pPr>
      <w:hyperlink w:anchor="_Toc461101281" w:history="1">
        <w:r w:rsidR="00350153" w:rsidRPr="002B7E1B">
          <w:rPr>
            <w:rStyle w:val="Hyperlink"/>
            <w:noProof/>
          </w:rPr>
          <w:t>SECTION 1 - General Measure &amp; Baseline Data</w:t>
        </w:r>
        <w:r w:rsidR="00350153">
          <w:rPr>
            <w:noProof/>
            <w:webHidden/>
          </w:rPr>
          <w:tab/>
        </w:r>
        <w:r w:rsidR="00350153">
          <w:rPr>
            <w:noProof/>
            <w:webHidden/>
          </w:rPr>
          <w:fldChar w:fldCharType="begin"/>
        </w:r>
        <w:r w:rsidR="00350153">
          <w:rPr>
            <w:noProof/>
            <w:webHidden/>
          </w:rPr>
          <w:instrText xml:space="preserve"> PAGEREF _Toc461101281 \h </w:instrText>
        </w:r>
        <w:r w:rsidR="00350153">
          <w:rPr>
            <w:noProof/>
            <w:webHidden/>
          </w:rPr>
        </w:r>
        <w:r w:rsidR="00350153">
          <w:rPr>
            <w:noProof/>
            <w:webHidden/>
          </w:rPr>
          <w:fldChar w:fldCharType="separate"/>
        </w:r>
        <w:r w:rsidR="00350153">
          <w:rPr>
            <w:noProof/>
            <w:webHidden/>
          </w:rPr>
          <w:t>1</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82" w:history="1">
        <w:r w:rsidR="00350153" w:rsidRPr="002B7E1B">
          <w:rPr>
            <w:rStyle w:val="Hyperlink"/>
            <w:noProof/>
          </w:rPr>
          <w:t>1.01</w:t>
        </w:r>
        <w:r w:rsidR="00350153">
          <w:rPr>
            <w:rFonts w:asciiTheme="minorHAnsi" w:eastAsiaTheme="minorEastAsia" w:hAnsiTheme="minorHAnsi" w:cstheme="minorBidi"/>
            <w:noProof/>
            <w:sz w:val="22"/>
            <w:szCs w:val="22"/>
          </w:rPr>
          <w:tab/>
        </w:r>
        <w:r w:rsidR="00350153" w:rsidRPr="002B7E1B">
          <w:rPr>
            <w:rStyle w:val="Hyperlink"/>
            <w:noProof/>
          </w:rPr>
          <w:t>Measure &amp; Delivery Description</w:t>
        </w:r>
        <w:r w:rsidR="00350153">
          <w:rPr>
            <w:noProof/>
            <w:webHidden/>
          </w:rPr>
          <w:tab/>
        </w:r>
        <w:r w:rsidR="00350153">
          <w:rPr>
            <w:noProof/>
            <w:webHidden/>
          </w:rPr>
          <w:fldChar w:fldCharType="begin"/>
        </w:r>
        <w:r w:rsidR="00350153">
          <w:rPr>
            <w:noProof/>
            <w:webHidden/>
          </w:rPr>
          <w:instrText xml:space="preserve"> PAGEREF _Toc461101282 \h </w:instrText>
        </w:r>
        <w:r w:rsidR="00350153">
          <w:rPr>
            <w:noProof/>
            <w:webHidden/>
          </w:rPr>
        </w:r>
        <w:r w:rsidR="00350153">
          <w:rPr>
            <w:noProof/>
            <w:webHidden/>
          </w:rPr>
          <w:fldChar w:fldCharType="separate"/>
        </w:r>
        <w:r w:rsidR="00350153">
          <w:rPr>
            <w:noProof/>
            <w:webHidden/>
          </w:rPr>
          <w:t>1</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83" w:history="1">
        <w:r w:rsidR="00350153" w:rsidRPr="002B7E1B">
          <w:rPr>
            <w:rStyle w:val="Hyperlink"/>
            <w:noProof/>
          </w:rPr>
          <w:t>1.02</w:t>
        </w:r>
        <w:r w:rsidR="00350153">
          <w:rPr>
            <w:rFonts w:asciiTheme="minorHAnsi" w:eastAsiaTheme="minorEastAsia" w:hAnsiTheme="minorHAnsi" w:cstheme="minorBidi"/>
            <w:noProof/>
            <w:sz w:val="22"/>
            <w:szCs w:val="22"/>
          </w:rPr>
          <w:tab/>
        </w:r>
        <w:r w:rsidR="00350153" w:rsidRPr="002B7E1B">
          <w:rPr>
            <w:rStyle w:val="Hyperlink"/>
            <w:noProof/>
          </w:rPr>
          <w:t>DEER Differences Analysis</w:t>
        </w:r>
        <w:r w:rsidR="00350153">
          <w:rPr>
            <w:noProof/>
            <w:webHidden/>
          </w:rPr>
          <w:tab/>
        </w:r>
        <w:r w:rsidR="00350153">
          <w:rPr>
            <w:noProof/>
            <w:webHidden/>
          </w:rPr>
          <w:fldChar w:fldCharType="begin"/>
        </w:r>
        <w:r w:rsidR="00350153">
          <w:rPr>
            <w:noProof/>
            <w:webHidden/>
          </w:rPr>
          <w:instrText xml:space="preserve"> PAGEREF _Toc461101283 \h </w:instrText>
        </w:r>
        <w:r w:rsidR="00350153">
          <w:rPr>
            <w:noProof/>
            <w:webHidden/>
          </w:rPr>
        </w:r>
        <w:r w:rsidR="00350153">
          <w:rPr>
            <w:noProof/>
            <w:webHidden/>
          </w:rPr>
          <w:fldChar w:fldCharType="separate"/>
        </w:r>
        <w:r w:rsidR="00350153">
          <w:rPr>
            <w:noProof/>
            <w:webHidden/>
          </w:rPr>
          <w:t>3</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84" w:history="1">
        <w:r w:rsidR="00350153" w:rsidRPr="002B7E1B">
          <w:rPr>
            <w:rStyle w:val="Hyperlink"/>
            <w:noProof/>
          </w:rPr>
          <w:t>1.03</w:t>
        </w:r>
        <w:r w:rsidR="00350153">
          <w:rPr>
            <w:rFonts w:asciiTheme="minorHAnsi" w:eastAsiaTheme="minorEastAsia" w:hAnsiTheme="minorHAnsi" w:cstheme="minorBidi"/>
            <w:noProof/>
            <w:sz w:val="22"/>
            <w:szCs w:val="22"/>
          </w:rPr>
          <w:tab/>
        </w:r>
        <w:r w:rsidR="00350153" w:rsidRPr="002B7E1B">
          <w:rPr>
            <w:rStyle w:val="Hyperlink"/>
            <w:noProof/>
          </w:rPr>
          <w:t>Code Analysis</w:t>
        </w:r>
        <w:r w:rsidR="00350153">
          <w:rPr>
            <w:noProof/>
            <w:webHidden/>
          </w:rPr>
          <w:tab/>
        </w:r>
        <w:r w:rsidR="00350153">
          <w:rPr>
            <w:noProof/>
            <w:webHidden/>
          </w:rPr>
          <w:fldChar w:fldCharType="begin"/>
        </w:r>
        <w:r w:rsidR="00350153">
          <w:rPr>
            <w:noProof/>
            <w:webHidden/>
          </w:rPr>
          <w:instrText xml:space="preserve"> PAGEREF _Toc461101284 \h </w:instrText>
        </w:r>
        <w:r w:rsidR="00350153">
          <w:rPr>
            <w:noProof/>
            <w:webHidden/>
          </w:rPr>
        </w:r>
        <w:r w:rsidR="00350153">
          <w:rPr>
            <w:noProof/>
            <w:webHidden/>
          </w:rPr>
          <w:fldChar w:fldCharType="separate"/>
        </w:r>
        <w:r w:rsidR="00350153">
          <w:rPr>
            <w:noProof/>
            <w:webHidden/>
          </w:rPr>
          <w:t>4</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85" w:history="1">
        <w:r w:rsidR="00350153" w:rsidRPr="002B7E1B">
          <w:rPr>
            <w:rStyle w:val="Hyperlink"/>
            <w:noProof/>
          </w:rPr>
          <w:t>1.04</w:t>
        </w:r>
        <w:r w:rsidR="00350153">
          <w:rPr>
            <w:rFonts w:asciiTheme="minorHAnsi" w:eastAsiaTheme="minorEastAsia" w:hAnsiTheme="minorHAnsi" w:cstheme="minorBidi"/>
            <w:noProof/>
            <w:sz w:val="22"/>
            <w:szCs w:val="22"/>
          </w:rPr>
          <w:tab/>
        </w:r>
        <w:r w:rsidR="00350153" w:rsidRPr="002B7E1B">
          <w:rPr>
            <w:rStyle w:val="Hyperlink"/>
            <w:noProof/>
          </w:rPr>
          <w:t>Measure Effective Useful Life</w:t>
        </w:r>
        <w:r w:rsidR="00350153">
          <w:rPr>
            <w:noProof/>
            <w:webHidden/>
          </w:rPr>
          <w:tab/>
        </w:r>
        <w:r w:rsidR="00350153">
          <w:rPr>
            <w:noProof/>
            <w:webHidden/>
          </w:rPr>
          <w:fldChar w:fldCharType="begin"/>
        </w:r>
        <w:r w:rsidR="00350153">
          <w:rPr>
            <w:noProof/>
            <w:webHidden/>
          </w:rPr>
          <w:instrText xml:space="preserve"> PAGEREF _Toc461101285 \h </w:instrText>
        </w:r>
        <w:r w:rsidR="00350153">
          <w:rPr>
            <w:noProof/>
            <w:webHidden/>
          </w:rPr>
        </w:r>
        <w:r w:rsidR="00350153">
          <w:rPr>
            <w:noProof/>
            <w:webHidden/>
          </w:rPr>
          <w:fldChar w:fldCharType="separate"/>
        </w:r>
        <w:r w:rsidR="00350153">
          <w:rPr>
            <w:noProof/>
            <w:webHidden/>
          </w:rPr>
          <w:t>7</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86" w:history="1">
        <w:r w:rsidR="00350153" w:rsidRPr="002B7E1B">
          <w:rPr>
            <w:rStyle w:val="Hyperlink"/>
            <w:noProof/>
          </w:rPr>
          <w:t>1.05</w:t>
        </w:r>
        <w:r w:rsidR="00350153">
          <w:rPr>
            <w:rFonts w:asciiTheme="minorHAnsi" w:eastAsiaTheme="minorEastAsia" w:hAnsiTheme="minorHAnsi" w:cstheme="minorBidi"/>
            <w:noProof/>
            <w:sz w:val="22"/>
            <w:szCs w:val="22"/>
          </w:rPr>
          <w:tab/>
        </w:r>
        <w:r w:rsidR="00350153" w:rsidRPr="002B7E1B">
          <w:rPr>
            <w:rStyle w:val="Hyperlink"/>
            <w:noProof/>
          </w:rPr>
          <w:t>Net-to-Gross Ratios for Different Program Strategies</w:t>
        </w:r>
        <w:r w:rsidR="00350153">
          <w:rPr>
            <w:noProof/>
            <w:webHidden/>
          </w:rPr>
          <w:tab/>
        </w:r>
        <w:r w:rsidR="00350153">
          <w:rPr>
            <w:noProof/>
            <w:webHidden/>
          </w:rPr>
          <w:fldChar w:fldCharType="begin"/>
        </w:r>
        <w:r w:rsidR="00350153">
          <w:rPr>
            <w:noProof/>
            <w:webHidden/>
          </w:rPr>
          <w:instrText xml:space="preserve"> PAGEREF _Toc461101286 \h </w:instrText>
        </w:r>
        <w:r w:rsidR="00350153">
          <w:rPr>
            <w:noProof/>
            <w:webHidden/>
          </w:rPr>
        </w:r>
        <w:r w:rsidR="00350153">
          <w:rPr>
            <w:noProof/>
            <w:webHidden/>
          </w:rPr>
          <w:fldChar w:fldCharType="separate"/>
        </w:r>
        <w:r w:rsidR="00350153">
          <w:rPr>
            <w:noProof/>
            <w:webHidden/>
          </w:rPr>
          <w:t>7</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87" w:history="1">
        <w:r w:rsidR="00350153" w:rsidRPr="002B7E1B">
          <w:rPr>
            <w:rStyle w:val="Hyperlink"/>
            <w:noProof/>
          </w:rPr>
          <w:t>1.06</w:t>
        </w:r>
        <w:r w:rsidR="00350153">
          <w:rPr>
            <w:rFonts w:asciiTheme="minorHAnsi" w:eastAsiaTheme="minorEastAsia" w:hAnsiTheme="minorHAnsi" w:cstheme="minorBidi"/>
            <w:noProof/>
            <w:sz w:val="22"/>
            <w:szCs w:val="22"/>
          </w:rPr>
          <w:tab/>
        </w:r>
        <w:r w:rsidR="00350153" w:rsidRPr="002B7E1B">
          <w:rPr>
            <w:rStyle w:val="Hyperlink"/>
            <w:noProof/>
          </w:rPr>
          <w:t>Gross Realization Rate</w:t>
        </w:r>
        <w:r w:rsidR="00350153">
          <w:rPr>
            <w:noProof/>
            <w:webHidden/>
          </w:rPr>
          <w:tab/>
        </w:r>
        <w:r w:rsidR="00350153">
          <w:rPr>
            <w:noProof/>
            <w:webHidden/>
          </w:rPr>
          <w:fldChar w:fldCharType="begin"/>
        </w:r>
        <w:r w:rsidR="00350153">
          <w:rPr>
            <w:noProof/>
            <w:webHidden/>
          </w:rPr>
          <w:instrText xml:space="preserve"> PAGEREF _Toc461101287 \h </w:instrText>
        </w:r>
        <w:r w:rsidR="00350153">
          <w:rPr>
            <w:noProof/>
            <w:webHidden/>
          </w:rPr>
        </w:r>
        <w:r w:rsidR="00350153">
          <w:rPr>
            <w:noProof/>
            <w:webHidden/>
          </w:rPr>
          <w:fldChar w:fldCharType="separate"/>
        </w:r>
        <w:r w:rsidR="00350153">
          <w:rPr>
            <w:noProof/>
            <w:webHidden/>
          </w:rPr>
          <w:t>7</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88" w:history="1">
        <w:r w:rsidR="00350153" w:rsidRPr="002B7E1B">
          <w:rPr>
            <w:rStyle w:val="Hyperlink"/>
            <w:noProof/>
          </w:rPr>
          <w:t>1.07</w:t>
        </w:r>
        <w:r w:rsidR="00350153">
          <w:rPr>
            <w:rFonts w:asciiTheme="minorHAnsi" w:eastAsiaTheme="minorEastAsia" w:hAnsiTheme="minorHAnsi" w:cstheme="minorBidi"/>
            <w:noProof/>
            <w:sz w:val="22"/>
            <w:szCs w:val="22"/>
          </w:rPr>
          <w:tab/>
        </w:r>
        <w:r w:rsidR="00350153" w:rsidRPr="002B7E1B">
          <w:rPr>
            <w:rStyle w:val="Hyperlink"/>
            <w:noProof/>
          </w:rPr>
          <w:t>Time-of-Use Adjustment Factor</w:t>
        </w:r>
        <w:r w:rsidR="00350153">
          <w:rPr>
            <w:noProof/>
            <w:webHidden/>
          </w:rPr>
          <w:tab/>
        </w:r>
        <w:r w:rsidR="00350153">
          <w:rPr>
            <w:noProof/>
            <w:webHidden/>
          </w:rPr>
          <w:fldChar w:fldCharType="begin"/>
        </w:r>
        <w:r w:rsidR="00350153">
          <w:rPr>
            <w:noProof/>
            <w:webHidden/>
          </w:rPr>
          <w:instrText xml:space="preserve"> PAGEREF _Toc461101288 \h </w:instrText>
        </w:r>
        <w:r w:rsidR="00350153">
          <w:rPr>
            <w:noProof/>
            <w:webHidden/>
          </w:rPr>
        </w:r>
        <w:r w:rsidR="00350153">
          <w:rPr>
            <w:noProof/>
            <w:webHidden/>
          </w:rPr>
          <w:fldChar w:fldCharType="separate"/>
        </w:r>
        <w:r w:rsidR="00350153">
          <w:rPr>
            <w:noProof/>
            <w:webHidden/>
          </w:rPr>
          <w:t>7</w:t>
        </w:r>
        <w:r w:rsidR="00350153">
          <w:rPr>
            <w:noProof/>
            <w:webHidden/>
          </w:rPr>
          <w:fldChar w:fldCharType="end"/>
        </w:r>
      </w:hyperlink>
    </w:p>
    <w:p w:rsidR="00350153" w:rsidRDefault="005571BD">
      <w:pPr>
        <w:pStyle w:val="TOC1"/>
        <w:tabs>
          <w:tab w:val="right" w:leader="dot" w:pos="9350"/>
        </w:tabs>
        <w:rPr>
          <w:rFonts w:asciiTheme="minorHAnsi" w:eastAsiaTheme="minorEastAsia" w:hAnsiTheme="minorHAnsi" w:cstheme="minorBidi"/>
          <w:noProof/>
          <w:sz w:val="22"/>
          <w:szCs w:val="22"/>
        </w:rPr>
      </w:pPr>
      <w:hyperlink w:anchor="_Toc461101289" w:history="1">
        <w:r w:rsidR="00350153" w:rsidRPr="002B7E1B">
          <w:rPr>
            <w:rStyle w:val="Hyperlink"/>
            <w:noProof/>
          </w:rPr>
          <w:t>SECTION 2 - Energy Savings &amp; Demand Reduction Calculations</w:t>
        </w:r>
        <w:r w:rsidR="00350153">
          <w:rPr>
            <w:noProof/>
            <w:webHidden/>
          </w:rPr>
          <w:tab/>
        </w:r>
        <w:r w:rsidR="00350153">
          <w:rPr>
            <w:noProof/>
            <w:webHidden/>
          </w:rPr>
          <w:fldChar w:fldCharType="begin"/>
        </w:r>
        <w:r w:rsidR="00350153">
          <w:rPr>
            <w:noProof/>
            <w:webHidden/>
          </w:rPr>
          <w:instrText xml:space="preserve"> PAGEREF _Toc461101289 \h </w:instrText>
        </w:r>
        <w:r w:rsidR="00350153">
          <w:rPr>
            <w:noProof/>
            <w:webHidden/>
          </w:rPr>
        </w:r>
        <w:r w:rsidR="00350153">
          <w:rPr>
            <w:noProof/>
            <w:webHidden/>
          </w:rPr>
          <w:fldChar w:fldCharType="separate"/>
        </w:r>
        <w:r w:rsidR="00350153">
          <w:rPr>
            <w:noProof/>
            <w:webHidden/>
          </w:rPr>
          <w:t>7</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90" w:history="1">
        <w:r w:rsidR="00350153" w:rsidRPr="002B7E1B">
          <w:rPr>
            <w:rStyle w:val="Hyperlink"/>
            <w:noProof/>
          </w:rPr>
          <w:t>2.01</w:t>
        </w:r>
        <w:r w:rsidR="00350153">
          <w:rPr>
            <w:rFonts w:asciiTheme="minorHAnsi" w:eastAsiaTheme="minorEastAsia" w:hAnsiTheme="minorHAnsi" w:cstheme="minorBidi"/>
            <w:noProof/>
            <w:sz w:val="22"/>
            <w:szCs w:val="22"/>
          </w:rPr>
          <w:tab/>
        </w:r>
        <w:r w:rsidR="00350153" w:rsidRPr="002B7E1B">
          <w:rPr>
            <w:rStyle w:val="Hyperlink"/>
            <w:noProof/>
          </w:rPr>
          <w:t>Load Shapes</w:t>
        </w:r>
        <w:r w:rsidR="00350153">
          <w:rPr>
            <w:noProof/>
            <w:webHidden/>
          </w:rPr>
          <w:tab/>
        </w:r>
        <w:r w:rsidR="00350153">
          <w:rPr>
            <w:noProof/>
            <w:webHidden/>
          </w:rPr>
          <w:fldChar w:fldCharType="begin"/>
        </w:r>
        <w:r w:rsidR="00350153">
          <w:rPr>
            <w:noProof/>
            <w:webHidden/>
          </w:rPr>
          <w:instrText xml:space="preserve"> PAGEREF _Toc461101290 \h </w:instrText>
        </w:r>
        <w:r w:rsidR="00350153">
          <w:rPr>
            <w:noProof/>
            <w:webHidden/>
          </w:rPr>
        </w:r>
        <w:r w:rsidR="00350153">
          <w:rPr>
            <w:noProof/>
            <w:webHidden/>
          </w:rPr>
          <w:fldChar w:fldCharType="separate"/>
        </w:r>
        <w:r w:rsidR="00350153">
          <w:rPr>
            <w:noProof/>
            <w:webHidden/>
          </w:rPr>
          <w:t>7</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91" w:history="1">
        <w:r w:rsidR="00350153" w:rsidRPr="002B7E1B">
          <w:rPr>
            <w:rStyle w:val="Hyperlink"/>
            <w:noProof/>
          </w:rPr>
          <w:t>2.02</w:t>
        </w:r>
        <w:r w:rsidR="00350153">
          <w:rPr>
            <w:rFonts w:asciiTheme="minorHAnsi" w:eastAsiaTheme="minorEastAsia" w:hAnsiTheme="minorHAnsi" w:cstheme="minorBidi"/>
            <w:noProof/>
            <w:sz w:val="22"/>
            <w:szCs w:val="22"/>
          </w:rPr>
          <w:tab/>
        </w:r>
        <w:r w:rsidR="00350153" w:rsidRPr="002B7E1B">
          <w:rPr>
            <w:rStyle w:val="Hyperlink"/>
            <w:noProof/>
          </w:rPr>
          <w:t>Energy Savings</w:t>
        </w:r>
        <w:r w:rsidR="00350153">
          <w:rPr>
            <w:noProof/>
            <w:webHidden/>
          </w:rPr>
          <w:tab/>
        </w:r>
        <w:r w:rsidR="00350153">
          <w:rPr>
            <w:noProof/>
            <w:webHidden/>
          </w:rPr>
          <w:fldChar w:fldCharType="begin"/>
        </w:r>
        <w:r w:rsidR="00350153">
          <w:rPr>
            <w:noProof/>
            <w:webHidden/>
          </w:rPr>
          <w:instrText xml:space="preserve"> PAGEREF _Toc461101291 \h </w:instrText>
        </w:r>
        <w:r w:rsidR="00350153">
          <w:rPr>
            <w:noProof/>
            <w:webHidden/>
          </w:rPr>
        </w:r>
        <w:r w:rsidR="00350153">
          <w:rPr>
            <w:noProof/>
            <w:webHidden/>
          </w:rPr>
          <w:fldChar w:fldCharType="separate"/>
        </w:r>
        <w:r w:rsidR="00350153">
          <w:rPr>
            <w:noProof/>
            <w:webHidden/>
          </w:rPr>
          <w:t>7</w:t>
        </w:r>
        <w:r w:rsidR="00350153">
          <w:rPr>
            <w:noProof/>
            <w:webHidden/>
          </w:rPr>
          <w:fldChar w:fldCharType="end"/>
        </w:r>
      </w:hyperlink>
    </w:p>
    <w:p w:rsidR="00350153" w:rsidRDefault="005571BD">
      <w:pPr>
        <w:pStyle w:val="TOC1"/>
        <w:tabs>
          <w:tab w:val="right" w:leader="dot" w:pos="9350"/>
        </w:tabs>
        <w:rPr>
          <w:rFonts w:asciiTheme="minorHAnsi" w:eastAsiaTheme="minorEastAsia" w:hAnsiTheme="minorHAnsi" w:cstheme="minorBidi"/>
          <w:noProof/>
          <w:sz w:val="22"/>
          <w:szCs w:val="22"/>
        </w:rPr>
      </w:pPr>
      <w:hyperlink w:anchor="_Toc461101292" w:history="1">
        <w:r w:rsidR="00350153" w:rsidRPr="002B7E1B">
          <w:rPr>
            <w:rStyle w:val="Hyperlink"/>
            <w:noProof/>
          </w:rPr>
          <w:t>SECTION 3 - Base Case &amp; Measure Costs</w:t>
        </w:r>
        <w:r w:rsidR="00350153">
          <w:rPr>
            <w:noProof/>
            <w:webHidden/>
          </w:rPr>
          <w:tab/>
        </w:r>
        <w:r w:rsidR="00350153">
          <w:rPr>
            <w:noProof/>
            <w:webHidden/>
          </w:rPr>
          <w:fldChar w:fldCharType="begin"/>
        </w:r>
        <w:r w:rsidR="00350153">
          <w:rPr>
            <w:noProof/>
            <w:webHidden/>
          </w:rPr>
          <w:instrText xml:space="preserve"> PAGEREF _Toc461101292 \h </w:instrText>
        </w:r>
        <w:r w:rsidR="00350153">
          <w:rPr>
            <w:noProof/>
            <w:webHidden/>
          </w:rPr>
        </w:r>
        <w:r w:rsidR="00350153">
          <w:rPr>
            <w:noProof/>
            <w:webHidden/>
          </w:rPr>
          <w:fldChar w:fldCharType="separate"/>
        </w:r>
        <w:r w:rsidR="00350153">
          <w:rPr>
            <w:noProof/>
            <w:webHidden/>
          </w:rPr>
          <w:t>12</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93" w:history="1">
        <w:r w:rsidR="00350153" w:rsidRPr="002B7E1B">
          <w:rPr>
            <w:rStyle w:val="Hyperlink"/>
            <w:noProof/>
          </w:rPr>
          <w:t>3.02</w:t>
        </w:r>
        <w:r w:rsidR="00350153">
          <w:rPr>
            <w:rFonts w:asciiTheme="minorHAnsi" w:eastAsiaTheme="minorEastAsia" w:hAnsiTheme="minorHAnsi" w:cstheme="minorBidi"/>
            <w:noProof/>
            <w:sz w:val="22"/>
            <w:szCs w:val="22"/>
          </w:rPr>
          <w:tab/>
        </w:r>
        <w:r w:rsidR="00350153" w:rsidRPr="002B7E1B">
          <w:rPr>
            <w:rStyle w:val="Hyperlink"/>
            <w:noProof/>
          </w:rPr>
          <w:t>Base Case Cost</w:t>
        </w:r>
        <w:r w:rsidR="00350153">
          <w:rPr>
            <w:noProof/>
            <w:webHidden/>
          </w:rPr>
          <w:tab/>
        </w:r>
        <w:r w:rsidR="00350153">
          <w:rPr>
            <w:noProof/>
            <w:webHidden/>
          </w:rPr>
          <w:fldChar w:fldCharType="begin"/>
        </w:r>
        <w:r w:rsidR="00350153">
          <w:rPr>
            <w:noProof/>
            <w:webHidden/>
          </w:rPr>
          <w:instrText xml:space="preserve"> PAGEREF _Toc461101293 \h </w:instrText>
        </w:r>
        <w:r w:rsidR="00350153">
          <w:rPr>
            <w:noProof/>
            <w:webHidden/>
          </w:rPr>
        </w:r>
        <w:r w:rsidR="00350153">
          <w:rPr>
            <w:noProof/>
            <w:webHidden/>
          </w:rPr>
          <w:fldChar w:fldCharType="separate"/>
        </w:r>
        <w:r w:rsidR="00350153">
          <w:rPr>
            <w:noProof/>
            <w:webHidden/>
          </w:rPr>
          <w:t>13</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94" w:history="1">
        <w:r w:rsidR="00350153" w:rsidRPr="002B7E1B">
          <w:rPr>
            <w:rStyle w:val="Hyperlink"/>
            <w:noProof/>
          </w:rPr>
          <w:t>3.03</w:t>
        </w:r>
        <w:r w:rsidR="00350153">
          <w:rPr>
            <w:rFonts w:asciiTheme="minorHAnsi" w:eastAsiaTheme="minorEastAsia" w:hAnsiTheme="minorHAnsi" w:cstheme="minorBidi"/>
            <w:noProof/>
            <w:sz w:val="22"/>
            <w:szCs w:val="22"/>
          </w:rPr>
          <w:tab/>
        </w:r>
        <w:r w:rsidR="00350153" w:rsidRPr="002B7E1B">
          <w:rPr>
            <w:rStyle w:val="Hyperlink"/>
            <w:noProof/>
          </w:rPr>
          <w:t>Gross Measure Cost</w:t>
        </w:r>
        <w:r w:rsidR="00350153">
          <w:rPr>
            <w:noProof/>
            <w:webHidden/>
          </w:rPr>
          <w:tab/>
        </w:r>
        <w:r w:rsidR="00350153">
          <w:rPr>
            <w:noProof/>
            <w:webHidden/>
          </w:rPr>
          <w:fldChar w:fldCharType="begin"/>
        </w:r>
        <w:r w:rsidR="00350153">
          <w:rPr>
            <w:noProof/>
            <w:webHidden/>
          </w:rPr>
          <w:instrText xml:space="preserve"> PAGEREF _Toc461101294 \h </w:instrText>
        </w:r>
        <w:r w:rsidR="00350153">
          <w:rPr>
            <w:noProof/>
            <w:webHidden/>
          </w:rPr>
        </w:r>
        <w:r w:rsidR="00350153">
          <w:rPr>
            <w:noProof/>
            <w:webHidden/>
          </w:rPr>
          <w:fldChar w:fldCharType="separate"/>
        </w:r>
        <w:r w:rsidR="00350153">
          <w:rPr>
            <w:noProof/>
            <w:webHidden/>
          </w:rPr>
          <w:t>13</w:t>
        </w:r>
        <w:r w:rsidR="00350153">
          <w:rPr>
            <w:noProof/>
            <w:webHidden/>
          </w:rPr>
          <w:fldChar w:fldCharType="end"/>
        </w:r>
      </w:hyperlink>
    </w:p>
    <w:p w:rsidR="00350153" w:rsidRDefault="005571BD">
      <w:pPr>
        <w:pStyle w:val="TOC2"/>
        <w:tabs>
          <w:tab w:val="left" w:pos="1100"/>
          <w:tab w:val="right" w:leader="dot" w:pos="9350"/>
        </w:tabs>
        <w:rPr>
          <w:rFonts w:asciiTheme="minorHAnsi" w:eastAsiaTheme="minorEastAsia" w:hAnsiTheme="minorHAnsi" w:cstheme="minorBidi"/>
          <w:noProof/>
          <w:sz w:val="22"/>
          <w:szCs w:val="22"/>
        </w:rPr>
      </w:pPr>
      <w:hyperlink w:anchor="_Toc461101295" w:history="1">
        <w:r w:rsidR="00350153" w:rsidRPr="002B7E1B">
          <w:rPr>
            <w:rStyle w:val="Hyperlink"/>
            <w:noProof/>
          </w:rPr>
          <w:t>3.04</w:t>
        </w:r>
        <w:r w:rsidR="00350153">
          <w:rPr>
            <w:rFonts w:asciiTheme="minorHAnsi" w:eastAsiaTheme="minorEastAsia" w:hAnsiTheme="minorHAnsi" w:cstheme="minorBidi"/>
            <w:noProof/>
            <w:sz w:val="22"/>
            <w:szCs w:val="22"/>
          </w:rPr>
          <w:tab/>
        </w:r>
        <w:r w:rsidR="00350153" w:rsidRPr="002B7E1B">
          <w:rPr>
            <w:rStyle w:val="Hyperlink"/>
            <w:noProof/>
          </w:rPr>
          <w:t>Incremental Measure Cost</w:t>
        </w:r>
        <w:r w:rsidR="00350153">
          <w:rPr>
            <w:noProof/>
            <w:webHidden/>
          </w:rPr>
          <w:tab/>
        </w:r>
        <w:r w:rsidR="00350153">
          <w:rPr>
            <w:noProof/>
            <w:webHidden/>
          </w:rPr>
          <w:fldChar w:fldCharType="begin"/>
        </w:r>
        <w:r w:rsidR="00350153">
          <w:rPr>
            <w:noProof/>
            <w:webHidden/>
          </w:rPr>
          <w:instrText xml:space="preserve"> PAGEREF _Toc461101295 \h </w:instrText>
        </w:r>
        <w:r w:rsidR="00350153">
          <w:rPr>
            <w:noProof/>
            <w:webHidden/>
          </w:rPr>
        </w:r>
        <w:r w:rsidR="00350153">
          <w:rPr>
            <w:noProof/>
            <w:webHidden/>
          </w:rPr>
          <w:fldChar w:fldCharType="separate"/>
        </w:r>
        <w:r w:rsidR="00350153">
          <w:rPr>
            <w:noProof/>
            <w:webHidden/>
          </w:rPr>
          <w:t>13</w:t>
        </w:r>
        <w:r w:rsidR="00350153">
          <w:rPr>
            <w:noProof/>
            <w:webHidden/>
          </w:rPr>
          <w:fldChar w:fldCharType="end"/>
        </w:r>
      </w:hyperlink>
    </w:p>
    <w:p w:rsidR="00350153" w:rsidRDefault="005571BD">
      <w:pPr>
        <w:pStyle w:val="TOC1"/>
        <w:tabs>
          <w:tab w:val="right" w:leader="dot" w:pos="9350"/>
        </w:tabs>
        <w:rPr>
          <w:rFonts w:asciiTheme="minorHAnsi" w:eastAsiaTheme="minorEastAsia" w:hAnsiTheme="minorHAnsi" w:cstheme="minorBidi"/>
          <w:noProof/>
          <w:sz w:val="22"/>
          <w:szCs w:val="22"/>
        </w:rPr>
      </w:pPr>
      <w:hyperlink w:anchor="_Toc461101296" w:history="1">
        <w:r w:rsidR="00350153" w:rsidRPr="002B7E1B">
          <w:rPr>
            <w:rStyle w:val="Hyperlink"/>
            <w:noProof/>
          </w:rPr>
          <w:t>Attachments</w:t>
        </w:r>
        <w:r w:rsidR="00350153">
          <w:rPr>
            <w:noProof/>
            <w:webHidden/>
          </w:rPr>
          <w:tab/>
        </w:r>
        <w:r w:rsidR="00350153">
          <w:rPr>
            <w:noProof/>
            <w:webHidden/>
          </w:rPr>
          <w:fldChar w:fldCharType="begin"/>
        </w:r>
        <w:r w:rsidR="00350153">
          <w:rPr>
            <w:noProof/>
            <w:webHidden/>
          </w:rPr>
          <w:instrText xml:space="preserve"> PAGEREF _Toc461101296 \h </w:instrText>
        </w:r>
        <w:r w:rsidR="00350153">
          <w:rPr>
            <w:noProof/>
            <w:webHidden/>
          </w:rPr>
        </w:r>
        <w:r w:rsidR="00350153">
          <w:rPr>
            <w:noProof/>
            <w:webHidden/>
          </w:rPr>
          <w:fldChar w:fldCharType="separate"/>
        </w:r>
        <w:r w:rsidR="00350153">
          <w:rPr>
            <w:noProof/>
            <w:webHidden/>
          </w:rPr>
          <w:t>14</w:t>
        </w:r>
        <w:r w:rsidR="00350153">
          <w:rPr>
            <w:noProof/>
            <w:webHidden/>
          </w:rPr>
          <w:fldChar w:fldCharType="end"/>
        </w:r>
      </w:hyperlink>
    </w:p>
    <w:p w:rsidR="00350153" w:rsidRDefault="005571BD">
      <w:pPr>
        <w:pStyle w:val="TOC1"/>
        <w:tabs>
          <w:tab w:val="right" w:leader="dot" w:pos="9350"/>
        </w:tabs>
        <w:rPr>
          <w:rFonts w:asciiTheme="minorHAnsi" w:eastAsiaTheme="minorEastAsia" w:hAnsiTheme="minorHAnsi" w:cstheme="minorBidi"/>
          <w:noProof/>
          <w:sz w:val="22"/>
          <w:szCs w:val="22"/>
        </w:rPr>
      </w:pPr>
      <w:hyperlink w:anchor="_Toc461101297" w:history="1">
        <w:r w:rsidR="00350153" w:rsidRPr="002B7E1B">
          <w:rPr>
            <w:rStyle w:val="Hyperlink"/>
            <w:noProof/>
          </w:rPr>
          <w:t>References</w:t>
        </w:r>
        <w:r w:rsidR="00350153">
          <w:rPr>
            <w:noProof/>
            <w:webHidden/>
          </w:rPr>
          <w:tab/>
        </w:r>
        <w:r w:rsidR="00350153">
          <w:rPr>
            <w:noProof/>
            <w:webHidden/>
          </w:rPr>
          <w:fldChar w:fldCharType="begin"/>
        </w:r>
        <w:r w:rsidR="00350153">
          <w:rPr>
            <w:noProof/>
            <w:webHidden/>
          </w:rPr>
          <w:instrText xml:space="preserve"> PAGEREF _Toc461101297 \h </w:instrText>
        </w:r>
        <w:r w:rsidR="00350153">
          <w:rPr>
            <w:noProof/>
            <w:webHidden/>
          </w:rPr>
        </w:r>
        <w:r w:rsidR="00350153">
          <w:rPr>
            <w:noProof/>
            <w:webHidden/>
          </w:rPr>
          <w:fldChar w:fldCharType="separate"/>
        </w:r>
        <w:r w:rsidR="00350153">
          <w:rPr>
            <w:noProof/>
            <w:webHidden/>
          </w:rPr>
          <w:t>15</w:t>
        </w:r>
        <w:r w:rsidR="00350153">
          <w:rPr>
            <w:noProof/>
            <w:webHidden/>
          </w:rPr>
          <w:fldChar w:fldCharType="end"/>
        </w:r>
      </w:hyperlink>
    </w:p>
    <w:p w:rsidR="002F29DD" w:rsidRDefault="008013C9" w:rsidP="00B07AE0">
      <w:pPr>
        <w:pStyle w:val="Pref"/>
      </w:pPr>
      <w:r>
        <w:rPr>
          <w:rFonts w:ascii="Times New Roman" w:hAnsi="Times New Roman" w:cs="Times New Roman"/>
          <w:kern w:val="0"/>
          <w:sz w:val="24"/>
          <w:szCs w:val="24"/>
        </w:rPr>
        <w:fldChar w:fldCharType="end"/>
      </w:r>
      <w:r w:rsidR="002F29DD">
        <w:br w:type="page"/>
      </w:r>
      <w:bookmarkStart w:id="9" w:name="_Toc172205729"/>
      <w:bookmarkStart w:id="10" w:name="_Toc203446793"/>
      <w:bookmarkStart w:id="11" w:name="_Toc238955856"/>
      <w:bookmarkStart w:id="12" w:name="_Toc238955953"/>
      <w:bookmarkStart w:id="13" w:name="_Toc461101279"/>
      <w:r w:rsidR="002F29DD">
        <w:lastRenderedPageBreak/>
        <w:t xml:space="preserve">List of </w:t>
      </w:r>
      <w:bookmarkEnd w:id="9"/>
      <w:bookmarkEnd w:id="10"/>
      <w:bookmarkEnd w:id="11"/>
      <w:bookmarkEnd w:id="12"/>
      <w:r w:rsidR="0019507E">
        <w:t>Tables</w:t>
      </w:r>
      <w:bookmarkEnd w:id="13"/>
      <w:r w:rsidR="0019507E">
        <w:t xml:space="preserve"> </w:t>
      </w:r>
    </w:p>
    <w:p w:rsidR="00350153" w:rsidRDefault="00350153">
      <w:pPr>
        <w:pStyle w:val="TableofFigures"/>
        <w:tabs>
          <w:tab w:val="left" w:pos="1100"/>
          <w:tab w:val="right" w:leader="dot" w:pos="9350"/>
        </w:tabs>
        <w:rPr>
          <w:rFonts w:asciiTheme="minorHAnsi" w:eastAsiaTheme="minorEastAsia" w:hAnsiTheme="minorHAnsi" w:cstheme="minorBidi"/>
          <w:noProof/>
          <w:sz w:val="22"/>
          <w:szCs w:val="22"/>
        </w:rPr>
      </w:pPr>
      <w:r>
        <w:fldChar w:fldCharType="begin"/>
      </w:r>
      <w:r>
        <w:instrText xml:space="preserve"> TOC \h \z \t "TBL" \c </w:instrText>
      </w:r>
      <w:r>
        <w:fldChar w:fldCharType="separate"/>
      </w:r>
      <w:hyperlink w:anchor="_Toc461101270" w:history="1">
        <w:r w:rsidRPr="008E20E5">
          <w:rPr>
            <w:rStyle w:val="Hyperlink"/>
            <w:noProof/>
          </w:rPr>
          <w:t>Table 1 -</w:t>
        </w:r>
        <w:r>
          <w:rPr>
            <w:rFonts w:asciiTheme="minorHAnsi" w:eastAsiaTheme="minorEastAsia" w:hAnsiTheme="minorHAnsi" w:cstheme="minorBidi"/>
            <w:noProof/>
            <w:sz w:val="22"/>
            <w:szCs w:val="22"/>
          </w:rPr>
          <w:tab/>
        </w:r>
        <w:r w:rsidRPr="008E20E5">
          <w:rPr>
            <w:rStyle w:val="Hyperlink"/>
            <w:noProof/>
          </w:rPr>
          <w:t>Commercial Storage Water Heater Thermal Efficiencies in DEER2013</w:t>
        </w:r>
        <w:r>
          <w:rPr>
            <w:noProof/>
            <w:webHidden/>
          </w:rPr>
          <w:tab/>
        </w:r>
        <w:r>
          <w:rPr>
            <w:noProof/>
            <w:webHidden/>
          </w:rPr>
          <w:fldChar w:fldCharType="begin"/>
        </w:r>
        <w:r>
          <w:rPr>
            <w:noProof/>
            <w:webHidden/>
          </w:rPr>
          <w:instrText xml:space="preserve"> PAGEREF _Toc461101270 \h </w:instrText>
        </w:r>
        <w:r>
          <w:rPr>
            <w:noProof/>
            <w:webHidden/>
          </w:rPr>
        </w:r>
        <w:r>
          <w:rPr>
            <w:noProof/>
            <w:webHidden/>
          </w:rPr>
          <w:fldChar w:fldCharType="separate"/>
        </w:r>
        <w:r>
          <w:rPr>
            <w:noProof/>
            <w:webHidden/>
          </w:rPr>
          <w:t>3</w:t>
        </w:r>
        <w:r>
          <w:rPr>
            <w:noProof/>
            <w:webHidden/>
          </w:rPr>
          <w:fldChar w:fldCharType="end"/>
        </w:r>
      </w:hyperlink>
    </w:p>
    <w:p w:rsidR="00350153" w:rsidRDefault="005571BD">
      <w:pPr>
        <w:pStyle w:val="TableofFigures"/>
        <w:tabs>
          <w:tab w:val="left" w:pos="1100"/>
          <w:tab w:val="right" w:leader="dot" w:pos="9350"/>
        </w:tabs>
        <w:rPr>
          <w:rFonts w:asciiTheme="minorHAnsi" w:eastAsiaTheme="minorEastAsia" w:hAnsiTheme="minorHAnsi" w:cstheme="minorBidi"/>
          <w:noProof/>
          <w:sz w:val="22"/>
          <w:szCs w:val="22"/>
        </w:rPr>
      </w:pPr>
      <w:hyperlink w:anchor="_Toc461101271" w:history="1">
        <w:r w:rsidR="00350153" w:rsidRPr="008E20E5">
          <w:rPr>
            <w:rStyle w:val="Hyperlink"/>
            <w:noProof/>
          </w:rPr>
          <w:t>Table 2 -</w:t>
        </w:r>
        <w:r w:rsidR="00350153">
          <w:rPr>
            <w:rFonts w:asciiTheme="minorHAnsi" w:eastAsiaTheme="minorEastAsia" w:hAnsiTheme="minorHAnsi" w:cstheme="minorBidi"/>
            <w:noProof/>
            <w:sz w:val="22"/>
            <w:szCs w:val="22"/>
          </w:rPr>
          <w:tab/>
        </w:r>
        <w:r w:rsidR="00350153" w:rsidRPr="008E20E5">
          <w:rPr>
            <w:rStyle w:val="Hyperlink"/>
            <w:noProof/>
          </w:rPr>
          <w:t>Code Summary</w:t>
        </w:r>
        <w:r w:rsidR="00350153">
          <w:rPr>
            <w:noProof/>
            <w:webHidden/>
          </w:rPr>
          <w:tab/>
        </w:r>
        <w:r w:rsidR="00350153">
          <w:rPr>
            <w:noProof/>
            <w:webHidden/>
          </w:rPr>
          <w:fldChar w:fldCharType="begin"/>
        </w:r>
        <w:r w:rsidR="00350153">
          <w:rPr>
            <w:noProof/>
            <w:webHidden/>
          </w:rPr>
          <w:instrText xml:space="preserve"> PAGEREF _Toc461101271 \h </w:instrText>
        </w:r>
        <w:r w:rsidR="00350153">
          <w:rPr>
            <w:noProof/>
            <w:webHidden/>
          </w:rPr>
        </w:r>
        <w:r w:rsidR="00350153">
          <w:rPr>
            <w:noProof/>
            <w:webHidden/>
          </w:rPr>
          <w:fldChar w:fldCharType="separate"/>
        </w:r>
        <w:r w:rsidR="00350153">
          <w:rPr>
            <w:noProof/>
            <w:webHidden/>
          </w:rPr>
          <w:t>4</w:t>
        </w:r>
        <w:r w:rsidR="00350153">
          <w:rPr>
            <w:noProof/>
            <w:webHidden/>
          </w:rPr>
          <w:fldChar w:fldCharType="end"/>
        </w:r>
      </w:hyperlink>
    </w:p>
    <w:p w:rsidR="00350153" w:rsidRDefault="005571BD">
      <w:pPr>
        <w:pStyle w:val="TableofFigures"/>
        <w:tabs>
          <w:tab w:val="left" w:pos="1100"/>
          <w:tab w:val="right" w:leader="dot" w:pos="9350"/>
        </w:tabs>
        <w:rPr>
          <w:rFonts w:asciiTheme="minorHAnsi" w:eastAsiaTheme="minorEastAsia" w:hAnsiTheme="minorHAnsi" w:cstheme="minorBidi"/>
          <w:noProof/>
          <w:sz w:val="22"/>
          <w:szCs w:val="22"/>
        </w:rPr>
      </w:pPr>
      <w:hyperlink w:anchor="_Toc461101272" w:history="1">
        <w:r w:rsidR="00350153" w:rsidRPr="008E20E5">
          <w:rPr>
            <w:rStyle w:val="Hyperlink"/>
            <w:noProof/>
          </w:rPr>
          <w:t>Table 3 -</w:t>
        </w:r>
        <w:r w:rsidR="00350153">
          <w:rPr>
            <w:rFonts w:asciiTheme="minorHAnsi" w:eastAsiaTheme="minorEastAsia" w:hAnsiTheme="minorHAnsi" w:cstheme="minorBidi"/>
            <w:noProof/>
            <w:sz w:val="22"/>
            <w:szCs w:val="22"/>
          </w:rPr>
          <w:tab/>
        </w:r>
        <w:r w:rsidR="00350153" w:rsidRPr="008E20E5">
          <w:rPr>
            <w:rStyle w:val="Hyperlink"/>
            <w:rFonts w:cstheme="minorHAnsi"/>
            <w:noProof/>
          </w:rPr>
          <w:t>Code Summary - NOxRequirements for AQMDs</w:t>
        </w:r>
        <w:r w:rsidR="00350153">
          <w:rPr>
            <w:noProof/>
            <w:webHidden/>
          </w:rPr>
          <w:tab/>
        </w:r>
        <w:r w:rsidR="00350153">
          <w:rPr>
            <w:noProof/>
            <w:webHidden/>
          </w:rPr>
          <w:fldChar w:fldCharType="begin"/>
        </w:r>
        <w:r w:rsidR="00350153">
          <w:rPr>
            <w:noProof/>
            <w:webHidden/>
          </w:rPr>
          <w:instrText xml:space="preserve"> PAGEREF _Toc461101272 \h </w:instrText>
        </w:r>
        <w:r w:rsidR="00350153">
          <w:rPr>
            <w:noProof/>
            <w:webHidden/>
          </w:rPr>
        </w:r>
        <w:r w:rsidR="00350153">
          <w:rPr>
            <w:noProof/>
            <w:webHidden/>
          </w:rPr>
          <w:fldChar w:fldCharType="separate"/>
        </w:r>
        <w:r w:rsidR="00350153">
          <w:rPr>
            <w:noProof/>
            <w:webHidden/>
          </w:rPr>
          <w:t>5</w:t>
        </w:r>
        <w:r w:rsidR="00350153">
          <w:rPr>
            <w:noProof/>
            <w:webHidden/>
          </w:rPr>
          <w:fldChar w:fldCharType="end"/>
        </w:r>
      </w:hyperlink>
    </w:p>
    <w:p w:rsidR="00350153" w:rsidRDefault="005571BD">
      <w:pPr>
        <w:pStyle w:val="TableofFigures"/>
        <w:tabs>
          <w:tab w:val="left" w:pos="1100"/>
          <w:tab w:val="right" w:leader="dot" w:pos="9350"/>
        </w:tabs>
        <w:rPr>
          <w:rFonts w:asciiTheme="minorHAnsi" w:eastAsiaTheme="minorEastAsia" w:hAnsiTheme="minorHAnsi" w:cstheme="minorBidi"/>
          <w:noProof/>
          <w:sz w:val="22"/>
          <w:szCs w:val="22"/>
        </w:rPr>
      </w:pPr>
      <w:hyperlink w:anchor="_Toc461101273" w:history="1">
        <w:r w:rsidR="00350153" w:rsidRPr="008E20E5">
          <w:rPr>
            <w:rStyle w:val="Hyperlink"/>
            <w:noProof/>
          </w:rPr>
          <w:t>Table 4 -</w:t>
        </w:r>
        <w:r w:rsidR="00350153">
          <w:rPr>
            <w:rFonts w:asciiTheme="minorHAnsi" w:eastAsiaTheme="minorEastAsia" w:hAnsiTheme="minorHAnsi" w:cstheme="minorBidi"/>
            <w:noProof/>
            <w:sz w:val="22"/>
            <w:szCs w:val="22"/>
          </w:rPr>
          <w:tab/>
        </w:r>
        <w:r w:rsidR="00350153" w:rsidRPr="008E20E5">
          <w:rPr>
            <w:rStyle w:val="Hyperlink"/>
            <w:noProof/>
          </w:rPr>
          <w:t>Annual Gas Consumption and Savings by Tier and Climate Zone</w:t>
        </w:r>
        <w:r w:rsidR="00350153">
          <w:rPr>
            <w:noProof/>
            <w:webHidden/>
          </w:rPr>
          <w:tab/>
        </w:r>
        <w:r w:rsidR="00350153">
          <w:rPr>
            <w:noProof/>
            <w:webHidden/>
          </w:rPr>
          <w:fldChar w:fldCharType="begin"/>
        </w:r>
        <w:r w:rsidR="00350153">
          <w:rPr>
            <w:noProof/>
            <w:webHidden/>
          </w:rPr>
          <w:instrText xml:space="preserve"> PAGEREF _Toc461101273 \h </w:instrText>
        </w:r>
        <w:r w:rsidR="00350153">
          <w:rPr>
            <w:noProof/>
            <w:webHidden/>
          </w:rPr>
        </w:r>
        <w:r w:rsidR="00350153">
          <w:rPr>
            <w:noProof/>
            <w:webHidden/>
          </w:rPr>
          <w:fldChar w:fldCharType="separate"/>
        </w:r>
        <w:r w:rsidR="00350153">
          <w:rPr>
            <w:noProof/>
            <w:webHidden/>
          </w:rPr>
          <w:t>10</w:t>
        </w:r>
        <w:r w:rsidR="00350153">
          <w:rPr>
            <w:noProof/>
            <w:webHidden/>
          </w:rPr>
          <w:fldChar w:fldCharType="end"/>
        </w:r>
      </w:hyperlink>
    </w:p>
    <w:p w:rsidR="00350153" w:rsidRDefault="005571BD">
      <w:pPr>
        <w:pStyle w:val="TableofFigures"/>
        <w:tabs>
          <w:tab w:val="left" w:pos="1100"/>
          <w:tab w:val="right" w:leader="dot" w:pos="9350"/>
        </w:tabs>
        <w:rPr>
          <w:rFonts w:asciiTheme="minorHAnsi" w:eastAsiaTheme="minorEastAsia" w:hAnsiTheme="minorHAnsi" w:cstheme="minorBidi"/>
          <w:noProof/>
          <w:sz w:val="22"/>
          <w:szCs w:val="22"/>
        </w:rPr>
      </w:pPr>
      <w:hyperlink w:anchor="_Toc461101274" w:history="1">
        <w:r w:rsidR="00350153" w:rsidRPr="008E20E5">
          <w:rPr>
            <w:rStyle w:val="Hyperlink"/>
            <w:noProof/>
          </w:rPr>
          <w:t>Table 5 -</w:t>
        </w:r>
        <w:r w:rsidR="00350153">
          <w:rPr>
            <w:rFonts w:asciiTheme="minorHAnsi" w:eastAsiaTheme="minorEastAsia" w:hAnsiTheme="minorHAnsi" w:cstheme="minorBidi"/>
            <w:noProof/>
            <w:sz w:val="22"/>
            <w:szCs w:val="22"/>
          </w:rPr>
          <w:tab/>
        </w:r>
        <w:r w:rsidR="00350153" w:rsidRPr="008E20E5">
          <w:rPr>
            <w:rStyle w:val="Hyperlink"/>
            <w:noProof/>
          </w:rPr>
          <w:t>Annual Gas Savings per Water Heater System</w:t>
        </w:r>
        <w:r w:rsidR="00350153">
          <w:rPr>
            <w:noProof/>
            <w:webHidden/>
          </w:rPr>
          <w:tab/>
        </w:r>
        <w:r w:rsidR="00350153">
          <w:rPr>
            <w:noProof/>
            <w:webHidden/>
          </w:rPr>
          <w:fldChar w:fldCharType="begin"/>
        </w:r>
        <w:r w:rsidR="00350153">
          <w:rPr>
            <w:noProof/>
            <w:webHidden/>
          </w:rPr>
          <w:instrText xml:space="preserve"> PAGEREF _Toc461101274 \h </w:instrText>
        </w:r>
        <w:r w:rsidR="00350153">
          <w:rPr>
            <w:noProof/>
            <w:webHidden/>
          </w:rPr>
        </w:r>
        <w:r w:rsidR="00350153">
          <w:rPr>
            <w:noProof/>
            <w:webHidden/>
          </w:rPr>
          <w:fldChar w:fldCharType="separate"/>
        </w:r>
        <w:r w:rsidR="00350153">
          <w:rPr>
            <w:noProof/>
            <w:webHidden/>
          </w:rPr>
          <w:t>11</w:t>
        </w:r>
        <w:r w:rsidR="00350153">
          <w:rPr>
            <w:noProof/>
            <w:webHidden/>
          </w:rPr>
          <w:fldChar w:fldCharType="end"/>
        </w:r>
      </w:hyperlink>
    </w:p>
    <w:p w:rsidR="00350153" w:rsidRDefault="005571BD">
      <w:pPr>
        <w:pStyle w:val="TableofFigures"/>
        <w:tabs>
          <w:tab w:val="left" w:pos="1100"/>
          <w:tab w:val="right" w:leader="dot" w:pos="9350"/>
        </w:tabs>
        <w:rPr>
          <w:rFonts w:asciiTheme="minorHAnsi" w:eastAsiaTheme="minorEastAsia" w:hAnsiTheme="minorHAnsi" w:cstheme="minorBidi"/>
          <w:noProof/>
          <w:sz w:val="22"/>
          <w:szCs w:val="22"/>
        </w:rPr>
      </w:pPr>
      <w:hyperlink w:anchor="_Toc461101275" w:history="1">
        <w:r w:rsidR="00350153" w:rsidRPr="008E20E5">
          <w:rPr>
            <w:rStyle w:val="Hyperlink"/>
            <w:noProof/>
          </w:rPr>
          <w:t>Table 6 -</w:t>
        </w:r>
        <w:r w:rsidR="00350153">
          <w:rPr>
            <w:rFonts w:asciiTheme="minorHAnsi" w:eastAsiaTheme="minorEastAsia" w:hAnsiTheme="minorHAnsi" w:cstheme="minorBidi"/>
            <w:noProof/>
            <w:sz w:val="22"/>
            <w:szCs w:val="22"/>
          </w:rPr>
          <w:tab/>
        </w:r>
        <w:r w:rsidR="00350153" w:rsidRPr="008E20E5">
          <w:rPr>
            <w:rStyle w:val="Hyperlink"/>
            <w:noProof/>
          </w:rPr>
          <w:t>Gross and Incremental Measure Cost by Equipment Type</w:t>
        </w:r>
        <w:r w:rsidR="00350153">
          <w:rPr>
            <w:noProof/>
            <w:webHidden/>
          </w:rPr>
          <w:tab/>
        </w:r>
        <w:r w:rsidR="00350153">
          <w:rPr>
            <w:noProof/>
            <w:webHidden/>
          </w:rPr>
          <w:fldChar w:fldCharType="begin"/>
        </w:r>
        <w:r w:rsidR="00350153">
          <w:rPr>
            <w:noProof/>
            <w:webHidden/>
          </w:rPr>
          <w:instrText xml:space="preserve"> PAGEREF _Toc461101275 \h </w:instrText>
        </w:r>
        <w:r w:rsidR="00350153">
          <w:rPr>
            <w:noProof/>
            <w:webHidden/>
          </w:rPr>
        </w:r>
        <w:r w:rsidR="00350153">
          <w:rPr>
            <w:noProof/>
            <w:webHidden/>
          </w:rPr>
          <w:fldChar w:fldCharType="separate"/>
        </w:r>
        <w:r w:rsidR="00350153">
          <w:rPr>
            <w:noProof/>
            <w:webHidden/>
          </w:rPr>
          <w:t>13</w:t>
        </w:r>
        <w:r w:rsidR="00350153">
          <w:rPr>
            <w:noProof/>
            <w:webHidden/>
          </w:rPr>
          <w:fldChar w:fldCharType="end"/>
        </w:r>
      </w:hyperlink>
    </w:p>
    <w:p w:rsidR="0019507E" w:rsidRPr="00B0174E" w:rsidRDefault="00350153" w:rsidP="00154904">
      <w:r>
        <w:fldChar w:fldCharType="end"/>
      </w:r>
    </w:p>
    <w:p w:rsidR="00B07AE0" w:rsidRDefault="008013C9" w:rsidP="00B81CAD">
      <w:pPr>
        <w:pStyle w:val="TableofFigures"/>
        <w:tabs>
          <w:tab w:val="right" w:leader="dot" w:pos="9350"/>
        </w:tabs>
      </w:pPr>
      <w:r>
        <w:rPr>
          <w:bCs/>
        </w:rPr>
        <w:fldChar w:fldCharType="begin"/>
      </w:r>
      <w:r w:rsidR="002F29DD">
        <w:rPr>
          <w:bCs/>
        </w:rPr>
        <w:instrText xml:space="preserve"> TOC \h \z \t "FIG" \c </w:instrText>
      </w:r>
      <w:r>
        <w:rPr>
          <w:bCs/>
        </w:rPr>
        <w:fldChar w:fldCharType="end"/>
      </w:r>
    </w:p>
    <w:p w:rsidR="0019507E" w:rsidRDefault="002F29DD" w:rsidP="002F29DD">
      <w:pPr>
        <w:pStyle w:val="Pref"/>
      </w:pPr>
      <w:bookmarkStart w:id="14" w:name="_Toc461101280"/>
      <w:r>
        <w:t xml:space="preserve">List of </w:t>
      </w:r>
      <w:r w:rsidR="0019507E">
        <w:t>Figures</w:t>
      </w:r>
      <w:bookmarkEnd w:id="14"/>
    </w:p>
    <w:p w:rsidR="00350153" w:rsidRDefault="00350153">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\t "FIG,1" \c "Table" </w:instrText>
      </w:r>
      <w:r>
        <w:fldChar w:fldCharType="separate"/>
      </w:r>
      <w:hyperlink w:anchor="_Toc461101181" w:history="1">
        <w:r w:rsidRPr="00FB4558">
          <w:rPr>
            <w:rStyle w:val="Hyperlink"/>
            <w:noProof/>
          </w:rPr>
          <w:t>Figure 1 - Distribution of Thermal Efficiencies for Non-condensing Large Storage Water Heaters in the CEC Appliance Efficiency Database</w:t>
        </w:r>
        <w:r>
          <w:rPr>
            <w:noProof/>
            <w:webHidden/>
          </w:rPr>
          <w:tab/>
        </w:r>
        <w:r>
          <w:rPr>
            <w:noProof/>
            <w:webHidden/>
          </w:rPr>
          <w:fldChar w:fldCharType="begin"/>
        </w:r>
        <w:r>
          <w:rPr>
            <w:noProof/>
            <w:webHidden/>
          </w:rPr>
          <w:instrText xml:space="preserve"> PAGEREF _Toc461101181 \h </w:instrText>
        </w:r>
        <w:r>
          <w:rPr>
            <w:noProof/>
            <w:webHidden/>
          </w:rPr>
        </w:r>
        <w:r>
          <w:rPr>
            <w:noProof/>
            <w:webHidden/>
          </w:rPr>
          <w:fldChar w:fldCharType="separate"/>
        </w:r>
        <w:r>
          <w:rPr>
            <w:noProof/>
            <w:webHidden/>
          </w:rPr>
          <w:t>2</w:t>
        </w:r>
        <w:r>
          <w:rPr>
            <w:noProof/>
            <w:webHidden/>
          </w:rPr>
          <w:fldChar w:fldCharType="end"/>
        </w:r>
      </w:hyperlink>
    </w:p>
    <w:p w:rsidR="00350153" w:rsidRDefault="005571BD">
      <w:pPr>
        <w:pStyle w:val="TableofFigures"/>
        <w:tabs>
          <w:tab w:val="right" w:leader="dot" w:pos="9350"/>
        </w:tabs>
        <w:rPr>
          <w:rFonts w:asciiTheme="minorHAnsi" w:eastAsiaTheme="minorEastAsia" w:hAnsiTheme="minorHAnsi" w:cstheme="minorBidi"/>
          <w:noProof/>
          <w:sz w:val="22"/>
          <w:szCs w:val="22"/>
        </w:rPr>
      </w:pPr>
      <w:hyperlink w:anchor="_Toc461101182" w:history="1">
        <w:r w:rsidR="00350153" w:rsidRPr="00FB4558">
          <w:rPr>
            <w:rStyle w:val="Hyperlink"/>
            <w:noProof/>
          </w:rPr>
          <w:t>Figure 2 - Distribution of Thermal Efficiencies for Condensing Large Storage Water Heaters in the CEC Appliance Efficiency Database</w:t>
        </w:r>
        <w:r w:rsidR="00350153">
          <w:rPr>
            <w:noProof/>
            <w:webHidden/>
          </w:rPr>
          <w:tab/>
        </w:r>
        <w:r w:rsidR="00350153">
          <w:rPr>
            <w:noProof/>
            <w:webHidden/>
          </w:rPr>
          <w:fldChar w:fldCharType="begin"/>
        </w:r>
        <w:r w:rsidR="00350153">
          <w:rPr>
            <w:noProof/>
            <w:webHidden/>
          </w:rPr>
          <w:instrText xml:space="preserve"> PAGEREF _Toc461101182 \h </w:instrText>
        </w:r>
        <w:r w:rsidR="00350153">
          <w:rPr>
            <w:noProof/>
            <w:webHidden/>
          </w:rPr>
        </w:r>
        <w:r w:rsidR="00350153">
          <w:rPr>
            <w:noProof/>
            <w:webHidden/>
          </w:rPr>
          <w:fldChar w:fldCharType="separate"/>
        </w:r>
        <w:r w:rsidR="00350153">
          <w:rPr>
            <w:noProof/>
            <w:webHidden/>
          </w:rPr>
          <w:t>2</w:t>
        </w:r>
        <w:r w:rsidR="00350153">
          <w:rPr>
            <w:noProof/>
            <w:webHidden/>
          </w:rPr>
          <w:fldChar w:fldCharType="end"/>
        </w:r>
      </w:hyperlink>
    </w:p>
    <w:p w:rsidR="00350153" w:rsidRDefault="005571BD">
      <w:pPr>
        <w:pStyle w:val="TableofFigures"/>
        <w:tabs>
          <w:tab w:val="right" w:leader="dot" w:pos="9350"/>
        </w:tabs>
        <w:rPr>
          <w:rFonts w:asciiTheme="minorHAnsi" w:eastAsiaTheme="minorEastAsia" w:hAnsiTheme="minorHAnsi" w:cstheme="minorBidi"/>
          <w:noProof/>
          <w:sz w:val="22"/>
          <w:szCs w:val="22"/>
        </w:rPr>
      </w:pPr>
      <w:hyperlink w:anchor="_Toc461101183" w:history="1">
        <w:r w:rsidR="00350153" w:rsidRPr="00FB4558">
          <w:rPr>
            <w:rStyle w:val="Hyperlink"/>
            <w:noProof/>
          </w:rPr>
          <w:t>Figure 3 - California Counties Subject to Ultra Low NOx Requirements</w:t>
        </w:r>
        <w:r w:rsidR="00350153">
          <w:rPr>
            <w:noProof/>
            <w:webHidden/>
          </w:rPr>
          <w:tab/>
        </w:r>
        <w:r w:rsidR="00350153">
          <w:rPr>
            <w:noProof/>
            <w:webHidden/>
          </w:rPr>
          <w:fldChar w:fldCharType="begin"/>
        </w:r>
        <w:r w:rsidR="00350153">
          <w:rPr>
            <w:noProof/>
            <w:webHidden/>
          </w:rPr>
          <w:instrText xml:space="preserve"> PAGEREF _Toc461101183 \h </w:instrText>
        </w:r>
        <w:r w:rsidR="00350153">
          <w:rPr>
            <w:noProof/>
            <w:webHidden/>
          </w:rPr>
        </w:r>
        <w:r w:rsidR="00350153">
          <w:rPr>
            <w:noProof/>
            <w:webHidden/>
          </w:rPr>
          <w:fldChar w:fldCharType="separate"/>
        </w:r>
        <w:r w:rsidR="00350153">
          <w:rPr>
            <w:noProof/>
            <w:webHidden/>
          </w:rPr>
          <w:t>6</w:t>
        </w:r>
        <w:r w:rsidR="00350153">
          <w:rPr>
            <w:noProof/>
            <w:webHidden/>
          </w:rPr>
          <w:fldChar w:fldCharType="end"/>
        </w:r>
      </w:hyperlink>
    </w:p>
    <w:p w:rsidR="00350153" w:rsidRDefault="005571BD">
      <w:pPr>
        <w:pStyle w:val="TableofFigures"/>
        <w:tabs>
          <w:tab w:val="right" w:leader="dot" w:pos="9350"/>
        </w:tabs>
        <w:rPr>
          <w:rFonts w:asciiTheme="minorHAnsi" w:eastAsiaTheme="minorEastAsia" w:hAnsiTheme="minorHAnsi" w:cstheme="minorBidi"/>
          <w:noProof/>
          <w:sz w:val="22"/>
          <w:szCs w:val="22"/>
        </w:rPr>
      </w:pPr>
      <w:hyperlink w:anchor="_Toc461101184" w:history="1">
        <w:r w:rsidR="00350153" w:rsidRPr="00FB4558">
          <w:rPr>
            <w:rStyle w:val="Hyperlink"/>
            <w:noProof/>
          </w:rPr>
          <w:t>Figure 4 - California Energy Commission Forecast Climate Zones</w:t>
        </w:r>
        <w:r w:rsidR="00350153">
          <w:rPr>
            <w:noProof/>
            <w:webHidden/>
          </w:rPr>
          <w:tab/>
        </w:r>
        <w:r w:rsidR="00350153">
          <w:rPr>
            <w:noProof/>
            <w:webHidden/>
          </w:rPr>
          <w:fldChar w:fldCharType="begin"/>
        </w:r>
        <w:r w:rsidR="00350153">
          <w:rPr>
            <w:noProof/>
            <w:webHidden/>
          </w:rPr>
          <w:instrText xml:space="preserve"> PAGEREF _Toc461101184 \h </w:instrText>
        </w:r>
        <w:r w:rsidR="00350153">
          <w:rPr>
            <w:noProof/>
            <w:webHidden/>
          </w:rPr>
        </w:r>
        <w:r w:rsidR="00350153">
          <w:rPr>
            <w:noProof/>
            <w:webHidden/>
          </w:rPr>
          <w:fldChar w:fldCharType="separate"/>
        </w:r>
        <w:r w:rsidR="00350153">
          <w:rPr>
            <w:noProof/>
            <w:webHidden/>
          </w:rPr>
          <w:t>8</w:t>
        </w:r>
        <w:r w:rsidR="00350153">
          <w:rPr>
            <w:noProof/>
            <w:webHidden/>
          </w:rPr>
          <w:fldChar w:fldCharType="end"/>
        </w:r>
      </w:hyperlink>
    </w:p>
    <w:p w:rsidR="00350153" w:rsidRDefault="005571BD">
      <w:pPr>
        <w:pStyle w:val="TableofFigures"/>
        <w:tabs>
          <w:tab w:val="right" w:leader="dot" w:pos="9350"/>
        </w:tabs>
        <w:rPr>
          <w:rFonts w:asciiTheme="minorHAnsi" w:eastAsiaTheme="minorEastAsia" w:hAnsiTheme="minorHAnsi" w:cstheme="minorBidi"/>
          <w:noProof/>
          <w:sz w:val="22"/>
          <w:szCs w:val="22"/>
        </w:rPr>
      </w:pPr>
      <w:hyperlink w:anchor="_Toc461101185" w:history="1">
        <w:r w:rsidR="00350153" w:rsidRPr="00FB4558">
          <w:rPr>
            <w:rStyle w:val="Hyperlink"/>
            <w:noProof/>
          </w:rPr>
          <w:t>Figure 5 - Water Heater Gas Consumption Adjustment Factors for the California 16 Climate Zones</w:t>
        </w:r>
        <w:r w:rsidR="00350153">
          <w:rPr>
            <w:noProof/>
            <w:webHidden/>
          </w:rPr>
          <w:tab/>
        </w:r>
        <w:r w:rsidR="00350153">
          <w:rPr>
            <w:noProof/>
            <w:webHidden/>
          </w:rPr>
          <w:fldChar w:fldCharType="begin"/>
        </w:r>
        <w:r w:rsidR="00350153">
          <w:rPr>
            <w:noProof/>
            <w:webHidden/>
          </w:rPr>
          <w:instrText xml:space="preserve"> PAGEREF _Toc461101185 \h </w:instrText>
        </w:r>
        <w:r w:rsidR="00350153">
          <w:rPr>
            <w:noProof/>
            <w:webHidden/>
          </w:rPr>
        </w:r>
        <w:r w:rsidR="00350153">
          <w:rPr>
            <w:noProof/>
            <w:webHidden/>
          </w:rPr>
          <w:fldChar w:fldCharType="separate"/>
        </w:r>
        <w:r w:rsidR="00350153">
          <w:rPr>
            <w:noProof/>
            <w:webHidden/>
          </w:rPr>
          <w:t>9</w:t>
        </w:r>
        <w:r w:rsidR="00350153">
          <w:rPr>
            <w:noProof/>
            <w:webHidden/>
          </w:rPr>
          <w:fldChar w:fldCharType="end"/>
        </w:r>
      </w:hyperlink>
    </w:p>
    <w:p w:rsidR="002F29DD" w:rsidRDefault="00350153" w:rsidP="002F29DD">
      <w:pPr>
        <w:pStyle w:val="Pref"/>
      </w:pPr>
      <w:r>
        <w:rPr>
          <w:rFonts w:ascii="Times New Roman" w:hAnsi="Times New Roman" w:cs="Times New Roman"/>
          <w:kern w:val="0"/>
          <w:sz w:val="24"/>
          <w:szCs w:val="24"/>
        </w:rPr>
        <w:fldChar w:fldCharType="end"/>
      </w:r>
    </w:p>
    <w:p w:rsidR="0019507E" w:rsidRPr="00B0174E" w:rsidRDefault="0019507E" w:rsidP="00154904"/>
    <w:p w:rsidR="00884825" w:rsidRDefault="00884825" w:rsidP="0021125B">
      <w:pPr>
        <w:rPr>
          <w:rFonts w:ascii="Times New Roman" w:hAnsi="Times New Roman"/>
          <w:sz w:val="24"/>
          <w:szCs w:val="24"/>
        </w:rPr>
      </w:pPr>
    </w:p>
    <w:p w:rsidR="0082641C" w:rsidRDefault="0082641C" w:rsidP="0082641C">
      <w:pPr>
        <w:pStyle w:val="Pref"/>
        <w:ind w:left="1350" w:hanging="1350"/>
        <w:rPr>
          <w:rFonts w:ascii="Times New Roman" w:hAnsi="Times New Roman" w:cs="Times New Roman"/>
          <w:bCs w:val="0"/>
          <w:kern w:val="0"/>
          <w:sz w:val="24"/>
          <w:szCs w:val="24"/>
        </w:rPr>
      </w:pPr>
    </w:p>
    <w:p w:rsidR="0082641C" w:rsidRDefault="0082641C" w:rsidP="002F29DD">
      <w:pPr>
        <w:sectPr w:rsidR="0082641C" w:rsidSect="00B50897">
          <w:footerReference w:type="even" r:id="rId14"/>
          <w:footerReference w:type="default" r:id="rId15"/>
          <w:endnotePr>
            <w:numFmt w:val="decimal"/>
          </w:endnotePr>
          <w:pgSz w:w="12240" w:h="15840" w:code="1"/>
          <w:pgMar w:top="1440" w:right="1440" w:bottom="1440" w:left="1440" w:header="720" w:footer="720" w:gutter="0"/>
          <w:pgNumType w:fmt="lowerRoman"/>
          <w:cols w:space="720"/>
          <w:docGrid w:linePitch="360"/>
        </w:sectPr>
      </w:pPr>
    </w:p>
    <w:p w:rsidR="001C644E" w:rsidRPr="00496240" w:rsidRDefault="001C644E" w:rsidP="001C644E">
      <w:pPr>
        <w:pStyle w:val="WPSCT"/>
      </w:pPr>
      <w:bookmarkStart w:id="15" w:name="_Toc461101281"/>
      <w:r w:rsidRPr="00496240">
        <w:lastRenderedPageBreak/>
        <w:t>General Measure &amp; Baseline Data</w:t>
      </w:r>
      <w:bookmarkEnd w:id="15"/>
    </w:p>
    <w:p w:rsidR="00CE401D" w:rsidRDefault="001C644E" w:rsidP="00CE401D">
      <w:pPr>
        <w:pStyle w:val="WPART"/>
        <w:spacing w:after="240"/>
      </w:pPr>
      <w:bookmarkStart w:id="16" w:name="_Toc214003083"/>
      <w:bookmarkStart w:id="17" w:name="_Toc461101282"/>
      <w:r w:rsidRPr="001248A3">
        <w:t xml:space="preserve">Measure </w:t>
      </w:r>
      <w:r>
        <w:t xml:space="preserve">&amp; Delivery </w:t>
      </w:r>
      <w:r w:rsidRPr="001248A3">
        <w:t>Description</w:t>
      </w:r>
      <w:bookmarkEnd w:id="16"/>
      <w:bookmarkEnd w:id="17"/>
    </w:p>
    <w:p w:rsidR="003E2E47" w:rsidRDefault="003E2E47" w:rsidP="003E2E47">
      <w:pPr>
        <w:pStyle w:val="PR1"/>
        <w:spacing w:before="0" w:after="240"/>
      </w:pPr>
      <w:r>
        <w:t>Measure Description</w:t>
      </w:r>
    </w:p>
    <w:p w:rsidR="00951343" w:rsidRDefault="00C976DD" w:rsidP="00B24691">
      <w:pPr>
        <w:pStyle w:val="PR2"/>
        <w:numPr>
          <w:ilvl w:val="0"/>
          <w:numId w:val="0"/>
        </w:numPr>
        <w:ind w:left="1080"/>
      </w:pPr>
      <w:r>
        <w:t>A</w:t>
      </w:r>
      <w:r w:rsidRPr="00C976DD">
        <w:t xml:space="preserve"> </w:t>
      </w:r>
      <w:r>
        <w:t xml:space="preserve">typical gas-fired storage </w:t>
      </w:r>
      <w:r w:rsidRPr="00C976DD">
        <w:t xml:space="preserve">water heater </w:t>
      </w:r>
      <w:r w:rsidR="002C33A1">
        <w:t>is</w:t>
      </w:r>
      <w:r w:rsidR="002C33A1" w:rsidRPr="00C976DD">
        <w:t xml:space="preserve"> a </w:t>
      </w:r>
      <w:r w:rsidR="002C33A1">
        <w:t xml:space="preserve">large vertical </w:t>
      </w:r>
      <w:r w:rsidR="002C33A1" w:rsidRPr="00C976DD">
        <w:t xml:space="preserve">insulated tank </w:t>
      </w:r>
      <w:r w:rsidR="00C4126D">
        <w:t>with</w:t>
      </w:r>
      <w:r w:rsidR="002C33A1">
        <w:t xml:space="preserve"> </w:t>
      </w:r>
      <w:r w:rsidRPr="00C976DD">
        <w:t xml:space="preserve">a </w:t>
      </w:r>
      <w:r w:rsidR="00C4126D">
        <w:t xml:space="preserve">gas </w:t>
      </w:r>
      <w:r w:rsidRPr="00C976DD">
        <w:t xml:space="preserve">burner located </w:t>
      </w:r>
      <w:r w:rsidR="002C33A1">
        <w:t>under the tank</w:t>
      </w:r>
      <w:r w:rsidRPr="00C976DD">
        <w:t xml:space="preserve">.  </w:t>
      </w:r>
      <w:r w:rsidR="002C33A1">
        <w:t xml:space="preserve">When hot water is drawn from the tank, </w:t>
      </w:r>
      <w:r w:rsidRPr="00C976DD">
        <w:t xml:space="preserve">cold water </w:t>
      </w:r>
      <w:r w:rsidR="002C33A1">
        <w:t xml:space="preserve">flows </w:t>
      </w:r>
      <w:r w:rsidRPr="00C976DD">
        <w:t>into the bottom of the tank</w:t>
      </w:r>
      <w:r w:rsidR="002C33A1">
        <w:t xml:space="preserve">.  When the water temperature in the tank gets too low, a thermostat sensing the water temperature (often called an aquastat) calls for heat from the burner.  When the water temperature in the tank reaches the set point, the thermostat turns off the burner.  </w:t>
      </w:r>
      <w:r w:rsidRPr="00C976DD">
        <w:t xml:space="preserve">The burner </w:t>
      </w:r>
      <w:r w:rsidR="002C33A1">
        <w:t>may be</w:t>
      </w:r>
      <w:r w:rsidRPr="00C976DD">
        <w:t xml:space="preserve"> ignited by an electroni</w:t>
      </w:r>
      <w:r w:rsidR="000B3D84">
        <w:t>c</w:t>
      </w:r>
      <w:r w:rsidR="008C0DC4" w:rsidRPr="008C0DC4">
        <w:t xml:space="preserve"> </w:t>
      </w:r>
      <w:r w:rsidR="008C0DC4">
        <w:t>spark ignition</w:t>
      </w:r>
      <w:r w:rsidR="000B3D84">
        <w:t>, glow</w:t>
      </w:r>
      <w:r w:rsidR="008C0DC4">
        <w:t xml:space="preserve"> plug</w:t>
      </w:r>
      <w:r w:rsidR="000B3D84">
        <w:t>, or, in</w:t>
      </w:r>
      <w:r w:rsidRPr="00C976DD">
        <w:t xml:space="preserve"> </w:t>
      </w:r>
      <w:r w:rsidR="008C0DC4">
        <w:t>some</w:t>
      </w:r>
      <w:r w:rsidR="000B3D84">
        <w:t xml:space="preserve"> </w:t>
      </w:r>
      <w:r w:rsidRPr="00C976DD">
        <w:t xml:space="preserve">models, by a standing pilot light.  </w:t>
      </w:r>
    </w:p>
    <w:p w:rsidR="00951343" w:rsidRDefault="00951343" w:rsidP="00B24691">
      <w:pPr>
        <w:pStyle w:val="PR2"/>
        <w:numPr>
          <w:ilvl w:val="0"/>
          <w:numId w:val="0"/>
        </w:numPr>
        <w:ind w:left="1080"/>
      </w:pPr>
    </w:p>
    <w:p w:rsidR="001C644E" w:rsidRDefault="00951343" w:rsidP="00B24691">
      <w:pPr>
        <w:pStyle w:val="PR2"/>
        <w:numPr>
          <w:ilvl w:val="0"/>
          <w:numId w:val="0"/>
        </w:numPr>
        <w:ind w:left="1080"/>
      </w:pPr>
      <w:r w:rsidRPr="00E3741E">
        <w:t xml:space="preserve">The rated input </w:t>
      </w:r>
      <w:r>
        <w:t xml:space="preserve">for a natural gas fueled </w:t>
      </w:r>
      <w:r w:rsidRPr="00E3741E">
        <w:t xml:space="preserve">storage water heater for this multifamily residential </w:t>
      </w:r>
      <w:r w:rsidR="00286E8D">
        <w:t>measure</w:t>
      </w:r>
      <w:r w:rsidR="00286E8D" w:rsidRPr="00E3741E">
        <w:t xml:space="preserve"> </w:t>
      </w:r>
      <w:r w:rsidRPr="00E3741E">
        <w:t>must exceed 75,000 Btu</w:t>
      </w:r>
      <w:r w:rsidR="00792FD8">
        <w:t>h</w:t>
      </w:r>
      <w:r w:rsidRPr="00E3741E">
        <w:t xml:space="preserve"> (75 kBtuh).  </w:t>
      </w:r>
      <w:r w:rsidR="003D5CE3">
        <w:t xml:space="preserve">Qualifying storage water heaters must also have a storage tank that holds at least 80 gallons of water. </w:t>
      </w:r>
      <w:r w:rsidR="00DD670C">
        <w:t>This measur</w:t>
      </w:r>
      <w:r w:rsidR="001C35BE">
        <w:t>e will have two tiers of incentive</w:t>
      </w:r>
      <w:r w:rsidR="00DD670C">
        <w:t xml:space="preserve">: </w:t>
      </w:r>
      <w:r w:rsidR="004D3539" w:rsidRPr="00E3741E">
        <w:t xml:space="preserve">Tier 1 </w:t>
      </w:r>
      <w:r w:rsidR="00DD670C">
        <w:t xml:space="preserve">is for large natural gas non-condensing </w:t>
      </w:r>
      <w:r w:rsidR="004D3539" w:rsidRPr="00E3741E">
        <w:t xml:space="preserve">storage water heaters </w:t>
      </w:r>
      <w:r w:rsidR="00DD670C">
        <w:t xml:space="preserve">and Tier 2 is for large natural gas </w:t>
      </w:r>
      <w:r w:rsidR="004D3539" w:rsidRPr="00E3741E">
        <w:t>condensing</w:t>
      </w:r>
      <w:r w:rsidR="00DD670C">
        <w:t xml:space="preserve"> storage water heaters</w:t>
      </w:r>
      <w:r w:rsidR="004D3539" w:rsidRPr="00E3741E">
        <w:t xml:space="preserve">.  </w:t>
      </w:r>
      <w:r w:rsidR="00DD670C">
        <w:t>Tier 2 water heaters will often require flu modifications</w:t>
      </w:r>
      <w:r w:rsidR="003846CE">
        <w:t>.</w:t>
      </w:r>
      <w:r w:rsidR="003846CE" w:rsidRPr="003846CE">
        <w:t xml:space="preserve"> </w:t>
      </w:r>
      <w:r w:rsidR="003846CE">
        <w:t xml:space="preserve"> </w:t>
      </w:r>
      <w:r w:rsidR="003846CE" w:rsidRPr="003846CE">
        <w:t>These modifications may increase or decrease installation costs</w:t>
      </w:r>
      <w:r w:rsidR="00DD670C">
        <w:t>.</w:t>
      </w:r>
      <w:r w:rsidR="003846CE">
        <w:t xml:space="preserve">  </w:t>
      </w:r>
      <w:r w:rsidR="00D33C41">
        <w:t xml:space="preserve">Tier 2 systems also receive higher rebates than Tier 1 systems. </w:t>
      </w:r>
      <w:r w:rsidR="00D0217D" w:rsidRPr="00D0217D">
        <w:t>Relative to sta</w:t>
      </w:r>
      <w:r w:rsidR="00CE401D">
        <w:t>n</w:t>
      </w:r>
      <w:r w:rsidR="00D0217D" w:rsidRPr="00D0217D">
        <w:t xml:space="preserve">dard models, energy efficient units typically have features such as </w:t>
      </w:r>
      <w:r w:rsidR="008C0DC4">
        <w:t xml:space="preserve">no </w:t>
      </w:r>
      <w:r w:rsidR="002C33A1">
        <w:t xml:space="preserve">standing </w:t>
      </w:r>
      <w:r w:rsidR="008C0DC4">
        <w:t xml:space="preserve">pilot light, </w:t>
      </w:r>
      <w:r w:rsidR="00D0217D" w:rsidRPr="00D0217D">
        <w:t>large</w:t>
      </w:r>
      <w:r w:rsidR="00031327">
        <w:t>r</w:t>
      </w:r>
      <w:r w:rsidR="00D0217D" w:rsidRPr="00D0217D">
        <w:t xml:space="preserve"> heat exchange surfaces</w:t>
      </w:r>
      <w:r w:rsidR="000512FB">
        <w:t>,</w:t>
      </w:r>
      <w:r w:rsidR="00D0217D" w:rsidRPr="00D0217D">
        <w:t xml:space="preserve"> additional tank insulation</w:t>
      </w:r>
      <w:r w:rsidR="000512FB">
        <w:t>, and the capability to condense moisture in the flue gas</w:t>
      </w:r>
      <w:r w:rsidR="00D0217D" w:rsidRPr="00D0217D">
        <w:t xml:space="preserve">.  </w:t>
      </w:r>
    </w:p>
    <w:p w:rsidR="00EA53E2" w:rsidRDefault="00951343" w:rsidP="00B24691">
      <w:pPr>
        <w:pStyle w:val="WPPR1"/>
        <w:numPr>
          <w:ilvl w:val="0"/>
          <w:numId w:val="0"/>
        </w:numPr>
        <w:ind w:left="1080"/>
      </w:pPr>
      <w:r>
        <w:t xml:space="preserve">The </w:t>
      </w:r>
      <w:r w:rsidR="004D3539">
        <w:t>test method for measuring storage water heater thermal efficiency</w:t>
      </w:r>
      <w:r w:rsidR="00C4126D">
        <w:t xml:space="preserve"> (TE)</w:t>
      </w:r>
      <w:r w:rsidR="004D3539">
        <w:t xml:space="preserve"> </w:t>
      </w:r>
      <w:r w:rsidR="00C01D6F">
        <w:t>is</w:t>
      </w:r>
      <w:r w:rsidR="004D3539">
        <w:t xml:space="preserve"> </w:t>
      </w:r>
      <w:r w:rsidR="00C4126D" w:rsidRPr="00B779BB">
        <w:t>ANSI Z21.10.3-</w:t>
      </w:r>
      <w:r w:rsidR="00C4126D">
        <w:t>199</w:t>
      </w:r>
      <w:r w:rsidR="00C4126D" w:rsidRPr="00B779BB">
        <w:t>8 §2.</w:t>
      </w:r>
      <w:r w:rsidR="008609A4">
        <w:t>9</w:t>
      </w:r>
      <w:r w:rsidR="00C4126D">
        <w:t>,</w:t>
      </w:r>
      <w:r w:rsidR="00C4126D">
        <w:rPr>
          <w:rStyle w:val="EndnoteReference"/>
        </w:rPr>
        <w:endnoteReference w:id="1"/>
      </w:r>
      <w:r w:rsidR="00C4126D" w:rsidRPr="00B779BB">
        <w:t xml:space="preserve"> </w:t>
      </w:r>
      <w:r w:rsidR="00C4126D">
        <w:t>as</w:t>
      </w:r>
      <w:r w:rsidR="00C4126D" w:rsidRPr="00B779BB">
        <w:t xml:space="preserve"> </w:t>
      </w:r>
      <w:r w:rsidR="004D3539">
        <w:t xml:space="preserve">referenced in the California Title 20 </w:t>
      </w:r>
      <w:r w:rsidR="004D3539" w:rsidRPr="00B779BB">
        <w:t>standard</w:t>
      </w:r>
      <w:bookmarkStart w:id="18" w:name="_Ref362440280"/>
      <w:r w:rsidR="00C4126D">
        <w:t>.</w:t>
      </w:r>
      <w:r w:rsidR="004D3539" w:rsidRPr="00B779BB">
        <w:rPr>
          <w:rStyle w:val="EndnoteReference"/>
        </w:rPr>
        <w:endnoteReference w:id="2"/>
      </w:r>
      <w:bookmarkEnd w:id="18"/>
      <w:r w:rsidR="00C01D6F" w:rsidRPr="00B779BB">
        <w:t xml:space="preserve"> </w:t>
      </w:r>
      <w:r w:rsidR="00C4126D">
        <w:t xml:space="preserve"> </w:t>
      </w:r>
      <w:r w:rsidR="00F44A0E">
        <w:t>A</w:t>
      </w:r>
      <w:r w:rsidR="00C01D6F">
        <w:t xml:space="preserve"> parameter for determining the thermal efficiency </w:t>
      </w:r>
      <w:r w:rsidR="00D90EFE">
        <w:t xml:space="preserve">and energy consumption </w:t>
      </w:r>
      <w:r w:rsidR="00C01D6F">
        <w:t>of water heaters is the cold water temperature at the inlet to the storage water heater.</w:t>
      </w:r>
      <w:r w:rsidR="00CE401D">
        <w:t xml:space="preserve"> </w:t>
      </w:r>
      <w:r w:rsidR="00C01D6F">
        <w:t xml:space="preserve">The </w:t>
      </w:r>
      <w:r w:rsidR="00C4126D">
        <w:t xml:space="preserve">nominal </w:t>
      </w:r>
      <w:r w:rsidR="00C01D6F">
        <w:t>ANSI standard temperature</w:t>
      </w:r>
      <w:r w:rsidR="00C4126D">
        <w:t xml:space="preserve"> of the supply water entering the water heater</w:t>
      </w:r>
      <w:r w:rsidR="00C01D6F">
        <w:t xml:space="preserve"> is </w:t>
      </w:r>
      <w:r w:rsidR="00C4126D">
        <w:t>70</w:t>
      </w:r>
      <w:r w:rsidR="00C01D6F">
        <w:t xml:space="preserve"> </w:t>
      </w:r>
      <w:r w:rsidR="00C01D6F">
        <w:sym w:font="Symbol" w:char="F0B0"/>
      </w:r>
      <w:r w:rsidR="00C01D6F">
        <w:t>F.</w:t>
      </w:r>
      <w:r w:rsidR="00CE401D">
        <w:t xml:space="preserve"> </w:t>
      </w:r>
      <w:r w:rsidR="00C01D6F">
        <w:t xml:space="preserve">The actual inlet water temperature in California varies with climate zone </w:t>
      </w:r>
      <w:r w:rsidR="00235288">
        <w:t xml:space="preserve">and </w:t>
      </w:r>
      <w:r w:rsidR="00235288" w:rsidRPr="00E3741E">
        <w:t xml:space="preserve">season, </w:t>
      </w:r>
      <w:r w:rsidR="00441123">
        <w:t xml:space="preserve">so </w:t>
      </w:r>
      <w:r w:rsidR="001E690B">
        <w:t xml:space="preserve">adjustment factors were created based on ground temperature data for each climate zone to account for varying water heater consumption due to inlet water temperature. More information regarding these adjustment factors are included in Section 2.02. </w:t>
      </w:r>
      <w:r w:rsidR="002C33A1" w:rsidRPr="00E3741E">
        <w:t xml:space="preserve">The California Title 20 </w:t>
      </w:r>
      <w:r w:rsidR="008D525C" w:rsidRPr="00E3741E">
        <w:t>standard defines</w:t>
      </w:r>
      <w:r w:rsidR="00D0106C" w:rsidRPr="00E3741E">
        <w:t xml:space="preserve"> a m</w:t>
      </w:r>
      <w:r w:rsidR="00EA53E2" w:rsidRPr="00E3741E">
        <w:t xml:space="preserve">inimum </w:t>
      </w:r>
      <w:r w:rsidR="00785E62" w:rsidRPr="00E3741E">
        <w:t xml:space="preserve">TE </w:t>
      </w:r>
      <w:r w:rsidR="00D0106C" w:rsidRPr="00E3741E">
        <w:t xml:space="preserve">of 80% for </w:t>
      </w:r>
      <w:r w:rsidR="004D3539" w:rsidRPr="00E3741E">
        <w:t xml:space="preserve">the baseline </w:t>
      </w:r>
      <w:r w:rsidR="00D0106C" w:rsidRPr="00E3741E">
        <w:t xml:space="preserve">large </w:t>
      </w:r>
      <w:r w:rsidR="00785E62" w:rsidRPr="00E3741E">
        <w:t xml:space="preserve">storage </w:t>
      </w:r>
      <w:r w:rsidR="00D0106C" w:rsidRPr="00E3741E">
        <w:t>water heaters.</w:t>
      </w:r>
      <w:r w:rsidR="00EA53E2" w:rsidRPr="00E3741E">
        <w:t xml:space="preserve"> The qualifying measure</w:t>
      </w:r>
      <w:r w:rsidR="00EA53E2">
        <w:t xml:space="preserve"> efficiencies </w:t>
      </w:r>
      <w:r w:rsidR="00785E62">
        <w:t>f</w:t>
      </w:r>
      <w:r w:rsidR="002C33A1">
        <w:t xml:space="preserve">or </w:t>
      </w:r>
      <w:r w:rsidR="00785E62">
        <w:t xml:space="preserve">large </w:t>
      </w:r>
      <w:r w:rsidR="002C33A1">
        <w:t>storage water heaters</w:t>
      </w:r>
      <w:r w:rsidR="00785E62">
        <w:t xml:space="preserve"> are the following</w:t>
      </w:r>
      <w:r w:rsidR="00C65AB5">
        <w:t xml:space="preserve"> with</w:t>
      </w:r>
      <w:r w:rsidR="00C65AB5" w:rsidRPr="00C65AB5">
        <w:t xml:space="preserve"> </w:t>
      </w:r>
      <w:r w:rsidR="00C65AB5">
        <w:t xml:space="preserve">an </w:t>
      </w:r>
      <w:r w:rsidR="00C65AB5" w:rsidRPr="00C65AB5">
        <w:t>emission limit of 14ng/J or 20 ppm NOx @3% O2 dry</w:t>
      </w:r>
      <w:r w:rsidR="00785E62">
        <w:t>:</w:t>
      </w:r>
      <w:r w:rsidR="002C33A1">
        <w:t xml:space="preserve">  </w:t>
      </w:r>
    </w:p>
    <w:p w:rsidR="00B24691" w:rsidRDefault="00B24691" w:rsidP="00B24691">
      <w:pPr>
        <w:pStyle w:val="WPPR1"/>
        <w:numPr>
          <w:ilvl w:val="0"/>
          <w:numId w:val="0"/>
        </w:numPr>
        <w:ind w:left="1080"/>
      </w:pPr>
    </w:p>
    <w:p w:rsidR="00785E62" w:rsidRPr="00E3741E" w:rsidRDefault="00785E62" w:rsidP="003E2E47">
      <w:pPr>
        <w:pStyle w:val="PR2"/>
        <w:tabs>
          <w:tab w:val="clear" w:pos="1584"/>
          <w:tab w:val="num" w:pos="1440"/>
        </w:tabs>
        <w:ind w:left="1440" w:hanging="360"/>
      </w:pPr>
      <w:r w:rsidRPr="00E3741E">
        <w:t xml:space="preserve">Minimum TE of 83% for </w:t>
      </w:r>
      <w:r w:rsidR="00EA53E2" w:rsidRPr="00E3741E">
        <w:t xml:space="preserve">Tier 1 </w:t>
      </w:r>
      <w:r w:rsidR="00733755" w:rsidRPr="00E3741E">
        <w:t xml:space="preserve">(non-condensing) </w:t>
      </w:r>
      <w:r w:rsidRPr="00E3741E">
        <w:t xml:space="preserve">large </w:t>
      </w:r>
      <w:r w:rsidR="00EA53E2" w:rsidRPr="00E3741E">
        <w:t>storage water heater</w:t>
      </w:r>
      <w:r w:rsidRPr="00E3741E">
        <w:t>s.</w:t>
      </w:r>
      <w:r w:rsidR="00733755" w:rsidRPr="00E3741E">
        <w:t xml:space="preserve">  </w:t>
      </w:r>
    </w:p>
    <w:p w:rsidR="00EA53E2" w:rsidRDefault="00733755" w:rsidP="003E2E47">
      <w:pPr>
        <w:pStyle w:val="PR2"/>
        <w:tabs>
          <w:tab w:val="clear" w:pos="1584"/>
          <w:tab w:val="num" w:pos="1440"/>
        </w:tabs>
        <w:spacing w:after="240"/>
        <w:ind w:left="1440" w:hanging="360"/>
      </w:pPr>
      <w:r w:rsidRPr="00E3741E">
        <w:t xml:space="preserve">Minimum TE of 90% for </w:t>
      </w:r>
      <w:r w:rsidR="00EA53E2" w:rsidRPr="00E3741E">
        <w:t xml:space="preserve">Tier 2 </w:t>
      </w:r>
      <w:r w:rsidRPr="00E3741E">
        <w:t xml:space="preserve">(condensing) large </w:t>
      </w:r>
      <w:r w:rsidR="00EA53E2" w:rsidRPr="00E3741E">
        <w:t>storage water heater</w:t>
      </w:r>
      <w:r w:rsidRPr="00E3741E">
        <w:t xml:space="preserve">s.  </w:t>
      </w:r>
    </w:p>
    <w:p w:rsidR="003E2E47" w:rsidRPr="00E3741E" w:rsidRDefault="003E2E47" w:rsidP="003E2E47">
      <w:pPr>
        <w:pStyle w:val="PR1"/>
        <w:spacing w:after="240"/>
      </w:pPr>
      <w:r>
        <w:t>Baseline and Measure Efficiencies</w:t>
      </w:r>
    </w:p>
    <w:p w:rsidR="007A5038" w:rsidRDefault="004D3539" w:rsidP="00B24691">
      <w:pPr>
        <w:pStyle w:val="WPPR2"/>
        <w:numPr>
          <w:ilvl w:val="0"/>
          <w:numId w:val="0"/>
        </w:numPr>
        <w:ind w:left="1080"/>
      </w:pPr>
      <w:r w:rsidRPr="00E3741E">
        <w:t>These measure efficiencies are adopted after consideration of the availability of high-efficiency storage water heaters listed in the California Energy Commission Energy Efficiency Appliance Database</w:t>
      </w:r>
      <w:bookmarkStart w:id="19" w:name="_Ref320696611"/>
      <w:r w:rsidR="00441123">
        <w:t xml:space="preserve"> (CEC Database)</w:t>
      </w:r>
      <w:r w:rsidR="008D525C" w:rsidRPr="00E3741E">
        <w:t>.</w:t>
      </w:r>
      <w:r w:rsidRPr="00E3741E">
        <w:rPr>
          <w:rStyle w:val="EndnoteReference"/>
        </w:rPr>
        <w:endnoteReference w:id="3"/>
      </w:r>
      <w:bookmarkEnd w:id="19"/>
      <w:r w:rsidRPr="00E3741E">
        <w:t xml:space="preserve">  </w:t>
      </w:r>
      <w:r w:rsidR="00EA53E2" w:rsidRPr="00E3741E">
        <w:t xml:space="preserve">Figure </w:t>
      </w:r>
      <w:r w:rsidR="008F5489" w:rsidRPr="00E3741E">
        <w:t>1</w:t>
      </w:r>
      <w:r w:rsidR="00EA53E2" w:rsidRPr="00E3741E">
        <w:t xml:space="preserve"> shows </w:t>
      </w:r>
      <w:r w:rsidR="00733755" w:rsidRPr="00E3741E">
        <w:t xml:space="preserve">the distribution of thermal efficiencies for the </w:t>
      </w:r>
      <w:r w:rsidR="007A5038" w:rsidRPr="00E3741E">
        <w:t>965</w:t>
      </w:r>
      <w:r w:rsidR="00EA53E2" w:rsidRPr="00E3741E">
        <w:t xml:space="preserve"> large non-condensing storage water heater </w:t>
      </w:r>
      <w:r w:rsidR="007A5038" w:rsidRPr="00E3741E">
        <w:t>products</w:t>
      </w:r>
      <w:r w:rsidR="00733755" w:rsidRPr="00E3741E">
        <w:t xml:space="preserve"> found</w:t>
      </w:r>
      <w:r w:rsidR="00EA53E2" w:rsidRPr="00E3741E">
        <w:t xml:space="preserve"> </w:t>
      </w:r>
      <w:r w:rsidR="00441123">
        <w:t xml:space="preserve">in the </w:t>
      </w:r>
      <w:r w:rsidR="00733755" w:rsidRPr="00E3741E">
        <w:t xml:space="preserve">CEC Database.  </w:t>
      </w:r>
      <w:r w:rsidR="007A5038" w:rsidRPr="00E3741E">
        <w:t xml:space="preserve">About 80% of the products </w:t>
      </w:r>
      <w:r w:rsidR="00441123">
        <w:t>are</w:t>
      </w:r>
      <w:r w:rsidR="007A5038" w:rsidRPr="00E3741E">
        <w:t xml:space="preserve"> considered baseline</w:t>
      </w:r>
      <w:r w:rsidR="003E2E47">
        <w:t xml:space="preserve"> while</w:t>
      </w:r>
      <w:r w:rsidR="007A5038">
        <w:t xml:space="preserve"> 20% of the products meet the minimum TE for Tier 1.  </w:t>
      </w:r>
      <w:r w:rsidR="00EA53E2">
        <w:t xml:space="preserve">Figure </w:t>
      </w:r>
      <w:r w:rsidR="008F5489">
        <w:t>2</w:t>
      </w:r>
      <w:r w:rsidR="00EA53E2">
        <w:t xml:space="preserve"> shows </w:t>
      </w:r>
      <w:r w:rsidR="00733755">
        <w:t xml:space="preserve">the distribution of thermal efficiencies for the </w:t>
      </w:r>
      <w:r w:rsidR="007A5038">
        <w:t>266</w:t>
      </w:r>
      <w:r w:rsidR="00733755">
        <w:t xml:space="preserve"> </w:t>
      </w:r>
      <w:r w:rsidR="00EA53E2">
        <w:t xml:space="preserve">large condensing storage water heater </w:t>
      </w:r>
      <w:r w:rsidR="007A5038">
        <w:t>products</w:t>
      </w:r>
      <w:r w:rsidR="00EA53E2">
        <w:t xml:space="preserve"> </w:t>
      </w:r>
      <w:r w:rsidR="00733755">
        <w:t xml:space="preserve">found in the CEC Database.  </w:t>
      </w:r>
      <w:r w:rsidR="00EA53E2">
        <w:t xml:space="preserve"> </w:t>
      </w:r>
      <w:r w:rsidR="00441123">
        <w:t xml:space="preserve">Over </w:t>
      </w:r>
      <w:r w:rsidR="007A5038">
        <w:t xml:space="preserve">90% of the products meet the minimum TE for Tier 2.  </w:t>
      </w:r>
      <w:r w:rsidR="00C65AB5">
        <w:t xml:space="preserve">Note: The CEC Appliance Database does not </w:t>
      </w:r>
      <w:r w:rsidR="00C65AB5">
        <w:lastRenderedPageBreak/>
        <w:t>consider emission compliance which would reduce the number of available water heaters for more than 77% of California’s populations</w:t>
      </w:r>
      <w:r w:rsidR="00C65AB5">
        <w:rPr>
          <w:rStyle w:val="EndnoteReference"/>
        </w:rPr>
        <w:endnoteReference w:id="4"/>
      </w:r>
      <w:r w:rsidR="00C65AB5">
        <w:t>.</w:t>
      </w:r>
    </w:p>
    <w:p w:rsidR="004D3539" w:rsidRDefault="004D3539" w:rsidP="00EA53E2">
      <w:pPr>
        <w:pStyle w:val="Vertical"/>
      </w:pPr>
    </w:p>
    <w:p w:rsidR="00A653E0" w:rsidRDefault="00A653E0" w:rsidP="00EA53E2">
      <w:pPr>
        <w:pStyle w:val="Vertical"/>
      </w:pPr>
    </w:p>
    <w:p w:rsidR="00EA53E2" w:rsidRDefault="00EA53E2" w:rsidP="00733755">
      <w:pPr>
        <w:pStyle w:val="Vertical"/>
        <w:keepNext/>
      </w:pPr>
      <w:r>
        <w:rPr>
          <w:noProof/>
        </w:rPr>
        <w:drawing>
          <wp:inline distT="0" distB="0" distL="0" distR="0" wp14:anchorId="45564A54" wp14:editId="1A6E5DBF">
            <wp:extent cx="4572000" cy="2743200"/>
            <wp:effectExtent l="0" t="0" r="19050" b="1905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A53E2" w:rsidRPr="00BC3DD7" w:rsidRDefault="00350153" w:rsidP="00350153">
      <w:pPr>
        <w:pStyle w:val="FIG"/>
        <w:numPr>
          <w:ilvl w:val="0"/>
          <w:numId w:val="0"/>
        </w:numPr>
        <w:rPr>
          <w:color w:val="FFFFFF" w:themeColor="background1"/>
        </w:rPr>
      </w:pPr>
      <w:bookmarkStart w:id="20" w:name="_Toc370197566"/>
      <w:bookmarkStart w:id="21" w:name="_Toc461101181"/>
      <w:r>
        <w:t xml:space="preserve">Figure 1 - </w:t>
      </w:r>
      <w:r w:rsidR="007A5038">
        <w:t xml:space="preserve">Distribution of </w:t>
      </w:r>
      <w:r w:rsidR="00EA53E2">
        <w:t>Thermal Efficienc</w:t>
      </w:r>
      <w:r w:rsidR="007A5038">
        <w:t>ies</w:t>
      </w:r>
      <w:r w:rsidR="00EA53E2">
        <w:t xml:space="preserve"> for Non-condensing Large Storage Water Heaters in the CEC Appliance Efficiency Database</w:t>
      </w:r>
      <w:bookmarkEnd w:id="20"/>
      <w:bookmarkEnd w:id="21"/>
    </w:p>
    <w:p w:rsidR="00EA53E2" w:rsidRDefault="00EA53E2" w:rsidP="00A653E0">
      <w:pPr>
        <w:pStyle w:val="Vertical"/>
        <w:jc w:val="left"/>
      </w:pPr>
    </w:p>
    <w:p w:rsidR="00EA53E2" w:rsidRDefault="00EA53E2" w:rsidP="00EA53E2">
      <w:pPr>
        <w:pStyle w:val="Vertical"/>
      </w:pPr>
      <w:r>
        <w:rPr>
          <w:noProof/>
        </w:rPr>
        <w:drawing>
          <wp:inline distT="0" distB="0" distL="0" distR="0" wp14:anchorId="170F2B13" wp14:editId="3BF444B4">
            <wp:extent cx="4572000" cy="2743200"/>
            <wp:effectExtent l="0" t="0" r="19050" b="1905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653E0" w:rsidRDefault="00350153" w:rsidP="00350153">
      <w:pPr>
        <w:pStyle w:val="FIG"/>
        <w:numPr>
          <w:ilvl w:val="0"/>
          <w:numId w:val="0"/>
        </w:numPr>
      </w:pPr>
      <w:bookmarkStart w:id="22" w:name="_Toc461101182"/>
      <w:r>
        <w:t xml:space="preserve">Figure 2 - </w:t>
      </w:r>
      <w:r w:rsidR="00A653E0" w:rsidRPr="00350153">
        <w:t>Distribution</w:t>
      </w:r>
      <w:r w:rsidR="00A653E0">
        <w:t xml:space="preserve"> of Thermal Efficiencies for Condensing Large Storage Water Heaters in the CEC Appliance Efficiency Database</w:t>
      </w:r>
      <w:bookmarkEnd w:id="22"/>
    </w:p>
    <w:p w:rsidR="00EA53E2" w:rsidRDefault="00EA53E2" w:rsidP="00EA53E2">
      <w:pPr>
        <w:pStyle w:val="Vertical"/>
      </w:pPr>
    </w:p>
    <w:p w:rsidR="003E2E47" w:rsidRDefault="003E2E47" w:rsidP="003E2E47">
      <w:pPr>
        <w:pStyle w:val="PR1"/>
      </w:pPr>
      <w:r>
        <w:t>Market Applicability</w:t>
      </w:r>
    </w:p>
    <w:p w:rsidR="00803C83" w:rsidRDefault="008D525C" w:rsidP="00872847">
      <w:pPr>
        <w:pStyle w:val="WPPR2"/>
        <w:numPr>
          <w:ilvl w:val="0"/>
          <w:numId w:val="0"/>
        </w:numPr>
        <w:spacing w:before="240"/>
        <w:ind w:left="1080"/>
      </w:pPr>
      <w:r w:rsidRPr="00D0217D">
        <w:lastRenderedPageBreak/>
        <w:t>Th</w:t>
      </w:r>
      <w:r>
        <w:t>ese</w:t>
      </w:r>
      <w:r w:rsidRPr="00D0217D">
        <w:t xml:space="preserve"> measure</w:t>
      </w:r>
      <w:r>
        <w:t>s</w:t>
      </w:r>
      <w:r w:rsidRPr="00D0217D">
        <w:t xml:space="preserve"> </w:t>
      </w:r>
      <w:r>
        <w:t>are a</w:t>
      </w:r>
      <w:r w:rsidR="004D3539">
        <w:t xml:space="preserve">pplicable to </w:t>
      </w:r>
      <w:r>
        <w:t>multifamily properties</w:t>
      </w:r>
      <w:r w:rsidR="004D3539">
        <w:t xml:space="preserve">.  </w:t>
      </w:r>
      <w:r>
        <w:t xml:space="preserve">The </w:t>
      </w:r>
      <w:r w:rsidR="003E2E47">
        <w:t>large natural gas central water heaters must</w:t>
      </w:r>
      <w:r w:rsidR="00803C83">
        <w:t xml:space="preserve"> serve two or m</w:t>
      </w:r>
      <w:r w:rsidR="003E2E47">
        <w:t>ore dwelling units (households) to be eligible for incentives.</w:t>
      </w:r>
    </w:p>
    <w:p w:rsidR="000D5E5B" w:rsidRDefault="000D5E5B" w:rsidP="000D5E5B">
      <w:pPr>
        <w:pStyle w:val="WPPR1"/>
      </w:pPr>
      <w:r>
        <w:t>Terms &amp; Conditions</w:t>
      </w:r>
    </w:p>
    <w:p w:rsidR="00286E8D" w:rsidRDefault="001172DE" w:rsidP="00872847">
      <w:pPr>
        <w:pStyle w:val="PR2"/>
      </w:pPr>
      <w:r w:rsidRPr="006A6691">
        <w:t xml:space="preserve">The rebate applies to gas-for-gas equipment replacements on burnout </w:t>
      </w:r>
      <w:r w:rsidR="008D525C">
        <w:t>(ROB)</w:t>
      </w:r>
      <w:r w:rsidRPr="006A6691">
        <w:t>.</w:t>
      </w:r>
      <w:r w:rsidR="000747F3">
        <w:t xml:space="preserve"> </w:t>
      </w:r>
    </w:p>
    <w:p w:rsidR="00286E8D" w:rsidRDefault="003D5CE3" w:rsidP="00872847">
      <w:pPr>
        <w:pStyle w:val="PR2"/>
      </w:pPr>
      <w:r>
        <w:t xml:space="preserve">Qualifying storage water heaters must have an input rate of at least 75 </w:t>
      </w:r>
      <w:r w:rsidR="00FD52AD">
        <w:t>kBtuh</w:t>
      </w:r>
      <w:r>
        <w:t xml:space="preserve"> and a storage tank size of at least 80 gallons. </w:t>
      </w:r>
    </w:p>
    <w:p w:rsidR="00286E8D" w:rsidRDefault="008942A0" w:rsidP="00872847">
      <w:pPr>
        <w:pStyle w:val="PR2"/>
      </w:pPr>
      <w:r w:rsidRPr="008942A0">
        <w:t xml:space="preserve">Tankless water heaters </w:t>
      </w:r>
      <w:r w:rsidR="008D525C">
        <w:t xml:space="preserve">or hot water boilers </w:t>
      </w:r>
      <w:r w:rsidRPr="008942A0">
        <w:t>with a separate storage tank that are factory mounted on the same skid do not qualify as a storage water heater</w:t>
      </w:r>
      <w:bookmarkStart w:id="23" w:name="_Ref320695554"/>
      <w:r w:rsidRPr="008942A0">
        <w:t xml:space="preserve">. </w:t>
      </w:r>
      <w:bookmarkEnd w:id="23"/>
    </w:p>
    <w:p w:rsidR="00286E8D" w:rsidRDefault="0079091C" w:rsidP="00872847">
      <w:pPr>
        <w:pStyle w:val="PR2"/>
      </w:pPr>
      <w:r>
        <w:t>S</w:t>
      </w:r>
      <w:r w:rsidR="000E58C4" w:rsidRPr="00A50306">
        <w:t xml:space="preserve">torage water heaters used for space heating applications do not qualify. </w:t>
      </w:r>
    </w:p>
    <w:p w:rsidR="00286E8D" w:rsidRDefault="00373F7C" w:rsidP="00872847">
      <w:pPr>
        <w:pStyle w:val="PR2"/>
      </w:pPr>
      <w:r w:rsidRPr="00A50306">
        <w:t xml:space="preserve">Water heaters used for pools or spas do not qualify.  </w:t>
      </w:r>
    </w:p>
    <w:p w:rsidR="00286E8D" w:rsidRDefault="00D0217D" w:rsidP="00872847">
      <w:pPr>
        <w:pStyle w:val="PR2"/>
      </w:pPr>
      <w:r w:rsidRPr="00D0217D">
        <w:t xml:space="preserve">The manufacturer’s name and equipment model number must be provided.  </w:t>
      </w:r>
    </w:p>
    <w:p w:rsidR="000D5E5B" w:rsidRDefault="00D0217D" w:rsidP="00872847">
      <w:pPr>
        <w:pStyle w:val="PR2"/>
      </w:pPr>
      <w:r w:rsidRPr="00D0217D">
        <w:t xml:space="preserve">If necessary, customer must provide proof of unit efficiency (e.g., manufacturer’s equipment specification sheet).  </w:t>
      </w:r>
    </w:p>
    <w:p w:rsidR="006B612B" w:rsidRDefault="006B612B" w:rsidP="00872847">
      <w:pPr>
        <w:pStyle w:val="PR2"/>
      </w:pPr>
      <w:r>
        <w:t xml:space="preserve">The equipment model must be listed on </w:t>
      </w:r>
      <w:r w:rsidRPr="00E3741E">
        <w:t>California Energy Commission Energy Efficiency Appliance Database</w:t>
      </w:r>
      <w:r>
        <w:t xml:space="preserve"> (CEC Database)</w:t>
      </w:r>
      <w:r w:rsidRPr="00E3741E">
        <w:rPr>
          <w:rStyle w:val="EndnoteReference"/>
        </w:rPr>
        <w:endnoteReference w:id="5"/>
      </w:r>
      <w:r>
        <w:t xml:space="preserve"> to qualify for the rebate.</w:t>
      </w:r>
    </w:p>
    <w:p w:rsidR="00C65AB5" w:rsidRDefault="00C65AB5" w:rsidP="00C65AB5">
      <w:pPr>
        <w:pStyle w:val="PR2"/>
      </w:pPr>
      <w:r>
        <w:t>The equipment must meet the m</w:t>
      </w:r>
      <w:r w:rsidRPr="00C65AB5">
        <w:t>inimum emission requirements per air district.</w:t>
      </w:r>
    </w:p>
    <w:p w:rsidR="00373F7C" w:rsidRDefault="00373F7C" w:rsidP="0079091C">
      <w:pPr>
        <w:pStyle w:val="WPPR1"/>
        <w:spacing w:after="240"/>
      </w:pPr>
      <w:r>
        <w:t>Delivery Method</w:t>
      </w:r>
    </w:p>
    <w:p w:rsidR="000D5E5B" w:rsidRDefault="00CA1EEB" w:rsidP="00872847">
      <w:pPr>
        <w:pStyle w:val="PR2"/>
        <w:numPr>
          <w:ilvl w:val="0"/>
          <w:numId w:val="0"/>
        </w:numPr>
        <w:ind w:left="1080"/>
      </w:pPr>
      <w:r>
        <w:t>The preferred delivery method is a downstream prescriptive rebate offered to the</w:t>
      </w:r>
      <w:r w:rsidR="004D3539">
        <w:t xml:space="preserve"> gas customer purchasing the storage water heater</w:t>
      </w:r>
      <w:r>
        <w:t>.  However, a midstream point-of-sale rebate or an upstream manufacturer rebate strategy may also be implemented.</w:t>
      </w:r>
      <w:r w:rsidR="00031327">
        <w:t xml:space="preserve"> </w:t>
      </w:r>
    </w:p>
    <w:p w:rsidR="001C644E" w:rsidRDefault="001C644E" w:rsidP="00E97D72">
      <w:pPr>
        <w:pStyle w:val="WPART"/>
      </w:pPr>
      <w:bookmarkStart w:id="24" w:name="_Toc214003084"/>
      <w:bookmarkStart w:id="25" w:name="_Toc461101283"/>
      <w:r w:rsidRPr="001248A3">
        <w:t>DEER Differences Analysis</w:t>
      </w:r>
      <w:bookmarkEnd w:id="24"/>
      <w:bookmarkEnd w:id="25"/>
    </w:p>
    <w:p w:rsidR="003758D9" w:rsidRDefault="003758D9" w:rsidP="0079091C">
      <w:pPr>
        <w:pStyle w:val="PR1"/>
        <w:numPr>
          <w:ilvl w:val="2"/>
          <w:numId w:val="44"/>
        </w:numPr>
        <w:spacing w:after="240"/>
      </w:pPr>
      <w:r>
        <w:t xml:space="preserve">Baseline </w:t>
      </w:r>
      <w:r w:rsidR="003A5ACA">
        <w:t xml:space="preserve">and Measure </w:t>
      </w:r>
      <w:r>
        <w:t>Efficiency</w:t>
      </w:r>
    </w:p>
    <w:p w:rsidR="003758D9" w:rsidRDefault="003A5ACA" w:rsidP="00872847">
      <w:pPr>
        <w:pStyle w:val="WPPR2"/>
        <w:numPr>
          <w:ilvl w:val="0"/>
          <w:numId w:val="0"/>
        </w:numPr>
        <w:ind w:left="1080"/>
      </w:pPr>
      <w:r w:rsidRPr="00C17A74">
        <w:t xml:space="preserve">Large storage water heaters for multifamily residential applications are not </w:t>
      </w:r>
      <w:r w:rsidR="00792FD8">
        <w:t>specified</w:t>
      </w:r>
      <w:r w:rsidR="00792FD8" w:rsidRPr="00C17A74">
        <w:t xml:space="preserve"> </w:t>
      </w:r>
      <w:r w:rsidRPr="00C17A74">
        <w:t>in</w:t>
      </w:r>
      <w:r w:rsidRPr="00CA7FE4">
        <w:t xml:space="preserve"> the 201</w:t>
      </w:r>
      <w:r w:rsidR="00124FAF">
        <w:t>3</w:t>
      </w:r>
      <w:r w:rsidRPr="00CA7FE4">
        <w:t xml:space="preserve"> Database for Energy-Efficien</w:t>
      </w:r>
      <w:r w:rsidR="004B755E">
        <w:t>cy</w:t>
      </w:r>
      <w:r w:rsidRPr="00CA7FE4">
        <w:t xml:space="preserve"> Resources (</w:t>
      </w:r>
      <w:r w:rsidR="00124FAF">
        <w:t>DEER2013</w:t>
      </w:r>
      <w:r w:rsidRPr="00CA7FE4">
        <w:t xml:space="preserve">) </w:t>
      </w:r>
      <w:bookmarkStart w:id="26" w:name="_Ref336253297"/>
      <w:r w:rsidR="008366B8">
        <w:t>Update for 2014 Codes</w:t>
      </w:r>
      <w:r w:rsidRPr="00CA7FE4">
        <w:t>.</w:t>
      </w:r>
      <w:r w:rsidRPr="00CA7FE4">
        <w:rPr>
          <w:rStyle w:val="EndnoteReference"/>
        </w:rPr>
        <w:endnoteReference w:id="6"/>
      </w:r>
      <w:bookmarkEnd w:id="26"/>
      <w:r w:rsidR="00A35397">
        <w:t xml:space="preserve">  </w:t>
      </w:r>
      <w:r>
        <w:t xml:space="preserve">Table 1 lists the baseline and measure efficiencies for commercial storage water heaters found in the </w:t>
      </w:r>
      <w:bookmarkStart w:id="27" w:name="_Ref320803193"/>
      <w:r w:rsidR="003F0619">
        <w:t>DEER2013</w:t>
      </w:r>
      <w:r>
        <w:t>.</w:t>
      </w:r>
      <w:bookmarkEnd w:id="27"/>
      <w:r w:rsidR="00A35397">
        <w:t xml:space="preserve">  </w:t>
      </w:r>
      <w:r w:rsidR="00792FD8">
        <w:t xml:space="preserve">This workpaper uses commercial storage water heaters because they are typically found in </w:t>
      </w:r>
      <w:r w:rsidR="00172A6E">
        <w:t>multifamily</w:t>
      </w:r>
      <w:r w:rsidR="00792FD8">
        <w:t xml:space="preserve"> buildings. </w:t>
      </w:r>
      <w:r w:rsidR="00A35397">
        <w:t>All of these storage water heaters have standby losses of 0.56% per hour.  Standby losses are expressed a</w:t>
      </w:r>
      <w:r w:rsidR="001E690B">
        <w:t>s a</w:t>
      </w:r>
      <w:r w:rsidR="00A35397">
        <w:t xml:space="preserve"> percentage of the energy stored in the hot water relative to the average ambient air temperature.  </w:t>
      </w:r>
      <w:r w:rsidR="003758D9">
        <w:t xml:space="preserve">The minimum baseline DEER </w:t>
      </w:r>
      <w:r w:rsidR="003758D9" w:rsidRPr="001131B7">
        <w:t xml:space="preserve">efficiencies </w:t>
      </w:r>
      <w:r w:rsidR="003758D9">
        <w:t xml:space="preserve">listed in Table 1 were applied to </w:t>
      </w:r>
      <w:r w:rsidR="00CA7FE4">
        <w:t xml:space="preserve">the baseline </w:t>
      </w:r>
      <w:r w:rsidR="003758D9">
        <w:t xml:space="preserve">large storage water heaters for multifamily residential applications.  The minimum </w:t>
      </w:r>
      <w:r w:rsidR="003758D9" w:rsidRPr="001131B7">
        <w:t xml:space="preserve">qualifying </w:t>
      </w:r>
      <w:r w:rsidR="003758D9">
        <w:t xml:space="preserve">DEER </w:t>
      </w:r>
      <w:r w:rsidR="003758D9" w:rsidRPr="001131B7">
        <w:t xml:space="preserve">measure efficiencies </w:t>
      </w:r>
      <w:r w:rsidR="003758D9">
        <w:t xml:space="preserve">listed in </w:t>
      </w:r>
      <w:r w:rsidR="000B6DCF">
        <w:fldChar w:fldCharType="begin"/>
      </w:r>
      <w:r w:rsidR="000B6DCF">
        <w:instrText xml:space="preserve"> REF _Ref370196449 \h </w:instrText>
      </w:r>
      <w:r w:rsidR="000B6DCF">
        <w:fldChar w:fldCharType="separate"/>
      </w:r>
      <w:r w:rsidR="00CB1976">
        <w:t xml:space="preserve">Table </w:t>
      </w:r>
      <w:r w:rsidR="00CB1976">
        <w:rPr>
          <w:noProof/>
        </w:rPr>
        <w:t>1</w:t>
      </w:r>
      <w:r w:rsidR="000B6DCF">
        <w:fldChar w:fldCharType="end"/>
      </w:r>
      <w:r w:rsidR="000B6DCF">
        <w:t xml:space="preserve"> </w:t>
      </w:r>
      <w:r w:rsidR="003758D9">
        <w:t xml:space="preserve">were applied to </w:t>
      </w:r>
      <w:r w:rsidR="00CA7FE4">
        <w:t xml:space="preserve">the Tier 1 </w:t>
      </w:r>
      <w:r w:rsidR="001E690B">
        <w:t xml:space="preserve">and Tier 2 </w:t>
      </w:r>
      <w:r w:rsidR="003758D9">
        <w:t>large storage water heater</w:t>
      </w:r>
      <w:r w:rsidR="001E690B">
        <w:t xml:space="preserve"> measures</w:t>
      </w:r>
      <w:r w:rsidR="003758D9">
        <w:t xml:space="preserve"> for multifamily residential applications.  </w:t>
      </w:r>
    </w:p>
    <w:p w:rsidR="000E1B3F" w:rsidRDefault="000E1B3F" w:rsidP="000E1B3F">
      <w:pPr>
        <w:pStyle w:val="Vertical"/>
      </w:pPr>
    </w:p>
    <w:p w:rsidR="000E1B3F" w:rsidRPr="00DA636A" w:rsidRDefault="000E1B3F" w:rsidP="00A653E0">
      <w:pPr>
        <w:pStyle w:val="TBL"/>
      </w:pPr>
      <w:bookmarkStart w:id="28" w:name="_Toc370197553"/>
      <w:bookmarkStart w:id="29" w:name="_Toc461101270"/>
      <w:r w:rsidRPr="00AF7BFD">
        <w:t>Commercial Storage</w:t>
      </w:r>
      <w:r w:rsidRPr="00DA636A">
        <w:t xml:space="preserve"> Water Heater </w:t>
      </w:r>
      <w:r>
        <w:t xml:space="preserve">Thermal </w:t>
      </w:r>
      <w:r w:rsidRPr="00DA636A">
        <w:t xml:space="preserve">Efficiencies in </w:t>
      </w:r>
      <w:r w:rsidR="00B367D6">
        <w:t>DEER2013</w:t>
      </w:r>
      <w:bookmarkEnd w:id="28"/>
      <w:bookmarkEnd w:id="29"/>
    </w:p>
    <w:tbl>
      <w:tblPr>
        <w:tblStyle w:val="TableGrid"/>
        <w:tblW w:w="9370" w:type="dxa"/>
        <w:jc w:val="center"/>
        <w:tblCellMar>
          <w:top w:w="43" w:type="dxa"/>
          <w:left w:w="115" w:type="dxa"/>
          <w:bottom w:w="43" w:type="dxa"/>
          <w:right w:w="115" w:type="dxa"/>
        </w:tblCellMar>
        <w:tblLook w:val="01E0" w:firstRow="1" w:lastRow="1" w:firstColumn="1" w:lastColumn="1" w:noHBand="0" w:noVBand="0"/>
      </w:tblPr>
      <w:tblGrid>
        <w:gridCol w:w="6138"/>
        <w:gridCol w:w="1621"/>
        <w:gridCol w:w="1611"/>
      </w:tblGrid>
      <w:tr w:rsidR="000E1B3F" w:rsidTr="001C7496">
        <w:trPr>
          <w:trHeight w:val="20"/>
          <w:jc w:val="center"/>
        </w:trPr>
        <w:tc>
          <w:tcPr>
            <w:tcW w:w="6138" w:type="dxa"/>
            <w:shd w:val="clear" w:color="auto" w:fill="BFBFBF" w:themeFill="background1" w:themeFillShade="BF"/>
            <w:vAlign w:val="bottom"/>
          </w:tcPr>
          <w:p w:rsidR="000E1B3F" w:rsidRPr="00420887" w:rsidRDefault="000E1B3F" w:rsidP="001C7496">
            <w:pPr>
              <w:pStyle w:val="Normal1"/>
              <w:spacing w:after="0" w:line="240" w:lineRule="auto"/>
              <w:jc w:val="center"/>
              <w:rPr>
                <w:rFonts w:ascii="Arial" w:hAnsi="Arial" w:cs="Arial"/>
                <w:b/>
                <w:sz w:val="18"/>
                <w:szCs w:val="18"/>
              </w:rPr>
            </w:pPr>
            <w:r>
              <w:rPr>
                <w:rFonts w:ascii="Arial" w:hAnsi="Arial" w:cs="Arial"/>
                <w:b/>
                <w:sz w:val="18"/>
                <w:szCs w:val="18"/>
              </w:rPr>
              <w:t>Equipment Type</w:t>
            </w:r>
          </w:p>
        </w:tc>
        <w:tc>
          <w:tcPr>
            <w:tcW w:w="1621" w:type="dxa"/>
            <w:shd w:val="clear" w:color="auto" w:fill="BFBFBF" w:themeFill="background1" w:themeFillShade="BF"/>
            <w:vAlign w:val="bottom"/>
          </w:tcPr>
          <w:p w:rsidR="000E1B3F" w:rsidRPr="00420887" w:rsidRDefault="000E1B3F" w:rsidP="001C7496">
            <w:pPr>
              <w:pStyle w:val="Normal1"/>
              <w:spacing w:after="0" w:line="240" w:lineRule="auto"/>
              <w:jc w:val="center"/>
              <w:rPr>
                <w:rFonts w:ascii="Arial" w:hAnsi="Arial" w:cs="Arial"/>
                <w:b/>
                <w:sz w:val="18"/>
                <w:szCs w:val="18"/>
              </w:rPr>
            </w:pPr>
            <w:r>
              <w:rPr>
                <w:rFonts w:ascii="Arial" w:hAnsi="Arial" w:cs="Arial"/>
                <w:b/>
                <w:sz w:val="18"/>
                <w:szCs w:val="18"/>
              </w:rPr>
              <w:t>DEER Baseline</w:t>
            </w:r>
          </w:p>
        </w:tc>
        <w:tc>
          <w:tcPr>
            <w:tcW w:w="1611" w:type="dxa"/>
            <w:shd w:val="clear" w:color="auto" w:fill="BFBFBF" w:themeFill="background1" w:themeFillShade="BF"/>
            <w:vAlign w:val="bottom"/>
          </w:tcPr>
          <w:p w:rsidR="000E1B3F" w:rsidRPr="00420887" w:rsidRDefault="000E1B3F" w:rsidP="001C7496">
            <w:pPr>
              <w:pStyle w:val="Normal1"/>
              <w:spacing w:after="0" w:line="240" w:lineRule="auto"/>
              <w:jc w:val="center"/>
              <w:rPr>
                <w:rFonts w:ascii="Arial" w:hAnsi="Arial" w:cs="Arial"/>
                <w:b/>
                <w:sz w:val="18"/>
                <w:szCs w:val="18"/>
              </w:rPr>
            </w:pPr>
            <w:r>
              <w:rPr>
                <w:rFonts w:ascii="Arial" w:hAnsi="Arial" w:cs="Arial"/>
                <w:b/>
                <w:sz w:val="18"/>
                <w:szCs w:val="18"/>
              </w:rPr>
              <w:t>DEER Measure</w:t>
            </w:r>
          </w:p>
        </w:tc>
      </w:tr>
      <w:tr w:rsidR="000E1B3F" w:rsidTr="001C7496">
        <w:trPr>
          <w:trHeight w:val="20"/>
          <w:jc w:val="center"/>
        </w:trPr>
        <w:tc>
          <w:tcPr>
            <w:tcW w:w="6138" w:type="dxa"/>
          </w:tcPr>
          <w:p w:rsidR="000E1B3F" w:rsidRDefault="000E1B3F" w:rsidP="001C7496">
            <w:pPr>
              <w:rPr>
                <w:rFonts w:cs="Arial"/>
                <w:color w:val="000000"/>
                <w:sz w:val="18"/>
                <w:szCs w:val="18"/>
              </w:rPr>
            </w:pPr>
            <w:r>
              <w:rPr>
                <w:rFonts w:cs="Arial"/>
                <w:color w:val="000000"/>
                <w:sz w:val="18"/>
                <w:szCs w:val="18"/>
              </w:rPr>
              <w:t>Comme</w:t>
            </w:r>
            <w:r w:rsidR="003D5CE3">
              <w:rPr>
                <w:rFonts w:cs="Arial"/>
                <w:color w:val="000000"/>
                <w:sz w:val="18"/>
                <w:szCs w:val="18"/>
              </w:rPr>
              <w:t>rcial Storage Water Heater &gt;75 k</w:t>
            </w:r>
            <w:r>
              <w:rPr>
                <w:rFonts w:cs="Arial"/>
                <w:color w:val="000000"/>
                <w:sz w:val="18"/>
                <w:szCs w:val="18"/>
              </w:rPr>
              <w:t>Btu</w:t>
            </w:r>
            <w:r w:rsidR="009B5935">
              <w:rPr>
                <w:rFonts w:cs="Arial"/>
                <w:color w:val="000000"/>
                <w:sz w:val="18"/>
                <w:szCs w:val="18"/>
              </w:rPr>
              <w:t>h</w:t>
            </w:r>
            <w:r>
              <w:rPr>
                <w:rFonts w:cs="Arial"/>
                <w:color w:val="000000"/>
                <w:sz w:val="18"/>
                <w:szCs w:val="18"/>
              </w:rPr>
              <w:t>, Tier 1 (non-condensing)</w:t>
            </w:r>
            <w:r w:rsidR="00792FD8">
              <w:rPr>
                <w:rFonts w:cs="Arial"/>
                <w:color w:val="000000"/>
                <w:sz w:val="18"/>
                <w:szCs w:val="18"/>
              </w:rPr>
              <w:t>,</w:t>
            </w:r>
          </w:p>
          <w:p w:rsidR="00792FD8" w:rsidRPr="00E56236" w:rsidRDefault="00792FD8" w:rsidP="001C7496">
            <w:pPr>
              <w:rPr>
                <w:rFonts w:cs="Arial"/>
                <w:sz w:val="18"/>
                <w:szCs w:val="18"/>
              </w:rPr>
            </w:pPr>
            <w:r>
              <w:rPr>
                <w:rFonts w:cs="Arial"/>
                <w:sz w:val="18"/>
                <w:szCs w:val="18"/>
              </w:rPr>
              <w:t xml:space="preserve">Readi ID: </w:t>
            </w:r>
            <w:r w:rsidRPr="00792FD8">
              <w:rPr>
                <w:rFonts w:cs="Arial"/>
                <w:sz w:val="18"/>
                <w:szCs w:val="18"/>
              </w:rPr>
              <w:t>NG-WtrHt-LrgStrg-Gas-gte75kBtuh-0p83Et</w:t>
            </w:r>
          </w:p>
        </w:tc>
        <w:tc>
          <w:tcPr>
            <w:tcW w:w="1621" w:type="dxa"/>
            <w:vAlign w:val="center"/>
          </w:tcPr>
          <w:p w:rsidR="000E1B3F" w:rsidRPr="00C82CF9" w:rsidRDefault="000E1B3F" w:rsidP="001C7496">
            <w:pPr>
              <w:jc w:val="center"/>
              <w:rPr>
                <w:rFonts w:cs="Arial"/>
                <w:color w:val="000000"/>
                <w:sz w:val="18"/>
              </w:rPr>
            </w:pPr>
            <w:r w:rsidRPr="00C82CF9">
              <w:rPr>
                <w:rFonts w:cs="Arial"/>
                <w:color w:val="000000"/>
                <w:sz w:val="18"/>
              </w:rPr>
              <w:t>80%</w:t>
            </w:r>
          </w:p>
        </w:tc>
        <w:tc>
          <w:tcPr>
            <w:tcW w:w="1611" w:type="dxa"/>
            <w:vAlign w:val="center"/>
          </w:tcPr>
          <w:p w:rsidR="000E1B3F" w:rsidRPr="00C82CF9" w:rsidRDefault="000E1B3F" w:rsidP="001C7496">
            <w:pPr>
              <w:jc w:val="center"/>
              <w:rPr>
                <w:rFonts w:cs="Arial"/>
                <w:color w:val="000000"/>
                <w:sz w:val="18"/>
              </w:rPr>
            </w:pPr>
            <w:r w:rsidRPr="00C82CF9">
              <w:rPr>
                <w:rFonts w:cs="Arial"/>
                <w:color w:val="000000"/>
                <w:sz w:val="18"/>
              </w:rPr>
              <w:t>8</w:t>
            </w:r>
            <w:r>
              <w:rPr>
                <w:rFonts w:cs="Arial"/>
                <w:color w:val="000000"/>
                <w:sz w:val="18"/>
              </w:rPr>
              <w:t>3</w:t>
            </w:r>
            <w:r w:rsidRPr="00C82CF9">
              <w:rPr>
                <w:rFonts w:cs="Arial"/>
                <w:color w:val="000000"/>
                <w:sz w:val="18"/>
              </w:rPr>
              <w:t>%</w:t>
            </w:r>
          </w:p>
        </w:tc>
      </w:tr>
      <w:tr w:rsidR="000E1B3F" w:rsidTr="001C7496">
        <w:trPr>
          <w:trHeight w:val="20"/>
          <w:jc w:val="center"/>
        </w:trPr>
        <w:tc>
          <w:tcPr>
            <w:tcW w:w="6138" w:type="dxa"/>
          </w:tcPr>
          <w:p w:rsidR="000E1B3F" w:rsidRDefault="000E1B3F" w:rsidP="001C7496">
            <w:pPr>
              <w:rPr>
                <w:rFonts w:cs="Arial"/>
                <w:sz w:val="18"/>
                <w:szCs w:val="18"/>
              </w:rPr>
            </w:pPr>
            <w:r>
              <w:rPr>
                <w:rFonts w:cs="Arial"/>
                <w:color w:val="000000"/>
                <w:sz w:val="18"/>
                <w:szCs w:val="18"/>
              </w:rPr>
              <w:t>Comme</w:t>
            </w:r>
            <w:r w:rsidR="003D5CE3">
              <w:rPr>
                <w:rFonts w:cs="Arial"/>
                <w:color w:val="000000"/>
                <w:sz w:val="18"/>
                <w:szCs w:val="18"/>
              </w:rPr>
              <w:t>rcial Storage Water Heater &gt;75 k</w:t>
            </w:r>
            <w:r>
              <w:rPr>
                <w:rFonts w:cs="Arial"/>
                <w:color w:val="000000"/>
                <w:sz w:val="18"/>
                <w:szCs w:val="18"/>
              </w:rPr>
              <w:t>Btu</w:t>
            </w:r>
            <w:r w:rsidR="009B5935">
              <w:rPr>
                <w:rFonts w:cs="Arial"/>
                <w:color w:val="000000"/>
                <w:sz w:val="18"/>
                <w:szCs w:val="18"/>
              </w:rPr>
              <w:t>h</w:t>
            </w:r>
            <w:r>
              <w:rPr>
                <w:rFonts w:cs="Arial"/>
                <w:color w:val="000000"/>
                <w:sz w:val="18"/>
                <w:szCs w:val="18"/>
              </w:rPr>
              <w:t xml:space="preserve">, Tier </w:t>
            </w:r>
            <w:r>
              <w:rPr>
                <w:rFonts w:cs="Arial"/>
                <w:sz w:val="18"/>
                <w:szCs w:val="18"/>
              </w:rPr>
              <w:t>2 (condensing)</w:t>
            </w:r>
            <w:r w:rsidR="00792FD8">
              <w:rPr>
                <w:rFonts w:cs="Arial"/>
                <w:sz w:val="18"/>
                <w:szCs w:val="18"/>
              </w:rPr>
              <w:t>,</w:t>
            </w:r>
          </w:p>
          <w:p w:rsidR="00792FD8" w:rsidRPr="00E56236" w:rsidRDefault="00792FD8" w:rsidP="001C7496">
            <w:pPr>
              <w:rPr>
                <w:rFonts w:cs="Arial"/>
                <w:sz w:val="18"/>
                <w:szCs w:val="18"/>
              </w:rPr>
            </w:pPr>
            <w:r>
              <w:rPr>
                <w:rFonts w:cs="Arial"/>
                <w:sz w:val="18"/>
                <w:szCs w:val="18"/>
              </w:rPr>
              <w:t xml:space="preserve">Readi ID: </w:t>
            </w:r>
            <w:r w:rsidRPr="00792FD8">
              <w:rPr>
                <w:rFonts w:cs="Arial"/>
                <w:sz w:val="18"/>
                <w:szCs w:val="18"/>
              </w:rPr>
              <w:t>NG-W</w:t>
            </w:r>
            <w:r>
              <w:rPr>
                <w:rFonts w:cs="Arial"/>
                <w:sz w:val="18"/>
                <w:szCs w:val="18"/>
              </w:rPr>
              <w:t>trHt-LrgStrg-Gas-gte75kBtuh-0p90</w:t>
            </w:r>
            <w:r w:rsidRPr="00792FD8">
              <w:rPr>
                <w:rFonts w:cs="Arial"/>
                <w:sz w:val="18"/>
                <w:szCs w:val="18"/>
              </w:rPr>
              <w:t>Et</w:t>
            </w:r>
          </w:p>
        </w:tc>
        <w:tc>
          <w:tcPr>
            <w:tcW w:w="1621" w:type="dxa"/>
            <w:vAlign w:val="center"/>
          </w:tcPr>
          <w:p w:rsidR="000E1B3F" w:rsidRPr="00C82CF9" w:rsidRDefault="000E1B3F" w:rsidP="001C7496">
            <w:pPr>
              <w:jc w:val="center"/>
              <w:rPr>
                <w:rFonts w:cs="Arial"/>
                <w:color w:val="000000"/>
                <w:sz w:val="18"/>
              </w:rPr>
            </w:pPr>
            <w:r w:rsidRPr="00C82CF9">
              <w:rPr>
                <w:rFonts w:cs="Arial"/>
                <w:color w:val="000000"/>
                <w:sz w:val="18"/>
              </w:rPr>
              <w:t>80%</w:t>
            </w:r>
          </w:p>
        </w:tc>
        <w:tc>
          <w:tcPr>
            <w:tcW w:w="1611" w:type="dxa"/>
            <w:vAlign w:val="center"/>
          </w:tcPr>
          <w:p w:rsidR="000E1B3F" w:rsidRPr="00C82CF9" w:rsidRDefault="000E1B3F" w:rsidP="001C7496">
            <w:pPr>
              <w:jc w:val="center"/>
              <w:rPr>
                <w:rFonts w:cs="Arial"/>
                <w:color w:val="000000"/>
                <w:sz w:val="18"/>
              </w:rPr>
            </w:pPr>
            <w:r>
              <w:rPr>
                <w:rFonts w:cs="Arial"/>
                <w:color w:val="000000"/>
                <w:sz w:val="18"/>
              </w:rPr>
              <w:t>90</w:t>
            </w:r>
            <w:r w:rsidRPr="00C82CF9">
              <w:rPr>
                <w:rFonts w:cs="Arial"/>
                <w:color w:val="000000"/>
                <w:sz w:val="18"/>
              </w:rPr>
              <w:t>%</w:t>
            </w:r>
          </w:p>
        </w:tc>
      </w:tr>
    </w:tbl>
    <w:p w:rsidR="000E1B3F" w:rsidRPr="000E1B3F" w:rsidRDefault="000E1B3F" w:rsidP="000E1B3F">
      <w:pPr>
        <w:pStyle w:val="Vertical"/>
        <w:rPr>
          <w:highlight w:val="yellow"/>
        </w:rPr>
      </w:pPr>
    </w:p>
    <w:p w:rsidR="00CA7FE4" w:rsidRPr="00CA7FE4" w:rsidRDefault="00455758" w:rsidP="0079091C">
      <w:pPr>
        <w:pStyle w:val="WPPR1"/>
        <w:spacing w:after="240"/>
      </w:pPr>
      <w:r>
        <w:t>Equipment Useful</w:t>
      </w:r>
      <w:r w:rsidR="003C639A" w:rsidRPr="00CA7FE4">
        <w:t xml:space="preserve"> </w:t>
      </w:r>
      <w:r w:rsidR="00C43FA7">
        <w:t>Life</w:t>
      </w:r>
    </w:p>
    <w:p w:rsidR="003C639A" w:rsidRPr="00CA7FE4" w:rsidRDefault="00455758" w:rsidP="00872847">
      <w:pPr>
        <w:pStyle w:val="PR2"/>
        <w:numPr>
          <w:ilvl w:val="0"/>
          <w:numId w:val="0"/>
        </w:numPr>
        <w:ind w:left="1152"/>
      </w:pPr>
      <w:r>
        <w:t>DEER2013</w:t>
      </w:r>
      <w:r w:rsidRPr="00CA7FE4">
        <w:t xml:space="preserve"> includes equipment useful life (EUL) values for water heaters.</w:t>
      </w:r>
      <w:r>
        <w:t xml:space="preserve"> </w:t>
      </w:r>
      <w:r w:rsidR="00CA7FE4" w:rsidRPr="00CA7FE4">
        <w:t xml:space="preserve">The EUL is 11 years for residential </w:t>
      </w:r>
      <w:r w:rsidR="005763B9">
        <w:t xml:space="preserve">natural gas </w:t>
      </w:r>
      <w:r w:rsidR="00CA7FE4" w:rsidRPr="00CA7FE4">
        <w:t>storage water heaters</w:t>
      </w:r>
      <w:r w:rsidR="005763B9">
        <w:t xml:space="preserve"> (</w:t>
      </w:r>
      <w:r w:rsidR="005763B9" w:rsidRPr="005763B9">
        <w:t>WtrHt-SmlStrg-Gas-Res</w:t>
      </w:r>
      <w:r w:rsidR="005763B9">
        <w:t>)</w:t>
      </w:r>
      <w:r w:rsidR="0079091C">
        <w:t xml:space="preserve">. </w:t>
      </w:r>
      <w:r w:rsidR="00CA7FE4" w:rsidRPr="00CA7FE4">
        <w:t xml:space="preserve">The EUL </w:t>
      </w:r>
      <w:r w:rsidR="00CA7FE4" w:rsidRPr="00CA7FE4">
        <w:lastRenderedPageBreak/>
        <w:t xml:space="preserve">is 15 years for </w:t>
      </w:r>
      <w:r w:rsidR="005763B9">
        <w:t>large</w:t>
      </w:r>
      <w:r w:rsidR="00CA7FE4" w:rsidRPr="00CA7FE4">
        <w:t xml:space="preserve"> </w:t>
      </w:r>
      <w:r w:rsidR="005763B9">
        <w:t xml:space="preserve">natural gas </w:t>
      </w:r>
      <w:r w:rsidR="00CA7FE4" w:rsidRPr="00CA7FE4">
        <w:t>storage water heaters</w:t>
      </w:r>
      <w:r w:rsidR="005763B9">
        <w:t xml:space="preserve"> (</w:t>
      </w:r>
      <w:r w:rsidR="005763B9" w:rsidRPr="005763B9">
        <w:t>WtrHt-LrgStrg-Gas</w:t>
      </w:r>
      <w:r w:rsidR="005763B9">
        <w:t>)</w:t>
      </w:r>
      <w:r w:rsidR="0079091C">
        <w:t xml:space="preserve">. </w:t>
      </w:r>
      <w:r w:rsidR="000E1B3F">
        <w:t>B</w:t>
      </w:r>
      <w:r w:rsidR="000E1B3F" w:rsidRPr="00CA7FE4">
        <w:t xml:space="preserve">ecause commercial storage water heaters are used as central storage water heaters </w:t>
      </w:r>
      <w:r w:rsidR="000E1B3F">
        <w:t>in</w:t>
      </w:r>
      <w:r w:rsidR="000E1B3F" w:rsidRPr="00CA7FE4">
        <w:t xml:space="preserve"> multifamily residential applications</w:t>
      </w:r>
      <w:r w:rsidR="000E1B3F">
        <w:t>, t</w:t>
      </w:r>
      <w:r w:rsidR="00CA7FE4" w:rsidRPr="00CA7FE4">
        <w:t xml:space="preserve">he appropriate EUL </w:t>
      </w:r>
      <w:r w:rsidR="000E1B3F">
        <w:t>for</w:t>
      </w:r>
      <w:r w:rsidR="00CA7FE4" w:rsidRPr="00CA7FE4">
        <w:t xml:space="preserve"> use in this workpaper is 15 years</w:t>
      </w:r>
      <w:r w:rsidR="00A35397">
        <w:t xml:space="preserve"> (see Section 1.04)</w:t>
      </w:r>
      <w:r w:rsidR="000E1B3F">
        <w:t xml:space="preserve">. </w:t>
      </w:r>
      <w:r w:rsidR="00CA7FE4" w:rsidRPr="00CA7FE4">
        <w:t xml:space="preserve"> </w:t>
      </w:r>
    </w:p>
    <w:p w:rsidR="00455758" w:rsidRDefault="00455758" w:rsidP="003C639A">
      <w:pPr>
        <w:pStyle w:val="WPPR1"/>
      </w:pPr>
      <w:r>
        <w:t>Net to Gross Ratio</w:t>
      </w:r>
    </w:p>
    <w:p w:rsidR="003C639A" w:rsidRPr="00CA7FE4" w:rsidRDefault="003C639A" w:rsidP="00872847">
      <w:pPr>
        <w:pStyle w:val="WPPR1"/>
        <w:numPr>
          <w:ilvl w:val="0"/>
          <w:numId w:val="0"/>
        </w:numPr>
        <w:ind w:left="1080" w:firstLine="72"/>
      </w:pPr>
      <w:r w:rsidRPr="00CA7FE4">
        <w:t xml:space="preserve">The </w:t>
      </w:r>
      <w:r w:rsidR="00576B10">
        <w:t>DEER2013</w:t>
      </w:r>
      <w:r w:rsidRPr="00CA7FE4">
        <w:t xml:space="preserve"> </w:t>
      </w:r>
      <w:r w:rsidR="00CA7FE4" w:rsidRPr="00CA7FE4">
        <w:t>value</w:t>
      </w:r>
      <w:r w:rsidR="00A35397">
        <w:t>s</w:t>
      </w:r>
      <w:r w:rsidR="00CA7FE4" w:rsidRPr="00CA7FE4">
        <w:t xml:space="preserve"> for </w:t>
      </w:r>
      <w:r w:rsidRPr="00CA7FE4">
        <w:t xml:space="preserve">net-to-gross (NTG) ratio </w:t>
      </w:r>
      <w:r w:rsidR="00EC05EC">
        <w:t>are</w:t>
      </w:r>
      <w:r w:rsidR="00CA7FE4" w:rsidRPr="00CA7FE4">
        <w:t xml:space="preserve"> used i</w:t>
      </w:r>
      <w:r w:rsidRPr="00CA7FE4">
        <w:t>n this workpaper</w:t>
      </w:r>
      <w:r w:rsidR="00EC05EC">
        <w:t xml:space="preserve"> (see Section 1.05)</w:t>
      </w:r>
      <w:r w:rsidRPr="00CA7FE4">
        <w:t xml:space="preserve">.  </w:t>
      </w:r>
    </w:p>
    <w:p w:rsidR="003758D9" w:rsidRPr="005725D7" w:rsidRDefault="003758D9" w:rsidP="003758D9">
      <w:pPr>
        <w:pStyle w:val="WPPR1"/>
      </w:pPr>
      <w:r w:rsidRPr="005725D7">
        <w:t>Incremental Measure Cost</w:t>
      </w:r>
    </w:p>
    <w:p w:rsidR="008F5489" w:rsidRPr="003758D9" w:rsidRDefault="0022514F" w:rsidP="00872847">
      <w:pPr>
        <w:pStyle w:val="WPPR2"/>
        <w:numPr>
          <w:ilvl w:val="0"/>
          <w:numId w:val="0"/>
        </w:numPr>
        <w:spacing w:before="240"/>
        <w:ind w:left="1080"/>
      </w:pPr>
      <w:r>
        <w:t xml:space="preserve">The </w:t>
      </w:r>
      <w:r w:rsidR="002A726B">
        <w:t>DEER</w:t>
      </w:r>
      <w:r>
        <w:t>2013</w:t>
      </w:r>
      <w:r w:rsidR="002A726B">
        <w:t xml:space="preserve"> contains a measure for large storage water heaters with a TE of 82% and a baseline of 80%.  Although the baseline </w:t>
      </w:r>
      <w:r w:rsidR="00A13DF0">
        <w:t xml:space="preserve">of 80% </w:t>
      </w:r>
      <w:r w:rsidR="002A726B">
        <w:t xml:space="preserve">is the same, </w:t>
      </w:r>
      <w:r w:rsidR="009E726B">
        <w:t xml:space="preserve">DEER does not </w:t>
      </w:r>
      <w:r w:rsidR="002A726B">
        <w:t>contain cost data for large storage water heaters with a TE of 83% or 90%</w:t>
      </w:r>
      <w:r w:rsidR="009E726B">
        <w:t xml:space="preserve"> in</w:t>
      </w:r>
      <w:r w:rsidR="00FB78E8">
        <w:t xml:space="preserve"> the 2008, 2011, or 2013 database</w:t>
      </w:r>
      <w:r w:rsidR="009E726B">
        <w:t>s</w:t>
      </w:r>
      <w:r w:rsidR="002A726B">
        <w:t>.</w:t>
      </w:r>
      <w:r w:rsidR="00792FD8">
        <w:t xml:space="preserve"> </w:t>
      </w:r>
      <w:r w:rsidR="003758D9" w:rsidRPr="007F0F51">
        <w:t>Since the efficiencies used here are di</w:t>
      </w:r>
      <w:r w:rsidR="009E726B">
        <w:t xml:space="preserve">fferent from those used for the </w:t>
      </w:r>
      <w:r w:rsidR="003758D9" w:rsidRPr="007F0F51">
        <w:t>DEER</w:t>
      </w:r>
      <w:r w:rsidR="009E726B">
        <w:t>2013</w:t>
      </w:r>
      <w:r w:rsidR="003758D9" w:rsidRPr="007F0F51">
        <w:t xml:space="preserve"> database, the incremental measure costs found in</w:t>
      </w:r>
      <w:r w:rsidR="009E726B">
        <w:t xml:space="preserve"> </w:t>
      </w:r>
      <w:r w:rsidR="003758D9" w:rsidRPr="007F0F51">
        <w:t>DEER</w:t>
      </w:r>
      <w:r w:rsidR="009E726B">
        <w:t>2013</w:t>
      </w:r>
      <w:r w:rsidR="003758D9" w:rsidRPr="007F0F51">
        <w:t xml:space="preserve"> do not apply.  </w:t>
      </w:r>
      <w:r w:rsidR="00E54914">
        <w:t>Cost was data derived from Technical Support Document (TSD) “Commercial Water heating Equipment (EERE-2014-BT-STD-0042)”</w:t>
      </w:r>
      <w:bookmarkStart w:id="30" w:name="_Ref460320749"/>
      <w:r w:rsidR="00E54914">
        <w:rPr>
          <w:rStyle w:val="EndnoteReference"/>
        </w:rPr>
        <w:endnoteReference w:id="7"/>
      </w:r>
      <w:bookmarkEnd w:id="30"/>
      <w:r w:rsidR="00E54914">
        <w:t>.</w:t>
      </w:r>
      <w:r w:rsidR="00180F60">
        <w:t xml:space="preserve"> </w:t>
      </w:r>
      <w:r w:rsidR="003C639A" w:rsidRPr="003758D9">
        <w:t xml:space="preserve">The incremental measure costs used in this workpaper are </w:t>
      </w:r>
      <w:r w:rsidR="003758D9" w:rsidRPr="003758D9">
        <w:t xml:space="preserve">based on </w:t>
      </w:r>
      <w:r w:rsidR="00E54914">
        <w:t>the cost data provided by the TSD</w:t>
      </w:r>
      <w:r w:rsidR="003C639A" w:rsidRPr="003758D9">
        <w:t xml:space="preserve">.  </w:t>
      </w:r>
    </w:p>
    <w:p w:rsidR="003F2BB3" w:rsidRDefault="001C644E" w:rsidP="00E97D72">
      <w:pPr>
        <w:pStyle w:val="WPART"/>
      </w:pPr>
      <w:bookmarkStart w:id="31" w:name="_Toc214003087"/>
      <w:bookmarkStart w:id="32" w:name="_Toc461101284"/>
      <w:r>
        <w:t>Code Analysis</w:t>
      </w:r>
      <w:bookmarkEnd w:id="31"/>
      <w:bookmarkEnd w:id="32"/>
    </w:p>
    <w:p w:rsidR="00E54914" w:rsidRDefault="006E093F" w:rsidP="00E54914">
      <w:pPr>
        <w:pStyle w:val="WPPR1"/>
        <w:numPr>
          <w:ilvl w:val="0"/>
          <w:numId w:val="0"/>
        </w:numPr>
        <w:ind w:left="720"/>
      </w:pPr>
      <w:r>
        <w:t>The minimum baseline efficiency is</w:t>
      </w:r>
      <w:r w:rsidRPr="002E7DC6">
        <w:t xml:space="preserve"> </w:t>
      </w:r>
      <w:r>
        <w:t>consistent with the California Title 20</w:t>
      </w:r>
      <w:r w:rsidRPr="00BA170E">
        <w:t xml:space="preserve"> standard</w:t>
      </w:r>
      <w:r>
        <w:t xml:space="preserve"> for large gas storage water heaters with less than 4,000 Btu</w:t>
      </w:r>
      <w:r w:rsidR="00792FD8">
        <w:t>h</w:t>
      </w:r>
      <w:r>
        <w:t xml:space="preserve"> of rated input per gallon of measured storage volume</w:t>
      </w:r>
      <w:r w:rsidRPr="008D7EBF">
        <w:rPr>
          <w:vertAlign w:val="superscript"/>
        </w:rPr>
        <w:fldChar w:fldCharType="begin"/>
      </w:r>
      <w:r w:rsidRPr="008D7EBF">
        <w:rPr>
          <w:vertAlign w:val="superscript"/>
        </w:rPr>
        <w:instrText xml:space="preserve"> NOTEREF _Ref362440280 \h </w:instrText>
      </w:r>
      <w:r>
        <w:rPr>
          <w:vertAlign w:val="superscript"/>
        </w:rPr>
        <w:instrText xml:space="preserve"> \* MERGEFORMAT </w:instrText>
      </w:r>
      <w:r w:rsidRPr="008D7EBF">
        <w:rPr>
          <w:vertAlign w:val="superscript"/>
        </w:rPr>
      </w:r>
      <w:r w:rsidRPr="008D7EBF">
        <w:rPr>
          <w:vertAlign w:val="superscript"/>
        </w:rPr>
        <w:fldChar w:fldCharType="separate"/>
      </w:r>
      <w:r w:rsidR="00CB1976">
        <w:rPr>
          <w:vertAlign w:val="superscript"/>
        </w:rPr>
        <w:t>2</w:t>
      </w:r>
      <w:r w:rsidRPr="008D7EBF">
        <w:rPr>
          <w:vertAlign w:val="superscript"/>
        </w:rPr>
        <w:fldChar w:fldCharType="end"/>
      </w:r>
      <w:r w:rsidR="00E54914">
        <w:t>.</w:t>
      </w:r>
      <w:r>
        <w:t xml:space="preserve"> T</w:t>
      </w:r>
      <w:r w:rsidR="009C5C1A">
        <w:t xml:space="preserve">he minimum </w:t>
      </w:r>
      <w:r>
        <w:t>qua</w:t>
      </w:r>
      <w:r w:rsidR="008D7EBF">
        <w:t xml:space="preserve">lifying measure efficiencies exceed </w:t>
      </w:r>
      <w:r w:rsidR="009C5C1A">
        <w:t xml:space="preserve">the </w:t>
      </w:r>
      <w:r w:rsidR="003758D9">
        <w:t>California Title 20</w:t>
      </w:r>
      <w:r w:rsidR="009C5C1A" w:rsidRPr="00BA170E">
        <w:t xml:space="preserve"> standard</w:t>
      </w:r>
      <w:r w:rsidR="008D7EBF">
        <w:t xml:space="preserve"> for large gas storage water heaters with less than 4,000 Btu</w:t>
      </w:r>
      <w:r w:rsidR="00792FD8">
        <w:t>h</w:t>
      </w:r>
      <w:r w:rsidR="008D7EBF">
        <w:t xml:space="preserve"> of rated input per gallon of measured storage volume</w:t>
      </w:r>
      <w:r w:rsidR="008D7EBF" w:rsidRPr="008D7EBF">
        <w:rPr>
          <w:vertAlign w:val="superscript"/>
        </w:rPr>
        <w:fldChar w:fldCharType="begin"/>
      </w:r>
      <w:r w:rsidR="008D7EBF" w:rsidRPr="008D7EBF">
        <w:rPr>
          <w:vertAlign w:val="superscript"/>
        </w:rPr>
        <w:instrText xml:space="preserve"> NOTEREF _Ref362440280 \h </w:instrText>
      </w:r>
      <w:r w:rsidR="008D7EBF">
        <w:rPr>
          <w:vertAlign w:val="superscript"/>
        </w:rPr>
        <w:instrText xml:space="preserve"> \* MERGEFORMAT </w:instrText>
      </w:r>
      <w:r w:rsidR="008D7EBF" w:rsidRPr="008D7EBF">
        <w:rPr>
          <w:vertAlign w:val="superscript"/>
        </w:rPr>
      </w:r>
      <w:r w:rsidR="008D7EBF" w:rsidRPr="008D7EBF">
        <w:rPr>
          <w:vertAlign w:val="superscript"/>
        </w:rPr>
        <w:fldChar w:fldCharType="separate"/>
      </w:r>
      <w:r w:rsidR="00CB1976">
        <w:rPr>
          <w:vertAlign w:val="superscript"/>
        </w:rPr>
        <w:t>2</w:t>
      </w:r>
      <w:r w:rsidR="008D7EBF" w:rsidRPr="008D7EBF">
        <w:rPr>
          <w:vertAlign w:val="superscript"/>
        </w:rPr>
        <w:fldChar w:fldCharType="end"/>
      </w:r>
      <w:r w:rsidR="00E54914">
        <w:t>.</w:t>
      </w:r>
    </w:p>
    <w:p w:rsidR="00E54914" w:rsidRDefault="00E54914" w:rsidP="00E54914">
      <w:pPr>
        <w:pStyle w:val="WPPR1"/>
        <w:numPr>
          <w:ilvl w:val="0"/>
          <w:numId w:val="0"/>
        </w:numPr>
        <w:ind w:left="720"/>
      </w:pPr>
    </w:p>
    <w:p w:rsidR="00E54914" w:rsidRPr="00FE427A" w:rsidRDefault="00E54914" w:rsidP="00A653E0">
      <w:pPr>
        <w:pStyle w:val="TBL"/>
      </w:pPr>
      <w:bookmarkStart w:id="33" w:name="_Toc405282103"/>
      <w:bookmarkStart w:id="34" w:name="_Toc405283902"/>
      <w:bookmarkStart w:id="35" w:name="_Toc405283996"/>
      <w:bookmarkStart w:id="36" w:name="_Toc405367575"/>
      <w:bookmarkStart w:id="37" w:name="_Toc405368158"/>
      <w:bookmarkStart w:id="38" w:name="_Toc405368284"/>
      <w:bookmarkStart w:id="39" w:name="_Toc405282104"/>
      <w:bookmarkStart w:id="40" w:name="_Toc405283903"/>
      <w:bookmarkStart w:id="41" w:name="_Toc405283997"/>
      <w:bookmarkStart w:id="42" w:name="_Toc405367576"/>
      <w:bookmarkStart w:id="43" w:name="_Toc405368159"/>
      <w:bookmarkStart w:id="44" w:name="_Toc405368285"/>
      <w:bookmarkStart w:id="45" w:name="_Toc405282105"/>
      <w:bookmarkStart w:id="46" w:name="_Toc405283904"/>
      <w:bookmarkStart w:id="47" w:name="_Toc405283998"/>
      <w:bookmarkStart w:id="48" w:name="_Toc405367577"/>
      <w:bookmarkStart w:id="49" w:name="_Toc405368160"/>
      <w:bookmarkStart w:id="50" w:name="_Toc405368286"/>
      <w:bookmarkStart w:id="51" w:name="_Toc405282106"/>
      <w:bookmarkStart w:id="52" w:name="_Toc405283905"/>
      <w:bookmarkStart w:id="53" w:name="_Toc405283999"/>
      <w:bookmarkStart w:id="54" w:name="_Toc405367578"/>
      <w:bookmarkStart w:id="55" w:name="_Toc405368161"/>
      <w:bookmarkStart w:id="56" w:name="_Toc405368287"/>
      <w:bookmarkStart w:id="57" w:name="_Toc457313709"/>
      <w:bookmarkStart w:id="58" w:name="_Toc461101271"/>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rsidRPr="00FE427A">
        <w:t>Code Summary</w:t>
      </w:r>
      <w:bookmarkEnd w:id="57"/>
      <w:bookmarkEnd w:id="58"/>
    </w:p>
    <w:tbl>
      <w:tblPr>
        <w:tblStyle w:val="TableContemporary"/>
        <w:tblW w:w="8027" w:type="dxa"/>
        <w:jc w:val="center"/>
        <w:tblLook w:val="04A0" w:firstRow="1" w:lastRow="0" w:firstColumn="1" w:lastColumn="0" w:noHBand="0" w:noVBand="1"/>
      </w:tblPr>
      <w:tblGrid>
        <w:gridCol w:w="1854"/>
        <w:gridCol w:w="4352"/>
        <w:gridCol w:w="1821"/>
      </w:tblGrid>
      <w:tr w:rsidR="00E54914" w:rsidRPr="005B28C1" w:rsidTr="007A7754">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E54914" w:rsidRPr="009C1777" w:rsidRDefault="00E54914" w:rsidP="007A7754">
            <w:pPr>
              <w:jc w:val="center"/>
              <w:rPr>
                <w:rFonts w:asciiTheme="minorHAnsi" w:hAnsiTheme="minorHAnsi" w:cstheme="minorHAnsi"/>
              </w:rPr>
            </w:pPr>
            <w:r w:rsidRPr="009C1777">
              <w:rPr>
                <w:rFonts w:asciiTheme="minorHAnsi" w:hAnsiTheme="minorHAnsi" w:cstheme="minorHAnsi"/>
              </w:rPr>
              <w:t>Code</w:t>
            </w:r>
          </w:p>
        </w:tc>
        <w:tc>
          <w:tcPr>
            <w:tcW w:w="4352" w:type="dxa"/>
          </w:tcPr>
          <w:p w:rsidR="00E54914" w:rsidRPr="009C1777" w:rsidRDefault="00E54914" w:rsidP="007A7754">
            <w:pPr>
              <w:jc w:val="center"/>
              <w:rPr>
                <w:rFonts w:asciiTheme="minorHAnsi" w:hAnsiTheme="minorHAnsi" w:cstheme="minorHAnsi"/>
              </w:rPr>
            </w:pPr>
            <w:r>
              <w:rPr>
                <w:rFonts w:asciiTheme="minorHAnsi" w:hAnsiTheme="minorHAnsi" w:cstheme="minorHAnsi"/>
              </w:rPr>
              <w:t>Applicable Code Reference</w:t>
            </w:r>
          </w:p>
        </w:tc>
        <w:tc>
          <w:tcPr>
            <w:tcW w:w="1821" w:type="dxa"/>
          </w:tcPr>
          <w:p w:rsidR="00E54914" w:rsidRDefault="00E54914" w:rsidP="007A7754">
            <w:pPr>
              <w:jc w:val="center"/>
              <w:rPr>
                <w:rFonts w:asciiTheme="minorHAnsi" w:hAnsiTheme="minorHAnsi" w:cstheme="minorHAnsi"/>
              </w:rPr>
            </w:pPr>
            <w:r>
              <w:rPr>
                <w:rFonts w:asciiTheme="minorHAnsi" w:hAnsiTheme="minorHAnsi" w:cstheme="minorHAnsi"/>
              </w:rPr>
              <w:t>Effective Dates</w:t>
            </w:r>
          </w:p>
        </w:tc>
      </w:tr>
      <w:tr w:rsidR="00E54914" w:rsidRPr="005B28C1" w:rsidTr="007A7754">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E54914" w:rsidRPr="009E1CDE" w:rsidRDefault="00E54914" w:rsidP="007A7754">
            <w:pPr>
              <w:jc w:val="center"/>
              <w:rPr>
                <w:rFonts w:asciiTheme="minorHAnsi" w:hAnsiTheme="minorHAnsi" w:cstheme="minorHAnsi"/>
              </w:rPr>
            </w:pPr>
            <w:r w:rsidRPr="000F5D67">
              <w:rPr>
                <w:rFonts w:asciiTheme="minorHAnsi" w:hAnsiTheme="minorHAnsi" w:cstheme="minorHAnsi"/>
              </w:rPr>
              <w:t>Title 24 (201</w:t>
            </w:r>
            <w:r>
              <w:rPr>
                <w:rFonts w:asciiTheme="minorHAnsi" w:hAnsiTheme="minorHAnsi" w:cstheme="minorHAnsi"/>
              </w:rPr>
              <w:t>3</w:t>
            </w:r>
            <w:r w:rsidRPr="000F5D67">
              <w:rPr>
                <w:rFonts w:asciiTheme="minorHAnsi" w:hAnsiTheme="minorHAnsi" w:cstheme="minorHAnsi"/>
              </w:rPr>
              <w:t>)</w:t>
            </w:r>
          </w:p>
        </w:tc>
        <w:tc>
          <w:tcPr>
            <w:tcW w:w="4352" w:type="dxa"/>
            <w:vAlign w:val="center"/>
          </w:tcPr>
          <w:p w:rsidR="00E54914" w:rsidRPr="009C1777" w:rsidRDefault="00E54914" w:rsidP="007A7754">
            <w:pPr>
              <w:jc w:val="center"/>
              <w:rPr>
                <w:rFonts w:asciiTheme="minorHAnsi" w:hAnsiTheme="minorHAnsi" w:cstheme="minorHAnsi"/>
                <w:color w:val="FF0000"/>
              </w:rPr>
            </w:pPr>
            <w:r w:rsidRPr="000F5D67">
              <w:rPr>
                <w:rFonts w:asciiTheme="minorHAnsi" w:hAnsiTheme="minorHAnsi" w:cstheme="minorHAnsi"/>
              </w:rPr>
              <w:t>Section 110.3</w:t>
            </w:r>
          </w:p>
        </w:tc>
        <w:tc>
          <w:tcPr>
            <w:tcW w:w="1821" w:type="dxa"/>
            <w:vAlign w:val="center"/>
          </w:tcPr>
          <w:p w:rsidR="00E54914" w:rsidRDefault="00E54914" w:rsidP="007A7754">
            <w:pPr>
              <w:jc w:val="center"/>
              <w:rPr>
                <w:rFonts w:asciiTheme="minorHAnsi" w:hAnsiTheme="minorHAnsi" w:cstheme="minorHAnsi"/>
                <w:color w:val="FF0000"/>
              </w:rPr>
            </w:pPr>
            <w:r w:rsidRPr="000F5D67">
              <w:rPr>
                <w:rFonts w:asciiTheme="minorHAnsi" w:hAnsiTheme="minorHAnsi" w:cstheme="minorHAnsi"/>
              </w:rPr>
              <w:t>11/26/2013</w:t>
            </w:r>
          </w:p>
        </w:tc>
      </w:tr>
      <w:tr w:rsidR="00E54914" w:rsidRPr="005B28C1" w:rsidTr="007A7754">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E54914" w:rsidRPr="009E1CDE" w:rsidRDefault="00E54914" w:rsidP="007A7754">
            <w:pPr>
              <w:jc w:val="center"/>
              <w:rPr>
                <w:rFonts w:asciiTheme="minorHAnsi" w:hAnsiTheme="minorHAnsi" w:cstheme="minorHAnsi"/>
              </w:rPr>
            </w:pPr>
            <w:r w:rsidRPr="000F5D67">
              <w:rPr>
                <w:rFonts w:asciiTheme="minorHAnsi" w:hAnsiTheme="minorHAnsi" w:cstheme="minorHAnsi"/>
              </w:rPr>
              <w:t>Title 20 (201</w:t>
            </w:r>
            <w:r>
              <w:rPr>
                <w:rFonts w:asciiTheme="minorHAnsi" w:hAnsiTheme="minorHAnsi" w:cstheme="minorHAnsi"/>
              </w:rPr>
              <w:t>4</w:t>
            </w:r>
            <w:r w:rsidRPr="000F5D67">
              <w:rPr>
                <w:rFonts w:asciiTheme="minorHAnsi" w:hAnsiTheme="minorHAnsi" w:cstheme="minorHAnsi"/>
              </w:rPr>
              <w:t>)</w:t>
            </w:r>
          </w:p>
        </w:tc>
        <w:tc>
          <w:tcPr>
            <w:tcW w:w="4352" w:type="dxa"/>
            <w:vAlign w:val="center"/>
          </w:tcPr>
          <w:p w:rsidR="00E54914" w:rsidRPr="009C1777" w:rsidRDefault="00E54914" w:rsidP="007A7754">
            <w:pPr>
              <w:jc w:val="center"/>
              <w:rPr>
                <w:rFonts w:asciiTheme="minorHAnsi" w:hAnsiTheme="minorHAnsi" w:cstheme="minorHAnsi"/>
                <w:color w:val="FF0000"/>
              </w:rPr>
            </w:pPr>
            <w:r w:rsidRPr="000F5D67">
              <w:rPr>
                <w:rFonts w:asciiTheme="minorHAnsi" w:hAnsiTheme="minorHAnsi" w:cstheme="minorHAnsi"/>
              </w:rPr>
              <w:t>Section 1605.3(f)</w:t>
            </w:r>
          </w:p>
        </w:tc>
        <w:tc>
          <w:tcPr>
            <w:tcW w:w="1821" w:type="dxa"/>
            <w:vAlign w:val="center"/>
          </w:tcPr>
          <w:p w:rsidR="00E54914" w:rsidRDefault="00E54914" w:rsidP="007A7754">
            <w:pPr>
              <w:jc w:val="center"/>
              <w:rPr>
                <w:rFonts w:asciiTheme="minorHAnsi" w:hAnsiTheme="minorHAnsi" w:cstheme="minorHAnsi"/>
                <w:color w:val="FF0000"/>
              </w:rPr>
            </w:pPr>
            <w:r w:rsidRPr="000F5D67">
              <w:rPr>
                <w:rFonts w:asciiTheme="minorHAnsi" w:hAnsiTheme="minorHAnsi" w:cstheme="minorHAnsi"/>
              </w:rPr>
              <w:t>1/20/2004</w:t>
            </w:r>
          </w:p>
        </w:tc>
      </w:tr>
      <w:tr w:rsidR="00E54914" w:rsidRPr="005B28C1" w:rsidTr="007A7754">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E54914" w:rsidRDefault="00E54914" w:rsidP="007A7754">
            <w:pPr>
              <w:jc w:val="center"/>
              <w:rPr>
                <w:rFonts w:asciiTheme="minorHAnsi" w:hAnsiTheme="minorHAnsi" w:cstheme="minorHAnsi"/>
                <w:color w:val="FF0000"/>
              </w:rPr>
            </w:pPr>
            <w:r w:rsidRPr="00BD2D5E">
              <w:rPr>
                <w:rFonts w:asciiTheme="minorHAnsi" w:hAnsiTheme="minorHAnsi" w:cstheme="minorHAnsi"/>
              </w:rPr>
              <w:t>Code of Federal Regulations</w:t>
            </w:r>
          </w:p>
        </w:tc>
        <w:tc>
          <w:tcPr>
            <w:tcW w:w="4352" w:type="dxa"/>
            <w:vAlign w:val="center"/>
          </w:tcPr>
          <w:p w:rsidR="00E54914" w:rsidRDefault="00E54914" w:rsidP="007A7754">
            <w:pPr>
              <w:jc w:val="center"/>
              <w:rPr>
                <w:rFonts w:asciiTheme="minorHAnsi" w:hAnsiTheme="minorHAnsi" w:cstheme="minorHAnsi"/>
                <w:color w:val="FF0000"/>
              </w:rPr>
            </w:pPr>
            <w:r w:rsidRPr="00BD2D5E">
              <w:rPr>
                <w:rFonts w:asciiTheme="minorHAnsi" w:hAnsiTheme="minorHAnsi" w:cstheme="minorHAnsi"/>
              </w:rPr>
              <w:t>10 CFR 430.32(d)</w:t>
            </w:r>
          </w:p>
        </w:tc>
        <w:tc>
          <w:tcPr>
            <w:tcW w:w="1821" w:type="dxa"/>
            <w:vAlign w:val="center"/>
          </w:tcPr>
          <w:p w:rsidR="00E54914" w:rsidRDefault="00E54914" w:rsidP="007A7754">
            <w:pPr>
              <w:jc w:val="center"/>
              <w:rPr>
                <w:rFonts w:asciiTheme="minorHAnsi" w:hAnsiTheme="minorHAnsi" w:cstheme="minorHAnsi"/>
                <w:color w:val="FF0000"/>
              </w:rPr>
            </w:pPr>
            <w:r w:rsidRPr="00BD2D5E">
              <w:rPr>
                <w:rFonts w:asciiTheme="minorHAnsi" w:hAnsiTheme="minorHAnsi" w:cstheme="minorHAnsi"/>
              </w:rPr>
              <w:t>04/16/2015</w:t>
            </w:r>
          </w:p>
        </w:tc>
      </w:tr>
      <w:tr w:rsidR="00E54914" w:rsidRPr="005B28C1" w:rsidTr="007A7754">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E54914" w:rsidRPr="00BD2D5E" w:rsidRDefault="00E54914" w:rsidP="007A7754">
            <w:pPr>
              <w:jc w:val="center"/>
              <w:rPr>
                <w:rFonts w:asciiTheme="minorHAnsi" w:hAnsiTheme="minorHAnsi" w:cstheme="minorHAnsi"/>
              </w:rPr>
            </w:pPr>
            <w:r>
              <w:rPr>
                <w:rFonts w:asciiTheme="minorHAnsi" w:hAnsiTheme="minorHAnsi" w:cstheme="minorHAnsi"/>
              </w:rPr>
              <w:t>South Coast AQMD</w:t>
            </w:r>
          </w:p>
        </w:tc>
        <w:tc>
          <w:tcPr>
            <w:tcW w:w="4352" w:type="dxa"/>
            <w:vAlign w:val="center"/>
          </w:tcPr>
          <w:p w:rsidR="00E54914" w:rsidRPr="00BD2D5E" w:rsidRDefault="00E54914" w:rsidP="007A7754">
            <w:pPr>
              <w:jc w:val="center"/>
              <w:rPr>
                <w:rFonts w:asciiTheme="minorHAnsi" w:hAnsiTheme="minorHAnsi" w:cstheme="minorHAnsi"/>
              </w:rPr>
            </w:pPr>
            <w:r>
              <w:rPr>
                <w:rFonts w:asciiTheme="minorHAnsi" w:hAnsiTheme="minorHAnsi" w:cstheme="minorHAnsi"/>
              </w:rPr>
              <w:t>Rule 1121, Rule 1146.2</w:t>
            </w:r>
          </w:p>
        </w:tc>
        <w:tc>
          <w:tcPr>
            <w:tcW w:w="1821" w:type="dxa"/>
            <w:vAlign w:val="center"/>
          </w:tcPr>
          <w:p w:rsidR="00E54914" w:rsidRPr="00BD2D5E" w:rsidRDefault="00E54914" w:rsidP="007A7754">
            <w:pPr>
              <w:jc w:val="center"/>
              <w:rPr>
                <w:rFonts w:asciiTheme="minorHAnsi" w:hAnsiTheme="minorHAnsi" w:cstheme="minorHAnsi"/>
              </w:rPr>
            </w:pPr>
            <w:r>
              <w:rPr>
                <w:rFonts w:asciiTheme="minorHAnsi" w:hAnsiTheme="minorHAnsi" w:cstheme="minorHAnsi"/>
              </w:rPr>
              <w:t>See Rule</w:t>
            </w:r>
          </w:p>
        </w:tc>
      </w:tr>
      <w:tr w:rsidR="00E54914" w:rsidRPr="005B28C1" w:rsidTr="007A7754">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Bay Area AQMD</w:t>
            </w:r>
          </w:p>
        </w:tc>
        <w:tc>
          <w:tcPr>
            <w:tcW w:w="4352"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Regulation 9, Rule 6</w:t>
            </w:r>
          </w:p>
        </w:tc>
        <w:tc>
          <w:tcPr>
            <w:tcW w:w="1821" w:type="dxa"/>
            <w:vAlign w:val="center"/>
          </w:tcPr>
          <w:p w:rsidR="00E54914" w:rsidRPr="00BD2D5E" w:rsidRDefault="00E54914" w:rsidP="007A7754">
            <w:pPr>
              <w:jc w:val="center"/>
              <w:rPr>
                <w:rFonts w:asciiTheme="minorHAnsi" w:hAnsiTheme="minorHAnsi" w:cstheme="minorHAnsi"/>
              </w:rPr>
            </w:pPr>
            <w:r>
              <w:rPr>
                <w:rFonts w:asciiTheme="minorHAnsi" w:hAnsiTheme="minorHAnsi" w:cstheme="minorHAnsi"/>
              </w:rPr>
              <w:t>See Rule</w:t>
            </w:r>
          </w:p>
        </w:tc>
      </w:tr>
      <w:tr w:rsidR="00E54914" w:rsidRPr="005B28C1" w:rsidTr="007A7754">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San Joaquin Valley APCD</w:t>
            </w:r>
          </w:p>
        </w:tc>
        <w:tc>
          <w:tcPr>
            <w:tcW w:w="4352"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Rule 4902</w:t>
            </w:r>
          </w:p>
        </w:tc>
        <w:tc>
          <w:tcPr>
            <w:tcW w:w="1821" w:type="dxa"/>
            <w:vAlign w:val="center"/>
          </w:tcPr>
          <w:p w:rsidR="00E54914" w:rsidRPr="00BD2D5E" w:rsidRDefault="00E54914" w:rsidP="007A7754">
            <w:pPr>
              <w:jc w:val="center"/>
              <w:rPr>
                <w:rFonts w:asciiTheme="minorHAnsi" w:hAnsiTheme="minorHAnsi" w:cstheme="minorHAnsi"/>
              </w:rPr>
            </w:pPr>
            <w:r>
              <w:rPr>
                <w:rFonts w:asciiTheme="minorHAnsi" w:hAnsiTheme="minorHAnsi" w:cstheme="minorHAnsi"/>
              </w:rPr>
              <w:t>See Rule</w:t>
            </w:r>
          </w:p>
        </w:tc>
      </w:tr>
      <w:tr w:rsidR="00E54914" w:rsidRPr="005B28C1" w:rsidTr="007A7754">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Sacramento Metropolitan AQMD</w:t>
            </w:r>
          </w:p>
        </w:tc>
        <w:tc>
          <w:tcPr>
            <w:tcW w:w="4352"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Rule 414</w:t>
            </w:r>
          </w:p>
        </w:tc>
        <w:tc>
          <w:tcPr>
            <w:tcW w:w="1821" w:type="dxa"/>
            <w:vAlign w:val="center"/>
          </w:tcPr>
          <w:p w:rsidR="00E54914" w:rsidRPr="00BD2D5E" w:rsidRDefault="00E54914" w:rsidP="007A7754">
            <w:pPr>
              <w:jc w:val="center"/>
              <w:rPr>
                <w:rFonts w:asciiTheme="minorHAnsi" w:hAnsiTheme="minorHAnsi" w:cstheme="minorHAnsi"/>
              </w:rPr>
            </w:pPr>
            <w:r>
              <w:rPr>
                <w:rFonts w:asciiTheme="minorHAnsi" w:hAnsiTheme="minorHAnsi" w:cstheme="minorHAnsi"/>
              </w:rPr>
              <w:t>See Rule</w:t>
            </w:r>
          </w:p>
        </w:tc>
      </w:tr>
      <w:tr w:rsidR="00E54914" w:rsidRPr="005B28C1" w:rsidTr="007A7754">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Yolo-Solano AQMD</w:t>
            </w:r>
          </w:p>
        </w:tc>
        <w:tc>
          <w:tcPr>
            <w:tcW w:w="4352"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Regulation II, Rule 2.37</w:t>
            </w:r>
          </w:p>
        </w:tc>
        <w:tc>
          <w:tcPr>
            <w:tcW w:w="1821" w:type="dxa"/>
            <w:vAlign w:val="center"/>
          </w:tcPr>
          <w:p w:rsidR="00E54914" w:rsidRPr="00BD2D5E" w:rsidRDefault="00E54914" w:rsidP="007A7754">
            <w:pPr>
              <w:jc w:val="center"/>
              <w:rPr>
                <w:rFonts w:asciiTheme="minorHAnsi" w:hAnsiTheme="minorHAnsi" w:cstheme="minorHAnsi"/>
              </w:rPr>
            </w:pPr>
            <w:r>
              <w:rPr>
                <w:rFonts w:asciiTheme="minorHAnsi" w:hAnsiTheme="minorHAnsi" w:cstheme="minorHAnsi"/>
              </w:rPr>
              <w:t>See Rule</w:t>
            </w:r>
          </w:p>
        </w:tc>
      </w:tr>
      <w:tr w:rsidR="00E54914" w:rsidRPr="005B28C1" w:rsidTr="007A7754">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Ventura County Air Pollution Control District</w:t>
            </w:r>
          </w:p>
        </w:tc>
        <w:tc>
          <w:tcPr>
            <w:tcW w:w="4352" w:type="dxa"/>
            <w:vAlign w:val="center"/>
          </w:tcPr>
          <w:p w:rsidR="00E54914" w:rsidRDefault="00E54914" w:rsidP="007A7754">
            <w:pPr>
              <w:jc w:val="center"/>
              <w:rPr>
                <w:rFonts w:asciiTheme="minorHAnsi" w:hAnsiTheme="minorHAnsi" w:cstheme="minorHAnsi"/>
              </w:rPr>
            </w:pPr>
            <w:r>
              <w:rPr>
                <w:rFonts w:asciiTheme="minorHAnsi" w:hAnsiTheme="minorHAnsi" w:cstheme="minorHAnsi"/>
              </w:rPr>
              <w:t>Rule 74.11</w:t>
            </w:r>
          </w:p>
        </w:tc>
        <w:tc>
          <w:tcPr>
            <w:tcW w:w="1821" w:type="dxa"/>
            <w:vAlign w:val="center"/>
          </w:tcPr>
          <w:p w:rsidR="00E54914" w:rsidRPr="00BD2D5E" w:rsidRDefault="00E54914" w:rsidP="007A7754">
            <w:pPr>
              <w:jc w:val="center"/>
              <w:rPr>
                <w:rFonts w:asciiTheme="minorHAnsi" w:hAnsiTheme="minorHAnsi" w:cstheme="minorHAnsi"/>
              </w:rPr>
            </w:pPr>
            <w:r>
              <w:rPr>
                <w:rFonts w:asciiTheme="minorHAnsi" w:hAnsiTheme="minorHAnsi" w:cstheme="minorHAnsi"/>
              </w:rPr>
              <w:t>See Rule</w:t>
            </w:r>
          </w:p>
        </w:tc>
      </w:tr>
    </w:tbl>
    <w:p w:rsidR="00E54914" w:rsidRDefault="00E54914" w:rsidP="00E54914">
      <w:pPr>
        <w:pStyle w:val="Reminders0"/>
        <w:rPr>
          <w:rFonts w:asciiTheme="minorHAnsi" w:hAnsiTheme="minorHAnsi" w:cstheme="minorHAnsi"/>
          <w:sz w:val="22"/>
          <w:szCs w:val="22"/>
        </w:rPr>
      </w:pPr>
    </w:p>
    <w:p w:rsidR="00E54914" w:rsidRDefault="00E54914" w:rsidP="00E54914">
      <w:pPr>
        <w:pStyle w:val="Reminders0"/>
        <w:rPr>
          <w:rFonts w:asciiTheme="minorHAnsi" w:hAnsiTheme="minorHAnsi" w:cstheme="minorHAnsi"/>
          <w:sz w:val="22"/>
          <w:szCs w:val="22"/>
        </w:rPr>
      </w:pPr>
    </w:p>
    <w:p w:rsidR="00E54914" w:rsidRDefault="00E54914" w:rsidP="00E54914">
      <w:pPr>
        <w:pStyle w:val="Reminders0"/>
        <w:rPr>
          <w:rFonts w:asciiTheme="minorHAnsi" w:hAnsiTheme="minorHAnsi" w:cstheme="minorHAnsi"/>
          <w:sz w:val="22"/>
          <w:szCs w:val="22"/>
        </w:rPr>
      </w:pPr>
    </w:p>
    <w:p w:rsidR="00E54914" w:rsidRPr="00FE427A" w:rsidRDefault="00E54914" w:rsidP="00A653E0">
      <w:pPr>
        <w:pStyle w:val="TBL"/>
        <w:jc w:val="left"/>
      </w:pPr>
      <w:bookmarkStart w:id="59" w:name="_Toc457313710"/>
      <w:bookmarkStart w:id="60" w:name="_Toc461101272"/>
      <w:r w:rsidRPr="00FE427A">
        <w:rPr>
          <w:rFonts w:asciiTheme="minorHAnsi" w:hAnsiTheme="minorHAnsi" w:cstheme="minorHAnsi"/>
          <w:sz w:val="22"/>
          <w:szCs w:val="22"/>
        </w:rPr>
        <w:lastRenderedPageBreak/>
        <w:t>Code Summary</w:t>
      </w:r>
      <w:r>
        <w:rPr>
          <w:rFonts w:asciiTheme="minorHAnsi" w:hAnsiTheme="minorHAnsi" w:cstheme="minorHAnsi"/>
          <w:sz w:val="22"/>
          <w:szCs w:val="22"/>
        </w:rPr>
        <w:t xml:space="preserve"> - NOx</w:t>
      </w:r>
      <w:r w:rsidRPr="00BB44CF">
        <w:rPr>
          <w:rFonts w:asciiTheme="minorHAnsi" w:hAnsiTheme="minorHAnsi" w:cstheme="minorHAnsi"/>
          <w:sz w:val="22"/>
          <w:szCs w:val="22"/>
        </w:rPr>
        <w:t>Requirements for AQMDs</w:t>
      </w:r>
      <w:bookmarkEnd w:id="59"/>
      <w:bookmarkEnd w:id="60"/>
      <w:r w:rsidRPr="00BB44CF">
        <w:rPr>
          <w:rFonts w:asciiTheme="minorHAnsi" w:hAnsiTheme="minorHAnsi" w:cstheme="minorHAnsi"/>
          <w:sz w:val="22"/>
          <w:szCs w:val="22"/>
        </w:rPr>
        <w:t xml:space="preserve"> </w:t>
      </w:r>
    </w:p>
    <w:tbl>
      <w:tblPr>
        <w:tblStyle w:val="TableContemporary"/>
        <w:tblW w:w="0" w:type="auto"/>
        <w:tblLook w:val="04A0" w:firstRow="1" w:lastRow="0" w:firstColumn="1" w:lastColumn="0" w:noHBand="0" w:noVBand="1"/>
      </w:tblPr>
      <w:tblGrid>
        <w:gridCol w:w="2025"/>
        <w:gridCol w:w="1826"/>
        <w:gridCol w:w="3349"/>
        <w:gridCol w:w="2376"/>
      </w:tblGrid>
      <w:tr w:rsidR="00E54914" w:rsidRPr="005C6C67" w:rsidTr="007A7754">
        <w:trPr>
          <w:cnfStyle w:val="100000000000" w:firstRow="1" w:lastRow="0" w:firstColumn="0" w:lastColumn="0" w:oddVBand="0" w:evenVBand="0" w:oddHBand="0" w:evenHBand="0" w:firstRowFirstColumn="0" w:firstRowLastColumn="0" w:lastRowFirstColumn="0" w:lastRowLastColumn="0"/>
          <w:trHeight w:val="300"/>
        </w:trPr>
        <w:tc>
          <w:tcPr>
            <w:tcW w:w="2025"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Category</w:t>
            </w:r>
          </w:p>
        </w:tc>
        <w:tc>
          <w:tcPr>
            <w:tcW w:w="182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Rated heat input capacity</w:t>
            </w:r>
          </w:p>
        </w:tc>
        <w:tc>
          <w:tcPr>
            <w:tcW w:w="3349"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Rule</w:t>
            </w:r>
          </w:p>
        </w:tc>
        <w:tc>
          <w:tcPr>
            <w:tcW w:w="237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Emission Limit</w:t>
            </w:r>
          </w:p>
        </w:tc>
      </w:tr>
      <w:tr w:rsidR="00E54914" w:rsidRPr="005C6C67" w:rsidTr="007A7754">
        <w:trPr>
          <w:cnfStyle w:val="000000100000" w:firstRow="0" w:lastRow="0" w:firstColumn="0" w:lastColumn="0" w:oddVBand="0" w:evenVBand="0" w:oddHBand="1" w:evenHBand="0" w:firstRowFirstColumn="0" w:firstRowLastColumn="0" w:lastRowFirstColumn="0" w:lastRowLastColumn="0"/>
          <w:trHeight w:val="660"/>
        </w:trPr>
        <w:tc>
          <w:tcPr>
            <w:tcW w:w="2025"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Mobile Home Water Heater</w:t>
            </w:r>
          </w:p>
        </w:tc>
        <w:tc>
          <w:tcPr>
            <w:tcW w:w="182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All</w:t>
            </w:r>
          </w:p>
        </w:tc>
        <w:tc>
          <w:tcPr>
            <w:tcW w:w="3349" w:type="dxa"/>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YSAQMD-2.37,  SJVUAPCD-4902, BAAQMD-Reg 9-Rule 6, SMAQMD- 414, VCAPCD-74.11</w:t>
            </w:r>
          </w:p>
        </w:tc>
        <w:tc>
          <w:tcPr>
            <w:tcW w:w="2376" w:type="dxa"/>
            <w:noWrap/>
            <w:hideMark/>
          </w:tcPr>
          <w:p w:rsidR="00E54914" w:rsidRPr="005C6C67" w:rsidRDefault="00E54914" w:rsidP="007A7754">
            <w:pPr>
              <w:jc w:val="center"/>
              <w:rPr>
                <w:rFonts w:asciiTheme="minorHAnsi" w:hAnsiTheme="minorHAnsi" w:cstheme="minorHAnsi"/>
              </w:rPr>
            </w:pPr>
            <w:r>
              <w:rPr>
                <w:rFonts w:asciiTheme="minorHAnsi" w:hAnsiTheme="minorHAnsi" w:cstheme="minorHAnsi"/>
              </w:rPr>
              <w:t>40ng/J or 55 ppm NO</w:t>
            </w:r>
            <w:r w:rsidRPr="005C6C67">
              <w:rPr>
                <w:rFonts w:asciiTheme="minorHAnsi" w:hAnsiTheme="minorHAnsi" w:cstheme="minorHAnsi"/>
              </w:rPr>
              <w:t>x @3% O2 dry</w:t>
            </w:r>
          </w:p>
        </w:tc>
      </w:tr>
      <w:tr w:rsidR="00E54914" w:rsidRPr="005C6C67" w:rsidTr="007A7754">
        <w:trPr>
          <w:cnfStyle w:val="000000010000" w:firstRow="0" w:lastRow="0" w:firstColumn="0" w:lastColumn="0" w:oddVBand="0" w:evenVBand="0" w:oddHBand="0" w:evenHBand="1" w:firstRowFirstColumn="0" w:firstRowLastColumn="0" w:lastRowFirstColumn="0" w:lastRowLastColumn="0"/>
          <w:trHeight w:val="990"/>
        </w:trPr>
        <w:tc>
          <w:tcPr>
            <w:tcW w:w="2025"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Small Water Heater</w:t>
            </w:r>
          </w:p>
        </w:tc>
        <w:tc>
          <w:tcPr>
            <w:tcW w:w="182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&lt;75,000 Btu/hr</w:t>
            </w:r>
          </w:p>
        </w:tc>
        <w:tc>
          <w:tcPr>
            <w:tcW w:w="3349" w:type="dxa"/>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YSAQMD-2.37,  SJVUAPCD-4902 , SCAQMD-1121, BAAQMD-Reg 9-Rule 6, SMAQMD-414, SBCAPCD-352, VCAPCD-74.11</w:t>
            </w:r>
          </w:p>
        </w:tc>
        <w:tc>
          <w:tcPr>
            <w:tcW w:w="237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 xml:space="preserve">10ng/J or 15 ppm </w:t>
            </w:r>
            <w:r>
              <w:rPr>
                <w:rFonts w:asciiTheme="minorHAnsi" w:hAnsiTheme="minorHAnsi" w:cstheme="minorHAnsi"/>
              </w:rPr>
              <w:t>NO</w:t>
            </w:r>
            <w:r w:rsidRPr="005C6C67">
              <w:rPr>
                <w:rFonts w:asciiTheme="minorHAnsi" w:hAnsiTheme="minorHAnsi" w:cstheme="minorHAnsi"/>
              </w:rPr>
              <w:t>x @3% O2 dry</w:t>
            </w:r>
          </w:p>
        </w:tc>
      </w:tr>
      <w:tr w:rsidR="00E54914" w:rsidRPr="005C6C67" w:rsidTr="007A7754">
        <w:trPr>
          <w:cnfStyle w:val="000000100000" w:firstRow="0" w:lastRow="0" w:firstColumn="0" w:lastColumn="0" w:oddVBand="0" w:evenVBand="0" w:oddHBand="1" w:evenHBand="0" w:firstRowFirstColumn="0" w:firstRowLastColumn="0" w:lastRowFirstColumn="0" w:lastRowLastColumn="0"/>
          <w:trHeight w:val="990"/>
        </w:trPr>
        <w:tc>
          <w:tcPr>
            <w:tcW w:w="2025"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Large Water Heater</w:t>
            </w:r>
          </w:p>
        </w:tc>
        <w:tc>
          <w:tcPr>
            <w:tcW w:w="182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75,000 - 400,000 Btu/hr</w:t>
            </w:r>
          </w:p>
        </w:tc>
        <w:tc>
          <w:tcPr>
            <w:tcW w:w="3349" w:type="dxa"/>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YSAQMD-2.37,  BAAQMD-Reg 9-Rule 6, SMAQMD-414, VCAPCD-74.11.1, SCAQMD-1146.2</w:t>
            </w:r>
          </w:p>
        </w:tc>
        <w:tc>
          <w:tcPr>
            <w:tcW w:w="237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 xml:space="preserve">14ng/J or 20 ppm </w:t>
            </w:r>
            <w:r>
              <w:rPr>
                <w:rFonts w:asciiTheme="minorHAnsi" w:hAnsiTheme="minorHAnsi" w:cstheme="minorHAnsi"/>
              </w:rPr>
              <w:t>NO</w:t>
            </w:r>
            <w:r w:rsidRPr="005C6C67">
              <w:rPr>
                <w:rFonts w:asciiTheme="minorHAnsi" w:hAnsiTheme="minorHAnsi" w:cstheme="minorHAnsi"/>
              </w:rPr>
              <w:t>x @3% O2 dry</w:t>
            </w:r>
          </w:p>
        </w:tc>
      </w:tr>
      <w:tr w:rsidR="00E54914" w:rsidRPr="005C6C67" w:rsidTr="007A7754">
        <w:trPr>
          <w:cnfStyle w:val="000000010000" w:firstRow="0" w:lastRow="0" w:firstColumn="0" w:lastColumn="0" w:oddVBand="0" w:evenVBand="0" w:oddHBand="0" w:evenHBand="1" w:firstRowFirstColumn="0" w:firstRowLastColumn="0" w:lastRowFirstColumn="0" w:lastRowLastColumn="0"/>
          <w:trHeight w:val="930"/>
        </w:trPr>
        <w:tc>
          <w:tcPr>
            <w:tcW w:w="2025"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Small Boiler</w:t>
            </w:r>
          </w:p>
        </w:tc>
        <w:tc>
          <w:tcPr>
            <w:tcW w:w="182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400,000-1,000,000 Btu/hr</w:t>
            </w:r>
          </w:p>
        </w:tc>
        <w:tc>
          <w:tcPr>
            <w:tcW w:w="3349" w:type="dxa"/>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YSAQMD-2.37, BAAQMD-Reg 9-Rule 6*, SMAQMD-414, VCAPCD-74.11.1, SCAQMD-1146.2</w:t>
            </w:r>
          </w:p>
        </w:tc>
        <w:tc>
          <w:tcPr>
            <w:tcW w:w="237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 xml:space="preserve">14ng/J or 20 ppm </w:t>
            </w:r>
            <w:r>
              <w:rPr>
                <w:rFonts w:asciiTheme="minorHAnsi" w:hAnsiTheme="minorHAnsi" w:cstheme="minorHAnsi"/>
              </w:rPr>
              <w:t>NO</w:t>
            </w:r>
            <w:r w:rsidRPr="005C6C67">
              <w:rPr>
                <w:rFonts w:asciiTheme="minorHAnsi" w:hAnsiTheme="minorHAnsi" w:cstheme="minorHAnsi"/>
              </w:rPr>
              <w:t>x @3% O2 dry</w:t>
            </w:r>
          </w:p>
        </w:tc>
      </w:tr>
      <w:tr w:rsidR="00E54914" w:rsidRPr="005C6C67" w:rsidTr="007A7754">
        <w:trPr>
          <w:cnfStyle w:val="000000100000" w:firstRow="0" w:lastRow="0" w:firstColumn="0" w:lastColumn="0" w:oddVBand="0" w:evenVBand="0" w:oddHBand="1" w:evenHBand="0" w:firstRowFirstColumn="0" w:firstRowLastColumn="0" w:lastRowFirstColumn="0" w:lastRowLastColumn="0"/>
          <w:trHeight w:val="660"/>
        </w:trPr>
        <w:tc>
          <w:tcPr>
            <w:tcW w:w="2025"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Pool/Spa Heater</w:t>
            </w:r>
          </w:p>
        </w:tc>
        <w:tc>
          <w:tcPr>
            <w:tcW w:w="182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400,000-1,000,000 Btu/hr</w:t>
            </w:r>
          </w:p>
        </w:tc>
        <w:tc>
          <w:tcPr>
            <w:tcW w:w="3349" w:type="dxa"/>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YSAQMD-2.37, BAAQMD-Reg 9-Rule 6, SMAQMD-414**</w:t>
            </w:r>
          </w:p>
        </w:tc>
        <w:tc>
          <w:tcPr>
            <w:tcW w:w="237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 xml:space="preserve">14ng/J or 20 ppm </w:t>
            </w:r>
            <w:r>
              <w:rPr>
                <w:rFonts w:asciiTheme="minorHAnsi" w:hAnsiTheme="minorHAnsi" w:cstheme="minorHAnsi"/>
              </w:rPr>
              <w:t>NO</w:t>
            </w:r>
            <w:r w:rsidRPr="005C6C67">
              <w:rPr>
                <w:rFonts w:asciiTheme="minorHAnsi" w:hAnsiTheme="minorHAnsi" w:cstheme="minorHAnsi"/>
              </w:rPr>
              <w:t>x @3% O2 dry</w:t>
            </w:r>
          </w:p>
        </w:tc>
      </w:tr>
      <w:tr w:rsidR="00E54914" w:rsidRPr="005C6C67" w:rsidTr="007A7754">
        <w:trPr>
          <w:cnfStyle w:val="000000010000" w:firstRow="0" w:lastRow="0" w:firstColumn="0" w:lastColumn="0" w:oddVBand="0" w:evenVBand="0" w:oddHBand="0" w:evenHBand="1" w:firstRowFirstColumn="0" w:firstRowLastColumn="0" w:lastRowFirstColumn="0" w:lastRowLastColumn="0"/>
          <w:trHeight w:val="660"/>
        </w:trPr>
        <w:tc>
          <w:tcPr>
            <w:tcW w:w="2025"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Instantaneous Water Heater</w:t>
            </w:r>
            <w:r>
              <w:rPr>
                <w:rFonts w:asciiTheme="minorHAnsi" w:hAnsiTheme="minorHAnsi" w:cstheme="minorHAnsi"/>
              </w:rPr>
              <w:t>***</w:t>
            </w:r>
          </w:p>
        </w:tc>
        <w:tc>
          <w:tcPr>
            <w:tcW w:w="182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Unspecified</w:t>
            </w:r>
          </w:p>
        </w:tc>
        <w:tc>
          <w:tcPr>
            <w:tcW w:w="3349" w:type="dxa"/>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SJVUAPCD-4902, BAAQMD-Reg 9-Rule 6, SMAQMD-414</w:t>
            </w:r>
            <w:r>
              <w:rPr>
                <w:rFonts w:asciiTheme="minorHAnsi" w:hAnsiTheme="minorHAnsi" w:cstheme="minorHAnsi"/>
              </w:rPr>
              <w:t>,</w:t>
            </w:r>
            <w:r w:rsidRPr="005C6C67">
              <w:rPr>
                <w:rFonts w:asciiTheme="minorHAnsi" w:hAnsiTheme="minorHAnsi" w:cstheme="minorHAnsi"/>
              </w:rPr>
              <w:t xml:space="preserve"> SCAQMD-1146.2</w:t>
            </w:r>
            <w:r>
              <w:rPr>
                <w:rFonts w:asciiTheme="minorHAnsi" w:hAnsiTheme="minorHAnsi" w:cstheme="minorHAnsi"/>
              </w:rPr>
              <w:t xml:space="preserve">***, </w:t>
            </w:r>
            <w:r w:rsidRPr="005C6C67">
              <w:rPr>
                <w:rFonts w:asciiTheme="minorHAnsi" w:hAnsiTheme="minorHAnsi" w:cstheme="minorHAnsi"/>
              </w:rPr>
              <w:t>YSAQMD-2.37</w:t>
            </w:r>
            <w:r>
              <w:rPr>
                <w:rFonts w:asciiTheme="minorHAnsi" w:hAnsiTheme="minorHAnsi" w:cstheme="minorHAnsi"/>
              </w:rPr>
              <w:t>***</w:t>
            </w:r>
          </w:p>
        </w:tc>
        <w:tc>
          <w:tcPr>
            <w:tcW w:w="2376" w:type="dxa"/>
            <w:noWrap/>
            <w:hideMark/>
          </w:tcPr>
          <w:p w:rsidR="00E54914" w:rsidRPr="005C6C67" w:rsidRDefault="00E54914" w:rsidP="007A7754">
            <w:pPr>
              <w:jc w:val="center"/>
              <w:rPr>
                <w:rFonts w:asciiTheme="minorHAnsi" w:hAnsiTheme="minorHAnsi" w:cstheme="minorHAnsi"/>
              </w:rPr>
            </w:pPr>
            <w:r w:rsidRPr="005C6C67">
              <w:rPr>
                <w:rFonts w:asciiTheme="minorHAnsi" w:hAnsiTheme="minorHAnsi" w:cstheme="minorHAnsi"/>
              </w:rPr>
              <w:t xml:space="preserve">14ng/J or 20 ppm </w:t>
            </w:r>
            <w:r>
              <w:rPr>
                <w:rFonts w:asciiTheme="minorHAnsi" w:hAnsiTheme="minorHAnsi" w:cstheme="minorHAnsi"/>
              </w:rPr>
              <w:t>NO</w:t>
            </w:r>
            <w:r w:rsidRPr="005C6C67">
              <w:rPr>
                <w:rFonts w:asciiTheme="minorHAnsi" w:hAnsiTheme="minorHAnsi" w:cstheme="minorHAnsi"/>
              </w:rPr>
              <w:t>x @3% O2 dry</w:t>
            </w:r>
          </w:p>
        </w:tc>
      </w:tr>
    </w:tbl>
    <w:p w:rsidR="00E54914" w:rsidRPr="005C6C67" w:rsidRDefault="00E54914" w:rsidP="00E54914">
      <w:pPr>
        <w:pStyle w:val="Reminder"/>
        <w:rPr>
          <w:rStyle w:val="CommentReference"/>
          <w:color w:val="auto"/>
        </w:rPr>
      </w:pPr>
      <w:r w:rsidRPr="005C6C67">
        <w:rPr>
          <w:rStyle w:val="CommentReference"/>
          <w:color w:val="auto"/>
        </w:rPr>
        <w:t>*BAAQMD Defines Small Boiler input capacity as 400,000 - 2,000,000 Btu/hr</w:t>
      </w:r>
    </w:p>
    <w:p w:rsidR="00E54914" w:rsidRDefault="00E54914" w:rsidP="00E54914">
      <w:pPr>
        <w:pStyle w:val="Reminder"/>
        <w:rPr>
          <w:rStyle w:val="CommentReference"/>
          <w:color w:val="auto"/>
        </w:rPr>
      </w:pPr>
      <w:r w:rsidRPr="005C6C67">
        <w:rPr>
          <w:rStyle w:val="CommentReference"/>
          <w:color w:val="auto"/>
        </w:rPr>
        <w:t>**SMAQMD regulates Pool/spa heaters at 40 ng/J</w:t>
      </w:r>
    </w:p>
    <w:p w:rsidR="00E54914" w:rsidRDefault="00E54914" w:rsidP="00E54914">
      <w:pPr>
        <w:pStyle w:val="Reminder"/>
        <w:rPr>
          <w:rStyle w:val="CommentReference"/>
          <w:color w:val="auto"/>
        </w:rPr>
      </w:pPr>
      <w:r>
        <w:rPr>
          <w:rStyle w:val="CommentReference"/>
          <w:color w:val="auto"/>
        </w:rPr>
        <w:t>***SCAQMD does not set emission requirements for instantaneous water heaters, but any instantaneous water heaters within Type 1 water heaters (75,001 Btu/h – 400,000 Btu/h) rated input capacity must meet this requirement. YSAQMD requirements are based on small and large water heaters ( &lt; 75,000 and 75,001 – 400,000 btu/h).  Any instantaneous water heater within this rated input capacity must meet this requirement.</w:t>
      </w:r>
    </w:p>
    <w:p w:rsidR="00E54914" w:rsidRDefault="00E54914" w:rsidP="00E54914">
      <w:pPr>
        <w:pStyle w:val="Normal1"/>
      </w:pPr>
      <w:r>
        <w:rPr>
          <w:noProof/>
        </w:rPr>
        <w:lastRenderedPageBreak/>
        <w:drawing>
          <wp:inline distT="0" distB="0" distL="0" distR="0" wp14:anchorId="24FC8E33" wp14:editId="07E80815">
            <wp:extent cx="4646187" cy="7659014"/>
            <wp:effectExtent l="0" t="0" r="2540" b="0"/>
            <wp:docPr id="1" name="Picture 1" descr="C:\Users\MUrrea\Documents\Workpapers\WPSCGNRWH120206A\Revision 9\ULN_CaliforniaAirQualityMap_700px_width_070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Urrea\Documents\Workpapers\WPSCGNRWH120206A\Revision 9\ULN_CaliforniaAirQualityMap_700px_width_07011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0325" cy="7665835"/>
                    </a:xfrm>
                    <a:prstGeom prst="rect">
                      <a:avLst/>
                    </a:prstGeom>
                    <a:noFill/>
                    <a:ln>
                      <a:noFill/>
                    </a:ln>
                  </pic:spPr>
                </pic:pic>
              </a:graphicData>
            </a:graphic>
          </wp:inline>
        </w:drawing>
      </w:r>
    </w:p>
    <w:p w:rsidR="00E54914" w:rsidRPr="00E54914" w:rsidRDefault="00350153" w:rsidP="00350153">
      <w:pPr>
        <w:pStyle w:val="FIG"/>
        <w:numPr>
          <w:ilvl w:val="0"/>
          <w:numId w:val="0"/>
        </w:numPr>
      </w:pPr>
      <w:bookmarkStart w:id="61" w:name="_Toc461101183"/>
      <w:r>
        <w:t xml:space="preserve">Figure 3 - </w:t>
      </w:r>
      <w:r w:rsidR="00E54914" w:rsidRPr="00E54914">
        <w:t>California Counties Subject to Ultra Low NOx Requirements</w:t>
      </w:r>
      <w:bookmarkEnd w:id="61"/>
      <w:r w:rsidR="00E54914" w:rsidRPr="00E54914">
        <w:tab/>
      </w:r>
    </w:p>
    <w:p w:rsidR="00E54914" w:rsidRDefault="00E54914" w:rsidP="00E54914">
      <w:pPr>
        <w:pStyle w:val="WPPR1"/>
      </w:pPr>
      <w:r w:rsidRPr="00E54914">
        <w:lastRenderedPageBreak/>
        <w:t>The minimum baseline efficiencies are consistent with the Code of Fe</w:t>
      </w:r>
      <w:r>
        <w:t xml:space="preserve">deral Regulations standards. </w:t>
      </w:r>
    </w:p>
    <w:p w:rsidR="000D5E5B" w:rsidRPr="003F2BB3" w:rsidRDefault="00E54914" w:rsidP="00E54914">
      <w:pPr>
        <w:pStyle w:val="WPPR1"/>
      </w:pPr>
      <w:r>
        <w:t>The minimum qualifying measure efficiencies</w:t>
      </w:r>
      <w:r w:rsidRPr="00957A00">
        <w:t xml:space="preserve"> </w:t>
      </w:r>
      <w:r>
        <w:t xml:space="preserve">exceed the </w:t>
      </w:r>
      <w:r w:rsidRPr="00BA170E">
        <w:t>California Titles 20</w:t>
      </w:r>
      <w:r>
        <w:t xml:space="preserve"> and Code of Federal Regulations standards.</w:t>
      </w:r>
    </w:p>
    <w:p w:rsidR="001C644E" w:rsidRPr="00F75C17" w:rsidRDefault="001C644E" w:rsidP="00E97D72">
      <w:pPr>
        <w:pStyle w:val="WPART"/>
      </w:pPr>
      <w:bookmarkStart w:id="62" w:name="_Toc461101285"/>
      <w:r>
        <w:t>Measure Effective Useful Life</w:t>
      </w:r>
      <w:bookmarkEnd w:id="62"/>
    </w:p>
    <w:p w:rsidR="007D169B" w:rsidRPr="007D169B" w:rsidRDefault="007D169B" w:rsidP="00872847">
      <w:pPr>
        <w:pStyle w:val="PR1"/>
        <w:numPr>
          <w:ilvl w:val="0"/>
          <w:numId w:val="0"/>
        </w:numPr>
        <w:ind w:left="720"/>
      </w:pPr>
      <w:bookmarkStart w:id="63" w:name="_Toc214003089"/>
      <w:r w:rsidRPr="007D169B">
        <w:t xml:space="preserve">The effective useful life (EUL) </w:t>
      </w:r>
      <w:r w:rsidR="00E54914" w:rsidRPr="00957A00">
        <w:t>WtrHt-Com</w:t>
      </w:r>
      <w:r w:rsidR="00E54914" w:rsidRPr="007D169B">
        <w:t xml:space="preserve"> of </w:t>
      </w:r>
      <w:r w:rsidR="00E54914">
        <w:t>15</w:t>
      </w:r>
      <w:r w:rsidR="00E54914" w:rsidRPr="007D169B">
        <w:t xml:space="preserve"> years </w:t>
      </w:r>
      <w:r w:rsidR="00E54914">
        <w:t>f</w:t>
      </w:r>
      <w:r w:rsidR="003A5ACA" w:rsidRPr="007D169B">
        <w:t xml:space="preserve">or </w:t>
      </w:r>
      <w:r w:rsidR="003A5ACA" w:rsidRPr="003A5ACA">
        <w:t>central storage water heaters for multifamily residential applications</w:t>
      </w:r>
      <w:r w:rsidR="003A5ACA" w:rsidRPr="007D169B">
        <w:t xml:space="preserve"> </w:t>
      </w:r>
      <w:r w:rsidRPr="007D169B">
        <w:t xml:space="preserve">is taken from </w:t>
      </w:r>
      <w:r w:rsidR="003A5ACA">
        <w:t xml:space="preserve">the value for large storage water heaters for commercial applications in </w:t>
      </w:r>
      <w:r w:rsidR="00E54914">
        <w:t>DEER 2014</w:t>
      </w:r>
      <w:r w:rsidR="00E54914" w:rsidRPr="007D169B">
        <w:t xml:space="preserve"> update</w:t>
      </w:r>
      <w:r w:rsidR="00E54914" w:rsidRPr="00FF3C61">
        <w:rPr>
          <w:rStyle w:val="EndnoteReference"/>
        </w:rPr>
        <w:endnoteReference w:id="8"/>
      </w:r>
      <w:r w:rsidR="00E54914" w:rsidRPr="00FF3C61">
        <w:t>.</w:t>
      </w:r>
    </w:p>
    <w:p w:rsidR="001C644E" w:rsidRDefault="001C644E" w:rsidP="00E97D72">
      <w:pPr>
        <w:pStyle w:val="WPART"/>
      </w:pPr>
      <w:bookmarkStart w:id="66" w:name="_Toc461101286"/>
      <w:r w:rsidRPr="001248A3">
        <w:t xml:space="preserve">Net-to-Gross </w:t>
      </w:r>
      <w:r>
        <w:t>Ratios</w:t>
      </w:r>
      <w:r w:rsidRPr="001248A3">
        <w:t xml:space="preserve"> for Different Program </w:t>
      </w:r>
      <w:r>
        <w:t>Strategies</w:t>
      </w:r>
      <w:bookmarkEnd w:id="63"/>
      <w:bookmarkEnd w:id="66"/>
    </w:p>
    <w:p w:rsidR="00E54914" w:rsidRDefault="00E54914" w:rsidP="00E54914">
      <w:pPr>
        <w:pStyle w:val="PR1"/>
        <w:numPr>
          <w:ilvl w:val="0"/>
          <w:numId w:val="0"/>
        </w:numPr>
        <w:ind w:left="720"/>
      </w:pPr>
      <w:r w:rsidRPr="00FF3C61">
        <w:t>The DEER</w:t>
      </w:r>
      <w:r w:rsidR="005571BD">
        <w:t>2014</w:t>
      </w:r>
      <w:r w:rsidRPr="00FF3C61">
        <w:t xml:space="preserve"> documents recommend a net-to-gross ratio (NTGR) </w:t>
      </w:r>
      <w:r w:rsidR="005571BD">
        <w:t>Res</w:t>
      </w:r>
      <w:r w:rsidRPr="00802681">
        <w:t>-Default&gt;2</w:t>
      </w:r>
      <w:r w:rsidR="005571BD">
        <w:t xml:space="preserve"> </w:t>
      </w:r>
      <w:bookmarkStart w:id="67" w:name="_Ref387932729"/>
      <w:r w:rsidRPr="00FF3C61">
        <w:rPr>
          <w:rStyle w:val="EndnoteReference"/>
        </w:rPr>
        <w:endnoteReference w:id="9"/>
      </w:r>
      <w:bookmarkEnd w:id="67"/>
      <w:r>
        <w:t xml:space="preserve"> </w:t>
      </w:r>
      <w:r w:rsidRPr="00FF3C61">
        <w:t xml:space="preserve">of </w:t>
      </w:r>
      <w:r>
        <w:t>0.</w:t>
      </w:r>
      <w:r w:rsidR="005571BD">
        <w:t>55</w:t>
      </w:r>
      <w:r w:rsidRPr="00FF3C61">
        <w:t xml:space="preserve"> for all </w:t>
      </w:r>
      <w:r w:rsidRPr="007A0C9F">
        <w:t>other EEMs with no evaluated NTGR; existing EEM in programs with same delivery mechanism for more than 2 years</w:t>
      </w:r>
      <w:r w:rsidRPr="00FF3C61">
        <w:t xml:space="preserve">.  </w:t>
      </w:r>
    </w:p>
    <w:p w:rsidR="001C644E" w:rsidRDefault="001C644E" w:rsidP="00E97D72">
      <w:pPr>
        <w:pStyle w:val="WPART"/>
      </w:pPr>
      <w:bookmarkStart w:id="68" w:name="_Toc461101287"/>
      <w:r w:rsidRPr="009E3B25">
        <w:t>Gross Realization Rate</w:t>
      </w:r>
      <w:bookmarkEnd w:id="68"/>
    </w:p>
    <w:p w:rsidR="005737C4" w:rsidRPr="00FF283E" w:rsidRDefault="005737C4" w:rsidP="00872847">
      <w:pPr>
        <w:pStyle w:val="WPPR1"/>
        <w:numPr>
          <w:ilvl w:val="0"/>
          <w:numId w:val="0"/>
        </w:numPr>
        <w:ind w:left="360" w:firstLine="360"/>
      </w:pPr>
      <w:r w:rsidRPr="00FF283E">
        <w:t xml:space="preserve">Gross realization rate of 1.00 </w:t>
      </w:r>
      <w:r w:rsidR="00BE0F0B">
        <w:t>is</w:t>
      </w:r>
      <w:r w:rsidRPr="00FF283E">
        <w:t xml:space="preserve"> applied to the measures in this document.  </w:t>
      </w:r>
    </w:p>
    <w:p w:rsidR="001C644E" w:rsidRDefault="001C644E" w:rsidP="00E97D72">
      <w:pPr>
        <w:pStyle w:val="WPART"/>
      </w:pPr>
      <w:bookmarkStart w:id="69" w:name="_Toc461101288"/>
      <w:r>
        <w:t>Time-of-Use Adjustment Factor</w:t>
      </w:r>
      <w:bookmarkEnd w:id="69"/>
    </w:p>
    <w:p w:rsidR="00CD56EA" w:rsidRDefault="00CD56EA" w:rsidP="00872847">
      <w:pPr>
        <w:pStyle w:val="WPPR1"/>
        <w:numPr>
          <w:ilvl w:val="0"/>
          <w:numId w:val="0"/>
        </w:numPr>
        <w:ind w:left="360" w:firstLine="360"/>
      </w:pPr>
      <w:r>
        <w:t>N/A</w:t>
      </w:r>
    </w:p>
    <w:p w:rsidR="001C644E" w:rsidRDefault="001C644E" w:rsidP="00CF0E83">
      <w:pPr>
        <w:pStyle w:val="WPSCT"/>
        <w:keepNext/>
      </w:pPr>
      <w:bookmarkStart w:id="70" w:name="_Toc214003090"/>
      <w:bookmarkStart w:id="71" w:name="_Toc461101289"/>
      <w:r>
        <w:t>Energy Savings &amp; Demand Reduction Calculations</w:t>
      </w:r>
      <w:bookmarkEnd w:id="70"/>
      <w:bookmarkEnd w:id="71"/>
    </w:p>
    <w:p w:rsidR="001C644E" w:rsidRDefault="001C644E" w:rsidP="003F2BB3">
      <w:pPr>
        <w:pStyle w:val="WPART"/>
      </w:pPr>
      <w:bookmarkStart w:id="72" w:name="_Toc214003093"/>
      <w:bookmarkStart w:id="73" w:name="_Toc461101290"/>
      <w:r>
        <w:t>Load Shape</w:t>
      </w:r>
      <w:bookmarkEnd w:id="72"/>
      <w:r>
        <w:t>s</w:t>
      </w:r>
      <w:bookmarkEnd w:id="73"/>
    </w:p>
    <w:p w:rsidR="00CD56EA" w:rsidRDefault="00CD56EA" w:rsidP="00872847">
      <w:pPr>
        <w:pStyle w:val="WPPR1"/>
        <w:numPr>
          <w:ilvl w:val="0"/>
          <w:numId w:val="0"/>
        </w:numPr>
        <w:ind w:left="720"/>
      </w:pPr>
      <w:r>
        <w:t>N/A</w:t>
      </w:r>
    </w:p>
    <w:p w:rsidR="006D042A" w:rsidRDefault="006D042A" w:rsidP="006D042A">
      <w:pPr>
        <w:pStyle w:val="WPART"/>
      </w:pPr>
      <w:bookmarkStart w:id="74" w:name="_Toc461101291"/>
      <w:bookmarkStart w:id="75" w:name="_Toc214003096"/>
      <w:r>
        <w:t>Energy Savings</w:t>
      </w:r>
      <w:bookmarkEnd w:id="74"/>
    </w:p>
    <w:p w:rsidR="00D45F02" w:rsidRDefault="00C00C84" w:rsidP="00872847">
      <w:pPr>
        <w:pStyle w:val="WPPR1"/>
        <w:numPr>
          <w:ilvl w:val="0"/>
          <w:numId w:val="0"/>
        </w:numPr>
        <w:ind w:left="720"/>
      </w:pPr>
      <w:r>
        <w:t xml:space="preserve">The energy savings estimates for </w:t>
      </w:r>
      <w:r w:rsidR="00AC1419">
        <w:t>measures in this workpaper</w:t>
      </w:r>
      <w:r>
        <w:t xml:space="preserve"> were calculated for each CA climate zones as shown in Measure Summary Table.  </w:t>
      </w:r>
      <w:r w:rsidR="00D45F02">
        <w:t xml:space="preserve">The 16 California Energy Commission forecast climate zones are shown in </w:t>
      </w:r>
      <w:r w:rsidR="00D45F02">
        <w:fldChar w:fldCharType="begin"/>
      </w:r>
      <w:r w:rsidR="00D45F02">
        <w:instrText xml:space="preserve"> REF _Ref370191961 \h  \* MERGEFORMAT </w:instrText>
      </w:r>
      <w:r w:rsidR="00D45F02">
        <w:fldChar w:fldCharType="separate"/>
      </w:r>
      <w:r w:rsidR="00CB1976" w:rsidRPr="00072081">
        <w:t xml:space="preserve">Figure </w:t>
      </w:r>
      <w:r w:rsidR="00D45F02">
        <w:fldChar w:fldCharType="end"/>
      </w:r>
      <w:r w:rsidR="00A653E0">
        <w:t>4</w:t>
      </w:r>
      <w:r w:rsidR="00D45F02">
        <w:t xml:space="preserve">. These areas are grouped according to California Title 24 and “represent a geographic area for which an energy budget is established.” Title 24 also states, </w:t>
      </w:r>
    </w:p>
    <w:p w:rsidR="00D45F02" w:rsidRDefault="00D45F02" w:rsidP="00872847">
      <w:pPr>
        <w:pStyle w:val="WPPR1"/>
        <w:numPr>
          <w:ilvl w:val="0"/>
          <w:numId w:val="0"/>
        </w:numPr>
        <w:ind w:left="1080"/>
      </w:pPr>
      <w:r>
        <w:t>“</w:t>
      </w:r>
      <w:r w:rsidRPr="00A16075">
        <w:t>The Energy Commission originally developed weather data for each climate zone by using unmodified (but error-screened) data for a representative city and weather year (representative months from various years). The Energy Commission analyzed weather data from weather stations selected for (1) reliability of data, (2) currency of data, (3) proximity to population centers, and (4) non-duplication of stations within a climate zone.</w:t>
      </w:r>
      <w:r>
        <w:t>”</w:t>
      </w:r>
    </w:p>
    <w:p w:rsidR="00D45F02" w:rsidRDefault="00D45F02" w:rsidP="00154904"/>
    <w:p w:rsidR="00D45F02" w:rsidRDefault="00D45F02" w:rsidP="00154904">
      <w:pPr>
        <w:pStyle w:val="WPPR1"/>
        <w:numPr>
          <w:ilvl w:val="0"/>
          <w:numId w:val="0"/>
        </w:numPr>
        <w:ind w:left="720"/>
        <w:jc w:val="center"/>
      </w:pPr>
      <w:r w:rsidRPr="00D3361C">
        <w:rPr>
          <w:noProof/>
        </w:rPr>
        <w:lastRenderedPageBreak/>
        <w:drawing>
          <wp:inline distT="0" distB="0" distL="0" distR="0" wp14:anchorId="6B8AC107" wp14:editId="451C1A9C">
            <wp:extent cx="4467225" cy="5857875"/>
            <wp:effectExtent l="0" t="0" r="9525" b="9525"/>
            <wp:docPr id="11" name="Picture 11" descr="B:\Projects - Utilities\Southern California Gas (SCG)\SoCalGas Workpapers\Central Water Heater Work Papers\Sources\CEC Climate Zone 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Projects - Utilities\Southern California Gas (SCG)\SoCalGas Workpapers\Central Water Heater Work Papers\Sources\CEC Climate Zone Map.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67225" cy="5857875"/>
                    </a:xfrm>
                    <a:prstGeom prst="rect">
                      <a:avLst/>
                    </a:prstGeom>
                    <a:noFill/>
                    <a:ln>
                      <a:noFill/>
                    </a:ln>
                  </pic:spPr>
                </pic:pic>
              </a:graphicData>
            </a:graphic>
          </wp:inline>
        </w:drawing>
      </w:r>
    </w:p>
    <w:p w:rsidR="00A653E0" w:rsidRPr="00E54914" w:rsidRDefault="00350153" w:rsidP="00350153">
      <w:pPr>
        <w:pStyle w:val="FIG"/>
        <w:numPr>
          <w:ilvl w:val="0"/>
          <w:numId w:val="0"/>
        </w:numPr>
      </w:pPr>
      <w:bookmarkStart w:id="76" w:name="_Toc461101184"/>
      <w:r>
        <w:t xml:space="preserve">Figure 4 - </w:t>
      </w:r>
      <w:r w:rsidR="00A653E0" w:rsidRPr="00072081">
        <w:t>California Energy Commission Forecast Climate Zones</w:t>
      </w:r>
      <w:r w:rsidR="00A653E0" w:rsidRPr="00072081">
        <w:rPr>
          <w:vertAlign w:val="superscript"/>
        </w:rPr>
        <w:endnoteReference w:id="10"/>
      </w:r>
      <w:bookmarkEnd w:id="76"/>
    </w:p>
    <w:p w:rsidR="00A653E0" w:rsidRDefault="00A653E0" w:rsidP="00154904">
      <w:pPr>
        <w:pStyle w:val="FIG"/>
        <w:numPr>
          <w:ilvl w:val="0"/>
          <w:numId w:val="0"/>
        </w:numPr>
        <w:jc w:val="center"/>
      </w:pPr>
    </w:p>
    <w:p w:rsidR="000671D9" w:rsidRDefault="000671D9" w:rsidP="00B43B94">
      <w:pPr>
        <w:pStyle w:val="WPPR1"/>
        <w:spacing w:after="240"/>
      </w:pPr>
      <w:r>
        <w:t>Annual Electric Energy Savings</w:t>
      </w:r>
    </w:p>
    <w:p w:rsidR="000671D9" w:rsidRDefault="000671D9" w:rsidP="00872847">
      <w:pPr>
        <w:pStyle w:val="WPPR2"/>
        <w:numPr>
          <w:ilvl w:val="0"/>
          <w:numId w:val="0"/>
        </w:numPr>
        <w:ind w:left="720" w:firstLine="360"/>
      </w:pPr>
      <w:r>
        <w:t>No electric energy savings will result from this measure.</w:t>
      </w:r>
    </w:p>
    <w:p w:rsidR="000671D9" w:rsidRDefault="000671D9" w:rsidP="00B43B94">
      <w:pPr>
        <w:pStyle w:val="WPPR1"/>
        <w:spacing w:after="240"/>
      </w:pPr>
      <w:r>
        <w:t>Electric Demand Reduction</w:t>
      </w:r>
    </w:p>
    <w:p w:rsidR="000671D9" w:rsidRDefault="000671D9" w:rsidP="00872847">
      <w:pPr>
        <w:pStyle w:val="WPPR2"/>
        <w:numPr>
          <w:ilvl w:val="0"/>
          <w:numId w:val="0"/>
        </w:numPr>
        <w:ind w:left="720" w:firstLine="360"/>
      </w:pPr>
      <w:r>
        <w:t>No electric demand reduction will result from this measure</w:t>
      </w:r>
    </w:p>
    <w:p w:rsidR="009D5B6C" w:rsidRDefault="00C553C1" w:rsidP="00472222">
      <w:pPr>
        <w:pStyle w:val="WPPR1"/>
        <w:spacing w:after="240"/>
      </w:pPr>
      <w:r>
        <w:t>Annual Gas Energy Savings</w:t>
      </w:r>
    </w:p>
    <w:p w:rsidR="00340C5A" w:rsidRDefault="008F0ABF" w:rsidP="00872847">
      <w:pPr>
        <w:ind w:left="1080"/>
      </w:pPr>
      <w:r>
        <w:lastRenderedPageBreak/>
        <w:t xml:space="preserve">The annual </w:t>
      </w:r>
      <w:r w:rsidR="003F5BF4">
        <w:t xml:space="preserve">water heater </w:t>
      </w:r>
      <w:r>
        <w:t xml:space="preserve">gas energy </w:t>
      </w:r>
      <w:r w:rsidR="003F5BF4">
        <w:t xml:space="preserve">use for the 16 California Energy Commission </w:t>
      </w:r>
      <w:r w:rsidR="003A2A19">
        <w:t xml:space="preserve">are </w:t>
      </w:r>
      <w:r w:rsidR="003F5BF4">
        <w:t xml:space="preserve">established </w:t>
      </w:r>
      <w:r w:rsidR="003A2A19">
        <w:t>by a</w:t>
      </w:r>
      <w:r w:rsidR="003F5BF4">
        <w:t>pp</w:t>
      </w:r>
      <w:r w:rsidR="003A2A19">
        <w:t xml:space="preserve">lying 16 adjustment factors to the state average storage water heater gas consumption for </w:t>
      </w:r>
      <w:r w:rsidR="00172A6E">
        <w:t>multifamily</w:t>
      </w:r>
      <w:r w:rsidR="003A2A19">
        <w:t xml:space="preserve"> apartments/units </w:t>
      </w:r>
      <w:r w:rsidR="000B62B2">
        <w:t xml:space="preserve">from </w:t>
      </w:r>
      <w:r w:rsidR="000671D9">
        <w:t xml:space="preserve">the 2009 California </w:t>
      </w:r>
      <w:r w:rsidR="00760DD6">
        <w:t xml:space="preserve">Residential </w:t>
      </w:r>
      <w:r w:rsidR="00760DD6" w:rsidRPr="00BC395D">
        <w:t xml:space="preserve">Appliance Saturation Study </w:t>
      </w:r>
      <w:r w:rsidR="000671D9" w:rsidRPr="00BC395D">
        <w:t>(</w:t>
      </w:r>
      <w:r w:rsidR="000B62B2" w:rsidRPr="00BC395D">
        <w:t>RASS</w:t>
      </w:r>
      <w:r w:rsidR="000671D9" w:rsidRPr="00BC395D">
        <w:t>).</w:t>
      </w:r>
      <w:bookmarkStart w:id="77" w:name="_Ref362522598"/>
      <w:r w:rsidR="000671D9" w:rsidRPr="00BC395D">
        <w:rPr>
          <w:rStyle w:val="EndnoteReference"/>
        </w:rPr>
        <w:endnoteReference w:id="11"/>
      </w:r>
      <w:bookmarkEnd w:id="77"/>
      <w:r w:rsidR="003A2A19">
        <w:t xml:space="preserve"> </w:t>
      </w:r>
    </w:p>
    <w:p w:rsidR="00340C5A" w:rsidRDefault="00340C5A" w:rsidP="009C6F90"/>
    <w:p w:rsidR="009C6F90" w:rsidRDefault="00340C5A" w:rsidP="00872847">
      <w:pPr>
        <w:ind w:left="1080"/>
      </w:pPr>
      <w:r>
        <w:t>The adjustment factors were developed using 2013 ground temperature data and t</w:t>
      </w:r>
      <w:r w:rsidR="000E5AD0">
        <w:t xml:space="preserve">he “Building America Multi-Family Central Water Heating Evaluation Tool” from the Department of Energy’s Office of Energy Efficiency and Renewable Energy to model </w:t>
      </w:r>
      <w:r w:rsidR="009C6F90">
        <w:t xml:space="preserve">the annual </w:t>
      </w:r>
      <w:r w:rsidR="000E5AD0">
        <w:t xml:space="preserve">water heater gas consumption </w:t>
      </w:r>
      <w:r>
        <w:t>for the 16 climate zones</w:t>
      </w:r>
      <w:r w:rsidR="000E5AD0">
        <w:t>.</w:t>
      </w:r>
      <w:r w:rsidR="00E95C74">
        <w:t xml:space="preserve"> </w:t>
      </w:r>
      <w:r w:rsidR="003F5BF4">
        <w:t>T</w:t>
      </w:r>
      <w:r w:rsidR="00D25658">
        <w:t xml:space="preserve">he annual consumption associated with each climate zone </w:t>
      </w:r>
      <w:r w:rsidR="00455758">
        <w:t>was</w:t>
      </w:r>
      <w:r w:rsidR="00D25658">
        <w:t xml:space="preserve"> then divided by the median of consumptions in all 16 climate zones to estimate the adjustmen</w:t>
      </w:r>
      <w:r w:rsidR="009B109B">
        <w:t xml:space="preserve">t factor for each climate zone, </w:t>
      </w:r>
      <w:r w:rsidR="00D25658">
        <w:t xml:space="preserve">which are presented in </w:t>
      </w:r>
      <w:r w:rsidR="00195C65">
        <w:fldChar w:fldCharType="begin"/>
      </w:r>
      <w:r w:rsidR="00195C65">
        <w:instrText xml:space="preserve"> REF _Ref370191194 \h </w:instrText>
      </w:r>
      <w:r w:rsidR="00195C65">
        <w:fldChar w:fldCharType="separate"/>
      </w:r>
      <w:r w:rsidR="00CB1976">
        <w:t xml:space="preserve">Figure </w:t>
      </w:r>
      <w:r w:rsidR="00195C65">
        <w:fldChar w:fldCharType="end"/>
      </w:r>
      <w:r w:rsidR="00A653E0">
        <w:t>5</w:t>
      </w:r>
      <w:r w:rsidR="00E25E44">
        <w:t>. The adjustment factor calculation</w:t>
      </w:r>
      <w:r>
        <w:t>s</w:t>
      </w:r>
      <w:r w:rsidR="00E25E44">
        <w:t xml:space="preserve"> are included in an Excel file embedded as Attachment A.</w:t>
      </w:r>
    </w:p>
    <w:p w:rsidR="005A1068" w:rsidRDefault="005A1068" w:rsidP="009C6F90"/>
    <w:p w:rsidR="005A1068" w:rsidRDefault="00283CE4" w:rsidP="009C6F90">
      <w:r>
        <w:rPr>
          <w:noProof/>
        </w:rPr>
        <w:drawing>
          <wp:inline distT="0" distB="0" distL="0" distR="0" wp14:anchorId="6235B041" wp14:editId="40B7A8CC">
            <wp:extent cx="5458968" cy="2505456"/>
            <wp:effectExtent l="0" t="0" r="889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8968" cy="2505456"/>
                    </a:xfrm>
                    <a:prstGeom prst="rect">
                      <a:avLst/>
                    </a:prstGeom>
                    <a:noFill/>
                  </pic:spPr>
                </pic:pic>
              </a:graphicData>
            </a:graphic>
          </wp:inline>
        </w:drawing>
      </w:r>
    </w:p>
    <w:p w:rsidR="003A2A19" w:rsidRDefault="003A2A19" w:rsidP="00154904">
      <w:pPr>
        <w:pStyle w:val="PR2"/>
        <w:numPr>
          <w:ilvl w:val="0"/>
          <w:numId w:val="0"/>
        </w:numPr>
        <w:jc w:val="center"/>
      </w:pPr>
    </w:p>
    <w:p w:rsidR="00A653E0" w:rsidRPr="00E54914" w:rsidRDefault="00350153" w:rsidP="00350153">
      <w:pPr>
        <w:pStyle w:val="FIG"/>
        <w:numPr>
          <w:ilvl w:val="0"/>
          <w:numId w:val="0"/>
        </w:numPr>
      </w:pPr>
      <w:bookmarkStart w:id="78" w:name="_Toc461101185"/>
      <w:r>
        <w:t xml:space="preserve">Figure 5 - </w:t>
      </w:r>
      <w:r w:rsidR="00A653E0">
        <w:t>Water Heater Gas Consumption Adjustment Factors for the California 16 Climate Zones</w:t>
      </w:r>
      <w:bookmarkEnd w:id="78"/>
    </w:p>
    <w:p w:rsidR="00D25658" w:rsidRDefault="00D25658" w:rsidP="00472222">
      <w:pPr>
        <w:pStyle w:val="PR2"/>
        <w:numPr>
          <w:ilvl w:val="0"/>
          <w:numId w:val="0"/>
        </w:numPr>
      </w:pPr>
    </w:p>
    <w:p w:rsidR="005E3E51" w:rsidRDefault="005E3E51" w:rsidP="00872847">
      <w:pPr>
        <w:pStyle w:val="PR1"/>
        <w:numPr>
          <w:ilvl w:val="0"/>
          <w:numId w:val="0"/>
        </w:numPr>
        <w:ind w:left="1080"/>
      </w:pPr>
      <w:r>
        <w:t xml:space="preserve">The calculated adjustment factors </w:t>
      </w:r>
      <w:r w:rsidR="00180F60">
        <w:t xml:space="preserve">are applied to the </w:t>
      </w:r>
      <w:r>
        <w:t xml:space="preserve">state average gas consumption </w:t>
      </w:r>
      <w:r w:rsidR="00180F60">
        <w:t>for multi-family apartment unit from RASS to establish the baseline water heater gas consumption for the 16 climate zones.</w:t>
      </w:r>
    </w:p>
    <w:p w:rsidR="00753C8C" w:rsidRDefault="00C80472" w:rsidP="00872847">
      <w:pPr>
        <w:pStyle w:val="PR1"/>
        <w:numPr>
          <w:ilvl w:val="0"/>
          <w:numId w:val="0"/>
        </w:numPr>
        <w:ind w:left="1080"/>
      </w:pPr>
      <w:r>
        <w:t>The f</w:t>
      </w:r>
      <w:r w:rsidR="005E3E51">
        <w:t>ollowing s</w:t>
      </w:r>
      <w:r w:rsidR="00753C8C">
        <w:t xml:space="preserve">teps </w:t>
      </w:r>
      <w:r w:rsidR="00C43FA7">
        <w:t>wer</w:t>
      </w:r>
      <w:r w:rsidR="005E3E51">
        <w:t xml:space="preserve">e </w:t>
      </w:r>
      <w:r w:rsidR="00180F60">
        <w:t xml:space="preserve">then </w:t>
      </w:r>
      <w:r w:rsidR="005E3E51">
        <w:t>taken to derive</w:t>
      </w:r>
      <w:r w:rsidR="00753C8C">
        <w:t xml:space="preserve"> </w:t>
      </w:r>
      <w:r w:rsidR="005E3E51">
        <w:t>the gas savings per</w:t>
      </w:r>
      <w:r w:rsidR="00180F60">
        <w:t xml:space="preserve"> </w:t>
      </w:r>
      <w:r w:rsidR="005E3E51">
        <w:t xml:space="preserve">unit of water heater capacity (kBtuh): </w:t>
      </w:r>
    </w:p>
    <w:p w:rsidR="00760DD6" w:rsidRPr="0009661E" w:rsidRDefault="00760DD6" w:rsidP="00C80472">
      <w:pPr>
        <w:pStyle w:val="PR2"/>
        <w:spacing w:before="240"/>
      </w:pPr>
      <w:r w:rsidRPr="0009661E">
        <w:t>Determine average rated input of central storage water heater per dwelling unit</w:t>
      </w:r>
      <w:r w:rsidR="00084C33">
        <w:t xml:space="preserve"> along with average number of occupants per dwelling uni</w:t>
      </w:r>
      <w:r w:rsidR="007279E8">
        <w:t>t. These resources can be found in Attachment E.</w:t>
      </w:r>
    </w:p>
    <w:p w:rsidR="00BC395D" w:rsidRDefault="00A27509" w:rsidP="00C80472">
      <w:pPr>
        <w:pStyle w:val="PR2"/>
      </w:pPr>
      <w:r>
        <w:t>C</w:t>
      </w:r>
      <w:r w:rsidR="00BC395D" w:rsidRPr="0009661E">
        <w:t xml:space="preserve">alculate </w:t>
      </w:r>
      <w:r w:rsidR="00DD1E30">
        <w:t>gas</w:t>
      </w:r>
      <w:r w:rsidR="00DD1E30" w:rsidRPr="0009661E">
        <w:t xml:space="preserve"> </w:t>
      </w:r>
      <w:r w:rsidR="00BC395D" w:rsidRPr="0009661E">
        <w:t xml:space="preserve">savings </w:t>
      </w:r>
      <w:r w:rsidR="00760DD6" w:rsidRPr="0009661E">
        <w:t xml:space="preserve">per kBtuh rated input </w:t>
      </w:r>
      <w:r w:rsidR="00BC395D" w:rsidRPr="0009661E">
        <w:t xml:space="preserve">from the baseline thermal efficiency and the measure thermal efficiency.  </w:t>
      </w:r>
    </w:p>
    <w:p w:rsidR="00A27509" w:rsidRDefault="00A27509" w:rsidP="00C80472">
      <w:pPr>
        <w:pStyle w:val="PR2"/>
        <w:numPr>
          <w:ilvl w:val="0"/>
          <w:numId w:val="0"/>
        </w:numPr>
        <w:tabs>
          <w:tab w:val="num" w:pos="1584"/>
        </w:tabs>
        <w:ind w:left="1584"/>
      </w:pPr>
    </w:p>
    <w:p w:rsidR="008F0ABF" w:rsidRPr="00976D87" w:rsidRDefault="008F0ABF" w:rsidP="00C80472">
      <w:pPr>
        <w:pStyle w:val="WPPR3"/>
        <w:tabs>
          <w:tab w:val="num" w:pos="1584"/>
        </w:tabs>
      </w:pPr>
      <w:r w:rsidRPr="00976D87">
        <w:t xml:space="preserve">For calculating energy savings, the following assumptions are used:  </w:t>
      </w:r>
    </w:p>
    <w:p w:rsidR="008F0ABF" w:rsidRDefault="008F0ABF" w:rsidP="00C80472">
      <w:pPr>
        <w:pStyle w:val="WPPR4"/>
        <w:tabs>
          <w:tab w:val="num" w:pos="1584"/>
        </w:tabs>
      </w:pPr>
      <w:r>
        <w:t xml:space="preserve">The </w:t>
      </w:r>
      <w:r w:rsidR="005008B9">
        <w:t xml:space="preserve">average </w:t>
      </w:r>
      <w:r>
        <w:t>e</w:t>
      </w:r>
      <w:r w:rsidRPr="00976D87">
        <w:t xml:space="preserve">fficiency </w:t>
      </w:r>
      <w:r>
        <w:t xml:space="preserve">for the baseline </w:t>
      </w:r>
      <w:r w:rsidR="0007541B">
        <w:t xml:space="preserve">products </w:t>
      </w:r>
      <w:r>
        <w:t xml:space="preserve">is </w:t>
      </w:r>
      <w:r w:rsidR="0009661E" w:rsidRPr="00E3741E">
        <w:t>a minimum TE of 80%</w:t>
      </w:r>
      <w:r w:rsidR="0009661E">
        <w:t xml:space="preserve"> based on </w:t>
      </w:r>
      <w:r w:rsidR="005008B9">
        <w:t xml:space="preserve">California Title 20 code </w:t>
      </w:r>
      <w:r w:rsidR="002D466A">
        <w:t>standard</w:t>
      </w:r>
      <w:r>
        <w:t xml:space="preserve">.  </w:t>
      </w:r>
    </w:p>
    <w:p w:rsidR="0009661E" w:rsidRPr="00E3741E" w:rsidRDefault="008F0ABF" w:rsidP="00C80472">
      <w:pPr>
        <w:pStyle w:val="WPPR4"/>
        <w:tabs>
          <w:tab w:val="num" w:pos="1584"/>
        </w:tabs>
      </w:pPr>
      <w:r>
        <w:t>The average efficienc</w:t>
      </w:r>
      <w:r w:rsidR="0009661E">
        <w:t>ies</w:t>
      </w:r>
      <w:r>
        <w:t xml:space="preserve"> for the </w:t>
      </w:r>
      <w:r w:rsidR="0007541B">
        <w:t xml:space="preserve">qualifying products </w:t>
      </w:r>
      <w:r w:rsidR="0009661E">
        <w:t>are: 1) a m</w:t>
      </w:r>
      <w:r w:rsidR="0009661E" w:rsidRPr="00E3741E">
        <w:t>inimum TE of 83% for Tier 1 (non-condensing) large storage water heater</w:t>
      </w:r>
      <w:r w:rsidR="0009661E">
        <w:t>s, 2) a m</w:t>
      </w:r>
      <w:r w:rsidR="0009661E" w:rsidRPr="00E3741E">
        <w:t xml:space="preserve">inimum TE of 90% for Tier 2 (condensing) large storage water heaters.  </w:t>
      </w:r>
    </w:p>
    <w:p w:rsidR="0009661E" w:rsidRPr="00976D87" w:rsidRDefault="0009661E" w:rsidP="00C80472">
      <w:pPr>
        <w:pStyle w:val="PR3"/>
        <w:numPr>
          <w:ilvl w:val="0"/>
          <w:numId w:val="0"/>
        </w:numPr>
        <w:tabs>
          <w:tab w:val="num" w:pos="1584"/>
        </w:tabs>
        <w:ind w:left="2016"/>
      </w:pPr>
    </w:p>
    <w:p w:rsidR="008F0ABF" w:rsidRPr="00976D87" w:rsidRDefault="008F0ABF" w:rsidP="00C80472">
      <w:pPr>
        <w:pStyle w:val="WPPR3"/>
        <w:tabs>
          <w:tab w:val="num" w:pos="1584"/>
        </w:tabs>
      </w:pPr>
      <w:r w:rsidRPr="00976D87">
        <w:t xml:space="preserve">With these assumptions, the energy saved by a high-efficiency </w:t>
      </w:r>
      <w:r>
        <w:t xml:space="preserve">measure </w:t>
      </w:r>
      <w:r w:rsidR="005008B9">
        <w:t>storage water heater</w:t>
      </w:r>
      <w:r w:rsidRPr="00976D87">
        <w:t xml:space="preserve"> can be calculated as follows:  </w:t>
      </w:r>
    </w:p>
    <w:p w:rsidR="008F0ABF" w:rsidRPr="00976D87" w:rsidRDefault="008F0ABF" w:rsidP="00C80472">
      <w:pPr>
        <w:pStyle w:val="Vertical"/>
        <w:tabs>
          <w:tab w:val="num" w:pos="1584"/>
        </w:tabs>
        <w:rPr>
          <w:i/>
        </w:rPr>
      </w:pPr>
      <w:r w:rsidRPr="0009661E">
        <w:rPr>
          <w:i/>
        </w:rPr>
        <w:t>∆Q = Q</w:t>
      </w:r>
      <w:r w:rsidR="008C673C" w:rsidRPr="0009661E">
        <w:rPr>
          <w:i/>
          <w:vertAlign w:val="subscript"/>
        </w:rPr>
        <w:t>b</w:t>
      </w:r>
      <w:r w:rsidRPr="0009661E">
        <w:rPr>
          <w:i/>
        </w:rPr>
        <w:t xml:space="preserve"> x (1</w:t>
      </w:r>
      <w:r w:rsidR="008C673C" w:rsidRPr="0009661E">
        <w:rPr>
          <w:i/>
        </w:rPr>
        <w:t xml:space="preserve"> - </w:t>
      </w:r>
      <w:r w:rsidRPr="0009661E">
        <w:rPr>
          <w:i/>
        </w:rPr>
        <w:t>E</w:t>
      </w:r>
      <w:r w:rsidR="008C673C" w:rsidRPr="0009661E">
        <w:rPr>
          <w:i/>
          <w:vertAlign w:val="subscript"/>
        </w:rPr>
        <w:t>b</w:t>
      </w:r>
      <w:r w:rsidRPr="0009661E">
        <w:rPr>
          <w:i/>
        </w:rPr>
        <w:t>/E</w:t>
      </w:r>
      <w:r w:rsidR="008C673C" w:rsidRPr="0009661E">
        <w:rPr>
          <w:i/>
          <w:vertAlign w:val="subscript"/>
        </w:rPr>
        <w:t>m</w:t>
      </w:r>
      <w:r w:rsidRPr="0009661E">
        <w:rPr>
          <w:i/>
        </w:rPr>
        <w:t>)</w:t>
      </w:r>
      <w:r w:rsidR="008C673C" w:rsidRPr="0009661E">
        <w:rPr>
          <w:i/>
        </w:rPr>
        <w:tab/>
      </w:r>
      <w:r w:rsidR="008C673C" w:rsidRPr="0009661E">
        <w:rPr>
          <w:i/>
        </w:rPr>
        <w:tab/>
      </w:r>
      <w:r w:rsidRPr="0009661E">
        <w:rPr>
          <w:i/>
        </w:rPr>
        <w:tab/>
      </w:r>
      <w:r w:rsidRPr="0009661E">
        <w:rPr>
          <w:i/>
        </w:rPr>
        <w:tab/>
      </w:r>
      <w:r w:rsidRPr="0009661E">
        <w:rPr>
          <w:i/>
        </w:rPr>
        <w:tab/>
      </w:r>
      <w:r w:rsidR="00146557" w:rsidRPr="0009661E">
        <w:rPr>
          <w:i/>
        </w:rPr>
        <w:tab/>
      </w:r>
      <w:r w:rsidR="00146557" w:rsidRPr="0009661E">
        <w:rPr>
          <w:i/>
        </w:rPr>
        <w:tab/>
      </w:r>
      <w:r w:rsidR="00146557" w:rsidRPr="0009661E">
        <w:rPr>
          <w:i/>
        </w:rPr>
        <w:tab/>
      </w:r>
      <w:r w:rsidRPr="0009661E">
        <w:rPr>
          <w:i/>
        </w:rPr>
        <w:tab/>
      </w:r>
      <w:r w:rsidRPr="0009661E">
        <w:rPr>
          <w:i/>
        </w:rPr>
        <w:tab/>
      </w:r>
      <w:r w:rsidRPr="0009661E">
        <w:rPr>
          <w:i/>
        </w:rPr>
        <w:tab/>
        <w:t>Eqn-1</w:t>
      </w:r>
    </w:p>
    <w:p w:rsidR="00884825" w:rsidRDefault="0021125B" w:rsidP="00C80472">
      <w:pPr>
        <w:pStyle w:val="WPPR4"/>
        <w:numPr>
          <w:ilvl w:val="0"/>
          <w:numId w:val="0"/>
        </w:numPr>
        <w:tabs>
          <w:tab w:val="num" w:pos="1584"/>
        </w:tabs>
        <w:ind w:left="2448"/>
      </w:pPr>
      <w:r>
        <w:t>where</w:t>
      </w:r>
    </w:p>
    <w:p w:rsidR="008F0ABF" w:rsidRPr="00976D87" w:rsidRDefault="008F0ABF" w:rsidP="00C80472">
      <w:pPr>
        <w:pStyle w:val="WPPR4"/>
        <w:tabs>
          <w:tab w:val="num" w:pos="1584"/>
        </w:tabs>
      </w:pPr>
      <w:r w:rsidRPr="00976D87">
        <w:rPr>
          <w:i/>
        </w:rPr>
        <w:t>∆Q</w:t>
      </w:r>
      <w:r w:rsidRPr="00976D87">
        <w:t xml:space="preserve"> – </w:t>
      </w:r>
      <w:r w:rsidR="00DD1E30">
        <w:t>Gas</w:t>
      </w:r>
      <w:r w:rsidR="00DD1E30" w:rsidRPr="00976D87">
        <w:t xml:space="preserve"> </w:t>
      </w:r>
      <w:r w:rsidRPr="00976D87">
        <w:t xml:space="preserve">Saved (therms/yr).  Savings which results from installing the high-efficiency </w:t>
      </w:r>
      <w:r>
        <w:t>measure equipment</w:t>
      </w:r>
      <w:r w:rsidRPr="00976D87">
        <w:t xml:space="preserve">.  </w:t>
      </w:r>
    </w:p>
    <w:p w:rsidR="008F0ABF" w:rsidRPr="00976D87" w:rsidRDefault="008F0ABF" w:rsidP="00C80472">
      <w:pPr>
        <w:pStyle w:val="WPPR4"/>
        <w:tabs>
          <w:tab w:val="num" w:pos="1584"/>
        </w:tabs>
      </w:pPr>
      <w:r w:rsidRPr="00290F6A">
        <w:rPr>
          <w:i/>
        </w:rPr>
        <w:t>E</w:t>
      </w:r>
      <w:r w:rsidRPr="00976D87">
        <w:t xml:space="preserve"> – Efficiency (%).  Efficiency of </w:t>
      </w:r>
      <w:r>
        <w:t>equipment in appropriate efficiency units (</w:t>
      </w:r>
      <w:r w:rsidR="005008B9">
        <w:t>thermal e</w:t>
      </w:r>
      <w:r>
        <w:t xml:space="preserve">fficiency).  </w:t>
      </w:r>
    </w:p>
    <w:p w:rsidR="008F0ABF" w:rsidRDefault="008C673C" w:rsidP="00C80472">
      <w:pPr>
        <w:pStyle w:val="WPPR4"/>
        <w:tabs>
          <w:tab w:val="num" w:pos="1584"/>
        </w:tabs>
      </w:pPr>
      <w:r>
        <w:rPr>
          <w:i/>
        </w:rPr>
        <w:t>Subscript b</w:t>
      </w:r>
      <w:r w:rsidR="008F0ABF" w:rsidRPr="00290F6A">
        <w:t xml:space="preserve"> = </w:t>
      </w:r>
      <w:r>
        <w:t>B</w:t>
      </w:r>
      <w:r w:rsidR="008F0ABF">
        <w:t xml:space="preserve">aseline </w:t>
      </w:r>
      <w:r w:rsidR="008F0ABF" w:rsidRPr="00976D87">
        <w:t>(</w:t>
      </w:r>
      <w:r>
        <w:t>or base case</w:t>
      </w:r>
      <w:r w:rsidR="008F0ABF">
        <w:t>)</w:t>
      </w:r>
      <w:r w:rsidR="008F0ABF" w:rsidRPr="00976D87">
        <w:t xml:space="preserve"> </w:t>
      </w:r>
      <w:r w:rsidR="008F0ABF">
        <w:t>equipment</w:t>
      </w:r>
    </w:p>
    <w:p w:rsidR="008F0ABF" w:rsidRDefault="008C673C" w:rsidP="00C80472">
      <w:pPr>
        <w:pStyle w:val="WPPR4"/>
        <w:tabs>
          <w:tab w:val="num" w:pos="1584"/>
        </w:tabs>
      </w:pPr>
      <w:r>
        <w:rPr>
          <w:i/>
        </w:rPr>
        <w:t>Subscript m</w:t>
      </w:r>
      <w:r w:rsidR="008F0ABF" w:rsidRPr="00290F6A">
        <w:t xml:space="preserve"> = </w:t>
      </w:r>
      <w:r>
        <w:t>M</w:t>
      </w:r>
      <w:r w:rsidR="008F0ABF">
        <w:t>easure</w:t>
      </w:r>
      <w:r w:rsidR="008F0ABF" w:rsidRPr="00290F6A">
        <w:t xml:space="preserve"> </w:t>
      </w:r>
      <w:r w:rsidR="008F0ABF">
        <w:t>(</w:t>
      </w:r>
      <w:r w:rsidR="008F0ABF" w:rsidRPr="00976D87">
        <w:t>new high-efficiency</w:t>
      </w:r>
      <w:r w:rsidR="008F0ABF">
        <w:t>) equipment</w:t>
      </w:r>
    </w:p>
    <w:p w:rsidR="005008B9" w:rsidRDefault="005008B9" w:rsidP="00C43FA7">
      <w:pPr>
        <w:pStyle w:val="WPPR3"/>
        <w:tabs>
          <w:tab w:val="num" w:pos="1584"/>
        </w:tabs>
        <w:spacing w:before="240"/>
      </w:pPr>
      <w:r>
        <w:t xml:space="preserve">The </w:t>
      </w:r>
      <w:r w:rsidR="00DD1E30">
        <w:t xml:space="preserve">gas </w:t>
      </w:r>
      <w:r>
        <w:t xml:space="preserve">savings </w:t>
      </w:r>
      <w:r w:rsidR="008C673C">
        <w:t xml:space="preserve">are </w:t>
      </w:r>
      <w:r>
        <w:t xml:space="preserve">calculated for </w:t>
      </w:r>
      <w:r w:rsidR="008C673C">
        <w:t xml:space="preserve">each </w:t>
      </w:r>
      <w:r w:rsidR="00D45F02">
        <w:t xml:space="preserve">or </w:t>
      </w:r>
      <w:r w:rsidR="008C673C">
        <w:t>climate zone</w:t>
      </w:r>
      <w:r w:rsidR="008445D3">
        <w:t>.</w:t>
      </w:r>
      <w:r w:rsidR="009701E7">
        <w:t xml:space="preserve">  </w:t>
      </w:r>
      <w:r w:rsidR="00146557">
        <w:t xml:space="preserve">The energy savings data and calculations are included in an Excel file embedded as Attachment </w:t>
      </w:r>
      <w:r w:rsidR="00E25E44">
        <w:t>B</w:t>
      </w:r>
      <w:r w:rsidR="00146557">
        <w:t xml:space="preserve">.  </w:t>
      </w:r>
    </w:p>
    <w:p w:rsidR="001F7412" w:rsidRPr="00B81CAD" w:rsidRDefault="00DD1E30" w:rsidP="00154904">
      <w:pPr>
        <w:pStyle w:val="WPPR1"/>
        <w:numPr>
          <w:ilvl w:val="0"/>
          <w:numId w:val="0"/>
        </w:numPr>
      </w:pPr>
      <w:r>
        <w:t>The calculated gas consumption and saving</w:t>
      </w:r>
      <w:r w:rsidR="00455758">
        <w:t>s</w:t>
      </w:r>
      <w:r>
        <w:t xml:space="preserve"> per climate zone and tier are summarized in</w:t>
      </w:r>
      <w:r w:rsidR="00A653E0">
        <w:t xml:space="preserve"> Table 4</w:t>
      </w:r>
      <w:r>
        <w:t>:</w:t>
      </w:r>
    </w:p>
    <w:p w:rsidR="00760DD6" w:rsidRDefault="00760DD6" w:rsidP="00565B56">
      <w:pPr>
        <w:pStyle w:val="Vertical"/>
      </w:pPr>
    </w:p>
    <w:p w:rsidR="00FE30B9" w:rsidRDefault="00016FCA" w:rsidP="00A653E0">
      <w:pPr>
        <w:pStyle w:val="TBL"/>
      </w:pPr>
      <w:bookmarkStart w:id="79" w:name="_Toc370197556"/>
      <w:bookmarkStart w:id="80" w:name="_Toc461101273"/>
      <w:r w:rsidRPr="00DA636A">
        <w:t xml:space="preserve">Annual </w:t>
      </w:r>
      <w:r w:rsidR="00DD1E30">
        <w:t xml:space="preserve">Gas Consumption and </w:t>
      </w:r>
      <w:r w:rsidRPr="00DA636A">
        <w:t xml:space="preserve">Savings by </w:t>
      </w:r>
      <w:r w:rsidR="00760DD6">
        <w:t>Tier</w:t>
      </w:r>
      <w:r w:rsidR="008C673C" w:rsidRPr="008C673C">
        <w:t xml:space="preserve"> </w:t>
      </w:r>
      <w:r w:rsidR="008C673C">
        <w:t>and Climate Zone</w:t>
      </w:r>
      <w:bookmarkEnd w:id="79"/>
      <w:bookmarkEnd w:id="80"/>
      <w:r w:rsidR="008C673C">
        <w:t xml:space="preserve"> </w:t>
      </w:r>
    </w:p>
    <w:tbl>
      <w:tblPr>
        <w:tblW w:w="8280" w:type="dxa"/>
        <w:tblInd w:w="648" w:type="dxa"/>
        <w:tblLook w:val="04A0" w:firstRow="1" w:lastRow="0" w:firstColumn="1" w:lastColumn="0" w:noHBand="0" w:noVBand="1"/>
      </w:tblPr>
      <w:tblGrid>
        <w:gridCol w:w="1000"/>
        <w:gridCol w:w="800"/>
        <w:gridCol w:w="2520"/>
        <w:gridCol w:w="1957"/>
        <w:gridCol w:w="2003"/>
      </w:tblGrid>
      <w:tr w:rsidR="007C6318" w:rsidRPr="007C6318" w:rsidTr="00C013AD">
        <w:trPr>
          <w:trHeight w:val="1440"/>
          <w:tblHeader/>
        </w:trPr>
        <w:tc>
          <w:tcPr>
            <w:tcW w:w="1000" w:type="dxa"/>
            <w:tcBorders>
              <w:top w:val="single" w:sz="8" w:space="0" w:color="auto"/>
              <w:left w:val="single" w:sz="8" w:space="0" w:color="auto"/>
              <w:bottom w:val="single" w:sz="4" w:space="0" w:color="auto"/>
              <w:right w:val="single" w:sz="4" w:space="0" w:color="auto"/>
            </w:tcBorders>
            <w:shd w:val="clear" w:color="000000" w:fill="BFBFBF"/>
            <w:vAlign w:val="bottom"/>
            <w:hideMark/>
          </w:tcPr>
          <w:p w:rsidR="007C6318" w:rsidRPr="007C6318" w:rsidRDefault="007C6318" w:rsidP="007C6318">
            <w:pPr>
              <w:jc w:val="center"/>
              <w:rPr>
                <w:rFonts w:eastAsia="Times New Roman" w:cs="Arial"/>
                <w:b/>
                <w:bCs/>
                <w:sz w:val="18"/>
                <w:szCs w:val="18"/>
              </w:rPr>
            </w:pPr>
            <w:r w:rsidRPr="007C6318">
              <w:rPr>
                <w:rFonts w:eastAsia="Times New Roman" w:cs="Arial"/>
                <w:b/>
                <w:bCs/>
                <w:sz w:val="18"/>
                <w:szCs w:val="18"/>
              </w:rPr>
              <w:t>Climate Zone</w:t>
            </w:r>
          </w:p>
        </w:tc>
        <w:tc>
          <w:tcPr>
            <w:tcW w:w="800" w:type="dxa"/>
            <w:tcBorders>
              <w:top w:val="single" w:sz="8" w:space="0" w:color="auto"/>
              <w:left w:val="nil"/>
              <w:bottom w:val="single" w:sz="4" w:space="0" w:color="auto"/>
              <w:right w:val="single" w:sz="4" w:space="0" w:color="auto"/>
            </w:tcBorders>
            <w:shd w:val="clear" w:color="000000" w:fill="BFBFBF"/>
            <w:vAlign w:val="bottom"/>
            <w:hideMark/>
          </w:tcPr>
          <w:p w:rsidR="007C6318" w:rsidRPr="007C6318" w:rsidRDefault="007C6318" w:rsidP="007C6318">
            <w:pPr>
              <w:jc w:val="center"/>
              <w:rPr>
                <w:rFonts w:eastAsia="Times New Roman" w:cs="Arial"/>
                <w:b/>
                <w:bCs/>
                <w:sz w:val="18"/>
                <w:szCs w:val="18"/>
              </w:rPr>
            </w:pPr>
            <w:r w:rsidRPr="007C6318">
              <w:rPr>
                <w:rFonts w:eastAsia="Times New Roman" w:cs="Arial"/>
                <w:b/>
                <w:bCs/>
                <w:sz w:val="18"/>
                <w:szCs w:val="18"/>
              </w:rPr>
              <w:t>Tier</w:t>
            </w:r>
          </w:p>
        </w:tc>
        <w:tc>
          <w:tcPr>
            <w:tcW w:w="2520" w:type="dxa"/>
            <w:tcBorders>
              <w:top w:val="single" w:sz="8" w:space="0" w:color="auto"/>
              <w:left w:val="nil"/>
              <w:bottom w:val="single" w:sz="4" w:space="0" w:color="auto"/>
              <w:right w:val="single" w:sz="4" w:space="0" w:color="auto"/>
            </w:tcBorders>
            <w:shd w:val="clear" w:color="000000" w:fill="BFBFBF"/>
            <w:vAlign w:val="bottom"/>
            <w:hideMark/>
          </w:tcPr>
          <w:p w:rsidR="007C6318" w:rsidRPr="007C6318" w:rsidRDefault="007C6318" w:rsidP="007C6318">
            <w:pPr>
              <w:jc w:val="center"/>
              <w:rPr>
                <w:rFonts w:eastAsia="Times New Roman" w:cs="Arial"/>
                <w:b/>
                <w:bCs/>
                <w:sz w:val="18"/>
                <w:szCs w:val="18"/>
              </w:rPr>
            </w:pPr>
            <w:r w:rsidRPr="007C6318">
              <w:rPr>
                <w:rFonts w:eastAsia="Times New Roman" w:cs="Arial"/>
                <w:b/>
                <w:bCs/>
                <w:sz w:val="18"/>
                <w:szCs w:val="18"/>
              </w:rPr>
              <w:t>Annual Gas Consumption per Apartment Unit  (Therms/Yr/Dwelling Unit)</w:t>
            </w:r>
          </w:p>
        </w:tc>
        <w:tc>
          <w:tcPr>
            <w:tcW w:w="1957" w:type="dxa"/>
            <w:tcBorders>
              <w:top w:val="single" w:sz="8" w:space="0" w:color="auto"/>
              <w:left w:val="nil"/>
              <w:bottom w:val="single" w:sz="4" w:space="0" w:color="auto"/>
              <w:right w:val="single" w:sz="4" w:space="0" w:color="auto"/>
            </w:tcBorders>
            <w:shd w:val="clear" w:color="000000" w:fill="BFBFBF"/>
            <w:vAlign w:val="bottom"/>
            <w:hideMark/>
          </w:tcPr>
          <w:p w:rsidR="007C6318" w:rsidRPr="007C6318" w:rsidRDefault="007C6318" w:rsidP="007C6318">
            <w:pPr>
              <w:jc w:val="center"/>
              <w:rPr>
                <w:rFonts w:eastAsia="Times New Roman" w:cs="Arial"/>
                <w:b/>
                <w:bCs/>
                <w:color w:val="000000"/>
                <w:sz w:val="18"/>
                <w:szCs w:val="18"/>
              </w:rPr>
            </w:pPr>
            <w:r w:rsidRPr="007C6318">
              <w:rPr>
                <w:rFonts w:eastAsia="Times New Roman" w:cs="Arial"/>
                <w:b/>
                <w:bCs/>
                <w:color w:val="000000"/>
                <w:sz w:val="18"/>
                <w:szCs w:val="18"/>
              </w:rPr>
              <w:t>Annual Gas Savings (Therms/Yr/Dwelling Unit)</w:t>
            </w:r>
          </w:p>
        </w:tc>
        <w:tc>
          <w:tcPr>
            <w:tcW w:w="2003" w:type="dxa"/>
            <w:tcBorders>
              <w:top w:val="single" w:sz="8" w:space="0" w:color="auto"/>
              <w:left w:val="nil"/>
              <w:bottom w:val="single" w:sz="4" w:space="0" w:color="auto"/>
              <w:right w:val="single" w:sz="8" w:space="0" w:color="auto"/>
            </w:tcBorders>
            <w:shd w:val="clear" w:color="000000" w:fill="BFBFBF"/>
            <w:vAlign w:val="bottom"/>
            <w:hideMark/>
          </w:tcPr>
          <w:p w:rsidR="007C6318" w:rsidRPr="007C6318" w:rsidRDefault="007C6318" w:rsidP="007C6318">
            <w:pPr>
              <w:jc w:val="center"/>
              <w:rPr>
                <w:rFonts w:eastAsia="Times New Roman" w:cs="Arial"/>
                <w:b/>
                <w:bCs/>
                <w:color w:val="000000"/>
                <w:sz w:val="18"/>
                <w:szCs w:val="18"/>
              </w:rPr>
            </w:pPr>
            <w:r w:rsidRPr="007C6318">
              <w:rPr>
                <w:rFonts w:eastAsia="Times New Roman" w:cs="Arial"/>
                <w:b/>
                <w:bCs/>
                <w:color w:val="000000"/>
                <w:sz w:val="18"/>
                <w:szCs w:val="18"/>
              </w:rPr>
              <w:t>Annual GasSavings (Therms/Yr/ kBtuh)</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196</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7.1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189</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6.8</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1.05</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3</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189</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6.8</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1.05</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4</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186</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6.7</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5</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190</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6.9</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1.06</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6</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183</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7</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182</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8</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9</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10</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1.00</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11</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182</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12</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185</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6.7</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13</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14</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183</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15</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168</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6.1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0.93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16</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195</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7.1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1.09</w:t>
            </w:r>
          </w:p>
        </w:tc>
      </w:tr>
      <w:tr w:rsidR="007C6318" w:rsidRPr="007C6318" w:rsidTr="007C6318">
        <w:trPr>
          <w:trHeight w:val="105"/>
        </w:trPr>
        <w:tc>
          <w:tcPr>
            <w:tcW w:w="1000" w:type="dxa"/>
            <w:tcBorders>
              <w:top w:val="nil"/>
              <w:left w:val="single" w:sz="8" w:space="0" w:color="auto"/>
              <w:bottom w:val="nil"/>
              <w:right w:val="nil"/>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c>
          <w:tcPr>
            <w:tcW w:w="800" w:type="dxa"/>
            <w:tcBorders>
              <w:top w:val="nil"/>
              <w:left w:val="nil"/>
              <w:bottom w:val="nil"/>
              <w:right w:val="nil"/>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c>
          <w:tcPr>
            <w:tcW w:w="2520" w:type="dxa"/>
            <w:tcBorders>
              <w:top w:val="nil"/>
              <w:left w:val="nil"/>
              <w:bottom w:val="nil"/>
              <w:right w:val="nil"/>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c>
          <w:tcPr>
            <w:tcW w:w="1957" w:type="dxa"/>
            <w:tcBorders>
              <w:top w:val="nil"/>
              <w:left w:val="nil"/>
              <w:bottom w:val="nil"/>
              <w:right w:val="nil"/>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c>
          <w:tcPr>
            <w:tcW w:w="2003" w:type="dxa"/>
            <w:tcBorders>
              <w:top w:val="nil"/>
              <w:left w:val="nil"/>
              <w:bottom w:val="nil"/>
              <w:right w:val="single" w:sz="8" w:space="0" w:color="auto"/>
            </w:tcBorders>
            <w:shd w:val="clear" w:color="000000" w:fill="EEECE1"/>
            <w:noWrap/>
            <w:vAlign w:val="bottom"/>
            <w:hideMark/>
          </w:tcPr>
          <w:p w:rsidR="007C6318" w:rsidRPr="007C6318" w:rsidRDefault="007C6318" w:rsidP="007C6318">
            <w:pPr>
              <w:rPr>
                <w:rFonts w:eastAsia="Times New Roman" w:cs="Arial"/>
              </w:rPr>
            </w:pPr>
            <w:r w:rsidRPr="007C6318">
              <w:rPr>
                <w:rFonts w:eastAsia="Times New Roman" w:cs="Arial"/>
              </w:rPr>
              <w:t> </w:t>
            </w:r>
          </w:p>
        </w:tc>
      </w:tr>
      <w:tr w:rsidR="007C6318" w:rsidRPr="007C6318" w:rsidTr="007C6318">
        <w:trPr>
          <w:trHeight w:val="255"/>
        </w:trPr>
        <w:tc>
          <w:tcPr>
            <w:tcW w:w="100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single" w:sz="4" w:space="0" w:color="auto"/>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196</w:t>
            </w:r>
          </w:p>
        </w:tc>
        <w:tc>
          <w:tcPr>
            <w:tcW w:w="1957" w:type="dxa"/>
            <w:tcBorders>
              <w:top w:val="single" w:sz="4" w:space="0" w:color="auto"/>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21.7</w:t>
            </w:r>
          </w:p>
        </w:tc>
        <w:tc>
          <w:tcPr>
            <w:tcW w:w="2003" w:type="dxa"/>
            <w:tcBorders>
              <w:top w:val="single" w:sz="4" w:space="0" w:color="auto"/>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3.34</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189</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21.0</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3.22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3</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189</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21.0</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3.23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4</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186</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20.7</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3.18</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5</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190</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3.25</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6</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183</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20.4</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3.13</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7</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182</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20.3</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lastRenderedPageBreak/>
              <w:t>8</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9</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10</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11</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182</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20.2</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3.11</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12</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185</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20.5</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3.15</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13</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181</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20.1</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3.09</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14</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183</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20.3</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3.12</w:t>
            </w:r>
          </w:p>
        </w:tc>
      </w:tr>
      <w:tr w:rsidR="007C6318" w:rsidRPr="007C6318" w:rsidTr="007C6318">
        <w:trPr>
          <w:trHeight w:val="255"/>
        </w:trPr>
        <w:tc>
          <w:tcPr>
            <w:tcW w:w="1000" w:type="dxa"/>
            <w:tcBorders>
              <w:top w:val="nil"/>
              <w:left w:val="single" w:sz="8" w:space="0" w:color="auto"/>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15</w:t>
            </w:r>
          </w:p>
        </w:tc>
        <w:tc>
          <w:tcPr>
            <w:tcW w:w="800" w:type="dxa"/>
            <w:tcBorders>
              <w:top w:val="nil"/>
              <w:left w:val="nil"/>
              <w:bottom w:val="single" w:sz="4"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168</w:t>
            </w:r>
          </w:p>
        </w:tc>
        <w:tc>
          <w:tcPr>
            <w:tcW w:w="1957" w:type="dxa"/>
            <w:tcBorders>
              <w:top w:val="nil"/>
              <w:left w:val="nil"/>
              <w:bottom w:val="single" w:sz="4"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18.6</w:t>
            </w:r>
          </w:p>
        </w:tc>
        <w:tc>
          <w:tcPr>
            <w:tcW w:w="2003" w:type="dxa"/>
            <w:tcBorders>
              <w:top w:val="nil"/>
              <w:left w:val="nil"/>
              <w:bottom w:val="single" w:sz="4"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2.87</w:t>
            </w:r>
          </w:p>
        </w:tc>
      </w:tr>
      <w:tr w:rsidR="007C6318" w:rsidRPr="007C6318" w:rsidTr="007C6318">
        <w:trPr>
          <w:trHeight w:val="270"/>
        </w:trPr>
        <w:tc>
          <w:tcPr>
            <w:tcW w:w="1000" w:type="dxa"/>
            <w:tcBorders>
              <w:top w:val="nil"/>
              <w:left w:val="single" w:sz="8" w:space="0" w:color="auto"/>
              <w:bottom w:val="single" w:sz="8"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16</w:t>
            </w:r>
          </w:p>
        </w:tc>
        <w:tc>
          <w:tcPr>
            <w:tcW w:w="800" w:type="dxa"/>
            <w:tcBorders>
              <w:top w:val="nil"/>
              <w:left w:val="nil"/>
              <w:bottom w:val="single" w:sz="8" w:space="0" w:color="auto"/>
              <w:right w:val="single" w:sz="4" w:space="0" w:color="auto"/>
            </w:tcBorders>
            <w:shd w:val="clear" w:color="auto" w:fill="auto"/>
            <w:noWrap/>
            <w:vAlign w:val="bottom"/>
            <w:hideMark/>
          </w:tcPr>
          <w:p w:rsidR="007C6318" w:rsidRPr="007C6318" w:rsidRDefault="007C6318" w:rsidP="007C6318">
            <w:pPr>
              <w:jc w:val="center"/>
              <w:rPr>
                <w:rFonts w:eastAsia="Times New Roman" w:cs="Arial"/>
              </w:rPr>
            </w:pPr>
            <w:r w:rsidRPr="007C6318">
              <w:rPr>
                <w:rFonts w:eastAsia="Times New Roman" w:cs="Arial"/>
              </w:rPr>
              <w:t>2</w:t>
            </w:r>
          </w:p>
        </w:tc>
        <w:tc>
          <w:tcPr>
            <w:tcW w:w="2520" w:type="dxa"/>
            <w:tcBorders>
              <w:top w:val="nil"/>
              <w:left w:val="nil"/>
              <w:bottom w:val="single" w:sz="8"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195</w:t>
            </w:r>
          </w:p>
        </w:tc>
        <w:tc>
          <w:tcPr>
            <w:tcW w:w="1957" w:type="dxa"/>
            <w:tcBorders>
              <w:top w:val="nil"/>
              <w:left w:val="nil"/>
              <w:bottom w:val="single" w:sz="8" w:space="0" w:color="auto"/>
              <w:right w:val="single" w:sz="4"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21.7</w:t>
            </w:r>
          </w:p>
        </w:tc>
        <w:tc>
          <w:tcPr>
            <w:tcW w:w="2003" w:type="dxa"/>
            <w:tcBorders>
              <w:top w:val="nil"/>
              <w:left w:val="nil"/>
              <w:bottom w:val="single" w:sz="8" w:space="0" w:color="auto"/>
              <w:right w:val="single" w:sz="8" w:space="0" w:color="auto"/>
            </w:tcBorders>
            <w:shd w:val="clear" w:color="auto" w:fill="auto"/>
            <w:noWrap/>
            <w:vAlign w:val="center"/>
            <w:hideMark/>
          </w:tcPr>
          <w:p w:rsidR="007C6318" w:rsidRPr="007C6318" w:rsidRDefault="007C6318" w:rsidP="007C6318">
            <w:pPr>
              <w:jc w:val="center"/>
              <w:rPr>
                <w:rFonts w:eastAsia="Times New Roman" w:cs="Arial"/>
              </w:rPr>
            </w:pPr>
            <w:r w:rsidRPr="007C6318">
              <w:rPr>
                <w:rFonts w:eastAsia="Times New Roman" w:cs="Arial"/>
              </w:rPr>
              <w:t>3.34</w:t>
            </w:r>
          </w:p>
        </w:tc>
      </w:tr>
    </w:tbl>
    <w:p w:rsidR="007C6318" w:rsidRDefault="007C6318" w:rsidP="00B81CAD">
      <w:pPr>
        <w:pStyle w:val="Vertical"/>
        <w:tabs>
          <w:tab w:val="left" w:pos="8402"/>
        </w:tabs>
        <w:jc w:val="left"/>
      </w:pPr>
    </w:p>
    <w:p w:rsidR="00C70DD4" w:rsidRDefault="0035517C" w:rsidP="00B81CAD">
      <w:pPr>
        <w:pStyle w:val="Vertical"/>
        <w:tabs>
          <w:tab w:val="left" w:pos="8402"/>
        </w:tabs>
        <w:jc w:val="left"/>
      </w:pPr>
      <w:r>
        <w:t xml:space="preserve">The savings are </w:t>
      </w:r>
      <w:r w:rsidR="000B6DCF">
        <w:t xml:space="preserve">also </w:t>
      </w:r>
      <w:r>
        <w:t>calculated</w:t>
      </w:r>
      <w:r w:rsidR="000B6DCF">
        <w:t xml:space="preserve"> </w:t>
      </w:r>
      <w:r>
        <w:t>for two sizes of central water heaters</w:t>
      </w:r>
      <w:r w:rsidR="00C112FD">
        <w:t xml:space="preserve">, </w:t>
      </w:r>
      <w:r w:rsidR="00C70DD4">
        <w:t xml:space="preserve">smaller than or equal to 200,000 </w:t>
      </w:r>
      <w:r w:rsidR="00FD52AD">
        <w:t>k</w:t>
      </w:r>
      <w:r w:rsidR="00C70DD4">
        <w:t>Btu</w:t>
      </w:r>
      <w:r w:rsidR="00792FD8">
        <w:t>h</w:t>
      </w:r>
      <w:r w:rsidR="00C70DD4">
        <w:t xml:space="preserve"> and larger than 200,000 </w:t>
      </w:r>
      <w:r w:rsidR="00FD52AD">
        <w:t>k</w:t>
      </w:r>
      <w:r w:rsidR="00C70DD4">
        <w:t>Btu</w:t>
      </w:r>
      <w:r w:rsidR="00792FD8">
        <w:t>h</w:t>
      </w:r>
      <w:r w:rsidR="00C70DD4">
        <w:t>. Based on the S</w:t>
      </w:r>
      <w:r w:rsidR="00654014">
        <w:t>o</w:t>
      </w:r>
      <w:r w:rsidR="00C70DD4">
        <w:t>C</w:t>
      </w:r>
      <w:r w:rsidR="00654014">
        <w:t xml:space="preserve">al </w:t>
      </w:r>
      <w:r w:rsidR="00C70DD4">
        <w:t>G</w:t>
      </w:r>
      <w:r w:rsidR="00654014">
        <w:t>as</w:t>
      </w:r>
      <w:r w:rsidR="00C70DD4">
        <w:t xml:space="preserve"> rebate application data for central storage water heaters in multifamily buildings, the average capacity of water heaters smaller than or equal to 200,000 </w:t>
      </w:r>
      <w:r w:rsidR="00FD52AD">
        <w:t>k</w:t>
      </w:r>
      <w:r w:rsidR="00C70DD4">
        <w:t>Btu</w:t>
      </w:r>
      <w:r w:rsidR="00792FD8">
        <w:t>h</w:t>
      </w:r>
      <w:r w:rsidR="00C70DD4">
        <w:t xml:space="preserve"> is about 150,000 </w:t>
      </w:r>
      <w:r w:rsidR="00FD52AD">
        <w:t>k</w:t>
      </w:r>
      <w:r w:rsidR="00C70DD4">
        <w:t>Btu</w:t>
      </w:r>
      <w:r w:rsidR="00792FD8">
        <w:t>h</w:t>
      </w:r>
      <w:r w:rsidR="00C70DD4">
        <w:t xml:space="preserve"> and average capacity of water heaters larger than 200,000 </w:t>
      </w:r>
      <w:r w:rsidR="00FD52AD">
        <w:t>k</w:t>
      </w:r>
      <w:r w:rsidR="00C70DD4">
        <w:t>Btu</w:t>
      </w:r>
      <w:r w:rsidR="00792FD8">
        <w:t>h</w:t>
      </w:r>
      <w:r w:rsidR="00C70DD4">
        <w:t xml:space="preserve"> is about 265,000 </w:t>
      </w:r>
      <w:r w:rsidR="00FD52AD">
        <w:t>k</w:t>
      </w:r>
      <w:r w:rsidR="00C70DD4">
        <w:t>Btu</w:t>
      </w:r>
      <w:r w:rsidR="00792FD8">
        <w:t>h</w:t>
      </w:r>
      <w:r w:rsidR="00C70DD4">
        <w:t xml:space="preserve">. These average sizes are multiplied by the </w:t>
      </w:r>
      <w:r w:rsidR="00C70DD4" w:rsidRPr="00B81CAD">
        <w:t>Annual Gas</w:t>
      </w:r>
      <w:r w:rsidR="00C70DD4">
        <w:t xml:space="preserve"> </w:t>
      </w:r>
      <w:r w:rsidR="00C70DD4" w:rsidRPr="00B81CAD">
        <w:t xml:space="preserve">Savings </w:t>
      </w:r>
      <w:r w:rsidR="00C70DD4">
        <w:t xml:space="preserve">per </w:t>
      </w:r>
      <w:r w:rsidR="00FD52AD">
        <w:t>k</w:t>
      </w:r>
      <w:r w:rsidR="00C70DD4">
        <w:t xml:space="preserve">Btu </w:t>
      </w:r>
      <w:r w:rsidR="00C70DD4" w:rsidRPr="00B0174E">
        <w:t>(Therms/Yr/</w:t>
      </w:r>
      <w:r w:rsidR="00FD52AD">
        <w:t>k</w:t>
      </w:r>
      <w:r w:rsidR="00C70DD4" w:rsidRPr="00B81CAD">
        <w:t>Btuh)</w:t>
      </w:r>
      <w:r w:rsidR="00F21E38">
        <w:t xml:space="preserve"> for each climate zone</w:t>
      </w:r>
      <w:r w:rsidR="00C70DD4">
        <w:t xml:space="preserve"> from</w:t>
      </w:r>
      <w:r w:rsidR="000B6DCF">
        <w:t xml:space="preserve"> </w:t>
      </w:r>
      <w:r w:rsidR="000B6DCF">
        <w:fldChar w:fldCharType="begin"/>
      </w:r>
      <w:r w:rsidR="000B6DCF">
        <w:instrText xml:space="preserve"> REF _Ref370196417 \h </w:instrText>
      </w:r>
      <w:r w:rsidR="000B6DCF">
        <w:fldChar w:fldCharType="separate"/>
      </w:r>
      <w:r w:rsidR="00CB1976">
        <w:t xml:space="preserve">Table </w:t>
      </w:r>
      <w:r w:rsidR="000B6DCF">
        <w:fldChar w:fldCharType="end"/>
      </w:r>
      <w:r w:rsidR="00A653E0">
        <w:t>4</w:t>
      </w:r>
      <w:r w:rsidR="00F21E38">
        <w:t xml:space="preserve"> to estimate the gas savings per system for the 16 climate zones</w:t>
      </w:r>
      <w:r w:rsidR="000B6DCF">
        <w:t xml:space="preserve">. </w:t>
      </w:r>
      <w:r w:rsidR="00C70DD4">
        <w:t xml:space="preserve"> </w:t>
      </w:r>
      <w:r w:rsidR="000B6DCF">
        <w:t xml:space="preserve">The annual gas savings per water heater system are summarized in </w:t>
      </w:r>
      <w:r w:rsidR="000B6DCF">
        <w:fldChar w:fldCharType="begin"/>
      </w:r>
      <w:r w:rsidR="000B6DCF">
        <w:instrText xml:space="preserve"> REF _Ref370196651 \h </w:instrText>
      </w:r>
      <w:r w:rsidR="000B6DCF">
        <w:fldChar w:fldCharType="separate"/>
      </w:r>
      <w:r w:rsidR="00CB1976">
        <w:t xml:space="preserve">Table </w:t>
      </w:r>
      <w:r w:rsidR="000B6DCF">
        <w:fldChar w:fldCharType="end"/>
      </w:r>
      <w:r w:rsidR="00A653E0">
        <w:t>5</w:t>
      </w:r>
      <w:r w:rsidR="000B6DCF">
        <w:t>:</w:t>
      </w:r>
    </w:p>
    <w:p w:rsidR="00C70DD4" w:rsidRDefault="00C70DD4" w:rsidP="00B81CAD">
      <w:pPr>
        <w:pStyle w:val="Vertical"/>
        <w:tabs>
          <w:tab w:val="left" w:pos="8402"/>
        </w:tabs>
        <w:jc w:val="left"/>
      </w:pPr>
    </w:p>
    <w:p w:rsidR="000D5E5B" w:rsidRDefault="000B6DCF" w:rsidP="00A653E0">
      <w:pPr>
        <w:pStyle w:val="TBL"/>
      </w:pPr>
      <w:bookmarkStart w:id="81" w:name="_Toc370197557"/>
      <w:bookmarkStart w:id="82" w:name="_Toc461101274"/>
      <w:r>
        <w:t>Annual Gas Savings per Water Heater System</w:t>
      </w:r>
      <w:bookmarkEnd w:id="81"/>
      <w:bookmarkEnd w:id="82"/>
      <w:r w:rsidR="00DD1E30">
        <w:tab/>
      </w:r>
    </w:p>
    <w:tbl>
      <w:tblPr>
        <w:tblW w:w="8280" w:type="dxa"/>
        <w:tblInd w:w="648" w:type="dxa"/>
        <w:tblLook w:val="04A0" w:firstRow="1" w:lastRow="0" w:firstColumn="1" w:lastColumn="0" w:noHBand="0" w:noVBand="1"/>
      </w:tblPr>
      <w:tblGrid>
        <w:gridCol w:w="1420"/>
        <w:gridCol w:w="1100"/>
        <w:gridCol w:w="2790"/>
        <w:gridCol w:w="2970"/>
      </w:tblGrid>
      <w:tr w:rsidR="008468FB" w:rsidRPr="008468FB" w:rsidTr="00DB55AB">
        <w:trPr>
          <w:trHeight w:val="1440"/>
          <w:tblHeader/>
        </w:trPr>
        <w:tc>
          <w:tcPr>
            <w:tcW w:w="1420" w:type="dxa"/>
            <w:tcBorders>
              <w:top w:val="single" w:sz="8" w:space="0" w:color="auto"/>
              <w:left w:val="single" w:sz="8" w:space="0" w:color="auto"/>
              <w:bottom w:val="single" w:sz="4" w:space="0" w:color="auto"/>
              <w:right w:val="single" w:sz="4" w:space="0" w:color="auto"/>
            </w:tcBorders>
            <w:shd w:val="clear" w:color="000000" w:fill="BFBFBF"/>
            <w:vAlign w:val="bottom"/>
            <w:hideMark/>
          </w:tcPr>
          <w:p w:rsidR="008468FB" w:rsidRPr="008468FB" w:rsidRDefault="008468FB" w:rsidP="008468FB">
            <w:pPr>
              <w:jc w:val="center"/>
              <w:rPr>
                <w:rFonts w:eastAsia="Times New Roman" w:cs="Arial"/>
                <w:b/>
                <w:bCs/>
                <w:sz w:val="18"/>
                <w:szCs w:val="18"/>
              </w:rPr>
            </w:pPr>
            <w:r w:rsidRPr="008468FB">
              <w:rPr>
                <w:rFonts w:eastAsia="Times New Roman" w:cs="Arial"/>
                <w:b/>
                <w:bCs/>
                <w:sz w:val="18"/>
                <w:szCs w:val="18"/>
              </w:rPr>
              <w:t>Climate Zone</w:t>
            </w:r>
          </w:p>
        </w:tc>
        <w:tc>
          <w:tcPr>
            <w:tcW w:w="1100" w:type="dxa"/>
            <w:tcBorders>
              <w:top w:val="single" w:sz="8" w:space="0" w:color="auto"/>
              <w:left w:val="nil"/>
              <w:bottom w:val="single" w:sz="4" w:space="0" w:color="auto"/>
              <w:right w:val="single" w:sz="4" w:space="0" w:color="auto"/>
            </w:tcBorders>
            <w:shd w:val="clear" w:color="000000" w:fill="BFBFBF"/>
            <w:vAlign w:val="bottom"/>
            <w:hideMark/>
          </w:tcPr>
          <w:p w:rsidR="008468FB" w:rsidRPr="008468FB" w:rsidRDefault="008468FB" w:rsidP="008468FB">
            <w:pPr>
              <w:jc w:val="center"/>
              <w:rPr>
                <w:rFonts w:eastAsia="Times New Roman" w:cs="Arial"/>
                <w:b/>
                <w:bCs/>
                <w:sz w:val="18"/>
                <w:szCs w:val="18"/>
              </w:rPr>
            </w:pPr>
            <w:r w:rsidRPr="008468FB">
              <w:rPr>
                <w:rFonts w:eastAsia="Times New Roman" w:cs="Arial"/>
                <w:b/>
                <w:bCs/>
                <w:sz w:val="18"/>
                <w:szCs w:val="18"/>
              </w:rPr>
              <w:t>Tier</w:t>
            </w:r>
          </w:p>
        </w:tc>
        <w:tc>
          <w:tcPr>
            <w:tcW w:w="2790" w:type="dxa"/>
            <w:tcBorders>
              <w:top w:val="single" w:sz="8" w:space="0" w:color="auto"/>
              <w:left w:val="nil"/>
              <w:bottom w:val="single" w:sz="4" w:space="0" w:color="auto"/>
              <w:right w:val="single" w:sz="4" w:space="0" w:color="auto"/>
            </w:tcBorders>
            <w:shd w:val="clear" w:color="000000" w:fill="BFBFBF"/>
            <w:vAlign w:val="bottom"/>
            <w:hideMark/>
          </w:tcPr>
          <w:p w:rsidR="008468FB" w:rsidRPr="008468FB" w:rsidRDefault="008468FB" w:rsidP="002135E5">
            <w:pPr>
              <w:jc w:val="center"/>
              <w:rPr>
                <w:rFonts w:eastAsia="Times New Roman" w:cs="Arial"/>
                <w:b/>
                <w:bCs/>
                <w:sz w:val="18"/>
                <w:szCs w:val="18"/>
              </w:rPr>
            </w:pPr>
            <w:r w:rsidRPr="008468FB">
              <w:rPr>
                <w:rFonts w:eastAsia="Times New Roman" w:cs="Arial"/>
                <w:b/>
                <w:bCs/>
                <w:sz w:val="18"/>
                <w:szCs w:val="18"/>
              </w:rPr>
              <w:t>Annual Gas Savings (Therm/Yr) per Water Heater System &lt;= 200</w:t>
            </w:r>
            <w:r w:rsidR="002135E5">
              <w:rPr>
                <w:rFonts w:eastAsia="Times New Roman" w:cs="Arial"/>
                <w:b/>
                <w:bCs/>
                <w:sz w:val="18"/>
                <w:szCs w:val="18"/>
              </w:rPr>
              <w:t xml:space="preserve"> kB</w:t>
            </w:r>
            <w:r w:rsidRPr="008468FB">
              <w:rPr>
                <w:rFonts w:eastAsia="Times New Roman" w:cs="Arial"/>
                <w:b/>
                <w:bCs/>
                <w:sz w:val="18"/>
                <w:szCs w:val="18"/>
              </w:rPr>
              <w:t>tuh</w:t>
            </w:r>
          </w:p>
        </w:tc>
        <w:tc>
          <w:tcPr>
            <w:tcW w:w="2970" w:type="dxa"/>
            <w:tcBorders>
              <w:top w:val="single" w:sz="8" w:space="0" w:color="auto"/>
              <w:left w:val="nil"/>
              <w:bottom w:val="single" w:sz="4" w:space="0" w:color="auto"/>
              <w:right w:val="single" w:sz="8" w:space="0" w:color="auto"/>
            </w:tcBorders>
            <w:shd w:val="clear" w:color="000000" w:fill="BFBFBF"/>
            <w:vAlign w:val="bottom"/>
            <w:hideMark/>
          </w:tcPr>
          <w:p w:rsidR="008468FB" w:rsidRPr="008468FB" w:rsidRDefault="008468FB" w:rsidP="002135E5">
            <w:pPr>
              <w:jc w:val="center"/>
              <w:rPr>
                <w:rFonts w:eastAsia="Times New Roman" w:cs="Arial"/>
                <w:b/>
                <w:bCs/>
                <w:sz w:val="18"/>
                <w:szCs w:val="18"/>
              </w:rPr>
            </w:pPr>
            <w:r w:rsidRPr="008468FB">
              <w:rPr>
                <w:rFonts w:eastAsia="Times New Roman" w:cs="Arial"/>
                <w:b/>
                <w:bCs/>
                <w:sz w:val="18"/>
                <w:szCs w:val="18"/>
              </w:rPr>
              <w:t>Annual Gas Savings (Therm/Yr</w:t>
            </w:r>
            <w:r w:rsidR="002135E5">
              <w:rPr>
                <w:rFonts w:eastAsia="Times New Roman" w:cs="Arial"/>
                <w:b/>
                <w:bCs/>
                <w:sz w:val="18"/>
                <w:szCs w:val="18"/>
              </w:rPr>
              <w:t>) per Water Heater System &gt; 200 kB</w:t>
            </w:r>
            <w:r w:rsidRPr="008468FB">
              <w:rPr>
                <w:rFonts w:eastAsia="Times New Roman" w:cs="Arial"/>
                <w:b/>
                <w:bCs/>
                <w:sz w:val="18"/>
                <w:szCs w:val="18"/>
              </w:rPr>
              <w:t>tuh</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288</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157</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278</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3</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157</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279</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4</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155</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274</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5</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159</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281</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6</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270</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7</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152</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269</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8</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151</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9</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151</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10</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150</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266</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11</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152</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268</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12</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154</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272</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13</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151</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14</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152</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269</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15</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140</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247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16</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163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288</w:t>
            </w:r>
          </w:p>
        </w:tc>
      </w:tr>
      <w:tr w:rsidR="008468FB" w:rsidRPr="008468FB" w:rsidTr="008468FB">
        <w:trPr>
          <w:trHeight w:val="105"/>
        </w:trPr>
        <w:tc>
          <w:tcPr>
            <w:tcW w:w="1420" w:type="dxa"/>
            <w:tcBorders>
              <w:top w:val="nil"/>
              <w:left w:val="single" w:sz="8" w:space="0" w:color="auto"/>
              <w:bottom w:val="single" w:sz="4" w:space="0" w:color="auto"/>
              <w:right w:val="single" w:sz="4" w:space="0" w:color="auto"/>
            </w:tcBorders>
            <w:shd w:val="clear" w:color="000000" w:fill="EEECE1"/>
            <w:noWrap/>
            <w:vAlign w:val="bottom"/>
            <w:hideMark/>
          </w:tcPr>
          <w:p w:rsidR="008468FB" w:rsidRPr="008468FB" w:rsidRDefault="008468FB" w:rsidP="008468FB">
            <w:pPr>
              <w:rPr>
                <w:rFonts w:eastAsia="Times New Roman" w:cs="Arial"/>
              </w:rPr>
            </w:pPr>
            <w:r w:rsidRPr="008468FB">
              <w:rPr>
                <w:rFonts w:eastAsia="Times New Roman" w:cs="Arial"/>
              </w:rPr>
              <w:lastRenderedPageBreak/>
              <w:t> </w:t>
            </w:r>
          </w:p>
        </w:tc>
        <w:tc>
          <w:tcPr>
            <w:tcW w:w="1100" w:type="dxa"/>
            <w:tcBorders>
              <w:top w:val="nil"/>
              <w:left w:val="nil"/>
              <w:bottom w:val="single" w:sz="4" w:space="0" w:color="auto"/>
              <w:right w:val="single" w:sz="4" w:space="0" w:color="auto"/>
            </w:tcBorders>
            <w:shd w:val="clear" w:color="000000" w:fill="EEECE1"/>
            <w:noWrap/>
            <w:vAlign w:val="bottom"/>
            <w:hideMark/>
          </w:tcPr>
          <w:p w:rsidR="008468FB" w:rsidRPr="008468FB" w:rsidRDefault="008468FB" w:rsidP="008468FB">
            <w:pPr>
              <w:rPr>
                <w:rFonts w:eastAsia="Times New Roman" w:cs="Arial"/>
              </w:rPr>
            </w:pPr>
            <w:r w:rsidRPr="008468FB">
              <w:rPr>
                <w:rFonts w:eastAsia="Times New Roman" w:cs="Arial"/>
              </w:rPr>
              <w:t> </w:t>
            </w:r>
          </w:p>
        </w:tc>
        <w:tc>
          <w:tcPr>
            <w:tcW w:w="2790" w:type="dxa"/>
            <w:tcBorders>
              <w:top w:val="nil"/>
              <w:left w:val="nil"/>
              <w:bottom w:val="single" w:sz="4" w:space="0" w:color="auto"/>
              <w:right w:val="single" w:sz="4" w:space="0" w:color="auto"/>
            </w:tcBorders>
            <w:shd w:val="clear" w:color="000000" w:fill="EEECE1"/>
            <w:noWrap/>
            <w:vAlign w:val="bottom"/>
            <w:hideMark/>
          </w:tcPr>
          <w:p w:rsidR="008468FB" w:rsidRPr="008468FB" w:rsidRDefault="008468FB" w:rsidP="008468FB">
            <w:pPr>
              <w:rPr>
                <w:rFonts w:eastAsia="Times New Roman" w:cs="Arial"/>
              </w:rPr>
            </w:pPr>
            <w:r w:rsidRPr="008468FB">
              <w:rPr>
                <w:rFonts w:eastAsia="Times New Roman" w:cs="Arial"/>
              </w:rPr>
              <w:t> </w:t>
            </w:r>
          </w:p>
        </w:tc>
        <w:tc>
          <w:tcPr>
            <w:tcW w:w="2970" w:type="dxa"/>
            <w:tcBorders>
              <w:top w:val="nil"/>
              <w:left w:val="nil"/>
              <w:bottom w:val="single" w:sz="4" w:space="0" w:color="auto"/>
              <w:right w:val="single" w:sz="8" w:space="0" w:color="auto"/>
            </w:tcBorders>
            <w:shd w:val="clear" w:color="000000" w:fill="EEECE1"/>
            <w:noWrap/>
            <w:vAlign w:val="bottom"/>
            <w:hideMark/>
          </w:tcPr>
          <w:p w:rsidR="008468FB" w:rsidRPr="008468FB" w:rsidRDefault="008468FB" w:rsidP="008468FB">
            <w:pPr>
              <w:rPr>
                <w:rFonts w:eastAsia="Times New Roman" w:cs="Arial"/>
              </w:rPr>
            </w:pPr>
            <w:r w:rsidRPr="008468FB">
              <w:rPr>
                <w:rFonts w:eastAsia="Times New Roman" w:cs="Arial"/>
              </w:rPr>
              <w:t> </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501</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887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483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855</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3</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484</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856</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4</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476</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843</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5</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487</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863</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6</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470</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831</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7</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467</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8</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464</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821</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9</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820</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10</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819</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11</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466</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825</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12</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473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837</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13</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463</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820</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14</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468</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828</w:t>
            </w:r>
          </w:p>
        </w:tc>
      </w:tr>
      <w:tr w:rsidR="008468FB" w:rsidRPr="008468FB" w:rsidTr="008468FB">
        <w:trPr>
          <w:trHeight w:val="255"/>
        </w:trPr>
        <w:tc>
          <w:tcPr>
            <w:tcW w:w="1420" w:type="dxa"/>
            <w:tcBorders>
              <w:top w:val="nil"/>
              <w:left w:val="single" w:sz="8" w:space="0" w:color="auto"/>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15</w:t>
            </w:r>
          </w:p>
        </w:tc>
        <w:tc>
          <w:tcPr>
            <w:tcW w:w="1100" w:type="dxa"/>
            <w:tcBorders>
              <w:top w:val="nil"/>
              <w:left w:val="nil"/>
              <w:bottom w:val="single" w:sz="4"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4"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430</w:t>
            </w:r>
          </w:p>
        </w:tc>
        <w:tc>
          <w:tcPr>
            <w:tcW w:w="2970" w:type="dxa"/>
            <w:tcBorders>
              <w:top w:val="nil"/>
              <w:left w:val="nil"/>
              <w:bottom w:val="single" w:sz="4"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761</w:t>
            </w:r>
          </w:p>
        </w:tc>
      </w:tr>
      <w:tr w:rsidR="008468FB" w:rsidRPr="008468FB" w:rsidTr="008468FB">
        <w:trPr>
          <w:trHeight w:val="270"/>
        </w:trPr>
        <w:tc>
          <w:tcPr>
            <w:tcW w:w="1420" w:type="dxa"/>
            <w:tcBorders>
              <w:top w:val="nil"/>
              <w:left w:val="single" w:sz="8" w:space="0" w:color="auto"/>
              <w:bottom w:val="single" w:sz="8"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16</w:t>
            </w:r>
          </w:p>
        </w:tc>
        <w:tc>
          <w:tcPr>
            <w:tcW w:w="1100" w:type="dxa"/>
            <w:tcBorders>
              <w:top w:val="nil"/>
              <w:left w:val="nil"/>
              <w:bottom w:val="single" w:sz="8" w:space="0" w:color="auto"/>
              <w:right w:val="single" w:sz="4" w:space="0" w:color="auto"/>
            </w:tcBorders>
            <w:shd w:val="clear" w:color="auto" w:fill="auto"/>
            <w:noWrap/>
            <w:vAlign w:val="bottom"/>
            <w:hideMark/>
          </w:tcPr>
          <w:p w:rsidR="008468FB" w:rsidRPr="008468FB" w:rsidRDefault="008468FB" w:rsidP="008468FB">
            <w:pPr>
              <w:jc w:val="center"/>
              <w:rPr>
                <w:rFonts w:eastAsia="Times New Roman" w:cs="Arial"/>
              </w:rPr>
            </w:pPr>
            <w:r w:rsidRPr="008468FB">
              <w:rPr>
                <w:rFonts w:eastAsia="Times New Roman" w:cs="Arial"/>
              </w:rPr>
              <w:t>2</w:t>
            </w:r>
          </w:p>
        </w:tc>
        <w:tc>
          <w:tcPr>
            <w:tcW w:w="2790" w:type="dxa"/>
            <w:tcBorders>
              <w:top w:val="nil"/>
              <w:left w:val="nil"/>
              <w:bottom w:val="single" w:sz="8" w:space="0" w:color="auto"/>
              <w:right w:val="single" w:sz="4"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500</w:t>
            </w:r>
          </w:p>
        </w:tc>
        <w:tc>
          <w:tcPr>
            <w:tcW w:w="2970" w:type="dxa"/>
            <w:tcBorders>
              <w:top w:val="nil"/>
              <w:left w:val="nil"/>
              <w:bottom w:val="single" w:sz="8" w:space="0" w:color="auto"/>
              <w:right w:val="single" w:sz="8" w:space="0" w:color="auto"/>
            </w:tcBorders>
            <w:shd w:val="clear" w:color="auto" w:fill="auto"/>
            <w:noWrap/>
            <w:vAlign w:val="center"/>
            <w:hideMark/>
          </w:tcPr>
          <w:p w:rsidR="008468FB" w:rsidRPr="008468FB" w:rsidRDefault="008468FB" w:rsidP="008468FB">
            <w:pPr>
              <w:jc w:val="center"/>
              <w:rPr>
                <w:rFonts w:eastAsia="Times New Roman" w:cs="Arial"/>
              </w:rPr>
            </w:pPr>
            <w:r w:rsidRPr="008468FB">
              <w:rPr>
                <w:rFonts w:eastAsia="Times New Roman" w:cs="Arial"/>
              </w:rPr>
              <w:t>886</w:t>
            </w:r>
          </w:p>
        </w:tc>
      </w:tr>
    </w:tbl>
    <w:p w:rsidR="008468FB" w:rsidRDefault="008468FB" w:rsidP="00E4107A">
      <w:pPr>
        <w:pStyle w:val="Vertical"/>
      </w:pPr>
    </w:p>
    <w:p w:rsidR="001C644E" w:rsidRDefault="001C644E" w:rsidP="00016FCA">
      <w:pPr>
        <w:pStyle w:val="WPSCT"/>
        <w:keepNext/>
      </w:pPr>
      <w:bookmarkStart w:id="83" w:name="_Toc461101292"/>
      <w:r>
        <w:t>Base Case &amp; Measure Costs</w:t>
      </w:r>
      <w:bookmarkStart w:id="84" w:name="_GoBack"/>
      <w:bookmarkEnd w:id="75"/>
      <w:bookmarkEnd w:id="83"/>
      <w:bookmarkEnd w:id="84"/>
    </w:p>
    <w:p w:rsidR="007A7754" w:rsidRDefault="007A7754" w:rsidP="007A7754">
      <w:pPr>
        <w:pStyle w:val="WPPR1"/>
      </w:pPr>
      <w:r>
        <w:t>Cost was data derived from Technical Support Document (TSD) “Commercial Water heating Equipment (EERE-2014-BT-STD-0042)”</w:t>
      </w:r>
      <w:r>
        <w:rPr>
          <w:rStyle w:val="EndnoteReference"/>
        </w:rPr>
        <w:endnoteReference w:id="12"/>
      </w:r>
      <w:r>
        <w:t>.  This data includes both labor and material cost.  Condensing water heaters typically use pvc for venting flue exhaust which is cheaper and easier to install than sheet metal used for non-condensing water heaters</w:t>
      </w:r>
      <w:r w:rsidRPr="003B755E">
        <w:rPr>
          <w:vertAlign w:val="superscript"/>
        </w:rPr>
        <w:fldChar w:fldCharType="begin"/>
      </w:r>
      <w:r w:rsidRPr="003B755E">
        <w:rPr>
          <w:vertAlign w:val="superscript"/>
        </w:rPr>
        <w:instrText xml:space="preserve"> NOTEREF _Ref457306008 \h </w:instrText>
      </w:r>
      <w:r>
        <w:rPr>
          <w:vertAlign w:val="superscript"/>
        </w:rPr>
        <w:instrText xml:space="preserve"> \* MERGEFORMAT </w:instrText>
      </w:r>
      <w:r w:rsidRPr="003B755E">
        <w:rPr>
          <w:vertAlign w:val="superscript"/>
        </w:rPr>
      </w:r>
      <w:r w:rsidRPr="003B755E">
        <w:rPr>
          <w:vertAlign w:val="superscript"/>
        </w:rPr>
        <w:fldChar w:fldCharType="separate"/>
      </w:r>
      <w:r w:rsidRPr="003B755E">
        <w:rPr>
          <w:vertAlign w:val="superscript"/>
        </w:rPr>
        <w:t>10</w:t>
      </w:r>
      <w:r w:rsidRPr="003B755E">
        <w:rPr>
          <w:vertAlign w:val="superscript"/>
        </w:rPr>
        <w:fldChar w:fldCharType="end"/>
      </w:r>
      <w:r>
        <w:t xml:space="preserve">.  The cost difference in venting material and installation is captured in the above referenced documents.  </w:t>
      </w:r>
      <w:r w:rsidRPr="008F6C15">
        <w:t xml:space="preserve">The </w:t>
      </w:r>
      <w:r>
        <w:t xml:space="preserve">cost </w:t>
      </w:r>
      <w:r w:rsidRPr="008F6C15">
        <w:t xml:space="preserve">data </w:t>
      </w:r>
      <w:r>
        <w:t xml:space="preserve">and calculations </w:t>
      </w:r>
      <w:r w:rsidRPr="008F6C15">
        <w:t xml:space="preserve">are included in </w:t>
      </w:r>
      <w:r>
        <w:t xml:space="preserve">an Excel file embedded as </w:t>
      </w:r>
      <w:r w:rsidRPr="008F6C15">
        <w:t xml:space="preserve">Attachment </w:t>
      </w:r>
      <w:r>
        <w:t>C.  Summary of cost data captured from the TSDs are included in Attachment F.</w:t>
      </w:r>
    </w:p>
    <w:p w:rsidR="007A7754" w:rsidRPr="007A7754" w:rsidRDefault="007A7754" w:rsidP="007A7754">
      <w:pPr>
        <w:pStyle w:val="PR2"/>
        <w:tabs>
          <w:tab w:val="clear" w:pos="1584"/>
          <w:tab w:val="num" w:pos="1782"/>
        </w:tabs>
        <w:ind w:left="1782"/>
      </w:pPr>
      <w:r w:rsidRPr="007A7754">
        <w:t>Both online vendor cost survey and the Ex Ante Measure Cost Study</w:t>
      </w:r>
      <w:r w:rsidRPr="007A7754">
        <w:rPr>
          <w:rStyle w:val="EndnoteReference"/>
        </w:rPr>
        <w:endnoteReference w:id="13"/>
      </w:r>
      <w:r w:rsidRPr="007A7754">
        <w:t xml:space="preserve"> were taken into consideration while developing the cost data.  Vendor cost survey provided a reference point for product cost, but did not provide sufficient data for installation cost due to the various installation set-ups.  The Measure Cost Study did not appear to take ultra-low NOx production cost into consideration for gas storage water heaters.  Citing the CEC’s Appliance Database as the source for qualifying water heaters (CEC’s Appliance Database does not take air quality regulations into consideration). Air quality regulations were only mentioned in the study in reference to boiler projects.  Due to thorough investigation of storage water heater cost and installation set-ups, including updated cost for large storage water heaters, the TSD’s were used for final cost data.  Both the Measure Cost Study and online vendor study are included in the cost data Attachment D for reference. </w:t>
      </w:r>
    </w:p>
    <w:p w:rsidR="007A7754" w:rsidRPr="007A7754" w:rsidRDefault="007A7754" w:rsidP="007A7754">
      <w:pPr>
        <w:pStyle w:val="WPPR1"/>
      </w:pPr>
      <w:r w:rsidRPr="007A7754">
        <w:t>TSD “Commercial Water heating Equipment (EERE-2014-BT-STD-0042)”</w:t>
      </w:r>
      <w:r w:rsidRPr="007A7754">
        <w:rPr>
          <w:vertAlign w:val="superscript"/>
        </w:rPr>
        <w:fldChar w:fldCharType="begin"/>
      </w:r>
      <w:r w:rsidRPr="007A7754">
        <w:rPr>
          <w:vertAlign w:val="superscript"/>
        </w:rPr>
        <w:instrText xml:space="preserve"> NOTEREF _Ref460320749 \h  \* MERGEFORMAT </w:instrText>
      </w:r>
      <w:r w:rsidRPr="007A7754">
        <w:rPr>
          <w:vertAlign w:val="superscript"/>
        </w:rPr>
      </w:r>
      <w:r w:rsidRPr="007A7754">
        <w:rPr>
          <w:vertAlign w:val="superscript"/>
        </w:rPr>
        <w:fldChar w:fldCharType="separate"/>
      </w:r>
      <w:r w:rsidRPr="007A7754">
        <w:rPr>
          <w:vertAlign w:val="superscript"/>
        </w:rPr>
        <w:t>11</w:t>
      </w:r>
      <w:r w:rsidRPr="007A7754">
        <w:rPr>
          <w:vertAlign w:val="superscript"/>
        </w:rPr>
        <w:fldChar w:fldCharType="end"/>
      </w:r>
      <w:r w:rsidRPr="007A7754">
        <w:t xml:space="preserve"> reports the total installed cost for large storage water heaters as the sum of equipment retail price and the installation cost, but does not present the exact equipment retail and installation cost values </w:t>
      </w:r>
      <w:r w:rsidRPr="007A7754">
        <w:lastRenderedPageBreak/>
        <w:t>used in the summation.  The large storage water heaters are reported as one single cost value.</w:t>
      </w:r>
    </w:p>
    <w:p w:rsidR="001C644E" w:rsidRDefault="001C644E" w:rsidP="003F2BB3">
      <w:pPr>
        <w:pStyle w:val="WPART"/>
      </w:pPr>
      <w:bookmarkStart w:id="85" w:name="_Toc214003097"/>
      <w:bookmarkStart w:id="86" w:name="_Toc461101293"/>
      <w:r>
        <w:t>Base Case Cost</w:t>
      </w:r>
      <w:bookmarkEnd w:id="85"/>
      <w:bookmarkEnd w:id="86"/>
    </w:p>
    <w:p w:rsidR="00CA5630" w:rsidRPr="00E61A90" w:rsidRDefault="007A7754" w:rsidP="007A7754">
      <w:pPr>
        <w:pStyle w:val="PR1"/>
      </w:pPr>
      <w:bookmarkStart w:id="87" w:name="_Toc214003099"/>
      <w:r w:rsidRPr="00215BF0">
        <w:t>When the customer is replacing equipment on burnout (ROB) or buying new equipment</w:t>
      </w:r>
      <w:r>
        <w:t xml:space="preserve"> (NC), </w:t>
      </w:r>
      <w:r w:rsidRPr="001E027B">
        <w:t xml:space="preserve">the customer must buy a new </w:t>
      </w:r>
      <w:r>
        <w:t>storage water heater</w:t>
      </w:r>
      <w:r w:rsidRPr="001E027B">
        <w:t xml:space="preserve"> to continue operating, so the base </w:t>
      </w:r>
      <w:r>
        <w:t>case cost is that of a baseline</w:t>
      </w:r>
      <w:r w:rsidRPr="001E027B">
        <w:t xml:space="preserve"> </w:t>
      </w:r>
      <w:r>
        <w:t>storage water heater</w:t>
      </w:r>
      <w:r w:rsidRPr="001E027B">
        <w:t xml:space="preserve">.  </w:t>
      </w:r>
      <w:r>
        <w:t xml:space="preserve">The base case costs are shown in </w:t>
      </w:r>
      <w:r>
        <w:fldChar w:fldCharType="begin"/>
      </w:r>
      <w:r>
        <w:instrText xml:space="preserve"> REF _Ref388013901 \r \h </w:instrText>
      </w:r>
      <w:r>
        <w:fldChar w:fldCharType="separate"/>
      </w:r>
      <w:r>
        <w:t>Table 6 -</w:t>
      </w:r>
      <w:r>
        <w:fldChar w:fldCharType="end"/>
      </w:r>
      <w:r>
        <w:t xml:space="preserve"> below.</w:t>
      </w:r>
    </w:p>
    <w:p w:rsidR="00CB3853" w:rsidRDefault="008F0ABF" w:rsidP="00B847CC">
      <w:pPr>
        <w:pStyle w:val="WPART"/>
        <w:keepNext w:val="0"/>
      </w:pPr>
      <w:bookmarkStart w:id="88" w:name="_Toc214003098"/>
      <w:bookmarkStart w:id="89" w:name="_Toc319421691"/>
      <w:bookmarkStart w:id="90" w:name="_Toc461101294"/>
      <w:r>
        <w:t>Gross Measure Cost</w:t>
      </w:r>
      <w:bookmarkEnd w:id="88"/>
      <w:bookmarkEnd w:id="89"/>
      <w:bookmarkEnd w:id="90"/>
    </w:p>
    <w:p w:rsidR="007A7754" w:rsidRPr="007A7754" w:rsidRDefault="007A7754" w:rsidP="007A7754">
      <w:pPr>
        <w:pStyle w:val="WPPR1"/>
      </w:pPr>
      <w:r w:rsidRPr="007A7754">
        <w:t xml:space="preserve">The gross measure costs include the cost of the equipment, installation and start-up costs.  </w:t>
      </w:r>
    </w:p>
    <w:p w:rsidR="008F0ABF" w:rsidRPr="007A7754" w:rsidRDefault="007A7754" w:rsidP="007A7754">
      <w:pPr>
        <w:pStyle w:val="WPPR1"/>
      </w:pPr>
      <w:r w:rsidRPr="007A7754">
        <w:t xml:space="preserve">Venting material used with non-condensing water heaters are not suitable for condensing due to material properties.  Plastics used for condensing water heaters have lower vent temperatures limits and are not suitable for non-condensing water heaters.  The cost differences in these set-ups are taken into consideration in the cost analysis.  The gross measure costs are shown in </w:t>
      </w:r>
      <w:r w:rsidRPr="007A7754">
        <w:fldChar w:fldCharType="begin"/>
      </w:r>
      <w:r w:rsidRPr="007A7754">
        <w:instrText xml:space="preserve"> REF _Ref388013923 \r \h </w:instrText>
      </w:r>
      <w:r>
        <w:instrText xml:space="preserve"> \* MERGEFORMAT </w:instrText>
      </w:r>
      <w:r w:rsidRPr="007A7754">
        <w:fldChar w:fldCharType="separate"/>
      </w:r>
      <w:r>
        <w:t>Table 6</w:t>
      </w:r>
      <w:r w:rsidRPr="007A7754">
        <w:t xml:space="preserve"> -</w:t>
      </w:r>
      <w:r w:rsidRPr="007A7754">
        <w:fldChar w:fldCharType="end"/>
      </w:r>
      <w:r w:rsidRPr="007A7754">
        <w:t xml:space="preserve"> below. </w:t>
      </w:r>
      <w:r w:rsidR="00AB5978" w:rsidRPr="007A7754">
        <w:t xml:space="preserve">  </w:t>
      </w:r>
    </w:p>
    <w:p w:rsidR="008F0ABF" w:rsidRPr="00042CD0" w:rsidRDefault="008F0ABF" w:rsidP="008F0ABF">
      <w:pPr>
        <w:pStyle w:val="WPART"/>
        <w:keepNext w:val="0"/>
      </w:pPr>
      <w:bookmarkStart w:id="91" w:name="_Toc319421692"/>
      <w:bookmarkStart w:id="92" w:name="_Toc461101295"/>
      <w:r w:rsidRPr="00042CD0">
        <w:t>Incremental Measure Cost</w:t>
      </w:r>
      <w:bookmarkEnd w:id="91"/>
      <w:bookmarkEnd w:id="92"/>
    </w:p>
    <w:p w:rsidR="009127B8" w:rsidRDefault="008F0ABF" w:rsidP="007A7754">
      <w:pPr>
        <w:pStyle w:val="WPPR1"/>
      </w:pPr>
      <w:r w:rsidRPr="00AB5978">
        <w:t xml:space="preserve">The incremental measure cost (IMC) is the difference between the cost of the average baseline unit and the average high efficiency </w:t>
      </w:r>
      <w:r w:rsidR="00485CEB">
        <w:t>measure</w:t>
      </w:r>
      <w:r w:rsidRPr="00AB5978">
        <w:t xml:space="preserve">.  The incremental measure costs are shown in </w:t>
      </w:r>
      <w:r w:rsidR="00F21E38">
        <w:fldChar w:fldCharType="begin"/>
      </w:r>
      <w:r w:rsidR="00F21E38">
        <w:instrText xml:space="preserve"> REF _Ref370196815 \h </w:instrText>
      </w:r>
      <w:r w:rsidR="00F21E38">
        <w:fldChar w:fldCharType="separate"/>
      </w:r>
      <w:r w:rsidR="00CB1976">
        <w:t xml:space="preserve">Table </w:t>
      </w:r>
      <w:r w:rsidR="00F21E38">
        <w:fldChar w:fldCharType="end"/>
      </w:r>
      <w:r w:rsidR="00A653E0">
        <w:t>6</w:t>
      </w:r>
      <w:r w:rsidR="00455758">
        <w:t>.</w:t>
      </w:r>
      <w:r w:rsidR="00AB5978" w:rsidRPr="00AB5978">
        <w:t xml:space="preserve">  </w:t>
      </w:r>
    </w:p>
    <w:p w:rsidR="00B2363F" w:rsidRDefault="00B2363F">
      <w:pPr>
        <w:rPr>
          <w:rFonts w:eastAsia="Times New Roman"/>
        </w:rPr>
      </w:pPr>
    </w:p>
    <w:p w:rsidR="008F0ABF" w:rsidRPr="00AB5978" w:rsidRDefault="00AB5978" w:rsidP="00A653E0">
      <w:pPr>
        <w:pStyle w:val="TBL"/>
      </w:pPr>
      <w:bookmarkStart w:id="93" w:name="_Toc319421669"/>
      <w:bookmarkStart w:id="94" w:name="_Toc370197558"/>
      <w:bookmarkStart w:id="95" w:name="_Toc461101275"/>
      <w:r w:rsidRPr="00AB5978">
        <w:t xml:space="preserve">Gross and </w:t>
      </w:r>
      <w:r w:rsidR="008F0ABF" w:rsidRPr="00AB5978">
        <w:t>Incremental Measure Cost by Equipment Type</w:t>
      </w:r>
      <w:bookmarkEnd w:id="93"/>
      <w:bookmarkEnd w:id="94"/>
      <w:bookmarkEnd w:id="95"/>
    </w:p>
    <w:tbl>
      <w:tblPr>
        <w:tblStyle w:val="TableGrid"/>
        <w:tblW w:w="7985" w:type="dxa"/>
        <w:jc w:val="center"/>
        <w:tblLayout w:type="fixed"/>
        <w:tblCellMar>
          <w:top w:w="43" w:type="dxa"/>
          <w:left w:w="115" w:type="dxa"/>
          <w:bottom w:w="43" w:type="dxa"/>
          <w:right w:w="115" w:type="dxa"/>
        </w:tblCellMar>
        <w:tblLook w:val="01E0" w:firstRow="1" w:lastRow="1" w:firstColumn="1" w:lastColumn="1" w:noHBand="0" w:noVBand="0"/>
      </w:tblPr>
      <w:tblGrid>
        <w:gridCol w:w="5235"/>
        <w:gridCol w:w="1375"/>
        <w:gridCol w:w="1375"/>
      </w:tblGrid>
      <w:tr w:rsidR="00CB3853" w:rsidRPr="00420887" w:rsidTr="003B6F0C">
        <w:trPr>
          <w:trHeight w:val="20"/>
          <w:tblHeader/>
          <w:jc w:val="center"/>
        </w:trPr>
        <w:tc>
          <w:tcPr>
            <w:tcW w:w="5235" w:type="dxa"/>
            <w:shd w:val="clear" w:color="auto" w:fill="BFBFBF" w:themeFill="background1" w:themeFillShade="BF"/>
            <w:vAlign w:val="bottom"/>
          </w:tcPr>
          <w:p w:rsidR="00CB3853" w:rsidRPr="005E2341" w:rsidRDefault="00CB3853" w:rsidP="009127B8">
            <w:pPr>
              <w:pStyle w:val="Normal1"/>
              <w:spacing w:after="0" w:line="240" w:lineRule="auto"/>
              <w:rPr>
                <w:rFonts w:ascii="Arial" w:hAnsi="Arial" w:cs="Arial"/>
                <w:b/>
                <w:sz w:val="18"/>
                <w:szCs w:val="18"/>
              </w:rPr>
            </w:pPr>
            <w:r w:rsidRPr="005E2341">
              <w:rPr>
                <w:rFonts w:ascii="Arial" w:hAnsi="Arial" w:cs="Arial"/>
                <w:b/>
                <w:sz w:val="18"/>
                <w:szCs w:val="18"/>
              </w:rPr>
              <w:t>Equipment Type</w:t>
            </w:r>
          </w:p>
        </w:tc>
        <w:tc>
          <w:tcPr>
            <w:tcW w:w="1375" w:type="dxa"/>
            <w:shd w:val="clear" w:color="auto" w:fill="BFBFBF" w:themeFill="background1" w:themeFillShade="BF"/>
            <w:vAlign w:val="bottom"/>
          </w:tcPr>
          <w:p w:rsidR="00CB3853" w:rsidRPr="00D62A22" w:rsidRDefault="00CB3853" w:rsidP="00AB5978">
            <w:pPr>
              <w:pStyle w:val="Normal1"/>
              <w:spacing w:after="0" w:line="240" w:lineRule="auto"/>
              <w:jc w:val="center"/>
              <w:rPr>
                <w:rFonts w:ascii="Arial" w:hAnsi="Arial" w:cs="Arial"/>
                <w:b/>
                <w:sz w:val="18"/>
                <w:szCs w:val="18"/>
              </w:rPr>
            </w:pPr>
            <w:r w:rsidRPr="00D62A22">
              <w:rPr>
                <w:rFonts w:ascii="Arial" w:hAnsi="Arial" w:cs="Arial"/>
                <w:b/>
                <w:sz w:val="18"/>
                <w:szCs w:val="18"/>
              </w:rPr>
              <w:t>Large Tier 1</w:t>
            </w:r>
          </w:p>
        </w:tc>
        <w:tc>
          <w:tcPr>
            <w:tcW w:w="1375" w:type="dxa"/>
            <w:shd w:val="clear" w:color="auto" w:fill="BFBFBF" w:themeFill="background1" w:themeFillShade="BF"/>
            <w:vAlign w:val="center"/>
          </w:tcPr>
          <w:p w:rsidR="00CB3853" w:rsidRPr="00D62A22" w:rsidRDefault="00CB3853" w:rsidP="00AB5978">
            <w:pPr>
              <w:pStyle w:val="Normal1"/>
              <w:spacing w:after="0" w:line="240" w:lineRule="auto"/>
              <w:jc w:val="center"/>
              <w:rPr>
                <w:rFonts w:ascii="Arial" w:hAnsi="Arial" w:cs="Arial"/>
                <w:b/>
                <w:sz w:val="18"/>
                <w:szCs w:val="18"/>
              </w:rPr>
            </w:pPr>
            <w:r w:rsidRPr="00D62A22">
              <w:rPr>
                <w:rFonts w:ascii="Arial" w:hAnsi="Arial" w:cs="Arial"/>
                <w:b/>
                <w:sz w:val="18"/>
                <w:szCs w:val="18"/>
              </w:rPr>
              <w:t>Large Tier 2</w:t>
            </w:r>
          </w:p>
        </w:tc>
      </w:tr>
      <w:tr w:rsidR="00CB3853" w:rsidRPr="00420887" w:rsidTr="003B6F0C">
        <w:trPr>
          <w:trHeight w:val="20"/>
          <w:tblHeader/>
          <w:jc w:val="center"/>
        </w:trPr>
        <w:tc>
          <w:tcPr>
            <w:tcW w:w="5235" w:type="dxa"/>
            <w:shd w:val="clear" w:color="auto" w:fill="BFBFBF" w:themeFill="background1" w:themeFillShade="BF"/>
            <w:vAlign w:val="center"/>
          </w:tcPr>
          <w:p w:rsidR="00CB3853" w:rsidRPr="005E2341" w:rsidRDefault="00CB3853" w:rsidP="00AB5978">
            <w:pPr>
              <w:pStyle w:val="Normal1"/>
              <w:spacing w:after="0" w:line="240" w:lineRule="auto"/>
              <w:jc w:val="right"/>
              <w:rPr>
                <w:rFonts w:ascii="Arial" w:hAnsi="Arial" w:cs="Arial"/>
                <w:b/>
                <w:sz w:val="18"/>
                <w:szCs w:val="18"/>
              </w:rPr>
            </w:pPr>
            <w:r>
              <w:rPr>
                <w:rFonts w:ascii="Arial" w:hAnsi="Arial" w:cs="Arial"/>
                <w:b/>
                <w:sz w:val="18"/>
                <w:szCs w:val="18"/>
              </w:rPr>
              <w:t>Rated Input (</w:t>
            </w:r>
            <w:r w:rsidR="003D5CE3">
              <w:rPr>
                <w:rFonts w:ascii="Arial" w:hAnsi="Arial" w:cs="Arial"/>
                <w:b/>
                <w:sz w:val="18"/>
                <w:szCs w:val="18"/>
              </w:rPr>
              <w:t>k</w:t>
            </w:r>
            <w:r w:rsidRPr="005E2341">
              <w:rPr>
                <w:rFonts w:ascii="Arial" w:hAnsi="Arial" w:cs="Arial"/>
                <w:b/>
                <w:sz w:val="18"/>
                <w:szCs w:val="18"/>
              </w:rPr>
              <w:t>Btu</w:t>
            </w:r>
            <w:r w:rsidR="00FD52AD">
              <w:rPr>
                <w:rFonts w:ascii="Arial" w:hAnsi="Arial" w:cs="Arial"/>
                <w:b/>
                <w:sz w:val="18"/>
                <w:szCs w:val="18"/>
              </w:rPr>
              <w:t>h</w:t>
            </w:r>
            <w:r w:rsidRPr="005E2341">
              <w:rPr>
                <w:rFonts w:ascii="Arial" w:hAnsi="Arial" w:cs="Arial"/>
                <w:b/>
                <w:sz w:val="18"/>
                <w:szCs w:val="18"/>
              </w:rPr>
              <w:t xml:space="preserve">) </w:t>
            </w:r>
            <w:r w:rsidRPr="005E2341">
              <w:rPr>
                <w:rFonts w:ascii="Arial" w:hAnsi="Arial" w:cs="Arial"/>
                <w:b/>
                <w:sz w:val="18"/>
                <w:szCs w:val="18"/>
              </w:rPr>
              <w:sym w:font="Wingdings" w:char="F0E0"/>
            </w:r>
          </w:p>
        </w:tc>
        <w:tc>
          <w:tcPr>
            <w:tcW w:w="1375" w:type="dxa"/>
            <w:shd w:val="clear" w:color="auto" w:fill="BFBFBF" w:themeFill="background1" w:themeFillShade="BF"/>
            <w:vAlign w:val="bottom"/>
          </w:tcPr>
          <w:p w:rsidR="00CB3853" w:rsidRPr="00D62A22" w:rsidRDefault="00CB3853" w:rsidP="00AB5978">
            <w:pPr>
              <w:pStyle w:val="Normal1"/>
              <w:spacing w:after="0" w:line="240" w:lineRule="auto"/>
              <w:jc w:val="center"/>
              <w:rPr>
                <w:rFonts w:ascii="Arial" w:hAnsi="Arial" w:cs="Arial"/>
                <w:b/>
                <w:sz w:val="18"/>
                <w:szCs w:val="18"/>
              </w:rPr>
            </w:pPr>
            <w:r w:rsidRPr="00D62A22">
              <w:rPr>
                <w:rFonts w:ascii="Arial" w:hAnsi="Arial" w:cs="Arial"/>
                <w:b/>
                <w:sz w:val="18"/>
                <w:szCs w:val="18"/>
              </w:rPr>
              <w:t>&gt; 75</w:t>
            </w:r>
          </w:p>
        </w:tc>
        <w:tc>
          <w:tcPr>
            <w:tcW w:w="1375" w:type="dxa"/>
            <w:shd w:val="clear" w:color="auto" w:fill="BFBFBF" w:themeFill="background1" w:themeFillShade="BF"/>
            <w:vAlign w:val="center"/>
          </w:tcPr>
          <w:p w:rsidR="00CB3853" w:rsidRPr="00D62A22" w:rsidRDefault="00CB3853" w:rsidP="00AB5978">
            <w:pPr>
              <w:pStyle w:val="Normal1"/>
              <w:spacing w:after="0" w:line="240" w:lineRule="auto"/>
              <w:jc w:val="center"/>
              <w:rPr>
                <w:rFonts w:ascii="Arial" w:hAnsi="Arial" w:cs="Arial"/>
                <w:b/>
                <w:sz w:val="18"/>
                <w:szCs w:val="18"/>
              </w:rPr>
            </w:pPr>
            <w:r w:rsidRPr="00D62A22">
              <w:rPr>
                <w:rFonts w:ascii="Arial" w:hAnsi="Arial" w:cs="Arial"/>
                <w:b/>
                <w:sz w:val="18"/>
                <w:szCs w:val="18"/>
              </w:rPr>
              <w:t>&gt; 75</w:t>
            </w:r>
          </w:p>
        </w:tc>
      </w:tr>
      <w:tr w:rsidR="00CB3853" w:rsidRPr="00E7102E" w:rsidTr="003B6F0C">
        <w:trPr>
          <w:trHeight w:val="20"/>
          <w:tblHeader/>
          <w:jc w:val="center"/>
        </w:trPr>
        <w:tc>
          <w:tcPr>
            <w:tcW w:w="5235" w:type="dxa"/>
            <w:shd w:val="clear" w:color="auto" w:fill="BFBFBF" w:themeFill="background1" w:themeFillShade="BF"/>
            <w:vAlign w:val="center"/>
          </w:tcPr>
          <w:p w:rsidR="00CB3853" w:rsidRPr="00D15586" w:rsidRDefault="007A7754" w:rsidP="004919C3">
            <w:pPr>
              <w:rPr>
                <w:rFonts w:cs="Arial"/>
                <w:b/>
                <w:color w:val="000000"/>
                <w:sz w:val="18"/>
                <w:szCs w:val="18"/>
              </w:rPr>
            </w:pPr>
            <w:r>
              <w:rPr>
                <w:rFonts w:cs="Arial"/>
                <w:b/>
                <w:color w:val="000000"/>
                <w:sz w:val="18"/>
                <w:szCs w:val="18"/>
              </w:rPr>
              <w:t>DOE Technical Support Document</w:t>
            </w:r>
          </w:p>
        </w:tc>
        <w:tc>
          <w:tcPr>
            <w:tcW w:w="1375" w:type="dxa"/>
            <w:vAlign w:val="center"/>
          </w:tcPr>
          <w:p w:rsidR="00CB3853" w:rsidRPr="00D62A22" w:rsidRDefault="00CB3853" w:rsidP="00884825">
            <w:pPr>
              <w:jc w:val="center"/>
              <w:rPr>
                <w:rFonts w:cs="Arial"/>
                <w:sz w:val="18"/>
                <w:szCs w:val="18"/>
              </w:rPr>
            </w:pPr>
          </w:p>
        </w:tc>
        <w:tc>
          <w:tcPr>
            <w:tcW w:w="1375" w:type="dxa"/>
            <w:vAlign w:val="center"/>
          </w:tcPr>
          <w:p w:rsidR="00CB3853" w:rsidRPr="00D62A22" w:rsidRDefault="00CB3853" w:rsidP="00884825">
            <w:pPr>
              <w:jc w:val="center"/>
              <w:rPr>
                <w:rFonts w:cs="Arial"/>
                <w:sz w:val="18"/>
                <w:szCs w:val="18"/>
              </w:rPr>
            </w:pPr>
          </w:p>
        </w:tc>
      </w:tr>
      <w:tr w:rsidR="00CB3853" w:rsidRPr="00E7102E" w:rsidTr="00EE0715">
        <w:trPr>
          <w:trHeight w:val="20"/>
          <w:jc w:val="center"/>
        </w:trPr>
        <w:tc>
          <w:tcPr>
            <w:tcW w:w="5235" w:type="dxa"/>
            <w:vAlign w:val="center"/>
          </w:tcPr>
          <w:p w:rsidR="00CB3853" w:rsidRPr="005E2341" w:rsidRDefault="00CB3853" w:rsidP="004919C3">
            <w:pPr>
              <w:rPr>
                <w:rFonts w:cs="Arial"/>
                <w:color w:val="000000"/>
                <w:sz w:val="18"/>
                <w:szCs w:val="18"/>
              </w:rPr>
            </w:pPr>
            <w:r w:rsidRPr="005E2341">
              <w:rPr>
                <w:rFonts w:cs="Arial"/>
                <w:color w:val="000000"/>
                <w:sz w:val="18"/>
                <w:szCs w:val="18"/>
              </w:rPr>
              <w:t>Base Cost ($/</w:t>
            </w:r>
            <w:r>
              <w:rPr>
                <w:rFonts w:cs="Arial"/>
                <w:color w:val="000000"/>
                <w:sz w:val="18"/>
                <w:szCs w:val="18"/>
              </w:rPr>
              <w:t>kBtuh</w:t>
            </w:r>
            <w:r w:rsidRPr="005E2341">
              <w:rPr>
                <w:rFonts w:cs="Arial"/>
                <w:color w:val="000000"/>
                <w:sz w:val="18"/>
                <w:szCs w:val="18"/>
              </w:rPr>
              <w:t>)</w:t>
            </w:r>
          </w:p>
        </w:tc>
        <w:tc>
          <w:tcPr>
            <w:tcW w:w="1375" w:type="dxa"/>
            <w:vAlign w:val="center"/>
          </w:tcPr>
          <w:p w:rsidR="00CB3853" w:rsidRPr="004E03A0" w:rsidRDefault="00CB3853" w:rsidP="00884825">
            <w:pPr>
              <w:jc w:val="center"/>
              <w:rPr>
                <w:rFonts w:cs="Arial"/>
                <w:sz w:val="18"/>
                <w:highlight w:val="yellow"/>
              </w:rPr>
            </w:pPr>
            <w:r>
              <w:rPr>
                <w:rFonts w:cs="Arial"/>
                <w:sz w:val="18"/>
                <w:szCs w:val="18"/>
              </w:rPr>
              <w:t>$2</w:t>
            </w:r>
            <w:r w:rsidR="00326AF4">
              <w:rPr>
                <w:rFonts w:cs="Arial"/>
                <w:sz w:val="18"/>
                <w:szCs w:val="18"/>
              </w:rPr>
              <w:t>3.29</w:t>
            </w:r>
          </w:p>
        </w:tc>
        <w:tc>
          <w:tcPr>
            <w:tcW w:w="1375" w:type="dxa"/>
            <w:vAlign w:val="center"/>
          </w:tcPr>
          <w:p w:rsidR="00CB3853" w:rsidRPr="004E03A0" w:rsidRDefault="00326AF4" w:rsidP="00884825">
            <w:pPr>
              <w:overflowPunct w:val="0"/>
              <w:autoSpaceDE w:val="0"/>
              <w:autoSpaceDN w:val="0"/>
              <w:adjustRightInd w:val="0"/>
              <w:spacing w:after="120" w:line="360" w:lineRule="atLeast"/>
              <w:jc w:val="center"/>
              <w:textAlignment w:val="baseline"/>
              <w:rPr>
                <w:rFonts w:cs="Arial"/>
                <w:sz w:val="18"/>
                <w:highlight w:val="yellow"/>
              </w:rPr>
            </w:pPr>
            <w:r>
              <w:rPr>
                <w:rFonts w:cs="Arial"/>
                <w:sz w:val="18"/>
                <w:szCs w:val="18"/>
              </w:rPr>
              <w:t>$23.29</w:t>
            </w:r>
          </w:p>
        </w:tc>
      </w:tr>
      <w:tr w:rsidR="00CB3853" w:rsidRPr="00E7102E" w:rsidTr="00EE0715">
        <w:trPr>
          <w:trHeight w:val="20"/>
          <w:jc w:val="center"/>
        </w:trPr>
        <w:tc>
          <w:tcPr>
            <w:tcW w:w="5235" w:type="dxa"/>
            <w:vAlign w:val="center"/>
          </w:tcPr>
          <w:p w:rsidR="00CB3853" w:rsidRPr="005E2341" w:rsidRDefault="00CB3853" w:rsidP="004919C3">
            <w:pPr>
              <w:rPr>
                <w:rFonts w:cs="Arial"/>
                <w:color w:val="000000"/>
                <w:sz w:val="18"/>
                <w:szCs w:val="18"/>
              </w:rPr>
            </w:pPr>
            <w:r>
              <w:rPr>
                <w:rFonts w:cs="Arial"/>
                <w:color w:val="000000"/>
                <w:sz w:val="18"/>
                <w:szCs w:val="18"/>
              </w:rPr>
              <w:t>Gross Measure</w:t>
            </w:r>
            <w:r w:rsidRPr="005E2341">
              <w:rPr>
                <w:rFonts w:cs="Arial"/>
                <w:color w:val="000000"/>
                <w:sz w:val="18"/>
                <w:szCs w:val="18"/>
              </w:rPr>
              <w:t xml:space="preserve"> Cost ($/</w:t>
            </w:r>
            <w:r>
              <w:rPr>
                <w:rFonts w:cs="Arial"/>
                <w:color w:val="000000"/>
                <w:sz w:val="18"/>
                <w:szCs w:val="18"/>
              </w:rPr>
              <w:t>kBtuh</w:t>
            </w:r>
            <w:r w:rsidRPr="005E2341">
              <w:rPr>
                <w:rFonts w:cs="Arial"/>
                <w:color w:val="000000"/>
                <w:sz w:val="18"/>
                <w:szCs w:val="18"/>
              </w:rPr>
              <w:t>)</w:t>
            </w:r>
          </w:p>
        </w:tc>
        <w:tc>
          <w:tcPr>
            <w:tcW w:w="1375" w:type="dxa"/>
            <w:vAlign w:val="center"/>
          </w:tcPr>
          <w:p w:rsidR="00CB3853" w:rsidRPr="004E03A0" w:rsidRDefault="00CB3853" w:rsidP="00884825">
            <w:pPr>
              <w:jc w:val="center"/>
              <w:rPr>
                <w:rFonts w:cs="Arial"/>
                <w:sz w:val="18"/>
                <w:highlight w:val="yellow"/>
              </w:rPr>
            </w:pPr>
            <w:r>
              <w:rPr>
                <w:rFonts w:cs="Arial"/>
                <w:sz w:val="18"/>
                <w:szCs w:val="18"/>
              </w:rPr>
              <w:t>$25.</w:t>
            </w:r>
            <w:r w:rsidR="00326AF4">
              <w:rPr>
                <w:rFonts w:cs="Arial"/>
                <w:sz w:val="18"/>
                <w:szCs w:val="18"/>
              </w:rPr>
              <w:t>85</w:t>
            </w:r>
          </w:p>
        </w:tc>
        <w:tc>
          <w:tcPr>
            <w:tcW w:w="1375" w:type="dxa"/>
            <w:vAlign w:val="center"/>
          </w:tcPr>
          <w:p w:rsidR="00CB3853" w:rsidRPr="004E03A0" w:rsidRDefault="00CB3853" w:rsidP="00884825">
            <w:pPr>
              <w:overflowPunct w:val="0"/>
              <w:autoSpaceDE w:val="0"/>
              <w:autoSpaceDN w:val="0"/>
              <w:adjustRightInd w:val="0"/>
              <w:spacing w:after="120" w:line="360" w:lineRule="atLeast"/>
              <w:jc w:val="center"/>
              <w:textAlignment w:val="baseline"/>
              <w:rPr>
                <w:rFonts w:cs="Arial"/>
                <w:sz w:val="18"/>
                <w:highlight w:val="yellow"/>
              </w:rPr>
            </w:pPr>
            <w:r>
              <w:rPr>
                <w:rFonts w:cs="Arial"/>
                <w:sz w:val="18"/>
                <w:szCs w:val="18"/>
              </w:rPr>
              <w:t>$3</w:t>
            </w:r>
            <w:r w:rsidR="00326AF4">
              <w:rPr>
                <w:rFonts w:cs="Arial"/>
                <w:sz w:val="18"/>
                <w:szCs w:val="18"/>
              </w:rPr>
              <w:t>2.10</w:t>
            </w:r>
          </w:p>
        </w:tc>
      </w:tr>
      <w:tr w:rsidR="00CB3853" w:rsidRPr="00E7102E" w:rsidTr="00EE0715">
        <w:trPr>
          <w:trHeight w:val="20"/>
          <w:jc w:val="center"/>
        </w:trPr>
        <w:tc>
          <w:tcPr>
            <w:tcW w:w="5235" w:type="dxa"/>
            <w:vAlign w:val="center"/>
          </w:tcPr>
          <w:p w:rsidR="00CB3853" w:rsidRDefault="00CB3853" w:rsidP="004919C3">
            <w:pPr>
              <w:rPr>
                <w:rFonts w:cs="Arial"/>
                <w:color w:val="000000"/>
                <w:sz w:val="18"/>
                <w:szCs w:val="18"/>
              </w:rPr>
            </w:pPr>
            <w:r>
              <w:rPr>
                <w:rFonts w:cs="Arial"/>
                <w:color w:val="000000"/>
                <w:sz w:val="18"/>
                <w:szCs w:val="18"/>
              </w:rPr>
              <w:t>Incremental Measure</w:t>
            </w:r>
            <w:r w:rsidRPr="005E2341">
              <w:rPr>
                <w:rFonts w:cs="Arial"/>
                <w:color w:val="000000"/>
                <w:sz w:val="18"/>
                <w:szCs w:val="18"/>
              </w:rPr>
              <w:t xml:space="preserve"> Cost ($/</w:t>
            </w:r>
            <w:r>
              <w:rPr>
                <w:rFonts w:cs="Arial"/>
                <w:color w:val="000000"/>
                <w:sz w:val="18"/>
                <w:szCs w:val="18"/>
              </w:rPr>
              <w:t>kBtuh</w:t>
            </w:r>
            <w:r w:rsidRPr="005E2341">
              <w:rPr>
                <w:rFonts w:cs="Arial"/>
                <w:color w:val="000000"/>
                <w:sz w:val="18"/>
                <w:szCs w:val="18"/>
              </w:rPr>
              <w:t>)</w:t>
            </w:r>
          </w:p>
        </w:tc>
        <w:tc>
          <w:tcPr>
            <w:tcW w:w="1375" w:type="dxa"/>
            <w:vAlign w:val="center"/>
          </w:tcPr>
          <w:p w:rsidR="00CB3853" w:rsidRPr="004E03A0" w:rsidRDefault="00CB3853" w:rsidP="00884825">
            <w:pPr>
              <w:jc w:val="center"/>
              <w:rPr>
                <w:rFonts w:cs="Arial"/>
                <w:b/>
                <w:bCs/>
                <w:sz w:val="18"/>
                <w:highlight w:val="yellow"/>
              </w:rPr>
            </w:pPr>
            <w:r>
              <w:rPr>
                <w:rFonts w:cs="Arial"/>
                <w:b/>
                <w:bCs/>
                <w:sz w:val="18"/>
                <w:szCs w:val="18"/>
              </w:rPr>
              <w:t>$2.</w:t>
            </w:r>
            <w:r w:rsidR="00326AF4">
              <w:rPr>
                <w:rFonts w:cs="Arial"/>
                <w:b/>
                <w:bCs/>
                <w:sz w:val="18"/>
                <w:szCs w:val="18"/>
              </w:rPr>
              <w:t>56</w:t>
            </w:r>
          </w:p>
        </w:tc>
        <w:tc>
          <w:tcPr>
            <w:tcW w:w="1375" w:type="dxa"/>
            <w:vAlign w:val="center"/>
          </w:tcPr>
          <w:p w:rsidR="00CB3853" w:rsidRPr="004E03A0" w:rsidRDefault="00CB3853" w:rsidP="00884825">
            <w:pPr>
              <w:overflowPunct w:val="0"/>
              <w:autoSpaceDE w:val="0"/>
              <w:autoSpaceDN w:val="0"/>
              <w:adjustRightInd w:val="0"/>
              <w:spacing w:after="120" w:line="360" w:lineRule="atLeast"/>
              <w:jc w:val="center"/>
              <w:textAlignment w:val="baseline"/>
              <w:rPr>
                <w:rFonts w:cs="Arial"/>
                <w:b/>
                <w:bCs/>
                <w:sz w:val="18"/>
                <w:highlight w:val="yellow"/>
              </w:rPr>
            </w:pPr>
            <w:r>
              <w:rPr>
                <w:rFonts w:cs="Arial"/>
                <w:b/>
                <w:bCs/>
                <w:sz w:val="18"/>
                <w:szCs w:val="18"/>
              </w:rPr>
              <w:t>$</w:t>
            </w:r>
            <w:r w:rsidR="00326AF4">
              <w:rPr>
                <w:rFonts w:cs="Arial"/>
                <w:b/>
                <w:bCs/>
                <w:sz w:val="18"/>
                <w:szCs w:val="18"/>
              </w:rPr>
              <w:t>8.81</w:t>
            </w:r>
          </w:p>
        </w:tc>
      </w:tr>
    </w:tbl>
    <w:p w:rsidR="00A920D6" w:rsidRDefault="00A920D6" w:rsidP="00A920D6">
      <w:pPr>
        <w:pStyle w:val="Vertical"/>
      </w:pPr>
    </w:p>
    <w:p w:rsidR="00A920D6" w:rsidRPr="00A920D6" w:rsidRDefault="00A920D6" w:rsidP="00A920D6">
      <w:pPr>
        <w:pStyle w:val="Vertical"/>
      </w:pPr>
    </w:p>
    <w:p w:rsidR="001C644E" w:rsidRPr="00B26C3B" w:rsidRDefault="001C644E" w:rsidP="001C644E">
      <w:r>
        <w:br w:type="page"/>
      </w:r>
    </w:p>
    <w:p w:rsidR="001C644E" w:rsidRDefault="001C644E" w:rsidP="001C644E">
      <w:pPr>
        <w:pStyle w:val="Appx"/>
      </w:pPr>
      <w:bookmarkStart w:id="96" w:name="_Toc238955954"/>
      <w:bookmarkStart w:id="97" w:name="_Toc461101296"/>
      <w:bookmarkStart w:id="98" w:name="AttachmentsPage"/>
      <w:bookmarkStart w:id="99" w:name="_Toc214003102"/>
      <w:bookmarkEnd w:id="87"/>
      <w:r>
        <w:lastRenderedPageBreak/>
        <w:t>Attachments</w:t>
      </w:r>
      <w:bookmarkEnd w:id="96"/>
      <w:bookmarkEnd w:id="97"/>
    </w:p>
    <w:p w:rsidR="00E25E44" w:rsidRDefault="00E25E44" w:rsidP="00B81CAD">
      <w:pPr>
        <w:rPr>
          <w:i/>
        </w:rPr>
      </w:pPr>
      <w:r w:rsidRPr="00B81CAD">
        <w:rPr>
          <w:i/>
        </w:rPr>
        <w:t>Attachment A</w:t>
      </w:r>
      <w:r>
        <w:rPr>
          <w:i/>
        </w:rPr>
        <w:t xml:space="preserve"> –Storage Water Heater Gas Consumption Modeling and Adjustment Factors Calculation</w:t>
      </w:r>
    </w:p>
    <w:p w:rsidR="00E25E44" w:rsidRDefault="00E25E44" w:rsidP="00B81CAD">
      <w:pPr>
        <w:rPr>
          <w:i/>
        </w:rPr>
      </w:pPr>
      <w:r>
        <w:rPr>
          <w:i/>
        </w:rPr>
        <w:t xml:space="preserve"> </w:t>
      </w:r>
      <w:r>
        <w:rPr>
          <w:i/>
        </w:rPr>
        <w:tab/>
      </w:r>
      <w:r>
        <w:rPr>
          <w:i/>
        </w:rPr>
        <w:tab/>
      </w:r>
    </w:p>
    <w:bookmarkStart w:id="100" w:name="_MON_1465215005"/>
    <w:bookmarkEnd w:id="100"/>
    <w:p w:rsidR="00E25E44" w:rsidRDefault="00065305" w:rsidP="00B81CAD">
      <w:pPr>
        <w:rPr>
          <w:i/>
        </w:rPr>
      </w:pPr>
      <w:r>
        <w:rPr>
          <w:i/>
        </w:rPr>
        <w:object w:dxaOrig="2069" w:dyaOrig="1339">
          <v:shape id="_x0000_i1025" type="#_x0000_t75" style="width:79.45pt;height:51.6pt" o:ole="">
            <v:imagedata r:id="rId21" o:title=""/>
          </v:shape>
          <o:OLEObject Type="Embed" ProgID="Excel.Sheet.12" ShapeID="_x0000_i1025" DrawAspect="Icon" ObjectID="_1535192254" r:id="rId22"/>
        </w:object>
      </w:r>
    </w:p>
    <w:p w:rsidR="00065305" w:rsidRPr="00B81CAD" w:rsidRDefault="00065305" w:rsidP="00B81CAD">
      <w:pPr>
        <w:rPr>
          <w:i/>
        </w:rPr>
      </w:pPr>
    </w:p>
    <w:bookmarkEnd w:id="98"/>
    <w:p w:rsidR="003C679B" w:rsidRDefault="003C679B" w:rsidP="003C679B">
      <w:pPr>
        <w:rPr>
          <w:i/>
        </w:rPr>
      </w:pPr>
      <w:r>
        <w:rPr>
          <w:i/>
        </w:rPr>
        <w:t xml:space="preserve">Attachment </w:t>
      </w:r>
      <w:r w:rsidR="00E25E44">
        <w:rPr>
          <w:i/>
        </w:rPr>
        <w:t xml:space="preserve">B </w:t>
      </w:r>
      <w:r>
        <w:rPr>
          <w:i/>
        </w:rPr>
        <w:t xml:space="preserve">– </w:t>
      </w:r>
      <w:r w:rsidRPr="00D55EAC">
        <w:rPr>
          <w:i/>
        </w:rPr>
        <w:t>S</w:t>
      </w:r>
      <w:r>
        <w:rPr>
          <w:i/>
        </w:rPr>
        <w:t xml:space="preserve">torage </w:t>
      </w:r>
      <w:r w:rsidR="00146557">
        <w:rPr>
          <w:i/>
        </w:rPr>
        <w:t>Water Heater Energy Savings Calculations</w:t>
      </w:r>
    </w:p>
    <w:bookmarkStart w:id="101" w:name="_MON_1446974791"/>
    <w:bookmarkEnd w:id="101"/>
    <w:p w:rsidR="00843FC0" w:rsidRDefault="00995F42" w:rsidP="003C679B">
      <w:r>
        <w:object w:dxaOrig="2069" w:dyaOrig="1320">
          <v:shape id="_x0000_i1026" type="#_x0000_t75" style="width:79.45pt;height:50.95pt" o:ole="">
            <v:imagedata r:id="rId23" o:title=""/>
          </v:shape>
          <o:OLEObject Type="Embed" ProgID="Excel.Sheet.12" ShapeID="_x0000_i1026" DrawAspect="Icon" ObjectID="_1535192255" r:id="rId24"/>
        </w:object>
      </w:r>
    </w:p>
    <w:p w:rsidR="003C679B" w:rsidRDefault="002D466A" w:rsidP="003C679B">
      <w:r>
        <w:tab/>
      </w:r>
      <w:bookmarkStart w:id="102" w:name="_MON_1394437048"/>
      <w:bookmarkStart w:id="103" w:name="_MON_1394441712"/>
      <w:bookmarkEnd w:id="102"/>
      <w:bookmarkEnd w:id="103"/>
      <w:r w:rsidR="00146557">
        <w:tab/>
      </w:r>
    </w:p>
    <w:p w:rsidR="00146557" w:rsidRPr="008445D3" w:rsidRDefault="003C679B" w:rsidP="00146557">
      <w:r w:rsidRPr="008445D3">
        <w:rPr>
          <w:i/>
        </w:rPr>
        <w:t xml:space="preserve">Attachment </w:t>
      </w:r>
      <w:r w:rsidR="00E25E44">
        <w:rPr>
          <w:i/>
        </w:rPr>
        <w:t>C</w:t>
      </w:r>
      <w:r w:rsidR="00E25E44" w:rsidRPr="008445D3">
        <w:rPr>
          <w:i/>
        </w:rPr>
        <w:t xml:space="preserve"> </w:t>
      </w:r>
      <w:r w:rsidRPr="008445D3">
        <w:rPr>
          <w:i/>
        </w:rPr>
        <w:t>– Storage Water Heater Vendor Cost Data</w:t>
      </w:r>
    </w:p>
    <w:bookmarkStart w:id="104" w:name="_MON_1535189443"/>
    <w:bookmarkEnd w:id="104"/>
    <w:p w:rsidR="003C679B" w:rsidRPr="008445D3" w:rsidRDefault="004A4FB2" w:rsidP="003C679B">
      <w:r>
        <w:object w:dxaOrig="1530" w:dyaOrig="990">
          <v:shape id="_x0000_i1027" type="#_x0000_t75" style="width:76.75pt;height:49.6pt" o:ole="">
            <v:imagedata r:id="rId25" o:title=""/>
          </v:shape>
          <o:OLEObject Type="Embed" ProgID="Excel.Sheet.12" ShapeID="_x0000_i1027" DrawAspect="Icon" ObjectID="_1535192256" r:id="rId26"/>
        </w:object>
      </w:r>
      <w:r>
        <w:br w:type="textWrapping" w:clear="all"/>
      </w:r>
    </w:p>
    <w:p w:rsidR="005E2541" w:rsidRDefault="005E2541" w:rsidP="005E2541">
      <w:pPr>
        <w:rPr>
          <w:i/>
        </w:rPr>
      </w:pPr>
      <w:r w:rsidRPr="008445D3">
        <w:rPr>
          <w:i/>
        </w:rPr>
        <w:t xml:space="preserve">Attachment </w:t>
      </w:r>
      <w:r>
        <w:rPr>
          <w:i/>
        </w:rPr>
        <w:t>D</w:t>
      </w:r>
      <w:r w:rsidRPr="008445D3">
        <w:rPr>
          <w:i/>
        </w:rPr>
        <w:t xml:space="preserve"> – </w:t>
      </w:r>
      <w:r>
        <w:rPr>
          <w:i/>
        </w:rPr>
        <w:t>Explanation of DOE Building America Multi-family Water Heater Tool (See Section 2.1.7 for Tool Methodology)</w:t>
      </w:r>
    </w:p>
    <w:p w:rsidR="005E2541" w:rsidRDefault="00326AF4" w:rsidP="005E2541">
      <w:r>
        <w:object w:dxaOrig="1531" w:dyaOrig="1002">
          <v:shape id="_x0000_i1028" type="#_x0000_t75" style="width:76.75pt;height:50.25pt" o:ole="">
            <v:imagedata r:id="rId27" o:title=""/>
          </v:shape>
          <o:OLEObject Type="Embed" ProgID="AcroExch.Document.11" ShapeID="_x0000_i1028" DrawAspect="Icon" ObjectID="_1535192257" r:id="rId28"/>
        </w:object>
      </w:r>
    </w:p>
    <w:p w:rsidR="007279E8" w:rsidRPr="008445D3" w:rsidRDefault="007279E8" w:rsidP="005E2541"/>
    <w:p w:rsidR="007279E8" w:rsidRDefault="007279E8" w:rsidP="007279E8">
      <w:pPr>
        <w:rPr>
          <w:i/>
        </w:rPr>
      </w:pPr>
      <w:r w:rsidRPr="008445D3">
        <w:rPr>
          <w:i/>
        </w:rPr>
        <w:t xml:space="preserve">Attachment </w:t>
      </w:r>
      <w:r>
        <w:rPr>
          <w:i/>
        </w:rPr>
        <w:t>E</w:t>
      </w:r>
      <w:r w:rsidRPr="008445D3">
        <w:rPr>
          <w:i/>
        </w:rPr>
        <w:t xml:space="preserve"> – </w:t>
      </w:r>
      <w:r>
        <w:rPr>
          <w:i/>
        </w:rPr>
        <w:t>kBtuh per Dwelling Unit Derivation</w:t>
      </w:r>
    </w:p>
    <w:bookmarkStart w:id="105" w:name="_MON_1465215095"/>
    <w:bookmarkEnd w:id="105"/>
    <w:p w:rsidR="007279E8" w:rsidRDefault="007279E8" w:rsidP="007279E8">
      <w:pPr>
        <w:rPr>
          <w:i/>
        </w:rPr>
      </w:pPr>
      <w:r>
        <w:object w:dxaOrig="2069" w:dyaOrig="1339">
          <v:shape id="_x0000_i1029" type="#_x0000_t75" style="width:88.3pt;height:57.05pt" o:ole="">
            <v:imagedata r:id="rId29" o:title=""/>
          </v:shape>
          <o:OLEObject Type="Embed" ProgID="Excel.Sheet.12" ShapeID="_x0000_i1029" DrawAspect="Icon" ObjectID="_1535192258" r:id="rId30"/>
        </w:object>
      </w:r>
    </w:p>
    <w:p w:rsidR="004A4FB2" w:rsidRDefault="004A4FB2" w:rsidP="004A4FB2">
      <w:pPr>
        <w:rPr>
          <w:i/>
        </w:rPr>
      </w:pPr>
      <w:r w:rsidRPr="008445D3">
        <w:rPr>
          <w:i/>
        </w:rPr>
        <w:t xml:space="preserve">Attachment </w:t>
      </w:r>
      <w:r>
        <w:rPr>
          <w:i/>
        </w:rPr>
        <w:t>F</w:t>
      </w:r>
      <w:r w:rsidRPr="008445D3">
        <w:rPr>
          <w:i/>
        </w:rPr>
        <w:t xml:space="preserve"> – </w:t>
      </w:r>
      <w:r w:rsidRPr="004A4FB2">
        <w:rPr>
          <w:i/>
        </w:rPr>
        <w:t>Water Heater &amp; Boiler Cost Summary</w:t>
      </w:r>
      <w:bookmarkStart w:id="106" w:name="_Toc238955955"/>
    </w:p>
    <w:p w:rsidR="004A4FB2" w:rsidRDefault="004A4FB2" w:rsidP="004A4FB2">
      <w:pPr>
        <w:rPr>
          <w:i/>
        </w:rPr>
      </w:pPr>
      <w:r>
        <w:rPr>
          <w:i/>
        </w:rPr>
        <w:object w:dxaOrig="1530" w:dyaOrig="990">
          <v:shape id="_x0000_i1030" type="#_x0000_t75" style="width:76.75pt;height:49.6pt" o:ole="">
            <v:imagedata r:id="rId31" o:title=""/>
          </v:shape>
          <o:OLEObject Type="Embed" ProgID="Excel.Sheet.12" ShapeID="_x0000_i1030" DrawAspect="Icon" ObjectID="_1535192259" r:id="rId32"/>
        </w:object>
      </w:r>
    </w:p>
    <w:p w:rsidR="004A4FB2" w:rsidRPr="004A4FB2" w:rsidRDefault="004A4FB2" w:rsidP="004A4FB2">
      <w:pPr>
        <w:rPr>
          <w:i/>
        </w:rPr>
      </w:pPr>
    </w:p>
    <w:p w:rsidR="004A4FB2" w:rsidRDefault="004A4FB2" w:rsidP="004A4FB2">
      <w:pPr>
        <w:rPr>
          <w:i/>
        </w:rPr>
      </w:pPr>
      <w:r w:rsidRPr="008445D3">
        <w:rPr>
          <w:i/>
        </w:rPr>
        <w:t xml:space="preserve">Attachment </w:t>
      </w:r>
      <w:r>
        <w:rPr>
          <w:i/>
        </w:rPr>
        <w:t>G</w:t>
      </w:r>
      <w:r w:rsidRPr="008445D3">
        <w:rPr>
          <w:i/>
        </w:rPr>
        <w:t xml:space="preserve"> – </w:t>
      </w:r>
      <w:r>
        <w:rPr>
          <w:i/>
        </w:rPr>
        <w:t>Water Heater Disposition</w:t>
      </w:r>
    </w:p>
    <w:p w:rsidR="004A4FB2" w:rsidRDefault="00BC3DD7" w:rsidP="004A4FB2">
      <w:pPr>
        <w:rPr>
          <w:i/>
        </w:rPr>
      </w:pPr>
      <w:r>
        <w:rPr>
          <w:i/>
        </w:rPr>
        <w:object w:dxaOrig="1530" w:dyaOrig="990">
          <v:shape id="_x0000_i1031" type="#_x0000_t75" style="width:76.75pt;height:49.6pt" o:ole="">
            <v:imagedata r:id="rId33" o:title=""/>
          </v:shape>
          <o:OLEObject Type="Embed" ProgID="AcroExch.Document.11" ShapeID="_x0000_i1031" DrawAspect="Icon" ObjectID="_1535192260" r:id="rId34"/>
        </w:object>
      </w:r>
    </w:p>
    <w:p w:rsidR="004A4FB2" w:rsidRDefault="004A4FB2" w:rsidP="004A4FB2">
      <w:pPr>
        <w:rPr>
          <w:i/>
        </w:rPr>
      </w:pPr>
    </w:p>
    <w:p w:rsidR="004A4FB2" w:rsidRDefault="004A4FB2" w:rsidP="004A4FB2">
      <w:pPr>
        <w:rPr>
          <w:i/>
        </w:rPr>
      </w:pPr>
    </w:p>
    <w:p w:rsidR="004A4FB2" w:rsidRDefault="004A4FB2" w:rsidP="004A4FB2">
      <w:pPr>
        <w:rPr>
          <w:i/>
        </w:rPr>
      </w:pPr>
    </w:p>
    <w:p w:rsidR="004A4FB2" w:rsidRDefault="004A4FB2" w:rsidP="004A4FB2">
      <w:pPr>
        <w:rPr>
          <w:i/>
        </w:rPr>
      </w:pPr>
    </w:p>
    <w:p w:rsidR="001C644E" w:rsidRDefault="001C644E" w:rsidP="001C644E">
      <w:pPr>
        <w:pStyle w:val="Appx"/>
      </w:pPr>
      <w:bookmarkStart w:id="107" w:name="_Toc461101297"/>
      <w:r>
        <w:lastRenderedPageBreak/>
        <w:t>References</w:t>
      </w:r>
      <w:bookmarkEnd w:id="99"/>
      <w:bookmarkEnd w:id="106"/>
      <w:bookmarkEnd w:id="107"/>
    </w:p>
    <w:sectPr w:rsidR="001C644E" w:rsidSect="00E97D72">
      <w:headerReference w:type="even" r:id="rId35"/>
      <w:headerReference w:type="default" r:id="rId36"/>
      <w:footerReference w:type="even" r:id="rId37"/>
      <w:footerReference w:type="default" r:id="rId38"/>
      <w:footnotePr>
        <w:numRestart w:val="eachSect"/>
      </w:footnotePr>
      <w:endnotePr>
        <w:numFmt w:val="decimal"/>
      </w:endnotePr>
      <w:pgSz w:w="12240" w:h="15840" w:code="1"/>
      <w:pgMar w:top="1627" w:right="1440" w:bottom="1627" w:left="1440" w:header="720"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21C8" w:rsidRDefault="007921C8">
      <w:r>
        <w:separator/>
      </w:r>
    </w:p>
  </w:endnote>
  <w:endnote w:type="continuationSeparator" w:id="0">
    <w:p w:rsidR="007921C8" w:rsidRDefault="007921C8">
      <w:r>
        <w:continuationSeparator/>
      </w:r>
    </w:p>
  </w:endnote>
  <w:endnote w:id="1">
    <w:p w:rsidR="005571BD" w:rsidRDefault="005571BD" w:rsidP="00C4126D">
      <w:pPr>
        <w:pStyle w:val="EndnoteText"/>
      </w:pPr>
      <w:r>
        <w:rPr>
          <w:rStyle w:val="EndnoteReference"/>
        </w:rPr>
        <w:endnoteRef/>
      </w:r>
      <w:r>
        <w:t xml:space="preserve"> </w:t>
      </w:r>
      <w:r w:rsidRPr="003C639A">
        <w:rPr>
          <w:i/>
        </w:rPr>
        <w:t>Gas Water Heaters - Volume III, Storage Water Heaters With Input Ratings Above 75,000 Btu Per Hour, Circulating and Instantaneous</w:t>
      </w:r>
      <w:r>
        <w:t xml:space="preserve">, </w:t>
      </w:r>
      <w:r w:rsidRPr="00F97C27">
        <w:t>ANSI Z21.10.3-2011/CSA 4.3-2011</w:t>
      </w:r>
      <w:r>
        <w:t xml:space="preserve"> (Replaces </w:t>
      </w:r>
      <w:r w:rsidRPr="00B779BB">
        <w:t>ANSI Z21.10.3-1998</w:t>
      </w:r>
      <w:r>
        <w:t>) (</w:t>
      </w:r>
      <w:hyperlink r:id="rId1" w:history="1">
        <w:r w:rsidRPr="00FA1E0B">
          <w:rPr>
            <w:rStyle w:val="Hyperlink"/>
          </w:rPr>
          <w:t>http://webstore.ansi.org/RecordDetail.aspx?sku=ANSI+Z21.10.3-2011%2FCSA+4.3-2011</w:t>
        </w:r>
      </w:hyperlink>
      <w:r>
        <w:t xml:space="preserve">).  </w:t>
      </w:r>
    </w:p>
    <w:p w:rsidR="005571BD" w:rsidRDefault="005571BD" w:rsidP="00C4126D">
      <w:pPr>
        <w:pStyle w:val="EndnoteText"/>
      </w:pPr>
    </w:p>
  </w:endnote>
  <w:endnote w:id="2">
    <w:p w:rsidR="005571BD" w:rsidRDefault="005571BD" w:rsidP="004D3539">
      <w:pPr>
        <w:pStyle w:val="EndnoteText"/>
      </w:pPr>
      <w:r>
        <w:rPr>
          <w:rStyle w:val="EndnoteReference"/>
        </w:rPr>
        <w:endnoteRef/>
      </w:r>
      <w:r>
        <w:t xml:space="preserve"> </w:t>
      </w:r>
      <w:r w:rsidRPr="00D860F7">
        <w:rPr>
          <w:i/>
        </w:rPr>
        <w:t>California Code of Regulations, Title 20. Public Utilities and Energy, Division 2. State Energy Resources Conservation and Development Commission</w:t>
      </w:r>
      <w:r w:rsidRPr="00D860F7">
        <w:t>, California Energy Commission, CEC-140-20</w:t>
      </w:r>
      <w:r>
        <w:t>12</w:t>
      </w:r>
      <w:r w:rsidRPr="00D860F7">
        <w:t>-00</w:t>
      </w:r>
      <w:r>
        <w:t>2</w:t>
      </w:r>
      <w:r w:rsidRPr="00D860F7">
        <w:t xml:space="preserve">, </w:t>
      </w:r>
      <w:r>
        <w:t>November</w:t>
      </w:r>
      <w:r w:rsidRPr="00D860F7">
        <w:t xml:space="preserve"> 20</w:t>
      </w:r>
      <w:r>
        <w:t>12 (</w:t>
      </w:r>
      <w:r w:rsidRPr="00D860F7">
        <w:t xml:space="preserve">Accessed </w:t>
      </w:r>
      <w:r>
        <w:t>July 24</w:t>
      </w:r>
      <w:r w:rsidRPr="00D860F7">
        <w:t>, 201</w:t>
      </w:r>
      <w:r>
        <w:t>3</w:t>
      </w:r>
      <w:r w:rsidRPr="00D860F7">
        <w:t xml:space="preserve"> at </w:t>
      </w:r>
      <w:hyperlink r:id="rId2" w:history="1">
        <w:r w:rsidRPr="00810B18">
          <w:rPr>
            <w:rStyle w:val="Hyperlink"/>
          </w:rPr>
          <w:t>http://www.energy.ca.gov/2012publications/CEC-140-2012-002/CEC-140-2012-002.pdf</w:t>
        </w:r>
      </w:hyperlink>
      <w:r>
        <w:t xml:space="preserve">.  </w:t>
      </w:r>
    </w:p>
    <w:p w:rsidR="005571BD" w:rsidRDefault="005571BD" w:rsidP="004D3539">
      <w:pPr>
        <w:pStyle w:val="EndnoteText"/>
      </w:pPr>
      <w:r>
        <w:object w:dxaOrig="155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7.45pt;height:50.25pt" o:ole="">
            <v:imagedata r:id="rId3" o:title=""/>
          </v:shape>
          <o:OLEObject Type="Embed" ProgID="AcroExch.Document.11" ShapeID="_x0000_i1033" DrawAspect="Icon" ObjectID="_1535192261" r:id="rId4"/>
        </w:object>
      </w:r>
    </w:p>
    <w:p w:rsidR="005571BD" w:rsidRDefault="005571BD" w:rsidP="004D3539">
      <w:pPr>
        <w:pStyle w:val="EndnoteText"/>
      </w:pPr>
    </w:p>
  </w:endnote>
  <w:endnote w:id="3">
    <w:p w:rsidR="005571BD" w:rsidRDefault="005571BD" w:rsidP="004D3539">
      <w:pPr>
        <w:pStyle w:val="EndnoteText"/>
      </w:pPr>
      <w:r>
        <w:rPr>
          <w:rStyle w:val="EndnoteReference"/>
        </w:rPr>
        <w:endnoteRef/>
      </w:r>
      <w:r>
        <w:t xml:space="preserve"> </w:t>
      </w:r>
      <w:r w:rsidRPr="00115942">
        <w:rPr>
          <w:i/>
        </w:rPr>
        <w:t>C</w:t>
      </w:r>
      <w:r>
        <w:rPr>
          <w:i/>
        </w:rPr>
        <w:t xml:space="preserve">alifornia </w:t>
      </w:r>
      <w:r w:rsidRPr="00115942">
        <w:rPr>
          <w:i/>
        </w:rPr>
        <w:t>E</w:t>
      </w:r>
      <w:r>
        <w:rPr>
          <w:i/>
        </w:rPr>
        <w:t xml:space="preserve">nergy </w:t>
      </w:r>
      <w:r w:rsidRPr="00115942">
        <w:rPr>
          <w:i/>
        </w:rPr>
        <w:t>C</w:t>
      </w:r>
      <w:r>
        <w:rPr>
          <w:i/>
        </w:rPr>
        <w:t>ommission</w:t>
      </w:r>
      <w:r w:rsidRPr="00115942">
        <w:rPr>
          <w:i/>
        </w:rPr>
        <w:t xml:space="preserve"> Appliance Efficiency Database</w:t>
      </w:r>
      <w:r>
        <w:t xml:space="preserve"> (Accessed March 7, 2012 at </w:t>
      </w:r>
      <w:hyperlink r:id="rId5" w:history="1">
        <w:r w:rsidRPr="00BB1FB8">
          <w:rPr>
            <w:rStyle w:val="Hyperlink"/>
          </w:rPr>
          <w:t>http://www.appliances.energy.ca.gov/AdvancedSearch.aspx</w:t>
        </w:r>
      </w:hyperlink>
      <w:r>
        <w:t xml:space="preserve">).  </w:t>
      </w:r>
    </w:p>
    <w:p w:rsidR="005571BD" w:rsidRDefault="005571BD" w:rsidP="004D3539">
      <w:pPr>
        <w:pStyle w:val="EndnoteText"/>
      </w:pPr>
    </w:p>
  </w:endnote>
  <w:endnote w:id="4">
    <w:p w:rsidR="005571BD" w:rsidRDefault="005571BD" w:rsidP="00C65AB5">
      <w:pPr>
        <w:pStyle w:val="EndnoteText"/>
      </w:pPr>
      <w:r>
        <w:rPr>
          <w:rStyle w:val="EndnoteReference"/>
        </w:rPr>
        <w:endnoteRef/>
      </w:r>
      <w:r>
        <w:t xml:space="preserve"> </w:t>
      </w:r>
      <w:sdt>
        <w:sdtPr>
          <w:id w:val="-1903974689"/>
          <w:citation/>
        </w:sdtPr>
        <w:sdtContent>
          <w:r>
            <w:fldChar w:fldCharType="begin"/>
          </w:r>
          <w:r>
            <w:instrText xml:space="preserve"> CITATION Cal11 \l 1033 </w:instrText>
          </w:r>
          <w:r>
            <w:fldChar w:fldCharType="separate"/>
          </w:r>
          <w:r>
            <w:rPr>
              <w:noProof/>
            </w:rPr>
            <w:t>(Team, 2011)</w:t>
          </w:r>
          <w:r>
            <w:fldChar w:fldCharType="end"/>
          </w:r>
        </w:sdtContent>
      </w:sdt>
    </w:p>
    <w:p w:rsidR="005571BD" w:rsidRDefault="005571BD" w:rsidP="00C65AB5">
      <w:pPr>
        <w:pStyle w:val="EndnoteText"/>
      </w:pPr>
      <w:hyperlink r:id="rId6" w:history="1">
        <w:r w:rsidRPr="00D76E74">
          <w:rPr>
            <w:rStyle w:val="Hyperlink"/>
          </w:rPr>
          <w:t>http://www.energy.ca.gov/title24/2013standards/prerulemaking/documents/current/Reports/Residential/Water_Heating/2013_CASE_WH2.WH5_WaterHeaterReady-10.28.2011.pdf</w:t>
        </w:r>
      </w:hyperlink>
    </w:p>
    <w:p w:rsidR="005571BD" w:rsidRDefault="005571BD" w:rsidP="00C65AB5">
      <w:pPr>
        <w:pStyle w:val="EndnoteText"/>
      </w:pPr>
    </w:p>
  </w:endnote>
  <w:endnote w:id="5">
    <w:p w:rsidR="005571BD" w:rsidRDefault="005571BD" w:rsidP="006B612B">
      <w:pPr>
        <w:pStyle w:val="EndnoteText"/>
      </w:pPr>
      <w:r>
        <w:rPr>
          <w:rStyle w:val="EndnoteReference"/>
        </w:rPr>
        <w:endnoteRef/>
      </w:r>
      <w:r>
        <w:t xml:space="preserve"> </w:t>
      </w:r>
      <w:r w:rsidRPr="00115942">
        <w:rPr>
          <w:i/>
        </w:rPr>
        <w:t>C</w:t>
      </w:r>
      <w:r>
        <w:rPr>
          <w:i/>
        </w:rPr>
        <w:t xml:space="preserve">alifornia </w:t>
      </w:r>
      <w:r w:rsidRPr="00115942">
        <w:rPr>
          <w:i/>
        </w:rPr>
        <w:t>E</w:t>
      </w:r>
      <w:r>
        <w:rPr>
          <w:i/>
        </w:rPr>
        <w:t xml:space="preserve">nergy </w:t>
      </w:r>
      <w:r w:rsidRPr="00115942">
        <w:rPr>
          <w:i/>
        </w:rPr>
        <w:t>C</w:t>
      </w:r>
      <w:r>
        <w:rPr>
          <w:i/>
        </w:rPr>
        <w:t>ommission</w:t>
      </w:r>
      <w:r w:rsidRPr="00115942">
        <w:rPr>
          <w:i/>
        </w:rPr>
        <w:t xml:space="preserve"> Appliance Efficiency Database</w:t>
      </w:r>
      <w:r>
        <w:t xml:space="preserve"> (Accessed March 7, 2012 at </w:t>
      </w:r>
      <w:hyperlink r:id="rId7" w:history="1">
        <w:r w:rsidRPr="00BB1FB8">
          <w:rPr>
            <w:rStyle w:val="Hyperlink"/>
          </w:rPr>
          <w:t>http://www.appliances.energy.ca.gov/AdvancedSearch.aspx</w:t>
        </w:r>
      </w:hyperlink>
      <w:r>
        <w:t xml:space="preserve">).  </w:t>
      </w:r>
    </w:p>
    <w:p w:rsidR="005571BD" w:rsidRDefault="005571BD" w:rsidP="006B612B">
      <w:pPr>
        <w:pStyle w:val="EndnoteText"/>
      </w:pPr>
    </w:p>
  </w:endnote>
  <w:endnote w:id="6">
    <w:p w:rsidR="005571BD" w:rsidRPr="003A1AA5" w:rsidRDefault="005571BD" w:rsidP="003A5ACA">
      <w:pPr>
        <w:pStyle w:val="EndnoteText"/>
        <w:rPr>
          <w:rFonts w:cs="Arial"/>
        </w:rPr>
      </w:pPr>
      <w:r>
        <w:rPr>
          <w:rStyle w:val="EndnoteReference"/>
        </w:rPr>
        <w:endnoteRef/>
      </w:r>
      <w:r>
        <w:t xml:space="preserve"> </w:t>
      </w:r>
      <w:r w:rsidRPr="00D55EAC">
        <w:rPr>
          <w:i/>
        </w:rPr>
        <w:t>DEER</w:t>
      </w:r>
      <w:r>
        <w:rPr>
          <w:i/>
        </w:rPr>
        <w:t>2013</w:t>
      </w:r>
      <w:r w:rsidRPr="00D55EAC">
        <w:rPr>
          <w:i/>
        </w:rPr>
        <w:t xml:space="preserve"> Database for Energy-Efficien</w:t>
      </w:r>
      <w:r>
        <w:rPr>
          <w:i/>
        </w:rPr>
        <w:t xml:space="preserve">cy </w:t>
      </w:r>
      <w:r w:rsidRPr="00D55EAC">
        <w:rPr>
          <w:i/>
        </w:rPr>
        <w:t>Resources</w:t>
      </w:r>
      <w:r>
        <w:t>, READI_v1.0.1, Updated for 2014 Codes (Accessed October 1</w:t>
      </w:r>
      <w:r w:rsidRPr="003A1AA5">
        <w:rPr>
          <w:rFonts w:cs="Arial"/>
        </w:rPr>
        <w:t>, 201</w:t>
      </w:r>
      <w:r>
        <w:rPr>
          <w:rFonts w:cs="Arial"/>
        </w:rPr>
        <w:t>3</w:t>
      </w:r>
      <w:r w:rsidRPr="003A1AA5">
        <w:rPr>
          <w:rFonts w:cs="Arial"/>
        </w:rPr>
        <w:t xml:space="preserve"> at </w:t>
      </w:r>
      <w:hyperlink r:id="rId8" w:history="1">
        <w:r w:rsidRPr="003A1AA5">
          <w:rPr>
            <w:rStyle w:val="Hyperlink"/>
            <w:rFonts w:cs="Arial"/>
          </w:rPr>
          <w:t>http://www.deeresources.com/</w:t>
        </w:r>
      </w:hyperlink>
      <w:r>
        <w:rPr>
          <w:rFonts w:cs="Arial"/>
        </w:rPr>
        <w:t xml:space="preserve">).  </w:t>
      </w:r>
    </w:p>
    <w:p w:rsidR="005571BD" w:rsidRDefault="005571BD" w:rsidP="003A5ACA">
      <w:pPr>
        <w:pStyle w:val="EndnoteText"/>
      </w:pPr>
    </w:p>
  </w:endnote>
  <w:endnote w:id="7">
    <w:p w:rsidR="005571BD" w:rsidRDefault="005571BD" w:rsidP="00E54914">
      <w:pPr>
        <w:pStyle w:val="EndnoteText"/>
      </w:pPr>
      <w:r>
        <w:rPr>
          <w:rStyle w:val="EndnoteReference"/>
        </w:rPr>
        <w:endnoteRef/>
      </w:r>
      <w:r>
        <w:t xml:space="preserve"> </w:t>
      </w:r>
      <w:sdt>
        <w:sdtPr>
          <w:id w:val="1651864427"/>
          <w:citation/>
        </w:sdtPr>
        <w:sdtContent>
          <w:r>
            <w:fldChar w:fldCharType="begin"/>
          </w:r>
          <w:r>
            <w:instrText xml:space="preserve"> CITATION DOE16 \l 1033 </w:instrText>
          </w:r>
          <w:r>
            <w:fldChar w:fldCharType="separate"/>
          </w:r>
          <w:r>
            <w:rPr>
              <w:noProof/>
            </w:rPr>
            <w:t>(DOE, Docket ID: EERE-2014-BT-STD-0042, 2016)</w:t>
          </w:r>
          <w:r>
            <w:fldChar w:fldCharType="end"/>
          </w:r>
        </w:sdtContent>
      </w:sdt>
    </w:p>
    <w:p w:rsidR="005571BD" w:rsidRDefault="005571BD" w:rsidP="00E54914">
      <w:pPr>
        <w:pStyle w:val="EndnoteText"/>
      </w:pPr>
      <w:hyperlink r:id="rId9" w:anchor="!docketDetail;D=EERE-2014-BT-STD-0042" w:history="1">
        <w:r w:rsidRPr="0019419E">
          <w:rPr>
            <w:rStyle w:val="Hyperlink"/>
          </w:rPr>
          <w:t>https://www.regulations.gov/#!docketDetail;D=EERE-2014-BT-STD-0042</w:t>
        </w:r>
      </w:hyperlink>
      <w:r>
        <w:t xml:space="preserve"> </w:t>
      </w:r>
    </w:p>
    <w:p w:rsidR="005571BD" w:rsidRDefault="005571BD" w:rsidP="00E54914">
      <w:pPr>
        <w:pStyle w:val="EndnoteText"/>
      </w:pPr>
    </w:p>
  </w:endnote>
  <w:endnote w:id="8">
    <w:p w:rsidR="005571BD" w:rsidRDefault="005571BD" w:rsidP="00E54914">
      <w:pPr>
        <w:pStyle w:val="EndnoteText"/>
        <w:rPr>
          <w:rStyle w:val="Hyperlink"/>
        </w:rPr>
      </w:pPr>
      <w:r>
        <w:rPr>
          <w:rStyle w:val="EndnoteReference"/>
        </w:rPr>
        <w:endnoteRef/>
      </w:r>
      <w:sdt>
        <w:sdtPr>
          <w:id w:val="-941690300"/>
          <w:citation/>
        </w:sdtPr>
        <w:sdtContent>
          <w:r>
            <w:fldChar w:fldCharType="begin"/>
          </w:r>
          <w:r>
            <w:instrText xml:space="preserve"> CITATION EUL \l 1033 </w:instrText>
          </w:r>
          <w:r>
            <w:fldChar w:fldCharType="separate"/>
          </w:r>
          <w:r>
            <w:rPr>
              <w:noProof/>
            </w:rPr>
            <w:t xml:space="preserve"> (EUL Table Update, 2014)</w:t>
          </w:r>
          <w:r>
            <w:fldChar w:fldCharType="end"/>
          </w:r>
        </w:sdtContent>
      </w:sdt>
      <w:r>
        <w:t>,</w:t>
      </w:r>
      <w:r w:rsidRPr="00016635">
        <w:t xml:space="preserve"> </w:t>
      </w:r>
      <w:hyperlink r:id="rId10" w:history="1">
        <w:r w:rsidRPr="00EF4940">
          <w:rPr>
            <w:rStyle w:val="Hyperlink"/>
          </w:rPr>
          <w:t>http://deeresources.com/files/DEER2013codeUpdate/download/DEER2014-EUL-table-update_2014-02-05.xlsx</w:t>
        </w:r>
      </w:hyperlink>
      <w:bookmarkStart w:id="64" w:name="_MON_1395044155"/>
      <w:bookmarkStart w:id="65" w:name="_MON_1395048722"/>
      <w:bookmarkEnd w:id="64"/>
      <w:bookmarkEnd w:id="65"/>
    </w:p>
    <w:p w:rsidR="005571BD" w:rsidRDefault="005571BD" w:rsidP="00E54914">
      <w:pPr>
        <w:pStyle w:val="EndnoteText"/>
      </w:pPr>
    </w:p>
  </w:endnote>
  <w:endnote w:id="9">
    <w:p w:rsidR="005571BD" w:rsidRDefault="005571BD" w:rsidP="00E54914">
      <w:pPr>
        <w:pStyle w:val="EndnoteText"/>
        <w:rPr>
          <w:rStyle w:val="Hyperlink"/>
        </w:rPr>
      </w:pPr>
      <w:r>
        <w:rPr>
          <w:rStyle w:val="EndnoteReference"/>
        </w:rPr>
        <w:endnoteRef/>
      </w:r>
      <w:r>
        <w:t xml:space="preserve"> </w:t>
      </w:r>
      <w:r w:rsidRPr="00005071">
        <w:t xml:space="preserve"> </w:t>
      </w:r>
      <w:sdt>
        <w:sdtPr>
          <w:id w:val="1436944735"/>
          <w:citation/>
        </w:sdtPr>
        <w:sdtContent>
          <w:r>
            <w:fldChar w:fldCharType="begin"/>
          </w:r>
          <w:r>
            <w:instrText xml:space="preserve"> CITATION NTG \l 1033 </w:instrText>
          </w:r>
          <w:r>
            <w:fldChar w:fldCharType="separate"/>
          </w:r>
          <w:r>
            <w:rPr>
              <w:noProof/>
            </w:rPr>
            <w:t>(DEER2011 Update Net-To-Gross table, 2012)</w:t>
          </w:r>
          <w:r>
            <w:fldChar w:fldCharType="end"/>
          </w:r>
        </w:sdtContent>
      </w:sdt>
      <w:r w:rsidRPr="00005071">
        <w:t xml:space="preserve">, </w:t>
      </w:r>
      <w:hyperlink r:id="rId11" w:history="1">
        <w:r w:rsidRPr="00EF4940">
          <w:rPr>
            <w:rStyle w:val="Hyperlink"/>
          </w:rPr>
          <w:t>http://deeresources.com/files/DEER2011/download/DEER2011_NTGR_2012-05-16.xls</w:t>
        </w:r>
      </w:hyperlink>
    </w:p>
    <w:p w:rsidR="005571BD" w:rsidRDefault="005571BD" w:rsidP="00E54914">
      <w:pPr>
        <w:pStyle w:val="EndnoteText"/>
      </w:pPr>
    </w:p>
  </w:endnote>
  <w:endnote w:id="10">
    <w:p w:rsidR="005571BD" w:rsidRDefault="005571BD" w:rsidP="00A653E0">
      <w:pPr>
        <w:pStyle w:val="EndnoteText"/>
      </w:pPr>
      <w:r>
        <w:rPr>
          <w:rStyle w:val="EndnoteReference"/>
        </w:rPr>
        <w:endnoteRef/>
      </w:r>
      <w:r>
        <w:t xml:space="preserve"> California Energy Commission Climate Zone Map, </w:t>
      </w:r>
      <w:hyperlink r:id="rId12" w:history="1">
        <w:r>
          <w:rPr>
            <w:rStyle w:val="Hyperlink"/>
          </w:rPr>
          <w:t>http://www.energy.ca.gov/maps/renewable/building_climate_zones.html</w:t>
        </w:r>
      </w:hyperlink>
      <w:r>
        <w:t>.</w:t>
      </w:r>
    </w:p>
    <w:p w:rsidR="005571BD" w:rsidRDefault="005571BD" w:rsidP="00A653E0">
      <w:pPr>
        <w:pStyle w:val="EndnoteText"/>
      </w:pPr>
    </w:p>
  </w:endnote>
  <w:endnote w:id="11">
    <w:p w:rsidR="005571BD" w:rsidRDefault="005571BD" w:rsidP="000671D9">
      <w:pPr>
        <w:pStyle w:val="EndnoteText"/>
      </w:pPr>
      <w:r>
        <w:rPr>
          <w:rStyle w:val="EndnoteReference"/>
        </w:rPr>
        <w:endnoteRef/>
      </w:r>
      <w:r>
        <w:t xml:space="preserve"> </w:t>
      </w:r>
      <w:r w:rsidRPr="000671D9">
        <w:rPr>
          <w:i/>
        </w:rPr>
        <w:t>2009 California Residential Appliance Saturation Study</w:t>
      </w:r>
      <w:r>
        <w:t>, by KEMA, Inc., for California Energy Commission, CEC</w:t>
      </w:r>
      <w:r>
        <w:rPr>
          <w:rFonts w:ascii="Cambria Math" w:hAnsi="Cambria Math" w:cs="Cambria Math"/>
        </w:rPr>
        <w:t>‐</w:t>
      </w:r>
      <w:r>
        <w:t xml:space="preserve"> 200</w:t>
      </w:r>
      <w:r>
        <w:rPr>
          <w:rFonts w:ascii="Cambria Math" w:hAnsi="Cambria Math" w:cs="Cambria Math"/>
        </w:rPr>
        <w:t>‐</w:t>
      </w:r>
      <w:r>
        <w:t xml:space="preserve"> 2010</w:t>
      </w:r>
      <w:r>
        <w:rPr>
          <w:rFonts w:ascii="Cambria Math" w:hAnsi="Cambria Math" w:cs="Cambria Math"/>
        </w:rPr>
        <w:t>‐</w:t>
      </w:r>
      <w:r>
        <w:t>004</w:t>
      </w:r>
      <w:r>
        <w:rPr>
          <w:rFonts w:ascii="Cambria Math" w:hAnsi="Cambria Math" w:cs="Cambria Math"/>
        </w:rPr>
        <w:t>‐</w:t>
      </w:r>
      <w:r>
        <w:t xml:space="preserve">ES, October 2010 (Accessed June 25, 2013 at </w:t>
      </w:r>
      <w:hyperlink r:id="rId13" w:history="1">
        <w:r w:rsidRPr="00810B18">
          <w:rPr>
            <w:rStyle w:val="Hyperlink"/>
          </w:rPr>
          <w:t>http://websafe.kemainc.com/rass2009/Default.aspx</w:t>
        </w:r>
      </w:hyperlink>
      <w:r>
        <w:t xml:space="preserve">).  </w:t>
      </w:r>
    </w:p>
    <w:p w:rsidR="005571BD" w:rsidRDefault="005571BD" w:rsidP="000671D9">
      <w:pPr>
        <w:pStyle w:val="EndnoteText"/>
      </w:pPr>
      <w:r>
        <w:object w:dxaOrig="1551" w:dyaOrig="1004">
          <v:shape id="_x0000_i1035" type="#_x0000_t75" style="width:77.45pt;height:50.25pt" o:ole="">
            <v:imagedata r:id="rId14" o:title=""/>
          </v:shape>
          <o:OLEObject Type="Embed" ProgID="AcroExch.Document.11" ShapeID="_x0000_i1035" DrawAspect="Icon" ObjectID="_1535192262" r:id="rId15"/>
        </w:object>
      </w:r>
    </w:p>
    <w:p w:rsidR="005571BD" w:rsidRDefault="005571BD" w:rsidP="000671D9">
      <w:pPr>
        <w:pStyle w:val="EndnoteText"/>
      </w:pPr>
    </w:p>
  </w:endnote>
  <w:endnote w:id="12">
    <w:p w:rsidR="005571BD" w:rsidRDefault="005571BD" w:rsidP="007A7754">
      <w:pPr>
        <w:pStyle w:val="EndnoteText"/>
      </w:pPr>
      <w:r>
        <w:rPr>
          <w:rStyle w:val="EndnoteReference"/>
        </w:rPr>
        <w:endnoteRef/>
      </w:r>
      <w:r>
        <w:t xml:space="preserve"> </w:t>
      </w:r>
      <w:sdt>
        <w:sdtPr>
          <w:id w:val="-921260648"/>
          <w:citation/>
        </w:sdtPr>
        <w:sdtContent>
          <w:r>
            <w:fldChar w:fldCharType="begin"/>
          </w:r>
          <w:r>
            <w:instrText xml:space="preserve"> CITATION DOE16 \l 1033 </w:instrText>
          </w:r>
          <w:r>
            <w:fldChar w:fldCharType="separate"/>
          </w:r>
          <w:r>
            <w:rPr>
              <w:noProof/>
            </w:rPr>
            <w:t>(DOE, Docket ID: EERE-2014-BT-STD-0042, 2016)</w:t>
          </w:r>
          <w:r>
            <w:fldChar w:fldCharType="end"/>
          </w:r>
        </w:sdtContent>
      </w:sdt>
    </w:p>
    <w:p w:rsidR="005571BD" w:rsidRDefault="005571BD" w:rsidP="007A7754">
      <w:pPr>
        <w:pStyle w:val="EndnoteText"/>
      </w:pPr>
      <w:hyperlink r:id="rId16" w:anchor="!docketDetail;D=EERE-2014-BT-STD-0042" w:history="1">
        <w:r w:rsidRPr="0019419E">
          <w:rPr>
            <w:rStyle w:val="Hyperlink"/>
          </w:rPr>
          <w:t>https://www.regulations.gov/#!docketDetail;D=EERE-2014-BT-STD-0042</w:t>
        </w:r>
      </w:hyperlink>
      <w:r>
        <w:t xml:space="preserve"> </w:t>
      </w:r>
    </w:p>
  </w:endnote>
  <w:endnote w:id="13">
    <w:p w:rsidR="005571BD" w:rsidRDefault="005571BD" w:rsidP="007A7754">
      <w:pPr>
        <w:pStyle w:val="EndnoteText"/>
      </w:pPr>
    </w:p>
    <w:p w:rsidR="005571BD" w:rsidRDefault="005571BD" w:rsidP="007A7754">
      <w:pPr>
        <w:pStyle w:val="EndnoteText"/>
      </w:pPr>
      <w:r>
        <w:rPr>
          <w:rStyle w:val="EndnoteReference"/>
        </w:rPr>
        <w:endnoteRef/>
      </w:r>
      <w:r>
        <w:t xml:space="preserve"> </w:t>
      </w:r>
      <w:sdt>
        <w:sdtPr>
          <w:id w:val="2143999575"/>
          <w:citation/>
        </w:sdtPr>
        <w:sdtContent>
          <w:r>
            <w:fldChar w:fldCharType="begin"/>
          </w:r>
          <w:r>
            <w:instrText xml:space="preserve"> CITATION MCS2010 \l 1033 </w:instrText>
          </w:r>
          <w:r>
            <w:fldChar w:fldCharType="separate"/>
          </w:r>
          <w:r>
            <w:rPr>
              <w:noProof/>
            </w:rPr>
            <w:t>(Itron, Inc, 2014)</w:t>
          </w:r>
          <w:r>
            <w:fldChar w:fldCharType="end"/>
          </w:r>
        </w:sdtContent>
      </w:sdt>
    </w:p>
    <w:p w:rsidR="005571BD" w:rsidRDefault="005571BD" w:rsidP="007A7754">
      <w:pPr>
        <w:pStyle w:val="EndnoteText"/>
      </w:pPr>
      <w:hyperlink r:id="rId17" w:history="1">
        <w:r w:rsidRPr="00500A22">
          <w:rPr>
            <w:rStyle w:val="Hyperlink"/>
          </w:rPr>
          <w:t>http://www.calmac.org/publications/2010-2012_WO017_Ex_Ante_Measure_Cost_Study_-_Final_Report.pdf</w:t>
        </w:r>
      </w:hyperlink>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Pr="00E47372" w:rsidRDefault="005571BD" w:rsidP="003F2BB3">
    <w:pPr>
      <w:pStyle w:val="Footer"/>
      <w:pBdr>
        <w:top w:val="single" w:sz="4" w:space="1" w:color="auto"/>
      </w:pBdr>
      <w:tabs>
        <w:tab w:val="clear" w:pos="4320"/>
        <w:tab w:val="clear" w:pos="8640"/>
        <w:tab w:val="center" w:pos="4680"/>
        <w:tab w:val="right" w:pos="9360"/>
        <w:tab w:val="center" w:pos="10800"/>
        <w:tab w:val="right" w:pos="2160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r>
    <w:r w:rsidRPr="00873DAD">
      <w:rPr>
        <w:b/>
      </w:rPr>
      <w:t>Mon D, YYYY</w:t>
    </w:r>
  </w:p>
  <w:p w:rsidR="005571BD" w:rsidRDefault="005571BD" w:rsidP="003F2BB3">
    <w:pPr>
      <w:pStyle w:val="Footer"/>
      <w:rPr>
        <w:b/>
      </w:rPr>
    </w:pPr>
    <w:r>
      <w:rPr>
        <w:b/>
      </w:rPr>
      <w:t>Southern California Gas Company</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Pr="00E47372" w:rsidRDefault="005571BD" w:rsidP="00B50897">
    <w:pPr>
      <w:pStyle w:val="Footer"/>
      <w:pBdr>
        <w:top w:val="single" w:sz="4" w:space="1" w:color="auto"/>
      </w:pBdr>
      <w:tabs>
        <w:tab w:val="clear" w:pos="4320"/>
        <w:tab w:val="clear" w:pos="8640"/>
        <w:tab w:val="center" w:pos="4770"/>
        <w:tab w:val="right" w:pos="9360"/>
      </w:tabs>
      <w:rPr>
        <w:b/>
      </w:rPr>
    </w:pPr>
    <w:r>
      <w:rPr>
        <w:b/>
      </w:rPr>
      <w:t>Workp</w:t>
    </w:r>
    <w:r w:rsidRPr="00E47372">
      <w:rPr>
        <w:b/>
      </w:rPr>
      <w:t xml:space="preserve">aper </w:t>
    </w:r>
    <w:r>
      <w:rPr>
        <w:b/>
      </w:rPr>
      <w:t>WPSCGREWH130613A, Revision 1</w:t>
    </w:r>
    <w:r>
      <w:rPr>
        <w:b/>
      </w:rPr>
      <w:tab/>
    </w:r>
    <w:r>
      <w:rPr>
        <w:rStyle w:val="PageNumber"/>
      </w:rPr>
      <w:fldChar w:fldCharType="begin"/>
    </w:r>
    <w:r>
      <w:rPr>
        <w:rStyle w:val="PageNumber"/>
      </w:rPr>
      <w:instrText xml:space="preserve"> PAGE </w:instrText>
    </w:r>
    <w:r>
      <w:rPr>
        <w:rStyle w:val="PageNumber"/>
      </w:rPr>
      <w:fldChar w:fldCharType="separate"/>
    </w:r>
    <w:r w:rsidR="00C217B8">
      <w:rPr>
        <w:rStyle w:val="PageNumber"/>
        <w:noProof/>
      </w:rPr>
      <w:t>12</w:t>
    </w:r>
    <w:r>
      <w:rPr>
        <w:rStyle w:val="PageNumber"/>
      </w:rPr>
      <w:fldChar w:fldCharType="end"/>
    </w:r>
    <w:r>
      <w:rPr>
        <w:b/>
      </w:rPr>
      <w:tab/>
    </w:r>
    <w:r w:rsidRPr="003846CE">
      <w:rPr>
        <w:b/>
      </w:rPr>
      <w:t>September 08, 2016</w:t>
    </w:r>
  </w:p>
  <w:p w:rsidR="005571BD" w:rsidRDefault="005571BD" w:rsidP="003F2BB3">
    <w:pPr>
      <w:pStyle w:val="Footer"/>
      <w:rPr>
        <w:b/>
      </w:rPr>
    </w:pPr>
    <w:r>
      <w:rPr>
        <w:b/>
      </w:rPr>
      <w:t>Southern California Gas Company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Default="005571BD" w:rsidP="003F2BB3">
    <w:pPr>
      <w:pStyle w:val="Footer"/>
      <w:tabs>
        <w:tab w:val="clear" w:pos="8640"/>
        <w:tab w:val="right" w:pos="936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Pr="00A74DB1" w:rsidRDefault="005571BD" w:rsidP="00B50897">
    <w:pPr>
      <w:pStyle w:val="Footer"/>
      <w:tabs>
        <w:tab w:val="clear" w:pos="8640"/>
        <w:tab w:val="right" w:pos="9360"/>
      </w:tabs>
      <w:jc w:val="right"/>
      <w:rPr>
        <w:rFonts w:cs="Arial"/>
        <w:b/>
        <w:sz w:val="28"/>
        <w:szCs w:val="28"/>
      </w:rPr>
    </w:pPr>
    <w:r>
      <w:rPr>
        <w:rFonts w:cs="Arial"/>
        <w:b/>
        <w:sz w:val="28"/>
        <w:szCs w:val="28"/>
      </w:rPr>
      <w:t>September 08, 2016</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Default="005571BD"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217B8">
      <w:rPr>
        <w:rStyle w:val="PageNumber"/>
        <w:noProof/>
      </w:rPr>
      <w:t>i</w:t>
    </w:r>
    <w:r>
      <w:rPr>
        <w:rStyle w:val="PageNumber"/>
      </w:rPr>
      <w:fldChar w:fldCharType="end"/>
    </w:r>
  </w:p>
  <w:p w:rsidR="005571BD" w:rsidRPr="00E47372" w:rsidRDefault="005571BD" w:rsidP="00B50897">
    <w:pPr>
      <w:pStyle w:val="Footer"/>
      <w:pBdr>
        <w:top w:val="single" w:sz="4" w:space="1" w:color="auto"/>
      </w:pBdr>
      <w:tabs>
        <w:tab w:val="clear" w:pos="4320"/>
        <w:tab w:val="clear" w:pos="8640"/>
        <w:tab w:val="center" w:pos="4680"/>
        <w:tab w:val="right" w:pos="9360"/>
      </w:tabs>
      <w:rPr>
        <w:b/>
      </w:rPr>
    </w:pPr>
    <w:r>
      <w:rPr>
        <w:b/>
      </w:rPr>
      <w:t>Workp</w:t>
    </w:r>
    <w:r w:rsidRPr="00E47372">
      <w:rPr>
        <w:b/>
      </w:rPr>
      <w:t xml:space="preserve">aper </w:t>
    </w:r>
    <w:r>
      <w:rPr>
        <w:b/>
      </w:rPr>
      <w:t>WPSCGREWH130613A</w:t>
    </w:r>
    <w:r w:rsidRPr="003846CE">
      <w:rPr>
        <w:b/>
      </w:rPr>
      <w:t>, Revision 1</w:t>
    </w:r>
    <w:r>
      <w:rPr>
        <w:b/>
      </w:rPr>
      <w:tab/>
    </w:r>
    <w:r>
      <w:rPr>
        <w:b/>
      </w:rPr>
      <w:tab/>
    </w:r>
    <w:r w:rsidRPr="003846CE">
      <w:rPr>
        <w:b/>
      </w:rPr>
      <w:t>September 08, 2016</w:t>
    </w:r>
  </w:p>
  <w:p w:rsidR="005571BD" w:rsidRDefault="005571BD" w:rsidP="003F2BB3">
    <w:pPr>
      <w:pStyle w:val="Footer"/>
      <w:rPr>
        <w:b/>
      </w:rPr>
    </w:pPr>
    <w:r>
      <w:rPr>
        <w:b/>
      </w:rPr>
      <w:t>Southern California Gas Company</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Pr="00E47372" w:rsidRDefault="005571BD" w:rsidP="00B50897">
    <w:pPr>
      <w:pStyle w:val="Footer"/>
      <w:pBdr>
        <w:top w:val="single" w:sz="4" w:space="1" w:color="auto"/>
      </w:pBdr>
      <w:tabs>
        <w:tab w:val="clear" w:pos="4320"/>
        <w:tab w:val="clear" w:pos="8640"/>
        <w:tab w:val="center" w:pos="6480"/>
        <w:tab w:val="right" w:pos="12960"/>
        <w:tab w:val="right" w:pos="2160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r>
    <w:r w:rsidRPr="00873DAD">
      <w:rPr>
        <w:b/>
      </w:rPr>
      <w:t>Mon D, YYYY</w:t>
    </w:r>
  </w:p>
  <w:p w:rsidR="005571BD" w:rsidRDefault="005571BD" w:rsidP="003F2BB3">
    <w:pPr>
      <w:pStyle w:val="Footer"/>
      <w:rPr>
        <w:b/>
      </w:rPr>
    </w:pPr>
    <w:r>
      <w:rPr>
        <w:b/>
      </w:rPr>
      <w:t>Southern California Gas Company</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Default="005571BD"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217B8">
      <w:rPr>
        <w:rStyle w:val="PageNumber"/>
        <w:noProof/>
      </w:rPr>
      <w:t>ii</w:t>
    </w:r>
    <w:r>
      <w:rPr>
        <w:rStyle w:val="PageNumber"/>
      </w:rPr>
      <w:fldChar w:fldCharType="end"/>
    </w:r>
  </w:p>
  <w:p w:rsidR="005571BD" w:rsidRPr="00E47372" w:rsidRDefault="005571BD" w:rsidP="00B50897">
    <w:pPr>
      <w:pStyle w:val="Footer"/>
      <w:pBdr>
        <w:top w:val="single" w:sz="4" w:space="1" w:color="auto"/>
      </w:pBdr>
      <w:tabs>
        <w:tab w:val="clear" w:pos="4320"/>
        <w:tab w:val="clear" w:pos="8640"/>
        <w:tab w:val="center" w:pos="6480"/>
        <w:tab w:val="right" w:pos="12960"/>
      </w:tabs>
      <w:rPr>
        <w:b/>
      </w:rPr>
    </w:pPr>
    <w:r>
      <w:rPr>
        <w:b/>
      </w:rPr>
      <w:t>Workp</w:t>
    </w:r>
    <w:r w:rsidRPr="00E47372">
      <w:rPr>
        <w:b/>
      </w:rPr>
      <w:t xml:space="preserve">aper </w:t>
    </w:r>
    <w:r>
      <w:rPr>
        <w:b/>
      </w:rPr>
      <w:t>WPSCGREWH130613A</w:t>
    </w:r>
    <w:r w:rsidRPr="003846CE">
      <w:rPr>
        <w:b/>
      </w:rPr>
      <w:t>, Revision 1</w:t>
    </w:r>
    <w:r>
      <w:rPr>
        <w:b/>
      </w:rPr>
      <w:tab/>
    </w:r>
    <w:r>
      <w:rPr>
        <w:b/>
      </w:rPr>
      <w:tab/>
    </w:r>
    <w:r w:rsidRPr="003846CE">
      <w:rPr>
        <w:b/>
      </w:rPr>
      <w:t>September 08, 2016</w:t>
    </w:r>
  </w:p>
  <w:p w:rsidR="005571BD" w:rsidRDefault="005571BD" w:rsidP="003F2BB3">
    <w:pPr>
      <w:pStyle w:val="Footer"/>
      <w:rPr>
        <w:b/>
      </w:rPr>
    </w:pPr>
    <w:r>
      <w:rPr>
        <w:b/>
      </w:rPr>
      <w:t>Southern California Gas Company</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Pr="00E47372" w:rsidRDefault="005571BD" w:rsidP="00B50897">
    <w:pPr>
      <w:pStyle w:val="Footer"/>
      <w:pBdr>
        <w:top w:val="single" w:sz="4" w:space="1" w:color="auto"/>
      </w:pBdr>
      <w:tabs>
        <w:tab w:val="clear" w:pos="4320"/>
        <w:tab w:val="clear" w:pos="8640"/>
        <w:tab w:val="center" w:pos="4680"/>
        <w:tab w:val="right" w:pos="936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iv</w:t>
    </w:r>
    <w:r>
      <w:rPr>
        <w:rStyle w:val="PageNumber"/>
      </w:rPr>
      <w:fldChar w:fldCharType="end"/>
    </w:r>
    <w:r>
      <w:rPr>
        <w:rStyle w:val="PageNumber"/>
      </w:rPr>
      <w:tab/>
    </w:r>
    <w:r w:rsidRPr="00873DAD">
      <w:rPr>
        <w:b/>
      </w:rPr>
      <w:t>Mon D, YYYY</w:t>
    </w:r>
  </w:p>
  <w:p w:rsidR="005571BD" w:rsidRDefault="005571BD" w:rsidP="003F2BB3">
    <w:pPr>
      <w:pStyle w:val="Footer"/>
      <w:rPr>
        <w:b/>
      </w:rPr>
    </w:pPr>
    <w:r>
      <w:rPr>
        <w:b/>
      </w:rPr>
      <w:t>Southern California Gas Company</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Default="005571BD"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217B8">
      <w:rPr>
        <w:rStyle w:val="PageNumber"/>
        <w:noProof/>
      </w:rPr>
      <w:t>iv</w:t>
    </w:r>
    <w:r>
      <w:rPr>
        <w:rStyle w:val="PageNumber"/>
      </w:rPr>
      <w:fldChar w:fldCharType="end"/>
    </w:r>
  </w:p>
  <w:p w:rsidR="005571BD" w:rsidRPr="00E47372" w:rsidRDefault="005571BD" w:rsidP="00B50897">
    <w:pPr>
      <w:pStyle w:val="Footer"/>
      <w:pBdr>
        <w:top w:val="single" w:sz="4" w:space="1" w:color="auto"/>
      </w:pBdr>
      <w:tabs>
        <w:tab w:val="clear" w:pos="4320"/>
        <w:tab w:val="clear" w:pos="8640"/>
        <w:tab w:val="center" w:pos="4680"/>
        <w:tab w:val="right" w:pos="9360"/>
      </w:tabs>
      <w:rPr>
        <w:b/>
      </w:rPr>
    </w:pPr>
    <w:r>
      <w:rPr>
        <w:b/>
      </w:rPr>
      <w:t>Workp</w:t>
    </w:r>
    <w:r w:rsidRPr="00E47372">
      <w:rPr>
        <w:b/>
      </w:rPr>
      <w:t xml:space="preserve">aper </w:t>
    </w:r>
    <w:r>
      <w:rPr>
        <w:b/>
      </w:rPr>
      <w:t>WPSCGREWH130613A</w:t>
    </w:r>
    <w:r w:rsidRPr="003846CE">
      <w:rPr>
        <w:b/>
      </w:rPr>
      <w:t>, Revision 1</w:t>
    </w:r>
    <w:r>
      <w:rPr>
        <w:b/>
      </w:rPr>
      <w:tab/>
    </w:r>
    <w:r>
      <w:rPr>
        <w:b/>
      </w:rPr>
      <w:tab/>
    </w:r>
    <w:r w:rsidRPr="003846CE">
      <w:rPr>
        <w:b/>
      </w:rPr>
      <w:t>September 08, 2016</w:t>
    </w:r>
  </w:p>
  <w:p w:rsidR="005571BD" w:rsidRDefault="005571BD" w:rsidP="003F2BB3">
    <w:pPr>
      <w:pStyle w:val="Footer"/>
      <w:rPr>
        <w:b/>
      </w:rPr>
    </w:pPr>
    <w:r>
      <w:rPr>
        <w:b/>
      </w:rPr>
      <w:t>Southern California Gas Company</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Pr="00E47372" w:rsidRDefault="005571BD" w:rsidP="003F2BB3">
    <w:pPr>
      <w:pStyle w:val="Footer"/>
      <w:pBdr>
        <w:top w:val="single" w:sz="4" w:space="1" w:color="auto"/>
      </w:pBdr>
      <w:tabs>
        <w:tab w:val="clear" w:pos="8640"/>
        <w:tab w:val="right" w:pos="936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b/>
      </w:rPr>
      <w:tab/>
    </w:r>
    <w:r w:rsidRPr="00873DAD">
      <w:rPr>
        <w:b/>
      </w:rPr>
      <w:t>Mon D, YYYY</w:t>
    </w:r>
  </w:p>
  <w:p w:rsidR="005571BD" w:rsidRDefault="005571BD" w:rsidP="003F2BB3">
    <w:pPr>
      <w:pStyle w:val="Footer"/>
      <w:rPr>
        <w:b/>
      </w:rPr>
    </w:pPr>
    <w:r>
      <w:rPr>
        <w:b/>
      </w:rPr>
      <w:t>Southern California Gas Company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21C8" w:rsidRDefault="007921C8">
      <w:r>
        <w:separator/>
      </w:r>
    </w:p>
  </w:footnote>
  <w:footnote w:type="continuationSeparator" w:id="0">
    <w:p w:rsidR="007921C8" w:rsidRDefault="007921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Default="005571BD">
    <w:pPr>
      <w:pStyle w:val="Header"/>
      <w:pBdr>
        <w:bottom w:val="single" w:sz="4" w:space="1" w:color="auto"/>
      </w:pBdr>
      <w:tabs>
        <w:tab w:val="clear" w:pos="8640"/>
        <w:tab w:val="right" w:pos="9360"/>
      </w:tabs>
    </w:pPr>
    <w:r>
      <w:rPr>
        <w:rFonts w:cs="Arial"/>
        <w:noProof/>
      </w:rPr>
      <w:drawing>
        <wp:inline distT="0" distB="0" distL="0" distR="0">
          <wp:extent cx="1647825" cy="476250"/>
          <wp:effectExtent l="19050" t="0" r="9525" b="0"/>
          <wp:docPr id="3" name="Picture 3"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5571BD" w:rsidRDefault="005571B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71BD" w:rsidRDefault="005571BD">
    <w:pPr>
      <w:pStyle w:val="Header"/>
      <w:pBdr>
        <w:bottom w:val="single" w:sz="4" w:space="1" w:color="auto"/>
      </w:pBdr>
      <w:tabs>
        <w:tab w:val="clear" w:pos="8640"/>
        <w:tab w:val="right" w:pos="9360"/>
      </w:tabs>
    </w:pPr>
    <w:r>
      <w:rPr>
        <w:rFonts w:cs="Arial"/>
      </w:rPr>
      <w:tab/>
    </w:r>
    <w:r>
      <w:rPr>
        <w:rFonts w:cs="Arial"/>
      </w:rPr>
      <w:tab/>
    </w:r>
    <w:r>
      <w:rPr>
        <w:rFonts w:cs="Arial"/>
        <w:noProof/>
      </w:rPr>
      <w:drawing>
        <wp:inline distT="0" distB="0" distL="0" distR="0">
          <wp:extent cx="1647825" cy="476250"/>
          <wp:effectExtent l="19050" t="0" r="9525" b="0"/>
          <wp:docPr id="4" name="Picture 4"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5571BD" w:rsidRDefault="005571B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E56F59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AC4447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B64F6D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E5B03FA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834E8E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1B8BE1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E40F1E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F2E0DC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E3834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CDA2B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1B2A69"/>
    <w:multiLevelType w:val="hybridMultilevel"/>
    <w:tmpl w:val="6D54B086"/>
    <w:lvl w:ilvl="0" w:tplc="CB3EA812">
      <w:numFmt w:val="bullet"/>
      <w:lvlText w:val=""/>
      <w:lvlJc w:val="left"/>
      <w:pPr>
        <w:ind w:left="720" w:hanging="360"/>
      </w:pPr>
      <w:rPr>
        <w:rFonts w:ascii="Wingdings" w:eastAsia="Batang"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5C19D9"/>
    <w:multiLevelType w:val="multilevel"/>
    <w:tmpl w:val="942E0EC8"/>
    <w:lvl w:ilvl="0">
      <w:start w:val="1"/>
      <w:numFmt w:val="decimal"/>
      <w:pStyle w:val="WPSCT"/>
      <w:suff w:val="nothing"/>
      <w:lvlText w:val="SECTION %1 - "/>
      <w:lvlJc w:val="left"/>
      <w:pPr>
        <w:ind w:left="1386" w:hanging="576"/>
      </w:pPr>
      <w:rPr>
        <w:rFonts w:ascii="Arial" w:hAnsi="Arial" w:hint="default"/>
        <w:b/>
        <w:i w:val="0"/>
        <w:sz w:val="20"/>
      </w:rPr>
    </w:lvl>
    <w:lvl w:ilvl="1">
      <w:start w:val="1"/>
      <w:numFmt w:val="decimalZero"/>
      <w:pStyle w:val="ART"/>
      <w:lvlText w:val="%1.%2"/>
      <w:lvlJc w:val="left"/>
      <w:pPr>
        <w:tabs>
          <w:tab w:val="num" w:pos="720"/>
        </w:tabs>
        <w:ind w:left="720" w:hanging="720"/>
      </w:pPr>
      <w:rPr>
        <w:rFonts w:hint="default"/>
        <w:b/>
        <w:i w:val="0"/>
      </w:rPr>
    </w:lvl>
    <w:lvl w:ilvl="2">
      <w:start w:val="1"/>
      <w:numFmt w:val="upperLetter"/>
      <w:pStyle w:val="PR1"/>
      <w:lvlText w:val="%3."/>
      <w:lvlJc w:val="left"/>
      <w:pPr>
        <w:tabs>
          <w:tab w:val="num" w:pos="1152"/>
        </w:tabs>
        <w:ind w:left="1152" w:hanging="432"/>
      </w:pPr>
      <w:rPr>
        <w:rFonts w:hint="default"/>
      </w:rPr>
    </w:lvl>
    <w:lvl w:ilvl="3">
      <w:start w:val="1"/>
      <w:numFmt w:val="decimal"/>
      <w:pStyle w:val="PR2"/>
      <w:lvlText w:val="%4."/>
      <w:lvlJc w:val="left"/>
      <w:pPr>
        <w:tabs>
          <w:tab w:val="num" w:pos="1584"/>
        </w:tabs>
        <w:ind w:left="1584" w:hanging="432"/>
      </w:pPr>
      <w:rPr>
        <w:rFonts w:ascii="Arial" w:hAnsi="Arial" w:hint="default"/>
        <w:b w:val="0"/>
        <w:i w:val="0"/>
        <w:sz w:val="20"/>
      </w:rPr>
    </w:lvl>
    <w:lvl w:ilvl="4">
      <w:start w:val="1"/>
      <w:numFmt w:val="lowerLetter"/>
      <w:pStyle w:val="PR3"/>
      <w:lvlText w:val="%5."/>
      <w:lvlJc w:val="left"/>
      <w:pPr>
        <w:tabs>
          <w:tab w:val="num" w:pos="2016"/>
        </w:tabs>
        <w:ind w:left="2016" w:hanging="432"/>
      </w:pPr>
      <w:rPr>
        <w:rFonts w:ascii="Arial" w:hAnsi="Arial" w:hint="default"/>
        <w:b w:val="0"/>
        <w:i w:val="0"/>
        <w:sz w:val="20"/>
      </w:rPr>
    </w:lvl>
    <w:lvl w:ilvl="5">
      <w:start w:val="1"/>
      <w:numFmt w:val="lowerRoman"/>
      <w:pStyle w:val="PR4"/>
      <w:lvlText w:val="%6."/>
      <w:lvlJc w:val="left"/>
      <w:pPr>
        <w:tabs>
          <w:tab w:val="num" w:pos="2736"/>
        </w:tabs>
        <w:ind w:left="2448" w:hanging="432"/>
      </w:pPr>
      <w:rPr>
        <w:rFonts w:ascii="Arial" w:hAnsi="Arial" w:hint="default"/>
        <w:b w:val="0"/>
        <w:i w:val="0"/>
        <w:sz w:val="20"/>
      </w:rPr>
    </w:lvl>
    <w:lvl w:ilvl="6">
      <w:start w:val="1"/>
      <w:numFmt w:val="lowerLetter"/>
      <w:pStyle w:val="PR5"/>
      <w:lvlText w:val="%7)"/>
      <w:lvlJc w:val="left"/>
      <w:pPr>
        <w:tabs>
          <w:tab w:val="num" w:pos="2880"/>
        </w:tabs>
        <w:ind w:left="2880" w:hanging="432"/>
      </w:pPr>
      <w:rPr>
        <w:rFonts w:ascii="Arial" w:hAnsi="Arial" w:hint="default"/>
        <w:b w:val="0"/>
        <w:i w:val="0"/>
        <w:sz w:val="20"/>
      </w:rPr>
    </w:lvl>
    <w:lvl w:ilvl="7">
      <w:start w:val="1"/>
      <w:numFmt w:val="lowerRoman"/>
      <w:pStyle w:val="PR6"/>
      <w:lvlText w:val="%8)"/>
      <w:lvlJc w:val="left"/>
      <w:pPr>
        <w:tabs>
          <w:tab w:val="num" w:pos="3600"/>
        </w:tabs>
        <w:ind w:left="3312" w:hanging="432"/>
      </w:pPr>
      <w:rPr>
        <w:rFonts w:ascii="Arial" w:hAnsi="Arial" w:hint="default"/>
        <w:b w:val="0"/>
        <w:i w:val="0"/>
        <w:sz w:val="20"/>
      </w:rPr>
    </w:lvl>
    <w:lvl w:ilvl="8">
      <w:start w:val="27"/>
      <w:numFmt w:val="lowerLetter"/>
      <w:pStyle w:val="PR7"/>
      <w:lvlText w:val="%9)"/>
      <w:lvlJc w:val="left"/>
      <w:pPr>
        <w:tabs>
          <w:tab w:val="num" w:pos="3744"/>
        </w:tabs>
        <w:ind w:left="3744" w:hanging="432"/>
      </w:pPr>
      <w:rPr>
        <w:rFonts w:ascii="Arial" w:hAnsi="Arial" w:hint="default"/>
        <w:b w:val="0"/>
        <w:i w:val="0"/>
        <w:sz w:val="20"/>
      </w:rPr>
    </w:lvl>
  </w:abstractNum>
  <w:abstractNum w:abstractNumId="12" w15:restartNumberingAfterBreak="0">
    <w:nsid w:val="1784557E"/>
    <w:multiLevelType w:val="multilevel"/>
    <w:tmpl w:val="EF8C615E"/>
    <w:lvl w:ilvl="0">
      <w:start w:val="1"/>
      <w:numFmt w:val="decimal"/>
      <w:lvlText w:val="Section %1."/>
      <w:lvlJc w:val="left"/>
      <w:pPr>
        <w:tabs>
          <w:tab w:val="num" w:pos="1440"/>
        </w:tabs>
        <w:ind w:left="1440" w:hanging="1440"/>
      </w:pPr>
      <w:rPr>
        <w:rFonts w:ascii="Arial" w:hAnsi="Arial" w:hint="default"/>
        <w:sz w:val="28"/>
      </w:rPr>
    </w:lvl>
    <w:lvl w:ilvl="1">
      <w:start w:val="1"/>
      <w:numFmt w:val="decimal"/>
      <w:pStyle w:val="PAR1"/>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22A95799"/>
    <w:multiLevelType w:val="hybridMultilevel"/>
    <w:tmpl w:val="CC206FC4"/>
    <w:lvl w:ilvl="0" w:tplc="E6E47C90">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336C6A50"/>
    <w:multiLevelType w:val="hybridMultilevel"/>
    <w:tmpl w:val="98A45550"/>
    <w:lvl w:ilvl="0" w:tplc="1D92EADC">
      <w:start w:val="84"/>
      <w:numFmt w:val="bullet"/>
      <w:lvlText w:val=""/>
      <w:lvlJc w:val="left"/>
      <w:pPr>
        <w:ind w:left="720" w:hanging="360"/>
      </w:pPr>
      <w:rPr>
        <w:rFonts w:ascii="Wingdings" w:eastAsia="Batang"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9F3EB5"/>
    <w:multiLevelType w:val="hybridMultilevel"/>
    <w:tmpl w:val="D780C4CC"/>
    <w:lvl w:ilvl="0" w:tplc="ED963822">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15:restartNumberingAfterBreak="0">
    <w:nsid w:val="49E516FF"/>
    <w:multiLevelType w:val="hybridMultilevel"/>
    <w:tmpl w:val="EDAEC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6430C4"/>
    <w:multiLevelType w:val="hybridMultilevel"/>
    <w:tmpl w:val="C7B401D2"/>
    <w:lvl w:ilvl="0" w:tplc="31CA7F00">
      <w:start w:val="1"/>
      <w:numFmt w:val="decimal"/>
      <w:pStyle w:val="FIG"/>
      <w:lvlText w:val="Figure %1 -"/>
      <w:lvlJc w:val="center"/>
      <w:pPr>
        <w:tabs>
          <w:tab w:val="num" w:pos="720"/>
        </w:tabs>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20023290" w:tentative="1">
      <w:start w:val="1"/>
      <w:numFmt w:val="lowerLetter"/>
      <w:lvlText w:val="%2."/>
      <w:lvlJc w:val="left"/>
      <w:pPr>
        <w:tabs>
          <w:tab w:val="num" w:pos="1440"/>
        </w:tabs>
        <w:ind w:left="1440" w:hanging="360"/>
      </w:pPr>
    </w:lvl>
    <w:lvl w:ilvl="2" w:tplc="4704E55A" w:tentative="1">
      <w:start w:val="1"/>
      <w:numFmt w:val="lowerRoman"/>
      <w:lvlText w:val="%3."/>
      <w:lvlJc w:val="right"/>
      <w:pPr>
        <w:tabs>
          <w:tab w:val="num" w:pos="2160"/>
        </w:tabs>
        <w:ind w:left="2160" w:hanging="180"/>
      </w:pPr>
    </w:lvl>
    <w:lvl w:ilvl="3" w:tplc="5578392C" w:tentative="1">
      <w:start w:val="1"/>
      <w:numFmt w:val="decimal"/>
      <w:lvlText w:val="%4."/>
      <w:lvlJc w:val="left"/>
      <w:pPr>
        <w:tabs>
          <w:tab w:val="num" w:pos="2880"/>
        </w:tabs>
        <w:ind w:left="2880" w:hanging="360"/>
      </w:pPr>
    </w:lvl>
    <w:lvl w:ilvl="4" w:tplc="BDD2CB94" w:tentative="1">
      <w:start w:val="1"/>
      <w:numFmt w:val="lowerLetter"/>
      <w:lvlText w:val="%5."/>
      <w:lvlJc w:val="left"/>
      <w:pPr>
        <w:tabs>
          <w:tab w:val="num" w:pos="3600"/>
        </w:tabs>
        <w:ind w:left="3600" w:hanging="360"/>
      </w:pPr>
    </w:lvl>
    <w:lvl w:ilvl="5" w:tplc="89C49758" w:tentative="1">
      <w:start w:val="1"/>
      <w:numFmt w:val="lowerRoman"/>
      <w:lvlText w:val="%6."/>
      <w:lvlJc w:val="right"/>
      <w:pPr>
        <w:tabs>
          <w:tab w:val="num" w:pos="4320"/>
        </w:tabs>
        <w:ind w:left="4320" w:hanging="180"/>
      </w:pPr>
    </w:lvl>
    <w:lvl w:ilvl="6" w:tplc="A34AF35C" w:tentative="1">
      <w:start w:val="1"/>
      <w:numFmt w:val="decimal"/>
      <w:lvlText w:val="%7."/>
      <w:lvlJc w:val="left"/>
      <w:pPr>
        <w:tabs>
          <w:tab w:val="num" w:pos="5040"/>
        </w:tabs>
        <w:ind w:left="5040" w:hanging="360"/>
      </w:pPr>
    </w:lvl>
    <w:lvl w:ilvl="7" w:tplc="CE3EDE72" w:tentative="1">
      <w:start w:val="1"/>
      <w:numFmt w:val="lowerLetter"/>
      <w:lvlText w:val="%8."/>
      <w:lvlJc w:val="left"/>
      <w:pPr>
        <w:tabs>
          <w:tab w:val="num" w:pos="5760"/>
        </w:tabs>
        <w:ind w:left="5760" w:hanging="360"/>
      </w:pPr>
    </w:lvl>
    <w:lvl w:ilvl="8" w:tplc="4CFE126E" w:tentative="1">
      <w:start w:val="1"/>
      <w:numFmt w:val="lowerRoman"/>
      <w:lvlText w:val="%9."/>
      <w:lvlJc w:val="right"/>
      <w:pPr>
        <w:tabs>
          <w:tab w:val="num" w:pos="6480"/>
        </w:tabs>
        <w:ind w:left="6480" w:hanging="180"/>
      </w:pPr>
    </w:lvl>
  </w:abstractNum>
  <w:abstractNum w:abstractNumId="18" w15:restartNumberingAfterBreak="0">
    <w:nsid w:val="502B57D4"/>
    <w:multiLevelType w:val="hybridMultilevel"/>
    <w:tmpl w:val="53704F46"/>
    <w:lvl w:ilvl="0" w:tplc="04090015">
      <w:start w:val="1"/>
      <w:numFmt w:val="upperLetter"/>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19" w15:restartNumberingAfterBreak="0">
    <w:nsid w:val="525250B9"/>
    <w:multiLevelType w:val="hybridMultilevel"/>
    <w:tmpl w:val="9E84D862"/>
    <w:lvl w:ilvl="0" w:tplc="4DA423CC">
      <w:start w:val="1"/>
      <w:numFmt w:val="decimal"/>
      <w:lvlText w:val="Figure %1 -"/>
      <w:lvlJc w:val="center"/>
      <w:pPr>
        <w:tabs>
          <w:tab w:val="num" w:pos="720"/>
        </w:tabs>
        <w:ind w:left="0" w:firstLine="0"/>
      </w:pPr>
      <w:rPr>
        <w:rFonts w:ascii="Arial" w:hAnsi="Arial"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E21731C"/>
    <w:multiLevelType w:val="hybridMultilevel"/>
    <w:tmpl w:val="9EDCD1E6"/>
    <w:lvl w:ilvl="0" w:tplc="D488DE60">
      <w:start w:val="1"/>
      <w:numFmt w:val="decimal"/>
      <w:pStyle w:val="TBL"/>
      <w:lvlText w:val="Table %1 - "/>
      <w:lvlJc w:val="left"/>
      <w:pPr>
        <w:ind w:left="108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0C451F"/>
    <w:multiLevelType w:val="hybridMultilevel"/>
    <w:tmpl w:val="D780C4CC"/>
    <w:lvl w:ilvl="0" w:tplc="ED963822">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65A12FE7"/>
    <w:multiLevelType w:val="multilevel"/>
    <w:tmpl w:val="943A1D90"/>
    <w:lvl w:ilvl="0">
      <w:start w:val="1"/>
      <w:numFmt w:val="decimal"/>
      <w:suff w:val="nothing"/>
      <w:lvlText w:val="PART %1 - "/>
      <w:lvlJc w:val="left"/>
      <w:pPr>
        <w:ind w:left="576" w:hanging="576"/>
      </w:pPr>
      <w:rPr>
        <w:rFonts w:ascii="Arial" w:hAnsi="Arial" w:hint="default"/>
        <w:b/>
        <w:i w:val="0"/>
        <w:sz w:val="20"/>
      </w:rPr>
    </w:lvl>
    <w:lvl w:ilvl="1">
      <w:start w:val="1"/>
      <w:numFmt w:val="decimalZero"/>
      <w:pStyle w:val="SEC"/>
      <w:lvlText w:val="%1.%2"/>
      <w:lvlJc w:val="left"/>
      <w:pPr>
        <w:tabs>
          <w:tab w:val="num" w:pos="720"/>
        </w:tabs>
        <w:ind w:left="720" w:hanging="720"/>
      </w:pPr>
      <w:rPr>
        <w:rFonts w:hint="default"/>
        <w:b/>
        <w:i w:val="0"/>
      </w:rPr>
    </w:lvl>
    <w:lvl w:ilvl="2">
      <w:start w:val="1"/>
      <w:numFmt w:val="upperLetter"/>
      <w:lvlText w:val="%3."/>
      <w:lvlJc w:val="left"/>
      <w:pPr>
        <w:tabs>
          <w:tab w:val="num" w:pos="1152"/>
        </w:tabs>
        <w:ind w:left="1152" w:hanging="432"/>
      </w:pPr>
      <w:rPr>
        <w:rFonts w:hint="default"/>
      </w:rPr>
    </w:lvl>
    <w:lvl w:ilvl="3">
      <w:start w:val="1"/>
      <w:numFmt w:val="decimal"/>
      <w:lvlText w:val="%4."/>
      <w:lvlJc w:val="left"/>
      <w:pPr>
        <w:tabs>
          <w:tab w:val="num" w:pos="1584"/>
        </w:tabs>
        <w:ind w:left="1584" w:hanging="432"/>
      </w:pPr>
      <w:rPr>
        <w:rFonts w:ascii="Arial" w:hAnsi="Arial" w:hint="default"/>
        <w:b w:val="0"/>
        <w:i w:val="0"/>
        <w:sz w:val="20"/>
      </w:rPr>
    </w:lvl>
    <w:lvl w:ilvl="4">
      <w:start w:val="1"/>
      <w:numFmt w:val="lowerLetter"/>
      <w:lvlText w:val="%5."/>
      <w:lvlJc w:val="left"/>
      <w:pPr>
        <w:tabs>
          <w:tab w:val="num" w:pos="2016"/>
        </w:tabs>
        <w:ind w:left="2016" w:hanging="432"/>
      </w:pPr>
      <w:rPr>
        <w:rFonts w:ascii="Arial" w:hAnsi="Arial" w:hint="default"/>
        <w:b w:val="0"/>
        <w:i w:val="0"/>
        <w:sz w:val="20"/>
      </w:rPr>
    </w:lvl>
    <w:lvl w:ilvl="5">
      <w:start w:val="1"/>
      <w:numFmt w:val="lowerRoman"/>
      <w:lvlText w:val="%6."/>
      <w:lvlJc w:val="left"/>
      <w:pPr>
        <w:tabs>
          <w:tab w:val="num" w:pos="2736"/>
        </w:tabs>
        <w:ind w:left="2448" w:hanging="432"/>
      </w:pPr>
      <w:rPr>
        <w:rFonts w:ascii="Arial" w:hAnsi="Arial" w:hint="default"/>
        <w:b w:val="0"/>
        <w:i w:val="0"/>
        <w:sz w:val="20"/>
      </w:rPr>
    </w:lvl>
    <w:lvl w:ilvl="6">
      <w:start w:val="1"/>
      <w:numFmt w:val="lowerLetter"/>
      <w:lvlText w:val="%7)"/>
      <w:lvlJc w:val="left"/>
      <w:pPr>
        <w:tabs>
          <w:tab w:val="num" w:pos="2880"/>
        </w:tabs>
        <w:ind w:left="2880" w:hanging="432"/>
      </w:pPr>
      <w:rPr>
        <w:rFonts w:ascii="Arial" w:hAnsi="Arial" w:hint="default"/>
        <w:b w:val="0"/>
        <w:i w:val="0"/>
        <w:sz w:val="20"/>
      </w:rPr>
    </w:lvl>
    <w:lvl w:ilvl="7">
      <w:start w:val="1"/>
      <w:numFmt w:val="lowerRoman"/>
      <w:lvlText w:val="%8)"/>
      <w:lvlJc w:val="left"/>
      <w:pPr>
        <w:tabs>
          <w:tab w:val="num" w:pos="3600"/>
        </w:tabs>
        <w:ind w:left="3312" w:hanging="432"/>
      </w:pPr>
      <w:rPr>
        <w:rFonts w:ascii="Arial" w:hAnsi="Arial" w:hint="default"/>
        <w:b w:val="0"/>
        <w:i w:val="0"/>
        <w:sz w:val="20"/>
      </w:rPr>
    </w:lvl>
    <w:lvl w:ilvl="8">
      <w:start w:val="27"/>
      <w:numFmt w:val="lowerLetter"/>
      <w:lvlText w:val="%9)"/>
      <w:lvlJc w:val="left"/>
      <w:pPr>
        <w:tabs>
          <w:tab w:val="num" w:pos="3744"/>
        </w:tabs>
        <w:ind w:left="3744" w:hanging="432"/>
      </w:pPr>
      <w:rPr>
        <w:rFonts w:ascii="Arial" w:hAnsi="Arial" w:hint="default"/>
        <w:b w:val="0"/>
        <w:i w:val="0"/>
        <w:sz w:val="20"/>
      </w:rPr>
    </w:lvl>
  </w:abstractNum>
  <w:abstractNum w:abstractNumId="23" w15:restartNumberingAfterBreak="0">
    <w:nsid w:val="6AA5122D"/>
    <w:multiLevelType w:val="hybridMultilevel"/>
    <w:tmpl w:val="ACCEFE4E"/>
    <w:lvl w:ilvl="0" w:tplc="63727B60">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15:restartNumberingAfterBreak="0">
    <w:nsid w:val="6BA61F97"/>
    <w:multiLevelType w:val="hybridMultilevel"/>
    <w:tmpl w:val="47725326"/>
    <w:lvl w:ilvl="0" w:tplc="04090015">
      <w:start w:val="1"/>
      <w:numFmt w:val="upperLetter"/>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25" w15:restartNumberingAfterBreak="0">
    <w:nsid w:val="705E11E2"/>
    <w:multiLevelType w:val="hybridMultilevel"/>
    <w:tmpl w:val="84808070"/>
    <w:lvl w:ilvl="0" w:tplc="04090015">
      <w:start w:val="1"/>
      <w:numFmt w:val="upperLetter"/>
      <w:lvlText w:val="%1."/>
      <w:lvlJc w:val="left"/>
      <w:pPr>
        <w:ind w:left="1872" w:hanging="360"/>
      </w:p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26" w15:restartNumberingAfterBreak="0">
    <w:nsid w:val="717F597A"/>
    <w:multiLevelType w:val="hybridMultilevel"/>
    <w:tmpl w:val="6DBE9690"/>
    <w:lvl w:ilvl="0" w:tplc="E6E47C90">
      <w:start w:val="1"/>
      <w:numFmt w:val="decimal"/>
      <w:lvlText w:val="Table %1 -"/>
      <w:lvlJc w:val="left"/>
      <w:pPr>
        <w:tabs>
          <w:tab w:val="num" w:pos="1620"/>
        </w:tabs>
        <w:ind w:left="1620" w:hanging="360"/>
      </w:pPr>
      <w:rPr>
        <w:rFonts w:ascii="Arial" w:hAnsi="Arial" w:hint="default"/>
        <w:b/>
        <w:i w:val="0"/>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15:restartNumberingAfterBreak="0">
    <w:nsid w:val="72B848A4"/>
    <w:multiLevelType w:val="singleLevel"/>
    <w:tmpl w:val="452E5236"/>
    <w:lvl w:ilvl="0">
      <w:start w:val="1"/>
      <w:numFmt w:val="decimal"/>
      <w:pStyle w:val="Style3"/>
      <w:lvlText w:val="%1."/>
      <w:legacy w:legacy="1" w:legacySpace="0" w:legacyIndent="0"/>
      <w:lvlJc w:val="left"/>
      <w:rPr>
        <w:rFonts w:cs="Times New Roman"/>
      </w:rPr>
    </w:lvl>
  </w:abstractNum>
  <w:num w:numId="1">
    <w:abstractNumId w:val="11"/>
  </w:num>
  <w:num w:numId="2">
    <w:abstractNumId w:val="17"/>
  </w:num>
  <w:num w:numId="3">
    <w:abstractNumId w:val="27"/>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2"/>
  </w:num>
  <w:num w:numId="15">
    <w:abstractNumId w:val="22"/>
  </w:num>
  <w:num w:numId="16">
    <w:abstractNumId w:val="11"/>
  </w:num>
  <w:num w:numId="17">
    <w:abstractNumId w:val="11"/>
  </w:num>
  <w:num w:numId="18">
    <w:abstractNumId w:val="11"/>
  </w:num>
  <w:num w:numId="19">
    <w:abstractNumId w:val="11"/>
  </w:num>
  <w:num w:numId="20">
    <w:abstractNumId w:val="11"/>
  </w:num>
  <w:num w:numId="21">
    <w:abstractNumId w:val="11"/>
  </w:num>
  <w:num w:numId="22">
    <w:abstractNumId w:val="11"/>
  </w:num>
  <w:num w:numId="23">
    <w:abstractNumId w:val="11"/>
  </w:num>
  <w:num w:numId="24">
    <w:abstractNumId w:val="21"/>
  </w:num>
  <w:num w:numId="25">
    <w:abstractNumId w:val="11"/>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37">
    <w:abstractNumId w:val="23"/>
  </w:num>
  <w:num w:numId="38">
    <w:abstractNumId w:val="19"/>
  </w:num>
  <w:num w:numId="39">
    <w:abstractNumId w:val="14"/>
  </w:num>
  <w:num w:numId="40">
    <w:abstractNumId w:val="13"/>
  </w:num>
  <w:num w:numId="41">
    <w:abstractNumId w:val="15"/>
  </w:num>
  <w:num w:numId="42">
    <w:abstractNumId w:val="20"/>
  </w:num>
  <w:num w:numId="43">
    <w:abstractNumId w:val="10"/>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46">
    <w:abstractNumId w:val="11"/>
  </w:num>
  <w:num w:numId="47">
    <w:abstractNumId w:val="11"/>
  </w:num>
  <w:num w:numId="48">
    <w:abstractNumId w:val="25"/>
  </w:num>
  <w:num w:numId="49">
    <w:abstractNumId w:val="18"/>
  </w:num>
  <w:num w:numId="50">
    <w:abstractNumId w:val="24"/>
  </w:num>
  <w:num w:numId="51">
    <w:abstractNumId w:val="11"/>
  </w:num>
  <w:num w:numId="52">
    <w:abstractNumId w:val="11"/>
  </w:num>
  <w:num w:numId="53">
    <w:abstractNumId w:val="11"/>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55">
    <w:abstractNumId w:val="17"/>
  </w:num>
  <w:num w:numId="56">
    <w:abstractNumId w:val="17"/>
  </w:num>
  <w:num w:numId="57">
    <w:abstractNumId w:val="20"/>
  </w:num>
  <w:num w:numId="58">
    <w:abstractNumId w:val="17"/>
  </w:num>
  <w:num w:numId="59">
    <w:abstractNumId w:val="11"/>
  </w:num>
  <w:num w:numId="60">
    <w:abstractNumId w:val="11"/>
  </w:num>
  <w:num w:numId="61">
    <w:abstractNumId w:val="17"/>
  </w:num>
  <w:num w:numId="62">
    <w:abstractNumId w:val="17"/>
  </w:num>
  <w:num w:numId="63">
    <w:abstractNumId w:val="17"/>
  </w:num>
  <w:num w:numId="64">
    <w:abstractNumId w:val="16"/>
  </w:num>
  <w:num w:numId="65">
    <w:abstractNumId w:val="26"/>
  </w:num>
  <w:num w:numId="66">
    <w:abstractNumId w:val="17"/>
    <w:lvlOverride w:ilvl="0">
      <w:startOverride w:val="1"/>
    </w:lvlOverride>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autoHyphenation/>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w:hdrShapeDefaults>
  <w:footnotePr>
    <w:footnote w:id="-1"/>
    <w:footnote w:id="0"/>
  </w:footnotePr>
  <w:endnotePr>
    <w:pos w:val="sectEnd"/>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4435"/>
    <w:rsid w:val="000019A7"/>
    <w:rsid w:val="00006C52"/>
    <w:rsid w:val="00011BD0"/>
    <w:rsid w:val="000163BA"/>
    <w:rsid w:val="00016FCA"/>
    <w:rsid w:val="0002040E"/>
    <w:rsid w:val="00031327"/>
    <w:rsid w:val="00042CD0"/>
    <w:rsid w:val="000512FB"/>
    <w:rsid w:val="00051F99"/>
    <w:rsid w:val="000529F2"/>
    <w:rsid w:val="00063D39"/>
    <w:rsid w:val="00065305"/>
    <w:rsid w:val="000671D9"/>
    <w:rsid w:val="000747F3"/>
    <w:rsid w:val="00074C37"/>
    <w:rsid w:val="0007541B"/>
    <w:rsid w:val="00076EE3"/>
    <w:rsid w:val="00081E03"/>
    <w:rsid w:val="00084C33"/>
    <w:rsid w:val="000862C0"/>
    <w:rsid w:val="00086EA3"/>
    <w:rsid w:val="000907A6"/>
    <w:rsid w:val="000941F2"/>
    <w:rsid w:val="0009661E"/>
    <w:rsid w:val="00097B5D"/>
    <w:rsid w:val="000B1D00"/>
    <w:rsid w:val="000B3D84"/>
    <w:rsid w:val="000B62B2"/>
    <w:rsid w:val="000B6DCF"/>
    <w:rsid w:val="000C06BB"/>
    <w:rsid w:val="000C0C56"/>
    <w:rsid w:val="000C3DD5"/>
    <w:rsid w:val="000D037D"/>
    <w:rsid w:val="000D07B1"/>
    <w:rsid w:val="000D537A"/>
    <w:rsid w:val="000D5E5B"/>
    <w:rsid w:val="000E1B3F"/>
    <w:rsid w:val="000E398F"/>
    <w:rsid w:val="000E58C4"/>
    <w:rsid w:val="000E5AD0"/>
    <w:rsid w:val="000E6FF9"/>
    <w:rsid w:val="000F26B7"/>
    <w:rsid w:val="000F319E"/>
    <w:rsid w:val="000F48BD"/>
    <w:rsid w:val="001021E8"/>
    <w:rsid w:val="001131B7"/>
    <w:rsid w:val="001172DE"/>
    <w:rsid w:val="00117558"/>
    <w:rsid w:val="0012258A"/>
    <w:rsid w:val="00124117"/>
    <w:rsid w:val="00124FAF"/>
    <w:rsid w:val="00131F8C"/>
    <w:rsid w:val="001416E7"/>
    <w:rsid w:val="00143ABD"/>
    <w:rsid w:val="00144D55"/>
    <w:rsid w:val="00146557"/>
    <w:rsid w:val="00152B8C"/>
    <w:rsid w:val="00152D97"/>
    <w:rsid w:val="00154720"/>
    <w:rsid w:val="00154904"/>
    <w:rsid w:val="00154A45"/>
    <w:rsid w:val="00172A6E"/>
    <w:rsid w:val="00172E5F"/>
    <w:rsid w:val="00176619"/>
    <w:rsid w:val="00176E8E"/>
    <w:rsid w:val="00180F60"/>
    <w:rsid w:val="001821C0"/>
    <w:rsid w:val="001868A4"/>
    <w:rsid w:val="00186B46"/>
    <w:rsid w:val="00194B40"/>
    <w:rsid w:val="0019507E"/>
    <w:rsid w:val="00195C65"/>
    <w:rsid w:val="001A36F6"/>
    <w:rsid w:val="001A75DA"/>
    <w:rsid w:val="001B0F08"/>
    <w:rsid w:val="001B7658"/>
    <w:rsid w:val="001C094F"/>
    <w:rsid w:val="001C35BE"/>
    <w:rsid w:val="001C55C0"/>
    <w:rsid w:val="001C644E"/>
    <w:rsid w:val="001C7496"/>
    <w:rsid w:val="001E027B"/>
    <w:rsid w:val="001E690B"/>
    <w:rsid w:val="001F2AA9"/>
    <w:rsid w:val="001F63EC"/>
    <w:rsid w:val="001F7412"/>
    <w:rsid w:val="0020351D"/>
    <w:rsid w:val="0021125B"/>
    <w:rsid w:val="00212225"/>
    <w:rsid w:val="002135E5"/>
    <w:rsid w:val="002160A4"/>
    <w:rsid w:val="002163B2"/>
    <w:rsid w:val="00221B0F"/>
    <w:rsid w:val="0022514F"/>
    <w:rsid w:val="002267D3"/>
    <w:rsid w:val="00235288"/>
    <w:rsid w:val="00242C35"/>
    <w:rsid w:val="00245BAD"/>
    <w:rsid w:val="002569B3"/>
    <w:rsid w:val="00270FF4"/>
    <w:rsid w:val="00274B65"/>
    <w:rsid w:val="00283CE4"/>
    <w:rsid w:val="00283F05"/>
    <w:rsid w:val="00284730"/>
    <w:rsid w:val="00286E8D"/>
    <w:rsid w:val="00291747"/>
    <w:rsid w:val="0029245C"/>
    <w:rsid w:val="00297C4B"/>
    <w:rsid w:val="002A726B"/>
    <w:rsid w:val="002A79BE"/>
    <w:rsid w:val="002B221C"/>
    <w:rsid w:val="002C33A1"/>
    <w:rsid w:val="002C6AD0"/>
    <w:rsid w:val="002C6E2D"/>
    <w:rsid w:val="002C715F"/>
    <w:rsid w:val="002D0308"/>
    <w:rsid w:val="002D466A"/>
    <w:rsid w:val="002D6344"/>
    <w:rsid w:val="002D6373"/>
    <w:rsid w:val="002E22F3"/>
    <w:rsid w:val="002E6914"/>
    <w:rsid w:val="002E78F4"/>
    <w:rsid w:val="002F15B0"/>
    <w:rsid w:val="002F29DD"/>
    <w:rsid w:val="003027A8"/>
    <w:rsid w:val="00303D9E"/>
    <w:rsid w:val="00306067"/>
    <w:rsid w:val="00306BD0"/>
    <w:rsid w:val="00310BC9"/>
    <w:rsid w:val="00310F01"/>
    <w:rsid w:val="003205D2"/>
    <w:rsid w:val="00326AF4"/>
    <w:rsid w:val="00326D55"/>
    <w:rsid w:val="00327E51"/>
    <w:rsid w:val="0034066D"/>
    <w:rsid w:val="00340C5A"/>
    <w:rsid w:val="00350153"/>
    <w:rsid w:val="0035327F"/>
    <w:rsid w:val="0035517C"/>
    <w:rsid w:val="00365A6F"/>
    <w:rsid w:val="00367A52"/>
    <w:rsid w:val="00371742"/>
    <w:rsid w:val="00373F7C"/>
    <w:rsid w:val="00374201"/>
    <w:rsid w:val="003758D9"/>
    <w:rsid w:val="00383A29"/>
    <w:rsid w:val="003846CE"/>
    <w:rsid w:val="00385429"/>
    <w:rsid w:val="003877F8"/>
    <w:rsid w:val="00390A5C"/>
    <w:rsid w:val="003910E5"/>
    <w:rsid w:val="003A2A19"/>
    <w:rsid w:val="003A5ACA"/>
    <w:rsid w:val="003B6F0C"/>
    <w:rsid w:val="003B74F4"/>
    <w:rsid w:val="003C1867"/>
    <w:rsid w:val="003C639A"/>
    <w:rsid w:val="003C679B"/>
    <w:rsid w:val="003D1DE4"/>
    <w:rsid w:val="003D37B4"/>
    <w:rsid w:val="003D5CE3"/>
    <w:rsid w:val="003E2E47"/>
    <w:rsid w:val="003E42D4"/>
    <w:rsid w:val="003F0619"/>
    <w:rsid w:val="003F2BB3"/>
    <w:rsid w:val="003F3E17"/>
    <w:rsid w:val="003F5BF4"/>
    <w:rsid w:val="003F6B31"/>
    <w:rsid w:val="0041119B"/>
    <w:rsid w:val="00413A0F"/>
    <w:rsid w:val="00425D2F"/>
    <w:rsid w:val="0043324C"/>
    <w:rsid w:val="00435117"/>
    <w:rsid w:val="00441123"/>
    <w:rsid w:val="0045150C"/>
    <w:rsid w:val="00455758"/>
    <w:rsid w:val="0045692A"/>
    <w:rsid w:val="004578E3"/>
    <w:rsid w:val="004632D9"/>
    <w:rsid w:val="00472222"/>
    <w:rsid w:val="00473451"/>
    <w:rsid w:val="004754A3"/>
    <w:rsid w:val="00475A63"/>
    <w:rsid w:val="0047603C"/>
    <w:rsid w:val="00485CEB"/>
    <w:rsid w:val="004919AB"/>
    <w:rsid w:val="004919C3"/>
    <w:rsid w:val="004963A4"/>
    <w:rsid w:val="004A1389"/>
    <w:rsid w:val="004A32A8"/>
    <w:rsid w:val="004A4FB2"/>
    <w:rsid w:val="004A67AD"/>
    <w:rsid w:val="004A7718"/>
    <w:rsid w:val="004B71DF"/>
    <w:rsid w:val="004B755E"/>
    <w:rsid w:val="004C49C2"/>
    <w:rsid w:val="004C5A04"/>
    <w:rsid w:val="004D085B"/>
    <w:rsid w:val="004D3539"/>
    <w:rsid w:val="004D41D7"/>
    <w:rsid w:val="004E03A0"/>
    <w:rsid w:val="004E172B"/>
    <w:rsid w:val="004E2146"/>
    <w:rsid w:val="005008B9"/>
    <w:rsid w:val="00510ACA"/>
    <w:rsid w:val="00523E7B"/>
    <w:rsid w:val="00526FFE"/>
    <w:rsid w:val="00531870"/>
    <w:rsid w:val="00531D27"/>
    <w:rsid w:val="005330BF"/>
    <w:rsid w:val="005464EB"/>
    <w:rsid w:val="00550491"/>
    <w:rsid w:val="0055262B"/>
    <w:rsid w:val="005529BF"/>
    <w:rsid w:val="005533CD"/>
    <w:rsid w:val="005571BD"/>
    <w:rsid w:val="00563751"/>
    <w:rsid w:val="00565B56"/>
    <w:rsid w:val="00566EB6"/>
    <w:rsid w:val="005737C4"/>
    <w:rsid w:val="0057488C"/>
    <w:rsid w:val="00574A82"/>
    <w:rsid w:val="005763B9"/>
    <w:rsid w:val="00576B10"/>
    <w:rsid w:val="00585852"/>
    <w:rsid w:val="00587756"/>
    <w:rsid w:val="00592002"/>
    <w:rsid w:val="005A03E8"/>
    <w:rsid w:val="005A1068"/>
    <w:rsid w:val="005B23E1"/>
    <w:rsid w:val="005C24DB"/>
    <w:rsid w:val="005C3D70"/>
    <w:rsid w:val="005C65CD"/>
    <w:rsid w:val="005D6052"/>
    <w:rsid w:val="005E2541"/>
    <w:rsid w:val="005E2B99"/>
    <w:rsid w:val="005E357F"/>
    <w:rsid w:val="005E399A"/>
    <w:rsid w:val="005E3C36"/>
    <w:rsid w:val="005E3E51"/>
    <w:rsid w:val="005E4010"/>
    <w:rsid w:val="00601383"/>
    <w:rsid w:val="006068F6"/>
    <w:rsid w:val="00633D61"/>
    <w:rsid w:val="00642EC1"/>
    <w:rsid w:val="00654014"/>
    <w:rsid w:val="00657EE1"/>
    <w:rsid w:val="00670902"/>
    <w:rsid w:val="006773ED"/>
    <w:rsid w:val="006814D9"/>
    <w:rsid w:val="0069016D"/>
    <w:rsid w:val="00691004"/>
    <w:rsid w:val="006A14AB"/>
    <w:rsid w:val="006A4602"/>
    <w:rsid w:val="006A7CC6"/>
    <w:rsid w:val="006B2690"/>
    <w:rsid w:val="006B4DB4"/>
    <w:rsid w:val="006B5244"/>
    <w:rsid w:val="006B612B"/>
    <w:rsid w:val="006C4422"/>
    <w:rsid w:val="006C585F"/>
    <w:rsid w:val="006C7A4E"/>
    <w:rsid w:val="006D042A"/>
    <w:rsid w:val="006D0471"/>
    <w:rsid w:val="006E0437"/>
    <w:rsid w:val="006E093F"/>
    <w:rsid w:val="006E0A47"/>
    <w:rsid w:val="006E4275"/>
    <w:rsid w:val="006F4F7F"/>
    <w:rsid w:val="0070646A"/>
    <w:rsid w:val="0070667B"/>
    <w:rsid w:val="00714435"/>
    <w:rsid w:val="007279E8"/>
    <w:rsid w:val="007327C6"/>
    <w:rsid w:val="00733755"/>
    <w:rsid w:val="00752B95"/>
    <w:rsid w:val="00753C8C"/>
    <w:rsid w:val="00760DD6"/>
    <w:rsid w:val="0077384D"/>
    <w:rsid w:val="007808D9"/>
    <w:rsid w:val="00780C12"/>
    <w:rsid w:val="00785E62"/>
    <w:rsid w:val="00786E32"/>
    <w:rsid w:val="0079091C"/>
    <w:rsid w:val="00791963"/>
    <w:rsid w:val="00791CEB"/>
    <w:rsid w:val="007921C8"/>
    <w:rsid w:val="00792FD8"/>
    <w:rsid w:val="007942D8"/>
    <w:rsid w:val="0079769A"/>
    <w:rsid w:val="007A2116"/>
    <w:rsid w:val="007A5038"/>
    <w:rsid w:val="007A58B3"/>
    <w:rsid w:val="007A7754"/>
    <w:rsid w:val="007C1138"/>
    <w:rsid w:val="007C2E7B"/>
    <w:rsid w:val="007C6318"/>
    <w:rsid w:val="007D169B"/>
    <w:rsid w:val="007D291C"/>
    <w:rsid w:val="007E43FA"/>
    <w:rsid w:val="007F0F51"/>
    <w:rsid w:val="00800A09"/>
    <w:rsid w:val="00800ED3"/>
    <w:rsid w:val="008013C9"/>
    <w:rsid w:val="00803C83"/>
    <w:rsid w:val="008063EF"/>
    <w:rsid w:val="0081385D"/>
    <w:rsid w:val="00824D5D"/>
    <w:rsid w:val="0082641C"/>
    <w:rsid w:val="008366B8"/>
    <w:rsid w:val="00843FC0"/>
    <w:rsid w:val="008445D3"/>
    <w:rsid w:val="00845626"/>
    <w:rsid w:val="008468FB"/>
    <w:rsid w:val="008519ED"/>
    <w:rsid w:val="00853C2B"/>
    <w:rsid w:val="008548EB"/>
    <w:rsid w:val="00855C0C"/>
    <w:rsid w:val="008571FB"/>
    <w:rsid w:val="00857F29"/>
    <w:rsid w:val="008609A4"/>
    <w:rsid w:val="00863A47"/>
    <w:rsid w:val="00865EDF"/>
    <w:rsid w:val="00867ABF"/>
    <w:rsid w:val="00872847"/>
    <w:rsid w:val="008749EB"/>
    <w:rsid w:val="00877F7D"/>
    <w:rsid w:val="00884825"/>
    <w:rsid w:val="008942A0"/>
    <w:rsid w:val="00897907"/>
    <w:rsid w:val="008A1EAF"/>
    <w:rsid w:val="008A2B82"/>
    <w:rsid w:val="008B121C"/>
    <w:rsid w:val="008B29F3"/>
    <w:rsid w:val="008B5D1F"/>
    <w:rsid w:val="008C0DC4"/>
    <w:rsid w:val="008C18E5"/>
    <w:rsid w:val="008C673C"/>
    <w:rsid w:val="008D1B58"/>
    <w:rsid w:val="008D4E5D"/>
    <w:rsid w:val="008D525C"/>
    <w:rsid w:val="008D71AA"/>
    <w:rsid w:val="008D7EBF"/>
    <w:rsid w:val="008E38A0"/>
    <w:rsid w:val="008E4CD8"/>
    <w:rsid w:val="008E64F4"/>
    <w:rsid w:val="008F0ABF"/>
    <w:rsid w:val="008F1C98"/>
    <w:rsid w:val="008F3272"/>
    <w:rsid w:val="008F5489"/>
    <w:rsid w:val="008F7632"/>
    <w:rsid w:val="00903613"/>
    <w:rsid w:val="00903872"/>
    <w:rsid w:val="00907F56"/>
    <w:rsid w:val="009127B8"/>
    <w:rsid w:val="009334B1"/>
    <w:rsid w:val="00937994"/>
    <w:rsid w:val="00951343"/>
    <w:rsid w:val="009565D0"/>
    <w:rsid w:val="009701E7"/>
    <w:rsid w:val="00976D4B"/>
    <w:rsid w:val="00980C99"/>
    <w:rsid w:val="0098597C"/>
    <w:rsid w:val="00985D3F"/>
    <w:rsid w:val="00995F42"/>
    <w:rsid w:val="009973A8"/>
    <w:rsid w:val="009A5F5F"/>
    <w:rsid w:val="009B109B"/>
    <w:rsid w:val="009B5935"/>
    <w:rsid w:val="009C360A"/>
    <w:rsid w:val="009C5C1A"/>
    <w:rsid w:val="009C633A"/>
    <w:rsid w:val="009C6F90"/>
    <w:rsid w:val="009D0DFD"/>
    <w:rsid w:val="009D3050"/>
    <w:rsid w:val="009D56A4"/>
    <w:rsid w:val="009D5B6C"/>
    <w:rsid w:val="009D6220"/>
    <w:rsid w:val="009E0115"/>
    <w:rsid w:val="009E0B7C"/>
    <w:rsid w:val="009E3BE0"/>
    <w:rsid w:val="009E51FC"/>
    <w:rsid w:val="009E726B"/>
    <w:rsid w:val="009F1782"/>
    <w:rsid w:val="009F420B"/>
    <w:rsid w:val="009F48F6"/>
    <w:rsid w:val="00A06F35"/>
    <w:rsid w:val="00A06F82"/>
    <w:rsid w:val="00A13DF0"/>
    <w:rsid w:val="00A15128"/>
    <w:rsid w:val="00A16075"/>
    <w:rsid w:val="00A17E23"/>
    <w:rsid w:val="00A22E29"/>
    <w:rsid w:val="00A27509"/>
    <w:rsid w:val="00A30FDC"/>
    <w:rsid w:val="00A35397"/>
    <w:rsid w:val="00A407B2"/>
    <w:rsid w:val="00A50306"/>
    <w:rsid w:val="00A52A33"/>
    <w:rsid w:val="00A54654"/>
    <w:rsid w:val="00A614DA"/>
    <w:rsid w:val="00A653E0"/>
    <w:rsid w:val="00A655D2"/>
    <w:rsid w:val="00A77A8A"/>
    <w:rsid w:val="00A82FEE"/>
    <w:rsid w:val="00A87CA2"/>
    <w:rsid w:val="00A920D6"/>
    <w:rsid w:val="00A92E63"/>
    <w:rsid w:val="00A96A99"/>
    <w:rsid w:val="00A97B8D"/>
    <w:rsid w:val="00AB55CE"/>
    <w:rsid w:val="00AB5978"/>
    <w:rsid w:val="00AC1419"/>
    <w:rsid w:val="00AD3995"/>
    <w:rsid w:val="00AE1EAB"/>
    <w:rsid w:val="00AE3442"/>
    <w:rsid w:val="00AE493F"/>
    <w:rsid w:val="00AF1692"/>
    <w:rsid w:val="00AF29D4"/>
    <w:rsid w:val="00AF33A9"/>
    <w:rsid w:val="00AF6B92"/>
    <w:rsid w:val="00AF7BFD"/>
    <w:rsid w:val="00B0174E"/>
    <w:rsid w:val="00B07AE0"/>
    <w:rsid w:val="00B12705"/>
    <w:rsid w:val="00B13A0F"/>
    <w:rsid w:val="00B2363F"/>
    <w:rsid w:val="00B24691"/>
    <w:rsid w:val="00B32ACF"/>
    <w:rsid w:val="00B367D6"/>
    <w:rsid w:val="00B36F4F"/>
    <w:rsid w:val="00B405A6"/>
    <w:rsid w:val="00B40F47"/>
    <w:rsid w:val="00B43B94"/>
    <w:rsid w:val="00B46BEF"/>
    <w:rsid w:val="00B46FB1"/>
    <w:rsid w:val="00B50897"/>
    <w:rsid w:val="00B5142B"/>
    <w:rsid w:val="00B60484"/>
    <w:rsid w:val="00B60F75"/>
    <w:rsid w:val="00B672F9"/>
    <w:rsid w:val="00B7135A"/>
    <w:rsid w:val="00B72096"/>
    <w:rsid w:val="00B779BB"/>
    <w:rsid w:val="00B77E3C"/>
    <w:rsid w:val="00B81AC4"/>
    <w:rsid w:val="00B81CAD"/>
    <w:rsid w:val="00B847CC"/>
    <w:rsid w:val="00B94894"/>
    <w:rsid w:val="00B94AF7"/>
    <w:rsid w:val="00BB2FB4"/>
    <w:rsid w:val="00BC33CF"/>
    <w:rsid w:val="00BC395D"/>
    <w:rsid w:val="00BC3DD7"/>
    <w:rsid w:val="00BD0F74"/>
    <w:rsid w:val="00BD13D2"/>
    <w:rsid w:val="00BD2E93"/>
    <w:rsid w:val="00BD5120"/>
    <w:rsid w:val="00BD7663"/>
    <w:rsid w:val="00BE0F0B"/>
    <w:rsid w:val="00C00C84"/>
    <w:rsid w:val="00C013AD"/>
    <w:rsid w:val="00C01D6F"/>
    <w:rsid w:val="00C02106"/>
    <w:rsid w:val="00C02395"/>
    <w:rsid w:val="00C112FD"/>
    <w:rsid w:val="00C17A74"/>
    <w:rsid w:val="00C217B8"/>
    <w:rsid w:val="00C40516"/>
    <w:rsid w:val="00C4126D"/>
    <w:rsid w:val="00C43FA7"/>
    <w:rsid w:val="00C4480F"/>
    <w:rsid w:val="00C553C1"/>
    <w:rsid w:val="00C65AB5"/>
    <w:rsid w:val="00C65DC3"/>
    <w:rsid w:val="00C70DD4"/>
    <w:rsid w:val="00C74F05"/>
    <w:rsid w:val="00C80472"/>
    <w:rsid w:val="00C935BD"/>
    <w:rsid w:val="00C95106"/>
    <w:rsid w:val="00C96F1A"/>
    <w:rsid w:val="00C976DD"/>
    <w:rsid w:val="00CA1436"/>
    <w:rsid w:val="00CA1869"/>
    <w:rsid w:val="00CA1EEB"/>
    <w:rsid w:val="00CA5630"/>
    <w:rsid w:val="00CA7FE4"/>
    <w:rsid w:val="00CB1976"/>
    <w:rsid w:val="00CB37CD"/>
    <w:rsid w:val="00CB3853"/>
    <w:rsid w:val="00CC21F7"/>
    <w:rsid w:val="00CC73A7"/>
    <w:rsid w:val="00CD18CA"/>
    <w:rsid w:val="00CD56EA"/>
    <w:rsid w:val="00CE082E"/>
    <w:rsid w:val="00CE3C2D"/>
    <w:rsid w:val="00CE401D"/>
    <w:rsid w:val="00CF0E83"/>
    <w:rsid w:val="00CF3A8F"/>
    <w:rsid w:val="00D0106C"/>
    <w:rsid w:val="00D0148E"/>
    <w:rsid w:val="00D0217D"/>
    <w:rsid w:val="00D05527"/>
    <w:rsid w:val="00D07125"/>
    <w:rsid w:val="00D07ED6"/>
    <w:rsid w:val="00D15D30"/>
    <w:rsid w:val="00D22199"/>
    <w:rsid w:val="00D25658"/>
    <w:rsid w:val="00D25B2D"/>
    <w:rsid w:val="00D3361C"/>
    <w:rsid w:val="00D33C41"/>
    <w:rsid w:val="00D41F18"/>
    <w:rsid w:val="00D45F02"/>
    <w:rsid w:val="00D527A7"/>
    <w:rsid w:val="00D62A22"/>
    <w:rsid w:val="00D63AF5"/>
    <w:rsid w:val="00D64C10"/>
    <w:rsid w:val="00D67A0F"/>
    <w:rsid w:val="00D70B9C"/>
    <w:rsid w:val="00D72A9B"/>
    <w:rsid w:val="00D740B6"/>
    <w:rsid w:val="00D80C73"/>
    <w:rsid w:val="00D90EFE"/>
    <w:rsid w:val="00DA636A"/>
    <w:rsid w:val="00DB55AB"/>
    <w:rsid w:val="00DB6501"/>
    <w:rsid w:val="00DD17D7"/>
    <w:rsid w:val="00DD1E30"/>
    <w:rsid w:val="00DD37AC"/>
    <w:rsid w:val="00DD3870"/>
    <w:rsid w:val="00DD670C"/>
    <w:rsid w:val="00DD77B1"/>
    <w:rsid w:val="00DE5B90"/>
    <w:rsid w:val="00DF468C"/>
    <w:rsid w:val="00DF5B6A"/>
    <w:rsid w:val="00E06302"/>
    <w:rsid w:val="00E06803"/>
    <w:rsid w:val="00E13A76"/>
    <w:rsid w:val="00E23610"/>
    <w:rsid w:val="00E24147"/>
    <w:rsid w:val="00E246D8"/>
    <w:rsid w:val="00E24CB3"/>
    <w:rsid w:val="00E25E44"/>
    <w:rsid w:val="00E25E45"/>
    <w:rsid w:val="00E363EC"/>
    <w:rsid w:val="00E3741E"/>
    <w:rsid w:val="00E4107A"/>
    <w:rsid w:val="00E415E7"/>
    <w:rsid w:val="00E42F9F"/>
    <w:rsid w:val="00E45D6A"/>
    <w:rsid w:val="00E51829"/>
    <w:rsid w:val="00E5238E"/>
    <w:rsid w:val="00E52FD5"/>
    <w:rsid w:val="00E54914"/>
    <w:rsid w:val="00E55CBB"/>
    <w:rsid w:val="00E56236"/>
    <w:rsid w:val="00E607DF"/>
    <w:rsid w:val="00E61A90"/>
    <w:rsid w:val="00E61B0D"/>
    <w:rsid w:val="00E64D17"/>
    <w:rsid w:val="00E72D95"/>
    <w:rsid w:val="00E846DA"/>
    <w:rsid w:val="00E95C74"/>
    <w:rsid w:val="00E9695A"/>
    <w:rsid w:val="00E96AA4"/>
    <w:rsid w:val="00E97D72"/>
    <w:rsid w:val="00EA11E0"/>
    <w:rsid w:val="00EA53E2"/>
    <w:rsid w:val="00EB0A1E"/>
    <w:rsid w:val="00EB4AE8"/>
    <w:rsid w:val="00EC05EC"/>
    <w:rsid w:val="00EE0715"/>
    <w:rsid w:val="00F00C3F"/>
    <w:rsid w:val="00F03833"/>
    <w:rsid w:val="00F05917"/>
    <w:rsid w:val="00F10506"/>
    <w:rsid w:val="00F1337F"/>
    <w:rsid w:val="00F147ED"/>
    <w:rsid w:val="00F21E38"/>
    <w:rsid w:val="00F321C9"/>
    <w:rsid w:val="00F331B9"/>
    <w:rsid w:val="00F416E4"/>
    <w:rsid w:val="00F44A0E"/>
    <w:rsid w:val="00F471DA"/>
    <w:rsid w:val="00F51A11"/>
    <w:rsid w:val="00F5295C"/>
    <w:rsid w:val="00F52A0E"/>
    <w:rsid w:val="00F67120"/>
    <w:rsid w:val="00F76463"/>
    <w:rsid w:val="00F76BA2"/>
    <w:rsid w:val="00F77BA1"/>
    <w:rsid w:val="00F821AA"/>
    <w:rsid w:val="00F87C81"/>
    <w:rsid w:val="00F91328"/>
    <w:rsid w:val="00F97C27"/>
    <w:rsid w:val="00FB1A68"/>
    <w:rsid w:val="00FB501C"/>
    <w:rsid w:val="00FB55FA"/>
    <w:rsid w:val="00FB6661"/>
    <w:rsid w:val="00FB78E8"/>
    <w:rsid w:val="00FC5ACD"/>
    <w:rsid w:val="00FD52AD"/>
    <w:rsid w:val="00FE01AB"/>
    <w:rsid w:val="00FE30B9"/>
    <w:rsid w:val="00FE3BF1"/>
    <w:rsid w:val="00FF283E"/>
    <w:rsid w:val="00FF4BAE"/>
    <w:rsid w:val="00FF50D8"/>
    <w:rsid w:val="00FF5B6A"/>
    <w:rsid w:val="00FF5F6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6017B30"/>
  <w15:docId w15:val="{F1BB1D74-8EDE-4389-A86F-FBAA12551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aliases w:val="TblTxt"/>
    <w:rsid w:val="008A1EAF"/>
    <w:rPr>
      <w:rFonts w:ascii="Arial" w:hAnsi="Arial"/>
    </w:rPr>
  </w:style>
  <w:style w:type="paragraph" w:styleId="Heading1">
    <w:name w:val="heading 1"/>
    <w:basedOn w:val="Normal"/>
    <w:next w:val="Normal"/>
    <w:link w:val="Heading1Char"/>
    <w:rsid w:val="002F29DD"/>
    <w:pPr>
      <w:keepNext/>
      <w:spacing w:before="240" w:after="60"/>
      <w:outlineLvl w:val="0"/>
    </w:pPr>
    <w:rPr>
      <w:rFonts w:cs="Arial"/>
      <w:b/>
      <w:bCs/>
      <w:kern w:val="32"/>
      <w:sz w:val="32"/>
      <w:szCs w:val="32"/>
    </w:rPr>
  </w:style>
  <w:style w:type="paragraph" w:styleId="Heading2">
    <w:name w:val="heading 2"/>
    <w:basedOn w:val="Normal"/>
    <w:next w:val="Normal"/>
    <w:rsid w:val="00B07AE0"/>
    <w:pPr>
      <w:keepNext/>
      <w:spacing w:before="240" w:after="60"/>
      <w:outlineLvl w:val="1"/>
    </w:pPr>
    <w:rPr>
      <w:rFonts w:cs="Arial"/>
      <w:b/>
      <w:bCs/>
      <w:i/>
      <w:iCs/>
      <w:sz w:val="28"/>
      <w:szCs w:val="28"/>
    </w:rPr>
  </w:style>
  <w:style w:type="paragraph" w:styleId="Heading3">
    <w:name w:val="heading 3"/>
    <w:basedOn w:val="Normal"/>
    <w:next w:val="Normal"/>
    <w:rsid w:val="001C644E"/>
    <w:pPr>
      <w:keepNext/>
      <w:numPr>
        <w:ilvl w:val="2"/>
        <w:numId w:val="14"/>
      </w:numPr>
      <w:spacing w:before="240" w:after="60"/>
      <w:outlineLvl w:val="2"/>
    </w:pPr>
    <w:rPr>
      <w:rFonts w:cs="Arial"/>
      <w:b/>
      <w:bCs/>
      <w:sz w:val="26"/>
      <w:szCs w:val="26"/>
    </w:rPr>
  </w:style>
  <w:style w:type="paragraph" w:styleId="Heading4">
    <w:name w:val="heading 4"/>
    <w:basedOn w:val="Normal"/>
    <w:next w:val="Normal"/>
    <w:rsid w:val="001C644E"/>
    <w:pPr>
      <w:keepNext/>
      <w:numPr>
        <w:ilvl w:val="3"/>
        <w:numId w:val="14"/>
      </w:numPr>
      <w:jc w:val="right"/>
      <w:outlineLvl w:val="3"/>
    </w:pPr>
    <w:rPr>
      <w:rFonts w:cs="Arial"/>
      <w:b/>
      <w:color w:val="FF0000"/>
      <w:sz w:val="48"/>
      <w:szCs w:val="48"/>
    </w:rPr>
  </w:style>
  <w:style w:type="paragraph" w:styleId="Heading5">
    <w:name w:val="heading 5"/>
    <w:basedOn w:val="Normal"/>
    <w:next w:val="Normal"/>
    <w:rsid w:val="001C644E"/>
    <w:pPr>
      <w:keepNext/>
      <w:numPr>
        <w:ilvl w:val="4"/>
        <w:numId w:val="14"/>
      </w:numPr>
      <w:autoSpaceDE w:val="0"/>
      <w:autoSpaceDN w:val="0"/>
      <w:adjustRightInd w:val="0"/>
      <w:outlineLvl w:val="4"/>
    </w:pPr>
    <w:rPr>
      <w:rFonts w:cs="Arial"/>
      <w:b/>
      <w:color w:val="000000"/>
      <w:szCs w:val="24"/>
    </w:rPr>
  </w:style>
  <w:style w:type="paragraph" w:styleId="Heading6">
    <w:name w:val="heading 6"/>
    <w:basedOn w:val="Normal"/>
    <w:next w:val="Normal"/>
    <w:rsid w:val="001C644E"/>
    <w:pPr>
      <w:numPr>
        <w:ilvl w:val="5"/>
        <w:numId w:val="14"/>
      </w:numPr>
      <w:spacing w:before="240" w:after="60"/>
      <w:outlineLvl w:val="5"/>
    </w:pPr>
    <w:rPr>
      <w:rFonts w:ascii="Times New Roman" w:hAnsi="Times New Roman"/>
      <w:b/>
      <w:bCs/>
      <w:sz w:val="22"/>
      <w:szCs w:val="22"/>
    </w:rPr>
  </w:style>
  <w:style w:type="paragraph" w:styleId="Heading7">
    <w:name w:val="heading 7"/>
    <w:basedOn w:val="Normal"/>
    <w:next w:val="Normal"/>
    <w:rsid w:val="001C644E"/>
    <w:pPr>
      <w:numPr>
        <w:ilvl w:val="6"/>
        <w:numId w:val="14"/>
      </w:numPr>
      <w:spacing w:before="240" w:after="60"/>
      <w:outlineLvl w:val="6"/>
    </w:pPr>
    <w:rPr>
      <w:rFonts w:ascii="Times New Roman" w:hAnsi="Times New Roman"/>
      <w:sz w:val="24"/>
      <w:szCs w:val="24"/>
    </w:rPr>
  </w:style>
  <w:style w:type="paragraph" w:styleId="Heading8">
    <w:name w:val="heading 8"/>
    <w:basedOn w:val="Normal"/>
    <w:next w:val="Normal"/>
    <w:rsid w:val="001C644E"/>
    <w:pPr>
      <w:numPr>
        <w:ilvl w:val="7"/>
        <w:numId w:val="14"/>
      </w:numPr>
      <w:spacing w:before="240" w:after="60"/>
      <w:outlineLvl w:val="7"/>
    </w:pPr>
    <w:rPr>
      <w:rFonts w:ascii="Times New Roman" w:hAnsi="Times New Roman"/>
      <w:i/>
      <w:iCs/>
      <w:sz w:val="24"/>
      <w:szCs w:val="24"/>
    </w:rPr>
  </w:style>
  <w:style w:type="paragraph" w:styleId="Heading9">
    <w:name w:val="heading 9"/>
    <w:basedOn w:val="Normal"/>
    <w:next w:val="Normal"/>
    <w:rsid w:val="001C644E"/>
    <w:pPr>
      <w:numPr>
        <w:ilvl w:val="8"/>
        <w:numId w:val="14"/>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DR">
    <w:name w:val="HDR"/>
    <w:basedOn w:val="Normal"/>
    <w:rsid w:val="008A1EAF"/>
    <w:pPr>
      <w:tabs>
        <w:tab w:val="center" w:pos="4608"/>
        <w:tab w:val="right" w:pos="9360"/>
      </w:tabs>
      <w:suppressAutoHyphens/>
      <w:jc w:val="both"/>
    </w:pPr>
  </w:style>
  <w:style w:type="paragraph" w:customStyle="1" w:styleId="FTR">
    <w:name w:val="FTR"/>
    <w:basedOn w:val="Normal"/>
    <w:rsid w:val="008A1EAF"/>
    <w:pPr>
      <w:tabs>
        <w:tab w:val="right" w:pos="9360"/>
      </w:tabs>
      <w:suppressAutoHyphens/>
      <w:jc w:val="both"/>
    </w:pPr>
  </w:style>
  <w:style w:type="paragraph" w:customStyle="1" w:styleId="SCT">
    <w:name w:val="SCT"/>
    <w:basedOn w:val="Normal"/>
    <w:next w:val="PRT"/>
    <w:link w:val="SCTChar"/>
    <w:rsid w:val="008A1EAF"/>
    <w:pPr>
      <w:suppressAutoHyphens/>
      <w:spacing w:before="240"/>
      <w:jc w:val="center"/>
    </w:pPr>
    <w:rPr>
      <w:b/>
    </w:rPr>
  </w:style>
  <w:style w:type="paragraph" w:customStyle="1" w:styleId="PRT">
    <w:name w:val="PRT"/>
    <w:next w:val="ART"/>
    <w:rsid w:val="001C644E"/>
    <w:pPr>
      <w:suppressAutoHyphens/>
      <w:spacing w:before="240"/>
      <w:outlineLvl w:val="0"/>
    </w:pPr>
    <w:rPr>
      <w:rFonts w:ascii="Arial" w:hAnsi="Arial"/>
      <w:b/>
      <w:caps/>
    </w:rPr>
  </w:style>
  <w:style w:type="paragraph" w:customStyle="1" w:styleId="SUT">
    <w:name w:val="SUT"/>
    <w:basedOn w:val="Normal"/>
    <w:next w:val="PR1"/>
    <w:rsid w:val="008A1EAF"/>
    <w:pPr>
      <w:suppressAutoHyphens/>
      <w:spacing w:before="240"/>
      <w:jc w:val="both"/>
      <w:outlineLvl w:val="0"/>
    </w:pPr>
  </w:style>
  <w:style w:type="paragraph" w:customStyle="1" w:styleId="DST">
    <w:name w:val="DST"/>
    <w:basedOn w:val="Normal"/>
    <w:next w:val="PR1"/>
    <w:rsid w:val="008A1EAF"/>
    <w:pPr>
      <w:suppressAutoHyphens/>
      <w:spacing w:before="240"/>
      <w:jc w:val="both"/>
      <w:outlineLvl w:val="0"/>
    </w:pPr>
  </w:style>
  <w:style w:type="paragraph" w:customStyle="1" w:styleId="ART">
    <w:name w:val="ART"/>
    <w:basedOn w:val="PRT"/>
    <w:next w:val="PR1"/>
    <w:rsid w:val="001C644E"/>
    <w:pPr>
      <w:numPr>
        <w:ilvl w:val="1"/>
        <w:numId w:val="1"/>
      </w:numPr>
      <w:outlineLvl w:val="1"/>
    </w:pPr>
  </w:style>
  <w:style w:type="paragraph" w:customStyle="1" w:styleId="PR1">
    <w:name w:val="PR1"/>
    <w:basedOn w:val="ART"/>
    <w:rsid w:val="001C644E"/>
    <w:pPr>
      <w:numPr>
        <w:ilvl w:val="2"/>
      </w:numPr>
      <w:outlineLvl w:val="2"/>
    </w:pPr>
    <w:rPr>
      <w:b w:val="0"/>
      <w:caps w:val="0"/>
    </w:rPr>
  </w:style>
  <w:style w:type="paragraph" w:customStyle="1" w:styleId="PR2">
    <w:name w:val="PR2"/>
    <w:basedOn w:val="PR1"/>
    <w:rsid w:val="001C644E"/>
    <w:pPr>
      <w:numPr>
        <w:ilvl w:val="3"/>
      </w:numPr>
      <w:spacing w:before="0"/>
      <w:outlineLvl w:val="3"/>
    </w:pPr>
  </w:style>
  <w:style w:type="paragraph" w:customStyle="1" w:styleId="PR3">
    <w:name w:val="PR3"/>
    <w:basedOn w:val="PR1"/>
    <w:rsid w:val="001C644E"/>
    <w:pPr>
      <w:numPr>
        <w:ilvl w:val="4"/>
      </w:numPr>
      <w:spacing w:before="0"/>
      <w:outlineLvl w:val="4"/>
    </w:pPr>
  </w:style>
  <w:style w:type="paragraph" w:customStyle="1" w:styleId="PR4">
    <w:name w:val="PR4"/>
    <w:basedOn w:val="PR1"/>
    <w:rsid w:val="001C644E"/>
    <w:pPr>
      <w:numPr>
        <w:ilvl w:val="5"/>
      </w:numPr>
      <w:tabs>
        <w:tab w:val="left" w:pos="2448"/>
      </w:tabs>
      <w:spacing w:before="0"/>
      <w:outlineLvl w:val="5"/>
    </w:pPr>
  </w:style>
  <w:style w:type="paragraph" w:customStyle="1" w:styleId="PR5">
    <w:name w:val="PR5"/>
    <w:basedOn w:val="PR1"/>
    <w:rsid w:val="001C644E"/>
    <w:pPr>
      <w:numPr>
        <w:ilvl w:val="6"/>
      </w:numPr>
      <w:spacing w:before="0"/>
      <w:outlineLvl w:val="6"/>
    </w:pPr>
  </w:style>
  <w:style w:type="paragraph" w:customStyle="1" w:styleId="TB1">
    <w:name w:val="TB1"/>
    <w:basedOn w:val="Normal"/>
    <w:next w:val="PR1"/>
    <w:rsid w:val="008A1EAF"/>
    <w:pPr>
      <w:suppressAutoHyphens/>
      <w:spacing w:before="240"/>
      <w:ind w:left="288"/>
      <w:jc w:val="both"/>
    </w:pPr>
  </w:style>
  <w:style w:type="paragraph" w:customStyle="1" w:styleId="TB2">
    <w:name w:val="TB2"/>
    <w:basedOn w:val="Normal"/>
    <w:next w:val="PR2"/>
    <w:rsid w:val="008A1EAF"/>
    <w:pPr>
      <w:suppressAutoHyphens/>
      <w:spacing w:before="240"/>
      <w:ind w:left="864"/>
      <w:jc w:val="both"/>
    </w:pPr>
  </w:style>
  <w:style w:type="paragraph" w:customStyle="1" w:styleId="TB3">
    <w:name w:val="TB3"/>
    <w:basedOn w:val="Normal"/>
    <w:next w:val="PR3"/>
    <w:rsid w:val="008A1EAF"/>
    <w:pPr>
      <w:suppressAutoHyphens/>
      <w:spacing w:before="240"/>
      <w:ind w:left="1440"/>
      <w:jc w:val="both"/>
    </w:pPr>
  </w:style>
  <w:style w:type="paragraph" w:customStyle="1" w:styleId="TB4">
    <w:name w:val="TB4"/>
    <w:basedOn w:val="Normal"/>
    <w:next w:val="PR4"/>
    <w:rsid w:val="008A1EAF"/>
    <w:pPr>
      <w:suppressAutoHyphens/>
      <w:spacing w:before="240"/>
      <w:ind w:left="2016"/>
      <w:jc w:val="both"/>
    </w:pPr>
  </w:style>
  <w:style w:type="paragraph" w:customStyle="1" w:styleId="TB5">
    <w:name w:val="TB5"/>
    <w:basedOn w:val="Normal"/>
    <w:next w:val="PR5"/>
    <w:rsid w:val="008A1EAF"/>
    <w:pPr>
      <w:suppressAutoHyphens/>
      <w:spacing w:before="240"/>
      <w:ind w:left="2592"/>
      <w:jc w:val="both"/>
    </w:pPr>
  </w:style>
  <w:style w:type="paragraph" w:customStyle="1" w:styleId="TF1">
    <w:name w:val="TF1"/>
    <w:basedOn w:val="Normal"/>
    <w:next w:val="TB1"/>
    <w:rsid w:val="008A1EAF"/>
    <w:pPr>
      <w:suppressAutoHyphens/>
      <w:spacing w:before="240"/>
      <w:ind w:left="288"/>
      <w:jc w:val="both"/>
    </w:pPr>
  </w:style>
  <w:style w:type="paragraph" w:customStyle="1" w:styleId="TF2">
    <w:name w:val="TF2"/>
    <w:basedOn w:val="Normal"/>
    <w:next w:val="TB2"/>
    <w:rsid w:val="008A1EAF"/>
    <w:pPr>
      <w:suppressAutoHyphens/>
      <w:spacing w:before="240"/>
      <w:ind w:left="864"/>
      <w:jc w:val="both"/>
    </w:pPr>
  </w:style>
  <w:style w:type="paragraph" w:customStyle="1" w:styleId="TF3">
    <w:name w:val="TF3"/>
    <w:basedOn w:val="Normal"/>
    <w:next w:val="TB3"/>
    <w:rsid w:val="008A1EAF"/>
    <w:pPr>
      <w:suppressAutoHyphens/>
      <w:spacing w:before="240"/>
      <w:ind w:left="1440"/>
      <w:jc w:val="both"/>
    </w:pPr>
  </w:style>
  <w:style w:type="paragraph" w:customStyle="1" w:styleId="TF4">
    <w:name w:val="TF4"/>
    <w:basedOn w:val="Normal"/>
    <w:next w:val="TB4"/>
    <w:rsid w:val="008A1EAF"/>
    <w:pPr>
      <w:suppressAutoHyphens/>
      <w:spacing w:before="240"/>
      <w:ind w:left="2016"/>
      <w:jc w:val="both"/>
    </w:pPr>
  </w:style>
  <w:style w:type="paragraph" w:customStyle="1" w:styleId="TF5">
    <w:name w:val="TF5"/>
    <w:basedOn w:val="Normal"/>
    <w:next w:val="TB5"/>
    <w:rsid w:val="008A1EAF"/>
    <w:pPr>
      <w:suppressAutoHyphens/>
      <w:spacing w:before="240"/>
      <w:ind w:left="2592"/>
      <w:jc w:val="both"/>
    </w:pPr>
  </w:style>
  <w:style w:type="paragraph" w:customStyle="1" w:styleId="TCH">
    <w:name w:val="TCH"/>
    <w:basedOn w:val="Normal"/>
    <w:rsid w:val="008A1EAF"/>
    <w:pPr>
      <w:suppressAutoHyphens/>
    </w:pPr>
  </w:style>
  <w:style w:type="paragraph" w:customStyle="1" w:styleId="TCE">
    <w:name w:val="TCE"/>
    <w:basedOn w:val="Normal"/>
    <w:rsid w:val="008A1EAF"/>
    <w:pPr>
      <w:suppressAutoHyphens/>
      <w:ind w:left="144" w:hanging="144"/>
    </w:pPr>
  </w:style>
  <w:style w:type="paragraph" w:customStyle="1" w:styleId="EOS">
    <w:name w:val="EOS"/>
    <w:basedOn w:val="Normal"/>
    <w:rsid w:val="008A1EAF"/>
    <w:pPr>
      <w:suppressAutoHyphens/>
      <w:spacing w:before="480"/>
      <w:jc w:val="center"/>
    </w:pPr>
    <w:rPr>
      <w:b/>
    </w:rPr>
  </w:style>
  <w:style w:type="paragraph" w:customStyle="1" w:styleId="ANT">
    <w:name w:val="ANT"/>
    <w:basedOn w:val="Normal"/>
    <w:rsid w:val="008A1EAF"/>
    <w:pPr>
      <w:suppressAutoHyphens/>
      <w:spacing w:before="240"/>
      <w:jc w:val="both"/>
    </w:pPr>
    <w:rPr>
      <w:vanish/>
      <w:color w:val="800080"/>
      <w:u w:val="single"/>
    </w:rPr>
  </w:style>
  <w:style w:type="paragraph" w:customStyle="1" w:styleId="CMT">
    <w:name w:val="CMT"/>
    <w:basedOn w:val="Normal"/>
    <w:rsid w:val="008A1EAF"/>
    <w:pPr>
      <w:suppressAutoHyphens/>
      <w:spacing w:before="240"/>
      <w:jc w:val="both"/>
    </w:pPr>
    <w:rPr>
      <w:vanish/>
      <w:color w:val="0000FF"/>
    </w:rPr>
  </w:style>
  <w:style w:type="character" w:customStyle="1" w:styleId="CPR">
    <w:name w:val="CPR"/>
    <w:basedOn w:val="DefaultParagraphFont"/>
    <w:rsid w:val="008A1EAF"/>
  </w:style>
  <w:style w:type="character" w:customStyle="1" w:styleId="SPN">
    <w:name w:val="SPN"/>
    <w:basedOn w:val="DefaultParagraphFont"/>
    <w:rsid w:val="008A1EAF"/>
  </w:style>
  <w:style w:type="character" w:customStyle="1" w:styleId="SPD">
    <w:name w:val="SPD"/>
    <w:basedOn w:val="DefaultParagraphFont"/>
    <w:rsid w:val="008A1EAF"/>
  </w:style>
  <w:style w:type="character" w:customStyle="1" w:styleId="NUM">
    <w:name w:val="NUM"/>
    <w:basedOn w:val="DefaultParagraphFont"/>
    <w:rsid w:val="008A1EAF"/>
  </w:style>
  <w:style w:type="paragraph" w:customStyle="1" w:styleId="PR6">
    <w:name w:val="PR6"/>
    <w:basedOn w:val="PR1"/>
    <w:rsid w:val="001C644E"/>
    <w:pPr>
      <w:numPr>
        <w:ilvl w:val="7"/>
      </w:numPr>
      <w:tabs>
        <w:tab w:val="left" w:pos="3744"/>
      </w:tabs>
      <w:spacing w:before="0"/>
      <w:outlineLvl w:val="7"/>
    </w:pPr>
  </w:style>
  <w:style w:type="character" w:customStyle="1" w:styleId="SI">
    <w:name w:val="SI"/>
    <w:basedOn w:val="DefaultParagraphFont"/>
    <w:rsid w:val="008A1EAF"/>
    <w:rPr>
      <w:color w:val="auto"/>
    </w:rPr>
  </w:style>
  <w:style w:type="character" w:customStyle="1" w:styleId="IP">
    <w:name w:val="IP"/>
    <w:basedOn w:val="DefaultParagraphFont"/>
    <w:rsid w:val="008A1EAF"/>
    <w:rPr>
      <w:color w:val="0000FF"/>
    </w:rPr>
  </w:style>
  <w:style w:type="paragraph" w:styleId="Header">
    <w:name w:val="header"/>
    <w:basedOn w:val="Normal"/>
    <w:rsid w:val="008A1EAF"/>
    <w:pPr>
      <w:tabs>
        <w:tab w:val="center" w:pos="4320"/>
        <w:tab w:val="right" w:pos="8640"/>
      </w:tabs>
    </w:pPr>
  </w:style>
  <w:style w:type="paragraph" w:styleId="Footer">
    <w:name w:val="footer"/>
    <w:basedOn w:val="Normal"/>
    <w:link w:val="FooterChar"/>
    <w:rsid w:val="008A1EAF"/>
    <w:pPr>
      <w:tabs>
        <w:tab w:val="center" w:pos="4320"/>
        <w:tab w:val="right" w:pos="8640"/>
      </w:tabs>
    </w:pPr>
  </w:style>
  <w:style w:type="character" w:styleId="PageNumber">
    <w:name w:val="page number"/>
    <w:basedOn w:val="DefaultParagraphFont"/>
    <w:rsid w:val="008A1EAF"/>
  </w:style>
  <w:style w:type="paragraph" w:customStyle="1" w:styleId="NAM">
    <w:name w:val="NAM"/>
    <w:basedOn w:val="Normal"/>
    <w:rsid w:val="008A1EAF"/>
    <w:pPr>
      <w:jc w:val="center"/>
    </w:pPr>
    <w:rPr>
      <w:b/>
      <w:caps/>
    </w:rPr>
  </w:style>
  <w:style w:type="paragraph" w:customStyle="1" w:styleId="NAMFT">
    <w:name w:val="NAMFT"/>
    <w:basedOn w:val="NAM"/>
    <w:rsid w:val="008A1EAF"/>
    <w:pPr>
      <w:pBdr>
        <w:top w:val="single" w:sz="4" w:space="1" w:color="auto"/>
      </w:pBdr>
      <w:tabs>
        <w:tab w:val="right" w:pos="9360"/>
      </w:tabs>
    </w:pPr>
    <w:rPr>
      <w:b w:val="0"/>
    </w:rPr>
  </w:style>
  <w:style w:type="paragraph" w:customStyle="1" w:styleId="NOT">
    <w:name w:val="NOT"/>
    <w:basedOn w:val="Normal"/>
    <w:rsid w:val="008A1EAF"/>
    <w:pPr>
      <w:pBdr>
        <w:top w:val="dashDotStroked" w:sz="24" w:space="1" w:color="auto"/>
        <w:bottom w:val="dashDotStroked" w:sz="24" w:space="1" w:color="auto"/>
      </w:pBdr>
      <w:shd w:val="clear" w:color="auto" w:fill="FFCC00"/>
      <w:suppressAutoHyphens/>
    </w:pPr>
    <w:rPr>
      <w:b/>
      <w:smallCaps/>
      <w:vanish/>
    </w:rPr>
  </w:style>
  <w:style w:type="paragraph" w:customStyle="1" w:styleId="PR7">
    <w:name w:val="PR7"/>
    <w:basedOn w:val="PR6"/>
    <w:rsid w:val="001C644E"/>
    <w:pPr>
      <w:numPr>
        <w:ilvl w:val="8"/>
      </w:numPr>
      <w:tabs>
        <w:tab w:val="left" w:pos="4464"/>
      </w:tabs>
    </w:pPr>
  </w:style>
  <w:style w:type="paragraph" w:customStyle="1" w:styleId="TBL">
    <w:name w:val="TBL"/>
    <w:rsid w:val="00DA636A"/>
    <w:pPr>
      <w:numPr>
        <w:numId w:val="42"/>
      </w:numPr>
      <w:spacing w:before="120" w:after="120"/>
      <w:jc w:val="center"/>
    </w:pPr>
    <w:rPr>
      <w:rFonts w:ascii="Arial" w:hAnsi="Arial"/>
      <w:b/>
    </w:rPr>
  </w:style>
  <w:style w:type="paragraph" w:customStyle="1" w:styleId="OmniPage1">
    <w:name w:val="OmniPage #1"/>
    <w:basedOn w:val="Normal"/>
    <w:rsid w:val="008A1EAF"/>
    <w:pPr>
      <w:tabs>
        <w:tab w:val="left" w:pos="5790"/>
        <w:tab w:val="right" w:pos="10303"/>
      </w:tabs>
      <w:ind w:left="1155"/>
    </w:pPr>
    <w:rPr>
      <w:rFonts w:ascii="Times New Roman" w:hAnsi="Times New Roman"/>
    </w:rPr>
  </w:style>
  <w:style w:type="paragraph" w:customStyle="1" w:styleId="OmniPage5">
    <w:name w:val="OmniPage #5"/>
    <w:basedOn w:val="Normal"/>
    <w:rsid w:val="008A1EAF"/>
    <w:pPr>
      <w:tabs>
        <w:tab w:val="left" w:pos="125"/>
        <w:tab w:val="left" w:pos="175"/>
        <w:tab w:val="right" w:pos="5008"/>
      </w:tabs>
      <w:ind w:left="1170"/>
    </w:pPr>
    <w:rPr>
      <w:rFonts w:ascii="Times New Roman" w:hAnsi="Times New Roman"/>
    </w:rPr>
  </w:style>
  <w:style w:type="paragraph" w:customStyle="1" w:styleId="OmniPage7">
    <w:name w:val="OmniPage #7"/>
    <w:basedOn w:val="Normal"/>
    <w:rsid w:val="008A1EAF"/>
    <w:pPr>
      <w:tabs>
        <w:tab w:val="right" w:pos="9628"/>
      </w:tabs>
      <w:ind w:left="2880"/>
    </w:pPr>
    <w:rPr>
      <w:rFonts w:ascii="Times New Roman" w:hAnsi="Times New Roman"/>
    </w:rPr>
  </w:style>
  <w:style w:type="paragraph" w:customStyle="1" w:styleId="OmniPage2051">
    <w:name w:val="OmniPage #2051"/>
    <w:basedOn w:val="Normal"/>
    <w:rsid w:val="008A1EAF"/>
    <w:pPr>
      <w:tabs>
        <w:tab w:val="right" w:pos="7627"/>
      </w:tabs>
      <w:ind w:left="4035"/>
    </w:pPr>
    <w:rPr>
      <w:rFonts w:ascii="Times New Roman" w:hAnsi="Times New Roman"/>
    </w:rPr>
  </w:style>
  <w:style w:type="paragraph" w:customStyle="1" w:styleId="OmniPage2052">
    <w:name w:val="OmniPage #2052"/>
    <w:basedOn w:val="Normal"/>
    <w:rsid w:val="008A1EAF"/>
    <w:pPr>
      <w:tabs>
        <w:tab w:val="left" w:pos="110"/>
        <w:tab w:val="right" w:pos="2932"/>
      </w:tabs>
      <w:ind w:left="1155"/>
    </w:pPr>
    <w:rPr>
      <w:rFonts w:ascii="Times New Roman" w:hAnsi="Times New Roman"/>
    </w:rPr>
  </w:style>
  <w:style w:type="paragraph" w:customStyle="1" w:styleId="OmniPage2061">
    <w:name w:val="OmniPage #2061"/>
    <w:basedOn w:val="Normal"/>
    <w:rsid w:val="008A1EAF"/>
    <w:pPr>
      <w:tabs>
        <w:tab w:val="right" w:pos="4372"/>
      </w:tabs>
      <w:ind w:left="1095"/>
    </w:pPr>
    <w:rPr>
      <w:rFonts w:ascii="Times New Roman" w:hAnsi="Times New Roman"/>
    </w:rPr>
  </w:style>
  <w:style w:type="paragraph" w:customStyle="1" w:styleId="OmniPage2062">
    <w:name w:val="OmniPage #2062"/>
    <w:basedOn w:val="Normal"/>
    <w:rsid w:val="008A1EAF"/>
    <w:pPr>
      <w:tabs>
        <w:tab w:val="right" w:pos="3307"/>
      </w:tabs>
      <w:ind w:left="1095"/>
    </w:pPr>
    <w:rPr>
      <w:rFonts w:ascii="Times New Roman" w:hAnsi="Times New Roman"/>
    </w:rPr>
  </w:style>
  <w:style w:type="paragraph" w:customStyle="1" w:styleId="OmniPage2564">
    <w:name w:val="OmniPage #2564"/>
    <w:basedOn w:val="Normal"/>
    <w:rsid w:val="008A1EAF"/>
    <w:pPr>
      <w:tabs>
        <w:tab w:val="left" w:pos="50"/>
        <w:tab w:val="left" w:pos="100"/>
        <w:tab w:val="left" w:pos="2970"/>
        <w:tab w:val="right" w:pos="9654"/>
      </w:tabs>
      <w:ind w:left="1155"/>
    </w:pPr>
    <w:rPr>
      <w:rFonts w:ascii="Times New Roman" w:hAnsi="Times New Roman"/>
    </w:rPr>
  </w:style>
  <w:style w:type="paragraph" w:styleId="BodyTextIndent3">
    <w:name w:val="Body Text Indent 3"/>
    <w:basedOn w:val="Normal"/>
    <w:rsid w:val="008A1EAF"/>
    <w:pPr>
      <w:tabs>
        <w:tab w:val="left" w:pos="1080"/>
      </w:tabs>
      <w:ind w:left="720"/>
      <w:jc w:val="both"/>
    </w:pPr>
    <w:rPr>
      <w:snapToGrid w:val="0"/>
    </w:rPr>
  </w:style>
  <w:style w:type="character" w:customStyle="1" w:styleId="SCTChar">
    <w:name w:val="SCT Char"/>
    <w:basedOn w:val="DefaultParagraphFont"/>
    <w:link w:val="SCT"/>
    <w:rsid w:val="00C4480F"/>
    <w:rPr>
      <w:rFonts w:ascii="Arial" w:hAnsi="Arial"/>
      <w:b/>
      <w:lang w:val="en-US" w:eastAsia="en-US" w:bidi="ar-SA"/>
    </w:rPr>
  </w:style>
  <w:style w:type="paragraph" w:customStyle="1" w:styleId="FIG">
    <w:name w:val="FIG"/>
    <w:qFormat/>
    <w:rsid w:val="00350153"/>
    <w:pPr>
      <w:numPr>
        <w:numId w:val="2"/>
      </w:numPr>
    </w:pPr>
    <w:rPr>
      <w:rFonts w:ascii="Arial" w:hAnsi="Arial"/>
      <w:b/>
    </w:rPr>
  </w:style>
  <w:style w:type="paragraph" w:customStyle="1" w:styleId="Part">
    <w:name w:val="Part"/>
    <w:basedOn w:val="ART"/>
    <w:rsid w:val="002F29DD"/>
  </w:style>
  <w:style w:type="character" w:customStyle="1" w:styleId="Heading1Char">
    <w:name w:val="Heading 1 Char"/>
    <w:basedOn w:val="DefaultParagraphFont"/>
    <w:link w:val="Heading1"/>
    <w:locked/>
    <w:rsid w:val="002F29DD"/>
    <w:rPr>
      <w:rFonts w:ascii="Arial" w:eastAsia="Batang" w:hAnsi="Arial" w:cs="Arial"/>
      <w:b/>
      <w:bCs/>
      <w:kern w:val="32"/>
      <w:sz w:val="32"/>
      <w:szCs w:val="32"/>
      <w:lang w:val="en-US" w:eastAsia="en-US" w:bidi="ar-SA"/>
    </w:rPr>
  </w:style>
  <w:style w:type="paragraph" w:styleId="TOC1">
    <w:name w:val="toc 1"/>
    <w:basedOn w:val="Normal"/>
    <w:next w:val="Normal"/>
    <w:autoRedefine/>
    <w:uiPriority w:val="39"/>
    <w:qFormat/>
    <w:rsid w:val="002F29DD"/>
    <w:rPr>
      <w:rFonts w:ascii="Times New Roman" w:hAnsi="Times New Roman"/>
      <w:sz w:val="24"/>
      <w:szCs w:val="24"/>
    </w:rPr>
  </w:style>
  <w:style w:type="paragraph" w:styleId="TOC2">
    <w:name w:val="toc 2"/>
    <w:basedOn w:val="Normal"/>
    <w:next w:val="Normal"/>
    <w:autoRedefine/>
    <w:uiPriority w:val="39"/>
    <w:qFormat/>
    <w:rsid w:val="002F29DD"/>
    <w:pPr>
      <w:ind w:left="240"/>
    </w:pPr>
    <w:rPr>
      <w:rFonts w:ascii="Times New Roman" w:hAnsi="Times New Roman"/>
      <w:sz w:val="24"/>
      <w:szCs w:val="24"/>
    </w:rPr>
  </w:style>
  <w:style w:type="character" w:styleId="Hyperlink">
    <w:name w:val="Hyperlink"/>
    <w:basedOn w:val="DefaultParagraphFont"/>
    <w:uiPriority w:val="99"/>
    <w:rsid w:val="002F29DD"/>
    <w:rPr>
      <w:rFonts w:cs="Times New Roman"/>
      <w:color w:val="0000FF"/>
      <w:u w:val="single"/>
    </w:rPr>
  </w:style>
  <w:style w:type="character" w:customStyle="1" w:styleId="FooterChar">
    <w:name w:val="Footer Char"/>
    <w:basedOn w:val="DefaultParagraphFont"/>
    <w:link w:val="Footer"/>
    <w:semiHidden/>
    <w:locked/>
    <w:rsid w:val="002F29DD"/>
    <w:rPr>
      <w:rFonts w:ascii="Arial" w:hAnsi="Arial"/>
      <w:lang w:val="en-US" w:eastAsia="en-US" w:bidi="ar-SA"/>
    </w:rPr>
  </w:style>
  <w:style w:type="paragraph" w:styleId="TableofFigures">
    <w:name w:val="table of figures"/>
    <w:basedOn w:val="Normal"/>
    <w:next w:val="Normal"/>
    <w:uiPriority w:val="99"/>
    <w:rsid w:val="002F29DD"/>
    <w:rPr>
      <w:rFonts w:ascii="Times New Roman" w:hAnsi="Times New Roman"/>
      <w:sz w:val="24"/>
      <w:szCs w:val="24"/>
    </w:rPr>
  </w:style>
  <w:style w:type="paragraph" w:styleId="CommentText">
    <w:name w:val="annotation text"/>
    <w:basedOn w:val="Normal"/>
    <w:semiHidden/>
    <w:rsid w:val="002F29DD"/>
  </w:style>
  <w:style w:type="paragraph" w:styleId="CommentSubject">
    <w:name w:val="annotation subject"/>
    <w:basedOn w:val="CommentText"/>
    <w:next w:val="CommentText"/>
    <w:link w:val="CommentSubjectChar"/>
    <w:semiHidden/>
    <w:rsid w:val="002F29DD"/>
    <w:rPr>
      <w:rFonts w:ascii="Times New Roman" w:hAnsi="Times New Roman"/>
      <w:b/>
      <w:bCs/>
    </w:rPr>
  </w:style>
  <w:style w:type="character" w:customStyle="1" w:styleId="CommentSubjectChar">
    <w:name w:val="Comment Subject Char"/>
    <w:basedOn w:val="DefaultParagraphFont"/>
    <w:link w:val="CommentSubject"/>
    <w:semiHidden/>
    <w:locked/>
    <w:rsid w:val="002F29DD"/>
    <w:rPr>
      <w:rFonts w:eastAsia="Batang"/>
      <w:b/>
      <w:bCs/>
      <w:lang w:val="en-US" w:eastAsia="en-US" w:bidi="ar-SA"/>
    </w:rPr>
  </w:style>
  <w:style w:type="paragraph" w:customStyle="1" w:styleId="NormalBold">
    <w:name w:val="Normal Bold"/>
    <w:basedOn w:val="Normal"/>
    <w:rsid w:val="002F29DD"/>
    <w:pPr>
      <w:spacing w:after="60"/>
      <w:jc w:val="both"/>
    </w:pPr>
    <w:rPr>
      <w:rFonts w:ascii="Times New Roman" w:hAnsi="Times New Roman"/>
      <w:b/>
      <w:sz w:val="24"/>
      <w:szCs w:val="24"/>
    </w:rPr>
  </w:style>
  <w:style w:type="paragraph" w:customStyle="1" w:styleId="Style3">
    <w:name w:val="Style3"/>
    <w:basedOn w:val="Normal"/>
    <w:rsid w:val="002F29DD"/>
    <w:pPr>
      <w:numPr>
        <w:numId w:val="3"/>
      </w:numPr>
    </w:pPr>
    <w:rPr>
      <w:rFonts w:cs="Arial"/>
      <w:sz w:val="24"/>
      <w:szCs w:val="24"/>
    </w:rPr>
  </w:style>
  <w:style w:type="paragraph" w:customStyle="1" w:styleId="Normal1">
    <w:name w:val="Normal1"/>
    <w:basedOn w:val="Normal"/>
    <w:rsid w:val="002F29DD"/>
    <w:pPr>
      <w:overflowPunct w:val="0"/>
      <w:autoSpaceDE w:val="0"/>
      <w:autoSpaceDN w:val="0"/>
      <w:adjustRightInd w:val="0"/>
      <w:spacing w:after="120" w:line="360" w:lineRule="atLeast"/>
      <w:textAlignment w:val="baseline"/>
    </w:pPr>
    <w:rPr>
      <w:rFonts w:ascii="Times New Roman" w:hAnsi="Times New Roman"/>
      <w:sz w:val="22"/>
    </w:rPr>
  </w:style>
  <w:style w:type="paragraph" w:customStyle="1" w:styleId="Pref">
    <w:name w:val="Pref"/>
    <w:basedOn w:val="Normal"/>
    <w:next w:val="Normal"/>
    <w:rsid w:val="002F29DD"/>
    <w:pPr>
      <w:keepNext/>
      <w:spacing w:before="240" w:after="360"/>
      <w:jc w:val="both"/>
      <w:outlineLvl w:val="0"/>
    </w:pPr>
    <w:rPr>
      <w:rFonts w:cs="Arial"/>
      <w:bCs/>
      <w:kern w:val="32"/>
      <w:sz w:val="32"/>
      <w:szCs w:val="32"/>
    </w:rPr>
  </w:style>
  <w:style w:type="table" w:styleId="TableGrid">
    <w:name w:val="Table Grid"/>
    <w:basedOn w:val="TableNormal"/>
    <w:rsid w:val="001C64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
    <w:name w:val="SEC"/>
    <w:basedOn w:val="Normal"/>
    <w:next w:val="Normal"/>
    <w:link w:val="SECCharChar"/>
    <w:rsid w:val="001C644E"/>
    <w:pPr>
      <w:numPr>
        <w:ilvl w:val="1"/>
        <w:numId w:val="15"/>
      </w:numPr>
      <w:suppressAutoHyphens/>
      <w:spacing w:before="240"/>
    </w:pPr>
    <w:rPr>
      <w:b/>
      <w:sz w:val="28"/>
    </w:rPr>
  </w:style>
  <w:style w:type="character" w:customStyle="1" w:styleId="SECCharChar">
    <w:name w:val="SEC Char Char"/>
    <w:basedOn w:val="DefaultParagraphFont"/>
    <w:link w:val="SEC"/>
    <w:rsid w:val="001C644E"/>
    <w:rPr>
      <w:rFonts w:ascii="Arial" w:eastAsia="Batang" w:hAnsi="Arial"/>
      <w:b/>
      <w:sz w:val="28"/>
      <w:lang w:val="en-US" w:eastAsia="en-US" w:bidi="ar-SA"/>
    </w:rPr>
  </w:style>
  <w:style w:type="paragraph" w:customStyle="1" w:styleId="PAR1">
    <w:name w:val="PAR1"/>
    <w:basedOn w:val="Normal"/>
    <w:next w:val="Normal"/>
    <w:rsid w:val="001C644E"/>
    <w:pPr>
      <w:numPr>
        <w:ilvl w:val="1"/>
        <w:numId w:val="14"/>
      </w:numPr>
      <w:spacing w:before="240" w:after="60"/>
    </w:pPr>
    <w:rPr>
      <w:b/>
      <w:i/>
      <w:sz w:val="28"/>
      <w:szCs w:val="24"/>
    </w:rPr>
  </w:style>
  <w:style w:type="paragraph" w:customStyle="1" w:styleId="Appx">
    <w:name w:val="Appx"/>
    <w:basedOn w:val="Heading1"/>
    <w:rsid w:val="00CD18CA"/>
    <w:pPr>
      <w:spacing w:after="360"/>
    </w:pPr>
  </w:style>
  <w:style w:type="paragraph" w:customStyle="1" w:styleId="WPSCT">
    <w:name w:val="WPSCT"/>
    <w:basedOn w:val="PRT"/>
    <w:next w:val="ART"/>
    <w:qFormat/>
    <w:rsid w:val="001C644E"/>
    <w:pPr>
      <w:numPr>
        <w:numId w:val="1"/>
      </w:numPr>
      <w:ind w:left="576"/>
    </w:pPr>
  </w:style>
  <w:style w:type="paragraph" w:customStyle="1" w:styleId="WPART">
    <w:name w:val="WPART"/>
    <w:basedOn w:val="ART"/>
    <w:qFormat/>
    <w:rsid w:val="0029245C"/>
    <w:pPr>
      <w:keepNext/>
    </w:pPr>
  </w:style>
  <w:style w:type="paragraph" w:customStyle="1" w:styleId="WPPR1">
    <w:name w:val="WPPR1"/>
    <w:basedOn w:val="PR1"/>
    <w:qFormat/>
    <w:rsid w:val="001C644E"/>
  </w:style>
  <w:style w:type="paragraph" w:customStyle="1" w:styleId="WPPR2">
    <w:name w:val="WPPR2"/>
    <w:basedOn w:val="PR2"/>
    <w:qFormat/>
    <w:rsid w:val="001C644E"/>
  </w:style>
  <w:style w:type="paragraph" w:customStyle="1" w:styleId="WPPR3">
    <w:name w:val="WPPR3"/>
    <w:basedOn w:val="PR3"/>
    <w:qFormat/>
    <w:rsid w:val="001C644E"/>
  </w:style>
  <w:style w:type="paragraph" w:customStyle="1" w:styleId="WPPR4">
    <w:name w:val="WPPR4"/>
    <w:basedOn w:val="PR4"/>
    <w:qFormat/>
    <w:rsid w:val="001C644E"/>
  </w:style>
  <w:style w:type="paragraph" w:customStyle="1" w:styleId="WPPR5">
    <w:name w:val="WPPR5"/>
    <w:basedOn w:val="PR5"/>
    <w:qFormat/>
    <w:rsid w:val="001C644E"/>
  </w:style>
  <w:style w:type="paragraph" w:customStyle="1" w:styleId="WPPR6">
    <w:name w:val="WPPR6"/>
    <w:basedOn w:val="PR6"/>
    <w:qFormat/>
    <w:rsid w:val="001C644E"/>
  </w:style>
  <w:style w:type="paragraph" w:customStyle="1" w:styleId="WPID">
    <w:name w:val="WPID"/>
    <w:basedOn w:val="Normal"/>
    <w:rsid w:val="000D07B1"/>
    <w:pPr>
      <w:jc w:val="right"/>
    </w:pPr>
    <w:rPr>
      <w:rFonts w:cs="Arial"/>
      <w:b/>
      <w:sz w:val="48"/>
      <w:szCs w:val="48"/>
    </w:rPr>
  </w:style>
  <w:style w:type="paragraph" w:styleId="BalloonText">
    <w:name w:val="Balloon Text"/>
    <w:basedOn w:val="Normal"/>
    <w:link w:val="BalloonTextChar"/>
    <w:rsid w:val="00C96F1A"/>
    <w:rPr>
      <w:rFonts w:ascii="Tahoma" w:hAnsi="Tahoma" w:cs="Tahoma"/>
      <w:sz w:val="16"/>
      <w:szCs w:val="16"/>
    </w:rPr>
  </w:style>
  <w:style w:type="character" w:customStyle="1" w:styleId="BalloonTextChar">
    <w:name w:val="Balloon Text Char"/>
    <w:basedOn w:val="DefaultParagraphFont"/>
    <w:link w:val="BalloonText"/>
    <w:rsid w:val="00C96F1A"/>
    <w:rPr>
      <w:rFonts w:ascii="Tahoma" w:hAnsi="Tahoma" w:cs="Tahoma"/>
      <w:sz w:val="16"/>
      <w:szCs w:val="16"/>
    </w:rPr>
  </w:style>
  <w:style w:type="paragraph" w:customStyle="1" w:styleId="Vertical">
    <w:name w:val="Vertical"/>
    <w:basedOn w:val="Normal1"/>
    <w:qFormat/>
    <w:rsid w:val="00E4107A"/>
    <w:pPr>
      <w:spacing w:line="240" w:lineRule="auto"/>
      <w:jc w:val="center"/>
    </w:pPr>
    <w:rPr>
      <w:rFonts w:ascii="Arial" w:eastAsia="Times New Roman" w:hAnsi="Arial"/>
      <w:sz w:val="20"/>
    </w:rPr>
  </w:style>
  <w:style w:type="paragraph" w:styleId="EndnoteText">
    <w:name w:val="endnote text"/>
    <w:basedOn w:val="Normal"/>
    <w:link w:val="EndnoteTextChar"/>
    <w:rsid w:val="00C40516"/>
  </w:style>
  <w:style w:type="character" w:customStyle="1" w:styleId="EndnoteTextChar">
    <w:name w:val="Endnote Text Char"/>
    <w:basedOn w:val="DefaultParagraphFont"/>
    <w:link w:val="EndnoteText"/>
    <w:rsid w:val="00C40516"/>
    <w:rPr>
      <w:rFonts w:ascii="Arial" w:hAnsi="Arial"/>
    </w:rPr>
  </w:style>
  <w:style w:type="character" w:styleId="EndnoteReference">
    <w:name w:val="endnote reference"/>
    <w:basedOn w:val="DefaultParagraphFont"/>
    <w:rsid w:val="00C40516"/>
    <w:rPr>
      <w:vertAlign w:val="superscript"/>
    </w:rPr>
  </w:style>
  <w:style w:type="paragraph" w:styleId="ListParagraph">
    <w:name w:val="List Paragraph"/>
    <w:basedOn w:val="Normal"/>
    <w:uiPriority w:val="34"/>
    <w:rsid w:val="00E56236"/>
    <w:pPr>
      <w:ind w:left="720"/>
      <w:contextualSpacing/>
    </w:pPr>
  </w:style>
  <w:style w:type="character" w:styleId="CommentReference">
    <w:name w:val="annotation reference"/>
    <w:basedOn w:val="DefaultParagraphFont"/>
    <w:rsid w:val="009F48F6"/>
    <w:rPr>
      <w:sz w:val="16"/>
      <w:szCs w:val="16"/>
    </w:rPr>
  </w:style>
  <w:style w:type="character" w:styleId="FollowedHyperlink">
    <w:name w:val="FollowedHyperlink"/>
    <w:basedOn w:val="DefaultParagraphFont"/>
    <w:rsid w:val="00E24147"/>
    <w:rPr>
      <w:color w:val="800080" w:themeColor="followedHyperlink"/>
      <w:u w:val="single"/>
    </w:rPr>
  </w:style>
  <w:style w:type="paragraph" w:styleId="Caption">
    <w:name w:val="caption"/>
    <w:basedOn w:val="Normal"/>
    <w:next w:val="Normal"/>
    <w:unhideWhenUsed/>
    <w:qFormat/>
    <w:rsid w:val="00B847CC"/>
    <w:pPr>
      <w:spacing w:after="200"/>
    </w:pPr>
    <w:rPr>
      <w:b/>
      <w:bCs/>
      <w:color w:val="4F81BD" w:themeColor="accent1"/>
      <w:sz w:val="18"/>
      <w:szCs w:val="18"/>
    </w:rPr>
  </w:style>
  <w:style w:type="paragraph" w:styleId="TOCHeading">
    <w:name w:val="TOC Heading"/>
    <w:basedOn w:val="Heading1"/>
    <w:next w:val="Normal"/>
    <w:uiPriority w:val="39"/>
    <w:semiHidden/>
    <w:unhideWhenUsed/>
    <w:qFormat/>
    <w:rsid w:val="0019507E"/>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styleId="TOC3">
    <w:name w:val="toc 3"/>
    <w:basedOn w:val="Normal"/>
    <w:next w:val="Normal"/>
    <w:autoRedefine/>
    <w:uiPriority w:val="39"/>
    <w:unhideWhenUsed/>
    <w:qFormat/>
    <w:rsid w:val="0019507E"/>
    <w:pPr>
      <w:spacing w:after="100" w:line="276" w:lineRule="auto"/>
      <w:ind w:left="440"/>
    </w:pPr>
    <w:rPr>
      <w:rFonts w:asciiTheme="minorHAnsi" w:eastAsiaTheme="minorEastAsia" w:hAnsiTheme="minorHAnsi" w:cstheme="minorBidi"/>
      <w:sz w:val="22"/>
      <w:szCs w:val="22"/>
      <w:lang w:eastAsia="ja-JP"/>
    </w:rPr>
  </w:style>
  <w:style w:type="paragraph" w:styleId="Revision">
    <w:name w:val="Revision"/>
    <w:hidden/>
    <w:uiPriority w:val="99"/>
    <w:semiHidden/>
    <w:rsid w:val="00374201"/>
    <w:rPr>
      <w:rFonts w:ascii="Arial" w:hAnsi="Arial"/>
    </w:rPr>
  </w:style>
  <w:style w:type="paragraph" w:customStyle="1" w:styleId="reminders">
    <w:name w:val="reminders"/>
    <w:basedOn w:val="Normal"/>
    <w:rsid w:val="00E54914"/>
    <w:rPr>
      <w:rFonts w:ascii="Trebuchet MS" w:eastAsia="Times New Roman" w:hAnsi="Trebuchet MS" w:cs="Arial"/>
      <w:color w:val="FF0000"/>
      <w:sz w:val="24"/>
      <w:szCs w:val="24"/>
    </w:rPr>
  </w:style>
  <w:style w:type="paragraph" w:customStyle="1" w:styleId="Reminders0">
    <w:name w:val="Reminders"/>
    <w:basedOn w:val="Normal"/>
    <w:link w:val="RemindersChar"/>
    <w:rsid w:val="00E54914"/>
    <w:pPr>
      <w:spacing w:before="40" w:after="40"/>
    </w:pPr>
    <w:rPr>
      <w:rFonts w:ascii="Trebuchet MS" w:eastAsia="Times New Roman" w:hAnsi="Trebuchet MS"/>
      <w:i/>
      <w:color w:val="FF0000"/>
      <w:sz w:val="24"/>
      <w:szCs w:val="24"/>
    </w:rPr>
  </w:style>
  <w:style w:type="paragraph" w:customStyle="1" w:styleId="Reminder">
    <w:name w:val="Reminder"/>
    <w:basedOn w:val="Reminders0"/>
    <w:link w:val="ReminderChar"/>
    <w:rsid w:val="00E54914"/>
  </w:style>
  <w:style w:type="character" w:customStyle="1" w:styleId="RemindersChar">
    <w:name w:val="Reminders Char"/>
    <w:basedOn w:val="DefaultParagraphFont"/>
    <w:link w:val="Reminders0"/>
    <w:rsid w:val="00E54914"/>
    <w:rPr>
      <w:rFonts w:ascii="Trebuchet MS" w:eastAsia="Times New Roman" w:hAnsi="Trebuchet MS"/>
      <w:i/>
      <w:color w:val="FF0000"/>
      <w:sz w:val="24"/>
      <w:szCs w:val="24"/>
    </w:rPr>
  </w:style>
  <w:style w:type="character" w:customStyle="1" w:styleId="ReminderChar">
    <w:name w:val="Reminder Char"/>
    <w:basedOn w:val="RemindersChar"/>
    <w:link w:val="Reminder"/>
    <w:rsid w:val="00E54914"/>
    <w:rPr>
      <w:rFonts w:ascii="Trebuchet MS" w:eastAsia="Times New Roman" w:hAnsi="Trebuchet MS"/>
      <w:i/>
      <w:color w:val="FF0000"/>
      <w:sz w:val="24"/>
      <w:szCs w:val="24"/>
    </w:rPr>
  </w:style>
  <w:style w:type="table" w:styleId="TableContemporary">
    <w:name w:val="Table Contemporary"/>
    <w:basedOn w:val="TableNormal"/>
    <w:rsid w:val="00E54914"/>
    <w:rPr>
      <w:rFonts w:eastAsia="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918137">
      <w:bodyDiv w:val="1"/>
      <w:marLeft w:val="0"/>
      <w:marRight w:val="0"/>
      <w:marTop w:val="0"/>
      <w:marBottom w:val="0"/>
      <w:divBdr>
        <w:top w:val="none" w:sz="0" w:space="0" w:color="auto"/>
        <w:left w:val="none" w:sz="0" w:space="0" w:color="auto"/>
        <w:bottom w:val="none" w:sz="0" w:space="0" w:color="auto"/>
        <w:right w:val="none" w:sz="0" w:space="0" w:color="auto"/>
      </w:divBdr>
    </w:div>
    <w:div w:id="159733661">
      <w:bodyDiv w:val="1"/>
      <w:marLeft w:val="0"/>
      <w:marRight w:val="0"/>
      <w:marTop w:val="0"/>
      <w:marBottom w:val="0"/>
      <w:divBdr>
        <w:top w:val="none" w:sz="0" w:space="0" w:color="auto"/>
        <w:left w:val="none" w:sz="0" w:space="0" w:color="auto"/>
        <w:bottom w:val="none" w:sz="0" w:space="0" w:color="auto"/>
        <w:right w:val="none" w:sz="0" w:space="0" w:color="auto"/>
      </w:divBdr>
    </w:div>
    <w:div w:id="341054023">
      <w:bodyDiv w:val="1"/>
      <w:marLeft w:val="0"/>
      <w:marRight w:val="0"/>
      <w:marTop w:val="0"/>
      <w:marBottom w:val="0"/>
      <w:divBdr>
        <w:top w:val="none" w:sz="0" w:space="0" w:color="auto"/>
        <w:left w:val="none" w:sz="0" w:space="0" w:color="auto"/>
        <w:bottom w:val="none" w:sz="0" w:space="0" w:color="auto"/>
        <w:right w:val="none" w:sz="0" w:space="0" w:color="auto"/>
      </w:divBdr>
    </w:div>
    <w:div w:id="386758388">
      <w:bodyDiv w:val="1"/>
      <w:marLeft w:val="0"/>
      <w:marRight w:val="0"/>
      <w:marTop w:val="0"/>
      <w:marBottom w:val="0"/>
      <w:divBdr>
        <w:top w:val="none" w:sz="0" w:space="0" w:color="auto"/>
        <w:left w:val="none" w:sz="0" w:space="0" w:color="auto"/>
        <w:bottom w:val="none" w:sz="0" w:space="0" w:color="auto"/>
        <w:right w:val="none" w:sz="0" w:space="0" w:color="auto"/>
      </w:divBdr>
    </w:div>
    <w:div w:id="492062529">
      <w:bodyDiv w:val="1"/>
      <w:marLeft w:val="0"/>
      <w:marRight w:val="0"/>
      <w:marTop w:val="0"/>
      <w:marBottom w:val="0"/>
      <w:divBdr>
        <w:top w:val="none" w:sz="0" w:space="0" w:color="auto"/>
        <w:left w:val="none" w:sz="0" w:space="0" w:color="auto"/>
        <w:bottom w:val="none" w:sz="0" w:space="0" w:color="auto"/>
        <w:right w:val="none" w:sz="0" w:space="0" w:color="auto"/>
      </w:divBdr>
    </w:div>
    <w:div w:id="499588411">
      <w:bodyDiv w:val="1"/>
      <w:marLeft w:val="0"/>
      <w:marRight w:val="0"/>
      <w:marTop w:val="0"/>
      <w:marBottom w:val="0"/>
      <w:divBdr>
        <w:top w:val="none" w:sz="0" w:space="0" w:color="auto"/>
        <w:left w:val="none" w:sz="0" w:space="0" w:color="auto"/>
        <w:bottom w:val="none" w:sz="0" w:space="0" w:color="auto"/>
        <w:right w:val="none" w:sz="0" w:space="0" w:color="auto"/>
      </w:divBdr>
    </w:div>
    <w:div w:id="695277415">
      <w:bodyDiv w:val="1"/>
      <w:marLeft w:val="0"/>
      <w:marRight w:val="0"/>
      <w:marTop w:val="0"/>
      <w:marBottom w:val="0"/>
      <w:divBdr>
        <w:top w:val="none" w:sz="0" w:space="0" w:color="auto"/>
        <w:left w:val="none" w:sz="0" w:space="0" w:color="auto"/>
        <w:bottom w:val="none" w:sz="0" w:space="0" w:color="auto"/>
        <w:right w:val="none" w:sz="0" w:space="0" w:color="auto"/>
      </w:divBdr>
    </w:div>
    <w:div w:id="710573775">
      <w:bodyDiv w:val="1"/>
      <w:marLeft w:val="0"/>
      <w:marRight w:val="0"/>
      <w:marTop w:val="0"/>
      <w:marBottom w:val="0"/>
      <w:divBdr>
        <w:top w:val="none" w:sz="0" w:space="0" w:color="auto"/>
        <w:left w:val="none" w:sz="0" w:space="0" w:color="auto"/>
        <w:bottom w:val="none" w:sz="0" w:space="0" w:color="auto"/>
        <w:right w:val="none" w:sz="0" w:space="0" w:color="auto"/>
      </w:divBdr>
    </w:div>
    <w:div w:id="825317539">
      <w:bodyDiv w:val="1"/>
      <w:marLeft w:val="0"/>
      <w:marRight w:val="0"/>
      <w:marTop w:val="0"/>
      <w:marBottom w:val="0"/>
      <w:divBdr>
        <w:top w:val="none" w:sz="0" w:space="0" w:color="auto"/>
        <w:left w:val="none" w:sz="0" w:space="0" w:color="auto"/>
        <w:bottom w:val="none" w:sz="0" w:space="0" w:color="auto"/>
        <w:right w:val="none" w:sz="0" w:space="0" w:color="auto"/>
      </w:divBdr>
    </w:div>
    <w:div w:id="839350467">
      <w:bodyDiv w:val="1"/>
      <w:marLeft w:val="0"/>
      <w:marRight w:val="0"/>
      <w:marTop w:val="0"/>
      <w:marBottom w:val="0"/>
      <w:divBdr>
        <w:top w:val="none" w:sz="0" w:space="0" w:color="auto"/>
        <w:left w:val="none" w:sz="0" w:space="0" w:color="auto"/>
        <w:bottom w:val="none" w:sz="0" w:space="0" w:color="auto"/>
        <w:right w:val="none" w:sz="0" w:space="0" w:color="auto"/>
      </w:divBdr>
    </w:div>
    <w:div w:id="949361086">
      <w:bodyDiv w:val="1"/>
      <w:marLeft w:val="0"/>
      <w:marRight w:val="0"/>
      <w:marTop w:val="0"/>
      <w:marBottom w:val="0"/>
      <w:divBdr>
        <w:top w:val="none" w:sz="0" w:space="0" w:color="auto"/>
        <w:left w:val="none" w:sz="0" w:space="0" w:color="auto"/>
        <w:bottom w:val="none" w:sz="0" w:space="0" w:color="auto"/>
        <w:right w:val="none" w:sz="0" w:space="0" w:color="auto"/>
      </w:divBdr>
    </w:div>
    <w:div w:id="1100293014">
      <w:bodyDiv w:val="1"/>
      <w:marLeft w:val="0"/>
      <w:marRight w:val="0"/>
      <w:marTop w:val="0"/>
      <w:marBottom w:val="0"/>
      <w:divBdr>
        <w:top w:val="none" w:sz="0" w:space="0" w:color="auto"/>
        <w:left w:val="none" w:sz="0" w:space="0" w:color="auto"/>
        <w:bottom w:val="none" w:sz="0" w:space="0" w:color="auto"/>
        <w:right w:val="none" w:sz="0" w:space="0" w:color="auto"/>
      </w:divBdr>
    </w:div>
    <w:div w:id="1190948277">
      <w:bodyDiv w:val="1"/>
      <w:marLeft w:val="0"/>
      <w:marRight w:val="0"/>
      <w:marTop w:val="0"/>
      <w:marBottom w:val="0"/>
      <w:divBdr>
        <w:top w:val="none" w:sz="0" w:space="0" w:color="auto"/>
        <w:left w:val="none" w:sz="0" w:space="0" w:color="auto"/>
        <w:bottom w:val="none" w:sz="0" w:space="0" w:color="auto"/>
        <w:right w:val="none" w:sz="0" w:space="0" w:color="auto"/>
      </w:divBdr>
    </w:div>
    <w:div w:id="1201749239">
      <w:bodyDiv w:val="1"/>
      <w:marLeft w:val="0"/>
      <w:marRight w:val="0"/>
      <w:marTop w:val="0"/>
      <w:marBottom w:val="0"/>
      <w:divBdr>
        <w:top w:val="none" w:sz="0" w:space="0" w:color="auto"/>
        <w:left w:val="none" w:sz="0" w:space="0" w:color="auto"/>
        <w:bottom w:val="none" w:sz="0" w:space="0" w:color="auto"/>
        <w:right w:val="none" w:sz="0" w:space="0" w:color="auto"/>
      </w:divBdr>
    </w:div>
    <w:div w:id="1203594452">
      <w:bodyDiv w:val="1"/>
      <w:marLeft w:val="0"/>
      <w:marRight w:val="0"/>
      <w:marTop w:val="0"/>
      <w:marBottom w:val="0"/>
      <w:divBdr>
        <w:top w:val="none" w:sz="0" w:space="0" w:color="auto"/>
        <w:left w:val="none" w:sz="0" w:space="0" w:color="auto"/>
        <w:bottom w:val="none" w:sz="0" w:space="0" w:color="auto"/>
        <w:right w:val="none" w:sz="0" w:space="0" w:color="auto"/>
      </w:divBdr>
    </w:div>
    <w:div w:id="1279949800">
      <w:bodyDiv w:val="1"/>
      <w:marLeft w:val="0"/>
      <w:marRight w:val="0"/>
      <w:marTop w:val="0"/>
      <w:marBottom w:val="0"/>
      <w:divBdr>
        <w:top w:val="none" w:sz="0" w:space="0" w:color="auto"/>
        <w:left w:val="none" w:sz="0" w:space="0" w:color="auto"/>
        <w:bottom w:val="none" w:sz="0" w:space="0" w:color="auto"/>
        <w:right w:val="none" w:sz="0" w:space="0" w:color="auto"/>
      </w:divBdr>
    </w:div>
    <w:div w:id="1343239950">
      <w:bodyDiv w:val="1"/>
      <w:marLeft w:val="0"/>
      <w:marRight w:val="0"/>
      <w:marTop w:val="0"/>
      <w:marBottom w:val="0"/>
      <w:divBdr>
        <w:top w:val="none" w:sz="0" w:space="0" w:color="auto"/>
        <w:left w:val="none" w:sz="0" w:space="0" w:color="auto"/>
        <w:bottom w:val="none" w:sz="0" w:space="0" w:color="auto"/>
        <w:right w:val="none" w:sz="0" w:space="0" w:color="auto"/>
      </w:divBdr>
    </w:div>
    <w:div w:id="1430662393">
      <w:bodyDiv w:val="1"/>
      <w:marLeft w:val="0"/>
      <w:marRight w:val="0"/>
      <w:marTop w:val="0"/>
      <w:marBottom w:val="0"/>
      <w:divBdr>
        <w:top w:val="none" w:sz="0" w:space="0" w:color="auto"/>
        <w:left w:val="none" w:sz="0" w:space="0" w:color="auto"/>
        <w:bottom w:val="none" w:sz="0" w:space="0" w:color="auto"/>
        <w:right w:val="none" w:sz="0" w:space="0" w:color="auto"/>
      </w:divBdr>
    </w:div>
    <w:div w:id="1716351195">
      <w:bodyDiv w:val="1"/>
      <w:marLeft w:val="0"/>
      <w:marRight w:val="0"/>
      <w:marTop w:val="0"/>
      <w:marBottom w:val="0"/>
      <w:divBdr>
        <w:top w:val="none" w:sz="0" w:space="0" w:color="auto"/>
        <w:left w:val="none" w:sz="0" w:space="0" w:color="auto"/>
        <w:bottom w:val="none" w:sz="0" w:space="0" w:color="auto"/>
        <w:right w:val="none" w:sz="0" w:space="0" w:color="auto"/>
      </w:divBdr>
    </w:div>
    <w:div w:id="1873615160">
      <w:bodyDiv w:val="1"/>
      <w:marLeft w:val="0"/>
      <w:marRight w:val="0"/>
      <w:marTop w:val="0"/>
      <w:marBottom w:val="0"/>
      <w:divBdr>
        <w:top w:val="none" w:sz="0" w:space="0" w:color="auto"/>
        <w:left w:val="none" w:sz="0" w:space="0" w:color="auto"/>
        <w:bottom w:val="none" w:sz="0" w:space="0" w:color="auto"/>
        <w:right w:val="none" w:sz="0" w:space="0" w:color="auto"/>
      </w:divBdr>
    </w:div>
    <w:div w:id="2122874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6.xml"/><Relationship Id="rId18" Type="http://schemas.openxmlformats.org/officeDocument/2006/relationships/image" Target="media/image2.jpeg"/><Relationship Id="rId26" Type="http://schemas.openxmlformats.org/officeDocument/2006/relationships/package" Target="embeddings/Microsoft_Excel_Worksheet2.xlsx"/><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footer" Target="footer5.xml"/><Relationship Id="rId17" Type="http://schemas.openxmlformats.org/officeDocument/2006/relationships/chart" Target="charts/chart2.xml"/><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footer" Target="footer10.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5.png"/><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package" Target="embeddings/Microsoft_Excel_Worksheet1.xlsx"/><Relationship Id="rId32" Type="http://schemas.openxmlformats.org/officeDocument/2006/relationships/package" Target="embeddings/Microsoft_Excel_Worksheet4.xlsx"/><Relationship Id="rId37" Type="http://schemas.openxmlformats.org/officeDocument/2006/relationships/footer" Target="footer9.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8.xml"/><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header" Target="header2.xml"/><Relationship Id="rId10" Type="http://schemas.openxmlformats.org/officeDocument/2006/relationships/footer" Target="footer3.xml"/><Relationship Id="rId19" Type="http://schemas.openxmlformats.org/officeDocument/2006/relationships/image" Target="media/image3.gif"/><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7.xml"/><Relationship Id="rId22" Type="http://schemas.openxmlformats.org/officeDocument/2006/relationships/package" Target="embeddings/Microsoft_Excel_Worksheet.xlsx"/><Relationship Id="rId27" Type="http://schemas.openxmlformats.org/officeDocument/2006/relationships/image" Target="media/image9.emf"/><Relationship Id="rId30" Type="http://schemas.openxmlformats.org/officeDocument/2006/relationships/package" Target="embeddings/Microsoft_Excel_Worksheet3.xlsx"/><Relationship Id="rId35" Type="http://schemas.openxmlformats.org/officeDocument/2006/relationships/header" Target="header1.xml"/></Relationships>
</file>

<file path=word/_rels/endnotes.xml.rels><?xml version="1.0" encoding="UTF-8" standalone="yes"?>
<Relationships xmlns="http://schemas.openxmlformats.org/package/2006/relationships"><Relationship Id="rId8" Type="http://schemas.openxmlformats.org/officeDocument/2006/relationships/hyperlink" Target="http://www.deeresources.com/" TargetMode="External"/><Relationship Id="rId13" Type="http://schemas.openxmlformats.org/officeDocument/2006/relationships/hyperlink" Target="http://websafe.kemainc.com/rass2009/Default.aspx" TargetMode="External"/><Relationship Id="rId3" Type="http://schemas.openxmlformats.org/officeDocument/2006/relationships/image" Target="media/image1.emf"/><Relationship Id="rId7" Type="http://schemas.openxmlformats.org/officeDocument/2006/relationships/hyperlink" Target="http://www.appliances.energy.ca.gov/AdvancedSearch.aspx" TargetMode="External"/><Relationship Id="rId12" Type="http://schemas.openxmlformats.org/officeDocument/2006/relationships/hyperlink" Target="http://www.energy.ca.gov/maps/renewable/building_climate_zones.html" TargetMode="External"/><Relationship Id="rId17" Type="http://schemas.openxmlformats.org/officeDocument/2006/relationships/hyperlink" Target="http://www.calmac.org/publications/2010-2012_WO017_Ex_Ante_Measure_Cost_Study_-_Final_Report.pdf" TargetMode="External"/><Relationship Id="rId2" Type="http://schemas.openxmlformats.org/officeDocument/2006/relationships/hyperlink" Target="http://www.energy.ca.gov/2012publications/CEC-140-2012-002/CEC-140-2012-002.pdf" TargetMode="External"/><Relationship Id="rId16" Type="http://schemas.openxmlformats.org/officeDocument/2006/relationships/hyperlink" Target="https://www.regulations.gov/" TargetMode="External"/><Relationship Id="rId1" Type="http://schemas.openxmlformats.org/officeDocument/2006/relationships/hyperlink" Target="http://webstore.ansi.org/RecordDetail.aspx?sku=ANSI+Z21.10.3-2011%2FCSA+4.3-2011" TargetMode="External"/><Relationship Id="rId6" Type="http://schemas.openxmlformats.org/officeDocument/2006/relationships/hyperlink" Target="http://www.energy.ca.gov/title24/2013standards/prerulemaking/documents/current/Reports/Residential/Water_Heating/2013_CASE_WH2.WH5_WaterHeaterReady-10.28.2011.pdf" TargetMode="External"/><Relationship Id="rId11" Type="http://schemas.openxmlformats.org/officeDocument/2006/relationships/hyperlink" Target="http://deeresources.com/files/DEER2011/download/DEER2011_NTGR_2012-05-16.xls" TargetMode="External"/><Relationship Id="rId5" Type="http://schemas.openxmlformats.org/officeDocument/2006/relationships/hyperlink" Target="http://www.appliances.energy.ca.gov/AdvancedSearch.aspx" TargetMode="External"/><Relationship Id="rId15" Type="http://schemas.openxmlformats.org/officeDocument/2006/relationships/oleObject" Target="embeddings/oleObject2.bin"/><Relationship Id="rId10" Type="http://schemas.openxmlformats.org/officeDocument/2006/relationships/hyperlink" Target="http://deeresources.com/files/DEER2013codeUpdate/download/DEER2014-EUL-table-update_2014-02-05.xlsx" TargetMode="External"/><Relationship Id="rId4" Type="http://schemas.openxmlformats.org/officeDocument/2006/relationships/oleObject" Target="embeddings/oleObject1.bin"/><Relationship Id="rId9" Type="http://schemas.openxmlformats.org/officeDocument/2006/relationships/hyperlink" Target="https://www.regulations.gov/" TargetMode="External"/><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13.wmf"/></Relationships>
</file>

<file path=word/_rels/header2.xml.rels><?xml version="1.0" encoding="UTF-8" standalone="yes"?>
<Relationships xmlns="http://schemas.openxmlformats.org/package/2006/relationships"><Relationship Id="rId1" Type="http://schemas.openxmlformats.org/officeDocument/2006/relationships/image" Target="media/image13.wmf"/></Relationships>
</file>

<file path=word/charts/_rels/chart1.xml.rels><?xml version="1.0" encoding="UTF-8" standalone="yes"?>
<Relationships xmlns="http://schemas.openxmlformats.org/package/2006/relationships"><Relationship Id="rId1" Type="http://schemas.openxmlformats.org/officeDocument/2006/relationships/oleObject" Target="file:///C:\Users\16338\Documents\SCG%20Energy%20Efficiency\13SCG%20Condensing%20SWH\MF%20Resid%20SWH%20reference%20materials\CEC%20Appliance%20Efficiency%20Database%20Large%20Water_Heater_Products-v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6338\Documents\SCG%20Energy%20Efficiency\13SCG%20Condensing%20SWH\MF%20Resid%20SWH%20reference%20materials\CEC%20Appliance%20Efficiency%20Database%20Large%20Water_Heater_Products-v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478018372703413"/>
          <c:y val="5.1400554097404488E-2"/>
          <c:w val="0.82466426071741028"/>
          <c:h val="0.83110710119568387"/>
        </c:manualLayout>
      </c:layout>
      <c:barChart>
        <c:barDir val="col"/>
        <c:grouping val="clustered"/>
        <c:varyColors val="0"/>
        <c:ser>
          <c:idx val="0"/>
          <c:order val="0"/>
          <c:spPr>
            <a:solidFill>
              <a:schemeClr val="tx1"/>
            </a:solidFill>
          </c:spPr>
          <c:invertIfNegative val="0"/>
          <c:val>
            <c:numRef>
              <c:f>'LgGasSWH&lt;86'!$I$2:$I$938</c:f>
              <c:numCache>
                <c:formatCode>General</c:formatCode>
                <c:ptCount val="937"/>
                <c:pt idx="0">
                  <c:v>80</c:v>
                </c:pt>
                <c:pt idx="1">
                  <c:v>80</c:v>
                </c:pt>
                <c:pt idx="2">
                  <c:v>80</c:v>
                </c:pt>
                <c:pt idx="3">
                  <c:v>80</c:v>
                </c:pt>
                <c:pt idx="4">
                  <c:v>80</c:v>
                </c:pt>
                <c:pt idx="5">
                  <c:v>80</c:v>
                </c:pt>
                <c:pt idx="6">
                  <c:v>80</c:v>
                </c:pt>
                <c:pt idx="7">
                  <c:v>80</c:v>
                </c:pt>
                <c:pt idx="8">
                  <c:v>80</c:v>
                </c:pt>
                <c:pt idx="9">
                  <c:v>80</c:v>
                </c:pt>
                <c:pt idx="10">
                  <c:v>80</c:v>
                </c:pt>
                <c:pt idx="11">
                  <c:v>80</c:v>
                </c:pt>
                <c:pt idx="12">
                  <c:v>80</c:v>
                </c:pt>
                <c:pt idx="13">
                  <c:v>80</c:v>
                </c:pt>
                <c:pt idx="14">
                  <c:v>80</c:v>
                </c:pt>
                <c:pt idx="15">
                  <c:v>80</c:v>
                </c:pt>
                <c:pt idx="16">
                  <c:v>80</c:v>
                </c:pt>
                <c:pt idx="17">
                  <c:v>80</c:v>
                </c:pt>
                <c:pt idx="18">
                  <c:v>80</c:v>
                </c:pt>
                <c:pt idx="19">
                  <c:v>80</c:v>
                </c:pt>
                <c:pt idx="20">
                  <c:v>80</c:v>
                </c:pt>
                <c:pt idx="21">
                  <c:v>80</c:v>
                </c:pt>
                <c:pt idx="22">
                  <c:v>80</c:v>
                </c:pt>
                <c:pt idx="23">
                  <c:v>80</c:v>
                </c:pt>
                <c:pt idx="24">
                  <c:v>80</c:v>
                </c:pt>
                <c:pt idx="25">
                  <c:v>80</c:v>
                </c:pt>
                <c:pt idx="26">
                  <c:v>80</c:v>
                </c:pt>
                <c:pt idx="27">
                  <c:v>80</c:v>
                </c:pt>
                <c:pt idx="28">
                  <c:v>80</c:v>
                </c:pt>
                <c:pt idx="29">
                  <c:v>80</c:v>
                </c:pt>
                <c:pt idx="30">
                  <c:v>80</c:v>
                </c:pt>
                <c:pt idx="31">
                  <c:v>80</c:v>
                </c:pt>
                <c:pt idx="32">
                  <c:v>80</c:v>
                </c:pt>
                <c:pt idx="33">
                  <c:v>80</c:v>
                </c:pt>
                <c:pt idx="34">
                  <c:v>80</c:v>
                </c:pt>
                <c:pt idx="35">
                  <c:v>80</c:v>
                </c:pt>
                <c:pt idx="36">
                  <c:v>80</c:v>
                </c:pt>
                <c:pt idx="37">
                  <c:v>80</c:v>
                </c:pt>
                <c:pt idx="38">
                  <c:v>80</c:v>
                </c:pt>
                <c:pt idx="39">
                  <c:v>80</c:v>
                </c:pt>
                <c:pt idx="40">
                  <c:v>80</c:v>
                </c:pt>
                <c:pt idx="41">
                  <c:v>80</c:v>
                </c:pt>
                <c:pt idx="42">
                  <c:v>80</c:v>
                </c:pt>
                <c:pt idx="43">
                  <c:v>80</c:v>
                </c:pt>
                <c:pt idx="44">
                  <c:v>80</c:v>
                </c:pt>
                <c:pt idx="45">
                  <c:v>80</c:v>
                </c:pt>
                <c:pt idx="46">
                  <c:v>80</c:v>
                </c:pt>
                <c:pt idx="47">
                  <c:v>80</c:v>
                </c:pt>
                <c:pt idx="48">
                  <c:v>80</c:v>
                </c:pt>
                <c:pt idx="49">
                  <c:v>80</c:v>
                </c:pt>
                <c:pt idx="50">
                  <c:v>80</c:v>
                </c:pt>
                <c:pt idx="51">
                  <c:v>80</c:v>
                </c:pt>
                <c:pt idx="52">
                  <c:v>80</c:v>
                </c:pt>
                <c:pt idx="53">
                  <c:v>80</c:v>
                </c:pt>
                <c:pt idx="54">
                  <c:v>80</c:v>
                </c:pt>
                <c:pt idx="55">
                  <c:v>80</c:v>
                </c:pt>
                <c:pt idx="56">
                  <c:v>80</c:v>
                </c:pt>
                <c:pt idx="57">
                  <c:v>80</c:v>
                </c:pt>
                <c:pt idx="58">
                  <c:v>80</c:v>
                </c:pt>
                <c:pt idx="59">
                  <c:v>80</c:v>
                </c:pt>
                <c:pt idx="60">
                  <c:v>80</c:v>
                </c:pt>
                <c:pt idx="61">
                  <c:v>80</c:v>
                </c:pt>
                <c:pt idx="62">
                  <c:v>80</c:v>
                </c:pt>
                <c:pt idx="63">
                  <c:v>80</c:v>
                </c:pt>
                <c:pt idx="64">
                  <c:v>80</c:v>
                </c:pt>
                <c:pt idx="65">
                  <c:v>80</c:v>
                </c:pt>
                <c:pt idx="66">
                  <c:v>80</c:v>
                </c:pt>
                <c:pt idx="67">
                  <c:v>80</c:v>
                </c:pt>
                <c:pt idx="68">
                  <c:v>80</c:v>
                </c:pt>
                <c:pt idx="69">
                  <c:v>80</c:v>
                </c:pt>
                <c:pt idx="70">
                  <c:v>80</c:v>
                </c:pt>
                <c:pt idx="71">
                  <c:v>80</c:v>
                </c:pt>
                <c:pt idx="72">
                  <c:v>80</c:v>
                </c:pt>
                <c:pt idx="73">
                  <c:v>80</c:v>
                </c:pt>
                <c:pt idx="74">
                  <c:v>80</c:v>
                </c:pt>
                <c:pt idx="75">
                  <c:v>80</c:v>
                </c:pt>
                <c:pt idx="76">
                  <c:v>80</c:v>
                </c:pt>
                <c:pt idx="77">
                  <c:v>80</c:v>
                </c:pt>
                <c:pt idx="78">
                  <c:v>80</c:v>
                </c:pt>
                <c:pt idx="79">
                  <c:v>80</c:v>
                </c:pt>
                <c:pt idx="80">
                  <c:v>80</c:v>
                </c:pt>
                <c:pt idx="81">
                  <c:v>80</c:v>
                </c:pt>
                <c:pt idx="82">
                  <c:v>80</c:v>
                </c:pt>
                <c:pt idx="83">
                  <c:v>80</c:v>
                </c:pt>
                <c:pt idx="84">
                  <c:v>80</c:v>
                </c:pt>
                <c:pt idx="85">
                  <c:v>80</c:v>
                </c:pt>
                <c:pt idx="86">
                  <c:v>80</c:v>
                </c:pt>
                <c:pt idx="87">
                  <c:v>80</c:v>
                </c:pt>
                <c:pt idx="88">
                  <c:v>80</c:v>
                </c:pt>
                <c:pt idx="89">
                  <c:v>80</c:v>
                </c:pt>
                <c:pt idx="90">
                  <c:v>80</c:v>
                </c:pt>
                <c:pt idx="91">
                  <c:v>80</c:v>
                </c:pt>
                <c:pt idx="92">
                  <c:v>80</c:v>
                </c:pt>
                <c:pt idx="93">
                  <c:v>80</c:v>
                </c:pt>
                <c:pt idx="94">
                  <c:v>80</c:v>
                </c:pt>
                <c:pt idx="95">
                  <c:v>80</c:v>
                </c:pt>
                <c:pt idx="96">
                  <c:v>80</c:v>
                </c:pt>
                <c:pt idx="97">
                  <c:v>80</c:v>
                </c:pt>
                <c:pt idx="98">
                  <c:v>80</c:v>
                </c:pt>
                <c:pt idx="99">
                  <c:v>80</c:v>
                </c:pt>
                <c:pt idx="100">
                  <c:v>80</c:v>
                </c:pt>
                <c:pt idx="101">
                  <c:v>80</c:v>
                </c:pt>
                <c:pt idx="102">
                  <c:v>80</c:v>
                </c:pt>
                <c:pt idx="103">
                  <c:v>80</c:v>
                </c:pt>
                <c:pt idx="104">
                  <c:v>80</c:v>
                </c:pt>
                <c:pt idx="105">
                  <c:v>80</c:v>
                </c:pt>
                <c:pt idx="106">
                  <c:v>80</c:v>
                </c:pt>
                <c:pt idx="107">
                  <c:v>80</c:v>
                </c:pt>
                <c:pt idx="108">
                  <c:v>80</c:v>
                </c:pt>
                <c:pt idx="109">
                  <c:v>80</c:v>
                </c:pt>
                <c:pt idx="110">
                  <c:v>80</c:v>
                </c:pt>
                <c:pt idx="111">
                  <c:v>80</c:v>
                </c:pt>
                <c:pt idx="112">
                  <c:v>80</c:v>
                </c:pt>
                <c:pt idx="113">
                  <c:v>80</c:v>
                </c:pt>
                <c:pt idx="114">
                  <c:v>80</c:v>
                </c:pt>
                <c:pt idx="115">
                  <c:v>80</c:v>
                </c:pt>
                <c:pt idx="116">
                  <c:v>80</c:v>
                </c:pt>
                <c:pt idx="117">
                  <c:v>80</c:v>
                </c:pt>
                <c:pt idx="118">
                  <c:v>80</c:v>
                </c:pt>
                <c:pt idx="119">
                  <c:v>80</c:v>
                </c:pt>
                <c:pt idx="120">
                  <c:v>80</c:v>
                </c:pt>
                <c:pt idx="121">
                  <c:v>80</c:v>
                </c:pt>
                <c:pt idx="122">
                  <c:v>80</c:v>
                </c:pt>
                <c:pt idx="123">
                  <c:v>80</c:v>
                </c:pt>
                <c:pt idx="124">
                  <c:v>80</c:v>
                </c:pt>
                <c:pt idx="125">
                  <c:v>80</c:v>
                </c:pt>
                <c:pt idx="126">
                  <c:v>80</c:v>
                </c:pt>
                <c:pt idx="127">
                  <c:v>80</c:v>
                </c:pt>
                <c:pt idx="128">
                  <c:v>80</c:v>
                </c:pt>
                <c:pt idx="129">
                  <c:v>80</c:v>
                </c:pt>
                <c:pt idx="130">
                  <c:v>80</c:v>
                </c:pt>
                <c:pt idx="131">
                  <c:v>80</c:v>
                </c:pt>
                <c:pt idx="132">
                  <c:v>80</c:v>
                </c:pt>
                <c:pt idx="133">
                  <c:v>80</c:v>
                </c:pt>
                <c:pt idx="134">
                  <c:v>80</c:v>
                </c:pt>
                <c:pt idx="135">
                  <c:v>80</c:v>
                </c:pt>
                <c:pt idx="136">
                  <c:v>80</c:v>
                </c:pt>
                <c:pt idx="137">
                  <c:v>80</c:v>
                </c:pt>
                <c:pt idx="138">
                  <c:v>80</c:v>
                </c:pt>
                <c:pt idx="139">
                  <c:v>80</c:v>
                </c:pt>
                <c:pt idx="140">
                  <c:v>80</c:v>
                </c:pt>
                <c:pt idx="141">
                  <c:v>80</c:v>
                </c:pt>
                <c:pt idx="142">
                  <c:v>80</c:v>
                </c:pt>
                <c:pt idx="143">
                  <c:v>80</c:v>
                </c:pt>
                <c:pt idx="144">
                  <c:v>80</c:v>
                </c:pt>
                <c:pt idx="145">
                  <c:v>80</c:v>
                </c:pt>
                <c:pt idx="146">
                  <c:v>80</c:v>
                </c:pt>
                <c:pt idx="147">
                  <c:v>80</c:v>
                </c:pt>
                <c:pt idx="148">
                  <c:v>80</c:v>
                </c:pt>
                <c:pt idx="149">
                  <c:v>80</c:v>
                </c:pt>
                <c:pt idx="150">
                  <c:v>80</c:v>
                </c:pt>
                <c:pt idx="151">
                  <c:v>80</c:v>
                </c:pt>
                <c:pt idx="152">
                  <c:v>80</c:v>
                </c:pt>
                <c:pt idx="153">
                  <c:v>80</c:v>
                </c:pt>
                <c:pt idx="154">
                  <c:v>80</c:v>
                </c:pt>
                <c:pt idx="155">
                  <c:v>80</c:v>
                </c:pt>
                <c:pt idx="156">
                  <c:v>80</c:v>
                </c:pt>
                <c:pt idx="157">
                  <c:v>80</c:v>
                </c:pt>
                <c:pt idx="158">
                  <c:v>80</c:v>
                </c:pt>
                <c:pt idx="159">
                  <c:v>80</c:v>
                </c:pt>
                <c:pt idx="160">
                  <c:v>80</c:v>
                </c:pt>
                <c:pt idx="161">
                  <c:v>80</c:v>
                </c:pt>
                <c:pt idx="162">
                  <c:v>80</c:v>
                </c:pt>
                <c:pt idx="163">
                  <c:v>80</c:v>
                </c:pt>
                <c:pt idx="164">
                  <c:v>80</c:v>
                </c:pt>
                <c:pt idx="165">
                  <c:v>80</c:v>
                </c:pt>
                <c:pt idx="166">
                  <c:v>80</c:v>
                </c:pt>
                <c:pt idx="167">
                  <c:v>80</c:v>
                </c:pt>
                <c:pt idx="168">
                  <c:v>80</c:v>
                </c:pt>
                <c:pt idx="169">
                  <c:v>80</c:v>
                </c:pt>
                <c:pt idx="170">
                  <c:v>80</c:v>
                </c:pt>
                <c:pt idx="171">
                  <c:v>80</c:v>
                </c:pt>
                <c:pt idx="172">
                  <c:v>80</c:v>
                </c:pt>
                <c:pt idx="173">
                  <c:v>80</c:v>
                </c:pt>
                <c:pt idx="174">
                  <c:v>80</c:v>
                </c:pt>
                <c:pt idx="175">
                  <c:v>80</c:v>
                </c:pt>
                <c:pt idx="176">
                  <c:v>80</c:v>
                </c:pt>
                <c:pt idx="177">
                  <c:v>80</c:v>
                </c:pt>
                <c:pt idx="178">
                  <c:v>80</c:v>
                </c:pt>
                <c:pt idx="179">
                  <c:v>80</c:v>
                </c:pt>
                <c:pt idx="180">
                  <c:v>80</c:v>
                </c:pt>
                <c:pt idx="181">
                  <c:v>80</c:v>
                </c:pt>
                <c:pt idx="182">
                  <c:v>80</c:v>
                </c:pt>
                <c:pt idx="183">
                  <c:v>80</c:v>
                </c:pt>
                <c:pt idx="184">
                  <c:v>80</c:v>
                </c:pt>
                <c:pt idx="185">
                  <c:v>80</c:v>
                </c:pt>
                <c:pt idx="186">
                  <c:v>80</c:v>
                </c:pt>
                <c:pt idx="187">
                  <c:v>80</c:v>
                </c:pt>
                <c:pt idx="188">
                  <c:v>80</c:v>
                </c:pt>
                <c:pt idx="189">
                  <c:v>80</c:v>
                </c:pt>
                <c:pt idx="190">
                  <c:v>80</c:v>
                </c:pt>
                <c:pt idx="191">
                  <c:v>80</c:v>
                </c:pt>
                <c:pt idx="192">
                  <c:v>80</c:v>
                </c:pt>
                <c:pt idx="193">
                  <c:v>80</c:v>
                </c:pt>
                <c:pt idx="194">
                  <c:v>80</c:v>
                </c:pt>
                <c:pt idx="195">
                  <c:v>80</c:v>
                </c:pt>
                <c:pt idx="196">
                  <c:v>80</c:v>
                </c:pt>
                <c:pt idx="197">
                  <c:v>80</c:v>
                </c:pt>
                <c:pt idx="198">
                  <c:v>80</c:v>
                </c:pt>
                <c:pt idx="199">
                  <c:v>80</c:v>
                </c:pt>
                <c:pt idx="200">
                  <c:v>80</c:v>
                </c:pt>
                <c:pt idx="201">
                  <c:v>80</c:v>
                </c:pt>
                <c:pt idx="202">
                  <c:v>80</c:v>
                </c:pt>
                <c:pt idx="203">
                  <c:v>80</c:v>
                </c:pt>
                <c:pt idx="204">
                  <c:v>80</c:v>
                </c:pt>
                <c:pt idx="205">
                  <c:v>80</c:v>
                </c:pt>
                <c:pt idx="206">
                  <c:v>80</c:v>
                </c:pt>
                <c:pt idx="207">
                  <c:v>80</c:v>
                </c:pt>
                <c:pt idx="208">
                  <c:v>80</c:v>
                </c:pt>
                <c:pt idx="209">
                  <c:v>80</c:v>
                </c:pt>
                <c:pt idx="210">
                  <c:v>80</c:v>
                </c:pt>
                <c:pt idx="211">
                  <c:v>80</c:v>
                </c:pt>
                <c:pt idx="212">
                  <c:v>80</c:v>
                </c:pt>
                <c:pt idx="213">
                  <c:v>80</c:v>
                </c:pt>
                <c:pt idx="214">
                  <c:v>80</c:v>
                </c:pt>
                <c:pt idx="215">
                  <c:v>80</c:v>
                </c:pt>
                <c:pt idx="216">
                  <c:v>80</c:v>
                </c:pt>
                <c:pt idx="217">
                  <c:v>80</c:v>
                </c:pt>
                <c:pt idx="218">
                  <c:v>80</c:v>
                </c:pt>
                <c:pt idx="219">
                  <c:v>80</c:v>
                </c:pt>
                <c:pt idx="220">
                  <c:v>80</c:v>
                </c:pt>
                <c:pt idx="221">
                  <c:v>80</c:v>
                </c:pt>
                <c:pt idx="222">
                  <c:v>80</c:v>
                </c:pt>
                <c:pt idx="223">
                  <c:v>80</c:v>
                </c:pt>
                <c:pt idx="224">
                  <c:v>80</c:v>
                </c:pt>
                <c:pt idx="225">
                  <c:v>80</c:v>
                </c:pt>
                <c:pt idx="226">
                  <c:v>80</c:v>
                </c:pt>
                <c:pt idx="227">
                  <c:v>80</c:v>
                </c:pt>
                <c:pt idx="228">
                  <c:v>80</c:v>
                </c:pt>
                <c:pt idx="229">
                  <c:v>80</c:v>
                </c:pt>
                <c:pt idx="230">
                  <c:v>80</c:v>
                </c:pt>
                <c:pt idx="231">
                  <c:v>80</c:v>
                </c:pt>
                <c:pt idx="232">
                  <c:v>80</c:v>
                </c:pt>
                <c:pt idx="233">
                  <c:v>80</c:v>
                </c:pt>
                <c:pt idx="234">
                  <c:v>80</c:v>
                </c:pt>
                <c:pt idx="235">
                  <c:v>80</c:v>
                </c:pt>
                <c:pt idx="236">
                  <c:v>80</c:v>
                </c:pt>
                <c:pt idx="237">
                  <c:v>80</c:v>
                </c:pt>
                <c:pt idx="238">
                  <c:v>80</c:v>
                </c:pt>
                <c:pt idx="239">
                  <c:v>80</c:v>
                </c:pt>
                <c:pt idx="240">
                  <c:v>80</c:v>
                </c:pt>
                <c:pt idx="241">
                  <c:v>80</c:v>
                </c:pt>
                <c:pt idx="242">
                  <c:v>80</c:v>
                </c:pt>
                <c:pt idx="243">
                  <c:v>80</c:v>
                </c:pt>
                <c:pt idx="244">
                  <c:v>80</c:v>
                </c:pt>
                <c:pt idx="245">
                  <c:v>80</c:v>
                </c:pt>
                <c:pt idx="246">
                  <c:v>80</c:v>
                </c:pt>
                <c:pt idx="247">
                  <c:v>80</c:v>
                </c:pt>
                <c:pt idx="248">
                  <c:v>80</c:v>
                </c:pt>
                <c:pt idx="249">
                  <c:v>80</c:v>
                </c:pt>
                <c:pt idx="250">
                  <c:v>80</c:v>
                </c:pt>
                <c:pt idx="251">
                  <c:v>80</c:v>
                </c:pt>
                <c:pt idx="252">
                  <c:v>80</c:v>
                </c:pt>
                <c:pt idx="253">
                  <c:v>80</c:v>
                </c:pt>
                <c:pt idx="254">
                  <c:v>80</c:v>
                </c:pt>
                <c:pt idx="255">
                  <c:v>80</c:v>
                </c:pt>
                <c:pt idx="256">
                  <c:v>80</c:v>
                </c:pt>
                <c:pt idx="257">
                  <c:v>80</c:v>
                </c:pt>
                <c:pt idx="258">
                  <c:v>80</c:v>
                </c:pt>
                <c:pt idx="259">
                  <c:v>80</c:v>
                </c:pt>
                <c:pt idx="260">
                  <c:v>80</c:v>
                </c:pt>
                <c:pt idx="261">
                  <c:v>80</c:v>
                </c:pt>
                <c:pt idx="262">
                  <c:v>80</c:v>
                </c:pt>
                <c:pt idx="263">
                  <c:v>80</c:v>
                </c:pt>
                <c:pt idx="264">
                  <c:v>80</c:v>
                </c:pt>
                <c:pt idx="265">
                  <c:v>80</c:v>
                </c:pt>
                <c:pt idx="266">
                  <c:v>80</c:v>
                </c:pt>
                <c:pt idx="267">
                  <c:v>80</c:v>
                </c:pt>
                <c:pt idx="268">
                  <c:v>80</c:v>
                </c:pt>
                <c:pt idx="269">
                  <c:v>80</c:v>
                </c:pt>
                <c:pt idx="270">
                  <c:v>80</c:v>
                </c:pt>
                <c:pt idx="271">
                  <c:v>80</c:v>
                </c:pt>
                <c:pt idx="272">
                  <c:v>80</c:v>
                </c:pt>
                <c:pt idx="273">
                  <c:v>80</c:v>
                </c:pt>
                <c:pt idx="274">
                  <c:v>80</c:v>
                </c:pt>
                <c:pt idx="275">
                  <c:v>80</c:v>
                </c:pt>
                <c:pt idx="276">
                  <c:v>80</c:v>
                </c:pt>
                <c:pt idx="277">
                  <c:v>80</c:v>
                </c:pt>
                <c:pt idx="278">
                  <c:v>80</c:v>
                </c:pt>
                <c:pt idx="279">
                  <c:v>80</c:v>
                </c:pt>
                <c:pt idx="280">
                  <c:v>80</c:v>
                </c:pt>
                <c:pt idx="281">
                  <c:v>80</c:v>
                </c:pt>
                <c:pt idx="282">
                  <c:v>80</c:v>
                </c:pt>
                <c:pt idx="283">
                  <c:v>80</c:v>
                </c:pt>
                <c:pt idx="284">
                  <c:v>80</c:v>
                </c:pt>
                <c:pt idx="285">
                  <c:v>80</c:v>
                </c:pt>
                <c:pt idx="286">
                  <c:v>80</c:v>
                </c:pt>
                <c:pt idx="287">
                  <c:v>80</c:v>
                </c:pt>
                <c:pt idx="288">
                  <c:v>80</c:v>
                </c:pt>
                <c:pt idx="289">
                  <c:v>80</c:v>
                </c:pt>
                <c:pt idx="290">
                  <c:v>80</c:v>
                </c:pt>
                <c:pt idx="291">
                  <c:v>80</c:v>
                </c:pt>
                <c:pt idx="292">
                  <c:v>80</c:v>
                </c:pt>
                <c:pt idx="293">
                  <c:v>80</c:v>
                </c:pt>
                <c:pt idx="294">
                  <c:v>80</c:v>
                </c:pt>
                <c:pt idx="295">
                  <c:v>80</c:v>
                </c:pt>
                <c:pt idx="296">
                  <c:v>80</c:v>
                </c:pt>
                <c:pt idx="297">
                  <c:v>80</c:v>
                </c:pt>
                <c:pt idx="298">
                  <c:v>80</c:v>
                </c:pt>
                <c:pt idx="299">
                  <c:v>80</c:v>
                </c:pt>
                <c:pt idx="300">
                  <c:v>80</c:v>
                </c:pt>
                <c:pt idx="301">
                  <c:v>80</c:v>
                </c:pt>
                <c:pt idx="302">
                  <c:v>80</c:v>
                </c:pt>
                <c:pt idx="303">
                  <c:v>80</c:v>
                </c:pt>
                <c:pt idx="304">
                  <c:v>80</c:v>
                </c:pt>
                <c:pt idx="305">
                  <c:v>80</c:v>
                </c:pt>
                <c:pt idx="306">
                  <c:v>80</c:v>
                </c:pt>
                <c:pt idx="307">
                  <c:v>80</c:v>
                </c:pt>
                <c:pt idx="308">
                  <c:v>80</c:v>
                </c:pt>
                <c:pt idx="309">
                  <c:v>80</c:v>
                </c:pt>
                <c:pt idx="310">
                  <c:v>80</c:v>
                </c:pt>
                <c:pt idx="311">
                  <c:v>80</c:v>
                </c:pt>
                <c:pt idx="312">
                  <c:v>80</c:v>
                </c:pt>
                <c:pt idx="313">
                  <c:v>80</c:v>
                </c:pt>
                <c:pt idx="314">
                  <c:v>80</c:v>
                </c:pt>
                <c:pt idx="315">
                  <c:v>80</c:v>
                </c:pt>
                <c:pt idx="316">
                  <c:v>80</c:v>
                </c:pt>
                <c:pt idx="317">
                  <c:v>80</c:v>
                </c:pt>
                <c:pt idx="318">
                  <c:v>80</c:v>
                </c:pt>
                <c:pt idx="319">
                  <c:v>80</c:v>
                </c:pt>
                <c:pt idx="320">
                  <c:v>80</c:v>
                </c:pt>
                <c:pt idx="321">
                  <c:v>80</c:v>
                </c:pt>
                <c:pt idx="322">
                  <c:v>80</c:v>
                </c:pt>
                <c:pt idx="323">
                  <c:v>80</c:v>
                </c:pt>
                <c:pt idx="324">
                  <c:v>80</c:v>
                </c:pt>
                <c:pt idx="325">
                  <c:v>80</c:v>
                </c:pt>
                <c:pt idx="326">
                  <c:v>80</c:v>
                </c:pt>
                <c:pt idx="327">
                  <c:v>80</c:v>
                </c:pt>
                <c:pt idx="328">
                  <c:v>80</c:v>
                </c:pt>
                <c:pt idx="329">
                  <c:v>80</c:v>
                </c:pt>
                <c:pt idx="330">
                  <c:v>80</c:v>
                </c:pt>
                <c:pt idx="331">
                  <c:v>80</c:v>
                </c:pt>
                <c:pt idx="332">
                  <c:v>80</c:v>
                </c:pt>
                <c:pt idx="333">
                  <c:v>80</c:v>
                </c:pt>
                <c:pt idx="334">
                  <c:v>80</c:v>
                </c:pt>
                <c:pt idx="335">
                  <c:v>80</c:v>
                </c:pt>
                <c:pt idx="336">
                  <c:v>80</c:v>
                </c:pt>
                <c:pt idx="337">
                  <c:v>80</c:v>
                </c:pt>
                <c:pt idx="338">
                  <c:v>80</c:v>
                </c:pt>
                <c:pt idx="339">
                  <c:v>80</c:v>
                </c:pt>
                <c:pt idx="340">
                  <c:v>80</c:v>
                </c:pt>
                <c:pt idx="341">
                  <c:v>80</c:v>
                </c:pt>
                <c:pt idx="342">
                  <c:v>80</c:v>
                </c:pt>
                <c:pt idx="343">
                  <c:v>80</c:v>
                </c:pt>
                <c:pt idx="344">
                  <c:v>80</c:v>
                </c:pt>
                <c:pt idx="345">
                  <c:v>80</c:v>
                </c:pt>
                <c:pt idx="346">
                  <c:v>80</c:v>
                </c:pt>
                <c:pt idx="347">
                  <c:v>80</c:v>
                </c:pt>
                <c:pt idx="348">
                  <c:v>80</c:v>
                </c:pt>
                <c:pt idx="349">
                  <c:v>80</c:v>
                </c:pt>
                <c:pt idx="350">
                  <c:v>80</c:v>
                </c:pt>
                <c:pt idx="351">
                  <c:v>80</c:v>
                </c:pt>
                <c:pt idx="352">
                  <c:v>80</c:v>
                </c:pt>
                <c:pt idx="353">
                  <c:v>80.099999999999994</c:v>
                </c:pt>
                <c:pt idx="354">
                  <c:v>80.099999999999994</c:v>
                </c:pt>
                <c:pt idx="355">
                  <c:v>80.099999999999994</c:v>
                </c:pt>
                <c:pt idx="356">
                  <c:v>80.099999999999994</c:v>
                </c:pt>
                <c:pt idx="357">
                  <c:v>80.099999999999994</c:v>
                </c:pt>
                <c:pt idx="358">
                  <c:v>80.099999999999994</c:v>
                </c:pt>
                <c:pt idx="359">
                  <c:v>80.099999999999994</c:v>
                </c:pt>
                <c:pt idx="360">
                  <c:v>80.099999999999994</c:v>
                </c:pt>
                <c:pt idx="361">
                  <c:v>80.099999999999994</c:v>
                </c:pt>
                <c:pt idx="362">
                  <c:v>80.099999999999994</c:v>
                </c:pt>
                <c:pt idx="363">
                  <c:v>80.099999999999994</c:v>
                </c:pt>
                <c:pt idx="364">
                  <c:v>80.099999999999994</c:v>
                </c:pt>
                <c:pt idx="365">
                  <c:v>80.099999999999994</c:v>
                </c:pt>
                <c:pt idx="366">
                  <c:v>80.099999999999994</c:v>
                </c:pt>
                <c:pt idx="367">
                  <c:v>80.099999999999994</c:v>
                </c:pt>
                <c:pt idx="368">
                  <c:v>80.099999999999994</c:v>
                </c:pt>
                <c:pt idx="369">
                  <c:v>80.099999999999994</c:v>
                </c:pt>
                <c:pt idx="370">
                  <c:v>80.2</c:v>
                </c:pt>
                <c:pt idx="371">
                  <c:v>80.2</c:v>
                </c:pt>
                <c:pt idx="372">
                  <c:v>80.2</c:v>
                </c:pt>
                <c:pt idx="373">
                  <c:v>80.2</c:v>
                </c:pt>
                <c:pt idx="374">
                  <c:v>80.2</c:v>
                </c:pt>
                <c:pt idx="375">
                  <c:v>80.2</c:v>
                </c:pt>
                <c:pt idx="376">
                  <c:v>80.2</c:v>
                </c:pt>
                <c:pt idx="377">
                  <c:v>80.2</c:v>
                </c:pt>
                <c:pt idx="378">
                  <c:v>80.2</c:v>
                </c:pt>
                <c:pt idx="379">
                  <c:v>80.2</c:v>
                </c:pt>
                <c:pt idx="380">
                  <c:v>80.3</c:v>
                </c:pt>
                <c:pt idx="381">
                  <c:v>80.3</c:v>
                </c:pt>
                <c:pt idx="382">
                  <c:v>80.3</c:v>
                </c:pt>
                <c:pt idx="383">
                  <c:v>80.400000000000006</c:v>
                </c:pt>
                <c:pt idx="384">
                  <c:v>80.400000000000006</c:v>
                </c:pt>
                <c:pt idx="385">
                  <c:v>80.400000000000006</c:v>
                </c:pt>
                <c:pt idx="386">
                  <c:v>80.400000000000006</c:v>
                </c:pt>
                <c:pt idx="387">
                  <c:v>80.400000000000006</c:v>
                </c:pt>
                <c:pt idx="388">
                  <c:v>80.400000000000006</c:v>
                </c:pt>
                <c:pt idx="389">
                  <c:v>80.400000000000006</c:v>
                </c:pt>
                <c:pt idx="390">
                  <c:v>80.400000000000006</c:v>
                </c:pt>
                <c:pt idx="391">
                  <c:v>80.400000000000006</c:v>
                </c:pt>
                <c:pt idx="392">
                  <c:v>80.400000000000006</c:v>
                </c:pt>
                <c:pt idx="393">
                  <c:v>80.400000000000006</c:v>
                </c:pt>
                <c:pt idx="394">
                  <c:v>80.400000000000006</c:v>
                </c:pt>
                <c:pt idx="395">
                  <c:v>80.400000000000006</c:v>
                </c:pt>
                <c:pt idx="396">
                  <c:v>80.400000000000006</c:v>
                </c:pt>
                <c:pt idx="397">
                  <c:v>80.400000000000006</c:v>
                </c:pt>
                <c:pt idx="398">
                  <c:v>80.400000000000006</c:v>
                </c:pt>
                <c:pt idx="399">
                  <c:v>80.400000000000006</c:v>
                </c:pt>
                <c:pt idx="400">
                  <c:v>80.5</c:v>
                </c:pt>
                <c:pt idx="401">
                  <c:v>80.5</c:v>
                </c:pt>
                <c:pt idx="402">
                  <c:v>80.5</c:v>
                </c:pt>
                <c:pt idx="403">
                  <c:v>80.5</c:v>
                </c:pt>
                <c:pt idx="404">
                  <c:v>80.5</c:v>
                </c:pt>
                <c:pt idx="405">
                  <c:v>80.599999999999994</c:v>
                </c:pt>
                <c:pt idx="406">
                  <c:v>80.599999999999994</c:v>
                </c:pt>
                <c:pt idx="407">
                  <c:v>80.7</c:v>
                </c:pt>
                <c:pt idx="408">
                  <c:v>80.7</c:v>
                </c:pt>
                <c:pt idx="409">
                  <c:v>80.7</c:v>
                </c:pt>
                <c:pt idx="410">
                  <c:v>80.7</c:v>
                </c:pt>
                <c:pt idx="411">
                  <c:v>80.7</c:v>
                </c:pt>
                <c:pt idx="412">
                  <c:v>80.7</c:v>
                </c:pt>
                <c:pt idx="413">
                  <c:v>80.7</c:v>
                </c:pt>
                <c:pt idx="414">
                  <c:v>80.7</c:v>
                </c:pt>
                <c:pt idx="415">
                  <c:v>80.7</c:v>
                </c:pt>
                <c:pt idx="416">
                  <c:v>80.7</c:v>
                </c:pt>
                <c:pt idx="417">
                  <c:v>80.7</c:v>
                </c:pt>
                <c:pt idx="418">
                  <c:v>80.7</c:v>
                </c:pt>
                <c:pt idx="419">
                  <c:v>80.7</c:v>
                </c:pt>
                <c:pt idx="420">
                  <c:v>80.7</c:v>
                </c:pt>
                <c:pt idx="421">
                  <c:v>80.7</c:v>
                </c:pt>
                <c:pt idx="422">
                  <c:v>80.8</c:v>
                </c:pt>
                <c:pt idx="423">
                  <c:v>80.8</c:v>
                </c:pt>
                <c:pt idx="424">
                  <c:v>80.8</c:v>
                </c:pt>
                <c:pt idx="425">
                  <c:v>80.8</c:v>
                </c:pt>
                <c:pt idx="426">
                  <c:v>80.8</c:v>
                </c:pt>
                <c:pt idx="427">
                  <c:v>80.8</c:v>
                </c:pt>
                <c:pt idx="428">
                  <c:v>80.8</c:v>
                </c:pt>
                <c:pt idx="429">
                  <c:v>80.8</c:v>
                </c:pt>
                <c:pt idx="430">
                  <c:v>80.8</c:v>
                </c:pt>
                <c:pt idx="431">
                  <c:v>80.8</c:v>
                </c:pt>
                <c:pt idx="432">
                  <c:v>80.8</c:v>
                </c:pt>
                <c:pt idx="433">
                  <c:v>80.8</c:v>
                </c:pt>
                <c:pt idx="434">
                  <c:v>80.8</c:v>
                </c:pt>
                <c:pt idx="435">
                  <c:v>80.900000000000006</c:v>
                </c:pt>
                <c:pt idx="436">
                  <c:v>80.900000000000006</c:v>
                </c:pt>
                <c:pt idx="437">
                  <c:v>81</c:v>
                </c:pt>
                <c:pt idx="438">
                  <c:v>81</c:v>
                </c:pt>
                <c:pt idx="439">
                  <c:v>81</c:v>
                </c:pt>
                <c:pt idx="440">
                  <c:v>81</c:v>
                </c:pt>
                <c:pt idx="441">
                  <c:v>81</c:v>
                </c:pt>
                <c:pt idx="442">
                  <c:v>81</c:v>
                </c:pt>
                <c:pt idx="443">
                  <c:v>81</c:v>
                </c:pt>
                <c:pt idx="444">
                  <c:v>81</c:v>
                </c:pt>
                <c:pt idx="445">
                  <c:v>81</c:v>
                </c:pt>
                <c:pt idx="446">
                  <c:v>81</c:v>
                </c:pt>
                <c:pt idx="447">
                  <c:v>81</c:v>
                </c:pt>
                <c:pt idx="448">
                  <c:v>81</c:v>
                </c:pt>
                <c:pt idx="449">
                  <c:v>81</c:v>
                </c:pt>
                <c:pt idx="450">
                  <c:v>81</c:v>
                </c:pt>
                <c:pt idx="451">
                  <c:v>81</c:v>
                </c:pt>
                <c:pt idx="452">
                  <c:v>81</c:v>
                </c:pt>
                <c:pt idx="453">
                  <c:v>81</c:v>
                </c:pt>
                <c:pt idx="454">
                  <c:v>81</c:v>
                </c:pt>
                <c:pt idx="455">
                  <c:v>81</c:v>
                </c:pt>
                <c:pt idx="456">
                  <c:v>81</c:v>
                </c:pt>
                <c:pt idx="457">
                  <c:v>81</c:v>
                </c:pt>
                <c:pt idx="458">
                  <c:v>81</c:v>
                </c:pt>
                <c:pt idx="459">
                  <c:v>81</c:v>
                </c:pt>
                <c:pt idx="460">
                  <c:v>81</c:v>
                </c:pt>
                <c:pt idx="461">
                  <c:v>81</c:v>
                </c:pt>
                <c:pt idx="462">
                  <c:v>81</c:v>
                </c:pt>
                <c:pt idx="463">
                  <c:v>81.099999999999994</c:v>
                </c:pt>
                <c:pt idx="464">
                  <c:v>81.099999999999994</c:v>
                </c:pt>
                <c:pt idx="465">
                  <c:v>81.099999999999994</c:v>
                </c:pt>
                <c:pt idx="466">
                  <c:v>81.2</c:v>
                </c:pt>
                <c:pt idx="467">
                  <c:v>81.2</c:v>
                </c:pt>
                <c:pt idx="468">
                  <c:v>81.2</c:v>
                </c:pt>
                <c:pt idx="469">
                  <c:v>81.2</c:v>
                </c:pt>
                <c:pt idx="470">
                  <c:v>81.2</c:v>
                </c:pt>
                <c:pt idx="471">
                  <c:v>81.2</c:v>
                </c:pt>
                <c:pt idx="472">
                  <c:v>81.2</c:v>
                </c:pt>
                <c:pt idx="473">
                  <c:v>81.3</c:v>
                </c:pt>
                <c:pt idx="474">
                  <c:v>81.3</c:v>
                </c:pt>
                <c:pt idx="475">
                  <c:v>81.3</c:v>
                </c:pt>
                <c:pt idx="476">
                  <c:v>81.400000000000006</c:v>
                </c:pt>
                <c:pt idx="477">
                  <c:v>81.400000000000006</c:v>
                </c:pt>
                <c:pt idx="478">
                  <c:v>81.400000000000006</c:v>
                </c:pt>
                <c:pt idx="479">
                  <c:v>81.400000000000006</c:v>
                </c:pt>
                <c:pt idx="480">
                  <c:v>81.400000000000006</c:v>
                </c:pt>
                <c:pt idx="481">
                  <c:v>81.5</c:v>
                </c:pt>
                <c:pt idx="482">
                  <c:v>81.5</c:v>
                </c:pt>
                <c:pt idx="483">
                  <c:v>81.5</c:v>
                </c:pt>
                <c:pt idx="484">
                  <c:v>81.5</c:v>
                </c:pt>
                <c:pt idx="485">
                  <c:v>81.5</c:v>
                </c:pt>
                <c:pt idx="486">
                  <c:v>81.5</c:v>
                </c:pt>
                <c:pt idx="487">
                  <c:v>81.5</c:v>
                </c:pt>
                <c:pt idx="488">
                  <c:v>81.5</c:v>
                </c:pt>
                <c:pt idx="489">
                  <c:v>81.5</c:v>
                </c:pt>
                <c:pt idx="490">
                  <c:v>81.5</c:v>
                </c:pt>
                <c:pt idx="491">
                  <c:v>81.5</c:v>
                </c:pt>
                <c:pt idx="492">
                  <c:v>81.599999999999994</c:v>
                </c:pt>
                <c:pt idx="493">
                  <c:v>81.7</c:v>
                </c:pt>
                <c:pt idx="494">
                  <c:v>81.7</c:v>
                </c:pt>
                <c:pt idx="495">
                  <c:v>81.7</c:v>
                </c:pt>
                <c:pt idx="496">
                  <c:v>81.7</c:v>
                </c:pt>
                <c:pt idx="497">
                  <c:v>81.7</c:v>
                </c:pt>
                <c:pt idx="498">
                  <c:v>81.7</c:v>
                </c:pt>
                <c:pt idx="499">
                  <c:v>81.8</c:v>
                </c:pt>
                <c:pt idx="500">
                  <c:v>81.8</c:v>
                </c:pt>
                <c:pt idx="501">
                  <c:v>81.8</c:v>
                </c:pt>
                <c:pt idx="502">
                  <c:v>81.8</c:v>
                </c:pt>
                <c:pt idx="503">
                  <c:v>81.8</c:v>
                </c:pt>
                <c:pt idx="504">
                  <c:v>81.8</c:v>
                </c:pt>
                <c:pt idx="505">
                  <c:v>81.8</c:v>
                </c:pt>
                <c:pt idx="506">
                  <c:v>81.900000000000006</c:v>
                </c:pt>
                <c:pt idx="507">
                  <c:v>81.900000000000006</c:v>
                </c:pt>
                <c:pt idx="508">
                  <c:v>81.900000000000006</c:v>
                </c:pt>
                <c:pt idx="509">
                  <c:v>81.900000000000006</c:v>
                </c:pt>
                <c:pt idx="510">
                  <c:v>81.900000000000006</c:v>
                </c:pt>
                <c:pt idx="511">
                  <c:v>81.900000000000006</c:v>
                </c:pt>
                <c:pt idx="512">
                  <c:v>81.900000000000006</c:v>
                </c:pt>
                <c:pt idx="513">
                  <c:v>82</c:v>
                </c:pt>
                <c:pt idx="514">
                  <c:v>82</c:v>
                </c:pt>
                <c:pt idx="515">
                  <c:v>82</c:v>
                </c:pt>
                <c:pt idx="516">
                  <c:v>82</c:v>
                </c:pt>
                <c:pt idx="517">
                  <c:v>82</c:v>
                </c:pt>
                <c:pt idx="518">
                  <c:v>82</c:v>
                </c:pt>
                <c:pt idx="519">
                  <c:v>82</c:v>
                </c:pt>
                <c:pt idx="520">
                  <c:v>82</c:v>
                </c:pt>
                <c:pt idx="521">
                  <c:v>82</c:v>
                </c:pt>
                <c:pt idx="522">
                  <c:v>82</c:v>
                </c:pt>
                <c:pt idx="523">
                  <c:v>82</c:v>
                </c:pt>
                <c:pt idx="524">
                  <c:v>82</c:v>
                </c:pt>
                <c:pt idx="525">
                  <c:v>82</c:v>
                </c:pt>
                <c:pt idx="526">
                  <c:v>82</c:v>
                </c:pt>
                <c:pt idx="527">
                  <c:v>82</c:v>
                </c:pt>
                <c:pt idx="528">
                  <c:v>82</c:v>
                </c:pt>
                <c:pt idx="529">
                  <c:v>82</c:v>
                </c:pt>
                <c:pt idx="530">
                  <c:v>82</c:v>
                </c:pt>
                <c:pt idx="531">
                  <c:v>82</c:v>
                </c:pt>
                <c:pt idx="532">
                  <c:v>82</c:v>
                </c:pt>
                <c:pt idx="533">
                  <c:v>82</c:v>
                </c:pt>
                <c:pt idx="534">
                  <c:v>82</c:v>
                </c:pt>
                <c:pt idx="535">
                  <c:v>82</c:v>
                </c:pt>
                <c:pt idx="536">
                  <c:v>82</c:v>
                </c:pt>
                <c:pt idx="537">
                  <c:v>82</c:v>
                </c:pt>
                <c:pt idx="538">
                  <c:v>82</c:v>
                </c:pt>
                <c:pt idx="539">
                  <c:v>82</c:v>
                </c:pt>
                <c:pt idx="540">
                  <c:v>82</c:v>
                </c:pt>
                <c:pt idx="541">
                  <c:v>82</c:v>
                </c:pt>
                <c:pt idx="542">
                  <c:v>82</c:v>
                </c:pt>
                <c:pt idx="543">
                  <c:v>82</c:v>
                </c:pt>
                <c:pt idx="544">
                  <c:v>82</c:v>
                </c:pt>
                <c:pt idx="545">
                  <c:v>82</c:v>
                </c:pt>
                <c:pt idx="546">
                  <c:v>82</c:v>
                </c:pt>
                <c:pt idx="547">
                  <c:v>82</c:v>
                </c:pt>
                <c:pt idx="548">
                  <c:v>82</c:v>
                </c:pt>
                <c:pt idx="549">
                  <c:v>82</c:v>
                </c:pt>
                <c:pt idx="550">
                  <c:v>82</c:v>
                </c:pt>
                <c:pt idx="551">
                  <c:v>82</c:v>
                </c:pt>
                <c:pt idx="552">
                  <c:v>82</c:v>
                </c:pt>
                <c:pt idx="553">
                  <c:v>82</c:v>
                </c:pt>
                <c:pt idx="554">
                  <c:v>82</c:v>
                </c:pt>
                <c:pt idx="555">
                  <c:v>82</c:v>
                </c:pt>
                <c:pt idx="556">
                  <c:v>82</c:v>
                </c:pt>
                <c:pt idx="557">
                  <c:v>82</c:v>
                </c:pt>
                <c:pt idx="558">
                  <c:v>82</c:v>
                </c:pt>
                <c:pt idx="559">
                  <c:v>82</c:v>
                </c:pt>
                <c:pt idx="560">
                  <c:v>82</c:v>
                </c:pt>
                <c:pt idx="561">
                  <c:v>82</c:v>
                </c:pt>
                <c:pt idx="562">
                  <c:v>82</c:v>
                </c:pt>
                <c:pt idx="563">
                  <c:v>82</c:v>
                </c:pt>
                <c:pt idx="564">
                  <c:v>82</c:v>
                </c:pt>
                <c:pt idx="565">
                  <c:v>82</c:v>
                </c:pt>
                <c:pt idx="566">
                  <c:v>82</c:v>
                </c:pt>
                <c:pt idx="567">
                  <c:v>82</c:v>
                </c:pt>
                <c:pt idx="568">
                  <c:v>82</c:v>
                </c:pt>
                <c:pt idx="569">
                  <c:v>82</c:v>
                </c:pt>
                <c:pt idx="570">
                  <c:v>82</c:v>
                </c:pt>
                <c:pt idx="571">
                  <c:v>82</c:v>
                </c:pt>
                <c:pt idx="572">
                  <c:v>82</c:v>
                </c:pt>
                <c:pt idx="573">
                  <c:v>82</c:v>
                </c:pt>
                <c:pt idx="574">
                  <c:v>82</c:v>
                </c:pt>
                <c:pt idx="575">
                  <c:v>82</c:v>
                </c:pt>
                <c:pt idx="576">
                  <c:v>82</c:v>
                </c:pt>
                <c:pt idx="577">
                  <c:v>82</c:v>
                </c:pt>
                <c:pt idx="578">
                  <c:v>82</c:v>
                </c:pt>
                <c:pt idx="579">
                  <c:v>82</c:v>
                </c:pt>
                <c:pt idx="580">
                  <c:v>82</c:v>
                </c:pt>
                <c:pt idx="581">
                  <c:v>82</c:v>
                </c:pt>
                <c:pt idx="582">
                  <c:v>82</c:v>
                </c:pt>
                <c:pt idx="583">
                  <c:v>82</c:v>
                </c:pt>
                <c:pt idx="584">
                  <c:v>82</c:v>
                </c:pt>
                <c:pt idx="585">
                  <c:v>82</c:v>
                </c:pt>
                <c:pt idx="586">
                  <c:v>82</c:v>
                </c:pt>
                <c:pt idx="587">
                  <c:v>82</c:v>
                </c:pt>
                <c:pt idx="588">
                  <c:v>82</c:v>
                </c:pt>
                <c:pt idx="589">
                  <c:v>82</c:v>
                </c:pt>
                <c:pt idx="590">
                  <c:v>82</c:v>
                </c:pt>
                <c:pt idx="591">
                  <c:v>82</c:v>
                </c:pt>
                <c:pt idx="592">
                  <c:v>82</c:v>
                </c:pt>
                <c:pt idx="593">
                  <c:v>82</c:v>
                </c:pt>
                <c:pt idx="594">
                  <c:v>82</c:v>
                </c:pt>
                <c:pt idx="595">
                  <c:v>82</c:v>
                </c:pt>
                <c:pt idx="596">
                  <c:v>82</c:v>
                </c:pt>
                <c:pt idx="597">
                  <c:v>82</c:v>
                </c:pt>
                <c:pt idx="598">
                  <c:v>82</c:v>
                </c:pt>
                <c:pt idx="599">
                  <c:v>82</c:v>
                </c:pt>
                <c:pt idx="600">
                  <c:v>82</c:v>
                </c:pt>
                <c:pt idx="601">
                  <c:v>82</c:v>
                </c:pt>
                <c:pt idx="602">
                  <c:v>82</c:v>
                </c:pt>
                <c:pt idx="603">
                  <c:v>82</c:v>
                </c:pt>
                <c:pt idx="604">
                  <c:v>82</c:v>
                </c:pt>
                <c:pt idx="605">
                  <c:v>82</c:v>
                </c:pt>
                <c:pt idx="606">
                  <c:v>82</c:v>
                </c:pt>
                <c:pt idx="607">
                  <c:v>82</c:v>
                </c:pt>
                <c:pt idx="608">
                  <c:v>82</c:v>
                </c:pt>
                <c:pt idx="609">
                  <c:v>82</c:v>
                </c:pt>
                <c:pt idx="610">
                  <c:v>82</c:v>
                </c:pt>
                <c:pt idx="611">
                  <c:v>82</c:v>
                </c:pt>
                <c:pt idx="612">
                  <c:v>82</c:v>
                </c:pt>
                <c:pt idx="613">
                  <c:v>82</c:v>
                </c:pt>
                <c:pt idx="614">
                  <c:v>82</c:v>
                </c:pt>
                <c:pt idx="615">
                  <c:v>82</c:v>
                </c:pt>
                <c:pt idx="616">
                  <c:v>82</c:v>
                </c:pt>
                <c:pt idx="617">
                  <c:v>82</c:v>
                </c:pt>
                <c:pt idx="618">
                  <c:v>82</c:v>
                </c:pt>
                <c:pt idx="619">
                  <c:v>82</c:v>
                </c:pt>
                <c:pt idx="620">
                  <c:v>82</c:v>
                </c:pt>
                <c:pt idx="621">
                  <c:v>82</c:v>
                </c:pt>
                <c:pt idx="622">
                  <c:v>82</c:v>
                </c:pt>
                <c:pt idx="623">
                  <c:v>82</c:v>
                </c:pt>
                <c:pt idx="624">
                  <c:v>82</c:v>
                </c:pt>
                <c:pt idx="625">
                  <c:v>82</c:v>
                </c:pt>
                <c:pt idx="626">
                  <c:v>82</c:v>
                </c:pt>
                <c:pt idx="627">
                  <c:v>82</c:v>
                </c:pt>
                <c:pt idx="628">
                  <c:v>82</c:v>
                </c:pt>
                <c:pt idx="629">
                  <c:v>82.1</c:v>
                </c:pt>
                <c:pt idx="630">
                  <c:v>82.1</c:v>
                </c:pt>
                <c:pt idx="631">
                  <c:v>82.1</c:v>
                </c:pt>
                <c:pt idx="632">
                  <c:v>82.1</c:v>
                </c:pt>
                <c:pt idx="633">
                  <c:v>82.1</c:v>
                </c:pt>
                <c:pt idx="634">
                  <c:v>82.1</c:v>
                </c:pt>
                <c:pt idx="635">
                  <c:v>82.1</c:v>
                </c:pt>
                <c:pt idx="636">
                  <c:v>82.1</c:v>
                </c:pt>
                <c:pt idx="637">
                  <c:v>82.1</c:v>
                </c:pt>
                <c:pt idx="638">
                  <c:v>82.1</c:v>
                </c:pt>
                <c:pt idx="639">
                  <c:v>82.1</c:v>
                </c:pt>
                <c:pt idx="640">
                  <c:v>82.1</c:v>
                </c:pt>
                <c:pt idx="641">
                  <c:v>82.1</c:v>
                </c:pt>
                <c:pt idx="642">
                  <c:v>82.1</c:v>
                </c:pt>
                <c:pt idx="643">
                  <c:v>82.1</c:v>
                </c:pt>
                <c:pt idx="644">
                  <c:v>82.1</c:v>
                </c:pt>
                <c:pt idx="645">
                  <c:v>82.1</c:v>
                </c:pt>
                <c:pt idx="646">
                  <c:v>82.1</c:v>
                </c:pt>
                <c:pt idx="647">
                  <c:v>82.1</c:v>
                </c:pt>
                <c:pt idx="648">
                  <c:v>82.1</c:v>
                </c:pt>
                <c:pt idx="649">
                  <c:v>82.1</c:v>
                </c:pt>
                <c:pt idx="650">
                  <c:v>82.1</c:v>
                </c:pt>
                <c:pt idx="651">
                  <c:v>82.1</c:v>
                </c:pt>
                <c:pt idx="652">
                  <c:v>82.1</c:v>
                </c:pt>
                <c:pt idx="653">
                  <c:v>82.1</c:v>
                </c:pt>
                <c:pt idx="654">
                  <c:v>82.1</c:v>
                </c:pt>
                <c:pt idx="655">
                  <c:v>82.1</c:v>
                </c:pt>
                <c:pt idx="656">
                  <c:v>82.1</c:v>
                </c:pt>
                <c:pt idx="657">
                  <c:v>82.1</c:v>
                </c:pt>
                <c:pt idx="658">
                  <c:v>82.1</c:v>
                </c:pt>
                <c:pt idx="659">
                  <c:v>82.1</c:v>
                </c:pt>
                <c:pt idx="660">
                  <c:v>82.1</c:v>
                </c:pt>
                <c:pt idx="661">
                  <c:v>82.1</c:v>
                </c:pt>
                <c:pt idx="662">
                  <c:v>82.1</c:v>
                </c:pt>
                <c:pt idx="663">
                  <c:v>82.1</c:v>
                </c:pt>
                <c:pt idx="664">
                  <c:v>82.2</c:v>
                </c:pt>
                <c:pt idx="665">
                  <c:v>82.2</c:v>
                </c:pt>
                <c:pt idx="666">
                  <c:v>82.2</c:v>
                </c:pt>
                <c:pt idx="667">
                  <c:v>82.2</c:v>
                </c:pt>
                <c:pt idx="668">
                  <c:v>82.2</c:v>
                </c:pt>
                <c:pt idx="669">
                  <c:v>82.2</c:v>
                </c:pt>
                <c:pt idx="670">
                  <c:v>82.2</c:v>
                </c:pt>
                <c:pt idx="671">
                  <c:v>82.2</c:v>
                </c:pt>
                <c:pt idx="672">
                  <c:v>82.2</c:v>
                </c:pt>
                <c:pt idx="673">
                  <c:v>82.2</c:v>
                </c:pt>
                <c:pt idx="674">
                  <c:v>82.2</c:v>
                </c:pt>
                <c:pt idx="675">
                  <c:v>82.2</c:v>
                </c:pt>
                <c:pt idx="676">
                  <c:v>82.2</c:v>
                </c:pt>
                <c:pt idx="677">
                  <c:v>82.2</c:v>
                </c:pt>
                <c:pt idx="678">
                  <c:v>82.2</c:v>
                </c:pt>
                <c:pt idx="679">
                  <c:v>82.2</c:v>
                </c:pt>
                <c:pt idx="680">
                  <c:v>82.2</c:v>
                </c:pt>
                <c:pt idx="681">
                  <c:v>82.2</c:v>
                </c:pt>
                <c:pt idx="682">
                  <c:v>82.2</c:v>
                </c:pt>
                <c:pt idx="683">
                  <c:v>82.2</c:v>
                </c:pt>
                <c:pt idx="684">
                  <c:v>82.2</c:v>
                </c:pt>
                <c:pt idx="685">
                  <c:v>82.2</c:v>
                </c:pt>
                <c:pt idx="686">
                  <c:v>82.2</c:v>
                </c:pt>
                <c:pt idx="687">
                  <c:v>82.2</c:v>
                </c:pt>
                <c:pt idx="688">
                  <c:v>82.2</c:v>
                </c:pt>
                <c:pt idx="689">
                  <c:v>82.2</c:v>
                </c:pt>
                <c:pt idx="690">
                  <c:v>82.2</c:v>
                </c:pt>
                <c:pt idx="691">
                  <c:v>82.2</c:v>
                </c:pt>
                <c:pt idx="692">
                  <c:v>82.2</c:v>
                </c:pt>
                <c:pt idx="693">
                  <c:v>82.3</c:v>
                </c:pt>
                <c:pt idx="694">
                  <c:v>82.3</c:v>
                </c:pt>
                <c:pt idx="695">
                  <c:v>82.3</c:v>
                </c:pt>
                <c:pt idx="696">
                  <c:v>82.3</c:v>
                </c:pt>
                <c:pt idx="697">
                  <c:v>82.3</c:v>
                </c:pt>
                <c:pt idx="698">
                  <c:v>82.3</c:v>
                </c:pt>
                <c:pt idx="699">
                  <c:v>82.3</c:v>
                </c:pt>
                <c:pt idx="700">
                  <c:v>82.3</c:v>
                </c:pt>
                <c:pt idx="701">
                  <c:v>82.3</c:v>
                </c:pt>
                <c:pt idx="702">
                  <c:v>82.3</c:v>
                </c:pt>
                <c:pt idx="703">
                  <c:v>82.4</c:v>
                </c:pt>
                <c:pt idx="704">
                  <c:v>82.4</c:v>
                </c:pt>
                <c:pt idx="705">
                  <c:v>82.5</c:v>
                </c:pt>
                <c:pt idx="706">
                  <c:v>82.5</c:v>
                </c:pt>
                <c:pt idx="707">
                  <c:v>82.5</c:v>
                </c:pt>
                <c:pt idx="708">
                  <c:v>82.5</c:v>
                </c:pt>
                <c:pt idx="709">
                  <c:v>82.5</c:v>
                </c:pt>
                <c:pt idx="710">
                  <c:v>82.5</c:v>
                </c:pt>
                <c:pt idx="711">
                  <c:v>82.5</c:v>
                </c:pt>
                <c:pt idx="712">
                  <c:v>82.5</c:v>
                </c:pt>
                <c:pt idx="713">
                  <c:v>82.5</c:v>
                </c:pt>
                <c:pt idx="714">
                  <c:v>82.5</c:v>
                </c:pt>
                <c:pt idx="715">
                  <c:v>82.6</c:v>
                </c:pt>
                <c:pt idx="716">
                  <c:v>82.6</c:v>
                </c:pt>
                <c:pt idx="717">
                  <c:v>82.7</c:v>
                </c:pt>
                <c:pt idx="718">
                  <c:v>82.7</c:v>
                </c:pt>
                <c:pt idx="719">
                  <c:v>82.7</c:v>
                </c:pt>
                <c:pt idx="720">
                  <c:v>82.7</c:v>
                </c:pt>
                <c:pt idx="721">
                  <c:v>82.7</c:v>
                </c:pt>
                <c:pt idx="722">
                  <c:v>82.7</c:v>
                </c:pt>
                <c:pt idx="723">
                  <c:v>82.7</c:v>
                </c:pt>
                <c:pt idx="724">
                  <c:v>82.7</c:v>
                </c:pt>
                <c:pt idx="725">
                  <c:v>82.7</c:v>
                </c:pt>
                <c:pt idx="726">
                  <c:v>82.7</c:v>
                </c:pt>
                <c:pt idx="727">
                  <c:v>82.7</c:v>
                </c:pt>
                <c:pt idx="728">
                  <c:v>82.7</c:v>
                </c:pt>
                <c:pt idx="729">
                  <c:v>82.7</c:v>
                </c:pt>
                <c:pt idx="730">
                  <c:v>82.7</c:v>
                </c:pt>
                <c:pt idx="731">
                  <c:v>82.8</c:v>
                </c:pt>
                <c:pt idx="732">
                  <c:v>82.9</c:v>
                </c:pt>
                <c:pt idx="733">
                  <c:v>82.9</c:v>
                </c:pt>
                <c:pt idx="734">
                  <c:v>82.9</c:v>
                </c:pt>
                <c:pt idx="735">
                  <c:v>82.9</c:v>
                </c:pt>
                <c:pt idx="736">
                  <c:v>82.9</c:v>
                </c:pt>
                <c:pt idx="737">
                  <c:v>82.9</c:v>
                </c:pt>
                <c:pt idx="738">
                  <c:v>82.9</c:v>
                </c:pt>
                <c:pt idx="739">
                  <c:v>82.9</c:v>
                </c:pt>
                <c:pt idx="740">
                  <c:v>82.9</c:v>
                </c:pt>
                <c:pt idx="741">
                  <c:v>82.9</c:v>
                </c:pt>
                <c:pt idx="742">
                  <c:v>82.9</c:v>
                </c:pt>
                <c:pt idx="743">
                  <c:v>82.9</c:v>
                </c:pt>
                <c:pt idx="744">
                  <c:v>83</c:v>
                </c:pt>
                <c:pt idx="745">
                  <c:v>83</c:v>
                </c:pt>
                <c:pt idx="746">
                  <c:v>83</c:v>
                </c:pt>
                <c:pt idx="747">
                  <c:v>83</c:v>
                </c:pt>
                <c:pt idx="748">
                  <c:v>83</c:v>
                </c:pt>
                <c:pt idx="749">
                  <c:v>83</c:v>
                </c:pt>
                <c:pt idx="750">
                  <c:v>83</c:v>
                </c:pt>
                <c:pt idx="751">
                  <c:v>83</c:v>
                </c:pt>
                <c:pt idx="752">
                  <c:v>83</c:v>
                </c:pt>
                <c:pt idx="753">
                  <c:v>83.2</c:v>
                </c:pt>
                <c:pt idx="754">
                  <c:v>83.2</c:v>
                </c:pt>
                <c:pt idx="755">
                  <c:v>83.2</c:v>
                </c:pt>
                <c:pt idx="756">
                  <c:v>83.2</c:v>
                </c:pt>
                <c:pt idx="757">
                  <c:v>83.2</c:v>
                </c:pt>
                <c:pt idx="758">
                  <c:v>83.2</c:v>
                </c:pt>
                <c:pt idx="759">
                  <c:v>83.2</c:v>
                </c:pt>
                <c:pt idx="760">
                  <c:v>83.2</c:v>
                </c:pt>
                <c:pt idx="761">
                  <c:v>83.2</c:v>
                </c:pt>
                <c:pt idx="762">
                  <c:v>83.2</c:v>
                </c:pt>
                <c:pt idx="763">
                  <c:v>83.3</c:v>
                </c:pt>
                <c:pt idx="764">
                  <c:v>83.3</c:v>
                </c:pt>
                <c:pt idx="765">
                  <c:v>83.3</c:v>
                </c:pt>
                <c:pt idx="766">
                  <c:v>83.3</c:v>
                </c:pt>
                <c:pt idx="767">
                  <c:v>83.3</c:v>
                </c:pt>
                <c:pt idx="768">
                  <c:v>83.3</c:v>
                </c:pt>
                <c:pt idx="769">
                  <c:v>83.3</c:v>
                </c:pt>
                <c:pt idx="770">
                  <c:v>83.3</c:v>
                </c:pt>
                <c:pt idx="771">
                  <c:v>83.3</c:v>
                </c:pt>
                <c:pt idx="772">
                  <c:v>83.3</c:v>
                </c:pt>
                <c:pt idx="773">
                  <c:v>83.3</c:v>
                </c:pt>
                <c:pt idx="774">
                  <c:v>83.3</c:v>
                </c:pt>
                <c:pt idx="775">
                  <c:v>83.3</c:v>
                </c:pt>
                <c:pt idx="776">
                  <c:v>83.3</c:v>
                </c:pt>
                <c:pt idx="777">
                  <c:v>83.3</c:v>
                </c:pt>
                <c:pt idx="778">
                  <c:v>83.3</c:v>
                </c:pt>
                <c:pt idx="779">
                  <c:v>83.3</c:v>
                </c:pt>
                <c:pt idx="780">
                  <c:v>83.3</c:v>
                </c:pt>
                <c:pt idx="781">
                  <c:v>83.3</c:v>
                </c:pt>
                <c:pt idx="782">
                  <c:v>83.3</c:v>
                </c:pt>
                <c:pt idx="783">
                  <c:v>83.3</c:v>
                </c:pt>
                <c:pt idx="784">
                  <c:v>83.3</c:v>
                </c:pt>
                <c:pt idx="785">
                  <c:v>83.3</c:v>
                </c:pt>
                <c:pt idx="786">
                  <c:v>83.3</c:v>
                </c:pt>
                <c:pt idx="787">
                  <c:v>83.3</c:v>
                </c:pt>
                <c:pt idx="788">
                  <c:v>83.3</c:v>
                </c:pt>
                <c:pt idx="789">
                  <c:v>83.5</c:v>
                </c:pt>
                <c:pt idx="790">
                  <c:v>83.5</c:v>
                </c:pt>
                <c:pt idx="791">
                  <c:v>83.5</c:v>
                </c:pt>
                <c:pt idx="792">
                  <c:v>83.5</c:v>
                </c:pt>
                <c:pt idx="793">
                  <c:v>83.5</c:v>
                </c:pt>
                <c:pt idx="794">
                  <c:v>83.5</c:v>
                </c:pt>
                <c:pt idx="795">
                  <c:v>83.5</c:v>
                </c:pt>
                <c:pt idx="796">
                  <c:v>83.5</c:v>
                </c:pt>
                <c:pt idx="797">
                  <c:v>83.5</c:v>
                </c:pt>
                <c:pt idx="798">
                  <c:v>83.5</c:v>
                </c:pt>
                <c:pt idx="799">
                  <c:v>83.5</c:v>
                </c:pt>
                <c:pt idx="800">
                  <c:v>83.5</c:v>
                </c:pt>
                <c:pt idx="801">
                  <c:v>83.5</c:v>
                </c:pt>
                <c:pt idx="802">
                  <c:v>83.5</c:v>
                </c:pt>
                <c:pt idx="803">
                  <c:v>83.5</c:v>
                </c:pt>
                <c:pt idx="804">
                  <c:v>83.5</c:v>
                </c:pt>
                <c:pt idx="805">
                  <c:v>83.5</c:v>
                </c:pt>
                <c:pt idx="806">
                  <c:v>83.5</c:v>
                </c:pt>
                <c:pt idx="807">
                  <c:v>83.5</c:v>
                </c:pt>
                <c:pt idx="808">
                  <c:v>83.5</c:v>
                </c:pt>
                <c:pt idx="809">
                  <c:v>83.5</c:v>
                </c:pt>
                <c:pt idx="810">
                  <c:v>83.5</c:v>
                </c:pt>
                <c:pt idx="811">
                  <c:v>83.5</c:v>
                </c:pt>
                <c:pt idx="812">
                  <c:v>83.5</c:v>
                </c:pt>
                <c:pt idx="813">
                  <c:v>83.5</c:v>
                </c:pt>
                <c:pt idx="814">
                  <c:v>83.5</c:v>
                </c:pt>
                <c:pt idx="815">
                  <c:v>83.5</c:v>
                </c:pt>
                <c:pt idx="816">
                  <c:v>83.5</c:v>
                </c:pt>
                <c:pt idx="817">
                  <c:v>83.5</c:v>
                </c:pt>
                <c:pt idx="818">
                  <c:v>83.5</c:v>
                </c:pt>
                <c:pt idx="819">
                  <c:v>83.5</c:v>
                </c:pt>
                <c:pt idx="820">
                  <c:v>83.5</c:v>
                </c:pt>
                <c:pt idx="821">
                  <c:v>83.5</c:v>
                </c:pt>
                <c:pt idx="822">
                  <c:v>83.5</c:v>
                </c:pt>
                <c:pt idx="823">
                  <c:v>83.5</c:v>
                </c:pt>
                <c:pt idx="824">
                  <c:v>83.5</c:v>
                </c:pt>
                <c:pt idx="825">
                  <c:v>83.5</c:v>
                </c:pt>
                <c:pt idx="826">
                  <c:v>83.5</c:v>
                </c:pt>
                <c:pt idx="827">
                  <c:v>83.5</c:v>
                </c:pt>
                <c:pt idx="828">
                  <c:v>83.5</c:v>
                </c:pt>
                <c:pt idx="829">
                  <c:v>83.5</c:v>
                </c:pt>
                <c:pt idx="830">
                  <c:v>83.5</c:v>
                </c:pt>
                <c:pt idx="831">
                  <c:v>83.5</c:v>
                </c:pt>
                <c:pt idx="832">
                  <c:v>83.5</c:v>
                </c:pt>
                <c:pt idx="833">
                  <c:v>83.5</c:v>
                </c:pt>
                <c:pt idx="834">
                  <c:v>83.5</c:v>
                </c:pt>
                <c:pt idx="835">
                  <c:v>83.5</c:v>
                </c:pt>
                <c:pt idx="836">
                  <c:v>83.5</c:v>
                </c:pt>
                <c:pt idx="837">
                  <c:v>83.5</c:v>
                </c:pt>
                <c:pt idx="838">
                  <c:v>83.5</c:v>
                </c:pt>
                <c:pt idx="839">
                  <c:v>83.5</c:v>
                </c:pt>
                <c:pt idx="840">
                  <c:v>83.5</c:v>
                </c:pt>
                <c:pt idx="841">
                  <c:v>83.5</c:v>
                </c:pt>
                <c:pt idx="842">
                  <c:v>83.5</c:v>
                </c:pt>
                <c:pt idx="843">
                  <c:v>83.5</c:v>
                </c:pt>
                <c:pt idx="844">
                  <c:v>83.5</c:v>
                </c:pt>
                <c:pt idx="845">
                  <c:v>83.5</c:v>
                </c:pt>
                <c:pt idx="846">
                  <c:v>83.5</c:v>
                </c:pt>
                <c:pt idx="847">
                  <c:v>83.5</c:v>
                </c:pt>
                <c:pt idx="848">
                  <c:v>83.5</c:v>
                </c:pt>
                <c:pt idx="849">
                  <c:v>83.5</c:v>
                </c:pt>
                <c:pt idx="850">
                  <c:v>83.5</c:v>
                </c:pt>
                <c:pt idx="851">
                  <c:v>83.5</c:v>
                </c:pt>
                <c:pt idx="852">
                  <c:v>83.5</c:v>
                </c:pt>
                <c:pt idx="853">
                  <c:v>83.5</c:v>
                </c:pt>
                <c:pt idx="854">
                  <c:v>83.5</c:v>
                </c:pt>
                <c:pt idx="855">
                  <c:v>83.5</c:v>
                </c:pt>
                <c:pt idx="856">
                  <c:v>83.5</c:v>
                </c:pt>
                <c:pt idx="857">
                  <c:v>83.5</c:v>
                </c:pt>
                <c:pt idx="858">
                  <c:v>83.5</c:v>
                </c:pt>
                <c:pt idx="859">
                  <c:v>83.5</c:v>
                </c:pt>
                <c:pt idx="860">
                  <c:v>83.5</c:v>
                </c:pt>
                <c:pt idx="861">
                  <c:v>83.5</c:v>
                </c:pt>
                <c:pt idx="862">
                  <c:v>83.5</c:v>
                </c:pt>
                <c:pt idx="863">
                  <c:v>83.5</c:v>
                </c:pt>
                <c:pt idx="864">
                  <c:v>83.5</c:v>
                </c:pt>
                <c:pt idx="865">
                  <c:v>83.5</c:v>
                </c:pt>
                <c:pt idx="866">
                  <c:v>83.5</c:v>
                </c:pt>
                <c:pt idx="867">
                  <c:v>83.5</c:v>
                </c:pt>
                <c:pt idx="868">
                  <c:v>83.5</c:v>
                </c:pt>
                <c:pt idx="869">
                  <c:v>83.5</c:v>
                </c:pt>
                <c:pt idx="870">
                  <c:v>83.5</c:v>
                </c:pt>
                <c:pt idx="871">
                  <c:v>83.5</c:v>
                </c:pt>
                <c:pt idx="872">
                  <c:v>83.5</c:v>
                </c:pt>
                <c:pt idx="873">
                  <c:v>83.5</c:v>
                </c:pt>
                <c:pt idx="874">
                  <c:v>83.5</c:v>
                </c:pt>
                <c:pt idx="875">
                  <c:v>83.5</c:v>
                </c:pt>
                <c:pt idx="876">
                  <c:v>83.5</c:v>
                </c:pt>
                <c:pt idx="877">
                  <c:v>83.7</c:v>
                </c:pt>
                <c:pt idx="878">
                  <c:v>83.7</c:v>
                </c:pt>
                <c:pt idx="879">
                  <c:v>83.7</c:v>
                </c:pt>
                <c:pt idx="880">
                  <c:v>83.7</c:v>
                </c:pt>
                <c:pt idx="881">
                  <c:v>83.7</c:v>
                </c:pt>
                <c:pt idx="882">
                  <c:v>83.7</c:v>
                </c:pt>
                <c:pt idx="883">
                  <c:v>83.7</c:v>
                </c:pt>
                <c:pt idx="884">
                  <c:v>83.7</c:v>
                </c:pt>
                <c:pt idx="885">
                  <c:v>83.7</c:v>
                </c:pt>
                <c:pt idx="886">
                  <c:v>83.7</c:v>
                </c:pt>
                <c:pt idx="887">
                  <c:v>83.7</c:v>
                </c:pt>
                <c:pt idx="888">
                  <c:v>83.7</c:v>
                </c:pt>
                <c:pt idx="889">
                  <c:v>83.7</c:v>
                </c:pt>
                <c:pt idx="890">
                  <c:v>83.7</c:v>
                </c:pt>
                <c:pt idx="891">
                  <c:v>83.7</c:v>
                </c:pt>
                <c:pt idx="892">
                  <c:v>83.7</c:v>
                </c:pt>
                <c:pt idx="893">
                  <c:v>83.7</c:v>
                </c:pt>
                <c:pt idx="894">
                  <c:v>83.7</c:v>
                </c:pt>
                <c:pt idx="895">
                  <c:v>83.7</c:v>
                </c:pt>
                <c:pt idx="896">
                  <c:v>83.7</c:v>
                </c:pt>
                <c:pt idx="897">
                  <c:v>83.7</c:v>
                </c:pt>
                <c:pt idx="898">
                  <c:v>83.7</c:v>
                </c:pt>
                <c:pt idx="899">
                  <c:v>83.7</c:v>
                </c:pt>
                <c:pt idx="900">
                  <c:v>83.7</c:v>
                </c:pt>
                <c:pt idx="901">
                  <c:v>83.7</c:v>
                </c:pt>
                <c:pt idx="902">
                  <c:v>83.8</c:v>
                </c:pt>
                <c:pt idx="903">
                  <c:v>83.8</c:v>
                </c:pt>
                <c:pt idx="904">
                  <c:v>83.8</c:v>
                </c:pt>
                <c:pt idx="905">
                  <c:v>83.8</c:v>
                </c:pt>
                <c:pt idx="906">
                  <c:v>83.8</c:v>
                </c:pt>
                <c:pt idx="907">
                  <c:v>83.8</c:v>
                </c:pt>
                <c:pt idx="908">
                  <c:v>83.8</c:v>
                </c:pt>
                <c:pt idx="909">
                  <c:v>83.8</c:v>
                </c:pt>
                <c:pt idx="910">
                  <c:v>83.8</c:v>
                </c:pt>
                <c:pt idx="911">
                  <c:v>83.8</c:v>
                </c:pt>
                <c:pt idx="912">
                  <c:v>83.8</c:v>
                </c:pt>
                <c:pt idx="913">
                  <c:v>83.8</c:v>
                </c:pt>
                <c:pt idx="914">
                  <c:v>83.8</c:v>
                </c:pt>
                <c:pt idx="915">
                  <c:v>83.8</c:v>
                </c:pt>
                <c:pt idx="916">
                  <c:v>83.8</c:v>
                </c:pt>
                <c:pt idx="917">
                  <c:v>83.8</c:v>
                </c:pt>
                <c:pt idx="918">
                  <c:v>83.9</c:v>
                </c:pt>
                <c:pt idx="919">
                  <c:v>83.9</c:v>
                </c:pt>
                <c:pt idx="920">
                  <c:v>83.9</c:v>
                </c:pt>
                <c:pt idx="921">
                  <c:v>83.9</c:v>
                </c:pt>
                <c:pt idx="922">
                  <c:v>83.9</c:v>
                </c:pt>
                <c:pt idx="923">
                  <c:v>83.9</c:v>
                </c:pt>
                <c:pt idx="924">
                  <c:v>84</c:v>
                </c:pt>
                <c:pt idx="925">
                  <c:v>84.4</c:v>
                </c:pt>
                <c:pt idx="926">
                  <c:v>84.4</c:v>
                </c:pt>
                <c:pt idx="927">
                  <c:v>84.4</c:v>
                </c:pt>
                <c:pt idx="928">
                  <c:v>84.4</c:v>
                </c:pt>
                <c:pt idx="929">
                  <c:v>84.6</c:v>
                </c:pt>
                <c:pt idx="930">
                  <c:v>84.6</c:v>
                </c:pt>
                <c:pt idx="931">
                  <c:v>84.6</c:v>
                </c:pt>
                <c:pt idx="932">
                  <c:v>84.6</c:v>
                </c:pt>
                <c:pt idx="933">
                  <c:v>85</c:v>
                </c:pt>
                <c:pt idx="934">
                  <c:v>85</c:v>
                </c:pt>
                <c:pt idx="935">
                  <c:v>85.2</c:v>
                </c:pt>
                <c:pt idx="936">
                  <c:v>85.3</c:v>
                </c:pt>
              </c:numCache>
            </c:numRef>
          </c:val>
          <c:extLst>
            <c:ext xmlns:c16="http://schemas.microsoft.com/office/drawing/2014/chart" uri="{C3380CC4-5D6E-409C-BE32-E72D297353CC}">
              <c16:uniqueId val="{00000000-C500-4D18-8B8A-0475FC6A2293}"/>
            </c:ext>
          </c:extLst>
        </c:ser>
        <c:dLbls>
          <c:showLegendKey val="0"/>
          <c:showVal val="0"/>
          <c:showCatName val="0"/>
          <c:showSerName val="0"/>
          <c:showPercent val="0"/>
          <c:showBubbleSize val="0"/>
        </c:dLbls>
        <c:gapWidth val="150"/>
        <c:axId val="171038592"/>
        <c:axId val="179429760"/>
      </c:barChart>
      <c:catAx>
        <c:axId val="171038592"/>
        <c:scaling>
          <c:orientation val="minMax"/>
        </c:scaling>
        <c:delete val="0"/>
        <c:axPos val="b"/>
        <c:title>
          <c:tx>
            <c:rich>
              <a:bodyPr/>
              <a:lstStyle/>
              <a:p>
                <a:pPr>
                  <a:defRPr sz="1400"/>
                </a:pPr>
                <a:r>
                  <a:rPr lang="en-US" sz="1400"/>
                  <a:t>Product Number</a:t>
                </a:r>
              </a:p>
            </c:rich>
          </c:tx>
          <c:layout>
            <c:manualLayout>
              <c:xMode val="edge"/>
              <c:yMode val="edge"/>
              <c:x val="0.4391054243219597"/>
              <c:y val="0.92960629921259841"/>
            </c:manualLayout>
          </c:layout>
          <c:overlay val="0"/>
        </c:title>
        <c:majorTickMark val="none"/>
        <c:minorTickMark val="none"/>
        <c:tickLblPos val="none"/>
        <c:crossAx val="179429760"/>
        <c:crosses val="autoZero"/>
        <c:auto val="1"/>
        <c:lblAlgn val="ctr"/>
        <c:lblOffset val="100"/>
        <c:noMultiLvlLbl val="0"/>
      </c:catAx>
      <c:valAx>
        <c:axId val="179429760"/>
        <c:scaling>
          <c:orientation val="minMax"/>
          <c:max val="85"/>
          <c:min val="78"/>
        </c:scaling>
        <c:delete val="0"/>
        <c:axPos val="l"/>
        <c:majorGridlines/>
        <c:title>
          <c:tx>
            <c:rich>
              <a:bodyPr rot="-5400000" vert="horz"/>
              <a:lstStyle/>
              <a:p>
                <a:pPr>
                  <a:defRPr sz="1400"/>
                </a:pPr>
                <a:r>
                  <a:rPr lang="en-US" sz="1400"/>
                  <a:t>Thermal Efficiency</a:t>
                </a:r>
              </a:p>
            </c:rich>
          </c:tx>
          <c:layout>
            <c:manualLayout>
              <c:xMode val="edge"/>
              <c:yMode val="edge"/>
              <c:x val="2.7777777777777779E-3"/>
              <c:y val="0.27178040244969381"/>
            </c:manualLayout>
          </c:layout>
          <c:overlay val="0"/>
        </c:title>
        <c:numFmt formatCode="General" sourceLinked="1"/>
        <c:majorTickMark val="out"/>
        <c:minorTickMark val="none"/>
        <c:tickLblPos val="nextTo"/>
        <c:txPr>
          <a:bodyPr/>
          <a:lstStyle/>
          <a:p>
            <a:pPr>
              <a:defRPr sz="1400"/>
            </a:pPr>
            <a:endParaRPr lang="en-US"/>
          </a:p>
        </c:txPr>
        <c:crossAx val="171038592"/>
        <c:crosses val="autoZero"/>
        <c:crossBetween val="between"/>
      </c:valAx>
      <c:spPr>
        <a:solidFill>
          <a:schemeClr val="bg1">
            <a:lumMod val="85000"/>
          </a:schemeClr>
        </a:solidFill>
      </c:spPr>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589129483814521"/>
          <c:y val="5.1400554097404488E-2"/>
          <c:w val="0.81355314960629921"/>
          <c:h val="0.82647747156605422"/>
        </c:manualLayout>
      </c:layout>
      <c:barChart>
        <c:barDir val="col"/>
        <c:grouping val="clustered"/>
        <c:varyColors val="0"/>
        <c:ser>
          <c:idx val="0"/>
          <c:order val="0"/>
          <c:spPr>
            <a:solidFill>
              <a:schemeClr val="tx1"/>
            </a:solidFill>
          </c:spPr>
          <c:invertIfNegative val="0"/>
          <c:val>
            <c:numRef>
              <c:f>'LgGasSWH&gt;87'!$I$2:$I$265</c:f>
              <c:numCache>
                <c:formatCode>General</c:formatCode>
                <c:ptCount val="264"/>
                <c:pt idx="0">
                  <c:v>86.9</c:v>
                </c:pt>
                <c:pt idx="1">
                  <c:v>86.9</c:v>
                </c:pt>
                <c:pt idx="2">
                  <c:v>86.9</c:v>
                </c:pt>
                <c:pt idx="3">
                  <c:v>86.9</c:v>
                </c:pt>
                <c:pt idx="4">
                  <c:v>86.9</c:v>
                </c:pt>
                <c:pt idx="5">
                  <c:v>86.9</c:v>
                </c:pt>
                <c:pt idx="6">
                  <c:v>86.9</c:v>
                </c:pt>
                <c:pt idx="7">
                  <c:v>86.9</c:v>
                </c:pt>
                <c:pt idx="8">
                  <c:v>86.9</c:v>
                </c:pt>
                <c:pt idx="9">
                  <c:v>86.9</c:v>
                </c:pt>
                <c:pt idx="10">
                  <c:v>86.9</c:v>
                </c:pt>
                <c:pt idx="11">
                  <c:v>86.9</c:v>
                </c:pt>
                <c:pt idx="12">
                  <c:v>86.9</c:v>
                </c:pt>
                <c:pt idx="13">
                  <c:v>89.5</c:v>
                </c:pt>
                <c:pt idx="14">
                  <c:v>89.5</c:v>
                </c:pt>
                <c:pt idx="15">
                  <c:v>89.5</c:v>
                </c:pt>
                <c:pt idx="16">
                  <c:v>89.5</c:v>
                </c:pt>
                <c:pt idx="17">
                  <c:v>90</c:v>
                </c:pt>
                <c:pt idx="18">
                  <c:v>90</c:v>
                </c:pt>
                <c:pt idx="19">
                  <c:v>90</c:v>
                </c:pt>
                <c:pt idx="20">
                  <c:v>90</c:v>
                </c:pt>
                <c:pt idx="21">
                  <c:v>90</c:v>
                </c:pt>
                <c:pt idx="22">
                  <c:v>90</c:v>
                </c:pt>
                <c:pt idx="23">
                  <c:v>90</c:v>
                </c:pt>
                <c:pt idx="24">
                  <c:v>90.4</c:v>
                </c:pt>
                <c:pt idx="25">
                  <c:v>90.4</c:v>
                </c:pt>
                <c:pt idx="26">
                  <c:v>90.4</c:v>
                </c:pt>
                <c:pt idx="27">
                  <c:v>90.4</c:v>
                </c:pt>
                <c:pt idx="28">
                  <c:v>90.5</c:v>
                </c:pt>
                <c:pt idx="29">
                  <c:v>90.5</c:v>
                </c:pt>
                <c:pt idx="30">
                  <c:v>90.9</c:v>
                </c:pt>
                <c:pt idx="31">
                  <c:v>91</c:v>
                </c:pt>
                <c:pt idx="32">
                  <c:v>91.6</c:v>
                </c:pt>
                <c:pt idx="33">
                  <c:v>91.6</c:v>
                </c:pt>
                <c:pt idx="34">
                  <c:v>91.6</c:v>
                </c:pt>
                <c:pt idx="35">
                  <c:v>91.6</c:v>
                </c:pt>
                <c:pt idx="36">
                  <c:v>91.6</c:v>
                </c:pt>
                <c:pt idx="37">
                  <c:v>91.6</c:v>
                </c:pt>
                <c:pt idx="38">
                  <c:v>91.6</c:v>
                </c:pt>
                <c:pt idx="39">
                  <c:v>92</c:v>
                </c:pt>
                <c:pt idx="40">
                  <c:v>92</c:v>
                </c:pt>
                <c:pt idx="41">
                  <c:v>92</c:v>
                </c:pt>
                <c:pt idx="42">
                  <c:v>92</c:v>
                </c:pt>
                <c:pt idx="43">
                  <c:v>92</c:v>
                </c:pt>
                <c:pt idx="44">
                  <c:v>92</c:v>
                </c:pt>
                <c:pt idx="45">
                  <c:v>92</c:v>
                </c:pt>
                <c:pt idx="46">
                  <c:v>92</c:v>
                </c:pt>
                <c:pt idx="47">
                  <c:v>92</c:v>
                </c:pt>
                <c:pt idx="48">
                  <c:v>93</c:v>
                </c:pt>
                <c:pt idx="49">
                  <c:v>93.3</c:v>
                </c:pt>
                <c:pt idx="50">
                  <c:v>93.6</c:v>
                </c:pt>
                <c:pt idx="51">
                  <c:v>94</c:v>
                </c:pt>
                <c:pt idx="52">
                  <c:v>94</c:v>
                </c:pt>
                <c:pt idx="53">
                  <c:v>94</c:v>
                </c:pt>
                <c:pt idx="54">
                  <c:v>94</c:v>
                </c:pt>
                <c:pt idx="55">
                  <c:v>94</c:v>
                </c:pt>
                <c:pt idx="56">
                  <c:v>94</c:v>
                </c:pt>
                <c:pt idx="57">
                  <c:v>94</c:v>
                </c:pt>
                <c:pt idx="58">
                  <c:v>94</c:v>
                </c:pt>
                <c:pt idx="59">
                  <c:v>94</c:v>
                </c:pt>
                <c:pt idx="60">
                  <c:v>94</c:v>
                </c:pt>
                <c:pt idx="61">
                  <c:v>94</c:v>
                </c:pt>
                <c:pt idx="62">
                  <c:v>94</c:v>
                </c:pt>
                <c:pt idx="63">
                  <c:v>94</c:v>
                </c:pt>
                <c:pt idx="64">
                  <c:v>94</c:v>
                </c:pt>
                <c:pt idx="65">
                  <c:v>94</c:v>
                </c:pt>
                <c:pt idx="66">
                  <c:v>94</c:v>
                </c:pt>
                <c:pt idx="67">
                  <c:v>94</c:v>
                </c:pt>
                <c:pt idx="68">
                  <c:v>94</c:v>
                </c:pt>
                <c:pt idx="69">
                  <c:v>94</c:v>
                </c:pt>
                <c:pt idx="70">
                  <c:v>94</c:v>
                </c:pt>
                <c:pt idx="71">
                  <c:v>94</c:v>
                </c:pt>
                <c:pt idx="72">
                  <c:v>94</c:v>
                </c:pt>
                <c:pt idx="73">
                  <c:v>94</c:v>
                </c:pt>
                <c:pt idx="74">
                  <c:v>94.1</c:v>
                </c:pt>
                <c:pt idx="75">
                  <c:v>94.1</c:v>
                </c:pt>
                <c:pt idx="76">
                  <c:v>94.1</c:v>
                </c:pt>
                <c:pt idx="77">
                  <c:v>94.1</c:v>
                </c:pt>
                <c:pt idx="78">
                  <c:v>94.1</c:v>
                </c:pt>
                <c:pt idx="79">
                  <c:v>94.9</c:v>
                </c:pt>
                <c:pt idx="80">
                  <c:v>94.9</c:v>
                </c:pt>
                <c:pt idx="81">
                  <c:v>94.9</c:v>
                </c:pt>
                <c:pt idx="82">
                  <c:v>94.9</c:v>
                </c:pt>
                <c:pt idx="83">
                  <c:v>94.9</c:v>
                </c:pt>
                <c:pt idx="84">
                  <c:v>94.9</c:v>
                </c:pt>
                <c:pt idx="85">
                  <c:v>94.9</c:v>
                </c:pt>
                <c:pt idx="86">
                  <c:v>94.9</c:v>
                </c:pt>
                <c:pt idx="87">
                  <c:v>94.9</c:v>
                </c:pt>
                <c:pt idx="88">
                  <c:v>94.9</c:v>
                </c:pt>
                <c:pt idx="89">
                  <c:v>94.9</c:v>
                </c:pt>
                <c:pt idx="90">
                  <c:v>94.9</c:v>
                </c:pt>
                <c:pt idx="91">
                  <c:v>94.9</c:v>
                </c:pt>
                <c:pt idx="92">
                  <c:v>94.9</c:v>
                </c:pt>
                <c:pt idx="93">
                  <c:v>94.9</c:v>
                </c:pt>
                <c:pt idx="94">
                  <c:v>94.9</c:v>
                </c:pt>
                <c:pt idx="95">
                  <c:v>94.9</c:v>
                </c:pt>
                <c:pt idx="96">
                  <c:v>94.9</c:v>
                </c:pt>
                <c:pt idx="97">
                  <c:v>94.9</c:v>
                </c:pt>
                <c:pt idx="98">
                  <c:v>94.9</c:v>
                </c:pt>
                <c:pt idx="99">
                  <c:v>94.9</c:v>
                </c:pt>
                <c:pt idx="100">
                  <c:v>94.9</c:v>
                </c:pt>
                <c:pt idx="101">
                  <c:v>94.9</c:v>
                </c:pt>
                <c:pt idx="102">
                  <c:v>94.9</c:v>
                </c:pt>
                <c:pt idx="103">
                  <c:v>94.9</c:v>
                </c:pt>
                <c:pt idx="104">
                  <c:v>94.9</c:v>
                </c:pt>
                <c:pt idx="105">
                  <c:v>94.9</c:v>
                </c:pt>
                <c:pt idx="106">
                  <c:v>94.9</c:v>
                </c:pt>
                <c:pt idx="107">
                  <c:v>94.9</c:v>
                </c:pt>
                <c:pt idx="108">
                  <c:v>95</c:v>
                </c:pt>
                <c:pt idx="109">
                  <c:v>95</c:v>
                </c:pt>
                <c:pt idx="110">
                  <c:v>95</c:v>
                </c:pt>
                <c:pt idx="111">
                  <c:v>95</c:v>
                </c:pt>
                <c:pt idx="112">
                  <c:v>95</c:v>
                </c:pt>
                <c:pt idx="113">
                  <c:v>95</c:v>
                </c:pt>
                <c:pt idx="114">
                  <c:v>95</c:v>
                </c:pt>
                <c:pt idx="115">
                  <c:v>95</c:v>
                </c:pt>
                <c:pt idx="116">
                  <c:v>95</c:v>
                </c:pt>
                <c:pt idx="117">
                  <c:v>95</c:v>
                </c:pt>
                <c:pt idx="118">
                  <c:v>95</c:v>
                </c:pt>
                <c:pt idx="119">
                  <c:v>95</c:v>
                </c:pt>
                <c:pt idx="120">
                  <c:v>95</c:v>
                </c:pt>
                <c:pt idx="121">
                  <c:v>95</c:v>
                </c:pt>
                <c:pt idx="122">
                  <c:v>95</c:v>
                </c:pt>
                <c:pt idx="123">
                  <c:v>95.1</c:v>
                </c:pt>
                <c:pt idx="124">
                  <c:v>95.1</c:v>
                </c:pt>
                <c:pt idx="125">
                  <c:v>95.1</c:v>
                </c:pt>
                <c:pt idx="126">
                  <c:v>95.1</c:v>
                </c:pt>
                <c:pt idx="127">
                  <c:v>95.1</c:v>
                </c:pt>
                <c:pt idx="128">
                  <c:v>95.1</c:v>
                </c:pt>
                <c:pt idx="129">
                  <c:v>95.1</c:v>
                </c:pt>
                <c:pt idx="130">
                  <c:v>95.1</c:v>
                </c:pt>
                <c:pt idx="131">
                  <c:v>95.1</c:v>
                </c:pt>
                <c:pt idx="132">
                  <c:v>95.1</c:v>
                </c:pt>
                <c:pt idx="133">
                  <c:v>95.1</c:v>
                </c:pt>
                <c:pt idx="134">
                  <c:v>95.1</c:v>
                </c:pt>
                <c:pt idx="135">
                  <c:v>95.5</c:v>
                </c:pt>
                <c:pt idx="136">
                  <c:v>95.5</c:v>
                </c:pt>
                <c:pt idx="137">
                  <c:v>95.5</c:v>
                </c:pt>
                <c:pt idx="138">
                  <c:v>95.5</c:v>
                </c:pt>
                <c:pt idx="139">
                  <c:v>95.5</c:v>
                </c:pt>
                <c:pt idx="140">
                  <c:v>95.5</c:v>
                </c:pt>
                <c:pt idx="141">
                  <c:v>95.5</c:v>
                </c:pt>
                <c:pt idx="142">
                  <c:v>95.5</c:v>
                </c:pt>
                <c:pt idx="143">
                  <c:v>95.5</c:v>
                </c:pt>
                <c:pt idx="144">
                  <c:v>95.5</c:v>
                </c:pt>
                <c:pt idx="145">
                  <c:v>95.5</c:v>
                </c:pt>
                <c:pt idx="146">
                  <c:v>95.5</c:v>
                </c:pt>
                <c:pt idx="147">
                  <c:v>95.5</c:v>
                </c:pt>
                <c:pt idx="148">
                  <c:v>95.5</c:v>
                </c:pt>
                <c:pt idx="149">
                  <c:v>95.5</c:v>
                </c:pt>
                <c:pt idx="150">
                  <c:v>95.5</c:v>
                </c:pt>
                <c:pt idx="151">
                  <c:v>95.5</c:v>
                </c:pt>
                <c:pt idx="152">
                  <c:v>95.7</c:v>
                </c:pt>
                <c:pt idx="153">
                  <c:v>95.7</c:v>
                </c:pt>
                <c:pt idx="154">
                  <c:v>95.7</c:v>
                </c:pt>
                <c:pt idx="155">
                  <c:v>95.7</c:v>
                </c:pt>
                <c:pt idx="156">
                  <c:v>95.7</c:v>
                </c:pt>
                <c:pt idx="157">
                  <c:v>95.7</c:v>
                </c:pt>
                <c:pt idx="158">
                  <c:v>95.7</c:v>
                </c:pt>
                <c:pt idx="159">
                  <c:v>95.7</c:v>
                </c:pt>
                <c:pt idx="160">
                  <c:v>95.7</c:v>
                </c:pt>
                <c:pt idx="161">
                  <c:v>95.7</c:v>
                </c:pt>
                <c:pt idx="162">
                  <c:v>95.7</c:v>
                </c:pt>
                <c:pt idx="163">
                  <c:v>95.7</c:v>
                </c:pt>
                <c:pt idx="164">
                  <c:v>95.7</c:v>
                </c:pt>
                <c:pt idx="165">
                  <c:v>95.7</c:v>
                </c:pt>
                <c:pt idx="166">
                  <c:v>95.7</c:v>
                </c:pt>
                <c:pt idx="167">
                  <c:v>95.7</c:v>
                </c:pt>
                <c:pt idx="168">
                  <c:v>95.7</c:v>
                </c:pt>
                <c:pt idx="169">
                  <c:v>95.7</c:v>
                </c:pt>
                <c:pt idx="170">
                  <c:v>95.7</c:v>
                </c:pt>
                <c:pt idx="171">
                  <c:v>95.7</c:v>
                </c:pt>
                <c:pt idx="172">
                  <c:v>95.7</c:v>
                </c:pt>
                <c:pt idx="173">
                  <c:v>95.7</c:v>
                </c:pt>
                <c:pt idx="174">
                  <c:v>95.7</c:v>
                </c:pt>
                <c:pt idx="175">
                  <c:v>95.7</c:v>
                </c:pt>
                <c:pt idx="176">
                  <c:v>95.7</c:v>
                </c:pt>
                <c:pt idx="177">
                  <c:v>95.7</c:v>
                </c:pt>
                <c:pt idx="178">
                  <c:v>95.7</c:v>
                </c:pt>
                <c:pt idx="179">
                  <c:v>95.7</c:v>
                </c:pt>
                <c:pt idx="180">
                  <c:v>95.8</c:v>
                </c:pt>
                <c:pt idx="181">
                  <c:v>95.8</c:v>
                </c:pt>
                <c:pt idx="182">
                  <c:v>95.8</c:v>
                </c:pt>
                <c:pt idx="183">
                  <c:v>95.8</c:v>
                </c:pt>
                <c:pt idx="184">
                  <c:v>95.8</c:v>
                </c:pt>
                <c:pt idx="185">
                  <c:v>96</c:v>
                </c:pt>
                <c:pt idx="186">
                  <c:v>96</c:v>
                </c:pt>
                <c:pt idx="187">
                  <c:v>96</c:v>
                </c:pt>
                <c:pt idx="188">
                  <c:v>96</c:v>
                </c:pt>
                <c:pt idx="189">
                  <c:v>96</c:v>
                </c:pt>
                <c:pt idx="190">
                  <c:v>96</c:v>
                </c:pt>
                <c:pt idx="191">
                  <c:v>96</c:v>
                </c:pt>
                <c:pt idx="192">
                  <c:v>96</c:v>
                </c:pt>
                <c:pt idx="193">
                  <c:v>96</c:v>
                </c:pt>
                <c:pt idx="194">
                  <c:v>96</c:v>
                </c:pt>
                <c:pt idx="195">
                  <c:v>96</c:v>
                </c:pt>
                <c:pt idx="196">
                  <c:v>96</c:v>
                </c:pt>
                <c:pt idx="197">
                  <c:v>96</c:v>
                </c:pt>
                <c:pt idx="198">
                  <c:v>96</c:v>
                </c:pt>
                <c:pt idx="199">
                  <c:v>96</c:v>
                </c:pt>
                <c:pt idx="200">
                  <c:v>96</c:v>
                </c:pt>
                <c:pt idx="201">
                  <c:v>96</c:v>
                </c:pt>
                <c:pt idx="202">
                  <c:v>96</c:v>
                </c:pt>
                <c:pt idx="203">
                  <c:v>96</c:v>
                </c:pt>
                <c:pt idx="204">
                  <c:v>96</c:v>
                </c:pt>
                <c:pt idx="205">
                  <c:v>96</c:v>
                </c:pt>
                <c:pt idx="206">
                  <c:v>96</c:v>
                </c:pt>
                <c:pt idx="207">
                  <c:v>96</c:v>
                </c:pt>
                <c:pt idx="208">
                  <c:v>96</c:v>
                </c:pt>
                <c:pt idx="209">
                  <c:v>96</c:v>
                </c:pt>
                <c:pt idx="210">
                  <c:v>96</c:v>
                </c:pt>
                <c:pt idx="211">
                  <c:v>96</c:v>
                </c:pt>
                <c:pt idx="212">
                  <c:v>96.7</c:v>
                </c:pt>
                <c:pt idx="213">
                  <c:v>96.7</c:v>
                </c:pt>
                <c:pt idx="214">
                  <c:v>96.7</c:v>
                </c:pt>
                <c:pt idx="215">
                  <c:v>96.7</c:v>
                </c:pt>
                <c:pt idx="216">
                  <c:v>96.7</c:v>
                </c:pt>
                <c:pt idx="217">
                  <c:v>96.7</c:v>
                </c:pt>
                <c:pt idx="218">
                  <c:v>96.7</c:v>
                </c:pt>
                <c:pt idx="219">
                  <c:v>96.7</c:v>
                </c:pt>
                <c:pt idx="220">
                  <c:v>96.7</c:v>
                </c:pt>
                <c:pt idx="221">
                  <c:v>96.7</c:v>
                </c:pt>
                <c:pt idx="222">
                  <c:v>96.7</c:v>
                </c:pt>
                <c:pt idx="223">
                  <c:v>96.7</c:v>
                </c:pt>
                <c:pt idx="224">
                  <c:v>96.7</c:v>
                </c:pt>
                <c:pt idx="225">
                  <c:v>96.7</c:v>
                </c:pt>
                <c:pt idx="226">
                  <c:v>96.7</c:v>
                </c:pt>
                <c:pt idx="227">
                  <c:v>96.7</c:v>
                </c:pt>
                <c:pt idx="228">
                  <c:v>96.7</c:v>
                </c:pt>
                <c:pt idx="229">
                  <c:v>96.8</c:v>
                </c:pt>
                <c:pt idx="230">
                  <c:v>96.8</c:v>
                </c:pt>
                <c:pt idx="231">
                  <c:v>96.8</c:v>
                </c:pt>
                <c:pt idx="232">
                  <c:v>96.8</c:v>
                </c:pt>
                <c:pt idx="233">
                  <c:v>96.8</c:v>
                </c:pt>
                <c:pt idx="234">
                  <c:v>96.8</c:v>
                </c:pt>
                <c:pt idx="235">
                  <c:v>96.8</c:v>
                </c:pt>
                <c:pt idx="236">
                  <c:v>96.8</c:v>
                </c:pt>
                <c:pt idx="237">
                  <c:v>96.8</c:v>
                </c:pt>
                <c:pt idx="238">
                  <c:v>96.8</c:v>
                </c:pt>
                <c:pt idx="239">
                  <c:v>96.8</c:v>
                </c:pt>
                <c:pt idx="240">
                  <c:v>96.8</c:v>
                </c:pt>
                <c:pt idx="241">
                  <c:v>96.8</c:v>
                </c:pt>
                <c:pt idx="242">
                  <c:v>96.8</c:v>
                </c:pt>
                <c:pt idx="243">
                  <c:v>96.8</c:v>
                </c:pt>
                <c:pt idx="244">
                  <c:v>96.8</c:v>
                </c:pt>
                <c:pt idx="245">
                  <c:v>96.8</c:v>
                </c:pt>
                <c:pt idx="246">
                  <c:v>97</c:v>
                </c:pt>
                <c:pt idx="247">
                  <c:v>97</c:v>
                </c:pt>
                <c:pt idx="248">
                  <c:v>98</c:v>
                </c:pt>
                <c:pt idx="249">
                  <c:v>98.5</c:v>
                </c:pt>
                <c:pt idx="250">
                  <c:v>98.8</c:v>
                </c:pt>
                <c:pt idx="251">
                  <c:v>98.8</c:v>
                </c:pt>
                <c:pt idx="252">
                  <c:v>98.8</c:v>
                </c:pt>
                <c:pt idx="253">
                  <c:v>99</c:v>
                </c:pt>
                <c:pt idx="254">
                  <c:v>99</c:v>
                </c:pt>
                <c:pt idx="255">
                  <c:v>99</c:v>
                </c:pt>
                <c:pt idx="256">
                  <c:v>99</c:v>
                </c:pt>
                <c:pt idx="257">
                  <c:v>99</c:v>
                </c:pt>
                <c:pt idx="258">
                  <c:v>99</c:v>
                </c:pt>
                <c:pt idx="259">
                  <c:v>99</c:v>
                </c:pt>
                <c:pt idx="260">
                  <c:v>99</c:v>
                </c:pt>
                <c:pt idx="261">
                  <c:v>99</c:v>
                </c:pt>
                <c:pt idx="262">
                  <c:v>99</c:v>
                </c:pt>
                <c:pt idx="263">
                  <c:v>99</c:v>
                </c:pt>
              </c:numCache>
            </c:numRef>
          </c:val>
          <c:extLst>
            <c:ext xmlns:c16="http://schemas.microsoft.com/office/drawing/2014/chart" uri="{C3380CC4-5D6E-409C-BE32-E72D297353CC}">
              <c16:uniqueId val="{00000000-1D8F-47EE-81C4-ED8DBB0305D6}"/>
            </c:ext>
          </c:extLst>
        </c:ser>
        <c:dLbls>
          <c:showLegendKey val="0"/>
          <c:showVal val="0"/>
          <c:showCatName val="0"/>
          <c:showSerName val="0"/>
          <c:showPercent val="0"/>
          <c:showBubbleSize val="0"/>
        </c:dLbls>
        <c:gapWidth val="150"/>
        <c:axId val="240064768"/>
        <c:axId val="240079232"/>
      </c:barChart>
      <c:catAx>
        <c:axId val="240064768"/>
        <c:scaling>
          <c:orientation val="minMax"/>
        </c:scaling>
        <c:delete val="0"/>
        <c:axPos val="b"/>
        <c:title>
          <c:tx>
            <c:rich>
              <a:bodyPr/>
              <a:lstStyle/>
              <a:p>
                <a:pPr>
                  <a:defRPr sz="1400"/>
                </a:pPr>
                <a:r>
                  <a:rPr lang="en-US" sz="1400"/>
                  <a:t>Product Number</a:t>
                </a:r>
              </a:p>
            </c:rich>
          </c:tx>
          <c:layout>
            <c:manualLayout>
              <c:xMode val="edge"/>
              <c:yMode val="edge"/>
              <c:x val="0.44188320209973747"/>
              <c:y val="0.90699074074074071"/>
            </c:manualLayout>
          </c:layout>
          <c:overlay val="0"/>
        </c:title>
        <c:majorTickMark val="none"/>
        <c:minorTickMark val="none"/>
        <c:tickLblPos val="none"/>
        <c:crossAx val="240079232"/>
        <c:crosses val="autoZero"/>
        <c:auto val="1"/>
        <c:lblAlgn val="ctr"/>
        <c:lblOffset val="100"/>
        <c:noMultiLvlLbl val="0"/>
      </c:catAx>
      <c:valAx>
        <c:axId val="240079232"/>
        <c:scaling>
          <c:orientation val="minMax"/>
          <c:max val="100"/>
          <c:min val="80"/>
        </c:scaling>
        <c:delete val="0"/>
        <c:axPos val="l"/>
        <c:majorGridlines/>
        <c:title>
          <c:tx>
            <c:rich>
              <a:bodyPr rot="-5400000" vert="horz"/>
              <a:lstStyle/>
              <a:p>
                <a:pPr>
                  <a:defRPr sz="1400"/>
                </a:pPr>
                <a:r>
                  <a:rPr lang="en-US" sz="1400"/>
                  <a:t>Thermal Efficiency</a:t>
                </a:r>
              </a:p>
            </c:rich>
          </c:tx>
          <c:layout>
            <c:manualLayout>
              <c:xMode val="edge"/>
              <c:yMode val="edge"/>
              <c:x val="2.7777777777777779E-3"/>
              <c:y val="0.20696558763487896"/>
            </c:manualLayout>
          </c:layout>
          <c:overlay val="0"/>
        </c:title>
        <c:numFmt formatCode="General" sourceLinked="1"/>
        <c:majorTickMark val="out"/>
        <c:minorTickMark val="none"/>
        <c:tickLblPos val="nextTo"/>
        <c:txPr>
          <a:bodyPr/>
          <a:lstStyle/>
          <a:p>
            <a:pPr>
              <a:defRPr sz="1400"/>
            </a:pPr>
            <a:endParaRPr lang="en-US"/>
          </a:p>
        </c:txPr>
        <c:crossAx val="240064768"/>
        <c:crosses val="autoZero"/>
        <c:crossBetween val="between"/>
        <c:majorUnit val="5"/>
      </c:valAx>
      <c:spPr>
        <a:solidFill>
          <a:schemeClr val="bg1">
            <a:lumMod val="85000"/>
          </a:schemeClr>
        </a:solidFill>
      </c:spPr>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DEBCBD-6C15-4357-8267-222655F744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1</Pages>
  <Words>4043</Words>
  <Characters>23047</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Specifications--CSI Format</vt:lpstr>
    </vt:vector>
  </TitlesOfParts>
  <Company>Sempra Energy Solutions</Company>
  <LinksUpToDate>false</LinksUpToDate>
  <CharactersWithSpaces>27036</CharactersWithSpaces>
  <SharedDoc>false</SharedDoc>
  <HLinks>
    <vt:vector size="156" baseType="variant">
      <vt:variant>
        <vt:i4>1703996</vt:i4>
      </vt:variant>
      <vt:variant>
        <vt:i4>158</vt:i4>
      </vt:variant>
      <vt:variant>
        <vt:i4>0</vt:i4>
      </vt:variant>
      <vt:variant>
        <vt:i4>5</vt:i4>
      </vt:variant>
      <vt:variant>
        <vt:lpwstr/>
      </vt:variant>
      <vt:variant>
        <vt:lpwstr>_Toc268008632</vt:lpwstr>
      </vt:variant>
      <vt:variant>
        <vt:i4>1703996</vt:i4>
      </vt:variant>
      <vt:variant>
        <vt:i4>152</vt:i4>
      </vt:variant>
      <vt:variant>
        <vt:i4>0</vt:i4>
      </vt:variant>
      <vt:variant>
        <vt:i4>5</vt:i4>
      </vt:variant>
      <vt:variant>
        <vt:lpwstr/>
      </vt:variant>
      <vt:variant>
        <vt:lpwstr>_Toc268008631</vt:lpwstr>
      </vt:variant>
      <vt:variant>
        <vt:i4>1703996</vt:i4>
      </vt:variant>
      <vt:variant>
        <vt:i4>143</vt:i4>
      </vt:variant>
      <vt:variant>
        <vt:i4>0</vt:i4>
      </vt:variant>
      <vt:variant>
        <vt:i4>5</vt:i4>
      </vt:variant>
      <vt:variant>
        <vt:lpwstr/>
      </vt:variant>
      <vt:variant>
        <vt:lpwstr>_Toc268008630</vt:lpwstr>
      </vt:variant>
      <vt:variant>
        <vt:i4>1769532</vt:i4>
      </vt:variant>
      <vt:variant>
        <vt:i4>137</vt:i4>
      </vt:variant>
      <vt:variant>
        <vt:i4>0</vt:i4>
      </vt:variant>
      <vt:variant>
        <vt:i4>5</vt:i4>
      </vt:variant>
      <vt:variant>
        <vt:lpwstr/>
      </vt:variant>
      <vt:variant>
        <vt:lpwstr>_Toc268008629</vt:lpwstr>
      </vt:variant>
      <vt:variant>
        <vt:i4>1114172</vt:i4>
      </vt:variant>
      <vt:variant>
        <vt:i4>128</vt:i4>
      </vt:variant>
      <vt:variant>
        <vt:i4>0</vt:i4>
      </vt:variant>
      <vt:variant>
        <vt:i4>5</vt:i4>
      </vt:variant>
      <vt:variant>
        <vt:lpwstr/>
      </vt:variant>
      <vt:variant>
        <vt:lpwstr>_Toc268008682</vt:lpwstr>
      </vt:variant>
      <vt:variant>
        <vt:i4>1114172</vt:i4>
      </vt:variant>
      <vt:variant>
        <vt:i4>122</vt:i4>
      </vt:variant>
      <vt:variant>
        <vt:i4>0</vt:i4>
      </vt:variant>
      <vt:variant>
        <vt:i4>5</vt:i4>
      </vt:variant>
      <vt:variant>
        <vt:lpwstr/>
      </vt:variant>
      <vt:variant>
        <vt:lpwstr>_Toc268008681</vt:lpwstr>
      </vt:variant>
      <vt:variant>
        <vt:i4>1114172</vt:i4>
      </vt:variant>
      <vt:variant>
        <vt:i4>116</vt:i4>
      </vt:variant>
      <vt:variant>
        <vt:i4>0</vt:i4>
      </vt:variant>
      <vt:variant>
        <vt:i4>5</vt:i4>
      </vt:variant>
      <vt:variant>
        <vt:lpwstr/>
      </vt:variant>
      <vt:variant>
        <vt:lpwstr>_Toc268008680</vt:lpwstr>
      </vt:variant>
      <vt:variant>
        <vt:i4>1966140</vt:i4>
      </vt:variant>
      <vt:variant>
        <vt:i4>110</vt:i4>
      </vt:variant>
      <vt:variant>
        <vt:i4>0</vt:i4>
      </vt:variant>
      <vt:variant>
        <vt:i4>5</vt:i4>
      </vt:variant>
      <vt:variant>
        <vt:lpwstr/>
      </vt:variant>
      <vt:variant>
        <vt:lpwstr>_Toc268008679</vt:lpwstr>
      </vt:variant>
      <vt:variant>
        <vt:i4>1966140</vt:i4>
      </vt:variant>
      <vt:variant>
        <vt:i4>104</vt:i4>
      </vt:variant>
      <vt:variant>
        <vt:i4>0</vt:i4>
      </vt:variant>
      <vt:variant>
        <vt:i4>5</vt:i4>
      </vt:variant>
      <vt:variant>
        <vt:lpwstr/>
      </vt:variant>
      <vt:variant>
        <vt:lpwstr>_Toc268008678</vt:lpwstr>
      </vt:variant>
      <vt:variant>
        <vt:i4>1966140</vt:i4>
      </vt:variant>
      <vt:variant>
        <vt:i4>98</vt:i4>
      </vt:variant>
      <vt:variant>
        <vt:i4>0</vt:i4>
      </vt:variant>
      <vt:variant>
        <vt:i4>5</vt:i4>
      </vt:variant>
      <vt:variant>
        <vt:lpwstr/>
      </vt:variant>
      <vt:variant>
        <vt:lpwstr>_Toc268008677</vt:lpwstr>
      </vt:variant>
      <vt:variant>
        <vt:i4>1966140</vt:i4>
      </vt:variant>
      <vt:variant>
        <vt:i4>92</vt:i4>
      </vt:variant>
      <vt:variant>
        <vt:i4>0</vt:i4>
      </vt:variant>
      <vt:variant>
        <vt:i4>5</vt:i4>
      </vt:variant>
      <vt:variant>
        <vt:lpwstr/>
      </vt:variant>
      <vt:variant>
        <vt:lpwstr>_Toc268008676</vt:lpwstr>
      </vt:variant>
      <vt:variant>
        <vt:i4>1966140</vt:i4>
      </vt:variant>
      <vt:variant>
        <vt:i4>86</vt:i4>
      </vt:variant>
      <vt:variant>
        <vt:i4>0</vt:i4>
      </vt:variant>
      <vt:variant>
        <vt:i4>5</vt:i4>
      </vt:variant>
      <vt:variant>
        <vt:lpwstr/>
      </vt:variant>
      <vt:variant>
        <vt:lpwstr>_Toc268008675</vt:lpwstr>
      </vt:variant>
      <vt:variant>
        <vt:i4>1966140</vt:i4>
      </vt:variant>
      <vt:variant>
        <vt:i4>80</vt:i4>
      </vt:variant>
      <vt:variant>
        <vt:i4>0</vt:i4>
      </vt:variant>
      <vt:variant>
        <vt:i4>5</vt:i4>
      </vt:variant>
      <vt:variant>
        <vt:lpwstr/>
      </vt:variant>
      <vt:variant>
        <vt:lpwstr>_Toc268008674</vt:lpwstr>
      </vt:variant>
      <vt:variant>
        <vt:i4>1966140</vt:i4>
      </vt:variant>
      <vt:variant>
        <vt:i4>74</vt:i4>
      </vt:variant>
      <vt:variant>
        <vt:i4>0</vt:i4>
      </vt:variant>
      <vt:variant>
        <vt:i4>5</vt:i4>
      </vt:variant>
      <vt:variant>
        <vt:lpwstr/>
      </vt:variant>
      <vt:variant>
        <vt:lpwstr>_Toc268008673</vt:lpwstr>
      </vt:variant>
      <vt:variant>
        <vt:i4>1966140</vt:i4>
      </vt:variant>
      <vt:variant>
        <vt:i4>68</vt:i4>
      </vt:variant>
      <vt:variant>
        <vt:i4>0</vt:i4>
      </vt:variant>
      <vt:variant>
        <vt:i4>5</vt:i4>
      </vt:variant>
      <vt:variant>
        <vt:lpwstr/>
      </vt:variant>
      <vt:variant>
        <vt:lpwstr>_Toc268008672</vt:lpwstr>
      </vt:variant>
      <vt:variant>
        <vt:i4>1966140</vt:i4>
      </vt:variant>
      <vt:variant>
        <vt:i4>62</vt:i4>
      </vt:variant>
      <vt:variant>
        <vt:i4>0</vt:i4>
      </vt:variant>
      <vt:variant>
        <vt:i4>5</vt:i4>
      </vt:variant>
      <vt:variant>
        <vt:lpwstr/>
      </vt:variant>
      <vt:variant>
        <vt:lpwstr>_Toc268008671</vt:lpwstr>
      </vt:variant>
      <vt:variant>
        <vt:i4>1966140</vt:i4>
      </vt:variant>
      <vt:variant>
        <vt:i4>56</vt:i4>
      </vt:variant>
      <vt:variant>
        <vt:i4>0</vt:i4>
      </vt:variant>
      <vt:variant>
        <vt:i4>5</vt:i4>
      </vt:variant>
      <vt:variant>
        <vt:lpwstr/>
      </vt:variant>
      <vt:variant>
        <vt:lpwstr>_Toc268008670</vt:lpwstr>
      </vt:variant>
      <vt:variant>
        <vt:i4>2031676</vt:i4>
      </vt:variant>
      <vt:variant>
        <vt:i4>50</vt:i4>
      </vt:variant>
      <vt:variant>
        <vt:i4>0</vt:i4>
      </vt:variant>
      <vt:variant>
        <vt:i4>5</vt:i4>
      </vt:variant>
      <vt:variant>
        <vt:lpwstr/>
      </vt:variant>
      <vt:variant>
        <vt:lpwstr>_Toc268008669</vt:lpwstr>
      </vt:variant>
      <vt:variant>
        <vt:i4>2031676</vt:i4>
      </vt:variant>
      <vt:variant>
        <vt:i4>44</vt:i4>
      </vt:variant>
      <vt:variant>
        <vt:i4>0</vt:i4>
      </vt:variant>
      <vt:variant>
        <vt:i4>5</vt:i4>
      </vt:variant>
      <vt:variant>
        <vt:lpwstr/>
      </vt:variant>
      <vt:variant>
        <vt:lpwstr>_Toc268008668</vt:lpwstr>
      </vt:variant>
      <vt:variant>
        <vt:i4>2031676</vt:i4>
      </vt:variant>
      <vt:variant>
        <vt:i4>38</vt:i4>
      </vt:variant>
      <vt:variant>
        <vt:i4>0</vt:i4>
      </vt:variant>
      <vt:variant>
        <vt:i4>5</vt:i4>
      </vt:variant>
      <vt:variant>
        <vt:lpwstr/>
      </vt:variant>
      <vt:variant>
        <vt:lpwstr>_Toc268008667</vt:lpwstr>
      </vt:variant>
      <vt:variant>
        <vt:i4>2031676</vt:i4>
      </vt:variant>
      <vt:variant>
        <vt:i4>32</vt:i4>
      </vt:variant>
      <vt:variant>
        <vt:i4>0</vt:i4>
      </vt:variant>
      <vt:variant>
        <vt:i4>5</vt:i4>
      </vt:variant>
      <vt:variant>
        <vt:lpwstr/>
      </vt:variant>
      <vt:variant>
        <vt:lpwstr>_Toc268008666</vt:lpwstr>
      </vt:variant>
      <vt:variant>
        <vt:i4>2031676</vt:i4>
      </vt:variant>
      <vt:variant>
        <vt:i4>26</vt:i4>
      </vt:variant>
      <vt:variant>
        <vt:i4>0</vt:i4>
      </vt:variant>
      <vt:variant>
        <vt:i4>5</vt:i4>
      </vt:variant>
      <vt:variant>
        <vt:lpwstr/>
      </vt:variant>
      <vt:variant>
        <vt:lpwstr>_Toc268008665</vt:lpwstr>
      </vt:variant>
      <vt:variant>
        <vt:i4>2031676</vt:i4>
      </vt:variant>
      <vt:variant>
        <vt:i4>20</vt:i4>
      </vt:variant>
      <vt:variant>
        <vt:i4>0</vt:i4>
      </vt:variant>
      <vt:variant>
        <vt:i4>5</vt:i4>
      </vt:variant>
      <vt:variant>
        <vt:lpwstr/>
      </vt:variant>
      <vt:variant>
        <vt:lpwstr>_Toc268008664</vt:lpwstr>
      </vt:variant>
      <vt:variant>
        <vt:i4>2031676</vt:i4>
      </vt:variant>
      <vt:variant>
        <vt:i4>14</vt:i4>
      </vt:variant>
      <vt:variant>
        <vt:i4>0</vt:i4>
      </vt:variant>
      <vt:variant>
        <vt:i4>5</vt:i4>
      </vt:variant>
      <vt:variant>
        <vt:lpwstr/>
      </vt:variant>
      <vt:variant>
        <vt:lpwstr>_Toc268008663</vt:lpwstr>
      </vt:variant>
      <vt:variant>
        <vt:i4>2031676</vt:i4>
      </vt:variant>
      <vt:variant>
        <vt:i4>8</vt:i4>
      </vt:variant>
      <vt:variant>
        <vt:i4>0</vt:i4>
      </vt:variant>
      <vt:variant>
        <vt:i4>5</vt:i4>
      </vt:variant>
      <vt:variant>
        <vt:lpwstr/>
      </vt:variant>
      <vt:variant>
        <vt:lpwstr>_Toc268008662</vt:lpwstr>
      </vt:variant>
      <vt:variant>
        <vt:i4>2031676</vt:i4>
      </vt:variant>
      <vt:variant>
        <vt:i4>2</vt:i4>
      </vt:variant>
      <vt:variant>
        <vt:i4>0</vt:i4>
      </vt:variant>
      <vt:variant>
        <vt:i4>5</vt:i4>
      </vt:variant>
      <vt:variant>
        <vt:lpwstr/>
      </vt:variant>
      <vt:variant>
        <vt:lpwstr>_Toc268008661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Specifications--CSI Format</dc:title>
  <dc:creator>Stu Knoke</dc:creator>
  <cp:lastModifiedBy>Paek, Chan U</cp:lastModifiedBy>
  <cp:revision>5</cp:revision>
  <cp:lastPrinted>2013-12-31T00:22:00Z</cp:lastPrinted>
  <dcterms:created xsi:type="dcterms:W3CDTF">2013-12-30T17:31:00Z</dcterms:created>
  <dcterms:modified xsi:type="dcterms:W3CDTF">2016-09-12T20:31:00Z</dcterms:modified>
</cp:coreProperties>
</file>