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F41AD" w14:textId="0C9EDC6F" w:rsidR="003F3A41" w:rsidRPr="00500C4E" w:rsidRDefault="009804C2" w:rsidP="00A57D36">
      <w:pPr>
        <w:pStyle w:val="WPnumber"/>
      </w:pPr>
      <w:bookmarkStart w:id="0" w:name="_Toc153189647"/>
      <w:bookmarkStart w:id="1" w:name="_Toc214003082"/>
      <w:r>
        <w:t xml:space="preserve"> Work Paper </w:t>
      </w:r>
      <w:r w:rsidR="00505352" w:rsidRPr="00505352">
        <w:rPr>
          <w:rFonts w:ascii="Calibri" w:hAnsi="Calibri" w:cs="Calibri"/>
          <w:color w:val="000000"/>
          <w:szCs w:val="22"/>
        </w:rPr>
        <w:t>WPSCGREHC181220A</w:t>
      </w:r>
    </w:p>
    <w:bookmarkEnd w:id="0"/>
    <w:p w14:paraId="2B676809" w14:textId="7207C0C7" w:rsidR="00DA690B" w:rsidRPr="00500C4E" w:rsidRDefault="00276A9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453E24">
            <w:rPr>
              <w:rStyle w:val="CaptionChar"/>
              <w:rFonts w:asciiTheme="minorHAnsi" w:hAnsiTheme="minorHAnsi" w:cstheme="minorHAnsi"/>
              <w:b/>
              <w:bCs w:val="0"/>
              <w:sz w:val="48"/>
              <w:szCs w:val="48"/>
            </w:rPr>
            <w:t>Revision 00</w:t>
          </w:r>
        </w:sdtContent>
      </w:sdt>
    </w:p>
    <w:p w14:paraId="390EE11C" w14:textId="77777777" w:rsidR="00285A0D" w:rsidRPr="00500C4E" w:rsidRDefault="00285A0D" w:rsidP="00DE5758">
      <w:pPr>
        <w:jc w:val="right"/>
        <w:rPr>
          <w:rFonts w:cstheme="minorHAnsi"/>
          <w:b/>
          <w:sz w:val="48"/>
          <w:szCs w:val="48"/>
        </w:rPr>
      </w:pPr>
    </w:p>
    <w:bookmarkStart w:id="2" w:name="SCE"/>
    <w:p w14:paraId="0ADEBFB9" w14:textId="78473DEF" w:rsidR="00DA690B" w:rsidRPr="00500C4E" w:rsidRDefault="00276A9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C4B8F">
            <w:rPr>
              <w:rFonts w:cstheme="minorHAnsi"/>
              <w:b/>
              <w:sz w:val="36"/>
              <w:szCs w:val="36"/>
            </w:rPr>
            <w:t>Southern California Gas Company</w:t>
          </w:r>
        </w:sdtContent>
      </w:sdt>
      <w:bookmarkEnd w:id="2"/>
    </w:p>
    <w:p w14:paraId="1E6DD9CD" w14:textId="77777777" w:rsidR="00DA690B" w:rsidRPr="00500C4E" w:rsidRDefault="00DA690B" w:rsidP="00DA690B">
      <w:pPr>
        <w:rPr>
          <w:rFonts w:cstheme="minorHAnsi"/>
        </w:rPr>
      </w:pPr>
      <w:bookmarkStart w:id="3" w:name="_GoBack"/>
      <w:bookmarkEnd w:id="3"/>
    </w:p>
    <w:p w14:paraId="77494CC9" w14:textId="77777777" w:rsidR="00DA690B" w:rsidRPr="00500C4E" w:rsidRDefault="00DA690B" w:rsidP="00DA690B">
      <w:pPr>
        <w:rPr>
          <w:rFonts w:cstheme="minorHAnsi"/>
        </w:rPr>
      </w:pPr>
    </w:p>
    <w:p w14:paraId="5213A784" w14:textId="77777777" w:rsidR="00DA690B" w:rsidRPr="00500C4E" w:rsidRDefault="009D0753" w:rsidP="009D0753">
      <w:pPr>
        <w:tabs>
          <w:tab w:val="left" w:pos="8190"/>
        </w:tabs>
        <w:rPr>
          <w:rFonts w:cstheme="minorHAnsi"/>
        </w:rPr>
      </w:pPr>
      <w:r w:rsidRPr="00500C4E">
        <w:rPr>
          <w:rFonts w:cstheme="minorHAnsi"/>
        </w:rPr>
        <w:tab/>
      </w:r>
    </w:p>
    <w:p w14:paraId="570E4D64" w14:textId="77777777" w:rsidR="00DA690B" w:rsidRPr="00500C4E" w:rsidRDefault="00DA690B" w:rsidP="00DA690B">
      <w:pPr>
        <w:rPr>
          <w:rFonts w:cstheme="minorHAnsi"/>
        </w:rPr>
      </w:pPr>
    </w:p>
    <w:p w14:paraId="5ABBD862" w14:textId="77777777" w:rsidR="00DA690B" w:rsidRPr="00500C4E" w:rsidRDefault="00DA690B" w:rsidP="00DA690B">
      <w:pPr>
        <w:rPr>
          <w:rFonts w:cstheme="minorHAnsi"/>
        </w:rPr>
      </w:pPr>
    </w:p>
    <w:p w14:paraId="73690662" w14:textId="77777777" w:rsidR="00DA690B" w:rsidRPr="00500C4E" w:rsidRDefault="00DA690B" w:rsidP="00DA690B">
      <w:pPr>
        <w:rPr>
          <w:rFonts w:cstheme="minorHAnsi"/>
        </w:rPr>
      </w:pPr>
    </w:p>
    <w:p w14:paraId="1F26D530" w14:textId="77777777" w:rsidR="00DA690B" w:rsidRPr="00500C4E" w:rsidRDefault="00DA690B" w:rsidP="00DA690B">
      <w:pPr>
        <w:rPr>
          <w:rFonts w:cstheme="minorHAnsi"/>
        </w:rPr>
      </w:pPr>
    </w:p>
    <w:p w14:paraId="2FCD6862" w14:textId="77777777" w:rsidR="00DA690B" w:rsidRPr="00500C4E" w:rsidRDefault="00DA690B" w:rsidP="00DA690B">
      <w:pPr>
        <w:rPr>
          <w:rFonts w:cstheme="minorHAnsi"/>
        </w:rPr>
      </w:pPr>
    </w:p>
    <w:p w14:paraId="762A3830" w14:textId="3685CA80" w:rsidR="00DA690B" w:rsidRPr="00500C4E" w:rsidRDefault="009C59E5" w:rsidP="00DA690B">
      <w:pPr>
        <w:rPr>
          <w:rFonts w:cstheme="minorHAnsi"/>
          <w:b/>
          <w:sz w:val="72"/>
          <w:szCs w:val="72"/>
        </w:rPr>
      </w:pPr>
      <w:r>
        <w:rPr>
          <w:rFonts w:cstheme="minorHAnsi"/>
          <w:b/>
          <w:sz w:val="72"/>
          <w:szCs w:val="72"/>
        </w:rPr>
        <w:t>Gas Fireplace</w:t>
      </w:r>
    </w:p>
    <w:p w14:paraId="4CBA794E" w14:textId="77777777" w:rsidR="00E76B31" w:rsidRPr="00500C4E" w:rsidRDefault="00E76B31" w:rsidP="00E76B31">
      <w:pPr>
        <w:pStyle w:val="Reminders"/>
        <w:rPr>
          <w:rFonts w:asciiTheme="minorHAnsi" w:hAnsiTheme="minorHAnsi" w:cstheme="minorHAnsi"/>
          <w:i w:val="0"/>
          <w:szCs w:val="22"/>
        </w:rPr>
      </w:pPr>
    </w:p>
    <w:p w14:paraId="21102CD6" w14:textId="4C4F321E" w:rsidR="009C4B8F" w:rsidRDefault="009C4B8F" w:rsidP="00AC5309">
      <w:pPr>
        <w:pStyle w:val="Heading1"/>
        <w:rPr>
          <w:rFonts w:cstheme="minorHAnsi"/>
          <w:b w:val="0"/>
          <w:i/>
          <w:sz w:val="32"/>
          <w:szCs w:val="22"/>
        </w:rPr>
      </w:pPr>
    </w:p>
    <w:p w14:paraId="1542800B" w14:textId="77777777" w:rsidR="009C4B8F" w:rsidRDefault="009C4B8F">
      <w:pPr>
        <w:spacing w:after="200" w:line="276" w:lineRule="auto"/>
        <w:rPr>
          <w:rFonts w:cstheme="minorHAnsi"/>
          <w:bCs/>
          <w:i/>
          <w:smallCaps/>
          <w:kern w:val="32"/>
          <w:sz w:val="32"/>
          <w:szCs w:val="22"/>
        </w:rPr>
      </w:pPr>
      <w:r>
        <w:rPr>
          <w:rFonts w:cstheme="minorHAnsi"/>
          <w:b/>
          <w:i/>
          <w:sz w:val="32"/>
          <w:szCs w:val="22"/>
        </w:rPr>
        <w:br w:type="page"/>
      </w:r>
    </w:p>
    <w:p w14:paraId="0494CFD5"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0851D93D" w14:textId="77777777" w:rsidTr="00920905">
        <w:trPr>
          <w:trHeight w:val="465"/>
        </w:trPr>
        <w:tc>
          <w:tcPr>
            <w:tcW w:w="1875" w:type="pct"/>
          </w:tcPr>
          <w:p w14:paraId="5BF5D9CC"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1B14287" w14:textId="1E1956B0" w:rsidR="00AC5309" w:rsidRPr="00500C4E" w:rsidRDefault="003A3AB0">
            <w:pPr>
              <w:rPr>
                <w:rFonts w:cs="Arial"/>
                <w:bCs/>
                <w:color w:val="FF0000"/>
                <w:szCs w:val="20"/>
              </w:rPr>
            </w:pPr>
            <w:r>
              <w:rPr>
                <w:rFonts w:cs="Arial"/>
                <w:color w:val="FF0000"/>
                <w:szCs w:val="20"/>
              </w:rPr>
              <w:t>TBD</w:t>
            </w:r>
          </w:p>
        </w:tc>
      </w:tr>
      <w:tr w:rsidR="00AC5309" w:rsidRPr="00500C4E" w14:paraId="41AFE11E" w14:textId="77777777" w:rsidTr="00920905">
        <w:trPr>
          <w:trHeight w:val="465"/>
        </w:trPr>
        <w:tc>
          <w:tcPr>
            <w:tcW w:w="1875" w:type="pct"/>
          </w:tcPr>
          <w:p w14:paraId="4707A25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349A6CDF" w14:textId="77777777" w:rsidR="00C91E72" w:rsidRPr="00C7785E" w:rsidRDefault="00C91E72" w:rsidP="00C91E72">
            <w:pPr>
              <w:rPr>
                <w:szCs w:val="20"/>
              </w:rPr>
            </w:pPr>
            <w:r w:rsidRPr="00C7785E">
              <w:rPr>
                <w:szCs w:val="20"/>
              </w:rPr>
              <w:t>High-efficiency gas fireplace with two tiers:</w:t>
            </w:r>
          </w:p>
          <w:p w14:paraId="29B27846" w14:textId="21E3A0BE" w:rsidR="00C91E72" w:rsidRPr="00C7785E" w:rsidRDefault="00C91E72" w:rsidP="00C91E72">
            <w:pPr>
              <w:rPr>
                <w:szCs w:val="20"/>
              </w:rPr>
            </w:pPr>
            <w:r w:rsidRPr="00C7785E">
              <w:rPr>
                <w:szCs w:val="20"/>
              </w:rPr>
              <w:t>Tier 1: 70%-75% FE</w:t>
            </w:r>
          </w:p>
          <w:p w14:paraId="0AED039A" w14:textId="234F644E" w:rsidR="00290ED8" w:rsidRPr="00C7785E" w:rsidRDefault="00C91E72" w:rsidP="00C91E72">
            <w:pPr>
              <w:rPr>
                <w:rFonts w:cs="Arial"/>
                <w:szCs w:val="20"/>
              </w:rPr>
            </w:pPr>
            <w:r w:rsidRPr="00C7785E">
              <w:rPr>
                <w:szCs w:val="20"/>
              </w:rPr>
              <w:t>Tier 2: 75%+ FE</w:t>
            </w:r>
          </w:p>
        </w:tc>
      </w:tr>
      <w:tr w:rsidR="00AC5309" w:rsidRPr="00500C4E" w14:paraId="5E203B02" w14:textId="77777777" w:rsidTr="00920905">
        <w:trPr>
          <w:trHeight w:val="465"/>
        </w:trPr>
        <w:tc>
          <w:tcPr>
            <w:tcW w:w="1875" w:type="pct"/>
          </w:tcPr>
          <w:p w14:paraId="135C224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0442CB1" w14:textId="0E1381A9" w:rsidR="00C91E72" w:rsidRPr="00C7785E" w:rsidRDefault="00C91E72">
            <w:pPr>
              <w:rPr>
                <w:rFonts w:cs="Arial"/>
                <w:szCs w:val="20"/>
              </w:rPr>
            </w:pPr>
            <w:r w:rsidRPr="00C7785E">
              <w:rPr>
                <w:rFonts w:cs="Arial"/>
                <w:szCs w:val="20"/>
              </w:rPr>
              <w:t>A gas fireplace with either</w:t>
            </w:r>
            <w:r w:rsidR="00C7785E">
              <w:rPr>
                <w:rFonts w:cs="Arial"/>
                <w:szCs w:val="20"/>
              </w:rPr>
              <w:t>:</w:t>
            </w:r>
            <w:r w:rsidRPr="00C7785E">
              <w:rPr>
                <w:rFonts w:cs="Arial"/>
                <w:szCs w:val="20"/>
              </w:rPr>
              <w:t xml:space="preserve"> </w:t>
            </w:r>
          </w:p>
          <w:p w14:paraId="79E7824C" w14:textId="2E2DC28A" w:rsidR="00C91E72" w:rsidRPr="00C7785E" w:rsidRDefault="00C91E72" w:rsidP="00C91E72">
            <w:pPr>
              <w:numPr>
                <w:ilvl w:val="0"/>
                <w:numId w:val="22"/>
              </w:numPr>
              <w:ind w:left="431" w:hanging="270"/>
              <w:rPr>
                <w:rFonts w:cs="Arial"/>
                <w:szCs w:val="20"/>
              </w:rPr>
            </w:pPr>
            <w:r w:rsidRPr="00C7785E">
              <w:rPr>
                <w:rFonts w:cs="Arial"/>
                <w:szCs w:val="20"/>
              </w:rPr>
              <w:t>Continuo</w:t>
            </w:r>
            <w:r w:rsidR="00A43D53">
              <w:rPr>
                <w:rFonts w:cs="Arial"/>
                <w:szCs w:val="20"/>
              </w:rPr>
              <w:t xml:space="preserve">usly operating pilot (for </w:t>
            </w:r>
            <w:r w:rsidRPr="00C7785E">
              <w:rPr>
                <w:rFonts w:cs="Arial"/>
                <w:szCs w:val="20"/>
              </w:rPr>
              <w:t xml:space="preserve">accelerated replacement[AR]), representing customer’s existing equipment </w:t>
            </w:r>
          </w:p>
          <w:p w14:paraId="509ACFBC" w14:textId="1E2DC2B6" w:rsidR="00290ED8" w:rsidRPr="00C7785E" w:rsidRDefault="00C91E72" w:rsidP="00C91E72">
            <w:pPr>
              <w:numPr>
                <w:ilvl w:val="0"/>
                <w:numId w:val="22"/>
              </w:numPr>
              <w:ind w:left="431" w:hanging="270"/>
              <w:rPr>
                <w:rFonts w:cs="Arial"/>
                <w:szCs w:val="20"/>
              </w:rPr>
            </w:pPr>
            <w:r w:rsidRPr="00C7785E">
              <w:rPr>
                <w:rFonts w:cs="Arial"/>
                <w:szCs w:val="20"/>
              </w:rPr>
              <w:t>Intermittent pilot light (for normal replacement[NR] or new construction[NC]) representing</w:t>
            </w:r>
            <w:r w:rsidR="00B4065F" w:rsidRPr="00C7785E">
              <w:rPr>
                <w:rFonts w:cs="Arial"/>
                <w:szCs w:val="20"/>
              </w:rPr>
              <w:t xml:space="preserve"> code/standard equipment</w:t>
            </w:r>
          </w:p>
        </w:tc>
      </w:tr>
      <w:tr w:rsidR="00D36798" w:rsidRPr="00500C4E" w14:paraId="67BE865A" w14:textId="77777777" w:rsidTr="00920905">
        <w:trPr>
          <w:trHeight w:val="465"/>
        </w:trPr>
        <w:tc>
          <w:tcPr>
            <w:tcW w:w="1875" w:type="pct"/>
          </w:tcPr>
          <w:p w14:paraId="1584A228"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C4D97A0" w14:textId="5D4F08F9" w:rsidR="00D36798" w:rsidRPr="00C7785E" w:rsidRDefault="00C275FC">
            <w:pPr>
              <w:rPr>
                <w:rFonts w:cs="Arial"/>
                <w:szCs w:val="20"/>
              </w:rPr>
            </w:pPr>
            <w:r w:rsidRPr="00C7785E">
              <w:rPr>
                <w:rFonts w:cs="Arial"/>
                <w:szCs w:val="20"/>
              </w:rPr>
              <w:t>Per gas fireplace insert</w:t>
            </w:r>
          </w:p>
        </w:tc>
      </w:tr>
      <w:tr w:rsidR="00290ED8" w:rsidRPr="00500C4E" w14:paraId="053E8D82" w14:textId="77777777" w:rsidTr="00920905">
        <w:trPr>
          <w:trHeight w:val="465"/>
        </w:trPr>
        <w:tc>
          <w:tcPr>
            <w:tcW w:w="1875" w:type="pct"/>
          </w:tcPr>
          <w:p w14:paraId="13351180"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39AD087" w14:textId="37353F30" w:rsidR="00290ED8" w:rsidRPr="00500C4E" w:rsidRDefault="00C7785E">
            <w:pPr>
              <w:rPr>
                <w:rFonts w:cs="Arial"/>
                <w:szCs w:val="20"/>
              </w:rPr>
            </w:pPr>
            <w:r>
              <w:rPr>
                <w:rFonts w:cs="Arial"/>
                <w:szCs w:val="20"/>
              </w:rPr>
              <w:t xml:space="preserve">See </w:t>
            </w:r>
            <w:r>
              <w:rPr>
                <w:rFonts w:cs="Arial"/>
                <w:szCs w:val="20"/>
              </w:rPr>
              <w:fldChar w:fldCharType="begin"/>
            </w:r>
            <w:r>
              <w:rPr>
                <w:rFonts w:cs="Arial"/>
                <w:szCs w:val="20"/>
              </w:rPr>
              <w:instrText xml:space="preserve"> REF _Ref530998223 \h </w:instrText>
            </w:r>
            <w:r>
              <w:rPr>
                <w:rFonts w:cs="Arial"/>
                <w:szCs w:val="20"/>
              </w:rPr>
            </w:r>
            <w:r>
              <w:rPr>
                <w:rFonts w:cs="Arial"/>
                <w:szCs w:val="20"/>
              </w:rPr>
              <w:fldChar w:fldCharType="separate"/>
            </w:r>
            <w:r w:rsidR="000B78F6">
              <w:t xml:space="preserve">Table </w:t>
            </w:r>
            <w:r w:rsidR="000B78F6">
              <w:rPr>
                <w:noProof/>
              </w:rPr>
              <w:t>19</w:t>
            </w:r>
            <w:r>
              <w:rPr>
                <w:rFonts w:cs="Arial"/>
                <w:szCs w:val="20"/>
              </w:rPr>
              <w:fldChar w:fldCharType="end"/>
            </w:r>
            <w:r>
              <w:rPr>
                <w:rFonts w:cs="Arial"/>
                <w:szCs w:val="20"/>
              </w:rPr>
              <w:t xml:space="preserve"> or r</w:t>
            </w:r>
            <w:r w:rsidR="00D36798" w:rsidRPr="00500C4E">
              <w:rPr>
                <w:rFonts w:cs="Arial"/>
                <w:szCs w:val="20"/>
              </w:rPr>
              <w:t>efer to Excel Calculation Attachment</w:t>
            </w:r>
          </w:p>
        </w:tc>
      </w:tr>
      <w:tr w:rsidR="00290ED8" w:rsidRPr="00500C4E" w14:paraId="46095E14" w14:textId="77777777" w:rsidTr="00920905">
        <w:trPr>
          <w:trHeight w:val="465"/>
        </w:trPr>
        <w:tc>
          <w:tcPr>
            <w:tcW w:w="1875" w:type="pct"/>
          </w:tcPr>
          <w:p w14:paraId="4BC76C1F"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A7B44C0" w14:textId="096A2115" w:rsidR="00290ED8" w:rsidRPr="00500C4E" w:rsidRDefault="00C7785E" w:rsidP="00AC2F5B">
            <w:pPr>
              <w:rPr>
                <w:rFonts w:cs="Arial"/>
                <w:szCs w:val="20"/>
              </w:rPr>
            </w:pPr>
            <w:r>
              <w:rPr>
                <w:rFonts w:cs="Arial"/>
                <w:szCs w:val="20"/>
              </w:rPr>
              <w:t xml:space="preserve">See </w:t>
            </w:r>
            <w:r>
              <w:rPr>
                <w:rFonts w:cs="Arial"/>
                <w:szCs w:val="20"/>
              </w:rPr>
              <w:fldChar w:fldCharType="begin"/>
            </w:r>
            <w:r>
              <w:rPr>
                <w:rFonts w:cs="Arial"/>
                <w:szCs w:val="20"/>
              </w:rPr>
              <w:instrText xml:space="preserve"> REF _Ref532551157 \h </w:instrText>
            </w:r>
            <w:r>
              <w:rPr>
                <w:rFonts w:cs="Arial"/>
                <w:szCs w:val="20"/>
              </w:rPr>
            </w:r>
            <w:r>
              <w:rPr>
                <w:rFonts w:cs="Arial"/>
                <w:szCs w:val="20"/>
              </w:rPr>
              <w:fldChar w:fldCharType="separate"/>
            </w:r>
            <w:r w:rsidR="000B78F6">
              <w:t xml:space="preserve">Table </w:t>
            </w:r>
            <w:r w:rsidR="000B78F6">
              <w:rPr>
                <w:noProof/>
              </w:rPr>
              <w:t>22</w:t>
            </w:r>
            <w:r>
              <w:rPr>
                <w:rFonts w:cs="Arial"/>
                <w:szCs w:val="20"/>
              </w:rPr>
              <w:fldChar w:fldCharType="end"/>
            </w:r>
          </w:p>
        </w:tc>
      </w:tr>
      <w:tr w:rsidR="00AC5309" w:rsidRPr="00500C4E" w14:paraId="14EBF582" w14:textId="77777777" w:rsidTr="00920905">
        <w:trPr>
          <w:trHeight w:val="465"/>
        </w:trPr>
        <w:tc>
          <w:tcPr>
            <w:tcW w:w="1875" w:type="pct"/>
          </w:tcPr>
          <w:p w14:paraId="706B076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4DAB203" w14:textId="0243E8E3" w:rsidR="00290ED8" w:rsidRPr="00500C4E" w:rsidRDefault="00C7785E" w:rsidP="00AC2F5B">
            <w:pPr>
              <w:rPr>
                <w:rFonts w:cs="Arial"/>
                <w:szCs w:val="20"/>
              </w:rPr>
            </w:pPr>
            <w:r>
              <w:rPr>
                <w:rFonts w:cs="Arial"/>
                <w:szCs w:val="20"/>
              </w:rPr>
              <w:t xml:space="preserve">See </w:t>
            </w:r>
            <w:r>
              <w:rPr>
                <w:rFonts w:cs="Arial"/>
                <w:szCs w:val="20"/>
              </w:rPr>
              <w:fldChar w:fldCharType="begin"/>
            </w:r>
            <w:r>
              <w:rPr>
                <w:rFonts w:cs="Arial"/>
                <w:szCs w:val="20"/>
              </w:rPr>
              <w:instrText xml:space="preserve"> REF _Ref532551157 \h </w:instrText>
            </w:r>
            <w:r>
              <w:rPr>
                <w:rFonts w:cs="Arial"/>
                <w:szCs w:val="20"/>
              </w:rPr>
            </w:r>
            <w:r>
              <w:rPr>
                <w:rFonts w:cs="Arial"/>
                <w:szCs w:val="20"/>
              </w:rPr>
              <w:fldChar w:fldCharType="separate"/>
            </w:r>
            <w:r w:rsidR="000B78F6">
              <w:t xml:space="preserve">Table </w:t>
            </w:r>
            <w:r w:rsidR="000B78F6">
              <w:rPr>
                <w:noProof/>
              </w:rPr>
              <w:t>22</w:t>
            </w:r>
            <w:r>
              <w:rPr>
                <w:rFonts w:cs="Arial"/>
                <w:szCs w:val="20"/>
              </w:rPr>
              <w:fldChar w:fldCharType="end"/>
            </w:r>
          </w:p>
        </w:tc>
      </w:tr>
      <w:tr w:rsidR="00290ED8" w:rsidRPr="00500C4E" w14:paraId="4C22ACFE" w14:textId="77777777" w:rsidTr="00AF2412">
        <w:trPr>
          <w:trHeight w:val="539"/>
        </w:trPr>
        <w:tc>
          <w:tcPr>
            <w:tcW w:w="1875" w:type="pct"/>
          </w:tcPr>
          <w:p w14:paraId="3B363C97"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07330A66" w14:textId="6437C67B" w:rsidR="00290ED8" w:rsidRPr="00C91E72" w:rsidRDefault="00C91E72">
            <w:pPr>
              <w:rPr>
                <w:rFonts w:cs="Arial"/>
                <w:szCs w:val="20"/>
              </w:rPr>
            </w:pPr>
            <w:r w:rsidRPr="00C91E72">
              <w:rPr>
                <w:rFonts w:cs="Arial"/>
                <w:szCs w:val="20"/>
              </w:rPr>
              <w:t>20 years</w:t>
            </w:r>
            <w:r w:rsidR="001C1338" w:rsidRPr="00C91E72">
              <w:rPr>
                <w:rFonts w:cs="Arial"/>
                <w:szCs w:val="20"/>
              </w:rPr>
              <w:t xml:space="preserve"> (</w:t>
            </w:r>
            <w:r>
              <w:rPr>
                <w:rFonts w:cs="Arial"/>
                <w:szCs w:val="20"/>
              </w:rPr>
              <w:t xml:space="preserve">Source: </w:t>
            </w:r>
            <w:r w:rsidR="001C1338" w:rsidRPr="00C91E72">
              <w:rPr>
                <w:rFonts w:cs="Arial"/>
                <w:szCs w:val="20"/>
              </w:rPr>
              <w:t xml:space="preserve">DEER EUL ID: </w:t>
            </w:r>
            <w:r w:rsidRPr="00C91E72">
              <w:rPr>
                <w:rFonts w:cs="Arial"/>
                <w:szCs w:val="20"/>
              </w:rPr>
              <w:t>HV-EffFurn</w:t>
            </w:r>
            <w:r w:rsidR="001C1338" w:rsidRPr="00C91E72">
              <w:rPr>
                <w:rFonts w:cs="Arial"/>
                <w:szCs w:val="20"/>
              </w:rPr>
              <w:t>)</w:t>
            </w:r>
          </w:p>
        </w:tc>
      </w:tr>
      <w:tr w:rsidR="00AC5309" w:rsidRPr="00500C4E" w14:paraId="65550B63" w14:textId="77777777" w:rsidTr="00920905">
        <w:trPr>
          <w:trHeight w:val="465"/>
        </w:trPr>
        <w:tc>
          <w:tcPr>
            <w:tcW w:w="1875" w:type="pct"/>
          </w:tcPr>
          <w:p w14:paraId="6953601E"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E72BF10" w14:textId="6A6A57D5" w:rsidR="00C7785E" w:rsidRDefault="00FE00EA">
            <w:pPr>
              <w:rPr>
                <w:szCs w:val="20"/>
              </w:rPr>
            </w:pPr>
            <w:r>
              <w:rPr>
                <w:szCs w:val="20"/>
              </w:rPr>
              <w:t xml:space="preserve">Normal Replacement (NR) (or New Construction [NC]) </w:t>
            </w:r>
            <w:r w:rsidR="00C7785E">
              <w:rPr>
                <w:szCs w:val="20"/>
              </w:rPr>
              <w:t>and</w:t>
            </w:r>
          </w:p>
          <w:p w14:paraId="3E9B428E" w14:textId="55DCED8C" w:rsidR="00290ED8" w:rsidRPr="00500C4E" w:rsidRDefault="00FE00EA">
            <w:pPr>
              <w:rPr>
                <w:rFonts w:cs="Arial"/>
                <w:color w:val="FF0000"/>
                <w:szCs w:val="20"/>
              </w:rPr>
            </w:pPr>
            <w:r>
              <w:rPr>
                <w:szCs w:val="20"/>
              </w:rPr>
              <w:t>Accelerated Replacement (AR)</w:t>
            </w:r>
          </w:p>
        </w:tc>
      </w:tr>
      <w:tr w:rsidR="00290ED8" w:rsidRPr="00500C4E" w14:paraId="6A8484B8" w14:textId="77777777" w:rsidTr="00920905">
        <w:trPr>
          <w:trHeight w:val="465"/>
        </w:trPr>
        <w:tc>
          <w:tcPr>
            <w:tcW w:w="1875" w:type="pct"/>
          </w:tcPr>
          <w:p w14:paraId="0AA2D1F3"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34FE156" w14:textId="4113BC47" w:rsidR="00FE00EA" w:rsidRPr="00500C4E" w:rsidRDefault="00B75170">
            <w:pPr>
              <w:rPr>
                <w:rFonts w:cs="Arial"/>
                <w:color w:val="FF0000"/>
                <w:szCs w:val="20"/>
              </w:rPr>
            </w:pPr>
            <w:r>
              <w:t>“</w:t>
            </w:r>
            <w:r w:rsidR="00FE00EA">
              <w:t>All-Default ≤ 2 years</w:t>
            </w:r>
            <w:r>
              <w:t>”</w:t>
            </w:r>
            <w:r w:rsidR="00FE00EA">
              <w:t xml:space="preserve"> = </w:t>
            </w:r>
            <w:r w:rsidRPr="00F86936">
              <w:rPr>
                <w:i/>
              </w:rPr>
              <w:t>0</w:t>
            </w:r>
            <w:r w:rsidR="00FE00EA" w:rsidRPr="00F86936">
              <w:rPr>
                <w:i/>
              </w:rPr>
              <w:t>.7</w:t>
            </w:r>
          </w:p>
        </w:tc>
      </w:tr>
      <w:tr w:rsidR="00290ED8" w:rsidRPr="00500C4E" w14:paraId="59C782E0" w14:textId="77777777" w:rsidTr="00920905">
        <w:trPr>
          <w:trHeight w:val="465"/>
        </w:trPr>
        <w:tc>
          <w:tcPr>
            <w:tcW w:w="1875" w:type="pct"/>
          </w:tcPr>
          <w:p w14:paraId="78E476E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6FB3A4D5" w14:textId="7FED5EAF" w:rsidR="00061A8E" w:rsidRPr="00920905" w:rsidRDefault="003A3AB0">
            <w:pPr>
              <w:rPr>
                <w:rFonts w:cs="Arial"/>
                <w:szCs w:val="20"/>
              </w:rPr>
            </w:pPr>
            <w:r>
              <w:rPr>
                <w:rStyle w:val="normaltextrun"/>
                <w:rFonts w:ascii="Calibri" w:hAnsi="Calibri" w:cs="Calibri"/>
                <w:color w:val="000000"/>
                <w:szCs w:val="20"/>
                <w:shd w:val="clear" w:color="auto" w:fill="FFFFFF"/>
              </w:rPr>
              <w:t>This work paper has a complementary Ex Ante Database</w:t>
            </w:r>
            <w:r>
              <w:rPr>
                <w:rStyle w:val="normaltextrun"/>
                <w:color w:val="000000"/>
                <w:szCs w:val="20"/>
                <w:shd w:val="clear" w:color="auto" w:fill="FFFFFF"/>
              </w:rPr>
              <w:t> </w:t>
            </w:r>
            <w:r>
              <w:rPr>
                <w:rStyle w:val="normaltextrun"/>
                <w:rFonts w:ascii="Calibri" w:hAnsi="Calibri" w:cs="Calibri"/>
                <w:color w:val="000000"/>
                <w:szCs w:val="20"/>
                <w:shd w:val="clear" w:color="auto" w:fill="FFFFFF"/>
              </w:rPr>
              <w:t>data set that will be provided in a separate submission to the California Public Utilities Commission (CPUC)</w:t>
            </w:r>
            <w:r>
              <w:rPr>
                <w:rStyle w:val="normaltextrun"/>
                <w:color w:val="000000"/>
                <w:szCs w:val="20"/>
                <w:shd w:val="clear" w:color="auto" w:fill="FFFFFF"/>
              </w:rPr>
              <w:t>.</w:t>
            </w:r>
          </w:p>
        </w:tc>
      </w:tr>
    </w:tbl>
    <w:p w14:paraId="55F4C32F" w14:textId="77777777" w:rsidR="00AC5309" w:rsidRPr="00500C4E" w:rsidRDefault="00AC5309">
      <w:pPr>
        <w:spacing w:after="200" w:line="276" w:lineRule="auto"/>
        <w:rPr>
          <w:rFonts w:cstheme="minorHAnsi"/>
          <w:b/>
          <w:bCs/>
          <w:smallCaps/>
          <w:kern w:val="32"/>
          <w:sz w:val="36"/>
          <w:szCs w:val="32"/>
        </w:rPr>
      </w:pPr>
    </w:p>
    <w:p w14:paraId="29F0CCEC"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15F25453"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243"/>
        <w:gridCol w:w="6401"/>
      </w:tblGrid>
      <w:tr w:rsidR="003845E5" w:rsidRPr="00500C4E" w14:paraId="18FBF0C7" w14:textId="77777777" w:rsidTr="00F86936">
        <w:trPr>
          <w:trHeight w:val="20"/>
        </w:trPr>
        <w:tc>
          <w:tcPr>
            <w:tcW w:w="280" w:type="pct"/>
            <w:shd w:val="clear" w:color="auto" w:fill="D9D9D9" w:themeFill="background1" w:themeFillShade="D9"/>
          </w:tcPr>
          <w:p w14:paraId="0C99BEC9"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0138D534" w14:textId="77777777"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7C57D77F" w14:textId="77777777" w:rsidR="00933188" w:rsidRPr="00500C4E" w:rsidRDefault="003845E5" w:rsidP="003845E5">
            <w:pPr>
              <w:rPr>
                <w:rFonts w:cstheme="minorHAnsi"/>
                <w:b/>
                <w:bCs/>
                <w:szCs w:val="20"/>
              </w:rPr>
            </w:pPr>
            <w:r>
              <w:rPr>
                <w:rFonts w:cstheme="minorHAnsi"/>
                <w:b/>
                <w:szCs w:val="20"/>
              </w:rPr>
              <w:t>Author</w:t>
            </w:r>
          </w:p>
        </w:tc>
        <w:tc>
          <w:tcPr>
            <w:tcW w:w="3422" w:type="pct"/>
            <w:shd w:val="clear" w:color="auto" w:fill="D9D9D9" w:themeFill="background1" w:themeFillShade="D9"/>
          </w:tcPr>
          <w:p w14:paraId="50F31866"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24DFD99C" w14:textId="77777777" w:rsidTr="00F86936">
        <w:trPr>
          <w:trHeight w:val="20"/>
        </w:trPr>
        <w:tc>
          <w:tcPr>
            <w:tcW w:w="280" w:type="pct"/>
          </w:tcPr>
          <w:p w14:paraId="1450AF1A" w14:textId="65004400" w:rsidR="00933188" w:rsidRPr="00C275FC" w:rsidRDefault="00C275FC" w:rsidP="005729C8">
            <w:pPr>
              <w:rPr>
                <w:rFonts w:cstheme="minorHAnsi"/>
                <w:szCs w:val="20"/>
              </w:rPr>
            </w:pPr>
            <w:r w:rsidRPr="00C275FC">
              <w:rPr>
                <w:rFonts w:cstheme="minorHAnsi"/>
                <w:szCs w:val="20"/>
              </w:rPr>
              <w:t>0</w:t>
            </w:r>
          </w:p>
        </w:tc>
        <w:tc>
          <w:tcPr>
            <w:tcW w:w="632" w:type="pct"/>
          </w:tcPr>
          <w:p w14:paraId="765A43BF" w14:textId="127A31A9" w:rsidR="00933188" w:rsidRPr="00C275FC" w:rsidRDefault="003E0FB2" w:rsidP="005729C8">
            <w:pPr>
              <w:rPr>
                <w:rFonts w:cstheme="minorHAnsi"/>
                <w:szCs w:val="20"/>
              </w:rPr>
            </w:pPr>
            <w:r>
              <w:rPr>
                <w:rFonts w:cstheme="minorHAnsi"/>
                <w:szCs w:val="20"/>
              </w:rPr>
              <w:t>12/20/2018</w:t>
            </w:r>
          </w:p>
        </w:tc>
        <w:tc>
          <w:tcPr>
            <w:tcW w:w="665" w:type="pct"/>
          </w:tcPr>
          <w:p w14:paraId="7FE5E547" w14:textId="1DE977CE" w:rsidR="00933188" w:rsidRPr="00C275FC" w:rsidRDefault="00C275FC" w:rsidP="001B2301">
            <w:pPr>
              <w:rPr>
                <w:rFonts w:cstheme="minorHAnsi"/>
                <w:szCs w:val="20"/>
              </w:rPr>
            </w:pPr>
            <w:r w:rsidRPr="00C275FC">
              <w:rPr>
                <w:rFonts w:cstheme="minorHAnsi"/>
                <w:szCs w:val="20"/>
              </w:rPr>
              <w:t>Navigant Consulting, Inc.</w:t>
            </w:r>
          </w:p>
        </w:tc>
        <w:tc>
          <w:tcPr>
            <w:tcW w:w="3422" w:type="pct"/>
          </w:tcPr>
          <w:p w14:paraId="55151552" w14:textId="77777777" w:rsidR="0036726C" w:rsidRPr="00C275FC" w:rsidRDefault="0036726C" w:rsidP="00920905"/>
        </w:tc>
      </w:tr>
    </w:tbl>
    <w:p w14:paraId="5FB004D4" w14:textId="77777777" w:rsidR="009C4B8F" w:rsidRDefault="009C4B8F" w:rsidP="00E16609">
      <w:pPr>
        <w:pStyle w:val="Heading1"/>
        <w:rPr>
          <w:sz w:val="20"/>
          <w:szCs w:val="20"/>
        </w:rPr>
      </w:pPr>
    </w:p>
    <w:p w14:paraId="2AAD8558" w14:textId="77777777" w:rsidR="009C4B8F" w:rsidRDefault="009C4B8F">
      <w:pPr>
        <w:spacing w:after="200" w:line="276" w:lineRule="auto"/>
        <w:rPr>
          <w:rFonts w:cs="Arial"/>
          <w:b/>
          <w:bCs/>
          <w:smallCaps/>
          <w:kern w:val="32"/>
          <w:sz w:val="20"/>
          <w:szCs w:val="20"/>
        </w:rPr>
      </w:pPr>
      <w:r>
        <w:rPr>
          <w:sz w:val="20"/>
          <w:szCs w:val="20"/>
        </w:rPr>
        <w:br w:type="page"/>
      </w:r>
    </w:p>
    <w:p w14:paraId="6A64CF4C"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38718308" w14:textId="77777777"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9DBAA77" w14:textId="078460D4" w:rsidR="00D15E51" w:rsidRDefault="001B43F3" w:rsidP="001B43F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gas fireplaces considered in this workpaper are self-contained vented heaters which simulate a wood burning device.  Each </w:t>
      </w:r>
      <w:r w:rsidRPr="009739A4">
        <w:rPr>
          <w:rFonts w:asciiTheme="minorHAnsi" w:hAnsiTheme="minorHAnsi" w:cstheme="minorHAnsi"/>
          <w:i w:val="0"/>
          <w:color w:val="auto"/>
          <w:szCs w:val="22"/>
        </w:rPr>
        <w:t xml:space="preserve">gas </w:t>
      </w:r>
      <w:r>
        <w:rPr>
          <w:rFonts w:asciiTheme="minorHAnsi" w:hAnsiTheme="minorHAnsi" w:cstheme="minorHAnsi"/>
          <w:i w:val="0"/>
          <w:color w:val="auto"/>
          <w:szCs w:val="22"/>
        </w:rPr>
        <w:t>fireplace</w:t>
      </w:r>
      <w:r w:rsidRPr="009739A4">
        <w:rPr>
          <w:rFonts w:asciiTheme="minorHAnsi" w:hAnsiTheme="minorHAnsi" w:cstheme="minorHAnsi"/>
          <w:i w:val="0"/>
          <w:color w:val="auto"/>
          <w:szCs w:val="22"/>
        </w:rPr>
        <w:t xml:space="preserve"> consists of a heat exchanger, a</w:t>
      </w:r>
      <w:r>
        <w:rPr>
          <w:rFonts w:asciiTheme="minorHAnsi" w:hAnsiTheme="minorHAnsi" w:cstheme="minorHAnsi"/>
          <w:i w:val="0"/>
          <w:color w:val="auto"/>
          <w:szCs w:val="22"/>
        </w:rPr>
        <w:t>n</w:t>
      </w:r>
      <w:r w:rsidRPr="009739A4">
        <w:rPr>
          <w:rFonts w:asciiTheme="minorHAnsi" w:hAnsiTheme="minorHAnsi" w:cstheme="minorHAnsi"/>
          <w:i w:val="0"/>
          <w:color w:val="auto"/>
          <w:szCs w:val="22"/>
        </w:rPr>
        <w:t xml:space="preserve"> </w:t>
      </w:r>
      <w:r>
        <w:rPr>
          <w:rFonts w:asciiTheme="minorHAnsi" w:hAnsiTheme="minorHAnsi" w:cstheme="minorHAnsi"/>
          <w:i w:val="0"/>
          <w:color w:val="auto"/>
          <w:szCs w:val="22"/>
        </w:rPr>
        <w:t>ignition system, a burner</w:t>
      </w:r>
      <w:r w:rsidRPr="009739A4">
        <w:rPr>
          <w:rFonts w:asciiTheme="minorHAnsi" w:hAnsiTheme="minorHAnsi" w:cstheme="minorHAnsi"/>
          <w:i w:val="0"/>
          <w:color w:val="auto"/>
          <w:szCs w:val="22"/>
        </w:rPr>
        <w:t>, a combustio</w:t>
      </w:r>
      <w:r>
        <w:rPr>
          <w:rFonts w:asciiTheme="minorHAnsi" w:hAnsiTheme="minorHAnsi" w:cstheme="minorHAnsi"/>
          <w:i w:val="0"/>
          <w:color w:val="auto"/>
          <w:szCs w:val="22"/>
        </w:rPr>
        <w:t xml:space="preserve">n chamber, a flue, an intake, a </w:t>
      </w:r>
      <w:r w:rsidRPr="009739A4">
        <w:rPr>
          <w:rFonts w:asciiTheme="minorHAnsi" w:hAnsiTheme="minorHAnsi" w:cstheme="minorHAnsi"/>
          <w:i w:val="0"/>
          <w:color w:val="auto"/>
          <w:szCs w:val="22"/>
        </w:rPr>
        <w:t xml:space="preserve">burner control thermostat, </w:t>
      </w:r>
      <w:r w:rsidR="00985ACB">
        <w:rPr>
          <w:rFonts w:asciiTheme="minorHAnsi" w:hAnsiTheme="minorHAnsi" w:cstheme="minorHAnsi"/>
          <w:i w:val="0"/>
          <w:color w:val="auto"/>
          <w:szCs w:val="22"/>
        </w:rPr>
        <w:t xml:space="preserve">aesthetic feature (e.g., </w:t>
      </w:r>
      <w:r w:rsidRPr="009739A4">
        <w:rPr>
          <w:rFonts w:asciiTheme="minorHAnsi" w:hAnsiTheme="minorHAnsi" w:cstheme="minorHAnsi"/>
          <w:i w:val="0"/>
          <w:color w:val="auto"/>
          <w:szCs w:val="22"/>
        </w:rPr>
        <w:t>ceramic logs</w:t>
      </w:r>
      <w:r w:rsidR="00985ACB">
        <w:rPr>
          <w:rFonts w:asciiTheme="minorHAnsi" w:hAnsiTheme="minorHAnsi" w:cstheme="minorHAnsi"/>
          <w:i w:val="0"/>
          <w:color w:val="auto"/>
          <w:szCs w:val="22"/>
        </w:rPr>
        <w:t xml:space="preserve"> or glass)</w:t>
      </w:r>
      <w:r w:rsidRPr="009739A4">
        <w:rPr>
          <w:rFonts w:asciiTheme="minorHAnsi" w:hAnsiTheme="minorHAnsi" w:cstheme="minorHAnsi"/>
          <w:i w:val="0"/>
          <w:color w:val="auto"/>
          <w:szCs w:val="22"/>
        </w:rPr>
        <w:t>, an outer cas</w:t>
      </w:r>
      <w:r>
        <w:rPr>
          <w:rFonts w:asciiTheme="minorHAnsi" w:hAnsiTheme="minorHAnsi" w:cstheme="minorHAnsi"/>
          <w:i w:val="0"/>
          <w:color w:val="auto"/>
          <w:szCs w:val="22"/>
        </w:rPr>
        <w:t xml:space="preserve">e, and a tempered glass viewing </w:t>
      </w:r>
      <w:r w:rsidRPr="00E36679">
        <w:rPr>
          <w:rFonts w:asciiTheme="minorHAnsi" w:hAnsiTheme="minorHAnsi" w:cstheme="minorHAnsi"/>
          <w:i w:val="0"/>
          <w:color w:val="auto"/>
          <w:szCs w:val="22"/>
        </w:rPr>
        <w:t xml:space="preserve">pane (See </w:t>
      </w:r>
      <w:r w:rsidRPr="00E36679">
        <w:rPr>
          <w:rFonts w:asciiTheme="minorHAnsi" w:hAnsiTheme="minorHAnsi" w:cstheme="minorHAnsi"/>
          <w:i w:val="0"/>
          <w:color w:val="auto"/>
          <w:szCs w:val="22"/>
        </w:rPr>
        <w:fldChar w:fldCharType="begin"/>
      </w:r>
      <w:r w:rsidRPr="00E36679">
        <w:rPr>
          <w:rFonts w:asciiTheme="minorHAnsi" w:hAnsiTheme="minorHAnsi" w:cstheme="minorHAnsi"/>
          <w:i w:val="0"/>
          <w:color w:val="auto"/>
          <w:szCs w:val="22"/>
        </w:rPr>
        <w:instrText xml:space="preserve"> REF _Ref531678275 \h  \* MERGEFORMAT </w:instrText>
      </w:r>
      <w:r w:rsidRPr="00E36679">
        <w:rPr>
          <w:rFonts w:asciiTheme="minorHAnsi" w:hAnsiTheme="minorHAnsi" w:cstheme="minorHAnsi"/>
          <w:i w:val="0"/>
          <w:color w:val="auto"/>
          <w:szCs w:val="22"/>
        </w:rPr>
      </w:r>
      <w:r w:rsidRPr="00E36679">
        <w:rPr>
          <w:rFonts w:asciiTheme="minorHAnsi" w:hAnsiTheme="minorHAnsi" w:cstheme="minorHAnsi"/>
          <w:i w:val="0"/>
          <w:color w:val="auto"/>
          <w:szCs w:val="22"/>
        </w:rPr>
        <w:fldChar w:fldCharType="separate"/>
      </w:r>
      <w:r w:rsidR="000B78F6" w:rsidRPr="000B78F6">
        <w:rPr>
          <w:rFonts w:asciiTheme="minorHAnsi" w:hAnsiTheme="minorHAnsi" w:cstheme="minorHAnsi"/>
          <w:i w:val="0"/>
          <w:color w:val="auto"/>
        </w:rPr>
        <w:t xml:space="preserve">Figure </w:t>
      </w:r>
      <w:r w:rsidR="000B78F6" w:rsidRPr="000B78F6">
        <w:rPr>
          <w:rFonts w:asciiTheme="minorHAnsi" w:hAnsiTheme="minorHAnsi" w:cstheme="minorHAnsi"/>
          <w:i w:val="0"/>
          <w:noProof/>
          <w:color w:val="auto"/>
        </w:rPr>
        <w:t>1</w:t>
      </w:r>
      <w:r w:rsidRPr="00E36679">
        <w:rPr>
          <w:rFonts w:asciiTheme="minorHAnsi" w:hAnsiTheme="minorHAnsi" w:cstheme="minorHAnsi"/>
          <w:i w:val="0"/>
          <w:color w:val="auto"/>
          <w:szCs w:val="22"/>
        </w:rPr>
        <w:fldChar w:fldCharType="end"/>
      </w:r>
      <w:r w:rsidRPr="00E36679">
        <w:rPr>
          <w:rFonts w:asciiTheme="minorHAnsi" w:hAnsiTheme="minorHAnsi" w:cstheme="minorHAnsi"/>
          <w:i w:val="0"/>
          <w:color w:val="auto"/>
          <w:szCs w:val="22"/>
        </w:rPr>
        <w:t>). Manuf</w:t>
      </w:r>
      <w:r w:rsidRPr="009739A4">
        <w:rPr>
          <w:rFonts w:asciiTheme="minorHAnsi" w:hAnsiTheme="minorHAnsi" w:cstheme="minorHAnsi"/>
          <w:i w:val="0"/>
          <w:color w:val="auto"/>
          <w:szCs w:val="22"/>
        </w:rPr>
        <w:t xml:space="preserve">acturers may differentiate gas </w:t>
      </w:r>
      <w:r>
        <w:rPr>
          <w:rFonts w:asciiTheme="minorHAnsi" w:hAnsiTheme="minorHAnsi" w:cstheme="minorHAnsi"/>
          <w:i w:val="0"/>
          <w:color w:val="auto"/>
          <w:szCs w:val="22"/>
        </w:rPr>
        <w:t>fireplaces</w:t>
      </w:r>
      <w:r w:rsidRPr="009739A4">
        <w:rPr>
          <w:rFonts w:asciiTheme="minorHAnsi" w:hAnsiTheme="minorHAnsi" w:cstheme="minorHAnsi"/>
          <w:i w:val="0"/>
          <w:color w:val="auto"/>
          <w:szCs w:val="22"/>
        </w:rPr>
        <w:t xml:space="preserve"> by efficiency rating</w:t>
      </w:r>
      <w:r w:rsidR="003336E3">
        <w:rPr>
          <w:rFonts w:asciiTheme="minorHAnsi" w:hAnsiTheme="minorHAnsi" w:cstheme="minorHAnsi"/>
          <w:i w:val="0"/>
          <w:color w:val="auto"/>
          <w:szCs w:val="22"/>
        </w:rPr>
        <w:t xml:space="preserve"> (Annual Fuel Utilization Efficiency [AFUE] or Fireplace Efficiency [FE]), </w:t>
      </w:r>
      <w:r w:rsidRPr="009739A4">
        <w:rPr>
          <w:rFonts w:asciiTheme="minorHAnsi" w:hAnsiTheme="minorHAnsi" w:cstheme="minorHAnsi"/>
          <w:i w:val="0"/>
          <w:color w:val="auto"/>
          <w:szCs w:val="22"/>
        </w:rPr>
        <w:t>input rating</w:t>
      </w:r>
      <w:r w:rsidR="0025157F">
        <w:rPr>
          <w:rFonts w:asciiTheme="minorHAnsi" w:hAnsiTheme="minorHAnsi" w:cstheme="minorHAnsi"/>
          <w:i w:val="0"/>
          <w:color w:val="auto"/>
          <w:szCs w:val="22"/>
        </w:rPr>
        <w:t xml:space="preserve"> (B</w:t>
      </w:r>
      <w:r w:rsidR="003336E3">
        <w:rPr>
          <w:rFonts w:asciiTheme="minorHAnsi" w:hAnsiTheme="minorHAnsi" w:cstheme="minorHAnsi"/>
          <w:i w:val="0"/>
          <w:color w:val="auto"/>
          <w:szCs w:val="22"/>
        </w:rPr>
        <w:t>tu/hr</w:t>
      </w:r>
      <w:r w:rsidR="0025157F">
        <w:rPr>
          <w:rFonts w:asciiTheme="minorHAnsi" w:hAnsiTheme="minorHAnsi" w:cstheme="minorHAnsi"/>
          <w:i w:val="0"/>
          <w:color w:val="auto"/>
          <w:szCs w:val="22"/>
        </w:rPr>
        <w:t>.</w:t>
      </w:r>
      <w:r w:rsidR="003336E3">
        <w:rPr>
          <w:rFonts w:asciiTheme="minorHAnsi" w:hAnsiTheme="minorHAnsi" w:cstheme="minorHAnsi"/>
          <w:i w:val="0"/>
          <w:color w:val="auto"/>
          <w:szCs w:val="22"/>
        </w:rPr>
        <w:t>), and aesthetics</w:t>
      </w:r>
      <w:r w:rsidRPr="009739A4">
        <w:rPr>
          <w:rFonts w:asciiTheme="minorHAnsi" w:hAnsiTheme="minorHAnsi" w:cstheme="minorHAnsi"/>
          <w:i w:val="0"/>
          <w:color w:val="auto"/>
          <w:szCs w:val="22"/>
        </w:rPr>
        <w:t>.</w:t>
      </w:r>
    </w:p>
    <w:p w14:paraId="26770A8E" w14:textId="77777777" w:rsidR="001B43F3" w:rsidRDefault="001B43F3" w:rsidP="001B43F3">
      <w:pPr>
        <w:pStyle w:val="Reminders"/>
        <w:keepNext/>
        <w:tabs>
          <w:tab w:val="num" w:pos="360"/>
        </w:tabs>
        <w:jc w:val="center"/>
      </w:pPr>
      <w:r w:rsidRPr="009739A4">
        <w:rPr>
          <w:rFonts w:asciiTheme="minorHAnsi" w:hAnsiTheme="minorHAnsi" w:cstheme="minorHAnsi"/>
          <w:i w:val="0"/>
          <w:noProof/>
          <w:color w:val="auto"/>
          <w:szCs w:val="22"/>
        </w:rPr>
        <w:drawing>
          <wp:inline distT="0" distB="0" distL="0" distR="0" wp14:anchorId="6FE5903F" wp14:editId="54DBBD6B">
            <wp:extent cx="2645541" cy="3221063"/>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645541" cy="3221063"/>
                    </a:xfrm>
                    <a:prstGeom prst="rect">
                      <a:avLst/>
                    </a:prstGeom>
                  </pic:spPr>
                </pic:pic>
              </a:graphicData>
            </a:graphic>
          </wp:inline>
        </w:drawing>
      </w:r>
    </w:p>
    <w:p w14:paraId="3FDCBBDC" w14:textId="7A00FE56" w:rsidR="001B43F3" w:rsidRDefault="001B43F3" w:rsidP="001B43F3">
      <w:pPr>
        <w:pStyle w:val="Caption"/>
        <w:jc w:val="center"/>
        <w:rPr>
          <w:rFonts w:cstheme="minorHAnsi"/>
          <w:i/>
          <w:szCs w:val="22"/>
        </w:rPr>
      </w:pPr>
      <w:bookmarkStart w:id="9" w:name="_Ref531678275"/>
      <w:r>
        <w:t xml:space="preserve">Figure </w:t>
      </w:r>
      <w:fldSimple w:instr=" SEQ Figure \* ARABIC ">
        <w:r w:rsidR="000B78F6">
          <w:rPr>
            <w:noProof/>
          </w:rPr>
          <w:t>1</w:t>
        </w:r>
      </w:fldSimple>
      <w:bookmarkEnd w:id="9"/>
      <w:r w:rsidR="00DC3F10">
        <w:t>:</w:t>
      </w:r>
      <w:r>
        <w:t xml:space="preserve"> Typical Gas Fireplace</w:t>
      </w:r>
      <w:r w:rsidR="00312E6C">
        <w:t xml:space="preserve"> with Concentric Venting</w:t>
      </w:r>
      <w:r w:rsidR="00A215BF">
        <w:rPr>
          <w:rStyle w:val="EndnoteReference"/>
        </w:rPr>
        <w:endnoteReference w:id="1"/>
      </w:r>
    </w:p>
    <w:p w14:paraId="121FAB56" w14:textId="30AD656A" w:rsidR="001B43F3" w:rsidRDefault="001B43F3" w:rsidP="001B43F3">
      <w:pPr>
        <w:pStyle w:val="Reminders"/>
        <w:tabs>
          <w:tab w:val="num" w:pos="360"/>
        </w:tabs>
        <w:rPr>
          <w:rFonts w:asciiTheme="minorHAnsi" w:hAnsiTheme="minorHAnsi" w:cstheme="minorHAnsi"/>
          <w:i w:val="0"/>
          <w:color w:val="auto"/>
          <w:szCs w:val="22"/>
        </w:rPr>
      </w:pPr>
    </w:p>
    <w:p w14:paraId="2E99189A" w14:textId="7A275D3F" w:rsidR="00A82B74" w:rsidRDefault="00A82B74" w:rsidP="001D3223">
      <w:pPr>
        <w:pStyle w:val="Reminders"/>
        <w:tabs>
          <w:tab w:val="num" w:pos="360"/>
        </w:tabs>
        <w:rPr>
          <w:rFonts w:asciiTheme="minorHAnsi" w:hAnsiTheme="minorHAnsi" w:cstheme="minorHAnsi"/>
          <w:i w:val="0"/>
          <w:color w:val="auto"/>
          <w:szCs w:val="22"/>
        </w:rPr>
      </w:pPr>
      <w:r w:rsidRPr="00A82B74">
        <w:rPr>
          <w:rFonts w:asciiTheme="minorHAnsi" w:hAnsiTheme="minorHAnsi" w:cstheme="minorHAnsi"/>
          <w:i w:val="0"/>
          <w:color w:val="auto"/>
          <w:szCs w:val="22"/>
        </w:rPr>
        <w:t>The measures in this workpaper allow for energy to be saved from the installation</w:t>
      </w:r>
      <w:r>
        <w:rPr>
          <w:rFonts w:asciiTheme="minorHAnsi" w:hAnsiTheme="minorHAnsi" w:cstheme="minorHAnsi"/>
          <w:i w:val="0"/>
          <w:color w:val="auto"/>
          <w:szCs w:val="22"/>
        </w:rPr>
        <w:t xml:space="preserve"> of efficient gas fireplaces</w:t>
      </w:r>
      <w:r w:rsidR="003062C3">
        <w:rPr>
          <w:rFonts w:asciiTheme="minorHAnsi" w:hAnsiTheme="minorHAnsi" w:cstheme="minorHAnsi"/>
          <w:i w:val="0"/>
          <w:color w:val="auto"/>
          <w:szCs w:val="22"/>
        </w:rPr>
        <w:t xml:space="preserve"> which are replacing less efficient gas fireplaces. The measures are based on efficiency and not technology, so manufacturers are free to design efficient fireplaces without the constraints </w:t>
      </w:r>
      <w:r w:rsidR="003336E3">
        <w:rPr>
          <w:rFonts w:asciiTheme="minorHAnsi" w:hAnsiTheme="minorHAnsi" w:cstheme="minorHAnsi"/>
          <w:i w:val="0"/>
          <w:color w:val="auto"/>
          <w:szCs w:val="22"/>
        </w:rPr>
        <w:t xml:space="preserve">of </w:t>
      </w:r>
      <w:r w:rsidR="003062C3">
        <w:rPr>
          <w:rFonts w:asciiTheme="minorHAnsi" w:hAnsiTheme="minorHAnsi" w:cstheme="minorHAnsi"/>
          <w:i w:val="0"/>
          <w:color w:val="auto"/>
          <w:szCs w:val="22"/>
        </w:rPr>
        <w:t>required technology options.</w:t>
      </w:r>
    </w:p>
    <w:p w14:paraId="4DA8CBDA" w14:textId="77777777" w:rsidR="00A82B74" w:rsidRDefault="00A82B74" w:rsidP="001D3223">
      <w:pPr>
        <w:pStyle w:val="Reminders"/>
        <w:tabs>
          <w:tab w:val="num" w:pos="360"/>
        </w:tabs>
        <w:rPr>
          <w:rFonts w:asciiTheme="minorHAnsi" w:hAnsiTheme="minorHAnsi" w:cstheme="minorHAnsi"/>
          <w:i w:val="0"/>
          <w:szCs w:val="22"/>
        </w:rPr>
      </w:pPr>
    </w:p>
    <w:p w14:paraId="76D70E9F" w14:textId="450DDF05" w:rsidR="00DC3F10" w:rsidRDefault="00DC3F10" w:rsidP="00DC3F10">
      <w:pPr>
        <w:pStyle w:val="Caption"/>
        <w:keepNext/>
      </w:pPr>
      <w:r>
        <w:t xml:space="preserve">Table </w:t>
      </w:r>
      <w:fldSimple w:instr=" SEQ Table \* ARABIC ">
        <w:r w:rsidR="000B78F6">
          <w:rPr>
            <w:noProof/>
          </w:rPr>
          <w:t>1</w:t>
        </w:r>
      </w:fldSimple>
      <w:r>
        <w:t>:</w:t>
      </w:r>
      <w:r w:rsidRPr="00DC3F10">
        <w:t xml:space="preserve"> Base, Standard, and Measure Cases</w:t>
      </w:r>
    </w:p>
    <w:tbl>
      <w:tblPr>
        <w:tblStyle w:val="TableGrid1"/>
        <w:tblW w:w="4698" w:type="pct"/>
        <w:tblLook w:val="04A0" w:firstRow="1" w:lastRow="0" w:firstColumn="1" w:lastColumn="0" w:noHBand="0" w:noVBand="1"/>
      </w:tblPr>
      <w:tblGrid>
        <w:gridCol w:w="2880"/>
        <w:gridCol w:w="5905"/>
      </w:tblGrid>
      <w:tr w:rsidR="00ED079D" w:rsidRPr="00800706" w14:paraId="1F76BE29" w14:textId="77777777" w:rsidTr="00D95DB8">
        <w:trPr>
          <w:trHeight w:val="20"/>
        </w:trPr>
        <w:tc>
          <w:tcPr>
            <w:tcW w:w="1639" w:type="pct"/>
            <w:shd w:val="clear" w:color="auto" w:fill="D9D9D9" w:themeFill="background1" w:themeFillShade="D9"/>
          </w:tcPr>
          <w:p w14:paraId="54F4F835" w14:textId="153299E7" w:rsidR="00ED079D" w:rsidRPr="00800706" w:rsidRDefault="00ED079D"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361" w:type="pct"/>
            <w:shd w:val="clear" w:color="auto" w:fill="D9D9D9" w:themeFill="background1" w:themeFillShade="D9"/>
          </w:tcPr>
          <w:p w14:paraId="54E2E4F7" w14:textId="77777777" w:rsidR="00ED079D" w:rsidRPr="00920905" w:rsidRDefault="00ED079D"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ED079D" w:rsidRPr="00800706" w14:paraId="0BA36585" w14:textId="77777777" w:rsidTr="00D95DB8">
        <w:trPr>
          <w:trHeight w:val="20"/>
        </w:trPr>
        <w:tc>
          <w:tcPr>
            <w:tcW w:w="1639" w:type="pct"/>
          </w:tcPr>
          <w:p w14:paraId="2969E9FC" w14:textId="2B48DC9A" w:rsidR="00ED079D" w:rsidRPr="00920905" w:rsidRDefault="00ED079D"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361" w:type="pct"/>
          </w:tcPr>
          <w:p w14:paraId="3E9B1D37" w14:textId="77777777" w:rsidR="00ED079D" w:rsidRDefault="00461F76" w:rsidP="00920905">
            <w:pPr>
              <w:rPr>
                <w:szCs w:val="20"/>
              </w:rPr>
            </w:pPr>
            <w:r>
              <w:rPr>
                <w:szCs w:val="20"/>
              </w:rPr>
              <w:t>E</w:t>
            </w:r>
            <w:r w:rsidR="00ED079D" w:rsidRPr="00ED079D">
              <w:rPr>
                <w:szCs w:val="20"/>
              </w:rPr>
              <w:t>fficient fireplace</w:t>
            </w:r>
            <w:r w:rsidR="00D95DB8">
              <w:rPr>
                <w:szCs w:val="20"/>
              </w:rPr>
              <w:t xml:space="preserve"> Tier 1: 70%-75% FE</w:t>
            </w:r>
          </w:p>
          <w:p w14:paraId="5F424023" w14:textId="6C582FF7" w:rsidR="00D95DB8" w:rsidRPr="00ED079D" w:rsidRDefault="00D95DB8" w:rsidP="00920905">
            <w:pPr>
              <w:rPr>
                <w:szCs w:val="20"/>
              </w:rPr>
            </w:pPr>
            <w:r>
              <w:rPr>
                <w:szCs w:val="20"/>
              </w:rPr>
              <w:t>Efficient fireplace Tier 2: 75%+ FE</w:t>
            </w:r>
          </w:p>
        </w:tc>
      </w:tr>
      <w:tr w:rsidR="00ED079D" w:rsidRPr="00800706" w14:paraId="0D291975" w14:textId="77777777" w:rsidTr="00D95DB8">
        <w:trPr>
          <w:trHeight w:val="20"/>
        </w:trPr>
        <w:tc>
          <w:tcPr>
            <w:tcW w:w="1639" w:type="pct"/>
          </w:tcPr>
          <w:p w14:paraId="167A5AE3" w14:textId="34D91EC8" w:rsidR="00ED079D" w:rsidRPr="00920905" w:rsidRDefault="00ED079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361" w:type="pct"/>
          </w:tcPr>
          <w:p w14:paraId="6EFD7973" w14:textId="48F3D90F" w:rsidR="00ED079D" w:rsidRPr="00ED079D" w:rsidRDefault="003336E3" w:rsidP="00920905">
            <w:pPr>
              <w:rPr>
                <w:szCs w:val="20"/>
              </w:rPr>
            </w:pPr>
            <w:r>
              <w:rPr>
                <w:szCs w:val="20"/>
              </w:rPr>
              <w:t>F</w:t>
            </w:r>
            <w:r w:rsidR="00ED079D">
              <w:rPr>
                <w:szCs w:val="20"/>
              </w:rPr>
              <w:t xml:space="preserve">ireplace with either a continuously operating pilot </w:t>
            </w:r>
            <w:r w:rsidR="00D95DB8">
              <w:rPr>
                <w:szCs w:val="20"/>
              </w:rPr>
              <w:t xml:space="preserve">(for </w:t>
            </w:r>
            <w:r w:rsidR="00C91E72">
              <w:rPr>
                <w:szCs w:val="20"/>
              </w:rPr>
              <w:t>accelerated replacement[AR]</w:t>
            </w:r>
            <w:r w:rsidR="00D95DB8">
              <w:rPr>
                <w:szCs w:val="20"/>
              </w:rPr>
              <w:t xml:space="preserve">) </w:t>
            </w:r>
            <w:r w:rsidR="00F3078E">
              <w:rPr>
                <w:szCs w:val="20"/>
              </w:rPr>
              <w:t xml:space="preserve">or </w:t>
            </w:r>
            <w:r w:rsidR="00080C84">
              <w:rPr>
                <w:szCs w:val="20"/>
              </w:rPr>
              <w:t>Intermittent pilot light</w:t>
            </w:r>
            <w:r w:rsidR="00D95DB8">
              <w:rPr>
                <w:szCs w:val="20"/>
              </w:rPr>
              <w:t xml:space="preserve"> (for </w:t>
            </w:r>
            <w:r w:rsidR="00C91E72">
              <w:rPr>
                <w:szCs w:val="20"/>
              </w:rPr>
              <w:t>normal replacement[NR] or new construction[NC]</w:t>
            </w:r>
            <w:r w:rsidR="00D95DB8">
              <w:rPr>
                <w:szCs w:val="20"/>
              </w:rPr>
              <w:t>)</w:t>
            </w:r>
            <w:r w:rsidR="00ED079D">
              <w:rPr>
                <w:szCs w:val="20"/>
              </w:rPr>
              <w:t>.</w:t>
            </w:r>
          </w:p>
        </w:tc>
      </w:tr>
      <w:tr w:rsidR="00ED079D" w:rsidRPr="00800706" w14:paraId="4BCC52B9" w14:textId="77777777" w:rsidTr="00D95DB8">
        <w:trPr>
          <w:trHeight w:val="20"/>
        </w:trPr>
        <w:tc>
          <w:tcPr>
            <w:tcW w:w="1639" w:type="pct"/>
          </w:tcPr>
          <w:p w14:paraId="7CC24789" w14:textId="7F7BBD30" w:rsidR="00ED079D" w:rsidRPr="00800706" w:rsidRDefault="00ED079D">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361" w:type="pct"/>
          </w:tcPr>
          <w:p w14:paraId="443F4F27" w14:textId="2586EC44" w:rsidR="00ED079D" w:rsidRPr="00ED079D" w:rsidRDefault="00F3078E">
            <w:pPr>
              <w:rPr>
                <w:color w:val="FF0000"/>
                <w:szCs w:val="20"/>
              </w:rPr>
            </w:pPr>
            <w:r w:rsidRPr="00ED079D">
              <w:rPr>
                <w:szCs w:val="20"/>
              </w:rPr>
              <w:t>N/A</w:t>
            </w:r>
          </w:p>
        </w:tc>
      </w:tr>
      <w:tr w:rsidR="00ED079D" w:rsidRPr="00800706" w14:paraId="33FE533D" w14:textId="77777777" w:rsidTr="00D95DB8">
        <w:trPr>
          <w:trHeight w:val="20"/>
        </w:trPr>
        <w:tc>
          <w:tcPr>
            <w:tcW w:w="1639" w:type="pct"/>
          </w:tcPr>
          <w:p w14:paraId="788E6EF3" w14:textId="633B7C4F" w:rsidR="00ED079D" w:rsidRPr="00920905" w:rsidRDefault="00ED079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361" w:type="pct"/>
          </w:tcPr>
          <w:p w14:paraId="0B436820" w14:textId="294D290D" w:rsidR="00ED079D" w:rsidRPr="00ED079D" w:rsidRDefault="00ED079D" w:rsidP="00920905">
            <w:pPr>
              <w:rPr>
                <w:szCs w:val="20"/>
              </w:rPr>
            </w:pPr>
            <w:r w:rsidRPr="00ED079D">
              <w:rPr>
                <w:szCs w:val="20"/>
              </w:rPr>
              <w:t>N/A</w:t>
            </w:r>
          </w:p>
        </w:tc>
      </w:tr>
    </w:tbl>
    <w:p w14:paraId="3ECC2D2B" w14:textId="77777777" w:rsidR="00D85F09" w:rsidRPr="00800706" w:rsidRDefault="00D85F09" w:rsidP="00920905">
      <w:pPr>
        <w:pStyle w:val="NoSpacing"/>
      </w:pPr>
    </w:p>
    <w:p w14:paraId="564D70E8" w14:textId="2C804057" w:rsidR="00DC3F10" w:rsidRDefault="00DC3F10" w:rsidP="00DC3F10">
      <w:pPr>
        <w:pStyle w:val="Caption"/>
        <w:keepNext/>
      </w:pPr>
      <w:r>
        <w:lastRenderedPageBreak/>
        <w:t xml:space="preserve">Table </w:t>
      </w:r>
      <w:fldSimple w:instr=" SEQ Table \* ARABIC ">
        <w:r w:rsidR="000B78F6">
          <w:rPr>
            <w:noProof/>
          </w:rPr>
          <w:t>2</w:t>
        </w:r>
      </w:fldSimple>
      <w:r>
        <w:t xml:space="preserve">: </w:t>
      </w:r>
      <w:r w:rsidRPr="00DC3F10">
        <w:t>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6510B2CE" w14:textId="77777777" w:rsidTr="00920905">
        <w:tc>
          <w:tcPr>
            <w:tcW w:w="2356" w:type="pct"/>
            <w:gridSpan w:val="4"/>
            <w:shd w:val="clear" w:color="auto" w:fill="D9D9D9" w:themeFill="background1" w:themeFillShade="D9"/>
          </w:tcPr>
          <w:p w14:paraId="73901AB3"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7A5D36EA"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726EB8BA" w14:textId="77777777" w:rsidTr="00920905">
        <w:tc>
          <w:tcPr>
            <w:tcW w:w="539" w:type="pct"/>
            <w:shd w:val="clear" w:color="auto" w:fill="F2F2F2" w:themeFill="background1" w:themeFillShade="F2"/>
          </w:tcPr>
          <w:p w14:paraId="4CA87628"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75C9B6E4"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567A4B47"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2CA6C5C6"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14FE14C0" w14:textId="77777777" w:rsidR="003A3170" w:rsidRPr="00800706" w:rsidRDefault="003A3170" w:rsidP="005729C8">
            <w:pPr>
              <w:rPr>
                <w:rFonts w:cstheme="minorHAnsi"/>
                <w:szCs w:val="20"/>
              </w:rPr>
            </w:pPr>
          </w:p>
        </w:tc>
      </w:tr>
      <w:tr w:rsidR="00572D2F" w:rsidRPr="00800706" w14:paraId="0DEC2841" w14:textId="77777777" w:rsidTr="00920905">
        <w:trPr>
          <w:trHeight w:val="243"/>
        </w:trPr>
        <w:tc>
          <w:tcPr>
            <w:tcW w:w="539" w:type="pct"/>
          </w:tcPr>
          <w:p w14:paraId="1CB1B381" w14:textId="079EF550" w:rsidR="00572D2F" w:rsidRPr="00F3078E" w:rsidRDefault="00AB6331" w:rsidP="00397406">
            <w:pPr>
              <w:rPr>
                <w:rFonts w:cstheme="minorHAnsi"/>
                <w:szCs w:val="20"/>
              </w:rPr>
            </w:pPr>
            <w:r>
              <w:rPr>
                <w:rFonts w:cstheme="minorHAnsi"/>
                <w:szCs w:val="20"/>
              </w:rPr>
              <w:t>TBD</w:t>
            </w:r>
          </w:p>
        </w:tc>
        <w:tc>
          <w:tcPr>
            <w:tcW w:w="539" w:type="pct"/>
          </w:tcPr>
          <w:p w14:paraId="6840201F" w14:textId="77777777" w:rsidR="00572D2F" w:rsidRPr="00F3078E" w:rsidRDefault="00572D2F" w:rsidP="00397406">
            <w:pPr>
              <w:rPr>
                <w:rFonts w:cstheme="minorHAnsi"/>
                <w:szCs w:val="20"/>
              </w:rPr>
            </w:pPr>
          </w:p>
        </w:tc>
        <w:tc>
          <w:tcPr>
            <w:tcW w:w="605" w:type="pct"/>
          </w:tcPr>
          <w:p w14:paraId="7F1D314E" w14:textId="30FD2E48" w:rsidR="00572D2F" w:rsidRPr="00F3078E" w:rsidRDefault="00572D2F" w:rsidP="00397406">
            <w:pPr>
              <w:rPr>
                <w:rFonts w:cstheme="minorHAnsi"/>
                <w:szCs w:val="20"/>
              </w:rPr>
            </w:pPr>
          </w:p>
        </w:tc>
        <w:tc>
          <w:tcPr>
            <w:tcW w:w="673" w:type="pct"/>
          </w:tcPr>
          <w:p w14:paraId="1DF97AB2" w14:textId="46D33DF8" w:rsidR="00572D2F" w:rsidRPr="00F3078E" w:rsidRDefault="00572D2F" w:rsidP="005729C8">
            <w:pPr>
              <w:rPr>
                <w:rFonts w:cstheme="minorHAnsi"/>
                <w:szCs w:val="20"/>
              </w:rPr>
            </w:pPr>
          </w:p>
        </w:tc>
        <w:tc>
          <w:tcPr>
            <w:tcW w:w="2644" w:type="pct"/>
          </w:tcPr>
          <w:p w14:paraId="06E4ADCC" w14:textId="75C204EE" w:rsidR="00572D2F" w:rsidRPr="00F3078E" w:rsidRDefault="00F3078E">
            <w:r>
              <w:t>70% FE to 75% FE fireplace with IPL replacing a 61% FE fireplace with a continuously operating pilot light.</w:t>
            </w:r>
          </w:p>
        </w:tc>
      </w:tr>
      <w:tr w:rsidR="000245B5" w:rsidRPr="00800706" w14:paraId="521EB8D2" w14:textId="77777777" w:rsidTr="00920905">
        <w:trPr>
          <w:trHeight w:val="243"/>
        </w:trPr>
        <w:tc>
          <w:tcPr>
            <w:tcW w:w="539" w:type="pct"/>
          </w:tcPr>
          <w:p w14:paraId="37D1017B" w14:textId="1FFB6EA5" w:rsidR="000245B5" w:rsidRPr="00F3078E" w:rsidRDefault="00F3078E" w:rsidP="00397406">
            <w:pPr>
              <w:rPr>
                <w:rFonts w:cstheme="minorHAnsi"/>
                <w:szCs w:val="20"/>
              </w:rPr>
            </w:pPr>
            <w:r w:rsidRPr="00F3078E">
              <w:rPr>
                <w:rFonts w:cstheme="minorHAnsi"/>
                <w:szCs w:val="20"/>
              </w:rPr>
              <w:t>TBD</w:t>
            </w:r>
          </w:p>
        </w:tc>
        <w:tc>
          <w:tcPr>
            <w:tcW w:w="539" w:type="pct"/>
          </w:tcPr>
          <w:p w14:paraId="6832AA8A" w14:textId="77777777" w:rsidR="000245B5" w:rsidRPr="00F3078E" w:rsidRDefault="000245B5" w:rsidP="00397406">
            <w:pPr>
              <w:rPr>
                <w:rFonts w:cstheme="minorHAnsi"/>
                <w:szCs w:val="20"/>
              </w:rPr>
            </w:pPr>
          </w:p>
        </w:tc>
        <w:tc>
          <w:tcPr>
            <w:tcW w:w="605" w:type="pct"/>
          </w:tcPr>
          <w:p w14:paraId="7AC56EAF" w14:textId="77777777" w:rsidR="000245B5" w:rsidRPr="00F3078E" w:rsidRDefault="000245B5" w:rsidP="00397406">
            <w:pPr>
              <w:rPr>
                <w:rFonts w:cstheme="minorHAnsi"/>
                <w:szCs w:val="20"/>
              </w:rPr>
            </w:pPr>
          </w:p>
        </w:tc>
        <w:tc>
          <w:tcPr>
            <w:tcW w:w="673" w:type="pct"/>
          </w:tcPr>
          <w:p w14:paraId="033427C3" w14:textId="77777777" w:rsidR="000245B5" w:rsidRPr="00F3078E" w:rsidRDefault="000245B5" w:rsidP="005729C8">
            <w:pPr>
              <w:rPr>
                <w:rFonts w:cstheme="minorHAnsi"/>
                <w:szCs w:val="20"/>
              </w:rPr>
            </w:pPr>
          </w:p>
        </w:tc>
        <w:tc>
          <w:tcPr>
            <w:tcW w:w="2644" w:type="pct"/>
          </w:tcPr>
          <w:p w14:paraId="02E624CF" w14:textId="21347D92" w:rsidR="000245B5" w:rsidRPr="00F3078E" w:rsidRDefault="00F3078E" w:rsidP="005729C8">
            <w:r>
              <w:t>75% FE or greater FE fireplace with IPL replacing a 61% FE fireplace with a continuously operating pilot light.</w:t>
            </w:r>
          </w:p>
        </w:tc>
      </w:tr>
      <w:tr w:rsidR="00F3078E" w:rsidRPr="00800706" w14:paraId="39CE6D27" w14:textId="77777777" w:rsidTr="00920905">
        <w:trPr>
          <w:trHeight w:val="243"/>
        </w:trPr>
        <w:tc>
          <w:tcPr>
            <w:tcW w:w="539" w:type="pct"/>
          </w:tcPr>
          <w:p w14:paraId="72306C74" w14:textId="24B37E50" w:rsidR="00F3078E" w:rsidRPr="00F3078E" w:rsidRDefault="00F3078E" w:rsidP="00F3078E">
            <w:pPr>
              <w:rPr>
                <w:rFonts w:cstheme="minorHAnsi"/>
                <w:szCs w:val="20"/>
              </w:rPr>
            </w:pPr>
            <w:r w:rsidRPr="00F3078E">
              <w:rPr>
                <w:rFonts w:cstheme="minorHAnsi"/>
                <w:szCs w:val="20"/>
              </w:rPr>
              <w:t>TBD</w:t>
            </w:r>
          </w:p>
        </w:tc>
        <w:tc>
          <w:tcPr>
            <w:tcW w:w="539" w:type="pct"/>
          </w:tcPr>
          <w:p w14:paraId="46BD9C65" w14:textId="77777777" w:rsidR="00F3078E" w:rsidRPr="00F3078E" w:rsidRDefault="00F3078E" w:rsidP="00F3078E">
            <w:pPr>
              <w:rPr>
                <w:rFonts w:cstheme="minorHAnsi"/>
                <w:szCs w:val="20"/>
              </w:rPr>
            </w:pPr>
          </w:p>
        </w:tc>
        <w:tc>
          <w:tcPr>
            <w:tcW w:w="605" w:type="pct"/>
          </w:tcPr>
          <w:p w14:paraId="7325AB13" w14:textId="77777777" w:rsidR="00F3078E" w:rsidRPr="00F3078E" w:rsidRDefault="00F3078E" w:rsidP="00F3078E">
            <w:pPr>
              <w:rPr>
                <w:rFonts w:cstheme="minorHAnsi"/>
                <w:szCs w:val="20"/>
              </w:rPr>
            </w:pPr>
          </w:p>
        </w:tc>
        <w:tc>
          <w:tcPr>
            <w:tcW w:w="673" w:type="pct"/>
          </w:tcPr>
          <w:p w14:paraId="0720F6AF" w14:textId="77777777" w:rsidR="00F3078E" w:rsidRPr="00F3078E" w:rsidRDefault="00F3078E" w:rsidP="00F3078E">
            <w:pPr>
              <w:rPr>
                <w:rFonts w:cstheme="minorHAnsi"/>
                <w:szCs w:val="20"/>
              </w:rPr>
            </w:pPr>
          </w:p>
        </w:tc>
        <w:tc>
          <w:tcPr>
            <w:tcW w:w="2644" w:type="pct"/>
          </w:tcPr>
          <w:p w14:paraId="16A457F1" w14:textId="30D83295" w:rsidR="00F3078E" w:rsidRDefault="00F3078E" w:rsidP="00F3078E">
            <w:r>
              <w:t>70% FE to 75% FE fireplace with IPL replacing a 64% FE fireplace with a IPL.</w:t>
            </w:r>
          </w:p>
        </w:tc>
      </w:tr>
      <w:tr w:rsidR="00F3078E" w:rsidRPr="00800706" w14:paraId="1C0D38B2" w14:textId="77777777" w:rsidTr="00920905">
        <w:trPr>
          <w:trHeight w:val="243"/>
        </w:trPr>
        <w:tc>
          <w:tcPr>
            <w:tcW w:w="539" w:type="pct"/>
          </w:tcPr>
          <w:p w14:paraId="0916570E" w14:textId="756C6F72" w:rsidR="00F3078E" w:rsidRPr="00F3078E" w:rsidRDefault="00F3078E" w:rsidP="00F3078E">
            <w:pPr>
              <w:rPr>
                <w:rFonts w:cstheme="minorHAnsi"/>
                <w:szCs w:val="20"/>
              </w:rPr>
            </w:pPr>
            <w:r w:rsidRPr="00F3078E">
              <w:rPr>
                <w:rFonts w:cstheme="minorHAnsi"/>
                <w:szCs w:val="20"/>
              </w:rPr>
              <w:t>TBD</w:t>
            </w:r>
          </w:p>
        </w:tc>
        <w:tc>
          <w:tcPr>
            <w:tcW w:w="539" w:type="pct"/>
          </w:tcPr>
          <w:p w14:paraId="3916622B" w14:textId="77777777" w:rsidR="00F3078E" w:rsidRPr="00F3078E" w:rsidRDefault="00F3078E" w:rsidP="00F3078E">
            <w:pPr>
              <w:rPr>
                <w:rFonts w:cstheme="minorHAnsi"/>
                <w:szCs w:val="20"/>
              </w:rPr>
            </w:pPr>
          </w:p>
        </w:tc>
        <w:tc>
          <w:tcPr>
            <w:tcW w:w="605" w:type="pct"/>
          </w:tcPr>
          <w:p w14:paraId="2AC0DA4C" w14:textId="77777777" w:rsidR="00F3078E" w:rsidRPr="00F3078E" w:rsidRDefault="00F3078E" w:rsidP="00F3078E">
            <w:pPr>
              <w:rPr>
                <w:rFonts w:cstheme="minorHAnsi"/>
                <w:szCs w:val="20"/>
              </w:rPr>
            </w:pPr>
          </w:p>
        </w:tc>
        <w:tc>
          <w:tcPr>
            <w:tcW w:w="673" w:type="pct"/>
          </w:tcPr>
          <w:p w14:paraId="438364CF" w14:textId="77777777" w:rsidR="00F3078E" w:rsidRPr="00F3078E" w:rsidRDefault="00F3078E" w:rsidP="00F3078E">
            <w:pPr>
              <w:rPr>
                <w:rFonts w:cstheme="minorHAnsi"/>
                <w:szCs w:val="20"/>
              </w:rPr>
            </w:pPr>
          </w:p>
        </w:tc>
        <w:tc>
          <w:tcPr>
            <w:tcW w:w="2644" w:type="pct"/>
          </w:tcPr>
          <w:p w14:paraId="22BF32D1" w14:textId="21AE16E3" w:rsidR="00F3078E" w:rsidRDefault="00F3078E" w:rsidP="00F3078E">
            <w:r>
              <w:t>75% FE or greater FE fireplace with IPL replacing a 64% FE fireplace with a IPL.</w:t>
            </w:r>
          </w:p>
        </w:tc>
      </w:tr>
    </w:tbl>
    <w:p w14:paraId="7FA533C9" w14:textId="77777777" w:rsidR="00760CDC" w:rsidRPr="00800706" w:rsidRDefault="00760CDC" w:rsidP="00697868">
      <w:pPr>
        <w:pStyle w:val="Reminders"/>
        <w:rPr>
          <w:rFonts w:asciiTheme="minorHAnsi" w:hAnsiTheme="minorHAnsi" w:cstheme="minorHAnsi"/>
          <w:i w:val="0"/>
          <w:szCs w:val="22"/>
        </w:rPr>
      </w:pPr>
    </w:p>
    <w:p w14:paraId="394F871F" w14:textId="77777777" w:rsidR="00391407" w:rsidRDefault="00391407" w:rsidP="00391407">
      <w:pPr>
        <w:pStyle w:val="NoSpacing"/>
        <w:contextualSpacing/>
        <w:rPr>
          <w:rFonts w:eastAsia="Times New Roman" w:cstheme="minorHAnsi"/>
          <w:b/>
        </w:rPr>
      </w:pPr>
      <w:r w:rsidRPr="00522234">
        <w:rPr>
          <w:rFonts w:eastAsia="Times New Roman" w:cstheme="minorHAnsi"/>
          <w:b/>
        </w:rPr>
        <w:t>Eligibility requirements:</w:t>
      </w:r>
    </w:p>
    <w:p w14:paraId="3AFF811C" w14:textId="77777777" w:rsidR="00391407" w:rsidRDefault="00391407" w:rsidP="001C5936">
      <w:pPr>
        <w:pStyle w:val="ListParagraph"/>
        <w:numPr>
          <w:ilvl w:val="0"/>
          <w:numId w:val="19"/>
        </w:numPr>
      </w:pPr>
      <w:r w:rsidRPr="00FC2256">
        <w:t>The measures described herein are only available to California Investor-Owned Utility (IOU) Customers whom are paying the Public Goods Charge and are Customers of the IOU for which the measure (or measures) described herein are being offered through the IOU’s Energy Efficiency program.</w:t>
      </w:r>
    </w:p>
    <w:p w14:paraId="7708E8A2" w14:textId="77777777" w:rsidR="00391407" w:rsidRPr="00FC2256" w:rsidRDefault="00391407" w:rsidP="001C5936">
      <w:pPr>
        <w:pStyle w:val="ListParagraph"/>
        <w:numPr>
          <w:ilvl w:val="0"/>
          <w:numId w:val="19"/>
        </w:numPr>
      </w:pPr>
      <w:r w:rsidRPr="00FC2256">
        <w:t>Participants in the program must be in good standing with the administering IOU.</w:t>
      </w:r>
    </w:p>
    <w:p w14:paraId="2BD18A69" w14:textId="77777777" w:rsidR="00391407" w:rsidRPr="00FC2256" w:rsidRDefault="00391407" w:rsidP="001C5936">
      <w:pPr>
        <w:pStyle w:val="ListParagraph"/>
        <w:numPr>
          <w:ilvl w:val="0"/>
          <w:numId w:val="19"/>
        </w:numPr>
      </w:pPr>
      <w:r w:rsidRPr="00FC2256">
        <w:t xml:space="preserve">The applicable market segments allowed to participate are single-family and multi-family residential markets.  </w:t>
      </w:r>
    </w:p>
    <w:p w14:paraId="20B7A5DA" w14:textId="12B56907" w:rsidR="00391407" w:rsidRPr="00FC2256" w:rsidRDefault="00E64671" w:rsidP="001C5936">
      <w:pPr>
        <w:pStyle w:val="ListParagraph"/>
        <w:numPr>
          <w:ilvl w:val="0"/>
          <w:numId w:val="19"/>
        </w:numPr>
      </w:pPr>
      <w:r>
        <w:t>T</w:t>
      </w:r>
      <w:r w:rsidR="00391407">
        <w:t>he p</w:t>
      </w:r>
      <w:r w:rsidR="00391407" w:rsidRPr="00FC2256">
        <w:t>urchas</w:t>
      </w:r>
      <w:r w:rsidR="00391407">
        <w:t xml:space="preserve">e invoice </w:t>
      </w:r>
      <w:r>
        <w:t xml:space="preserve">for the gas fireplace </w:t>
      </w:r>
      <w:r w:rsidR="00391407">
        <w:t xml:space="preserve">must be provided as </w:t>
      </w:r>
      <w:r w:rsidR="00391407" w:rsidRPr="00FC2256">
        <w:t>proof</w:t>
      </w:r>
      <w:r w:rsidR="00391407">
        <w:t xml:space="preserve"> of purchase.</w:t>
      </w:r>
    </w:p>
    <w:p w14:paraId="40626F84" w14:textId="77777777" w:rsidR="00391407" w:rsidRDefault="00391407" w:rsidP="001C5936">
      <w:pPr>
        <w:pStyle w:val="ListParagraph"/>
        <w:numPr>
          <w:ilvl w:val="0"/>
          <w:numId w:val="19"/>
        </w:numPr>
      </w:pPr>
      <w:r w:rsidRPr="003A2BDC">
        <w:t>Customer agrees that the IOU will conduct a post measure implementation inspection.</w:t>
      </w:r>
    </w:p>
    <w:p w14:paraId="1ACC5023" w14:textId="3C876839" w:rsidR="00391407" w:rsidRDefault="00391407" w:rsidP="001C5936">
      <w:pPr>
        <w:pStyle w:val="ListParagraph"/>
        <w:numPr>
          <w:ilvl w:val="0"/>
          <w:numId w:val="19"/>
        </w:numPr>
      </w:pPr>
      <w:r>
        <w:t xml:space="preserve">These measures only apply to </w:t>
      </w:r>
      <w:r w:rsidR="001B43F3">
        <w:t>gas fireplaces</w:t>
      </w:r>
      <w:r>
        <w:t xml:space="preserve"> manufactured with</w:t>
      </w:r>
      <w:r w:rsidR="0053693F">
        <w:t xml:space="preserve"> burner</w:t>
      </w:r>
      <w:r w:rsidR="00FE00EA">
        <w:t>-</w:t>
      </w:r>
      <w:r w:rsidR="0053693F">
        <w:t>control thermostats,</w:t>
      </w:r>
      <w:r w:rsidR="00BF12B1">
        <w:t xml:space="preserve"> </w:t>
      </w:r>
      <w:r>
        <w:t>integrated IPL controls</w:t>
      </w:r>
      <w:r w:rsidR="0053693F">
        <w:t>,</w:t>
      </w:r>
      <w:r w:rsidR="001B43F3">
        <w:t xml:space="preserve"> and FE values within the specified ranges.</w:t>
      </w:r>
    </w:p>
    <w:p w14:paraId="6E69EAC9" w14:textId="77777777" w:rsidR="001C5936" w:rsidRPr="001C5936" w:rsidRDefault="001C5936" w:rsidP="001C5936">
      <w:pPr>
        <w:pStyle w:val="ListParagraph"/>
      </w:pPr>
    </w:p>
    <w:p w14:paraId="2B2B19F2" w14:textId="77777777" w:rsidR="00391407" w:rsidRDefault="00391407" w:rsidP="00391407">
      <w:pPr>
        <w:pStyle w:val="NoSpacing"/>
        <w:rPr>
          <w:color w:val="FF0000"/>
        </w:rPr>
      </w:pPr>
      <w:r w:rsidRPr="00522234">
        <w:rPr>
          <w:b/>
        </w:rPr>
        <w:t>Implementation and installation requirements</w:t>
      </w:r>
      <w:r w:rsidRPr="00522234">
        <w:t>:</w:t>
      </w:r>
      <w:r w:rsidRPr="00920905">
        <w:rPr>
          <w:color w:val="FF0000"/>
        </w:rPr>
        <w:t xml:space="preserve"> </w:t>
      </w:r>
    </w:p>
    <w:p w14:paraId="2F8F1A7A" w14:textId="18FF7B88" w:rsidR="00391407" w:rsidRDefault="001B43F3" w:rsidP="001C5936">
      <w:pPr>
        <w:pStyle w:val="NoSpacing"/>
        <w:numPr>
          <w:ilvl w:val="0"/>
          <w:numId w:val="14"/>
        </w:numPr>
        <w:ind w:left="720"/>
      </w:pPr>
      <w:r>
        <w:t>T</w:t>
      </w:r>
      <w:r w:rsidR="00391407">
        <w:t xml:space="preserve">he </w:t>
      </w:r>
      <w:r>
        <w:t>fireplace</w:t>
      </w:r>
      <w:r w:rsidR="00391407">
        <w:t xml:space="preserve"> shall be functional prior to </w:t>
      </w:r>
      <w:r>
        <w:t>being installed.</w:t>
      </w:r>
    </w:p>
    <w:p w14:paraId="581D7FAC" w14:textId="77777777" w:rsidR="00391407" w:rsidRDefault="00391407" w:rsidP="001C5936">
      <w:pPr>
        <w:pStyle w:val="NoSpacing"/>
        <w:numPr>
          <w:ilvl w:val="0"/>
          <w:numId w:val="14"/>
        </w:numPr>
        <w:ind w:left="720"/>
      </w:pPr>
      <w:r>
        <w:t xml:space="preserve">Any technology manufacturer qualifies to be used in this program if safety and all other regulations are met and the technology is commercially available. </w:t>
      </w:r>
    </w:p>
    <w:p w14:paraId="7D98E04D" w14:textId="77777777" w:rsidR="00052457" w:rsidRPr="00052457" w:rsidRDefault="00052457" w:rsidP="00052457">
      <w:pPr>
        <w:pStyle w:val="Reminders"/>
        <w:rPr>
          <w:rFonts w:asciiTheme="minorHAnsi" w:hAnsiTheme="minorHAnsi" w:cstheme="minorHAnsi"/>
          <w:i w:val="0"/>
          <w:color w:val="auto"/>
          <w:szCs w:val="22"/>
        </w:rPr>
      </w:pPr>
    </w:p>
    <w:p w14:paraId="5EF81604" w14:textId="1C32D92A" w:rsidR="00E16609"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F81F0E2" w14:textId="58F71E1B" w:rsidR="006002A6" w:rsidRDefault="003062C3" w:rsidP="00D15E51">
      <w:pPr>
        <w:pStyle w:val="Reminders"/>
        <w:tabs>
          <w:tab w:val="num" w:pos="360"/>
        </w:tabs>
        <w:rPr>
          <w:rFonts w:asciiTheme="minorHAnsi" w:hAnsiTheme="minorHAnsi" w:cstheme="minorHAnsi"/>
          <w:i w:val="0"/>
          <w:color w:val="auto"/>
          <w:szCs w:val="22"/>
        </w:rPr>
      </w:pPr>
      <w:r w:rsidRPr="00A82B74">
        <w:rPr>
          <w:rFonts w:asciiTheme="minorHAnsi" w:hAnsiTheme="minorHAnsi" w:cstheme="minorHAnsi"/>
          <w:i w:val="0"/>
          <w:color w:val="auto"/>
          <w:szCs w:val="22"/>
        </w:rPr>
        <w:t>The measures in this workpaper allow for energy to be saved from the installation</w:t>
      </w:r>
      <w:r>
        <w:rPr>
          <w:rFonts w:asciiTheme="minorHAnsi" w:hAnsiTheme="minorHAnsi" w:cstheme="minorHAnsi"/>
          <w:i w:val="0"/>
          <w:color w:val="auto"/>
          <w:szCs w:val="22"/>
        </w:rPr>
        <w:t xml:space="preserve"> of efficient gas fireplaces which are replacing less efficient gas fireplaces</w:t>
      </w:r>
      <w:r w:rsidR="00D15E51">
        <w:rPr>
          <w:rFonts w:asciiTheme="minorHAnsi" w:hAnsiTheme="minorHAnsi" w:cstheme="minorHAnsi"/>
          <w:i w:val="0"/>
          <w:color w:val="auto"/>
          <w:szCs w:val="22"/>
        </w:rPr>
        <w:t xml:space="preserve">. Increases in fireplace efficiency (FE) can </w:t>
      </w:r>
      <w:r w:rsidR="006002A6">
        <w:rPr>
          <w:rFonts w:asciiTheme="minorHAnsi" w:hAnsiTheme="minorHAnsi" w:cstheme="minorHAnsi"/>
          <w:i w:val="0"/>
          <w:color w:val="auto"/>
          <w:szCs w:val="22"/>
        </w:rPr>
        <w:t xml:space="preserve">typically </w:t>
      </w:r>
      <w:r w:rsidR="00D15E51">
        <w:rPr>
          <w:rFonts w:asciiTheme="minorHAnsi" w:hAnsiTheme="minorHAnsi" w:cstheme="minorHAnsi"/>
          <w:i w:val="0"/>
          <w:color w:val="auto"/>
          <w:szCs w:val="22"/>
        </w:rPr>
        <w:t xml:space="preserve">be achieved through the addition </w:t>
      </w:r>
      <w:r w:rsidR="006002A6">
        <w:rPr>
          <w:rFonts w:asciiTheme="minorHAnsi" w:hAnsiTheme="minorHAnsi" w:cstheme="minorHAnsi"/>
          <w:i w:val="0"/>
          <w:color w:val="auto"/>
          <w:szCs w:val="22"/>
        </w:rPr>
        <w:t>of the following technologies:</w:t>
      </w:r>
      <w:r w:rsidR="00D15E51">
        <w:rPr>
          <w:rFonts w:asciiTheme="minorHAnsi" w:hAnsiTheme="minorHAnsi" w:cstheme="minorHAnsi"/>
          <w:i w:val="0"/>
          <w:color w:val="auto"/>
          <w:szCs w:val="22"/>
        </w:rPr>
        <w:t xml:space="preserve"> </w:t>
      </w:r>
    </w:p>
    <w:p w14:paraId="607E1EB2" w14:textId="77777777" w:rsidR="006002A6" w:rsidRDefault="00D15E51" w:rsidP="001C5936">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indoor air circulation blower (“blower”), </w:t>
      </w:r>
    </w:p>
    <w:p w14:paraId="1C4E2BB4" w14:textId="77777777" w:rsidR="006002A6" w:rsidRDefault="00D15E51" w:rsidP="001C5936">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power venting (fan in the flue/exhaust), </w:t>
      </w:r>
    </w:p>
    <w:p w14:paraId="62C7F817" w14:textId="77777777" w:rsidR="006002A6" w:rsidRDefault="003062C3" w:rsidP="001C5936">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flue dampers, </w:t>
      </w:r>
    </w:p>
    <w:p w14:paraId="1877F4C4" w14:textId="77777777" w:rsidR="006002A6" w:rsidRDefault="00D15E51" w:rsidP="001C5936">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concentric direct venting, and </w:t>
      </w:r>
    </w:p>
    <w:p w14:paraId="08C74A63" w14:textId="77777777" w:rsidR="006002A6" w:rsidRDefault="00D15E51" w:rsidP="001C5936">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condensing technology. </w:t>
      </w:r>
    </w:p>
    <w:p w14:paraId="47D1913D" w14:textId="77777777" w:rsidR="006002A6" w:rsidRDefault="006002A6" w:rsidP="006002A6">
      <w:pPr>
        <w:pStyle w:val="Reminders"/>
        <w:rPr>
          <w:rFonts w:asciiTheme="minorHAnsi" w:hAnsiTheme="minorHAnsi" w:cstheme="minorHAnsi"/>
          <w:i w:val="0"/>
          <w:color w:val="auto"/>
          <w:szCs w:val="22"/>
        </w:rPr>
      </w:pPr>
    </w:p>
    <w:p w14:paraId="505229E4" w14:textId="676F89B3" w:rsidR="006002A6" w:rsidRDefault="00D15E51" w:rsidP="006002A6">
      <w:pPr>
        <w:pStyle w:val="Reminders"/>
        <w:rPr>
          <w:rFonts w:asciiTheme="minorHAnsi" w:hAnsiTheme="minorHAnsi" w:cstheme="minorHAnsi"/>
          <w:i w:val="0"/>
          <w:color w:val="auto"/>
        </w:rPr>
      </w:pPr>
      <w:r>
        <w:rPr>
          <w:rFonts w:asciiTheme="minorHAnsi" w:hAnsiTheme="minorHAnsi" w:cstheme="minorHAnsi"/>
          <w:i w:val="0"/>
          <w:color w:val="auto"/>
          <w:szCs w:val="22"/>
        </w:rPr>
        <w:t xml:space="preserve">Both the blower and power venting allow for a larger heat exchange area which can extract more heat from the combustion area. After enough heat is extracted condensation can occur which releases the latent heat in the condensate. </w:t>
      </w:r>
      <w:r w:rsidR="003062C3">
        <w:rPr>
          <w:rFonts w:asciiTheme="minorHAnsi" w:hAnsiTheme="minorHAnsi" w:cstheme="minorHAnsi"/>
          <w:i w:val="0"/>
          <w:color w:val="auto"/>
          <w:szCs w:val="22"/>
        </w:rPr>
        <w:t>Flue dampers are us</w:t>
      </w:r>
      <w:r w:rsidR="006002A6">
        <w:rPr>
          <w:rFonts w:asciiTheme="minorHAnsi" w:hAnsiTheme="minorHAnsi" w:cstheme="minorHAnsi"/>
          <w:i w:val="0"/>
          <w:color w:val="auto"/>
          <w:szCs w:val="22"/>
        </w:rPr>
        <w:t>ed to trap hot air</w:t>
      </w:r>
      <w:r w:rsidR="003062C3">
        <w:rPr>
          <w:rFonts w:asciiTheme="minorHAnsi" w:hAnsiTheme="minorHAnsi" w:cstheme="minorHAnsi"/>
          <w:i w:val="0"/>
          <w:color w:val="auto"/>
          <w:szCs w:val="22"/>
        </w:rPr>
        <w:t xml:space="preserve"> w</w:t>
      </w:r>
      <w:r w:rsidR="006002A6">
        <w:rPr>
          <w:rFonts w:asciiTheme="minorHAnsi" w:hAnsiTheme="minorHAnsi" w:cstheme="minorHAnsi"/>
          <w:i w:val="0"/>
          <w:color w:val="auto"/>
          <w:szCs w:val="22"/>
        </w:rPr>
        <w:t xml:space="preserve">ithin the fireplace after the burner has stopped firing, which allows more heat to transfer to the </w:t>
      </w:r>
      <w:r w:rsidR="00E64671">
        <w:rPr>
          <w:rFonts w:asciiTheme="minorHAnsi" w:hAnsiTheme="minorHAnsi" w:cstheme="minorHAnsi"/>
          <w:i w:val="0"/>
          <w:color w:val="auto"/>
          <w:szCs w:val="22"/>
        </w:rPr>
        <w:t xml:space="preserve">building </w:t>
      </w:r>
      <w:r w:rsidR="006002A6">
        <w:rPr>
          <w:rFonts w:asciiTheme="minorHAnsi" w:hAnsiTheme="minorHAnsi" w:cstheme="minorHAnsi"/>
          <w:i w:val="0"/>
          <w:color w:val="auto"/>
          <w:szCs w:val="22"/>
        </w:rPr>
        <w:t xml:space="preserve">than if the air were to vent </w:t>
      </w:r>
      <w:r w:rsidR="006002A6">
        <w:rPr>
          <w:rFonts w:asciiTheme="minorHAnsi" w:hAnsiTheme="minorHAnsi" w:cstheme="minorHAnsi"/>
          <w:i w:val="0"/>
          <w:color w:val="auto"/>
          <w:szCs w:val="22"/>
        </w:rPr>
        <w:lastRenderedPageBreak/>
        <w:t xml:space="preserve">naturally. </w:t>
      </w:r>
      <w:r>
        <w:rPr>
          <w:rFonts w:asciiTheme="minorHAnsi" w:hAnsiTheme="minorHAnsi" w:cstheme="minorHAnsi"/>
          <w:i w:val="0"/>
          <w:color w:val="auto"/>
          <w:szCs w:val="22"/>
        </w:rPr>
        <w:t xml:space="preserve">Concentric direct venting preheats the incoming combustion air allowing for a more efficient burn of the gas. Increased FE’s directly result in energy savings during the operation of a fireplace. When the fireplace does not have the full flame ON, either a continuously operating pilot light (CPL) or an intermittent pilot light (IPL) ignition system is operating. A CPL ignition system is constantly burning gas to </w:t>
      </w:r>
      <w:r w:rsidR="00E64671">
        <w:rPr>
          <w:rFonts w:asciiTheme="minorHAnsi" w:hAnsiTheme="minorHAnsi" w:cstheme="minorHAnsi"/>
          <w:i w:val="0"/>
          <w:color w:val="auto"/>
          <w:szCs w:val="22"/>
        </w:rPr>
        <w:t xml:space="preserve">enable </w:t>
      </w:r>
      <w:r>
        <w:rPr>
          <w:rFonts w:asciiTheme="minorHAnsi" w:hAnsiTheme="minorHAnsi" w:cstheme="minorHAnsi"/>
          <w:i w:val="0"/>
          <w:color w:val="auto"/>
          <w:szCs w:val="22"/>
        </w:rPr>
        <w:t>ignit</w:t>
      </w:r>
      <w:r w:rsidR="00E64671">
        <w:rPr>
          <w:rFonts w:asciiTheme="minorHAnsi" w:hAnsiTheme="minorHAnsi" w:cstheme="minorHAnsi"/>
          <w:i w:val="0"/>
          <w:color w:val="auto"/>
          <w:szCs w:val="22"/>
        </w:rPr>
        <w:t>ion of</w:t>
      </w:r>
      <w:r>
        <w:rPr>
          <w:rFonts w:asciiTheme="minorHAnsi" w:hAnsiTheme="minorHAnsi" w:cstheme="minorHAnsi"/>
          <w:i w:val="0"/>
          <w:color w:val="auto"/>
          <w:szCs w:val="22"/>
        </w:rPr>
        <w:t xml:space="preserve"> the burner in the event of a burner ON signal.  An IPL system ignites the pilot when a burner ON signal is received and then the pilot light ignites the burner. The CPL system can be operated without electricity and the IPL system requires an electrical supply</w:t>
      </w:r>
      <w:r w:rsidR="00E64671">
        <w:rPr>
          <w:rFonts w:asciiTheme="minorHAnsi" w:hAnsiTheme="minorHAnsi" w:cstheme="minorHAnsi"/>
          <w:i w:val="0"/>
          <w:color w:val="auto"/>
          <w:szCs w:val="22"/>
        </w:rPr>
        <w:t xml:space="preserve"> from either </w:t>
      </w:r>
      <w:r w:rsidRPr="006002A6">
        <w:rPr>
          <w:rFonts w:asciiTheme="minorHAnsi" w:hAnsiTheme="minorHAnsi" w:cstheme="minorHAnsi"/>
          <w:i w:val="0"/>
          <w:color w:val="auto"/>
          <w:szCs w:val="22"/>
        </w:rPr>
        <w:t xml:space="preserve">a battery or </w:t>
      </w:r>
      <w:r w:rsidR="00E64671">
        <w:rPr>
          <w:rFonts w:asciiTheme="minorHAnsi" w:hAnsiTheme="minorHAnsi" w:cstheme="minorHAnsi"/>
          <w:i w:val="0"/>
          <w:color w:val="auto"/>
          <w:szCs w:val="22"/>
        </w:rPr>
        <w:t xml:space="preserve">hardwired into the building’s electricity </w:t>
      </w:r>
      <w:r w:rsidRPr="006002A6">
        <w:rPr>
          <w:rFonts w:asciiTheme="minorHAnsi" w:hAnsiTheme="minorHAnsi" w:cstheme="minorHAnsi"/>
          <w:i w:val="0"/>
          <w:color w:val="auto"/>
          <w:szCs w:val="22"/>
        </w:rPr>
        <w:t>supply.</w:t>
      </w:r>
      <w:r w:rsidR="006002A6" w:rsidRPr="006002A6">
        <w:rPr>
          <w:rFonts w:asciiTheme="minorHAnsi" w:hAnsiTheme="minorHAnsi" w:cstheme="minorHAnsi"/>
          <w:i w:val="0"/>
          <w:color w:val="auto"/>
          <w:szCs w:val="22"/>
        </w:rPr>
        <w:t xml:space="preserve">  </w:t>
      </w:r>
      <w:r w:rsidR="006002A6" w:rsidRPr="006002A6">
        <w:rPr>
          <w:rFonts w:asciiTheme="minorHAnsi" w:hAnsiTheme="minorHAnsi" w:cstheme="minorHAnsi"/>
          <w:i w:val="0"/>
          <w:color w:val="auto"/>
        </w:rPr>
        <w:t xml:space="preserve">The measures in this workpaper are not </w:t>
      </w:r>
      <w:r w:rsidR="00E64671">
        <w:rPr>
          <w:rFonts w:asciiTheme="minorHAnsi" w:hAnsiTheme="minorHAnsi" w:cstheme="minorHAnsi"/>
          <w:i w:val="0"/>
          <w:color w:val="auto"/>
        </w:rPr>
        <w:t xml:space="preserve">distinguished </w:t>
      </w:r>
      <w:r w:rsidR="006002A6" w:rsidRPr="006002A6">
        <w:rPr>
          <w:rFonts w:asciiTheme="minorHAnsi" w:hAnsiTheme="minorHAnsi" w:cstheme="minorHAnsi"/>
          <w:i w:val="0"/>
          <w:color w:val="auto"/>
        </w:rPr>
        <w:t xml:space="preserve">by technology but </w:t>
      </w:r>
      <w:r w:rsidR="00E64671">
        <w:rPr>
          <w:rFonts w:asciiTheme="minorHAnsi" w:hAnsiTheme="minorHAnsi" w:cstheme="minorHAnsi"/>
          <w:i w:val="0"/>
          <w:color w:val="auto"/>
        </w:rPr>
        <w:t xml:space="preserve">rather </w:t>
      </w:r>
      <w:r w:rsidR="006002A6" w:rsidRPr="006002A6">
        <w:rPr>
          <w:rFonts w:asciiTheme="minorHAnsi" w:hAnsiTheme="minorHAnsi" w:cstheme="minorHAnsi"/>
          <w:i w:val="0"/>
          <w:color w:val="auto"/>
        </w:rPr>
        <w:t>by FE. Therefore, they are technology independent</w:t>
      </w:r>
      <w:r w:rsidR="00B76FD4">
        <w:rPr>
          <w:rFonts w:asciiTheme="minorHAnsi" w:hAnsiTheme="minorHAnsi" w:cstheme="minorHAnsi"/>
          <w:i w:val="0"/>
          <w:color w:val="auto"/>
        </w:rPr>
        <w:t xml:space="preserve"> though specific technologies are typically used to reach higher FE levels</w:t>
      </w:r>
      <w:r w:rsidR="006002A6" w:rsidRPr="006002A6">
        <w:rPr>
          <w:rFonts w:asciiTheme="minorHAnsi" w:hAnsiTheme="minorHAnsi" w:cstheme="minorHAnsi"/>
          <w:i w:val="0"/>
          <w:color w:val="auto"/>
        </w:rPr>
        <w:t>.</w:t>
      </w:r>
    </w:p>
    <w:p w14:paraId="6CB98542" w14:textId="77777777" w:rsidR="006002A6" w:rsidRDefault="006002A6" w:rsidP="006002A6">
      <w:pPr>
        <w:pStyle w:val="Reminders"/>
        <w:rPr>
          <w:rFonts w:asciiTheme="minorHAnsi" w:hAnsiTheme="minorHAnsi" w:cstheme="minorHAnsi"/>
          <w:i w:val="0"/>
          <w:color w:val="auto"/>
        </w:rPr>
      </w:pPr>
    </w:p>
    <w:p w14:paraId="667A8D23" w14:textId="1284953E" w:rsidR="00DC3F10" w:rsidRPr="003F69BA" w:rsidRDefault="006002A6" w:rsidP="006002A6">
      <w:pPr>
        <w:pStyle w:val="Reminders"/>
        <w:rPr>
          <w:rFonts w:asciiTheme="minorHAnsi" w:hAnsiTheme="minorHAnsi" w:cstheme="minorHAnsi"/>
          <w:i w:val="0"/>
          <w:color w:val="auto"/>
        </w:rPr>
      </w:pPr>
      <w:r>
        <w:rPr>
          <w:rFonts w:asciiTheme="minorHAnsi" w:hAnsiTheme="minorHAnsi" w:cstheme="minorHAnsi"/>
          <w:i w:val="0"/>
          <w:color w:val="auto"/>
        </w:rPr>
        <w:t xml:space="preserve">The energy savings calculated </w:t>
      </w:r>
      <w:r w:rsidRPr="00784343">
        <w:rPr>
          <w:rFonts w:asciiTheme="minorHAnsi" w:hAnsiTheme="minorHAnsi" w:cstheme="minorHAnsi"/>
          <w:i w:val="0"/>
          <w:color w:val="auto"/>
        </w:rPr>
        <w:t>in section 2</w:t>
      </w:r>
      <w:r w:rsidR="00312E6C" w:rsidRPr="00784343">
        <w:rPr>
          <w:rFonts w:asciiTheme="minorHAnsi" w:hAnsiTheme="minorHAnsi" w:cstheme="minorHAnsi"/>
          <w:i w:val="0"/>
          <w:color w:val="auto"/>
        </w:rPr>
        <w:t xml:space="preserve"> are b</w:t>
      </w:r>
      <w:r w:rsidR="00312E6C">
        <w:rPr>
          <w:rFonts w:asciiTheme="minorHAnsi" w:hAnsiTheme="minorHAnsi" w:cstheme="minorHAnsi"/>
          <w:i w:val="0"/>
          <w:color w:val="auto"/>
        </w:rPr>
        <w:t>ased on an increase in FE and where appropriate also changing from a CPL to a IPL ignition system.</w:t>
      </w:r>
      <w:r w:rsidR="00DC3F10">
        <w:rPr>
          <w:rFonts w:asciiTheme="minorHAnsi" w:hAnsiTheme="minorHAnsi" w:cstheme="minorHAnsi"/>
          <w:i w:val="0"/>
          <w:color w:val="auto"/>
        </w:rPr>
        <w:t xml:space="preserve"> </w:t>
      </w:r>
    </w:p>
    <w:p w14:paraId="12252FA3" w14:textId="77777777" w:rsidR="00697868" w:rsidRPr="00B76FD4" w:rsidRDefault="00697868" w:rsidP="00697868">
      <w:pPr>
        <w:pStyle w:val="Heading2"/>
        <w:rPr>
          <w:rFonts w:asciiTheme="minorHAnsi" w:hAnsiTheme="minorHAnsi"/>
          <w:b w:val="0"/>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1602BD3" w14:textId="6170A8F7" w:rsidR="00E64671" w:rsidRDefault="00E64671" w:rsidP="00DC3F10">
      <w:pPr>
        <w:pStyle w:val="Caption"/>
        <w:keepNext/>
        <w:rPr>
          <w:b w:val="0"/>
        </w:rPr>
      </w:pPr>
      <w:r w:rsidRPr="00B76FD4">
        <w:rPr>
          <w:b w:val="0"/>
        </w:rPr>
        <w:t xml:space="preserve">Different installation types are considered as described </w:t>
      </w:r>
      <w:r w:rsidRPr="00A215BF">
        <w:rPr>
          <w:b w:val="0"/>
        </w:rPr>
        <w:t xml:space="preserve">in </w:t>
      </w:r>
      <w:r w:rsidR="00A215BF" w:rsidRPr="00A215BF">
        <w:rPr>
          <w:b w:val="0"/>
        </w:rPr>
        <w:fldChar w:fldCharType="begin"/>
      </w:r>
      <w:r w:rsidR="00A215BF" w:rsidRPr="00A215BF">
        <w:rPr>
          <w:b w:val="0"/>
        </w:rPr>
        <w:instrText xml:space="preserve"> REF _Ref531872659 \h </w:instrText>
      </w:r>
      <w:r w:rsidR="00A215BF" w:rsidRPr="00555049">
        <w:rPr>
          <w:b w:val="0"/>
        </w:rPr>
        <w:instrText xml:space="preserve"> \* MERGEFORMAT </w:instrText>
      </w:r>
      <w:r w:rsidR="00A215BF" w:rsidRPr="00A215BF">
        <w:rPr>
          <w:b w:val="0"/>
        </w:rPr>
      </w:r>
      <w:r w:rsidR="00A215BF" w:rsidRPr="00A215BF">
        <w:rPr>
          <w:b w:val="0"/>
        </w:rPr>
        <w:fldChar w:fldCharType="separate"/>
      </w:r>
      <w:r w:rsidR="000B78F6" w:rsidRPr="000B78F6">
        <w:rPr>
          <w:b w:val="0"/>
        </w:rPr>
        <w:t xml:space="preserve">Table </w:t>
      </w:r>
      <w:r w:rsidR="000B78F6" w:rsidRPr="000B78F6">
        <w:rPr>
          <w:b w:val="0"/>
          <w:noProof/>
        </w:rPr>
        <w:t>3</w:t>
      </w:r>
      <w:r w:rsidR="00A215BF" w:rsidRPr="00A215BF">
        <w:rPr>
          <w:b w:val="0"/>
        </w:rPr>
        <w:fldChar w:fldCharType="end"/>
      </w:r>
      <w:r w:rsidRPr="00B76FD4">
        <w:rPr>
          <w:b w:val="0"/>
        </w:rPr>
        <w:t>.</w:t>
      </w:r>
    </w:p>
    <w:p w14:paraId="74A2123F" w14:textId="77777777" w:rsidR="00E64671" w:rsidRPr="00E64671" w:rsidRDefault="00E64671" w:rsidP="00B76FD4"/>
    <w:p w14:paraId="1A94AD5A" w14:textId="6A2ABF2F" w:rsidR="00DC3F10" w:rsidRDefault="00DC3F10" w:rsidP="00DC3F10">
      <w:pPr>
        <w:pStyle w:val="Caption"/>
        <w:keepNext/>
      </w:pPr>
      <w:bookmarkStart w:id="10" w:name="_Ref531872659"/>
      <w:r>
        <w:t xml:space="preserve">Table </w:t>
      </w:r>
      <w:fldSimple w:instr=" SEQ Table \* ARABIC ">
        <w:r w:rsidR="000B78F6">
          <w:rPr>
            <w:noProof/>
          </w:rPr>
          <w:t>3</w:t>
        </w:r>
      </w:fldSimple>
      <w:bookmarkEnd w:id="10"/>
      <w:r>
        <w:t>:</w:t>
      </w:r>
      <w:r w:rsidRPr="00DC3F10">
        <w:t xml:space="preserve"> 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36EC0C29" w14:textId="77777777" w:rsidTr="00920905">
        <w:trPr>
          <w:trHeight w:val="20"/>
        </w:trPr>
        <w:tc>
          <w:tcPr>
            <w:tcW w:w="1778" w:type="pct"/>
            <w:vMerge w:val="restart"/>
            <w:shd w:val="clear" w:color="auto" w:fill="D9D9D9" w:themeFill="background1" w:themeFillShade="D9"/>
          </w:tcPr>
          <w:p w14:paraId="2A5D4FE0"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58CE0FC0"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743F2E9C" w14:textId="77777777" w:rsidR="006F1B21" w:rsidRPr="00920905" w:rsidRDefault="006F1B21" w:rsidP="001B2301">
            <w:pPr>
              <w:rPr>
                <w:b/>
                <w:sz w:val="18"/>
                <w:szCs w:val="18"/>
              </w:rPr>
            </w:pPr>
            <w:r w:rsidRPr="00920905">
              <w:rPr>
                <w:b/>
                <w:sz w:val="18"/>
                <w:szCs w:val="18"/>
              </w:rPr>
              <w:t>Life</w:t>
            </w:r>
          </w:p>
        </w:tc>
      </w:tr>
      <w:tr w:rsidR="006F1B21" w:rsidRPr="00500C4E" w14:paraId="7D3FEE08" w14:textId="77777777" w:rsidTr="006F1B21">
        <w:trPr>
          <w:trHeight w:val="20"/>
        </w:trPr>
        <w:tc>
          <w:tcPr>
            <w:tcW w:w="1778" w:type="pct"/>
            <w:vMerge/>
            <w:shd w:val="clear" w:color="auto" w:fill="D9D9D9" w:themeFill="background1" w:themeFillShade="D9"/>
          </w:tcPr>
          <w:p w14:paraId="189B538B" w14:textId="77777777" w:rsidR="006F1B21" w:rsidRPr="00500C4E" w:rsidRDefault="006F1B21" w:rsidP="001B2301">
            <w:pPr>
              <w:rPr>
                <w:sz w:val="18"/>
                <w:szCs w:val="18"/>
              </w:rPr>
            </w:pPr>
          </w:p>
        </w:tc>
        <w:tc>
          <w:tcPr>
            <w:tcW w:w="1107" w:type="pct"/>
            <w:shd w:val="clear" w:color="auto" w:fill="F2F2F2" w:themeFill="background1" w:themeFillShade="F2"/>
          </w:tcPr>
          <w:p w14:paraId="19E0BC63"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DA7E0F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0C6ECDC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11DA42C3"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12417D70" w14:textId="77777777" w:rsidTr="006F1B21">
        <w:trPr>
          <w:trHeight w:val="20"/>
        </w:trPr>
        <w:tc>
          <w:tcPr>
            <w:tcW w:w="1778" w:type="pct"/>
          </w:tcPr>
          <w:p w14:paraId="189B95C8" w14:textId="53B2BBAC" w:rsidR="006F1B21" w:rsidRPr="00500C4E" w:rsidRDefault="004432DD">
            <w:pPr>
              <w:rPr>
                <w:sz w:val="18"/>
                <w:szCs w:val="18"/>
              </w:rPr>
            </w:pPr>
            <w:r>
              <w:rPr>
                <w:sz w:val="18"/>
                <w:szCs w:val="18"/>
              </w:rPr>
              <w:t>Normal Replacement (NR)</w:t>
            </w:r>
            <w:r w:rsidR="002C212F">
              <w:rPr>
                <w:sz w:val="18"/>
                <w:szCs w:val="18"/>
              </w:rPr>
              <w:t xml:space="preserve"> or New Construction (NC)</w:t>
            </w:r>
          </w:p>
        </w:tc>
        <w:tc>
          <w:tcPr>
            <w:tcW w:w="1107" w:type="pct"/>
          </w:tcPr>
          <w:p w14:paraId="23CDCA49" w14:textId="77777777" w:rsidR="006F1B21" w:rsidRPr="00500C4E" w:rsidRDefault="006F1B21" w:rsidP="00E5625D">
            <w:pPr>
              <w:rPr>
                <w:sz w:val="18"/>
                <w:szCs w:val="18"/>
              </w:rPr>
            </w:pPr>
            <w:r w:rsidRPr="00500C4E">
              <w:rPr>
                <w:sz w:val="18"/>
                <w:szCs w:val="18"/>
              </w:rPr>
              <w:t>Above Code or Standard</w:t>
            </w:r>
          </w:p>
        </w:tc>
        <w:tc>
          <w:tcPr>
            <w:tcW w:w="1108" w:type="pct"/>
          </w:tcPr>
          <w:p w14:paraId="28D627F1" w14:textId="77777777" w:rsidR="006F1B21" w:rsidRPr="00500C4E" w:rsidRDefault="006F1B21" w:rsidP="00E5625D">
            <w:pPr>
              <w:rPr>
                <w:sz w:val="18"/>
                <w:szCs w:val="18"/>
              </w:rPr>
            </w:pPr>
            <w:r w:rsidRPr="00500C4E">
              <w:rPr>
                <w:sz w:val="18"/>
                <w:szCs w:val="18"/>
              </w:rPr>
              <w:t>N/A</w:t>
            </w:r>
          </w:p>
        </w:tc>
        <w:tc>
          <w:tcPr>
            <w:tcW w:w="481" w:type="pct"/>
          </w:tcPr>
          <w:p w14:paraId="3AC6FEB9" w14:textId="77777777" w:rsidR="006F1B21" w:rsidRPr="00500C4E" w:rsidRDefault="006F1B21" w:rsidP="00E5625D">
            <w:pPr>
              <w:rPr>
                <w:sz w:val="18"/>
                <w:szCs w:val="18"/>
              </w:rPr>
            </w:pPr>
            <w:r w:rsidRPr="00500C4E">
              <w:rPr>
                <w:sz w:val="18"/>
                <w:szCs w:val="18"/>
              </w:rPr>
              <w:t>EUL</w:t>
            </w:r>
          </w:p>
        </w:tc>
        <w:tc>
          <w:tcPr>
            <w:tcW w:w="526" w:type="pct"/>
          </w:tcPr>
          <w:p w14:paraId="7F26E58E" w14:textId="77777777" w:rsidR="006F1B21" w:rsidRPr="00500C4E" w:rsidRDefault="006F1B21" w:rsidP="00E5625D">
            <w:pPr>
              <w:rPr>
                <w:sz w:val="18"/>
                <w:szCs w:val="18"/>
              </w:rPr>
            </w:pPr>
            <w:r w:rsidRPr="00500C4E">
              <w:rPr>
                <w:sz w:val="18"/>
                <w:szCs w:val="18"/>
              </w:rPr>
              <w:t>N/A</w:t>
            </w:r>
          </w:p>
        </w:tc>
      </w:tr>
      <w:tr w:rsidR="006F1B21" w:rsidRPr="00500C4E" w14:paraId="5B4A4307" w14:textId="77777777" w:rsidTr="006F1B21">
        <w:trPr>
          <w:trHeight w:val="20"/>
        </w:trPr>
        <w:tc>
          <w:tcPr>
            <w:tcW w:w="1778" w:type="pct"/>
          </w:tcPr>
          <w:p w14:paraId="7578ED3B" w14:textId="0AD68942" w:rsidR="006F1B21" w:rsidRPr="00500C4E" w:rsidRDefault="004432DD">
            <w:pPr>
              <w:rPr>
                <w:sz w:val="18"/>
                <w:szCs w:val="18"/>
              </w:rPr>
            </w:pPr>
            <w:r>
              <w:rPr>
                <w:sz w:val="18"/>
                <w:szCs w:val="18"/>
              </w:rPr>
              <w:t>Accelerated Replacement (AR)</w:t>
            </w:r>
          </w:p>
        </w:tc>
        <w:tc>
          <w:tcPr>
            <w:tcW w:w="1107" w:type="pct"/>
          </w:tcPr>
          <w:p w14:paraId="3B31E9BE" w14:textId="77777777" w:rsidR="006F1B21" w:rsidRPr="00500C4E" w:rsidRDefault="006F1B21" w:rsidP="001B2301">
            <w:pPr>
              <w:rPr>
                <w:sz w:val="18"/>
                <w:szCs w:val="18"/>
              </w:rPr>
            </w:pPr>
            <w:r w:rsidRPr="00500C4E">
              <w:rPr>
                <w:sz w:val="18"/>
                <w:szCs w:val="18"/>
              </w:rPr>
              <w:t>Above Customer Existing</w:t>
            </w:r>
          </w:p>
        </w:tc>
        <w:tc>
          <w:tcPr>
            <w:tcW w:w="1108" w:type="pct"/>
          </w:tcPr>
          <w:p w14:paraId="04E0FADD" w14:textId="690173B9" w:rsidR="006F1B21" w:rsidRPr="00500C4E" w:rsidRDefault="004B7D51" w:rsidP="001B2301">
            <w:pPr>
              <w:rPr>
                <w:sz w:val="18"/>
                <w:szCs w:val="18"/>
              </w:rPr>
            </w:pPr>
            <w:r>
              <w:rPr>
                <w:sz w:val="18"/>
                <w:szCs w:val="18"/>
              </w:rPr>
              <w:t>N/A</w:t>
            </w:r>
          </w:p>
        </w:tc>
        <w:tc>
          <w:tcPr>
            <w:tcW w:w="481" w:type="pct"/>
          </w:tcPr>
          <w:p w14:paraId="4604A5C9" w14:textId="77777777" w:rsidR="006F1B21" w:rsidRPr="00500C4E" w:rsidRDefault="006F1B21" w:rsidP="001B2301">
            <w:pPr>
              <w:rPr>
                <w:sz w:val="18"/>
                <w:szCs w:val="18"/>
              </w:rPr>
            </w:pPr>
            <w:r w:rsidRPr="00500C4E">
              <w:rPr>
                <w:sz w:val="18"/>
                <w:szCs w:val="18"/>
              </w:rPr>
              <w:t>RUL</w:t>
            </w:r>
          </w:p>
        </w:tc>
        <w:tc>
          <w:tcPr>
            <w:tcW w:w="526" w:type="pct"/>
          </w:tcPr>
          <w:p w14:paraId="3B58DE05" w14:textId="77777777" w:rsidR="006F1B21" w:rsidRPr="00500C4E" w:rsidRDefault="006F1B21" w:rsidP="001B2301">
            <w:pPr>
              <w:rPr>
                <w:sz w:val="18"/>
                <w:szCs w:val="18"/>
              </w:rPr>
            </w:pPr>
            <w:r w:rsidRPr="00500C4E">
              <w:rPr>
                <w:sz w:val="18"/>
                <w:szCs w:val="18"/>
              </w:rPr>
              <w:t>EUL-RUL</w:t>
            </w:r>
          </w:p>
        </w:tc>
      </w:tr>
    </w:tbl>
    <w:p w14:paraId="09C7718A" w14:textId="77777777" w:rsidR="001B2301" w:rsidRDefault="001B2301" w:rsidP="00697868">
      <w:pPr>
        <w:pStyle w:val="Reminders"/>
        <w:tabs>
          <w:tab w:val="num" w:pos="360"/>
        </w:tabs>
        <w:rPr>
          <w:rFonts w:asciiTheme="minorHAnsi" w:hAnsiTheme="minorHAnsi" w:cstheme="minorHAnsi"/>
          <w:i w:val="0"/>
          <w:szCs w:val="22"/>
        </w:rPr>
      </w:pPr>
    </w:p>
    <w:p w14:paraId="435B6F0F"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25C06792" w14:textId="77777777" w:rsidR="00C05AAF" w:rsidRDefault="00C05AAF" w:rsidP="00920905">
      <w:pPr>
        <w:pStyle w:val="NoSpacing"/>
      </w:pPr>
    </w:p>
    <w:p w14:paraId="4620103A" w14:textId="05E9AC11" w:rsidR="00DC3F10" w:rsidRDefault="00DC3F10" w:rsidP="00DC3F10">
      <w:pPr>
        <w:pStyle w:val="Caption"/>
        <w:keepNext/>
      </w:pPr>
      <w:r>
        <w:t xml:space="preserve">Table </w:t>
      </w:r>
      <w:fldSimple w:instr=" SEQ Table \* ARABIC ">
        <w:r w:rsidR="000B78F6">
          <w:rPr>
            <w:noProof/>
          </w:rPr>
          <w:t>4</w:t>
        </w:r>
      </w:fldSimple>
      <w:r>
        <w:t>:</w:t>
      </w:r>
      <w:r w:rsidRPr="00DC3F10">
        <w:t xml:space="preserve"> 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5AA97CDD" w14:textId="77777777" w:rsidTr="00DC3F10">
        <w:tc>
          <w:tcPr>
            <w:tcW w:w="1297" w:type="pct"/>
            <w:tcBorders>
              <w:bottom w:val="single" w:sz="4" w:space="0" w:color="auto"/>
            </w:tcBorders>
            <w:shd w:val="clear" w:color="auto" w:fill="D9D9D9" w:themeFill="background1" w:themeFillShade="D9"/>
          </w:tcPr>
          <w:p w14:paraId="23BE25DE" w14:textId="77777777" w:rsidR="00C05AAF" w:rsidRPr="00920905" w:rsidRDefault="00C05AAF">
            <w:pPr>
              <w:rPr>
                <w:b/>
                <w:sz w:val="18"/>
                <w:szCs w:val="18"/>
              </w:rPr>
            </w:pPr>
            <w:r w:rsidRPr="00920905">
              <w:rPr>
                <w:b/>
                <w:sz w:val="18"/>
                <w:szCs w:val="18"/>
              </w:rPr>
              <w:t>Delivery Method</w:t>
            </w:r>
          </w:p>
        </w:tc>
        <w:tc>
          <w:tcPr>
            <w:tcW w:w="3703" w:type="pct"/>
            <w:tcBorders>
              <w:bottom w:val="single" w:sz="4" w:space="0" w:color="auto"/>
            </w:tcBorders>
            <w:shd w:val="clear" w:color="auto" w:fill="D9D9D9" w:themeFill="background1" w:themeFillShade="D9"/>
          </w:tcPr>
          <w:p w14:paraId="50BF6C45" w14:textId="77777777" w:rsidR="00C05AAF" w:rsidRPr="00920905" w:rsidRDefault="00C05AAF" w:rsidP="008F6298">
            <w:pPr>
              <w:rPr>
                <w:b/>
                <w:sz w:val="18"/>
                <w:szCs w:val="18"/>
              </w:rPr>
            </w:pPr>
            <w:r w:rsidRPr="00920905">
              <w:rPr>
                <w:b/>
                <w:sz w:val="18"/>
                <w:szCs w:val="18"/>
              </w:rPr>
              <w:t>Description</w:t>
            </w:r>
          </w:p>
        </w:tc>
      </w:tr>
      <w:tr w:rsidR="00C05AAF" w:rsidRPr="00A3164A" w14:paraId="7DBE4D76" w14:textId="77777777" w:rsidTr="00DC3F10">
        <w:tc>
          <w:tcPr>
            <w:tcW w:w="1297" w:type="pct"/>
            <w:tcBorders>
              <w:top w:val="single" w:sz="4" w:space="0" w:color="auto"/>
              <w:left w:val="single" w:sz="4" w:space="0" w:color="auto"/>
              <w:bottom w:val="single" w:sz="4" w:space="0" w:color="auto"/>
              <w:right w:val="single" w:sz="4" w:space="0" w:color="auto"/>
            </w:tcBorders>
          </w:tcPr>
          <w:p w14:paraId="7DFA3C4C"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Borders>
              <w:top w:val="single" w:sz="4" w:space="0" w:color="auto"/>
              <w:left w:val="single" w:sz="4" w:space="0" w:color="auto"/>
              <w:bottom w:val="single" w:sz="4" w:space="0" w:color="auto"/>
              <w:right w:val="single" w:sz="4" w:space="0" w:color="auto"/>
            </w:tcBorders>
          </w:tcPr>
          <w:p w14:paraId="03E8317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40EEF498" w14:textId="77777777" w:rsidR="001B2301" w:rsidRPr="00500C4E" w:rsidRDefault="001B2301" w:rsidP="00920905"/>
    <w:p w14:paraId="389AC22E" w14:textId="025717A3" w:rsidR="00DC3F10" w:rsidRDefault="00DC3F10" w:rsidP="00DC3F10">
      <w:pPr>
        <w:pStyle w:val="Caption"/>
        <w:keepNext/>
      </w:pPr>
      <w:r>
        <w:t xml:space="preserve">Table </w:t>
      </w:r>
      <w:fldSimple w:instr=" SEQ Table \* ARABIC ">
        <w:r w:rsidR="000B78F6">
          <w:rPr>
            <w:noProof/>
          </w:rPr>
          <w:t>5</w:t>
        </w:r>
      </w:fldSimple>
      <w:r>
        <w:t xml:space="preserve">: </w:t>
      </w:r>
      <w:r w:rsidRPr="00DC3F10">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1E1909AB" w14:textId="77777777" w:rsidTr="00920905">
        <w:tc>
          <w:tcPr>
            <w:tcW w:w="1297" w:type="pct"/>
            <w:shd w:val="clear" w:color="auto" w:fill="D9D9D9" w:themeFill="background1" w:themeFillShade="D9"/>
          </w:tcPr>
          <w:p w14:paraId="335D39FA"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1A85E7C4" w14:textId="77777777" w:rsidR="001B2301" w:rsidRPr="00920905" w:rsidRDefault="001B2301" w:rsidP="001B2301">
            <w:pPr>
              <w:rPr>
                <w:b/>
                <w:sz w:val="18"/>
                <w:szCs w:val="18"/>
              </w:rPr>
            </w:pPr>
            <w:r w:rsidRPr="00920905">
              <w:rPr>
                <w:b/>
                <w:sz w:val="18"/>
                <w:szCs w:val="18"/>
              </w:rPr>
              <w:t>Description</w:t>
            </w:r>
          </w:p>
        </w:tc>
      </w:tr>
      <w:tr w:rsidR="001B2301" w:rsidRPr="00A3164A" w14:paraId="4C77132A" w14:textId="77777777" w:rsidTr="00920905">
        <w:tc>
          <w:tcPr>
            <w:tcW w:w="1297" w:type="pct"/>
          </w:tcPr>
          <w:p w14:paraId="421306C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6EF87395"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4B875A8B" w14:textId="77777777" w:rsidR="001B2301" w:rsidRPr="00500C4E" w:rsidRDefault="001B2301"/>
    <w:p w14:paraId="22A962CF" w14:textId="77777777"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574070A5"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DFF958D" w14:textId="40E0C935" w:rsidR="001B43F3" w:rsidRDefault="001B43F3" w:rsidP="001B43F3">
      <w:pPr>
        <w:pStyle w:val="Reminder"/>
        <w:rPr>
          <w:rFonts w:asciiTheme="minorHAnsi" w:hAnsiTheme="minorHAnsi" w:cstheme="minorHAnsi"/>
          <w:i w:val="0"/>
          <w:color w:val="auto"/>
          <w:szCs w:val="22"/>
        </w:rPr>
      </w:pPr>
      <w:bookmarkStart w:id="12" w:name="_Toc385592671"/>
      <w:bookmarkStart w:id="13" w:name="_Toc214003087"/>
      <w:r w:rsidRPr="007B3C16">
        <w:rPr>
          <w:rFonts w:asciiTheme="minorHAnsi" w:hAnsiTheme="minorHAnsi" w:cstheme="minorHAnsi"/>
          <w:i w:val="0"/>
          <w:color w:val="auto"/>
          <w:szCs w:val="22"/>
        </w:rPr>
        <w:t>DEER does not have this type of measure.</w:t>
      </w:r>
    </w:p>
    <w:p w14:paraId="21981BE9" w14:textId="77777777" w:rsidR="009E20EE" w:rsidRPr="007B3C16" w:rsidRDefault="009E20EE" w:rsidP="001B43F3">
      <w:pPr>
        <w:pStyle w:val="Reminder"/>
        <w:rPr>
          <w:rFonts w:cstheme="minorHAnsi"/>
          <w:color w:val="auto"/>
          <w:szCs w:val="22"/>
        </w:rPr>
      </w:pPr>
    </w:p>
    <w:bookmarkEnd w:id="12"/>
    <w:p w14:paraId="442B85E8" w14:textId="5C9635B0" w:rsidR="00DC3F10" w:rsidRDefault="00DC3F10" w:rsidP="00DC3F10">
      <w:pPr>
        <w:pStyle w:val="Caption"/>
        <w:keepNext/>
      </w:pPr>
      <w:r>
        <w:t xml:space="preserve">Table </w:t>
      </w:r>
      <w:fldSimple w:instr=" SEQ Table \* ARABIC ">
        <w:r w:rsidR="000B78F6">
          <w:rPr>
            <w:noProof/>
          </w:rPr>
          <w:t>6</w:t>
        </w:r>
      </w:fldSimple>
      <w:r>
        <w:t xml:space="preserve">: </w:t>
      </w:r>
      <w:r w:rsidRPr="00DC3F10">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1EFE15BE" w14:textId="77777777" w:rsidTr="00920905">
        <w:trPr>
          <w:trHeight w:val="20"/>
        </w:trPr>
        <w:tc>
          <w:tcPr>
            <w:tcW w:w="1548" w:type="pct"/>
            <w:shd w:val="clear" w:color="auto" w:fill="D9D9D9" w:themeFill="background1" w:themeFillShade="D9"/>
          </w:tcPr>
          <w:p w14:paraId="32DA5216"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7C8BEC88"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6C2C9B" w:rsidRPr="00500C4E" w14:paraId="32199E24" w14:textId="77777777" w:rsidTr="00920905">
        <w:trPr>
          <w:trHeight w:val="20"/>
        </w:trPr>
        <w:tc>
          <w:tcPr>
            <w:tcW w:w="1548" w:type="pct"/>
          </w:tcPr>
          <w:p w14:paraId="1494E913" w14:textId="77777777" w:rsidR="006C2C9B" w:rsidRPr="00920905" w:rsidRDefault="006C2C9B" w:rsidP="006C2C9B">
            <w:pPr>
              <w:rPr>
                <w:rFonts w:cs="Arial"/>
                <w:szCs w:val="20"/>
              </w:rPr>
            </w:pPr>
            <w:r w:rsidRPr="00920905">
              <w:rPr>
                <w:rFonts w:cs="Arial"/>
                <w:szCs w:val="20"/>
              </w:rPr>
              <w:lastRenderedPageBreak/>
              <w:t>Modified DEER methodology</w:t>
            </w:r>
          </w:p>
        </w:tc>
        <w:tc>
          <w:tcPr>
            <w:tcW w:w="3452" w:type="pct"/>
          </w:tcPr>
          <w:p w14:paraId="2FBE4995" w14:textId="772715C8" w:rsidR="006C2C9B" w:rsidRPr="00920905" w:rsidRDefault="006C2C9B" w:rsidP="006C2C9B">
            <w:pPr>
              <w:rPr>
                <w:rFonts w:cs="Arial"/>
                <w:b/>
                <w:color w:val="FF0000"/>
                <w:szCs w:val="20"/>
              </w:rPr>
            </w:pPr>
            <w:r w:rsidRPr="007B3C16">
              <w:rPr>
                <w:rFonts w:cs="Arial"/>
                <w:szCs w:val="20"/>
              </w:rPr>
              <w:t>No</w:t>
            </w:r>
          </w:p>
        </w:tc>
      </w:tr>
      <w:tr w:rsidR="006C2C9B" w:rsidRPr="00500C4E" w14:paraId="72086212" w14:textId="77777777" w:rsidTr="00920905">
        <w:trPr>
          <w:trHeight w:val="20"/>
        </w:trPr>
        <w:tc>
          <w:tcPr>
            <w:tcW w:w="1548" w:type="pct"/>
          </w:tcPr>
          <w:p w14:paraId="1BD489B9" w14:textId="77777777" w:rsidR="006C2C9B" w:rsidRPr="00920905" w:rsidRDefault="006C2C9B" w:rsidP="006C2C9B">
            <w:pPr>
              <w:rPr>
                <w:rFonts w:cs="Arial"/>
                <w:szCs w:val="20"/>
              </w:rPr>
            </w:pPr>
            <w:r w:rsidRPr="00920905">
              <w:rPr>
                <w:rFonts w:cs="Arial"/>
                <w:szCs w:val="20"/>
              </w:rPr>
              <w:t>Scaled DEER measure</w:t>
            </w:r>
          </w:p>
        </w:tc>
        <w:tc>
          <w:tcPr>
            <w:tcW w:w="3452" w:type="pct"/>
          </w:tcPr>
          <w:p w14:paraId="43B42BFD" w14:textId="6C09F2D7" w:rsidR="006C2C9B" w:rsidRPr="00920905" w:rsidRDefault="006C2C9B" w:rsidP="006C2C9B">
            <w:pPr>
              <w:rPr>
                <w:rFonts w:cs="Arial"/>
                <w:color w:val="FF0000"/>
                <w:szCs w:val="20"/>
              </w:rPr>
            </w:pPr>
            <w:r w:rsidRPr="007B3C16">
              <w:rPr>
                <w:rFonts w:cs="Arial"/>
                <w:szCs w:val="20"/>
              </w:rPr>
              <w:t>No</w:t>
            </w:r>
          </w:p>
        </w:tc>
      </w:tr>
      <w:tr w:rsidR="006C2C9B" w:rsidRPr="00500C4E" w14:paraId="64113765" w14:textId="77777777" w:rsidTr="00920905">
        <w:trPr>
          <w:trHeight w:val="20"/>
        </w:trPr>
        <w:tc>
          <w:tcPr>
            <w:tcW w:w="1548" w:type="pct"/>
          </w:tcPr>
          <w:p w14:paraId="46A75296"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1C181CAF" w14:textId="69E4A74E" w:rsidR="006C2C9B" w:rsidRPr="00920905" w:rsidRDefault="006C2C9B" w:rsidP="006C2C9B">
            <w:pPr>
              <w:rPr>
                <w:rFonts w:cs="Arial"/>
                <w:color w:val="FF0000"/>
                <w:szCs w:val="20"/>
              </w:rPr>
            </w:pPr>
            <w:r w:rsidRPr="007B3C16">
              <w:rPr>
                <w:rFonts w:cs="Arial"/>
                <w:szCs w:val="20"/>
              </w:rPr>
              <w:t>No</w:t>
            </w:r>
          </w:p>
        </w:tc>
      </w:tr>
      <w:tr w:rsidR="006C2C9B" w:rsidRPr="00500C4E" w14:paraId="1F86C2FA" w14:textId="77777777" w:rsidTr="00920905">
        <w:trPr>
          <w:trHeight w:val="20"/>
        </w:trPr>
        <w:tc>
          <w:tcPr>
            <w:tcW w:w="1548" w:type="pct"/>
          </w:tcPr>
          <w:p w14:paraId="03870506"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6DD856CC" w14:textId="262BDB6D" w:rsidR="006C2C9B" w:rsidRPr="00920905" w:rsidRDefault="006C2C9B" w:rsidP="006C2C9B">
            <w:pPr>
              <w:rPr>
                <w:rFonts w:cs="Arial"/>
                <w:color w:val="FF0000"/>
                <w:szCs w:val="20"/>
              </w:rPr>
            </w:pPr>
            <w:r w:rsidRPr="007B3C16">
              <w:rPr>
                <w:rFonts w:cs="Arial"/>
                <w:szCs w:val="20"/>
              </w:rPr>
              <w:t>No</w:t>
            </w:r>
          </w:p>
        </w:tc>
      </w:tr>
      <w:tr w:rsidR="006C2C9B" w:rsidRPr="00500C4E" w14:paraId="5BB472F6" w14:textId="77777777" w:rsidTr="00920905">
        <w:trPr>
          <w:trHeight w:val="20"/>
        </w:trPr>
        <w:tc>
          <w:tcPr>
            <w:tcW w:w="1548" w:type="pct"/>
          </w:tcPr>
          <w:p w14:paraId="0FF2B5D5"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6D366B04" w14:textId="0257BF58" w:rsidR="006C2C9B" w:rsidRPr="00920905" w:rsidRDefault="006C2C9B" w:rsidP="006C2C9B">
            <w:pPr>
              <w:rPr>
                <w:rFonts w:cs="Arial"/>
                <w:color w:val="FF0000"/>
                <w:szCs w:val="20"/>
              </w:rPr>
            </w:pPr>
            <w:r>
              <w:rPr>
                <w:rFonts w:cs="Arial"/>
                <w:szCs w:val="20"/>
              </w:rPr>
              <w:t>Yes</w:t>
            </w:r>
          </w:p>
        </w:tc>
      </w:tr>
      <w:tr w:rsidR="006C2C9B" w:rsidRPr="00500C4E" w14:paraId="650D715C" w14:textId="77777777" w:rsidTr="00920905">
        <w:trPr>
          <w:trHeight w:val="20"/>
        </w:trPr>
        <w:tc>
          <w:tcPr>
            <w:tcW w:w="1548" w:type="pct"/>
          </w:tcPr>
          <w:p w14:paraId="34AB209C"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240EC0F6" w14:textId="6CDFC0E9" w:rsidR="006C2C9B" w:rsidRPr="00920905" w:rsidRDefault="006C2C9B" w:rsidP="006C2C9B">
            <w:pPr>
              <w:rPr>
                <w:rFonts w:cs="Arial"/>
                <w:color w:val="FF0000"/>
                <w:szCs w:val="20"/>
              </w:rPr>
            </w:pPr>
            <w:r>
              <w:rPr>
                <w:rFonts w:cs="Arial"/>
                <w:szCs w:val="20"/>
              </w:rPr>
              <w:t>Yes</w:t>
            </w:r>
          </w:p>
        </w:tc>
      </w:tr>
      <w:tr w:rsidR="006C2C9B" w:rsidRPr="00500C4E" w14:paraId="100087D3" w14:textId="77777777" w:rsidTr="00920905">
        <w:trPr>
          <w:trHeight w:val="20"/>
        </w:trPr>
        <w:tc>
          <w:tcPr>
            <w:tcW w:w="1548" w:type="pct"/>
          </w:tcPr>
          <w:p w14:paraId="4FC2C803"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7E800303" w14:textId="03C7E3B4" w:rsidR="006C2C9B" w:rsidRPr="00920905" w:rsidDel="00505CEC" w:rsidRDefault="006C2C9B" w:rsidP="006C2C9B">
            <w:pPr>
              <w:rPr>
                <w:rFonts w:cs="Arial"/>
                <w:color w:val="FF0000"/>
                <w:szCs w:val="20"/>
              </w:rPr>
            </w:pPr>
            <w:r w:rsidRPr="007B3C16">
              <w:rPr>
                <w:rFonts w:cs="Arial"/>
                <w:szCs w:val="20"/>
              </w:rPr>
              <w:t>No</w:t>
            </w:r>
          </w:p>
        </w:tc>
      </w:tr>
      <w:tr w:rsidR="006C2C9B" w:rsidRPr="00500C4E" w14:paraId="01C2044F" w14:textId="77777777" w:rsidTr="00920905">
        <w:trPr>
          <w:trHeight w:val="20"/>
        </w:trPr>
        <w:tc>
          <w:tcPr>
            <w:tcW w:w="1548" w:type="pct"/>
          </w:tcPr>
          <w:p w14:paraId="7F675555" w14:textId="77777777" w:rsidR="006C2C9B" w:rsidRPr="00500C4E" w:rsidRDefault="006C2C9B" w:rsidP="006C2C9B">
            <w:pPr>
              <w:rPr>
                <w:rFonts w:cs="Arial"/>
                <w:szCs w:val="20"/>
              </w:rPr>
            </w:pPr>
            <w:r w:rsidRPr="00500C4E">
              <w:rPr>
                <w:rFonts w:cs="Arial"/>
                <w:szCs w:val="20"/>
              </w:rPr>
              <w:t>DEER Version</w:t>
            </w:r>
          </w:p>
        </w:tc>
        <w:tc>
          <w:tcPr>
            <w:tcW w:w="3452" w:type="pct"/>
          </w:tcPr>
          <w:p w14:paraId="3A419A1C" w14:textId="4600924B" w:rsidR="006C2C9B" w:rsidRPr="00500C4E" w:rsidRDefault="006C2C9B" w:rsidP="006C2C9B">
            <w:pPr>
              <w:rPr>
                <w:rFonts w:cs="Arial"/>
                <w:color w:val="FF0000"/>
                <w:szCs w:val="20"/>
              </w:rPr>
            </w:pPr>
            <w:r>
              <w:rPr>
                <w:rFonts w:cs="Arial"/>
                <w:szCs w:val="20"/>
              </w:rPr>
              <w:t>DEER READI v.2.4.8</w:t>
            </w:r>
          </w:p>
        </w:tc>
      </w:tr>
      <w:tr w:rsidR="006C2C9B" w:rsidRPr="00500C4E" w14:paraId="02ECF1B0" w14:textId="77777777" w:rsidTr="00920905">
        <w:trPr>
          <w:trHeight w:val="20"/>
        </w:trPr>
        <w:tc>
          <w:tcPr>
            <w:tcW w:w="1548" w:type="pct"/>
          </w:tcPr>
          <w:p w14:paraId="0B2BFFE7" w14:textId="77777777" w:rsidR="006C2C9B" w:rsidRPr="00920905" w:rsidRDefault="006C2C9B" w:rsidP="006C2C9B">
            <w:pPr>
              <w:rPr>
                <w:rFonts w:cs="Arial"/>
                <w:szCs w:val="20"/>
              </w:rPr>
            </w:pPr>
            <w:r w:rsidRPr="00920905">
              <w:rPr>
                <w:rFonts w:cs="Arial"/>
                <w:szCs w:val="20"/>
              </w:rPr>
              <w:t>Reason for Deviation from DEER</w:t>
            </w:r>
          </w:p>
        </w:tc>
        <w:tc>
          <w:tcPr>
            <w:tcW w:w="3452" w:type="pct"/>
          </w:tcPr>
          <w:p w14:paraId="3204F30C" w14:textId="53CDD950" w:rsidR="006C2C9B" w:rsidRPr="00920905" w:rsidRDefault="006C2C9B" w:rsidP="006C2C9B">
            <w:pPr>
              <w:rPr>
                <w:rFonts w:cs="Arial"/>
                <w:color w:val="FF0000"/>
                <w:szCs w:val="20"/>
              </w:rPr>
            </w:pPr>
            <w:r>
              <w:rPr>
                <w:rFonts w:cs="Arial"/>
                <w:szCs w:val="20"/>
              </w:rPr>
              <w:t>DEER does not</w:t>
            </w:r>
            <w:r w:rsidRPr="007B3C16">
              <w:rPr>
                <w:rFonts w:cs="Arial"/>
                <w:szCs w:val="20"/>
              </w:rPr>
              <w:t xml:space="preserve"> contain this type of measure.</w:t>
            </w:r>
          </w:p>
        </w:tc>
      </w:tr>
      <w:tr w:rsidR="006C2C9B" w:rsidRPr="00500C4E" w14:paraId="6668DBF0" w14:textId="77777777" w:rsidTr="00920905">
        <w:trPr>
          <w:trHeight w:val="20"/>
        </w:trPr>
        <w:tc>
          <w:tcPr>
            <w:tcW w:w="1548" w:type="pct"/>
          </w:tcPr>
          <w:p w14:paraId="5700AB77" w14:textId="77777777" w:rsidR="006C2C9B" w:rsidRPr="00920905" w:rsidRDefault="006C2C9B" w:rsidP="006C2C9B">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4FBED11B" w14:textId="525FD0F9" w:rsidR="006C2C9B" w:rsidRPr="00920905" w:rsidRDefault="006C2C9B" w:rsidP="006C2C9B">
            <w:pPr>
              <w:rPr>
                <w:rFonts w:cs="Arial"/>
                <w:color w:val="FF0000"/>
                <w:szCs w:val="20"/>
              </w:rPr>
            </w:pPr>
            <w:r w:rsidRPr="007B3C16">
              <w:rPr>
                <w:rFonts w:cs="Arial"/>
                <w:szCs w:val="20"/>
              </w:rPr>
              <w:t>N/A</w:t>
            </w:r>
          </w:p>
        </w:tc>
      </w:tr>
    </w:tbl>
    <w:p w14:paraId="5912976F" w14:textId="69114967" w:rsidR="006C2C9B" w:rsidRPr="006C2C9B" w:rsidRDefault="006C2C9B" w:rsidP="006C2C9B"/>
    <w:p w14:paraId="739BC9A6"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65163FA" w14:textId="297EB5FF" w:rsidR="000968C6" w:rsidRDefault="04134B42" w:rsidP="00920905">
      <w:pPr>
        <w:pStyle w:val="NoSpacing"/>
      </w:pPr>
      <w:r>
        <w:t>The NTG values were obtained using the DEER READI tool. The relevant NTG values for the measures in this work paper are in the table below.</w:t>
      </w:r>
    </w:p>
    <w:p w14:paraId="607D4461" w14:textId="77777777" w:rsidR="00DC3F10" w:rsidRPr="00920905" w:rsidRDefault="00DC3F10" w:rsidP="00920905">
      <w:pPr>
        <w:pStyle w:val="NoSpacing"/>
      </w:pPr>
    </w:p>
    <w:p w14:paraId="6EDB558D" w14:textId="21B010A9" w:rsidR="00DC3F10" w:rsidRDefault="00DC3F10" w:rsidP="00DC3F10">
      <w:pPr>
        <w:pStyle w:val="Caption"/>
        <w:keepNext/>
      </w:pPr>
      <w:r>
        <w:t xml:space="preserve">Table </w:t>
      </w:r>
      <w:fldSimple w:instr=" SEQ Table \* ARABIC ">
        <w:r w:rsidR="000B78F6">
          <w:rPr>
            <w:noProof/>
          </w:rPr>
          <w:t>7</w:t>
        </w:r>
      </w:fldSimple>
      <w:r>
        <w:t>: NTGR</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1DD79AB0" w14:textId="77777777" w:rsidTr="04134B42">
        <w:tc>
          <w:tcPr>
            <w:tcW w:w="673" w:type="pct"/>
            <w:shd w:val="clear" w:color="auto" w:fill="D9D9D9" w:themeFill="background1" w:themeFillShade="D9"/>
          </w:tcPr>
          <w:p w14:paraId="0B754916"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2D818D9C"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E22717C"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6A689DC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A78CAAE"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17045FB0"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1C5936" w:rsidRPr="00500C4E" w14:paraId="46C96975" w14:textId="77777777" w:rsidTr="04134B42">
        <w:tc>
          <w:tcPr>
            <w:tcW w:w="673" w:type="pct"/>
          </w:tcPr>
          <w:p w14:paraId="73560ACE" w14:textId="69C0DAE5" w:rsidR="001C5936" w:rsidRPr="00500C4E" w:rsidRDefault="00C03B41" w:rsidP="001C5936">
            <w:pPr>
              <w:rPr>
                <w:color w:val="FF0000"/>
                <w:szCs w:val="20"/>
              </w:rPr>
            </w:pPr>
            <w:r>
              <w:t>All-Default ≤ 2 years</w:t>
            </w:r>
          </w:p>
        </w:tc>
        <w:tc>
          <w:tcPr>
            <w:tcW w:w="2019" w:type="pct"/>
          </w:tcPr>
          <w:p w14:paraId="46E97BDE" w14:textId="269A7FCD" w:rsidR="001C5936" w:rsidRPr="00500C4E" w:rsidRDefault="00C03B41" w:rsidP="001C5936">
            <w:pPr>
              <w:rPr>
                <w:color w:val="FF0000"/>
                <w:szCs w:val="20"/>
              </w:rPr>
            </w:pPr>
            <w:r w:rsidRPr="00F83D54">
              <w:rPr>
                <w:szCs w:val="20"/>
              </w:rPr>
              <w:t>Measures not covered by other NTG values and measure technology type has been available in marketplace for 2 years or less</w:t>
            </w:r>
            <w:r>
              <w:rPr>
                <w:szCs w:val="20"/>
              </w:rPr>
              <w:t>.</w:t>
            </w:r>
          </w:p>
        </w:tc>
        <w:tc>
          <w:tcPr>
            <w:tcW w:w="434" w:type="pct"/>
          </w:tcPr>
          <w:p w14:paraId="0641D762" w14:textId="05BB8A11" w:rsidR="001C5936" w:rsidRPr="00500C4E" w:rsidRDefault="001C5936" w:rsidP="001C5936">
            <w:pPr>
              <w:rPr>
                <w:color w:val="FF0000"/>
                <w:szCs w:val="20"/>
              </w:rPr>
            </w:pPr>
            <w:r w:rsidRPr="000D2FED">
              <w:rPr>
                <w:szCs w:val="20"/>
              </w:rPr>
              <w:t>Any</w:t>
            </w:r>
          </w:p>
        </w:tc>
        <w:tc>
          <w:tcPr>
            <w:tcW w:w="529" w:type="pct"/>
          </w:tcPr>
          <w:p w14:paraId="26F07503" w14:textId="1C64E9C7" w:rsidR="001C5936" w:rsidRPr="00500C4E" w:rsidRDefault="001C5936" w:rsidP="001C5936">
            <w:pPr>
              <w:rPr>
                <w:color w:val="FF0000"/>
                <w:szCs w:val="20"/>
              </w:rPr>
            </w:pPr>
            <w:r w:rsidRPr="000D2FED">
              <w:rPr>
                <w:szCs w:val="20"/>
              </w:rPr>
              <w:t>Any</w:t>
            </w:r>
          </w:p>
        </w:tc>
        <w:tc>
          <w:tcPr>
            <w:tcW w:w="915" w:type="pct"/>
          </w:tcPr>
          <w:p w14:paraId="71C5C695" w14:textId="6F8DCB4E" w:rsidR="001C5936" w:rsidRPr="00500C4E" w:rsidRDefault="04134B42" w:rsidP="001C5936">
            <w:pPr>
              <w:rPr>
                <w:color w:val="FF0000"/>
                <w:szCs w:val="20"/>
              </w:rPr>
            </w:pPr>
            <w:r>
              <w:t>Any</w:t>
            </w:r>
          </w:p>
        </w:tc>
        <w:tc>
          <w:tcPr>
            <w:tcW w:w="430" w:type="pct"/>
          </w:tcPr>
          <w:p w14:paraId="4B6041CE" w14:textId="10259193" w:rsidR="001C5936" w:rsidRPr="00500C4E" w:rsidRDefault="001C5936" w:rsidP="001C5936">
            <w:pPr>
              <w:rPr>
                <w:color w:val="FF0000"/>
                <w:szCs w:val="20"/>
              </w:rPr>
            </w:pPr>
            <w:r w:rsidRPr="000D2FED">
              <w:rPr>
                <w:szCs w:val="20"/>
              </w:rPr>
              <w:t>0.</w:t>
            </w:r>
            <w:r w:rsidR="00C03B41">
              <w:rPr>
                <w:szCs w:val="20"/>
              </w:rPr>
              <w:t>7</w:t>
            </w:r>
          </w:p>
        </w:tc>
      </w:tr>
    </w:tbl>
    <w:p w14:paraId="51FC1F44" w14:textId="77777777" w:rsidR="001C5936" w:rsidRPr="00920905" w:rsidRDefault="001C5936" w:rsidP="000968C6">
      <w:pPr>
        <w:pStyle w:val="Reminders"/>
        <w:rPr>
          <w:rFonts w:asciiTheme="minorHAnsi" w:hAnsiTheme="minorHAnsi" w:cstheme="minorHAnsi"/>
          <w:i w:val="0"/>
          <w:szCs w:val="22"/>
        </w:rPr>
      </w:pPr>
    </w:p>
    <w:p w14:paraId="78366F6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B5D181D" w14:textId="77777777" w:rsidR="003003EC" w:rsidRPr="00500C4E" w:rsidRDefault="04134B42" w:rsidP="04134B42">
      <w:pPr>
        <w:pStyle w:val="Reminders"/>
        <w:rPr>
          <w:rFonts w:asciiTheme="minorHAnsi" w:hAnsiTheme="minorHAnsi" w:cstheme="minorBidi"/>
          <w:i w:val="0"/>
          <w:color w:val="auto"/>
        </w:rPr>
      </w:pPr>
      <w:r w:rsidRPr="04134B42">
        <w:rPr>
          <w:rFonts w:asciiTheme="minorHAnsi" w:hAnsiTheme="minorHAnsi" w:cstheme="minorBidi"/>
          <w:i w:val="0"/>
          <w:color w:val="auto"/>
        </w:rPr>
        <w:t>Spillage rates are not tracked in work papers; they are tracked in an external document which will be supplied to the Commission Staff.</w:t>
      </w:r>
    </w:p>
    <w:p w14:paraId="1D72EBE0" w14:textId="449523FD" w:rsidR="003003EC" w:rsidRPr="00500C4E" w:rsidRDefault="003003EC" w:rsidP="04134B42">
      <w:pPr>
        <w:pStyle w:val="Reminders"/>
        <w:rPr>
          <w:rFonts w:asciiTheme="minorHAnsi" w:hAnsiTheme="minorHAnsi" w:cstheme="minorBidi"/>
          <w:i w:val="0"/>
          <w:color w:val="auto"/>
        </w:rPr>
      </w:pPr>
    </w:p>
    <w:p w14:paraId="5CCFB3F5"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1F9D1388" w14:textId="1B2147FD"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66D3848F" w14:textId="77777777" w:rsidR="00DC3F10" w:rsidRPr="00920905" w:rsidRDefault="00DC3F10" w:rsidP="00920905">
      <w:pPr>
        <w:pStyle w:val="NoSpacing"/>
      </w:pPr>
    </w:p>
    <w:p w14:paraId="7FC879E5" w14:textId="402CA0AF" w:rsidR="00DC3F10" w:rsidRDefault="00DC3F10" w:rsidP="00DC3F10">
      <w:pPr>
        <w:pStyle w:val="Caption"/>
        <w:keepNext/>
      </w:pPr>
      <w:r>
        <w:t xml:space="preserve">Table </w:t>
      </w:r>
      <w:fldSimple w:instr=" SEQ Table \* ARABIC ">
        <w:r w:rsidR="000B78F6">
          <w:rPr>
            <w:noProof/>
          </w:rPr>
          <w:t>8</w:t>
        </w:r>
      </w:fldSimple>
      <w:r>
        <w:t>: GSIA</w:t>
      </w:r>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87393E" w14:paraId="5E41807C" w14:textId="77777777" w:rsidTr="00DC3F10">
        <w:tc>
          <w:tcPr>
            <w:tcW w:w="723" w:type="pct"/>
            <w:shd w:val="clear" w:color="auto" w:fill="D9D9D9" w:themeFill="background1" w:themeFillShade="D9"/>
          </w:tcPr>
          <w:p w14:paraId="68031A73" w14:textId="77777777" w:rsidR="006B4A48" w:rsidRPr="00C34E2B" w:rsidRDefault="00BA2E7E" w:rsidP="005729C8">
            <w:pPr>
              <w:rPr>
                <w:rFonts w:cstheme="minorHAnsi"/>
                <w:b/>
                <w:szCs w:val="20"/>
              </w:rPr>
            </w:pPr>
            <w:r w:rsidRPr="00C34E2B">
              <w:rPr>
                <w:rFonts w:cstheme="minorHAnsi"/>
                <w:b/>
                <w:szCs w:val="20"/>
              </w:rPr>
              <w:t xml:space="preserve">GSIA </w:t>
            </w:r>
            <w:r w:rsidR="00FB2590" w:rsidRPr="00C34E2B">
              <w:rPr>
                <w:rFonts w:cstheme="minorHAnsi"/>
                <w:b/>
                <w:szCs w:val="20"/>
              </w:rPr>
              <w:t>ID</w:t>
            </w:r>
          </w:p>
        </w:tc>
        <w:tc>
          <w:tcPr>
            <w:tcW w:w="1405" w:type="pct"/>
            <w:shd w:val="clear" w:color="auto" w:fill="D9D9D9" w:themeFill="background1" w:themeFillShade="D9"/>
          </w:tcPr>
          <w:p w14:paraId="5A1AAA02" w14:textId="77777777" w:rsidR="006B4A48" w:rsidRPr="00C802DC" w:rsidRDefault="00FB2590" w:rsidP="005729C8">
            <w:pPr>
              <w:rPr>
                <w:rFonts w:cstheme="minorHAnsi"/>
                <w:b/>
                <w:szCs w:val="20"/>
              </w:rPr>
            </w:pPr>
            <w:r w:rsidRPr="00C802DC">
              <w:rPr>
                <w:rFonts w:cstheme="minorHAnsi"/>
                <w:b/>
                <w:szCs w:val="20"/>
              </w:rPr>
              <w:t>Description</w:t>
            </w:r>
          </w:p>
        </w:tc>
        <w:tc>
          <w:tcPr>
            <w:tcW w:w="688" w:type="pct"/>
            <w:shd w:val="clear" w:color="auto" w:fill="D9D9D9" w:themeFill="background1" w:themeFillShade="D9"/>
          </w:tcPr>
          <w:p w14:paraId="4BF8EEB6" w14:textId="77777777" w:rsidR="006B4A48" w:rsidRPr="00C802DC" w:rsidRDefault="00FB2590" w:rsidP="005729C8">
            <w:pPr>
              <w:rPr>
                <w:rFonts w:cstheme="minorHAnsi"/>
                <w:b/>
                <w:szCs w:val="20"/>
              </w:rPr>
            </w:pPr>
            <w:r w:rsidRPr="00C802DC">
              <w:rPr>
                <w:rFonts w:cstheme="minorHAnsi"/>
                <w:b/>
                <w:szCs w:val="20"/>
              </w:rPr>
              <w:t>Sector</w:t>
            </w:r>
          </w:p>
        </w:tc>
        <w:tc>
          <w:tcPr>
            <w:tcW w:w="858" w:type="pct"/>
            <w:shd w:val="clear" w:color="auto" w:fill="D9D9D9" w:themeFill="background1" w:themeFillShade="D9"/>
          </w:tcPr>
          <w:p w14:paraId="27EA89BF" w14:textId="77777777" w:rsidR="006B4A48" w:rsidRPr="00C802DC" w:rsidRDefault="00FB2590" w:rsidP="005729C8">
            <w:pPr>
              <w:rPr>
                <w:rFonts w:cstheme="minorHAnsi"/>
                <w:b/>
                <w:szCs w:val="20"/>
              </w:rPr>
            </w:pPr>
            <w:r w:rsidRPr="00C802DC">
              <w:rPr>
                <w:rFonts w:cstheme="minorHAnsi"/>
                <w:b/>
                <w:szCs w:val="20"/>
              </w:rPr>
              <w:t>BldgType</w:t>
            </w:r>
          </w:p>
        </w:tc>
        <w:tc>
          <w:tcPr>
            <w:tcW w:w="693" w:type="pct"/>
            <w:shd w:val="clear" w:color="auto" w:fill="D9D9D9" w:themeFill="background1" w:themeFillShade="D9"/>
          </w:tcPr>
          <w:p w14:paraId="6BB31EC1" w14:textId="77777777" w:rsidR="006B4A48" w:rsidRPr="00C802DC" w:rsidRDefault="006B4A48" w:rsidP="005729C8">
            <w:pPr>
              <w:rPr>
                <w:rFonts w:cstheme="minorHAnsi"/>
                <w:b/>
                <w:szCs w:val="20"/>
              </w:rPr>
            </w:pPr>
            <w:r w:rsidRPr="00C802DC">
              <w:rPr>
                <w:rFonts w:cstheme="minorHAnsi"/>
                <w:b/>
                <w:szCs w:val="20"/>
              </w:rPr>
              <w:t>ProgDelivID</w:t>
            </w:r>
          </w:p>
        </w:tc>
        <w:tc>
          <w:tcPr>
            <w:tcW w:w="634" w:type="pct"/>
            <w:shd w:val="clear" w:color="auto" w:fill="D9D9D9" w:themeFill="background1" w:themeFillShade="D9"/>
          </w:tcPr>
          <w:p w14:paraId="51AFBF0F" w14:textId="77777777" w:rsidR="006B4A48" w:rsidRPr="00C802DC" w:rsidRDefault="00FB2590" w:rsidP="005729C8">
            <w:pPr>
              <w:rPr>
                <w:rFonts w:cstheme="minorHAnsi"/>
                <w:b/>
                <w:szCs w:val="20"/>
              </w:rPr>
            </w:pPr>
            <w:r w:rsidRPr="00C802DC">
              <w:rPr>
                <w:rFonts w:cstheme="minorHAnsi"/>
                <w:b/>
                <w:szCs w:val="20"/>
              </w:rPr>
              <w:t>GSIAValue</w:t>
            </w:r>
          </w:p>
        </w:tc>
      </w:tr>
      <w:tr w:rsidR="002F4E34" w:rsidRPr="00500C4E" w14:paraId="236152EF" w14:textId="77777777" w:rsidTr="00DC3F10">
        <w:tc>
          <w:tcPr>
            <w:tcW w:w="723" w:type="pct"/>
          </w:tcPr>
          <w:p w14:paraId="11EAED51" w14:textId="77777777" w:rsidR="002F4E34" w:rsidRPr="00C34E2B" w:rsidRDefault="002F4E34" w:rsidP="005729C8">
            <w:pPr>
              <w:rPr>
                <w:szCs w:val="20"/>
              </w:rPr>
            </w:pPr>
            <w:r w:rsidRPr="00C34E2B">
              <w:rPr>
                <w:szCs w:val="20"/>
              </w:rPr>
              <w:t>Def-GSIA</w:t>
            </w:r>
          </w:p>
        </w:tc>
        <w:tc>
          <w:tcPr>
            <w:tcW w:w="1405" w:type="pct"/>
          </w:tcPr>
          <w:p w14:paraId="7C9EEED9" w14:textId="77777777" w:rsidR="002F4E34" w:rsidRPr="00C34E2B" w:rsidRDefault="002F4E34" w:rsidP="005729C8">
            <w:pPr>
              <w:rPr>
                <w:szCs w:val="20"/>
              </w:rPr>
            </w:pPr>
            <w:r w:rsidRPr="00C34E2B">
              <w:rPr>
                <w:szCs w:val="20"/>
              </w:rPr>
              <w:t>Default GSIA values</w:t>
            </w:r>
          </w:p>
        </w:tc>
        <w:tc>
          <w:tcPr>
            <w:tcW w:w="688" w:type="pct"/>
          </w:tcPr>
          <w:p w14:paraId="783E0466" w14:textId="77777777" w:rsidR="002F4E34" w:rsidRPr="00C34E2B" w:rsidRDefault="002F4E34" w:rsidP="005729C8">
            <w:pPr>
              <w:rPr>
                <w:szCs w:val="20"/>
              </w:rPr>
            </w:pPr>
            <w:r w:rsidRPr="00C34E2B">
              <w:rPr>
                <w:szCs w:val="20"/>
              </w:rPr>
              <w:t>Any</w:t>
            </w:r>
          </w:p>
        </w:tc>
        <w:tc>
          <w:tcPr>
            <w:tcW w:w="858" w:type="pct"/>
          </w:tcPr>
          <w:p w14:paraId="7E3BA9C6" w14:textId="77777777" w:rsidR="002F4E34" w:rsidRPr="00C34E2B" w:rsidRDefault="002F4E34" w:rsidP="005729C8">
            <w:pPr>
              <w:rPr>
                <w:szCs w:val="20"/>
              </w:rPr>
            </w:pPr>
            <w:r w:rsidRPr="00C34E2B">
              <w:rPr>
                <w:szCs w:val="20"/>
              </w:rPr>
              <w:t>Any</w:t>
            </w:r>
          </w:p>
        </w:tc>
        <w:tc>
          <w:tcPr>
            <w:tcW w:w="693" w:type="pct"/>
          </w:tcPr>
          <w:p w14:paraId="51ED0059" w14:textId="77777777" w:rsidR="002F4E34" w:rsidRPr="00C34E2B" w:rsidRDefault="002F4E34" w:rsidP="005729C8">
            <w:pPr>
              <w:rPr>
                <w:szCs w:val="20"/>
              </w:rPr>
            </w:pPr>
            <w:r w:rsidRPr="00C34E2B">
              <w:rPr>
                <w:szCs w:val="20"/>
              </w:rPr>
              <w:t>Any</w:t>
            </w:r>
          </w:p>
        </w:tc>
        <w:tc>
          <w:tcPr>
            <w:tcW w:w="634" w:type="pct"/>
          </w:tcPr>
          <w:p w14:paraId="0C333412" w14:textId="77777777" w:rsidR="002F4E34" w:rsidRPr="00C34E2B" w:rsidRDefault="002F4E34" w:rsidP="005729C8">
            <w:pPr>
              <w:rPr>
                <w:szCs w:val="20"/>
              </w:rPr>
            </w:pPr>
            <w:r w:rsidRPr="00C34E2B">
              <w:rPr>
                <w:szCs w:val="20"/>
              </w:rPr>
              <w:t>1</w:t>
            </w:r>
          </w:p>
        </w:tc>
      </w:tr>
    </w:tbl>
    <w:p w14:paraId="67B75DBC" w14:textId="77777777" w:rsidR="006B4A48" w:rsidRPr="00B05647" w:rsidRDefault="006B4A48" w:rsidP="000968C6">
      <w:pPr>
        <w:pStyle w:val="Reminders"/>
        <w:rPr>
          <w:rFonts w:asciiTheme="minorHAnsi" w:hAnsiTheme="minorHAnsi" w:cstheme="minorHAnsi"/>
          <w:b/>
          <w:i w:val="0"/>
          <w:color w:val="auto"/>
          <w:szCs w:val="22"/>
        </w:rPr>
      </w:pPr>
    </w:p>
    <w:p w14:paraId="0093D702"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899988A" w14:textId="0C4E6D6D" w:rsidR="00650AEF" w:rsidRPr="006367AA" w:rsidRDefault="04134B42" w:rsidP="006A6D15">
      <w:pPr>
        <w:pStyle w:val="Reminder"/>
        <w:rPr>
          <w:rFonts w:asciiTheme="minorHAnsi" w:hAnsiTheme="minorHAnsi" w:cstheme="minorHAnsi"/>
          <w:i w:val="0"/>
          <w:color w:val="auto"/>
          <w:szCs w:val="22"/>
        </w:rPr>
      </w:pPr>
      <w:r w:rsidRPr="04134B42">
        <w:rPr>
          <w:rFonts w:asciiTheme="minorHAnsi" w:hAnsiTheme="minorHAnsi" w:cstheme="minorBidi"/>
          <w:i w:val="0"/>
          <w:color w:val="auto"/>
        </w:rPr>
        <w:t xml:space="preserve">The EUL is assumed to be consistent with high-efficiency furnaces, which is 20 years per the DEER database and the RUL values were obtained using the DEER definition that the RUL is 1/3 of the EUL value. The RUL value is only applicable to the second baseline period for an </w:t>
      </w:r>
      <w:r w:rsidR="002C212F">
        <w:rPr>
          <w:rFonts w:asciiTheme="minorHAnsi" w:hAnsiTheme="minorHAnsi" w:cstheme="minorBidi"/>
          <w:i w:val="0"/>
          <w:color w:val="auto"/>
        </w:rPr>
        <w:t>AR</w:t>
      </w:r>
      <w:r w:rsidRPr="04134B42">
        <w:rPr>
          <w:rFonts w:asciiTheme="minorHAnsi" w:hAnsiTheme="minorHAnsi" w:cstheme="minorBidi"/>
          <w:i w:val="0"/>
          <w:color w:val="auto"/>
        </w:rPr>
        <w:t xml:space="preserve"> measure with an applicable baseline. The relevant EUL and RUL values for the measures in this work paper are in the table below. This EUL is also consistent with Northwest Natural’s assessment; see reference in section 1.5.1, above.</w:t>
      </w:r>
    </w:p>
    <w:p w14:paraId="5ECD74E0" w14:textId="43079228" w:rsidR="008B1357" w:rsidRPr="00920905" w:rsidRDefault="008B1357" w:rsidP="00920905">
      <w:pPr>
        <w:pStyle w:val="NoSpacing"/>
      </w:pPr>
    </w:p>
    <w:p w14:paraId="0DA3DFDD" w14:textId="74269006" w:rsidR="00DC3F10" w:rsidRDefault="00DC3F10" w:rsidP="00DC3F10">
      <w:pPr>
        <w:pStyle w:val="Caption"/>
        <w:keepNext/>
      </w:pPr>
      <w:r>
        <w:t xml:space="preserve">Table </w:t>
      </w:r>
      <w:fldSimple w:instr=" SEQ Table \* ARABIC ">
        <w:r w:rsidR="000B78F6">
          <w:rPr>
            <w:noProof/>
          </w:rPr>
          <w:t>9</w:t>
        </w:r>
      </w:fldSimple>
      <w:r>
        <w:t>: EUL</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0995F665" w14:textId="77777777" w:rsidTr="00920905">
        <w:tc>
          <w:tcPr>
            <w:tcW w:w="824" w:type="pct"/>
            <w:shd w:val="clear" w:color="auto" w:fill="D9D9D9" w:themeFill="background1" w:themeFillShade="D9"/>
          </w:tcPr>
          <w:p w14:paraId="0B09900B" w14:textId="77777777" w:rsidR="008B1357" w:rsidRPr="00920905" w:rsidRDefault="008B1357" w:rsidP="00D95DB8">
            <w:pPr>
              <w:keepNext/>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08E7A13C" w14:textId="77777777" w:rsidR="008B1357" w:rsidRPr="00920905" w:rsidRDefault="008B1357" w:rsidP="00D95DB8">
            <w:pPr>
              <w:keepNext/>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392126DB" w14:textId="77777777" w:rsidR="008B1357" w:rsidRPr="00920905" w:rsidRDefault="008B1357" w:rsidP="00D95DB8">
            <w:pPr>
              <w:keepNext/>
              <w:rPr>
                <w:rFonts w:cstheme="minorHAnsi"/>
                <w:b/>
                <w:szCs w:val="20"/>
              </w:rPr>
            </w:pPr>
            <w:r w:rsidRPr="00920905">
              <w:rPr>
                <w:rFonts w:cstheme="minorHAnsi"/>
                <w:b/>
                <w:szCs w:val="20"/>
              </w:rPr>
              <w:t>Sector</w:t>
            </w:r>
          </w:p>
        </w:tc>
        <w:tc>
          <w:tcPr>
            <w:tcW w:w="676" w:type="pct"/>
            <w:shd w:val="clear" w:color="auto" w:fill="D9D9D9" w:themeFill="background1" w:themeFillShade="D9"/>
          </w:tcPr>
          <w:p w14:paraId="47DC71E8" w14:textId="77777777" w:rsidR="008B1357" w:rsidRPr="00920905" w:rsidRDefault="00BA2E7E" w:rsidP="00D95DB8">
            <w:pPr>
              <w:keepNext/>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F0A9CA8" w14:textId="77777777" w:rsidR="008B1357" w:rsidRPr="00920905" w:rsidRDefault="008B1357" w:rsidP="00D95DB8">
            <w:pPr>
              <w:keepNext/>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0528CEE6" w14:textId="77777777" w:rsidR="008B1357" w:rsidRPr="00920905" w:rsidRDefault="008B1357" w:rsidP="00D95DB8">
            <w:pPr>
              <w:keepNext/>
              <w:rPr>
                <w:rFonts w:cstheme="minorHAnsi"/>
                <w:b/>
                <w:szCs w:val="20"/>
              </w:rPr>
            </w:pPr>
            <w:r w:rsidRPr="00920905">
              <w:rPr>
                <w:rFonts w:cstheme="minorHAnsi"/>
                <w:b/>
                <w:szCs w:val="20"/>
              </w:rPr>
              <w:t>RUL (Years)</w:t>
            </w:r>
          </w:p>
        </w:tc>
      </w:tr>
      <w:tr w:rsidR="00BA2E7E" w:rsidRPr="00500C4E" w14:paraId="16DDD00F" w14:textId="77777777" w:rsidTr="00920905">
        <w:trPr>
          <w:trHeight w:val="243"/>
        </w:trPr>
        <w:tc>
          <w:tcPr>
            <w:tcW w:w="824" w:type="pct"/>
          </w:tcPr>
          <w:p w14:paraId="591A33F1" w14:textId="7706B038" w:rsidR="00BA2E7E" w:rsidRPr="00F30A16" w:rsidRDefault="00C802DC" w:rsidP="00BA2E7E">
            <w:pPr>
              <w:rPr>
                <w:szCs w:val="20"/>
              </w:rPr>
            </w:pPr>
            <w:r w:rsidRPr="00F30A16">
              <w:rPr>
                <w:szCs w:val="20"/>
              </w:rPr>
              <w:t>HV-EffFurn</w:t>
            </w:r>
          </w:p>
        </w:tc>
        <w:tc>
          <w:tcPr>
            <w:tcW w:w="1436" w:type="pct"/>
          </w:tcPr>
          <w:p w14:paraId="5D4787AE" w14:textId="56A3590A" w:rsidR="00BA2E7E" w:rsidRPr="00F30A16" w:rsidRDefault="00C802DC" w:rsidP="00BA2E7E">
            <w:pPr>
              <w:rPr>
                <w:szCs w:val="20"/>
              </w:rPr>
            </w:pPr>
            <w:r w:rsidRPr="00F30A16">
              <w:rPr>
                <w:szCs w:val="20"/>
              </w:rPr>
              <w:t>High Efficiency Furnace</w:t>
            </w:r>
          </w:p>
        </w:tc>
        <w:tc>
          <w:tcPr>
            <w:tcW w:w="474" w:type="pct"/>
          </w:tcPr>
          <w:p w14:paraId="1C2D03F7" w14:textId="58E566D8" w:rsidR="00BA2E7E" w:rsidRPr="00F30A16" w:rsidRDefault="006367AA" w:rsidP="00BA2E7E">
            <w:pPr>
              <w:rPr>
                <w:szCs w:val="20"/>
              </w:rPr>
            </w:pPr>
            <w:r w:rsidRPr="00F30A16">
              <w:rPr>
                <w:szCs w:val="20"/>
              </w:rPr>
              <w:t>Res</w:t>
            </w:r>
          </w:p>
        </w:tc>
        <w:tc>
          <w:tcPr>
            <w:tcW w:w="676" w:type="pct"/>
          </w:tcPr>
          <w:p w14:paraId="05FDE7D6" w14:textId="77777777" w:rsidR="00BA2E7E" w:rsidRPr="00F30A16" w:rsidRDefault="00BA2E7E" w:rsidP="00BA2E7E">
            <w:pPr>
              <w:rPr>
                <w:szCs w:val="20"/>
              </w:rPr>
            </w:pPr>
            <w:r w:rsidRPr="00F30A16">
              <w:rPr>
                <w:szCs w:val="20"/>
              </w:rPr>
              <w:t>HVAC</w:t>
            </w:r>
          </w:p>
        </w:tc>
        <w:tc>
          <w:tcPr>
            <w:tcW w:w="813" w:type="pct"/>
          </w:tcPr>
          <w:p w14:paraId="78B3ACB1" w14:textId="539BC8D9" w:rsidR="00BA2E7E" w:rsidRPr="00F30A16" w:rsidRDefault="00C802DC" w:rsidP="00BA2E7E">
            <w:pPr>
              <w:rPr>
                <w:szCs w:val="20"/>
              </w:rPr>
            </w:pPr>
            <w:r w:rsidRPr="00F30A16">
              <w:rPr>
                <w:szCs w:val="20"/>
              </w:rPr>
              <w:t>20</w:t>
            </w:r>
          </w:p>
        </w:tc>
        <w:tc>
          <w:tcPr>
            <w:tcW w:w="777" w:type="pct"/>
          </w:tcPr>
          <w:p w14:paraId="1FF50C19" w14:textId="1A74FC1C" w:rsidR="00BA2E7E" w:rsidRPr="00F30A16" w:rsidRDefault="00C802DC" w:rsidP="00BA2E7E">
            <w:pPr>
              <w:rPr>
                <w:szCs w:val="20"/>
              </w:rPr>
            </w:pPr>
            <w:r w:rsidRPr="00F30A16">
              <w:rPr>
                <w:szCs w:val="20"/>
              </w:rPr>
              <w:t>6.7</w:t>
            </w:r>
          </w:p>
        </w:tc>
      </w:tr>
    </w:tbl>
    <w:p w14:paraId="56839309" w14:textId="77777777"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3"/>
    </w:p>
    <w:p w14:paraId="43094AA4" w14:textId="26D6B98D" w:rsidR="0057218D" w:rsidRDefault="00B614F1" w:rsidP="004F37B4">
      <w:pPr>
        <w:pStyle w:val="Reminders"/>
        <w:rPr>
          <w:rFonts w:asciiTheme="minorHAnsi" w:hAnsiTheme="minorHAnsi" w:cstheme="minorHAnsi"/>
          <w:i w:val="0"/>
          <w:color w:val="auto"/>
          <w:szCs w:val="22"/>
        </w:rPr>
      </w:pPr>
      <w:r w:rsidRPr="007D5991">
        <w:rPr>
          <w:rFonts w:asciiTheme="minorHAnsi" w:hAnsiTheme="minorHAnsi" w:cstheme="minorHAnsi"/>
          <w:i w:val="0"/>
          <w:color w:val="auto"/>
          <w:szCs w:val="22"/>
        </w:rPr>
        <w:t xml:space="preserve"> </w:t>
      </w:r>
      <w:bookmarkStart w:id="14" w:name="_Toc304800207"/>
      <w:bookmarkStart w:id="15" w:name="_Toc324318343"/>
      <w:bookmarkStart w:id="16" w:name="_Toc324340487"/>
      <w:bookmarkStart w:id="17" w:name="_Toc383441992"/>
      <w:bookmarkStart w:id="18" w:name="_Toc214003090"/>
    </w:p>
    <w:p w14:paraId="4D9E756C" w14:textId="56D72E40" w:rsidR="00DC3F10" w:rsidRDefault="00DC3F10" w:rsidP="00DC3F10">
      <w:pPr>
        <w:pStyle w:val="Caption"/>
        <w:keepNext/>
      </w:pPr>
      <w:r>
        <w:t xml:space="preserve">Table </w:t>
      </w:r>
      <w:fldSimple w:instr=" SEQ Table \* ARABIC ">
        <w:r w:rsidR="000B78F6">
          <w:rPr>
            <w:noProof/>
          </w:rPr>
          <w:t>10</w:t>
        </w:r>
      </w:fldSimple>
      <w:r>
        <w:t>: Code Summary</w:t>
      </w:r>
    </w:p>
    <w:tbl>
      <w:tblPr>
        <w:tblStyle w:val="TableGrid1"/>
        <w:tblW w:w="5000" w:type="pct"/>
        <w:tblLook w:val="04A0" w:firstRow="1" w:lastRow="0" w:firstColumn="1" w:lastColumn="0" w:noHBand="0" w:noVBand="1"/>
      </w:tblPr>
      <w:tblGrid>
        <w:gridCol w:w="2159"/>
        <w:gridCol w:w="5070"/>
        <w:gridCol w:w="2121"/>
      </w:tblGrid>
      <w:tr w:rsidR="0057218D" w:rsidRPr="00920905" w14:paraId="178C4C79" w14:textId="77777777" w:rsidTr="00C275FC">
        <w:tc>
          <w:tcPr>
            <w:tcW w:w="1155" w:type="pct"/>
            <w:shd w:val="clear" w:color="auto" w:fill="D9D9D9" w:themeFill="background1" w:themeFillShade="D9"/>
          </w:tcPr>
          <w:p w14:paraId="6A64A9FF" w14:textId="77777777" w:rsidR="0057218D" w:rsidRPr="00920905" w:rsidRDefault="0057218D" w:rsidP="00C275FC">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32DA897C" w14:textId="77777777" w:rsidR="0057218D" w:rsidRPr="00920905" w:rsidRDefault="0057218D" w:rsidP="00C275FC">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04D91877" w14:textId="77777777" w:rsidR="0057218D" w:rsidRPr="00920905" w:rsidRDefault="0057218D" w:rsidP="00C275FC">
            <w:pPr>
              <w:rPr>
                <w:rFonts w:cstheme="minorHAnsi"/>
                <w:b/>
                <w:szCs w:val="20"/>
              </w:rPr>
            </w:pPr>
            <w:r w:rsidRPr="00920905">
              <w:rPr>
                <w:rFonts w:cstheme="minorHAnsi"/>
                <w:b/>
                <w:szCs w:val="20"/>
              </w:rPr>
              <w:t>Effective Date</w:t>
            </w:r>
            <w:r>
              <w:rPr>
                <w:rFonts w:cstheme="minorHAnsi"/>
                <w:b/>
                <w:szCs w:val="20"/>
              </w:rPr>
              <w:t>s</w:t>
            </w:r>
          </w:p>
        </w:tc>
      </w:tr>
      <w:tr w:rsidR="0057218D" w:rsidRPr="00920905" w14:paraId="41A7CA24" w14:textId="77777777" w:rsidTr="00C275FC">
        <w:tc>
          <w:tcPr>
            <w:tcW w:w="1155" w:type="pct"/>
            <w:shd w:val="clear" w:color="auto" w:fill="auto"/>
          </w:tcPr>
          <w:p w14:paraId="7C5E7D1E" w14:textId="77777777" w:rsidR="0057218D" w:rsidRPr="00920905" w:rsidRDefault="0057218D" w:rsidP="00C275FC">
            <w:pPr>
              <w:rPr>
                <w:rFonts w:cstheme="minorHAnsi"/>
                <w:b/>
                <w:szCs w:val="20"/>
              </w:rPr>
            </w:pPr>
            <w:r w:rsidRPr="007D5991">
              <w:rPr>
                <w:rFonts w:cstheme="minorHAnsi"/>
                <w:szCs w:val="20"/>
              </w:rPr>
              <w:t>Title 24 (2016)</w:t>
            </w:r>
          </w:p>
        </w:tc>
        <w:tc>
          <w:tcPr>
            <w:tcW w:w="2711" w:type="pct"/>
            <w:shd w:val="clear" w:color="auto" w:fill="auto"/>
          </w:tcPr>
          <w:p w14:paraId="4FF2ECD2" w14:textId="77777777" w:rsidR="0057218D" w:rsidRDefault="0057218D" w:rsidP="00C275FC">
            <w:pPr>
              <w:rPr>
                <w:rFonts w:cstheme="minorHAnsi"/>
                <w:b/>
                <w:szCs w:val="20"/>
              </w:rPr>
            </w:pPr>
            <w:r w:rsidRPr="007D5991">
              <w:rPr>
                <w:rFonts w:cstheme="minorHAnsi"/>
                <w:szCs w:val="20"/>
              </w:rPr>
              <w:t xml:space="preserve">Section </w:t>
            </w:r>
            <w:r>
              <w:rPr>
                <w:rFonts w:cstheme="minorHAnsi"/>
                <w:szCs w:val="20"/>
              </w:rPr>
              <w:t xml:space="preserve">100.1 </w:t>
            </w:r>
            <w:r w:rsidRPr="001A0506">
              <w:rPr>
                <w:rFonts w:cstheme="minorHAnsi"/>
                <w:szCs w:val="20"/>
              </w:rPr>
              <w:t>DEFINITIONS AND RULES OF CONSTRUCTION</w:t>
            </w:r>
          </w:p>
        </w:tc>
        <w:tc>
          <w:tcPr>
            <w:tcW w:w="1134" w:type="pct"/>
            <w:shd w:val="clear" w:color="auto" w:fill="auto"/>
          </w:tcPr>
          <w:p w14:paraId="3574171F" w14:textId="27361F5B" w:rsidR="0057218D" w:rsidRPr="00D65D98" w:rsidRDefault="00284CE5" w:rsidP="00C275FC">
            <w:pPr>
              <w:rPr>
                <w:rFonts w:cstheme="minorHAnsi"/>
                <w:b/>
                <w:szCs w:val="20"/>
              </w:rPr>
            </w:pPr>
            <w:r w:rsidRPr="00D65D98">
              <w:rPr>
                <w:rFonts w:cstheme="minorHAnsi"/>
                <w:szCs w:val="20"/>
              </w:rPr>
              <w:t>January</w:t>
            </w:r>
            <w:r w:rsidR="0057218D" w:rsidRPr="00D65D98">
              <w:rPr>
                <w:rFonts w:cstheme="minorHAnsi"/>
                <w:szCs w:val="20"/>
              </w:rPr>
              <w:t xml:space="preserve"> 1, 201</w:t>
            </w:r>
            <w:r w:rsidRPr="00D65D98">
              <w:rPr>
                <w:rFonts w:cstheme="minorHAnsi"/>
                <w:szCs w:val="20"/>
              </w:rPr>
              <w:t>7</w:t>
            </w:r>
          </w:p>
        </w:tc>
      </w:tr>
      <w:tr w:rsidR="0057218D" w:rsidRPr="00500C4E" w14:paraId="7F8AA253" w14:textId="77777777" w:rsidTr="00C275FC">
        <w:trPr>
          <w:trHeight w:val="243"/>
        </w:trPr>
        <w:tc>
          <w:tcPr>
            <w:tcW w:w="1155" w:type="pct"/>
          </w:tcPr>
          <w:p w14:paraId="5D02A4AA" w14:textId="77777777" w:rsidR="0057218D" w:rsidRPr="007D5991" w:rsidRDefault="0057218D" w:rsidP="00C275FC">
            <w:pPr>
              <w:rPr>
                <w:rFonts w:cstheme="minorHAnsi"/>
                <w:szCs w:val="20"/>
              </w:rPr>
            </w:pPr>
            <w:r w:rsidRPr="007D5991">
              <w:rPr>
                <w:rFonts w:cstheme="minorHAnsi"/>
                <w:szCs w:val="20"/>
              </w:rPr>
              <w:t>Title 24 (2016)</w:t>
            </w:r>
          </w:p>
        </w:tc>
        <w:tc>
          <w:tcPr>
            <w:tcW w:w="2711" w:type="pct"/>
          </w:tcPr>
          <w:p w14:paraId="4973E294" w14:textId="77777777" w:rsidR="0057218D" w:rsidRPr="007D5991" w:rsidRDefault="0057218D" w:rsidP="00C275FC">
            <w:pPr>
              <w:rPr>
                <w:rFonts w:cstheme="minorHAnsi"/>
                <w:szCs w:val="20"/>
              </w:rPr>
            </w:pPr>
            <w:r w:rsidRPr="007D5991">
              <w:rPr>
                <w:rFonts w:cstheme="minorHAnsi"/>
                <w:szCs w:val="20"/>
              </w:rPr>
              <w:t>Section 110.2(c) MANDATORY REQUIREMENTS FOR SPACE-CONDITIONING EQUIPMENT</w:t>
            </w:r>
          </w:p>
        </w:tc>
        <w:tc>
          <w:tcPr>
            <w:tcW w:w="1134" w:type="pct"/>
          </w:tcPr>
          <w:p w14:paraId="7DC812EA" w14:textId="4C30C0C1" w:rsidR="0057218D" w:rsidRPr="00D65D98" w:rsidRDefault="00284CE5" w:rsidP="00C275FC">
            <w:pPr>
              <w:rPr>
                <w:rFonts w:cstheme="minorHAnsi"/>
                <w:szCs w:val="20"/>
              </w:rPr>
            </w:pPr>
            <w:r w:rsidRPr="00D65D98">
              <w:rPr>
                <w:rFonts w:cstheme="minorHAnsi"/>
                <w:szCs w:val="20"/>
              </w:rPr>
              <w:t>January 1, 2017</w:t>
            </w:r>
          </w:p>
        </w:tc>
      </w:tr>
      <w:tr w:rsidR="0057218D" w:rsidRPr="00500C4E" w14:paraId="013EB624" w14:textId="77777777" w:rsidTr="00C275FC">
        <w:trPr>
          <w:trHeight w:val="243"/>
        </w:trPr>
        <w:tc>
          <w:tcPr>
            <w:tcW w:w="1155" w:type="pct"/>
          </w:tcPr>
          <w:p w14:paraId="04824C28" w14:textId="77777777" w:rsidR="0057218D" w:rsidRPr="007D5991" w:rsidRDefault="0057218D" w:rsidP="00C275FC">
            <w:pPr>
              <w:rPr>
                <w:rFonts w:cstheme="minorHAnsi"/>
                <w:szCs w:val="20"/>
              </w:rPr>
            </w:pPr>
            <w:r w:rsidRPr="007D5991">
              <w:rPr>
                <w:rFonts w:cstheme="minorHAnsi"/>
                <w:szCs w:val="20"/>
              </w:rPr>
              <w:t>Title 24 (2016)</w:t>
            </w:r>
          </w:p>
        </w:tc>
        <w:tc>
          <w:tcPr>
            <w:tcW w:w="2711" w:type="pct"/>
          </w:tcPr>
          <w:p w14:paraId="15B053B4" w14:textId="77777777" w:rsidR="0057218D" w:rsidRPr="007D5991" w:rsidRDefault="0057218D" w:rsidP="00C275FC">
            <w:pPr>
              <w:rPr>
                <w:rFonts w:cstheme="minorHAnsi"/>
                <w:szCs w:val="20"/>
              </w:rPr>
            </w:pPr>
            <w:r w:rsidRPr="007D5991">
              <w:rPr>
                <w:rFonts w:cstheme="minorHAnsi"/>
                <w:szCs w:val="20"/>
              </w:rPr>
              <w:t>Section 150.0(e)</w:t>
            </w:r>
            <w:r w:rsidRPr="007D5991">
              <w:t xml:space="preserve"> </w:t>
            </w:r>
            <w:r w:rsidRPr="007D5991">
              <w:rPr>
                <w:rFonts w:cstheme="minorHAnsi"/>
                <w:szCs w:val="20"/>
              </w:rPr>
              <w:t>MANDATORY FEATURES AND DEVICES</w:t>
            </w:r>
          </w:p>
        </w:tc>
        <w:tc>
          <w:tcPr>
            <w:tcW w:w="1134" w:type="pct"/>
          </w:tcPr>
          <w:p w14:paraId="2887EA92" w14:textId="3DD085BC" w:rsidR="0057218D" w:rsidRPr="00D65D98" w:rsidRDefault="00284CE5" w:rsidP="00C275FC">
            <w:pPr>
              <w:rPr>
                <w:rFonts w:cstheme="minorHAnsi"/>
                <w:szCs w:val="20"/>
              </w:rPr>
            </w:pPr>
            <w:r w:rsidRPr="00D65D98">
              <w:rPr>
                <w:rFonts w:cstheme="minorHAnsi"/>
                <w:szCs w:val="20"/>
              </w:rPr>
              <w:t>January 1, 2017</w:t>
            </w:r>
          </w:p>
        </w:tc>
      </w:tr>
      <w:tr w:rsidR="0057218D" w:rsidRPr="00500C4E" w14:paraId="34571E65" w14:textId="77777777" w:rsidTr="00C275FC">
        <w:trPr>
          <w:trHeight w:val="243"/>
        </w:trPr>
        <w:tc>
          <w:tcPr>
            <w:tcW w:w="1155" w:type="pct"/>
          </w:tcPr>
          <w:p w14:paraId="5DDE210C" w14:textId="77777777" w:rsidR="0057218D" w:rsidRPr="007D5991" w:rsidRDefault="0057218D" w:rsidP="00C275FC">
            <w:pPr>
              <w:rPr>
                <w:rFonts w:cstheme="minorHAnsi"/>
                <w:szCs w:val="20"/>
              </w:rPr>
            </w:pPr>
            <w:r w:rsidRPr="007D5991">
              <w:rPr>
                <w:rFonts w:cstheme="minorHAnsi"/>
                <w:szCs w:val="20"/>
              </w:rPr>
              <w:t>Title 24 (2016)</w:t>
            </w:r>
          </w:p>
        </w:tc>
        <w:tc>
          <w:tcPr>
            <w:tcW w:w="2711" w:type="pct"/>
          </w:tcPr>
          <w:p w14:paraId="2DA6BC60" w14:textId="77777777" w:rsidR="0057218D" w:rsidRPr="007D5991" w:rsidRDefault="0057218D" w:rsidP="00C275FC">
            <w:pPr>
              <w:rPr>
                <w:rFonts w:cstheme="minorHAnsi"/>
                <w:szCs w:val="20"/>
              </w:rPr>
            </w:pPr>
            <w:r w:rsidRPr="007D5991">
              <w:rPr>
                <w:rFonts w:cstheme="minorHAnsi"/>
                <w:szCs w:val="20"/>
              </w:rPr>
              <w:t>Section 150.0(m)</w:t>
            </w:r>
            <w:r w:rsidRPr="007D5991">
              <w:t xml:space="preserve"> </w:t>
            </w:r>
            <w:r w:rsidRPr="007D5991">
              <w:rPr>
                <w:rFonts w:cstheme="minorHAnsi"/>
                <w:szCs w:val="20"/>
              </w:rPr>
              <w:t>MANDATORY FEATURES AND DEVICES</w:t>
            </w:r>
          </w:p>
        </w:tc>
        <w:tc>
          <w:tcPr>
            <w:tcW w:w="1134" w:type="pct"/>
          </w:tcPr>
          <w:p w14:paraId="70958D35" w14:textId="441A5EA8" w:rsidR="0057218D" w:rsidRPr="00D65D98" w:rsidRDefault="00284CE5" w:rsidP="00C275FC">
            <w:pPr>
              <w:rPr>
                <w:rFonts w:cstheme="minorHAnsi"/>
                <w:szCs w:val="20"/>
              </w:rPr>
            </w:pPr>
            <w:r w:rsidRPr="00D65D98">
              <w:rPr>
                <w:rFonts w:cstheme="minorHAnsi"/>
                <w:szCs w:val="20"/>
              </w:rPr>
              <w:t>January 1, 2017</w:t>
            </w:r>
          </w:p>
        </w:tc>
      </w:tr>
      <w:tr w:rsidR="0020497C" w:rsidRPr="00500C4E" w14:paraId="23A74EF3" w14:textId="77777777" w:rsidTr="00C275FC">
        <w:trPr>
          <w:trHeight w:val="243"/>
        </w:trPr>
        <w:tc>
          <w:tcPr>
            <w:tcW w:w="1155" w:type="pct"/>
          </w:tcPr>
          <w:p w14:paraId="66D69919" w14:textId="14FF5F1B" w:rsidR="0020497C" w:rsidRPr="007D5991" w:rsidRDefault="00774B7E" w:rsidP="00C275FC">
            <w:pPr>
              <w:rPr>
                <w:rFonts w:cstheme="minorHAnsi"/>
                <w:szCs w:val="20"/>
              </w:rPr>
            </w:pPr>
            <w:r>
              <w:rPr>
                <w:rFonts w:cstheme="minorHAnsi"/>
                <w:szCs w:val="20"/>
              </w:rPr>
              <w:t>DOE</w:t>
            </w:r>
          </w:p>
        </w:tc>
        <w:tc>
          <w:tcPr>
            <w:tcW w:w="2711" w:type="pct"/>
          </w:tcPr>
          <w:p w14:paraId="51BC455F" w14:textId="77FB7D65" w:rsidR="0020497C" w:rsidRPr="007D5991" w:rsidRDefault="00774B7E" w:rsidP="00C275FC">
            <w:pPr>
              <w:rPr>
                <w:rFonts w:cstheme="minorHAnsi"/>
                <w:szCs w:val="20"/>
              </w:rPr>
            </w:pPr>
            <w:r>
              <w:rPr>
                <w:rFonts w:cstheme="minorHAnsi"/>
                <w:szCs w:val="20"/>
              </w:rPr>
              <w:t xml:space="preserve">April 2010 </w:t>
            </w:r>
            <w:r w:rsidR="00A80057">
              <w:t xml:space="preserve">DOE </w:t>
            </w:r>
            <w:r>
              <w:rPr>
                <w:rFonts w:cstheme="minorHAnsi"/>
                <w:szCs w:val="20"/>
              </w:rPr>
              <w:t>Final Rule</w:t>
            </w:r>
          </w:p>
        </w:tc>
        <w:tc>
          <w:tcPr>
            <w:tcW w:w="1134" w:type="pct"/>
          </w:tcPr>
          <w:p w14:paraId="3EBE3FED" w14:textId="3FD57A0C" w:rsidR="0020497C" w:rsidRPr="00D65D98" w:rsidRDefault="00774B7E" w:rsidP="00C275FC">
            <w:pPr>
              <w:rPr>
                <w:rFonts w:cstheme="minorHAnsi"/>
                <w:szCs w:val="20"/>
              </w:rPr>
            </w:pPr>
            <w:r w:rsidRPr="00D65D98">
              <w:rPr>
                <w:rFonts w:cstheme="minorHAnsi"/>
                <w:szCs w:val="20"/>
              </w:rPr>
              <w:t>N/A</w:t>
            </w:r>
          </w:p>
        </w:tc>
      </w:tr>
    </w:tbl>
    <w:p w14:paraId="28997F7C" w14:textId="30DCEA1E" w:rsidR="0057218D" w:rsidRDefault="0057218D" w:rsidP="004F37B4">
      <w:pPr>
        <w:pStyle w:val="Reminders"/>
        <w:rPr>
          <w:rFonts w:asciiTheme="minorHAnsi" w:hAnsiTheme="minorHAnsi" w:cstheme="minorHAnsi"/>
          <w:i w:val="0"/>
          <w:color w:val="auto"/>
          <w:szCs w:val="22"/>
        </w:rPr>
      </w:pPr>
    </w:p>
    <w:p w14:paraId="260E4563" w14:textId="2C0415F6" w:rsidR="004E09CF" w:rsidRPr="0057218D" w:rsidRDefault="004E09CF" w:rsidP="004E09CF">
      <w:pPr>
        <w:pStyle w:val="Heading4"/>
      </w:pPr>
      <w:r>
        <w:t>California’s Title 24</w:t>
      </w:r>
    </w:p>
    <w:p w14:paraId="5C63ABD3" w14:textId="33CB38F6" w:rsidR="0057218D" w:rsidRDefault="0057218D" w:rsidP="0057218D">
      <w:pPr>
        <w:pStyle w:val="Reminders"/>
        <w:rPr>
          <w:rFonts w:asciiTheme="minorHAnsi" w:hAnsiTheme="minorHAnsi" w:cstheme="minorHAnsi"/>
          <w:i w:val="0"/>
          <w:color w:val="auto"/>
        </w:rPr>
      </w:pPr>
      <w:r>
        <w:rPr>
          <w:rFonts w:asciiTheme="minorHAnsi" w:hAnsiTheme="minorHAnsi" w:cstheme="minorHAnsi"/>
          <w:i w:val="0"/>
          <w:color w:val="auto"/>
        </w:rPr>
        <w:t xml:space="preserve">California’s </w:t>
      </w:r>
      <w:r w:rsidRPr="00BA491E">
        <w:rPr>
          <w:rFonts w:asciiTheme="minorHAnsi" w:hAnsiTheme="minorHAnsi" w:cstheme="minorHAnsi"/>
          <w:i w:val="0"/>
          <w:color w:val="auto"/>
        </w:rPr>
        <w:t>Title 24</w:t>
      </w:r>
      <w:r w:rsidR="00A215BF" w:rsidRPr="00BA491E">
        <w:rPr>
          <w:rStyle w:val="EndnoteReference"/>
          <w:color w:val="auto"/>
        </w:rPr>
        <w:endnoteReference w:id="2"/>
      </w:r>
      <w:r w:rsidRPr="00BA491E">
        <w:rPr>
          <w:rFonts w:asciiTheme="minorHAnsi" w:hAnsiTheme="minorHAnsi" w:cstheme="minorHAnsi"/>
          <w:i w:val="0"/>
          <w:color w:val="auto"/>
        </w:rPr>
        <w:t xml:space="preserve">, Section </w:t>
      </w:r>
      <w:r>
        <w:rPr>
          <w:rFonts w:asciiTheme="minorHAnsi" w:hAnsiTheme="minorHAnsi" w:cstheme="minorHAnsi"/>
          <w:i w:val="0"/>
          <w:color w:val="auto"/>
        </w:rPr>
        <w:t>100.1 includes the following definitions related to fireplaces:</w:t>
      </w:r>
    </w:p>
    <w:p w14:paraId="28AF75EB" w14:textId="10BDCCBA" w:rsidR="0057218D" w:rsidRDefault="001A0506" w:rsidP="001C5936">
      <w:pPr>
        <w:pStyle w:val="Reminders"/>
        <w:numPr>
          <w:ilvl w:val="0"/>
          <w:numId w:val="11"/>
        </w:numPr>
        <w:rPr>
          <w:rFonts w:asciiTheme="minorHAnsi" w:hAnsiTheme="minorHAnsi" w:cstheme="minorHAnsi"/>
          <w:i w:val="0"/>
          <w:color w:val="auto"/>
        </w:rPr>
      </w:pPr>
      <w:r w:rsidRPr="0057218D">
        <w:rPr>
          <w:rFonts w:asciiTheme="minorHAnsi" w:hAnsiTheme="minorHAnsi" w:cstheme="minorHAnsi"/>
          <w:i w:val="0"/>
          <w:color w:val="auto"/>
        </w:rPr>
        <w:t>DECORATIVE GAS APPLIANCE is a gas appliance that is designed or installed for visual effect only, cannot burn solid wood, and simulates a fire in a fireplace.</w:t>
      </w:r>
    </w:p>
    <w:p w14:paraId="6CC3D70E" w14:textId="7EC82E88" w:rsidR="0057218D" w:rsidRDefault="001A0506" w:rsidP="001C5936">
      <w:pPr>
        <w:pStyle w:val="Reminders"/>
        <w:numPr>
          <w:ilvl w:val="0"/>
          <w:numId w:val="11"/>
        </w:numPr>
        <w:rPr>
          <w:rFonts w:asciiTheme="minorHAnsi" w:hAnsiTheme="minorHAnsi" w:cstheme="minorHAnsi"/>
          <w:i w:val="0"/>
          <w:color w:val="auto"/>
        </w:rPr>
      </w:pPr>
      <w:r w:rsidRPr="0057218D">
        <w:rPr>
          <w:rFonts w:asciiTheme="minorHAnsi" w:hAnsiTheme="minorHAnsi" w:cstheme="minorHAnsi"/>
          <w:i w:val="0"/>
          <w:color w:val="auto"/>
        </w:rPr>
        <w:t xml:space="preserve">FIREPLACE is a hearth and fire chamber, or similar prepared place, in which a fire may be </w:t>
      </w:r>
      <w:r w:rsidR="00391407" w:rsidRPr="0057218D">
        <w:rPr>
          <w:rFonts w:asciiTheme="minorHAnsi" w:hAnsiTheme="minorHAnsi" w:cstheme="minorHAnsi"/>
          <w:i w:val="0"/>
          <w:color w:val="auto"/>
        </w:rPr>
        <w:t>made,</w:t>
      </w:r>
      <w:r w:rsidRPr="0057218D">
        <w:rPr>
          <w:rFonts w:asciiTheme="minorHAnsi" w:hAnsiTheme="minorHAnsi" w:cstheme="minorHAnsi"/>
          <w:i w:val="0"/>
          <w:color w:val="auto"/>
        </w:rPr>
        <w:t xml:space="preserve"> and which is built in conjunction with a flue or chimney, including but not limited to factory-built fireplaces, masonry fireplaces, and masonry heaters as further clarified in the CBC.</w:t>
      </w:r>
    </w:p>
    <w:p w14:paraId="36FD4425" w14:textId="77A77BFA" w:rsidR="0057218D" w:rsidRDefault="001A0506" w:rsidP="001C5936">
      <w:pPr>
        <w:pStyle w:val="Reminders"/>
        <w:numPr>
          <w:ilvl w:val="0"/>
          <w:numId w:val="11"/>
        </w:numPr>
        <w:rPr>
          <w:rFonts w:asciiTheme="minorHAnsi" w:hAnsiTheme="minorHAnsi" w:cstheme="minorHAnsi"/>
          <w:i w:val="0"/>
          <w:color w:val="auto"/>
        </w:rPr>
      </w:pPr>
      <w:r w:rsidRPr="0057218D">
        <w:rPr>
          <w:rFonts w:asciiTheme="minorHAnsi" w:hAnsiTheme="minorHAnsi" w:cstheme="minorHAnsi"/>
          <w:i w:val="0"/>
          <w:color w:val="auto"/>
        </w:rPr>
        <w:t xml:space="preserve">GAS LOG is a self-contained, free-standing, open-flame, gas-burning appliance consisting of a metal frame or base supporting simulated </w:t>
      </w:r>
      <w:r w:rsidR="00391407" w:rsidRPr="0057218D">
        <w:rPr>
          <w:rFonts w:asciiTheme="minorHAnsi" w:hAnsiTheme="minorHAnsi" w:cstheme="minorHAnsi"/>
          <w:i w:val="0"/>
          <w:color w:val="auto"/>
        </w:rPr>
        <w:t>logs and</w:t>
      </w:r>
      <w:r w:rsidRPr="0057218D">
        <w:rPr>
          <w:rFonts w:asciiTheme="minorHAnsi" w:hAnsiTheme="minorHAnsi" w:cstheme="minorHAnsi"/>
          <w:i w:val="0"/>
          <w:color w:val="auto"/>
        </w:rPr>
        <w:t xml:space="preserve"> designed for installation only in a vented fireplace.</w:t>
      </w:r>
    </w:p>
    <w:p w14:paraId="110922DD" w14:textId="77777777" w:rsidR="0057218D" w:rsidRDefault="0057218D" w:rsidP="0057218D">
      <w:pPr>
        <w:pStyle w:val="Reminders"/>
        <w:rPr>
          <w:rFonts w:asciiTheme="minorHAnsi" w:hAnsiTheme="minorHAnsi" w:cstheme="minorHAnsi"/>
          <w:i w:val="0"/>
          <w:color w:val="auto"/>
        </w:rPr>
      </w:pPr>
    </w:p>
    <w:p w14:paraId="36A662D3" w14:textId="095F1CDA" w:rsidR="00E13685" w:rsidRPr="0057218D" w:rsidRDefault="0057218D" w:rsidP="0057218D">
      <w:pPr>
        <w:pStyle w:val="Reminders"/>
        <w:rPr>
          <w:rFonts w:asciiTheme="minorHAnsi" w:hAnsiTheme="minorHAnsi" w:cstheme="minorHAnsi"/>
          <w:i w:val="0"/>
          <w:color w:val="auto"/>
        </w:rPr>
      </w:pPr>
      <w:r w:rsidRPr="0057218D">
        <w:rPr>
          <w:rFonts w:asciiTheme="minorHAnsi" w:hAnsiTheme="minorHAnsi" w:cstheme="minorHAnsi"/>
          <w:i w:val="0"/>
          <w:color w:val="auto"/>
        </w:rPr>
        <w:fldChar w:fldCharType="begin"/>
      </w:r>
      <w:r w:rsidRPr="0057218D">
        <w:rPr>
          <w:rFonts w:asciiTheme="minorHAnsi" w:hAnsiTheme="minorHAnsi" w:cstheme="minorHAnsi"/>
          <w:i w:val="0"/>
          <w:color w:val="auto"/>
        </w:rPr>
        <w:instrText xml:space="preserve"> REF _Ref530992555 \h  \* MERGEFORMAT </w:instrText>
      </w:r>
      <w:r w:rsidRPr="0057218D">
        <w:rPr>
          <w:rFonts w:asciiTheme="minorHAnsi" w:hAnsiTheme="minorHAnsi" w:cstheme="minorHAnsi"/>
          <w:i w:val="0"/>
          <w:color w:val="auto"/>
        </w:rPr>
      </w:r>
      <w:r w:rsidRPr="0057218D">
        <w:rPr>
          <w:rFonts w:asciiTheme="minorHAnsi" w:hAnsiTheme="minorHAnsi" w:cstheme="minorHAnsi"/>
          <w:i w:val="0"/>
          <w:color w:val="auto"/>
        </w:rPr>
        <w:fldChar w:fldCharType="separate"/>
      </w:r>
      <w:r w:rsidR="000B78F6" w:rsidRPr="000B78F6">
        <w:rPr>
          <w:rFonts w:asciiTheme="minorHAnsi" w:hAnsiTheme="minorHAnsi" w:cstheme="minorHAnsi"/>
          <w:i w:val="0"/>
          <w:color w:val="auto"/>
        </w:rPr>
        <w:t xml:space="preserve">Figure </w:t>
      </w:r>
      <w:r w:rsidR="000B78F6" w:rsidRPr="000B78F6">
        <w:rPr>
          <w:rFonts w:asciiTheme="minorHAnsi" w:hAnsiTheme="minorHAnsi" w:cstheme="minorHAnsi"/>
          <w:i w:val="0"/>
          <w:noProof/>
          <w:color w:val="auto"/>
        </w:rPr>
        <w:t>2</w:t>
      </w:r>
      <w:r w:rsidRPr="0057218D">
        <w:rPr>
          <w:rFonts w:asciiTheme="minorHAnsi" w:hAnsiTheme="minorHAnsi" w:cstheme="minorHAnsi"/>
          <w:i w:val="0"/>
          <w:color w:val="auto"/>
        </w:rPr>
        <w:fldChar w:fldCharType="end"/>
      </w:r>
      <w:r w:rsidRPr="0057218D">
        <w:rPr>
          <w:rFonts w:asciiTheme="minorHAnsi" w:hAnsiTheme="minorHAnsi" w:cstheme="minorHAnsi"/>
          <w:i w:val="0"/>
          <w:color w:val="auto"/>
        </w:rPr>
        <w:t xml:space="preserve"> </w:t>
      </w:r>
      <w:r w:rsidR="00BF73FD" w:rsidRPr="0057218D">
        <w:rPr>
          <w:rFonts w:asciiTheme="minorHAnsi" w:hAnsiTheme="minorHAnsi" w:cstheme="minorHAnsi"/>
          <w:i w:val="0"/>
          <w:color w:val="auto"/>
        </w:rPr>
        <w:t xml:space="preserve">describes the </w:t>
      </w:r>
      <w:r>
        <w:rPr>
          <w:rFonts w:asciiTheme="minorHAnsi" w:hAnsiTheme="minorHAnsi" w:cstheme="minorHAnsi"/>
          <w:i w:val="0"/>
          <w:color w:val="auto"/>
        </w:rPr>
        <w:t xml:space="preserve">California’s Title 24, Section 110.2(c) </w:t>
      </w:r>
      <w:r w:rsidR="001A0506" w:rsidRPr="0057218D">
        <w:rPr>
          <w:rFonts w:asciiTheme="minorHAnsi" w:hAnsiTheme="minorHAnsi" w:cstheme="minorHAnsi"/>
          <w:i w:val="0"/>
          <w:color w:val="auto"/>
        </w:rPr>
        <w:t>thermostat exemption for fireplaces.</w:t>
      </w:r>
    </w:p>
    <w:p w14:paraId="22411642" w14:textId="7B149330" w:rsidR="007D5991" w:rsidRDefault="00BD7FF5" w:rsidP="007D5991">
      <w:pPr>
        <w:keepNext/>
      </w:pPr>
      <w:r>
        <w:rPr>
          <w:noProof/>
        </w:rPr>
        <w:drawing>
          <wp:inline distT="0" distB="0" distL="0" distR="0" wp14:anchorId="1395077C" wp14:editId="5007591F">
            <wp:extent cx="5943600" cy="1399540"/>
            <wp:effectExtent l="19050" t="19050" r="1905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399540"/>
                    </a:xfrm>
                    <a:prstGeom prst="rect">
                      <a:avLst/>
                    </a:prstGeom>
                    <a:ln>
                      <a:solidFill>
                        <a:schemeClr val="tx1"/>
                      </a:solidFill>
                    </a:ln>
                  </pic:spPr>
                </pic:pic>
              </a:graphicData>
            </a:graphic>
          </wp:inline>
        </w:drawing>
      </w:r>
    </w:p>
    <w:p w14:paraId="3906B23F" w14:textId="2F72C276" w:rsidR="00BD7FF5" w:rsidRDefault="007D5991" w:rsidP="007D5991">
      <w:pPr>
        <w:pStyle w:val="Caption"/>
      </w:pPr>
      <w:bookmarkStart w:id="19" w:name="_Ref530992555"/>
      <w:r>
        <w:t xml:space="preserve">Figure </w:t>
      </w:r>
      <w:fldSimple w:instr=" SEQ Figure \* ARABIC ">
        <w:r w:rsidR="000B78F6">
          <w:rPr>
            <w:noProof/>
          </w:rPr>
          <w:t>2</w:t>
        </w:r>
      </w:fldSimple>
      <w:bookmarkEnd w:id="19"/>
      <w:r>
        <w:t xml:space="preserve">: </w:t>
      </w:r>
      <w:r w:rsidR="00EC501E" w:rsidRPr="00EC501E">
        <w:t>California’s Title 24, Section 1</w:t>
      </w:r>
      <w:r w:rsidR="00EC501E">
        <w:t>1</w:t>
      </w:r>
      <w:r w:rsidR="00EC501E" w:rsidRPr="00EC501E">
        <w:t>0.</w:t>
      </w:r>
      <w:r w:rsidR="00EC501E">
        <w:t>2(c)</w:t>
      </w:r>
      <w:r w:rsidR="00EC501E" w:rsidRPr="00EC501E">
        <w:t xml:space="preserve"> </w:t>
      </w:r>
      <w:r>
        <w:t>Fireplace Thermostat Requirements</w:t>
      </w:r>
    </w:p>
    <w:p w14:paraId="23DD03C5" w14:textId="70E65A28" w:rsidR="0057218D" w:rsidRDefault="0057218D" w:rsidP="0057218D"/>
    <w:p w14:paraId="501D9635" w14:textId="0AA24A4E" w:rsidR="0057218D" w:rsidRDefault="0057218D" w:rsidP="0057218D">
      <w:r>
        <w:fldChar w:fldCharType="begin"/>
      </w:r>
      <w:r>
        <w:instrText xml:space="preserve"> REF _Ref530992738 \h </w:instrText>
      </w:r>
      <w:r>
        <w:fldChar w:fldCharType="separate"/>
      </w:r>
      <w:r w:rsidR="000B78F6">
        <w:t xml:space="preserve">Figure </w:t>
      </w:r>
      <w:r w:rsidR="000B78F6">
        <w:rPr>
          <w:noProof/>
        </w:rPr>
        <w:t>3</w:t>
      </w:r>
      <w:r>
        <w:fldChar w:fldCharType="end"/>
      </w:r>
      <w:r>
        <w:t xml:space="preserve"> describes the</w:t>
      </w:r>
      <w:r w:rsidR="00EC501E">
        <w:t xml:space="preserve"> </w:t>
      </w:r>
      <w:r w:rsidR="00EC501E" w:rsidRPr="00EC501E">
        <w:rPr>
          <w:rFonts w:cstheme="minorHAnsi"/>
        </w:rPr>
        <w:t>California’s Title 24, Section 1</w:t>
      </w:r>
      <w:r w:rsidR="00EC501E">
        <w:rPr>
          <w:rFonts w:cstheme="minorHAnsi"/>
        </w:rPr>
        <w:t>50.0(e)</w:t>
      </w:r>
      <w:r>
        <w:t xml:space="preserve"> installation requirements specific to fireplaces. Requirement (e)(2) is of importance to this workpaper as new fireplaces cannot use a standing pilot light. </w:t>
      </w:r>
    </w:p>
    <w:p w14:paraId="19295BC8" w14:textId="77777777" w:rsidR="0057218D" w:rsidRPr="0057218D" w:rsidRDefault="0057218D" w:rsidP="0057218D"/>
    <w:p w14:paraId="578853EB" w14:textId="77777777" w:rsidR="007D5991" w:rsidRDefault="007D5991" w:rsidP="007D5991">
      <w:pPr>
        <w:keepNext/>
      </w:pPr>
      <w:r>
        <w:rPr>
          <w:noProof/>
        </w:rPr>
        <w:lastRenderedPageBreak/>
        <w:drawing>
          <wp:inline distT="0" distB="0" distL="0" distR="0" wp14:anchorId="5C77234B" wp14:editId="32FEF846">
            <wp:extent cx="5943600" cy="2553970"/>
            <wp:effectExtent l="19050" t="19050" r="19050"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553970"/>
                    </a:xfrm>
                    <a:prstGeom prst="rect">
                      <a:avLst/>
                    </a:prstGeom>
                    <a:ln>
                      <a:solidFill>
                        <a:schemeClr val="tx1"/>
                      </a:solidFill>
                    </a:ln>
                  </pic:spPr>
                </pic:pic>
              </a:graphicData>
            </a:graphic>
          </wp:inline>
        </w:drawing>
      </w:r>
    </w:p>
    <w:p w14:paraId="5E83176D" w14:textId="21B09D2A" w:rsidR="007D5991" w:rsidRDefault="007D5991" w:rsidP="007D5991">
      <w:pPr>
        <w:pStyle w:val="Caption"/>
      </w:pPr>
      <w:bookmarkStart w:id="20" w:name="_Ref530992738"/>
      <w:r>
        <w:t xml:space="preserve">Figure </w:t>
      </w:r>
      <w:fldSimple w:instr=" SEQ Figure \* ARABIC ">
        <w:r w:rsidR="000B78F6">
          <w:rPr>
            <w:noProof/>
          </w:rPr>
          <w:t>3</w:t>
        </w:r>
      </w:fldSimple>
      <w:bookmarkEnd w:id="20"/>
      <w:r>
        <w:t xml:space="preserve">: </w:t>
      </w:r>
      <w:r w:rsidR="00EC501E">
        <w:t xml:space="preserve">California’s </w:t>
      </w:r>
      <w:r>
        <w:t>Title 24</w:t>
      </w:r>
      <w:r w:rsidR="00EC501E">
        <w:t>, Section 150.0(e)</w:t>
      </w:r>
      <w:r>
        <w:t xml:space="preserve"> Fireplace Installation Requirements</w:t>
      </w:r>
    </w:p>
    <w:p w14:paraId="6BCAD3D8" w14:textId="0FD4F0E9" w:rsidR="007D5991" w:rsidRDefault="007D5991" w:rsidP="00BD7FF5"/>
    <w:p w14:paraId="772AE4AC" w14:textId="649E2F20" w:rsidR="0057218D" w:rsidRDefault="0057218D" w:rsidP="00BD7FF5">
      <w:r>
        <w:fldChar w:fldCharType="begin"/>
      </w:r>
      <w:r>
        <w:instrText xml:space="preserve"> REF _Ref530992827 \h </w:instrText>
      </w:r>
      <w:r>
        <w:fldChar w:fldCharType="separate"/>
      </w:r>
      <w:r w:rsidR="000B78F6">
        <w:t xml:space="preserve">Figure </w:t>
      </w:r>
      <w:r w:rsidR="000B78F6">
        <w:rPr>
          <w:noProof/>
        </w:rPr>
        <w:t>4</w:t>
      </w:r>
      <w:r>
        <w:fldChar w:fldCharType="end"/>
      </w:r>
      <w:r>
        <w:t xml:space="preserve"> describes the fireplace exemption </w:t>
      </w:r>
      <w:r w:rsidR="00EC501E">
        <w:t xml:space="preserve">in California’s Title 24, Section 150.0(m) </w:t>
      </w:r>
      <w:r>
        <w:t>for the installation of air-distribution and ventilation system ducts, plenums, and fans.</w:t>
      </w:r>
    </w:p>
    <w:p w14:paraId="360C8CEF" w14:textId="77777777" w:rsidR="007D5991" w:rsidRDefault="007D5991" w:rsidP="007D5991">
      <w:pPr>
        <w:keepNext/>
      </w:pPr>
      <w:r>
        <w:rPr>
          <w:noProof/>
        </w:rPr>
        <w:drawing>
          <wp:inline distT="0" distB="0" distL="0" distR="0" wp14:anchorId="50A223FB" wp14:editId="369C9492">
            <wp:extent cx="5943600" cy="2858135"/>
            <wp:effectExtent l="19050" t="19050" r="19050" b="184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858135"/>
                    </a:xfrm>
                    <a:prstGeom prst="rect">
                      <a:avLst/>
                    </a:prstGeom>
                    <a:ln>
                      <a:solidFill>
                        <a:schemeClr val="tx1"/>
                      </a:solidFill>
                    </a:ln>
                  </pic:spPr>
                </pic:pic>
              </a:graphicData>
            </a:graphic>
          </wp:inline>
        </w:drawing>
      </w:r>
    </w:p>
    <w:p w14:paraId="45EE6F91" w14:textId="4237BABA" w:rsidR="007D5991" w:rsidRDefault="007D5991" w:rsidP="007D5991">
      <w:pPr>
        <w:pStyle w:val="Caption"/>
      </w:pPr>
      <w:bookmarkStart w:id="21" w:name="_Ref530992827"/>
      <w:r>
        <w:t xml:space="preserve">Figure </w:t>
      </w:r>
      <w:fldSimple w:instr=" SEQ Figure \* ARABIC ">
        <w:r w:rsidR="000B78F6">
          <w:rPr>
            <w:noProof/>
          </w:rPr>
          <w:t>4</w:t>
        </w:r>
      </w:fldSimple>
      <w:bookmarkEnd w:id="21"/>
      <w:r>
        <w:t xml:space="preserve">: </w:t>
      </w:r>
      <w:r w:rsidR="00EC501E">
        <w:t xml:space="preserve">California’s </w:t>
      </w:r>
      <w:r>
        <w:t>Title 24</w:t>
      </w:r>
      <w:r w:rsidR="00EC501E">
        <w:t>, Section 150.0(m)</w:t>
      </w:r>
      <w:r>
        <w:t xml:space="preserve"> Installation Ducting Requirements</w:t>
      </w:r>
    </w:p>
    <w:p w14:paraId="5A7D5C6C" w14:textId="164F93F2" w:rsidR="00774B7E" w:rsidRDefault="00774B7E" w:rsidP="00774B7E"/>
    <w:p w14:paraId="05EB764C" w14:textId="72EA4C26" w:rsidR="00774B7E" w:rsidRDefault="004E09CF" w:rsidP="004E09CF">
      <w:pPr>
        <w:pStyle w:val="Heading4"/>
      </w:pPr>
      <w:r>
        <w:t>Department of Energy</w:t>
      </w:r>
      <w:r w:rsidR="00DB6C62">
        <w:t xml:space="preserve"> (DOE)</w:t>
      </w:r>
      <w:r>
        <w:t xml:space="preserve"> Standards</w:t>
      </w:r>
    </w:p>
    <w:p w14:paraId="30DE3D26" w14:textId="58747314" w:rsidR="00987BCE" w:rsidRDefault="00987BCE" w:rsidP="00774B7E">
      <w:r>
        <w:t>DOE published an energy conservation standards final rule on April 16, 2010</w:t>
      </w:r>
      <w:r w:rsidR="00A215BF">
        <w:rPr>
          <w:rStyle w:val="EndnoteReference"/>
        </w:rPr>
        <w:endnoteReference w:id="3"/>
      </w:r>
      <w:r>
        <w:t xml:space="preserve"> (“April 2010 </w:t>
      </w:r>
      <w:r w:rsidR="00A80057">
        <w:t xml:space="preserve">DOE </w:t>
      </w:r>
      <w:r>
        <w:t xml:space="preserve">Final Rule”) codifying the definition of “vented hearth heater” and establishing energy conservation standards. </w:t>
      </w:r>
    </w:p>
    <w:p w14:paraId="24D44413" w14:textId="0B0835A7" w:rsidR="00987BCE" w:rsidRDefault="00987BCE" w:rsidP="00774B7E"/>
    <w:p w14:paraId="534C1F41" w14:textId="64C293C1" w:rsidR="004E09CF" w:rsidRDefault="00985ACB" w:rsidP="004E09CF">
      <w:r>
        <w:t xml:space="preserve">The </w:t>
      </w:r>
      <w:r w:rsidR="004E09CF">
        <w:t xml:space="preserve">April 2010 </w:t>
      </w:r>
      <w:r w:rsidR="00A80057">
        <w:t xml:space="preserve">DOE </w:t>
      </w:r>
      <w:r w:rsidR="004E09CF">
        <w:t xml:space="preserve">Final Rule definition of a vented hearth heater: a vented appliance which simulates a solid fuel fireplace and is designed to furnish warm air, with or without duct connections, to the space in which it is installed. The circulation of heated room air may be by gravity or mechanical means. A vented </w:t>
      </w:r>
      <w:r w:rsidR="004E09CF">
        <w:lastRenderedPageBreak/>
        <w:t>hearth heater may be freestanding, recessed, zero clearance, or a gas fireplace insert or stove. Those heaters with a maximum input capacity less than or equal to 9,000 British thermal units per hour (Btu/h), as measured using DOE’s test procedure for vented home heating equipment (10 CFR part 430, subpart B, appendix O), are considered purely decorative and are excluded from DOE’s regulations.</w:t>
      </w:r>
    </w:p>
    <w:p w14:paraId="7B76515A" w14:textId="1CCB39D3" w:rsidR="00987BCE" w:rsidRDefault="00987BCE" w:rsidP="00774B7E"/>
    <w:p w14:paraId="0AAB7084" w14:textId="54D3D5F9" w:rsidR="00774B7E" w:rsidRDefault="00987BCE" w:rsidP="00774B7E">
      <w:r>
        <w:t>On November 18, 2011</w:t>
      </w:r>
      <w:r w:rsidR="00A215BF">
        <w:t>,</w:t>
      </w:r>
      <w:r>
        <w:t xml:space="preserve"> DOE published</w:t>
      </w:r>
      <w:r w:rsidR="004E09CF">
        <w:t xml:space="preserve"> the following</w:t>
      </w:r>
      <w:r>
        <w:t xml:space="preserve"> a </w:t>
      </w:r>
      <w:r w:rsidR="004E09CF">
        <w:t>vented hearth heater</w:t>
      </w:r>
      <w:r w:rsidR="004E09CF" w:rsidRPr="004E09CF">
        <w:t xml:space="preserve"> </w:t>
      </w:r>
      <w:r w:rsidR="004E09CF">
        <w:t>definition</w:t>
      </w:r>
      <w:r w:rsidR="005C7D75">
        <w:rPr>
          <w:rStyle w:val="EndnoteReference"/>
        </w:rPr>
        <w:endnoteReference w:id="4"/>
      </w:r>
      <w:r w:rsidR="004E09CF">
        <w:t xml:space="preserve"> revision:</w:t>
      </w:r>
    </w:p>
    <w:p w14:paraId="1555B107" w14:textId="1236B2F3" w:rsidR="00774B7E" w:rsidRDefault="00774B7E" w:rsidP="00774B7E"/>
    <w:p w14:paraId="6B3C5CF7" w14:textId="639819C6" w:rsidR="004E09CF" w:rsidRDefault="004E09CF" w:rsidP="004E09CF">
      <w:r>
        <w:t>Vented hearth heater means a vented appliance which simulates a solid fuel fireplace and is designed to furnish warm air, with or without duct connections, to the space in which it is installed. The circulation of heated room air may be by gravity or mechanical means. A vented hearth heater may be freestanding, recessed, zero clearance, or a gas fireplace insert or stove. The following products are not subject to the energy conservation standards for vented hearth heaters:</w:t>
      </w:r>
    </w:p>
    <w:p w14:paraId="05C757BC" w14:textId="51A74A55" w:rsidR="004E09CF" w:rsidRDefault="004E09CF" w:rsidP="001C5936">
      <w:pPr>
        <w:pStyle w:val="ListParagraph"/>
        <w:numPr>
          <w:ilvl w:val="0"/>
          <w:numId w:val="12"/>
        </w:numPr>
      </w:pPr>
      <w:r>
        <w:t>Vented gas log sets and</w:t>
      </w:r>
    </w:p>
    <w:p w14:paraId="288847D8" w14:textId="35E9B05B" w:rsidR="004E09CF" w:rsidRDefault="004E09CF" w:rsidP="001C5936">
      <w:pPr>
        <w:pStyle w:val="ListParagraph"/>
        <w:numPr>
          <w:ilvl w:val="0"/>
          <w:numId w:val="12"/>
        </w:numPr>
      </w:pPr>
      <w:r>
        <w:t>Vented gas hearth products that meet all of the following four criteria:</w:t>
      </w:r>
    </w:p>
    <w:p w14:paraId="173BB4B3" w14:textId="511145C5" w:rsidR="004E09CF" w:rsidRDefault="004E09CF" w:rsidP="001C5936">
      <w:pPr>
        <w:pStyle w:val="ListParagraph"/>
        <w:numPr>
          <w:ilvl w:val="1"/>
          <w:numId w:val="12"/>
        </w:numPr>
      </w:pPr>
      <w:r>
        <w:t>Certified to ANSI Z21.50 (incorporated by reference; see § 430.3), but not to ANSI Z21.88 (incorporated by reference; see § 430.3);</w:t>
      </w:r>
    </w:p>
    <w:p w14:paraId="0E40544A" w14:textId="7AAA4692" w:rsidR="004E09CF" w:rsidRDefault="004E09CF" w:rsidP="001C5936">
      <w:pPr>
        <w:pStyle w:val="ListParagraph"/>
        <w:numPr>
          <w:ilvl w:val="1"/>
          <w:numId w:val="12"/>
        </w:numPr>
      </w:pPr>
      <w:r>
        <w:t>Sold without a thermostat and with a warranty provision expressly voiding all manufacturer warranties in the event the product is used with a thermostat;</w:t>
      </w:r>
    </w:p>
    <w:p w14:paraId="77CC8164" w14:textId="5950F793" w:rsidR="004E09CF" w:rsidRDefault="004E09CF" w:rsidP="001C5936">
      <w:pPr>
        <w:pStyle w:val="ListParagraph"/>
        <w:numPr>
          <w:ilvl w:val="1"/>
          <w:numId w:val="12"/>
        </w:numPr>
      </w:pPr>
      <w:r>
        <w:t>Expressly and conspicuously identified on its rating plate and in all manufacturer’s advertising and product literature as a “Decorative Product: Not for use as a Heating Appliance”; and</w:t>
      </w:r>
    </w:p>
    <w:p w14:paraId="0DDA3AF9" w14:textId="5C3357E1" w:rsidR="00774B7E" w:rsidRDefault="004E09CF" w:rsidP="001C5936">
      <w:pPr>
        <w:pStyle w:val="ListParagraph"/>
        <w:numPr>
          <w:ilvl w:val="1"/>
          <w:numId w:val="12"/>
        </w:numPr>
      </w:pPr>
      <w:r>
        <w:t>With respect to products sold after January 1, 2015, not equipped with a standing pilot light or other continuously-burning ignition source.</w:t>
      </w:r>
    </w:p>
    <w:p w14:paraId="2C86FD08" w14:textId="51A5E70F" w:rsidR="00774B7E" w:rsidRDefault="00774B7E" w:rsidP="00774B7E"/>
    <w:p w14:paraId="4CE1E82F" w14:textId="4C1D5BDF" w:rsidR="00810D3E" w:rsidRDefault="004E09CF" w:rsidP="00774B7E">
      <w:r>
        <w:t>On February 8, 2013, the U.S. Court of Appeals for the District of Columbia vacated</w:t>
      </w:r>
      <w:r w:rsidR="005C7D75">
        <w:rPr>
          <w:rStyle w:val="EndnoteReference"/>
        </w:rPr>
        <w:endnoteReference w:id="5"/>
      </w:r>
      <w:r>
        <w:t xml:space="preserve"> the DOE definition of “vented hearth heater</w:t>
      </w:r>
      <w:r w:rsidR="00810D3E">
        <w:t xml:space="preserve">.” This also vacated the energy conservation standards established in the April 2010 </w:t>
      </w:r>
      <w:r w:rsidR="00A80057">
        <w:t xml:space="preserve">DOE </w:t>
      </w:r>
      <w:r w:rsidR="00810D3E">
        <w:t xml:space="preserve">Final Rule.  The main argument for vacating the vented hearth heater provisions was that for hearths installed purely for aesthetics it is desirable to provide no heat to the residence. Because little to no heat is provided to the residence, the efficiency of the hearth as measured by the DOE test procedure is </w:t>
      </w:r>
      <w:r w:rsidR="00D77FF3">
        <w:t xml:space="preserve">much lower than the standards established in the April 2010 </w:t>
      </w:r>
      <w:r w:rsidR="00A80057">
        <w:t xml:space="preserve">DOE </w:t>
      </w:r>
      <w:r w:rsidR="00D77FF3">
        <w:t>Final Rule</w:t>
      </w:r>
      <w:r w:rsidR="00810D3E">
        <w:t xml:space="preserve">. </w:t>
      </w:r>
      <w:r w:rsidR="00111F1E">
        <w:t>In</w:t>
      </w:r>
      <w:r w:rsidR="00D77FF3">
        <w:t xml:space="preserve"> other words, the April 2010 </w:t>
      </w:r>
      <w:r w:rsidR="00A80057">
        <w:t xml:space="preserve">DOE </w:t>
      </w:r>
      <w:r w:rsidR="00D77FF3">
        <w:t>Final Rule</w:t>
      </w:r>
      <w:r w:rsidR="00810D3E">
        <w:t xml:space="preserve"> standards made an entire class of hearth products illegal</w:t>
      </w:r>
      <w:r w:rsidR="00D77FF3">
        <w:t xml:space="preserve"> by measuring efficiency instead aesthetic utility</w:t>
      </w:r>
      <w:r w:rsidR="00810D3E">
        <w:t xml:space="preserve">. This workpaper notes that the assumptions made in the April 2010 </w:t>
      </w:r>
      <w:r w:rsidR="00A80057">
        <w:t xml:space="preserve">DOE </w:t>
      </w:r>
      <w:r w:rsidR="00810D3E">
        <w:t>Final Rule about hearths designed to provide heat are stil</w:t>
      </w:r>
      <w:r w:rsidR="00D77FF3">
        <w:t>l valid and this workpaper is only considering measures for hearths that provide heat.</w:t>
      </w:r>
    </w:p>
    <w:p w14:paraId="213C91F4" w14:textId="77777777" w:rsidR="00810D3E" w:rsidRDefault="00810D3E" w:rsidP="00774B7E"/>
    <w:p w14:paraId="1067D897" w14:textId="27621D04" w:rsidR="00774B7E" w:rsidRDefault="00D77FF3" w:rsidP="00774B7E">
      <w:r>
        <w:t>On February 9, 2015, DOE published a Notice of Proposed Rulemaking</w:t>
      </w:r>
      <w:r w:rsidR="005C7D75">
        <w:rPr>
          <w:rStyle w:val="EndnoteReference"/>
        </w:rPr>
        <w:endnoteReference w:id="6"/>
      </w:r>
      <w:r>
        <w:t xml:space="preserve"> (NOPR) proposing a new definition of “hearth product,” found below, and a prescriptive standard stating that hearth products not be equipped with a constant-burning pilot.</w:t>
      </w:r>
    </w:p>
    <w:p w14:paraId="2F2DC45F" w14:textId="09D32A6F" w:rsidR="00D77FF3" w:rsidRDefault="00D77FF3" w:rsidP="00774B7E"/>
    <w:p w14:paraId="6CFF812A" w14:textId="52D6A592" w:rsidR="00774B7E" w:rsidRDefault="00D77FF3" w:rsidP="00774B7E">
      <w:r>
        <w:t>“</w:t>
      </w:r>
      <w:r w:rsidRPr="00D77FF3">
        <w:t>Hearth product</w:t>
      </w:r>
      <w:r>
        <w:t>”</w:t>
      </w:r>
      <w:r w:rsidRPr="00D77FF3">
        <w:t xml:space="preserve"> means a gas-fired appliance that simulates a solid-fueled fireplace or presents a flame pattern (for aesthetics or other purpose) and that may provide space heating directly to the space in which it is installed.</w:t>
      </w:r>
    </w:p>
    <w:p w14:paraId="41E8A1F6" w14:textId="149A3CD3" w:rsidR="00774B7E" w:rsidRDefault="00774B7E" w:rsidP="00774B7E"/>
    <w:p w14:paraId="7C1C380D" w14:textId="4469ADC9" w:rsidR="00774B7E" w:rsidRDefault="00D77FF3" w:rsidP="00D77FF3">
      <w:pPr>
        <w:pStyle w:val="Heading4"/>
      </w:pPr>
      <w:r>
        <w:lastRenderedPageBreak/>
        <w:t>Other Standards</w:t>
      </w:r>
    </w:p>
    <w:p w14:paraId="703D7EE8" w14:textId="035E2B5E" w:rsidR="00774B7E" w:rsidRDefault="00D77FF3" w:rsidP="00774B7E">
      <w:r>
        <w:t>Gas fireplaces are not mentioned in any of the following codes or standards: Environmental Protection Agency (EPA) ENERGY STAR, South Coast Air Quality Management District (SCAQMD), or California’s Title 20.</w:t>
      </w:r>
    </w:p>
    <w:p w14:paraId="1C6B880F" w14:textId="28EF48FD" w:rsidR="003F69BA" w:rsidRPr="00500C4E" w:rsidRDefault="003F69BA" w:rsidP="003F69BA">
      <w:pPr>
        <w:pStyle w:val="Heading3"/>
        <w:rPr>
          <w:rFonts w:asciiTheme="minorHAnsi" w:hAnsiTheme="minorHAnsi"/>
        </w:rPr>
      </w:pPr>
      <w:r w:rsidRPr="00500C4E">
        <w:rPr>
          <w:rFonts w:asciiTheme="minorHAnsi" w:hAnsiTheme="minorHAnsi"/>
        </w:rPr>
        <w:t>1.4.</w:t>
      </w:r>
      <w:r>
        <w:rPr>
          <w:rFonts w:asciiTheme="minorHAnsi" w:hAnsiTheme="minorHAnsi"/>
        </w:rPr>
        <w:t>3</w:t>
      </w:r>
      <w:r w:rsidRPr="00500C4E">
        <w:rPr>
          <w:rFonts w:asciiTheme="minorHAnsi" w:hAnsiTheme="minorHAnsi"/>
        </w:rPr>
        <w:t xml:space="preserve"> </w:t>
      </w:r>
      <w:r>
        <w:rPr>
          <w:rFonts w:asciiTheme="minorHAnsi" w:hAnsiTheme="minorHAnsi"/>
        </w:rPr>
        <w:t>Fireplace Efficiencies Used</w:t>
      </w:r>
    </w:p>
    <w:p w14:paraId="07018F5F" w14:textId="25711D0A" w:rsidR="003F69BA" w:rsidRDefault="003F69BA" w:rsidP="00774B7E">
      <w:r>
        <w:t>The Natural Resources Canada searchable product list (NRCan database)</w:t>
      </w:r>
      <w:r w:rsidR="005C7D75">
        <w:rPr>
          <w:rStyle w:val="EndnoteReference"/>
        </w:rPr>
        <w:endnoteReference w:id="7"/>
      </w:r>
      <w:r>
        <w:t xml:space="preserve"> for gas fireplaces was used</w:t>
      </w:r>
      <w:r w:rsidR="0012247D">
        <w:t xml:space="preserve">, </w:t>
      </w:r>
      <w:r w:rsidR="0012247D" w:rsidRPr="0012247D">
        <w:rPr>
          <w:b/>
          <w:i/>
        </w:rPr>
        <w:t>Attachment A</w:t>
      </w:r>
      <w:r w:rsidR="0012247D">
        <w:t>,</w:t>
      </w:r>
      <w:r>
        <w:t xml:space="preserve"> along with manufacturer literature to determine product characteristics and their associated FE values. </w:t>
      </w:r>
    </w:p>
    <w:p w14:paraId="4CEE2250" w14:textId="77777777" w:rsidR="003F69BA" w:rsidRDefault="003F69BA" w:rsidP="00774B7E"/>
    <w:p w14:paraId="36F200C1" w14:textId="4C48BD57" w:rsidR="003F69BA" w:rsidRDefault="04134B42" w:rsidP="00774B7E">
      <w:r>
        <w:t xml:space="preserve">The baseline FE for the </w:t>
      </w:r>
      <w:r w:rsidR="002C212F">
        <w:t xml:space="preserve">NR/NC </w:t>
      </w:r>
      <w:r>
        <w:t xml:space="preserve">measure was found by taking the average FE within the NRCan database for fireplace models with IPL ignition. The code baseline from California’s Title 24 requires that newly installed fireplaces must not use CPL (Continuously Pilot Light) ignition, therefore IPL ignition is required as the baseline for </w:t>
      </w:r>
      <w:r w:rsidR="002C212F">
        <w:t xml:space="preserve">NR/NC </w:t>
      </w:r>
      <w:r>
        <w:t>installations.</w:t>
      </w:r>
    </w:p>
    <w:p w14:paraId="7A5BD649" w14:textId="77777777" w:rsidR="003F69BA" w:rsidRDefault="003F69BA" w:rsidP="00774B7E"/>
    <w:p w14:paraId="04BD0E2A" w14:textId="1D9489F9" w:rsidR="003F69BA" w:rsidRDefault="003F69BA" w:rsidP="00774B7E">
      <w:r>
        <w:t xml:space="preserve">The baseline FE for the </w:t>
      </w:r>
      <w:r w:rsidR="002C212F">
        <w:t>AR</w:t>
      </w:r>
      <w:r>
        <w:t xml:space="preserve"> measure was found by taking the average FE within the NRCan database for fireplace models with CPL ignition.</w:t>
      </w:r>
      <w:r w:rsidR="00425F05">
        <w:t xml:space="preserve"> These fireplaces are being voluntarily replaced before the end of their useful life and therefore the installed fireplaces are used as a baseline. This workpaper assumes that the </w:t>
      </w:r>
      <w:r w:rsidR="00F9782B">
        <w:t xml:space="preserve">typical </w:t>
      </w:r>
      <w:r w:rsidR="00425F05">
        <w:t>current</w:t>
      </w:r>
      <w:r w:rsidR="00F9782B">
        <w:t>ly</w:t>
      </w:r>
      <w:r w:rsidR="00425F05">
        <w:t xml:space="preserve"> installed </w:t>
      </w:r>
      <w:r w:rsidR="00F9782B">
        <w:t xml:space="preserve">unit </w:t>
      </w:r>
      <w:r w:rsidR="00425F05">
        <w:t xml:space="preserve">is equipped </w:t>
      </w:r>
      <w:r w:rsidR="00DB6C62">
        <w:t xml:space="preserve">with </w:t>
      </w:r>
      <w:r w:rsidR="00425F05">
        <w:t>CPL.</w:t>
      </w:r>
    </w:p>
    <w:p w14:paraId="0232AED5" w14:textId="6D69D84D" w:rsidR="003F69BA" w:rsidRDefault="003F69BA" w:rsidP="00774B7E"/>
    <w:p w14:paraId="109BE149" w14:textId="072155FE" w:rsidR="003F69BA" w:rsidRDefault="04134B42" w:rsidP="00774B7E">
      <w:r>
        <w:t xml:space="preserve">The FE tiers for both the </w:t>
      </w:r>
      <w:r w:rsidR="002C212F">
        <w:t xml:space="preserve">NR/NC </w:t>
      </w:r>
      <w:r>
        <w:t xml:space="preserve">and </w:t>
      </w:r>
      <w:r w:rsidR="002C212F">
        <w:t>AR</w:t>
      </w:r>
      <w:r>
        <w:t xml:space="preserve"> measures aligns with those of the Northwest Natural’s 2015 Energy Efficiency Plan and the current incentive offered by the Energy Trust of Oregon (ETO) discussed in section 1.5.</w:t>
      </w:r>
    </w:p>
    <w:p w14:paraId="30F18BD2" w14:textId="3D8DC25E" w:rsidR="00425F05" w:rsidRDefault="00425F05" w:rsidP="00774B7E"/>
    <w:p w14:paraId="2B6D32DD" w14:textId="01EAA97C" w:rsidR="0012247D" w:rsidRDefault="0012247D" w:rsidP="0012247D">
      <w:pPr>
        <w:pStyle w:val="Caption"/>
        <w:keepNext/>
      </w:pPr>
      <w:r>
        <w:t xml:space="preserve">Table </w:t>
      </w:r>
      <w:fldSimple w:instr=" SEQ Table \* ARABIC ">
        <w:r w:rsidR="000B78F6">
          <w:rPr>
            <w:noProof/>
          </w:rPr>
          <w:t>11</w:t>
        </w:r>
      </w:fldSimple>
      <w:r>
        <w:t>: Fireplace Efficiencies Used</w:t>
      </w:r>
    </w:p>
    <w:tbl>
      <w:tblPr>
        <w:tblW w:w="9445" w:type="dxa"/>
        <w:tblInd w:w="113" w:type="dxa"/>
        <w:tblLayout w:type="fixed"/>
        <w:tblLook w:val="04A0" w:firstRow="1" w:lastRow="0" w:firstColumn="1" w:lastColumn="0" w:noHBand="0" w:noVBand="1"/>
      </w:tblPr>
      <w:tblGrid>
        <w:gridCol w:w="1007"/>
        <w:gridCol w:w="1328"/>
        <w:gridCol w:w="1777"/>
        <w:gridCol w:w="1733"/>
        <w:gridCol w:w="1822"/>
        <w:gridCol w:w="1778"/>
      </w:tblGrid>
      <w:tr w:rsidR="00425F05" w:rsidRPr="00425F05" w14:paraId="143FD9A6" w14:textId="77777777" w:rsidTr="0012247D">
        <w:trPr>
          <w:trHeight w:val="70"/>
        </w:trPr>
        <w:tc>
          <w:tcPr>
            <w:tcW w:w="100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7CD0848"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Measure</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FC37810"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Baseline FE</w:t>
            </w:r>
          </w:p>
        </w:tc>
        <w:tc>
          <w:tcPr>
            <w:tcW w:w="3510" w:type="dxa"/>
            <w:gridSpan w:val="2"/>
            <w:tcBorders>
              <w:top w:val="single" w:sz="4" w:space="0" w:color="auto"/>
              <w:left w:val="nil"/>
              <w:bottom w:val="single" w:sz="4" w:space="0" w:color="auto"/>
              <w:right w:val="single" w:sz="4" w:space="0" w:color="auto"/>
            </w:tcBorders>
            <w:shd w:val="clear" w:color="auto" w:fill="D9D9D9" w:themeFill="background1" w:themeFillShade="D9"/>
            <w:noWrap/>
            <w:hideMark/>
          </w:tcPr>
          <w:p w14:paraId="18E1E9B6"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FE Range</w:t>
            </w:r>
          </w:p>
        </w:tc>
        <w:tc>
          <w:tcPr>
            <w:tcW w:w="3600" w:type="dxa"/>
            <w:gridSpan w:val="2"/>
            <w:tcBorders>
              <w:top w:val="single" w:sz="4" w:space="0" w:color="auto"/>
              <w:left w:val="nil"/>
              <w:bottom w:val="single" w:sz="4" w:space="0" w:color="auto"/>
              <w:right w:val="single" w:sz="4" w:space="0" w:color="auto"/>
            </w:tcBorders>
            <w:shd w:val="clear" w:color="auto" w:fill="D9D9D9" w:themeFill="background1" w:themeFillShade="D9"/>
            <w:noWrap/>
            <w:hideMark/>
          </w:tcPr>
          <w:p w14:paraId="2DCFB42C"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FE Used in Calculations</w:t>
            </w:r>
          </w:p>
        </w:tc>
      </w:tr>
      <w:tr w:rsidR="00425F05" w:rsidRPr="0012247D" w14:paraId="621497FE" w14:textId="77777777" w:rsidTr="0012247D">
        <w:trPr>
          <w:trHeight w:val="70"/>
        </w:trPr>
        <w:tc>
          <w:tcPr>
            <w:tcW w:w="100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8D6ABA" w14:textId="77777777" w:rsidR="00425F05" w:rsidRPr="00425F05" w:rsidRDefault="00425F05" w:rsidP="00425F05">
            <w:pPr>
              <w:rPr>
                <w:rFonts w:ascii="Calibri" w:hAnsi="Calibri" w:cs="Calibri"/>
                <w:b/>
                <w:color w:val="000000"/>
                <w:sz w:val="20"/>
                <w:szCs w:val="22"/>
              </w:rPr>
            </w:pPr>
          </w:p>
        </w:tc>
        <w:tc>
          <w:tcPr>
            <w:tcW w:w="13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444EF6" w14:textId="77777777" w:rsidR="00425F05" w:rsidRPr="00425F05" w:rsidRDefault="00425F05" w:rsidP="00425F05">
            <w:pPr>
              <w:rPr>
                <w:rFonts w:ascii="Calibri" w:hAnsi="Calibri" w:cs="Calibri"/>
                <w:b/>
                <w:color w:val="000000"/>
                <w:sz w:val="20"/>
                <w:szCs w:val="22"/>
              </w:rPr>
            </w:pPr>
          </w:p>
        </w:tc>
        <w:tc>
          <w:tcPr>
            <w:tcW w:w="1777" w:type="dxa"/>
            <w:tcBorders>
              <w:top w:val="nil"/>
              <w:left w:val="nil"/>
              <w:bottom w:val="single" w:sz="4" w:space="0" w:color="auto"/>
              <w:right w:val="single" w:sz="4" w:space="0" w:color="auto"/>
            </w:tcBorders>
            <w:shd w:val="clear" w:color="auto" w:fill="D9D9D9" w:themeFill="background1" w:themeFillShade="D9"/>
            <w:noWrap/>
            <w:hideMark/>
          </w:tcPr>
          <w:p w14:paraId="63963B0F"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Tier 1</w:t>
            </w:r>
          </w:p>
        </w:tc>
        <w:tc>
          <w:tcPr>
            <w:tcW w:w="1733" w:type="dxa"/>
            <w:tcBorders>
              <w:top w:val="nil"/>
              <w:left w:val="nil"/>
              <w:bottom w:val="single" w:sz="4" w:space="0" w:color="auto"/>
              <w:right w:val="single" w:sz="4" w:space="0" w:color="auto"/>
            </w:tcBorders>
            <w:shd w:val="clear" w:color="auto" w:fill="D9D9D9" w:themeFill="background1" w:themeFillShade="D9"/>
            <w:noWrap/>
            <w:hideMark/>
          </w:tcPr>
          <w:p w14:paraId="1564ACDB"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Tier 2</w:t>
            </w:r>
          </w:p>
        </w:tc>
        <w:tc>
          <w:tcPr>
            <w:tcW w:w="1822" w:type="dxa"/>
            <w:tcBorders>
              <w:top w:val="nil"/>
              <w:left w:val="nil"/>
              <w:bottom w:val="single" w:sz="4" w:space="0" w:color="auto"/>
              <w:right w:val="single" w:sz="4" w:space="0" w:color="auto"/>
            </w:tcBorders>
            <w:shd w:val="clear" w:color="auto" w:fill="D9D9D9" w:themeFill="background1" w:themeFillShade="D9"/>
            <w:noWrap/>
            <w:hideMark/>
          </w:tcPr>
          <w:p w14:paraId="52481171"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Tier 1</w:t>
            </w:r>
          </w:p>
        </w:tc>
        <w:tc>
          <w:tcPr>
            <w:tcW w:w="1778" w:type="dxa"/>
            <w:tcBorders>
              <w:top w:val="nil"/>
              <w:left w:val="nil"/>
              <w:bottom w:val="single" w:sz="4" w:space="0" w:color="auto"/>
              <w:right w:val="single" w:sz="4" w:space="0" w:color="auto"/>
            </w:tcBorders>
            <w:shd w:val="clear" w:color="auto" w:fill="D9D9D9" w:themeFill="background1" w:themeFillShade="D9"/>
            <w:noWrap/>
            <w:hideMark/>
          </w:tcPr>
          <w:p w14:paraId="31D20B9F" w14:textId="77777777" w:rsidR="00425F05" w:rsidRPr="00425F05" w:rsidRDefault="00425F05" w:rsidP="00425F05">
            <w:pPr>
              <w:rPr>
                <w:rFonts w:ascii="Calibri" w:hAnsi="Calibri" w:cs="Calibri"/>
                <w:b/>
                <w:color w:val="000000"/>
                <w:sz w:val="20"/>
                <w:szCs w:val="22"/>
              </w:rPr>
            </w:pPr>
            <w:r w:rsidRPr="00425F05">
              <w:rPr>
                <w:rFonts w:ascii="Calibri" w:hAnsi="Calibri" w:cs="Calibri"/>
                <w:b/>
                <w:color w:val="000000"/>
                <w:sz w:val="20"/>
                <w:szCs w:val="22"/>
              </w:rPr>
              <w:t>Tier 2</w:t>
            </w:r>
          </w:p>
        </w:tc>
      </w:tr>
      <w:tr w:rsidR="0012247D" w:rsidRPr="00425F05" w14:paraId="1F5B6A77" w14:textId="77777777" w:rsidTr="0012247D">
        <w:trPr>
          <w:trHeight w:val="70"/>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4B17E52E" w14:textId="24ECB323" w:rsidR="0012247D" w:rsidRPr="00425F05" w:rsidRDefault="002C212F" w:rsidP="0012247D">
            <w:pPr>
              <w:rPr>
                <w:rFonts w:ascii="Calibri" w:hAnsi="Calibri" w:cs="Calibri"/>
                <w:color w:val="000000"/>
                <w:sz w:val="20"/>
                <w:szCs w:val="22"/>
              </w:rPr>
            </w:pPr>
            <w:r>
              <w:rPr>
                <w:rFonts w:ascii="Calibri" w:hAnsi="Calibri" w:cs="Calibri"/>
                <w:color w:val="000000"/>
                <w:sz w:val="20"/>
                <w:szCs w:val="22"/>
              </w:rPr>
              <w:t>NR/NC</w:t>
            </w:r>
          </w:p>
        </w:tc>
        <w:tc>
          <w:tcPr>
            <w:tcW w:w="1328" w:type="dxa"/>
            <w:tcBorders>
              <w:top w:val="nil"/>
              <w:left w:val="nil"/>
              <w:bottom w:val="single" w:sz="4" w:space="0" w:color="auto"/>
              <w:right w:val="single" w:sz="4" w:space="0" w:color="auto"/>
            </w:tcBorders>
            <w:shd w:val="clear" w:color="auto" w:fill="auto"/>
            <w:noWrap/>
            <w:vAlign w:val="bottom"/>
          </w:tcPr>
          <w:p w14:paraId="6EC003DA" w14:textId="72A12D2D"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64.6</w:t>
            </w:r>
          </w:p>
        </w:tc>
        <w:tc>
          <w:tcPr>
            <w:tcW w:w="1777" w:type="dxa"/>
            <w:tcBorders>
              <w:top w:val="nil"/>
              <w:left w:val="nil"/>
              <w:bottom w:val="single" w:sz="4" w:space="0" w:color="auto"/>
              <w:right w:val="single" w:sz="4" w:space="0" w:color="auto"/>
            </w:tcBorders>
            <w:shd w:val="clear" w:color="auto" w:fill="auto"/>
            <w:noWrap/>
            <w:vAlign w:val="bottom"/>
          </w:tcPr>
          <w:p w14:paraId="5760C2D9" w14:textId="2C4F0019" w:rsidR="0012247D" w:rsidRPr="00425F05" w:rsidRDefault="0012247D" w:rsidP="0012247D">
            <w:pPr>
              <w:rPr>
                <w:rFonts w:ascii="Calibri" w:hAnsi="Calibri" w:cs="Calibri"/>
                <w:color w:val="000000"/>
                <w:sz w:val="20"/>
                <w:szCs w:val="22"/>
              </w:rPr>
            </w:pPr>
            <w:r w:rsidRPr="00425F05">
              <w:rPr>
                <w:rFonts w:ascii="Calibri" w:hAnsi="Calibri" w:cs="Calibri"/>
                <w:color w:val="000000"/>
                <w:sz w:val="20"/>
                <w:szCs w:val="22"/>
              </w:rPr>
              <w:t>≥70% and &lt;75%</w:t>
            </w:r>
          </w:p>
        </w:tc>
        <w:tc>
          <w:tcPr>
            <w:tcW w:w="1733" w:type="dxa"/>
            <w:tcBorders>
              <w:top w:val="nil"/>
              <w:left w:val="nil"/>
              <w:bottom w:val="single" w:sz="4" w:space="0" w:color="auto"/>
              <w:right w:val="single" w:sz="4" w:space="0" w:color="auto"/>
            </w:tcBorders>
            <w:shd w:val="clear" w:color="auto" w:fill="auto"/>
            <w:noWrap/>
            <w:vAlign w:val="bottom"/>
          </w:tcPr>
          <w:p w14:paraId="361FD407" w14:textId="6DC39685" w:rsidR="0012247D" w:rsidRPr="00425F05" w:rsidRDefault="0012247D" w:rsidP="0012247D">
            <w:pPr>
              <w:rPr>
                <w:rFonts w:ascii="Calibri" w:hAnsi="Calibri" w:cs="Calibri"/>
                <w:color w:val="000000"/>
                <w:sz w:val="20"/>
                <w:szCs w:val="22"/>
              </w:rPr>
            </w:pPr>
            <w:r w:rsidRPr="00425F05">
              <w:rPr>
                <w:rFonts w:ascii="Calibri" w:hAnsi="Calibri" w:cs="Calibri"/>
                <w:color w:val="000000"/>
                <w:sz w:val="20"/>
                <w:szCs w:val="22"/>
              </w:rPr>
              <w:t>≥75%</w:t>
            </w:r>
          </w:p>
        </w:tc>
        <w:tc>
          <w:tcPr>
            <w:tcW w:w="1822" w:type="dxa"/>
            <w:tcBorders>
              <w:top w:val="nil"/>
              <w:left w:val="nil"/>
              <w:bottom w:val="single" w:sz="4" w:space="0" w:color="auto"/>
              <w:right w:val="single" w:sz="4" w:space="0" w:color="auto"/>
            </w:tcBorders>
            <w:shd w:val="clear" w:color="auto" w:fill="auto"/>
            <w:noWrap/>
            <w:vAlign w:val="bottom"/>
          </w:tcPr>
          <w:p w14:paraId="7E15D82C" w14:textId="03726B8C"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72.1</w:t>
            </w:r>
          </w:p>
        </w:tc>
        <w:tc>
          <w:tcPr>
            <w:tcW w:w="1778" w:type="dxa"/>
            <w:tcBorders>
              <w:top w:val="nil"/>
              <w:left w:val="nil"/>
              <w:bottom w:val="single" w:sz="4" w:space="0" w:color="auto"/>
              <w:right w:val="single" w:sz="4" w:space="0" w:color="auto"/>
            </w:tcBorders>
            <w:shd w:val="clear" w:color="auto" w:fill="auto"/>
            <w:noWrap/>
            <w:vAlign w:val="bottom"/>
          </w:tcPr>
          <w:p w14:paraId="271302B4" w14:textId="57949DD1"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79.1</w:t>
            </w:r>
          </w:p>
        </w:tc>
      </w:tr>
      <w:tr w:rsidR="0012247D" w:rsidRPr="00425F05" w14:paraId="45281BFE" w14:textId="77777777" w:rsidTr="0012247D">
        <w:trPr>
          <w:trHeight w:val="70"/>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6479ACC3" w14:textId="27A11298" w:rsidR="0012247D" w:rsidRDefault="002C212F" w:rsidP="0012247D">
            <w:pPr>
              <w:rPr>
                <w:rFonts w:ascii="Calibri" w:hAnsi="Calibri" w:cs="Calibri"/>
                <w:color w:val="000000"/>
                <w:sz w:val="20"/>
                <w:szCs w:val="22"/>
              </w:rPr>
            </w:pPr>
            <w:r>
              <w:rPr>
                <w:rFonts w:ascii="Calibri" w:hAnsi="Calibri" w:cs="Calibri"/>
                <w:color w:val="000000"/>
                <w:sz w:val="20"/>
                <w:szCs w:val="22"/>
              </w:rPr>
              <w:t>AR</w:t>
            </w:r>
          </w:p>
        </w:tc>
        <w:tc>
          <w:tcPr>
            <w:tcW w:w="1328" w:type="dxa"/>
            <w:tcBorders>
              <w:top w:val="nil"/>
              <w:left w:val="nil"/>
              <w:bottom w:val="single" w:sz="4" w:space="0" w:color="auto"/>
              <w:right w:val="single" w:sz="4" w:space="0" w:color="auto"/>
            </w:tcBorders>
            <w:shd w:val="clear" w:color="auto" w:fill="auto"/>
            <w:noWrap/>
            <w:vAlign w:val="bottom"/>
          </w:tcPr>
          <w:p w14:paraId="2AE5A5FC" w14:textId="75818E4C"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60.8</w:t>
            </w:r>
          </w:p>
        </w:tc>
        <w:tc>
          <w:tcPr>
            <w:tcW w:w="1777" w:type="dxa"/>
            <w:tcBorders>
              <w:top w:val="nil"/>
              <w:left w:val="nil"/>
              <w:bottom w:val="single" w:sz="4" w:space="0" w:color="auto"/>
              <w:right w:val="single" w:sz="4" w:space="0" w:color="auto"/>
            </w:tcBorders>
            <w:shd w:val="clear" w:color="auto" w:fill="auto"/>
            <w:noWrap/>
            <w:vAlign w:val="bottom"/>
          </w:tcPr>
          <w:p w14:paraId="471D72AA" w14:textId="063CEE5A" w:rsidR="0012247D" w:rsidRPr="00425F05" w:rsidRDefault="0012247D" w:rsidP="0012247D">
            <w:pPr>
              <w:rPr>
                <w:rFonts w:ascii="Calibri" w:hAnsi="Calibri" w:cs="Calibri"/>
                <w:color w:val="000000"/>
                <w:sz w:val="20"/>
                <w:szCs w:val="22"/>
              </w:rPr>
            </w:pPr>
            <w:r w:rsidRPr="00425F05">
              <w:rPr>
                <w:rFonts w:ascii="Calibri" w:hAnsi="Calibri" w:cs="Calibri"/>
                <w:color w:val="000000"/>
                <w:sz w:val="20"/>
                <w:szCs w:val="22"/>
              </w:rPr>
              <w:t>≥70% and &lt;75%</w:t>
            </w:r>
          </w:p>
        </w:tc>
        <w:tc>
          <w:tcPr>
            <w:tcW w:w="1733" w:type="dxa"/>
            <w:tcBorders>
              <w:top w:val="nil"/>
              <w:left w:val="nil"/>
              <w:bottom w:val="single" w:sz="4" w:space="0" w:color="auto"/>
              <w:right w:val="single" w:sz="4" w:space="0" w:color="auto"/>
            </w:tcBorders>
            <w:shd w:val="clear" w:color="auto" w:fill="auto"/>
            <w:noWrap/>
            <w:vAlign w:val="bottom"/>
          </w:tcPr>
          <w:p w14:paraId="4FC4AD7D" w14:textId="6A90A62B" w:rsidR="0012247D" w:rsidRPr="00425F05" w:rsidRDefault="0012247D" w:rsidP="0012247D">
            <w:pPr>
              <w:rPr>
                <w:rFonts w:ascii="Calibri" w:hAnsi="Calibri" w:cs="Calibri"/>
                <w:color w:val="000000"/>
                <w:sz w:val="20"/>
                <w:szCs w:val="22"/>
              </w:rPr>
            </w:pPr>
            <w:r w:rsidRPr="00425F05">
              <w:rPr>
                <w:rFonts w:ascii="Calibri" w:hAnsi="Calibri" w:cs="Calibri"/>
                <w:color w:val="000000"/>
                <w:sz w:val="20"/>
                <w:szCs w:val="22"/>
              </w:rPr>
              <w:t>≥75%</w:t>
            </w:r>
          </w:p>
        </w:tc>
        <w:tc>
          <w:tcPr>
            <w:tcW w:w="1822" w:type="dxa"/>
            <w:tcBorders>
              <w:top w:val="nil"/>
              <w:left w:val="nil"/>
              <w:bottom w:val="single" w:sz="4" w:space="0" w:color="auto"/>
              <w:right w:val="single" w:sz="4" w:space="0" w:color="auto"/>
            </w:tcBorders>
            <w:shd w:val="clear" w:color="auto" w:fill="auto"/>
            <w:noWrap/>
            <w:vAlign w:val="bottom"/>
          </w:tcPr>
          <w:p w14:paraId="4740640F" w14:textId="4A43B7A8"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72.1</w:t>
            </w:r>
          </w:p>
        </w:tc>
        <w:tc>
          <w:tcPr>
            <w:tcW w:w="1778" w:type="dxa"/>
            <w:tcBorders>
              <w:top w:val="nil"/>
              <w:left w:val="nil"/>
              <w:bottom w:val="single" w:sz="4" w:space="0" w:color="auto"/>
              <w:right w:val="single" w:sz="4" w:space="0" w:color="auto"/>
            </w:tcBorders>
            <w:shd w:val="clear" w:color="auto" w:fill="auto"/>
            <w:noWrap/>
            <w:vAlign w:val="bottom"/>
          </w:tcPr>
          <w:p w14:paraId="0C4B7083" w14:textId="22E9816C" w:rsidR="0012247D" w:rsidRPr="00425F05" w:rsidRDefault="0012247D" w:rsidP="0012247D">
            <w:pPr>
              <w:jc w:val="right"/>
              <w:rPr>
                <w:rFonts w:ascii="Calibri" w:hAnsi="Calibri" w:cs="Calibri"/>
                <w:color w:val="000000"/>
                <w:sz w:val="20"/>
                <w:szCs w:val="22"/>
              </w:rPr>
            </w:pPr>
            <w:r w:rsidRPr="00425F05">
              <w:rPr>
                <w:rFonts w:ascii="Calibri" w:hAnsi="Calibri" w:cs="Calibri"/>
                <w:color w:val="000000"/>
                <w:sz w:val="20"/>
                <w:szCs w:val="22"/>
              </w:rPr>
              <w:t>79.1</w:t>
            </w:r>
          </w:p>
        </w:tc>
      </w:tr>
    </w:tbl>
    <w:p w14:paraId="77E55BB6" w14:textId="32A505DE" w:rsidR="003F69BA" w:rsidRPr="00774B7E" w:rsidRDefault="003F69BA" w:rsidP="00774B7E"/>
    <w:p w14:paraId="29927FE9" w14:textId="22795449" w:rsidR="00572D2F" w:rsidRDefault="00572D2F" w:rsidP="00920905">
      <w:pPr>
        <w:pStyle w:val="Heading2"/>
        <w:rPr>
          <w:rFonts w:asciiTheme="minorHAnsi" w:hAnsiTheme="minorHAnsi" w:cstheme="minorHAnsi"/>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4"/>
      <w:bookmarkEnd w:id="15"/>
      <w:bookmarkEnd w:id="16"/>
      <w:bookmarkEnd w:id="17"/>
    </w:p>
    <w:p w14:paraId="1553DE9A" w14:textId="32FE9A48" w:rsidR="00284CE5" w:rsidRDefault="00111F1E" w:rsidP="00284CE5">
      <w:r>
        <w:t>This workpaper refers to a memo found within the</w:t>
      </w:r>
      <w:r w:rsidR="00FE1A0B">
        <w:t xml:space="preserve"> April 2010 DOE Final Rule, a CADMUS study done for the </w:t>
      </w:r>
      <w:r w:rsidR="00D74ACA">
        <w:t>ETO</w:t>
      </w:r>
      <w:r w:rsidR="00FE1A0B">
        <w:t xml:space="preserve">, </w:t>
      </w:r>
      <w:r>
        <w:t>Northwest Natural’s 2015 Energy Efficiency Plan</w:t>
      </w:r>
      <w:r w:rsidR="003B2F01">
        <w:t xml:space="preserve">, </w:t>
      </w:r>
      <w:r w:rsidR="00FE1A0B">
        <w:t xml:space="preserve">and the </w:t>
      </w:r>
      <w:r w:rsidR="003B2F01">
        <w:t xml:space="preserve">current gas fireplace incentives </w:t>
      </w:r>
      <w:r w:rsidR="00FE1A0B">
        <w:t>offered by</w:t>
      </w:r>
      <w:r w:rsidR="003B2F01">
        <w:t xml:space="preserve"> the </w:t>
      </w:r>
      <w:r w:rsidR="00D74ACA">
        <w:t>ETO</w:t>
      </w:r>
      <w:r>
        <w:t>.  These studies quantify potential savings, however this workpaper uses its own methodology described in section 2 to estimate the actual savings presented in this document</w:t>
      </w:r>
      <w:r w:rsidR="00DB6C62">
        <w:t xml:space="preserve"> specifically for each CA climate zone</w:t>
      </w:r>
      <w:r>
        <w:t>.</w:t>
      </w:r>
    </w:p>
    <w:p w14:paraId="3DFAA30F" w14:textId="77777777" w:rsidR="00FE1A0B" w:rsidRDefault="00FE1A0B" w:rsidP="00284CE5"/>
    <w:p w14:paraId="4B1A07DA" w14:textId="09ABF149" w:rsidR="00FE1A0B" w:rsidRDefault="00FE1A0B" w:rsidP="00FE1A0B">
      <w:pPr>
        <w:pStyle w:val="Heading3"/>
        <w:rPr>
          <w:rFonts w:asciiTheme="minorHAnsi" w:hAnsiTheme="minorHAnsi"/>
        </w:rPr>
      </w:pPr>
      <w:r w:rsidRPr="00920905">
        <w:rPr>
          <w:rFonts w:asciiTheme="minorHAnsi" w:hAnsiTheme="minorHAnsi"/>
        </w:rPr>
        <w:t>1.5.</w:t>
      </w:r>
      <w:r>
        <w:rPr>
          <w:rFonts w:asciiTheme="minorHAnsi" w:hAnsiTheme="minorHAnsi"/>
        </w:rPr>
        <w:t>1</w:t>
      </w:r>
      <w:r w:rsidRPr="00920905">
        <w:rPr>
          <w:rFonts w:asciiTheme="minorHAnsi" w:hAnsiTheme="minorHAnsi"/>
        </w:rPr>
        <w:t xml:space="preserve"> </w:t>
      </w:r>
      <w:r>
        <w:rPr>
          <w:rFonts w:asciiTheme="minorHAnsi" w:hAnsiTheme="minorHAnsi"/>
        </w:rPr>
        <w:t xml:space="preserve">April 2010 </w:t>
      </w:r>
      <w:r w:rsidRPr="00B23D99">
        <w:rPr>
          <w:rFonts w:asciiTheme="minorHAnsi" w:hAnsiTheme="minorHAnsi"/>
        </w:rPr>
        <w:t xml:space="preserve">DOE </w:t>
      </w:r>
      <w:r>
        <w:rPr>
          <w:rFonts w:asciiTheme="minorHAnsi" w:hAnsiTheme="minorHAnsi"/>
        </w:rPr>
        <w:t>Final Rule</w:t>
      </w:r>
    </w:p>
    <w:p w14:paraId="40AC0FF6" w14:textId="7919999E" w:rsidR="00FE1A0B" w:rsidRDefault="00FE1A0B" w:rsidP="00FE1A0B">
      <w:r>
        <w:t xml:space="preserve">As stated in section 1.4.2, DOE published a final rule establishing a definition for hearth products (fireplaces) and energy conservation standards.  The April 2010 DOE Final Rule was vacated by the DC court of appeals because it did not fairly represent fireplaces not designed to provide heat. As this </w:t>
      </w:r>
      <w:r>
        <w:lastRenderedPageBreak/>
        <w:t>workpaper only considers fireplaces designed to provide heat the assumptions made in the April 2010 DOE Final Rule are still applicable.</w:t>
      </w:r>
    </w:p>
    <w:p w14:paraId="23ED1B13" w14:textId="77777777" w:rsidR="00FE1A0B" w:rsidRDefault="00FE1A0B" w:rsidP="00FE1A0B"/>
    <w:p w14:paraId="5A345F0C" w14:textId="77777777" w:rsidR="00FE1A0B" w:rsidRDefault="00FE1A0B" w:rsidP="00FE1A0B">
      <w:pPr>
        <w:pStyle w:val="ListParagraph"/>
        <w:numPr>
          <w:ilvl w:val="0"/>
          <w:numId w:val="16"/>
        </w:numPr>
      </w:pPr>
      <w:r>
        <w:t>Representative product class, “Over 27,000 and up to 46,000 Btu/h”</w:t>
      </w:r>
    </w:p>
    <w:p w14:paraId="262F4393" w14:textId="77777777" w:rsidR="00FE1A0B" w:rsidRDefault="00FE1A0B" w:rsidP="00FE1A0B">
      <w:pPr>
        <w:pStyle w:val="ListParagraph"/>
        <w:numPr>
          <w:ilvl w:val="1"/>
          <w:numId w:val="16"/>
        </w:numPr>
      </w:pPr>
      <w:r>
        <w:t>Representative input rate used was 35,000 Btu/h</w:t>
      </w:r>
    </w:p>
    <w:p w14:paraId="7E402DAC" w14:textId="77777777" w:rsidR="00FE1A0B" w:rsidRPr="00784343" w:rsidRDefault="00FE1A0B" w:rsidP="00FE1A0B">
      <w:pPr>
        <w:pStyle w:val="ListParagraph"/>
        <w:numPr>
          <w:ilvl w:val="0"/>
          <w:numId w:val="16"/>
        </w:numPr>
      </w:pPr>
      <w:r w:rsidRPr="00784343">
        <w:t xml:space="preserve">Pilot light input rate </w:t>
      </w:r>
      <w:r>
        <w:t>used was 35</w:t>
      </w:r>
      <w:r w:rsidRPr="00784343">
        <w:t>0 Btu/h</w:t>
      </w:r>
    </w:p>
    <w:p w14:paraId="7F25266D" w14:textId="77777777" w:rsidR="00FE1A0B" w:rsidRDefault="00FE1A0B" w:rsidP="00FE1A0B">
      <w:pPr>
        <w:pStyle w:val="ListParagraph"/>
        <w:numPr>
          <w:ilvl w:val="0"/>
          <w:numId w:val="16"/>
        </w:numPr>
      </w:pPr>
      <w:r>
        <w:t>Burner ON hours were a function based on house heating load (Btu/y), input rate of the pilot and fireplace, steady state efficiency, and average heating season hours.</w:t>
      </w:r>
    </w:p>
    <w:p w14:paraId="4F40290B" w14:textId="77777777" w:rsidR="00FE1A0B" w:rsidRDefault="00FE1A0B" w:rsidP="00FE1A0B">
      <w:pPr>
        <w:pStyle w:val="ListParagraph"/>
        <w:numPr>
          <w:ilvl w:val="0"/>
          <w:numId w:val="16"/>
        </w:numPr>
      </w:pPr>
      <w:r>
        <w:t>Product lifetime of 10 to 20 years with an average of 15 years.</w:t>
      </w:r>
    </w:p>
    <w:p w14:paraId="6B73782A" w14:textId="77777777" w:rsidR="00FE1A0B" w:rsidRDefault="00FE1A0B" w:rsidP="00FE1A0B"/>
    <w:p w14:paraId="47D5D60C" w14:textId="1F060129" w:rsidR="00FE1A0B" w:rsidRDefault="00FE1A0B" w:rsidP="00FE1A0B">
      <w:pPr>
        <w:pStyle w:val="Caption"/>
        <w:keepNext/>
      </w:pPr>
      <w:r>
        <w:t xml:space="preserve">Table </w:t>
      </w:r>
      <w:fldSimple w:instr=" SEQ Table \* ARABIC ">
        <w:r w:rsidR="000B78F6">
          <w:rPr>
            <w:noProof/>
          </w:rPr>
          <w:t>12</w:t>
        </w:r>
      </w:fldSimple>
      <w:r>
        <w:t>: DOE Efficiency Levels from the April 2010 DOE Final Rule</w:t>
      </w:r>
    </w:p>
    <w:tbl>
      <w:tblPr>
        <w:tblW w:w="9350" w:type="dxa"/>
        <w:tblCellMar>
          <w:left w:w="0" w:type="dxa"/>
          <w:right w:w="0" w:type="dxa"/>
        </w:tblCellMar>
        <w:tblLook w:val="0600" w:firstRow="0" w:lastRow="0" w:firstColumn="0" w:lastColumn="0" w:noHBand="1" w:noVBand="1"/>
      </w:tblPr>
      <w:tblGrid>
        <w:gridCol w:w="2265"/>
        <w:gridCol w:w="1890"/>
        <w:gridCol w:w="1865"/>
        <w:gridCol w:w="1890"/>
        <w:gridCol w:w="1440"/>
      </w:tblGrid>
      <w:tr w:rsidR="00C84831" w:rsidRPr="00AA47A1" w14:paraId="71FBE575" w14:textId="757014D5" w:rsidTr="00F64210">
        <w:trPr>
          <w:trHeight w:val="505"/>
        </w:trPr>
        <w:tc>
          <w:tcPr>
            <w:tcW w:w="226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5" w:type="dxa"/>
              <w:bottom w:w="0" w:type="dxa"/>
              <w:right w:w="15" w:type="dxa"/>
            </w:tcMar>
            <w:vAlign w:val="center"/>
            <w:hideMark/>
          </w:tcPr>
          <w:p w14:paraId="71816EB0" w14:textId="77777777" w:rsidR="00C84831" w:rsidRPr="00AA47A1" w:rsidRDefault="00C84831" w:rsidP="00F64210">
            <w:pPr>
              <w:keepNext/>
              <w:jc w:val="center"/>
              <w:rPr>
                <w:sz w:val="20"/>
              </w:rPr>
            </w:pPr>
            <w:r w:rsidRPr="00AA47A1">
              <w:rPr>
                <w:b/>
                <w:bCs/>
                <w:sz w:val="20"/>
              </w:rPr>
              <w:t>Efficiency Level</w:t>
            </w:r>
          </w:p>
        </w:tc>
        <w:tc>
          <w:tcPr>
            <w:tcW w:w="18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5" w:type="dxa"/>
              <w:bottom w:w="0" w:type="dxa"/>
              <w:right w:w="15" w:type="dxa"/>
            </w:tcMar>
            <w:vAlign w:val="center"/>
            <w:hideMark/>
          </w:tcPr>
          <w:p w14:paraId="0D803819" w14:textId="77777777" w:rsidR="00C84831" w:rsidRPr="00AA47A1" w:rsidRDefault="00C84831" w:rsidP="00F64210">
            <w:pPr>
              <w:keepNext/>
              <w:jc w:val="center"/>
              <w:rPr>
                <w:sz w:val="20"/>
              </w:rPr>
            </w:pPr>
            <w:r w:rsidRPr="00AA47A1">
              <w:rPr>
                <w:b/>
                <w:bCs/>
                <w:sz w:val="20"/>
              </w:rPr>
              <w:t>Technology</w:t>
            </w:r>
          </w:p>
        </w:tc>
        <w:tc>
          <w:tcPr>
            <w:tcW w:w="1865" w:type="dxa"/>
            <w:tcBorders>
              <w:top w:val="single" w:sz="8" w:space="0" w:color="000000"/>
              <w:left w:val="single" w:sz="8" w:space="0" w:color="000000"/>
              <w:right w:val="single" w:sz="8" w:space="0" w:color="000000"/>
            </w:tcBorders>
            <w:shd w:val="clear" w:color="auto" w:fill="D9D9D9" w:themeFill="background1" w:themeFillShade="D9"/>
            <w:vAlign w:val="center"/>
          </w:tcPr>
          <w:p w14:paraId="6BC6A4B9" w14:textId="6B13B625" w:rsidR="00C84831" w:rsidRPr="00C84831" w:rsidRDefault="00C84831" w:rsidP="00F64210">
            <w:pPr>
              <w:keepNext/>
              <w:jc w:val="center"/>
              <w:rPr>
                <w:sz w:val="20"/>
              </w:rPr>
            </w:pPr>
            <w:r w:rsidRPr="00AA47A1">
              <w:rPr>
                <w:b/>
                <w:bCs/>
                <w:sz w:val="20"/>
              </w:rPr>
              <w:t>Average Energy Savings</w:t>
            </w:r>
            <w:r>
              <w:rPr>
                <w:sz w:val="20"/>
              </w:rPr>
              <w:t xml:space="preserve">, </w:t>
            </w:r>
            <w:r w:rsidRPr="00AA47A1">
              <w:rPr>
                <w:b/>
                <w:bCs/>
                <w:sz w:val="20"/>
              </w:rPr>
              <w:t>(</w:t>
            </w:r>
            <w:r>
              <w:rPr>
                <w:b/>
                <w:bCs/>
                <w:sz w:val="20"/>
              </w:rPr>
              <w:t>Therms</w:t>
            </w:r>
            <w:r w:rsidRPr="00AA47A1">
              <w:rPr>
                <w:b/>
                <w:bCs/>
                <w:sz w:val="20"/>
              </w:rPr>
              <w:t>/y</w:t>
            </w:r>
            <w:r>
              <w:rPr>
                <w:b/>
                <w:bCs/>
                <w:sz w:val="20"/>
              </w:rPr>
              <w:t>r</w:t>
            </w:r>
            <w:r w:rsidRPr="00AA47A1">
              <w:rPr>
                <w:b/>
                <w:bCs/>
                <w:sz w:val="20"/>
              </w:rPr>
              <w:t>)</w:t>
            </w:r>
          </w:p>
        </w:tc>
        <w:tc>
          <w:tcPr>
            <w:tcW w:w="1890" w:type="dxa"/>
            <w:tcBorders>
              <w:top w:val="single" w:sz="8" w:space="0" w:color="000000"/>
              <w:left w:val="single" w:sz="8" w:space="0" w:color="000000"/>
              <w:right w:val="single" w:sz="8" w:space="0" w:color="000000"/>
            </w:tcBorders>
            <w:shd w:val="clear" w:color="auto" w:fill="D9D9D9" w:themeFill="background1" w:themeFillShade="D9"/>
            <w:tcMar>
              <w:top w:w="15" w:type="dxa"/>
              <w:left w:w="15" w:type="dxa"/>
              <w:bottom w:w="0" w:type="dxa"/>
              <w:right w:w="15" w:type="dxa"/>
            </w:tcMar>
            <w:vAlign w:val="center"/>
            <w:hideMark/>
          </w:tcPr>
          <w:p w14:paraId="23EA639B" w14:textId="6B17C256" w:rsidR="00C84831" w:rsidRPr="00AA47A1" w:rsidRDefault="00C84831" w:rsidP="00F64210">
            <w:pPr>
              <w:keepNext/>
              <w:jc w:val="center"/>
              <w:rPr>
                <w:sz w:val="20"/>
              </w:rPr>
            </w:pPr>
            <w:r w:rsidRPr="00AA47A1">
              <w:rPr>
                <w:b/>
                <w:bCs/>
                <w:sz w:val="20"/>
              </w:rPr>
              <w:t>Manufacturer Selling Price</w:t>
            </w:r>
            <w:r>
              <w:rPr>
                <w:sz w:val="20"/>
              </w:rPr>
              <w:t xml:space="preserve">, </w:t>
            </w:r>
            <w:r w:rsidRPr="00AA47A1">
              <w:rPr>
                <w:b/>
                <w:bCs/>
                <w:sz w:val="20"/>
              </w:rPr>
              <w:t>2009$</w:t>
            </w:r>
          </w:p>
        </w:tc>
        <w:tc>
          <w:tcPr>
            <w:tcW w:w="1440" w:type="dxa"/>
            <w:tcBorders>
              <w:top w:val="single" w:sz="8" w:space="0" w:color="000000"/>
              <w:left w:val="single" w:sz="8" w:space="0" w:color="000000"/>
              <w:right w:val="single" w:sz="8" w:space="0" w:color="000000"/>
            </w:tcBorders>
            <w:shd w:val="clear" w:color="auto" w:fill="D9D9D9" w:themeFill="background1" w:themeFillShade="D9"/>
            <w:vAlign w:val="center"/>
          </w:tcPr>
          <w:p w14:paraId="67DC295C" w14:textId="4F9AE7D4" w:rsidR="00C84831" w:rsidRPr="00AA47A1" w:rsidRDefault="00C84831" w:rsidP="00F64210">
            <w:pPr>
              <w:keepNext/>
              <w:jc w:val="center"/>
              <w:rPr>
                <w:b/>
                <w:bCs/>
                <w:sz w:val="20"/>
              </w:rPr>
            </w:pPr>
            <w:r>
              <w:rPr>
                <w:b/>
                <w:bCs/>
                <w:sz w:val="20"/>
              </w:rPr>
              <w:t>Installed Cost, 2009$</w:t>
            </w:r>
          </w:p>
        </w:tc>
      </w:tr>
      <w:tr w:rsidR="00C84831" w:rsidRPr="00AA47A1" w14:paraId="78150985" w14:textId="042BA38A" w:rsidTr="00F64210">
        <w:trPr>
          <w:trHeight w:val="257"/>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79EA386" w14:textId="77777777" w:rsidR="00C84831" w:rsidRPr="00AA47A1" w:rsidRDefault="00C84831" w:rsidP="00C84831">
            <w:pPr>
              <w:keepNext/>
              <w:rPr>
                <w:sz w:val="20"/>
              </w:rPr>
            </w:pPr>
            <w:r w:rsidRPr="00AA47A1">
              <w:rPr>
                <w:sz w:val="20"/>
              </w:rPr>
              <w:t>Baseline (AFUE = 64)</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4BF44CC8" w14:textId="77777777" w:rsidR="00C84831" w:rsidRPr="00AA47A1" w:rsidRDefault="00C84831" w:rsidP="00C84831">
            <w:pPr>
              <w:keepNext/>
              <w:rPr>
                <w:sz w:val="20"/>
              </w:rPr>
            </w:pPr>
            <w:r w:rsidRPr="00AA47A1">
              <w:rPr>
                <w:sz w:val="20"/>
              </w:rPr>
              <w:t>Standing Pilot</w:t>
            </w:r>
          </w:p>
        </w:tc>
        <w:tc>
          <w:tcPr>
            <w:tcW w:w="1865" w:type="dxa"/>
            <w:tcBorders>
              <w:top w:val="single" w:sz="8" w:space="0" w:color="000000"/>
              <w:left w:val="single" w:sz="8" w:space="0" w:color="000000"/>
              <w:bottom w:val="single" w:sz="8" w:space="0" w:color="000000"/>
              <w:right w:val="single" w:sz="8" w:space="0" w:color="000000"/>
            </w:tcBorders>
            <w:vAlign w:val="center"/>
          </w:tcPr>
          <w:p w14:paraId="76326D38" w14:textId="77777777" w:rsidR="00C84831" w:rsidRPr="00AA47A1" w:rsidRDefault="00C84831" w:rsidP="00F501B8">
            <w:pPr>
              <w:keepNext/>
              <w:jc w:val="center"/>
              <w:rPr>
                <w:sz w:val="20"/>
              </w:rPr>
            </w:pPr>
            <w:r w:rsidRPr="00AA47A1">
              <w:rPr>
                <w:sz w:val="20"/>
              </w:rPr>
              <w:t>0</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794F203" w14:textId="77777777" w:rsidR="00C84831" w:rsidRPr="00AA47A1" w:rsidRDefault="00C84831" w:rsidP="00F501B8">
            <w:pPr>
              <w:keepNext/>
              <w:jc w:val="center"/>
              <w:rPr>
                <w:sz w:val="20"/>
              </w:rPr>
            </w:pPr>
            <w:r w:rsidRPr="00AA47A1">
              <w:rPr>
                <w:sz w:val="20"/>
              </w:rPr>
              <w:t>502</w:t>
            </w:r>
          </w:p>
        </w:tc>
        <w:tc>
          <w:tcPr>
            <w:tcW w:w="1440" w:type="dxa"/>
            <w:tcBorders>
              <w:top w:val="single" w:sz="8" w:space="0" w:color="000000"/>
              <w:left w:val="single" w:sz="8" w:space="0" w:color="000000"/>
              <w:bottom w:val="single" w:sz="8" w:space="0" w:color="000000"/>
              <w:right w:val="single" w:sz="8" w:space="0" w:color="000000"/>
            </w:tcBorders>
            <w:vAlign w:val="center"/>
          </w:tcPr>
          <w:p w14:paraId="192D94F1" w14:textId="588156C0" w:rsidR="00C84831" w:rsidRPr="00C84831" w:rsidRDefault="00C84831" w:rsidP="00F501B8">
            <w:pPr>
              <w:keepNext/>
              <w:jc w:val="center"/>
              <w:rPr>
                <w:sz w:val="20"/>
              </w:rPr>
            </w:pPr>
            <w:r w:rsidRPr="00C84831">
              <w:rPr>
                <w:sz w:val="20"/>
              </w:rPr>
              <w:t>$547</w:t>
            </w:r>
          </w:p>
        </w:tc>
      </w:tr>
      <w:tr w:rsidR="00C84831" w:rsidRPr="00AA47A1" w14:paraId="7F083609" w14:textId="04B790AF" w:rsidTr="00F64210">
        <w:trPr>
          <w:trHeight w:val="257"/>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A1B2881" w14:textId="77777777" w:rsidR="00C84831" w:rsidRPr="00AA47A1" w:rsidRDefault="00C84831" w:rsidP="00C84831">
            <w:pPr>
              <w:keepNext/>
              <w:rPr>
                <w:sz w:val="20"/>
              </w:rPr>
            </w:pPr>
            <w:r w:rsidRPr="00AA47A1">
              <w:rPr>
                <w:sz w:val="20"/>
              </w:rPr>
              <w:t>1 (AFUE = 67)</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EEDB9FF" w14:textId="77777777" w:rsidR="00C84831" w:rsidRPr="00AA47A1" w:rsidRDefault="00C84831" w:rsidP="00C84831">
            <w:pPr>
              <w:keepNext/>
              <w:rPr>
                <w:sz w:val="20"/>
              </w:rPr>
            </w:pPr>
            <w:r w:rsidRPr="00AA47A1">
              <w:rPr>
                <w:sz w:val="20"/>
              </w:rPr>
              <w:t>Electronic Ignition</w:t>
            </w:r>
          </w:p>
        </w:tc>
        <w:tc>
          <w:tcPr>
            <w:tcW w:w="1865" w:type="dxa"/>
            <w:tcBorders>
              <w:top w:val="single" w:sz="8" w:space="0" w:color="000000"/>
              <w:left w:val="single" w:sz="8" w:space="0" w:color="000000"/>
              <w:bottom w:val="single" w:sz="8" w:space="0" w:color="000000"/>
              <w:right w:val="single" w:sz="8" w:space="0" w:color="000000"/>
            </w:tcBorders>
            <w:vAlign w:val="center"/>
          </w:tcPr>
          <w:p w14:paraId="6105635F" w14:textId="77777777" w:rsidR="00C84831" w:rsidRPr="00AA47A1" w:rsidRDefault="00C84831" w:rsidP="00F501B8">
            <w:pPr>
              <w:keepNext/>
              <w:jc w:val="center"/>
              <w:rPr>
                <w:sz w:val="20"/>
              </w:rPr>
            </w:pPr>
            <w:r w:rsidRPr="00AA47A1">
              <w:rPr>
                <w:sz w:val="20"/>
              </w:rPr>
              <w:t>2</w:t>
            </w:r>
            <w:r>
              <w:rPr>
                <w:sz w:val="20"/>
              </w:rPr>
              <w:t>0</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C21765" w14:textId="77777777" w:rsidR="00C84831" w:rsidRPr="00AA47A1" w:rsidRDefault="00C84831" w:rsidP="00F501B8">
            <w:pPr>
              <w:keepNext/>
              <w:jc w:val="center"/>
              <w:rPr>
                <w:sz w:val="20"/>
              </w:rPr>
            </w:pPr>
            <w:r w:rsidRPr="00AA47A1">
              <w:rPr>
                <w:sz w:val="20"/>
              </w:rPr>
              <w:t>499</w:t>
            </w:r>
          </w:p>
        </w:tc>
        <w:tc>
          <w:tcPr>
            <w:tcW w:w="1440" w:type="dxa"/>
            <w:tcBorders>
              <w:top w:val="single" w:sz="8" w:space="0" w:color="000000"/>
              <w:left w:val="single" w:sz="8" w:space="0" w:color="000000"/>
              <w:bottom w:val="single" w:sz="8" w:space="0" w:color="000000"/>
              <w:right w:val="single" w:sz="8" w:space="0" w:color="000000"/>
            </w:tcBorders>
            <w:vAlign w:val="center"/>
          </w:tcPr>
          <w:p w14:paraId="113646B8" w14:textId="74E9F0B1" w:rsidR="00C84831" w:rsidRPr="00C84831" w:rsidRDefault="00C84831" w:rsidP="00F501B8">
            <w:pPr>
              <w:keepNext/>
              <w:jc w:val="center"/>
              <w:rPr>
                <w:sz w:val="20"/>
              </w:rPr>
            </w:pPr>
            <w:r w:rsidRPr="00C84831">
              <w:rPr>
                <w:sz w:val="20"/>
              </w:rPr>
              <w:t>$695</w:t>
            </w:r>
          </w:p>
        </w:tc>
      </w:tr>
      <w:tr w:rsidR="00C84831" w:rsidRPr="00AA47A1" w14:paraId="25D0C4D4" w14:textId="6A43BCB6" w:rsidTr="00F64210">
        <w:trPr>
          <w:trHeight w:val="257"/>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790DE7E2" w14:textId="77777777" w:rsidR="00C84831" w:rsidRPr="00AA47A1" w:rsidRDefault="00C84831" w:rsidP="00C84831">
            <w:pPr>
              <w:keepNext/>
              <w:rPr>
                <w:sz w:val="20"/>
              </w:rPr>
            </w:pPr>
            <w:r w:rsidRPr="00AA47A1">
              <w:rPr>
                <w:sz w:val="20"/>
              </w:rPr>
              <w:t>2 (AFUE = 72)</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585C99B" w14:textId="77777777" w:rsidR="00C84831" w:rsidRPr="00AA47A1" w:rsidRDefault="00C84831" w:rsidP="00C84831">
            <w:pPr>
              <w:keepNext/>
              <w:rPr>
                <w:sz w:val="20"/>
              </w:rPr>
            </w:pPr>
            <w:r w:rsidRPr="00AA47A1">
              <w:rPr>
                <w:sz w:val="20"/>
              </w:rPr>
              <w:t>Fan Assisted (Blower)</w:t>
            </w:r>
          </w:p>
        </w:tc>
        <w:tc>
          <w:tcPr>
            <w:tcW w:w="1865" w:type="dxa"/>
            <w:tcBorders>
              <w:top w:val="single" w:sz="8" w:space="0" w:color="000000"/>
              <w:left w:val="single" w:sz="8" w:space="0" w:color="000000"/>
              <w:bottom w:val="single" w:sz="8" w:space="0" w:color="000000"/>
              <w:right w:val="single" w:sz="8" w:space="0" w:color="000000"/>
            </w:tcBorders>
            <w:vAlign w:val="center"/>
          </w:tcPr>
          <w:p w14:paraId="18940691" w14:textId="77777777" w:rsidR="00C84831" w:rsidRPr="00AA47A1" w:rsidRDefault="00C84831" w:rsidP="00F501B8">
            <w:pPr>
              <w:keepNext/>
              <w:jc w:val="center"/>
              <w:rPr>
                <w:sz w:val="20"/>
              </w:rPr>
            </w:pPr>
            <w:r>
              <w:rPr>
                <w:sz w:val="20"/>
              </w:rPr>
              <w:t>3</w:t>
            </w:r>
            <w:r w:rsidRPr="00AA47A1">
              <w:rPr>
                <w:sz w:val="20"/>
              </w:rPr>
              <w:t>1</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1CCB88E" w14:textId="77777777" w:rsidR="00C84831" w:rsidRPr="00AA47A1" w:rsidRDefault="00C84831" w:rsidP="00F501B8">
            <w:pPr>
              <w:keepNext/>
              <w:jc w:val="center"/>
              <w:rPr>
                <w:sz w:val="20"/>
              </w:rPr>
            </w:pPr>
            <w:r w:rsidRPr="00AA47A1">
              <w:rPr>
                <w:sz w:val="20"/>
              </w:rPr>
              <w:t>743</w:t>
            </w:r>
          </w:p>
        </w:tc>
        <w:tc>
          <w:tcPr>
            <w:tcW w:w="1440" w:type="dxa"/>
            <w:tcBorders>
              <w:top w:val="single" w:sz="8" w:space="0" w:color="000000"/>
              <w:left w:val="single" w:sz="8" w:space="0" w:color="000000"/>
              <w:bottom w:val="single" w:sz="8" w:space="0" w:color="000000"/>
              <w:right w:val="single" w:sz="8" w:space="0" w:color="000000"/>
            </w:tcBorders>
            <w:vAlign w:val="center"/>
          </w:tcPr>
          <w:p w14:paraId="43AB70FA" w14:textId="4DC3BA8C" w:rsidR="00C84831" w:rsidRPr="00C84831" w:rsidRDefault="00C84831" w:rsidP="00F501B8">
            <w:pPr>
              <w:keepNext/>
              <w:jc w:val="center"/>
              <w:rPr>
                <w:sz w:val="20"/>
              </w:rPr>
            </w:pPr>
            <w:r w:rsidRPr="00C84831">
              <w:rPr>
                <w:sz w:val="20"/>
              </w:rPr>
              <w:t>$695</w:t>
            </w:r>
          </w:p>
        </w:tc>
      </w:tr>
      <w:tr w:rsidR="00C84831" w:rsidRPr="00AA47A1" w14:paraId="782DA0D7" w14:textId="2319FF03" w:rsidTr="00F64210">
        <w:trPr>
          <w:trHeight w:val="257"/>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51BB70F" w14:textId="77777777" w:rsidR="00C84831" w:rsidRPr="00AA47A1" w:rsidRDefault="00C84831" w:rsidP="00C84831">
            <w:pPr>
              <w:rPr>
                <w:sz w:val="20"/>
              </w:rPr>
            </w:pPr>
            <w:r w:rsidRPr="00AA47A1">
              <w:rPr>
                <w:sz w:val="20"/>
              </w:rPr>
              <w:t>3 – Max Tech (AFUE = 93)</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34A9437" w14:textId="77777777" w:rsidR="00C84831" w:rsidRPr="00AA47A1" w:rsidRDefault="00C84831" w:rsidP="00C84831">
            <w:pPr>
              <w:rPr>
                <w:sz w:val="20"/>
              </w:rPr>
            </w:pPr>
            <w:r w:rsidRPr="00AA47A1">
              <w:rPr>
                <w:sz w:val="20"/>
              </w:rPr>
              <w:t>Condensing</w:t>
            </w:r>
          </w:p>
        </w:tc>
        <w:tc>
          <w:tcPr>
            <w:tcW w:w="1865" w:type="dxa"/>
            <w:tcBorders>
              <w:top w:val="single" w:sz="8" w:space="0" w:color="000000"/>
              <w:left w:val="single" w:sz="8" w:space="0" w:color="000000"/>
              <w:bottom w:val="single" w:sz="8" w:space="0" w:color="000000"/>
              <w:right w:val="single" w:sz="8" w:space="0" w:color="000000"/>
            </w:tcBorders>
            <w:vAlign w:val="center"/>
          </w:tcPr>
          <w:p w14:paraId="7F24CCAE" w14:textId="77777777" w:rsidR="00C84831" w:rsidRPr="00AA47A1" w:rsidRDefault="00C84831" w:rsidP="00F501B8">
            <w:pPr>
              <w:jc w:val="center"/>
              <w:rPr>
                <w:sz w:val="20"/>
              </w:rPr>
            </w:pPr>
            <w:r>
              <w:rPr>
                <w:sz w:val="20"/>
              </w:rPr>
              <w:t>62</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1CD3316" w14:textId="77777777" w:rsidR="00C84831" w:rsidRPr="00AA47A1" w:rsidRDefault="00C84831" w:rsidP="00F501B8">
            <w:pPr>
              <w:jc w:val="center"/>
              <w:rPr>
                <w:sz w:val="20"/>
              </w:rPr>
            </w:pPr>
            <w:r w:rsidRPr="00AA47A1">
              <w:rPr>
                <w:sz w:val="20"/>
              </w:rPr>
              <w:t>1,239</w:t>
            </w:r>
          </w:p>
        </w:tc>
        <w:tc>
          <w:tcPr>
            <w:tcW w:w="1440" w:type="dxa"/>
            <w:tcBorders>
              <w:top w:val="single" w:sz="8" w:space="0" w:color="000000"/>
              <w:left w:val="single" w:sz="8" w:space="0" w:color="000000"/>
              <w:bottom w:val="single" w:sz="8" w:space="0" w:color="000000"/>
              <w:right w:val="single" w:sz="8" w:space="0" w:color="000000"/>
            </w:tcBorders>
            <w:vAlign w:val="center"/>
          </w:tcPr>
          <w:p w14:paraId="3758E7EA" w14:textId="68D87DA0" w:rsidR="00C84831" w:rsidRPr="00C84831" w:rsidRDefault="00C84831" w:rsidP="00F501B8">
            <w:pPr>
              <w:jc w:val="center"/>
              <w:rPr>
                <w:sz w:val="20"/>
              </w:rPr>
            </w:pPr>
            <w:r w:rsidRPr="00C84831">
              <w:rPr>
                <w:sz w:val="20"/>
              </w:rPr>
              <w:t>$695</w:t>
            </w:r>
          </w:p>
        </w:tc>
      </w:tr>
    </w:tbl>
    <w:p w14:paraId="09804DBF" w14:textId="77777777" w:rsidR="00FE1A0B" w:rsidRDefault="00FE1A0B" w:rsidP="00FE1A0B"/>
    <w:p w14:paraId="2FD31909" w14:textId="77777777" w:rsidR="00FE1A0B" w:rsidRDefault="00FE1A0B" w:rsidP="00FE1A0B">
      <w:pPr>
        <w:pStyle w:val="Heading3"/>
        <w:rPr>
          <w:rFonts w:asciiTheme="minorHAnsi" w:hAnsiTheme="minorHAnsi"/>
        </w:rPr>
      </w:pPr>
      <w:r w:rsidRPr="00920905">
        <w:rPr>
          <w:rFonts w:asciiTheme="minorHAnsi" w:hAnsiTheme="minorHAnsi"/>
        </w:rPr>
        <w:t>1.5.</w:t>
      </w:r>
      <w:r>
        <w:rPr>
          <w:rFonts w:asciiTheme="minorHAnsi" w:hAnsiTheme="minorHAnsi"/>
        </w:rPr>
        <w:t xml:space="preserve">2 CADMUS </w:t>
      </w:r>
      <w:r w:rsidRPr="00A02B33">
        <w:rPr>
          <w:rFonts w:asciiTheme="minorHAnsi" w:hAnsiTheme="minorHAnsi"/>
        </w:rPr>
        <w:t>Efficient Direct Vent Gas Fireplaces in Oregon</w:t>
      </w:r>
    </w:p>
    <w:p w14:paraId="5074329A" w14:textId="1D8E9828" w:rsidR="00FE1A0B" w:rsidRDefault="00D74ACA" w:rsidP="00FE1A0B">
      <w:r>
        <w:t>ETO</w:t>
      </w:r>
      <w:r w:rsidR="00FE1A0B" w:rsidRPr="00A02B33">
        <w:t xml:space="preserve"> currently offers incentives to consumers purchasing select high-efficiency direct-vent gas fireplaces. To assess the appropriateness of the incentives currently being offered, </w:t>
      </w:r>
      <w:r>
        <w:t>ETO</w:t>
      </w:r>
      <w:r w:rsidR="00FE1A0B" w:rsidRPr="00A02B33">
        <w:t xml:space="preserve"> undertook </w:t>
      </w:r>
      <w:r w:rsidR="00FE1A0B">
        <w:t>a</w:t>
      </w:r>
      <w:r w:rsidR="00FE1A0B" w:rsidRPr="00A02B33">
        <w:t xml:space="preserve"> survey</w:t>
      </w:r>
      <w:r w:rsidR="00AF6143">
        <w:rPr>
          <w:rStyle w:val="EndnoteReference"/>
        </w:rPr>
        <w:endnoteReference w:id="8"/>
      </w:r>
      <w:r w:rsidR="00FE1A0B" w:rsidRPr="00A02B33">
        <w:t xml:space="preserve"> of Oregon hearth dealers to better understand the market for direct-vent gas fireplaces.</w:t>
      </w:r>
      <w:r w:rsidR="00FE1A0B">
        <w:t xml:space="preserve"> The finding below summarize the study published on December 5, 2013.</w:t>
      </w:r>
    </w:p>
    <w:p w14:paraId="14C630F7" w14:textId="77777777" w:rsidR="00FE1A0B" w:rsidRDefault="00FE1A0B" w:rsidP="00FE1A0B">
      <w:pPr>
        <w:pStyle w:val="ListParagraph"/>
        <w:numPr>
          <w:ilvl w:val="0"/>
          <w:numId w:val="20"/>
        </w:numPr>
      </w:pPr>
      <w:r>
        <w:t>“V</w:t>
      </w:r>
      <w:r w:rsidRPr="00A02B33">
        <w:t>endors believe customer concern about heating efficiency is increasing</w:t>
      </w:r>
      <w:r>
        <w:t>”</w:t>
      </w:r>
    </w:p>
    <w:p w14:paraId="1251203E" w14:textId="77777777" w:rsidR="00FE1A0B" w:rsidRDefault="00FE1A0B" w:rsidP="00FE1A0B">
      <w:pPr>
        <w:pStyle w:val="ListParagraph"/>
        <w:numPr>
          <w:ilvl w:val="0"/>
          <w:numId w:val="20"/>
        </w:numPr>
      </w:pPr>
      <w:r>
        <w:t>“83%</w:t>
      </w:r>
      <w:r w:rsidRPr="00A02B33">
        <w:t xml:space="preserve"> of vendors said they actively sell high efficiency direct vent gas fireplaces, compared to 69% of vendors in 2009</w:t>
      </w:r>
      <w:r>
        <w:t>”</w:t>
      </w:r>
    </w:p>
    <w:p w14:paraId="4D4E99F4" w14:textId="77777777" w:rsidR="00FE1A0B" w:rsidRDefault="00FE1A0B" w:rsidP="00FE1A0B">
      <w:pPr>
        <w:pStyle w:val="ListParagraph"/>
        <w:numPr>
          <w:ilvl w:val="0"/>
          <w:numId w:val="20"/>
        </w:numPr>
      </w:pPr>
      <w:r>
        <w:t>“</w:t>
      </w:r>
      <w:r w:rsidRPr="00A02B33">
        <w:t>74%</w:t>
      </w:r>
      <w:r>
        <w:t xml:space="preserve"> of vendors</w:t>
      </w:r>
      <w:r w:rsidRPr="00A02B33">
        <w:t xml:space="preserve"> said that one-half or more of their customers rely on their fireplaces as a major heat source during the heating season</w:t>
      </w:r>
      <w:r>
        <w:t>”</w:t>
      </w:r>
    </w:p>
    <w:p w14:paraId="5B74FEA7" w14:textId="77777777" w:rsidR="00FE1A0B" w:rsidRDefault="00FE1A0B" w:rsidP="00FE1A0B">
      <w:pPr>
        <w:pStyle w:val="ListParagraph"/>
        <w:numPr>
          <w:ilvl w:val="0"/>
          <w:numId w:val="20"/>
        </w:numPr>
      </w:pPr>
      <w:r>
        <w:t>“</w:t>
      </w:r>
      <w:r w:rsidRPr="00A02B33">
        <w:t>For top selling fireplaces where FE ratings were available, the average rating was 68, compared to an average rating of 61 in 2009.</w:t>
      </w:r>
      <w:r>
        <w:t>”</w:t>
      </w:r>
    </w:p>
    <w:p w14:paraId="325A44C7" w14:textId="77777777" w:rsidR="00FE1A0B" w:rsidRDefault="00FE1A0B" w:rsidP="00FE1A0B">
      <w:pPr>
        <w:pStyle w:val="ListParagraph"/>
        <w:numPr>
          <w:ilvl w:val="0"/>
          <w:numId w:val="20"/>
        </w:numPr>
      </w:pPr>
      <w:r w:rsidRPr="00A02B33">
        <w:t>Based upon vendor reports, the prices across all 74 top models ranged from $1,076 to $4,500, with an average price of $2,653. More efficient models have higher average prices.</w:t>
      </w:r>
    </w:p>
    <w:p w14:paraId="4C0D66A6" w14:textId="77777777" w:rsidR="00FE1A0B" w:rsidRDefault="00FE1A0B" w:rsidP="00FE1A0B">
      <w:pPr>
        <w:pStyle w:val="ListParagraph"/>
        <w:numPr>
          <w:ilvl w:val="0"/>
          <w:numId w:val="20"/>
        </w:numPr>
      </w:pPr>
      <w:r w:rsidRPr="00A02B33">
        <w:t>The average cost to install and vent three types of direct vent gas fireplaces ranged from $838 for fireplace inserts, to $947 for free-standing fireplaces/stoves, and to $975 for zero clearance fireplaces.</w:t>
      </w:r>
    </w:p>
    <w:p w14:paraId="3927DEC6" w14:textId="77777777" w:rsidR="00FE1A0B" w:rsidRDefault="00FE1A0B" w:rsidP="00FE1A0B"/>
    <w:p w14:paraId="499A1E0E" w14:textId="602BA07B" w:rsidR="00FE1A0B" w:rsidRDefault="00FE1A0B" w:rsidP="00FE1A0B">
      <w:pPr>
        <w:pStyle w:val="Caption"/>
        <w:keepNext/>
      </w:pPr>
      <w:r>
        <w:t xml:space="preserve">Table </w:t>
      </w:r>
      <w:fldSimple w:instr=" SEQ Table \* ARABIC ">
        <w:r w:rsidR="000B78F6">
          <w:rPr>
            <w:noProof/>
          </w:rPr>
          <w:t>13</w:t>
        </w:r>
      </w:fldSimple>
      <w:r>
        <w:t>: FE Ratings for IPI, Pilot on Demand, and Standing Pilot options</w:t>
      </w:r>
    </w:p>
    <w:tbl>
      <w:tblPr>
        <w:tblStyle w:val="TableGrid"/>
        <w:tblW w:w="0" w:type="auto"/>
        <w:tblLook w:val="04A0" w:firstRow="1" w:lastRow="0" w:firstColumn="1" w:lastColumn="0" w:noHBand="0" w:noVBand="1"/>
      </w:tblPr>
      <w:tblGrid>
        <w:gridCol w:w="1870"/>
        <w:gridCol w:w="1870"/>
        <w:gridCol w:w="1870"/>
        <w:gridCol w:w="1870"/>
        <w:gridCol w:w="1870"/>
      </w:tblGrid>
      <w:tr w:rsidR="00FE1A0B" w:rsidRPr="00AC0E29" w14:paraId="5CF50237" w14:textId="77777777" w:rsidTr="001425FB">
        <w:tc>
          <w:tcPr>
            <w:tcW w:w="1870" w:type="dxa"/>
            <w:shd w:val="clear" w:color="auto" w:fill="D9D9D9" w:themeFill="background1" w:themeFillShade="D9"/>
            <w:vAlign w:val="center"/>
          </w:tcPr>
          <w:p w14:paraId="387FEDE8" w14:textId="77777777" w:rsidR="00FE1A0B" w:rsidRPr="00AC0E29" w:rsidRDefault="00FE1A0B" w:rsidP="001425FB">
            <w:pPr>
              <w:keepNext/>
              <w:jc w:val="center"/>
              <w:rPr>
                <w:b/>
                <w:sz w:val="20"/>
              </w:rPr>
            </w:pPr>
            <w:r w:rsidRPr="00AC0E29">
              <w:rPr>
                <w:b/>
                <w:sz w:val="20"/>
              </w:rPr>
              <w:t>Pilot Light Type</w:t>
            </w:r>
          </w:p>
        </w:tc>
        <w:tc>
          <w:tcPr>
            <w:tcW w:w="1870" w:type="dxa"/>
            <w:shd w:val="clear" w:color="auto" w:fill="D9D9D9" w:themeFill="background1" w:themeFillShade="D9"/>
            <w:vAlign w:val="center"/>
          </w:tcPr>
          <w:p w14:paraId="1ED6A990" w14:textId="77777777" w:rsidR="00FE1A0B" w:rsidRPr="00AC0E29" w:rsidRDefault="00FE1A0B" w:rsidP="001425FB">
            <w:pPr>
              <w:keepNext/>
              <w:jc w:val="center"/>
              <w:rPr>
                <w:b/>
                <w:sz w:val="20"/>
              </w:rPr>
            </w:pPr>
            <w:r w:rsidRPr="00AC0E29">
              <w:rPr>
                <w:b/>
                <w:sz w:val="20"/>
              </w:rPr>
              <w:t>Number of Models</w:t>
            </w:r>
          </w:p>
        </w:tc>
        <w:tc>
          <w:tcPr>
            <w:tcW w:w="1870" w:type="dxa"/>
            <w:shd w:val="clear" w:color="auto" w:fill="D9D9D9" w:themeFill="background1" w:themeFillShade="D9"/>
            <w:vAlign w:val="center"/>
          </w:tcPr>
          <w:p w14:paraId="2C33A958" w14:textId="77777777" w:rsidR="00FE1A0B" w:rsidRPr="00AC0E29" w:rsidRDefault="00FE1A0B" w:rsidP="001425FB">
            <w:pPr>
              <w:keepNext/>
              <w:jc w:val="center"/>
              <w:rPr>
                <w:b/>
                <w:sz w:val="20"/>
              </w:rPr>
            </w:pPr>
            <w:r w:rsidRPr="00AC0E29">
              <w:rPr>
                <w:b/>
                <w:sz w:val="20"/>
              </w:rPr>
              <w:t>Mean FE Rating, %</w:t>
            </w:r>
          </w:p>
        </w:tc>
        <w:tc>
          <w:tcPr>
            <w:tcW w:w="1870" w:type="dxa"/>
            <w:shd w:val="clear" w:color="auto" w:fill="D9D9D9" w:themeFill="background1" w:themeFillShade="D9"/>
            <w:vAlign w:val="center"/>
          </w:tcPr>
          <w:p w14:paraId="54F45901" w14:textId="77777777" w:rsidR="00FE1A0B" w:rsidRPr="00AC0E29" w:rsidRDefault="00FE1A0B" w:rsidP="001425FB">
            <w:pPr>
              <w:keepNext/>
              <w:jc w:val="center"/>
              <w:rPr>
                <w:b/>
                <w:sz w:val="20"/>
              </w:rPr>
            </w:pPr>
            <w:r w:rsidRPr="00AC0E29">
              <w:rPr>
                <w:b/>
                <w:sz w:val="20"/>
              </w:rPr>
              <w:t>FE Rating - Range</w:t>
            </w:r>
          </w:p>
        </w:tc>
        <w:tc>
          <w:tcPr>
            <w:tcW w:w="1870" w:type="dxa"/>
            <w:shd w:val="clear" w:color="auto" w:fill="D9D9D9" w:themeFill="background1" w:themeFillShade="D9"/>
            <w:vAlign w:val="center"/>
          </w:tcPr>
          <w:p w14:paraId="3D075281" w14:textId="77777777" w:rsidR="00FE1A0B" w:rsidRPr="00AC0E29" w:rsidRDefault="00FE1A0B" w:rsidP="001425FB">
            <w:pPr>
              <w:keepNext/>
              <w:jc w:val="center"/>
              <w:rPr>
                <w:b/>
                <w:sz w:val="20"/>
              </w:rPr>
            </w:pPr>
            <w:r w:rsidRPr="00AC0E29">
              <w:rPr>
                <w:b/>
                <w:sz w:val="20"/>
              </w:rPr>
              <w:t>Average Price</w:t>
            </w:r>
          </w:p>
        </w:tc>
      </w:tr>
      <w:tr w:rsidR="00FE1A0B" w:rsidRPr="00AC0E29" w14:paraId="6CE74F54" w14:textId="77777777" w:rsidTr="00694F53">
        <w:tc>
          <w:tcPr>
            <w:tcW w:w="1870" w:type="dxa"/>
          </w:tcPr>
          <w:p w14:paraId="3E62F2A3" w14:textId="77777777" w:rsidR="00FE1A0B" w:rsidRPr="00AC0E29" w:rsidRDefault="00FE1A0B" w:rsidP="00694F53">
            <w:pPr>
              <w:keepNext/>
              <w:rPr>
                <w:sz w:val="20"/>
              </w:rPr>
            </w:pPr>
            <w:r w:rsidRPr="00AC0E29">
              <w:rPr>
                <w:sz w:val="20"/>
              </w:rPr>
              <w:t>Standing Pilot</w:t>
            </w:r>
          </w:p>
        </w:tc>
        <w:tc>
          <w:tcPr>
            <w:tcW w:w="1870" w:type="dxa"/>
          </w:tcPr>
          <w:p w14:paraId="75033E50" w14:textId="77777777" w:rsidR="00FE1A0B" w:rsidRPr="00AC0E29" w:rsidRDefault="00FE1A0B" w:rsidP="00694F53">
            <w:pPr>
              <w:keepNext/>
              <w:rPr>
                <w:sz w:val="20"/>
              </w:rPr>
            </w:pPr>
            <w:r w:rsidRPr="00AC0E29">
              <w:rPr>
                <w:sz w:val="20"/>
              </w:rPr>
              <w:t>10</w:t>
            </w:r>
          </w:p>
        </w:tc>
        <w:tc>
          <w:tcPr>
            <w:tcW w:w="1870" w:type="dxa"/>
          </w:tcPr>
          <w:p w14:paraId="187A80DF" w14:textId="256317B1" w:rsidR="00FE1A0B" w:rsidRPr="00AC0E29" w:rsidRDefault="00FE1A0B" w:rsidP="00694F53">
            <w:pPr>
              <w:keepNext/>
              <w:rPr>
                <w:sz w:val="20"/>
              </w:rPr>
            </w:pPr>
            <w:r w:rsidRPr="00AC0E29">
              <w:rPr>
                <w:sz w:val="20"/>
              </w:rPr>
              <w:t>61.6</w:t>
            </w:r>
            <w:r w:rsidR="00F501B8">
              <w:rPr>
                <w:sz w:val="20"/>
              </w:rPr>
              <w:t>%</w:t>
            </w:r>
          </w:p>
        </w:tc>
        <w:tc>
          <w:tcPr>
            <w:tcW w:w="1870" w:type="dxa"/>
          </w:tcPr>
          <w:p w14:paraId="2EAE9D97" w14:textId="12E72DB8" w:rsidR="00FE1A0B" w:rsidRPr="00AC0E29" w:rsidRDefault="00FE1A0B" w:rsidP="00694F53">
            <w:pPr>
              <w:keepNext/>
              <w:rPr>
                <w:sz w:val="20"/>
              </w:rPr>
            </w:pPr>
            <w:r w:rsidRPr="00AC0E29">
              <w:rPr>
                <w:sz w:val="20"/>
              </w:rPr>
              <w:t>50.6 to 66.1</w:t>
            </w:r>
            <w:r w:rsidR="00F501B8">
              <w:rPr>
                <w:sz w:val="20"/>
              </w:rPr>
              <w:t xml:space="preserve"> %</w:t>
            </w:r>
          </w:p>
        </w:tc>
        <w:tc>
          <w:tcPr>
            <w:tcW w:w="1870" w:type="dxa"/>
          </w:tcPr>
          <w:p w14:paraId="7BE074A1" w14:textId="77777777" w:rsidR="00FE1A0B" w:rsidRPr="00AC0E29" w:rsidRDefault="00FE1A0B" w:rsidP="00694F53">
            <w:pPr>
              <w:keepNext/>
              <w:rPr>
                <w:sz w:val="20"/>
              </w:rPr>
            </w:pPr>
            <w:r w:rsidRPr="00AC0E29">
              <w:rPr>
                <w:sz w:val="20"/>
              </w:rPr>
              <w:t>$2,245</w:t>
            </w:r>
          </w:p>
        </w:tc>
      </w:tr>
      <w:tr w:rsidR="00FE1A0B" w:rsidRPr="00AC0E29" w14:paraId="5D12F0E6" w14:textId="77777777" w:rsidTr="00694F53">
        <w:tc>
          <w:tcPr>
            <w:tcW w:w="1870" w:type="dxa"/>
          </w:tcPr>
          <w:p w14:paraId="00DB39B0" w14:textId="77777777" w:rsidR="00FE1A0B" w:rsidRPr="00AC0E29" w:rsidRDefault="00FE1A0B" w:rsidP="00694F53">
            <w:pPr>
              <w:keepNext/>
              <w:rPr>
                <w:sz w:val="20"/>
              </w:rPr>
            </w:pPr>
            <w:r w:rsidRPr="00AC0E29">
              <w:rPr>
                <w:sz w:val="20"/>
              </w:rPr>
              <w:t>Pilot on Demand</w:t>
            </w:r>
          </w:p>
        </w:tc>
        <w:tc>
          <w:tcPr>
            <w:tcW w:w="1870" w:type="dxa"/>
          </w:tcPr>
          <w:p w14:paraId="7540C543" w14:textId="77777777" w:rsidR="00FE1A0B" w:rsidRPr="00AC0E29" w:rsidRDefault="00FE1A0B" w:rsidP="00694F53">
            <w:pPr>
              <w:keepNext/>
              <w:rPr>
                <w:sz w:val="20"/>
              </w:rPr>
            </w:pPr>
            <w:r w:rsidRPr="00AC0E29">
              <w:rPr>
                <w:sz w:val="20"/>
              </w:rPr>
              <w:t>8</w:t>
            </w:r>
          </w:p>
        </w:tc>
        <w:tc>
          <w:tcPr>
            <w:tcW w:w="1870" w:type="dxa"/>
          </w:tcPr>
          <w:p w14:paraId="50DCA19D" w14:textId="6590A0C4" w:rsidR="00FE1A0B" w:rsidRPr="00AC0E29" w:rsidRDefault="00FE1A0B" w:rsidP="00694F53">
            <w:pPr>
              <w:keepNext/>
              <w:rPr>
                <w:sz w:val="20"/>
              </w:rPr>
            </w:pPr>
            <w:r w:rsidRPr="00AC0E29">
              <w:rPr>
                <w:sz w:val="20"/>
              </w:rPr>
              <w:t>68.9</w:t>
            </w:r>
            <w:r w:rsidR="00F501B8">
              <w:rPr>
                <w:sz w:val="20"/>
              </w:rPr>
              <w:t>%</w:t>
            </w:r>
          </w:p>
        </w:tc>
        <w:tc>
          <w:tcPr>
            <w:tcW w:w="1870" w:type="dxa"/>
          </w:tcPr>
          <w:p w14:paraId="3B30D63B" w14:textId="2ED094BF" w:rsidR="00FE1A0B" w:rsidRPr="00AC0E29" w:rsidRDefault="00FE1A0B" w:rsidP="00694F53">
            <w:pPr>
              <w:keepNext/>
              <w:rPr>
                <w:sz w:val="20"/>
              </w:rPr>
            </w:pPr>
            <w:r w:rsidRPr="00AC0E29">
              <w:rPr>
                <w:sz w:val="20"/>
              </w:rPr>
              <w:t>66.4 to 71.9</w:t>
            </w:r>
            <w:r w:rsidR="00F501B8">
              <w:rPr>
                <w:sz w:val="20"/>
              </w:rPr>
              <w:t xml:space="preserve"> %</w:t>
            </w:r>
          </w:p>
        </w:tc>
        <w:tc>
          <w:tcPr>
            <w:tcW w:w="1870" w:type="dxa"/>
          </w:tcPr>
          <w:p w14:paraId="5B97793D" w14:textId="77777777" w:rsidR="00FE1A0B" w:rsidRPr="00AC0E29" w:rsidRDefault="00FE1A0B" w:rsidP="00694F53">
            <w:pPr>
              <w:keepNext/>
              <w:rPr>
                <w:sz w:val="20"/>
              </w:rPr>
            </w:pPr>
            <w:r w:rsidRPr="00AC0E29">
              <w:rPr>
                <w:sz w:val="20"/>
              </w:rPr>
              <w:t>$2,807</w:t>
            </w:r>
          </w:p>
        </w:tc>
      </w:tr>
      <w:tr w:rsidR="00FE1A0B" w:rsidRPr="00AC0E29" w14:paraId="70D7BEEB" w14:textId="77777777" w:rsidTr="00694F53">
        <w:tc>
          <w:tcPr>
            <w:tcW w:w="1870" w:type="dxa"/>
          </w:tcPr>
          <w:p w14:paraId="3AB09C4B" w14:textId="77777777" w:rsidR="00FE1A0B" w:rsidRPr="00AC0E29" w:rsidRDefault="00FE1A0B" w:rsidP="00694F53">
            <w:pPr>
              <w:keepNext/>
              <w:rPr>
                <w:sz w:val="20"/>
              </w:rPr>
            </w:pPr>
            <w:r w:rsidRPr="00AC0E29">
              <w:rPr>
                <w:sz w:val="20"/>
              </w:rPr>
              <w:t>Intermittent Pilot</w:t>
            </w:r>
          </w:p>
        </w:tc>
        <w:tc>
          <w:tcPr>
            <w:tcW w:w="1870" w:type="dxa"/>
          </w:tcPr>
          <w:p w14:paraId="2468C2F0" w14:textId="77777777" w:rsidR="00FE1A0B" w:rsidRPr="00AC0E29" w:rsidRDefault="00FE1A0B" w:rsidP="00694F53">
            <w:pPr>
              <w:keepNext/>
              <w:rPr>
                <w:sz w:val="20"/>
              </w:rPr>
            </w:pPr>
            <w:r w:rsidRPr="00AC0E29">
              <w:rPr>
                <w:sz w:val="20"/>
              </w:rPr>
              <w:t>23</w:t>
            </w:r>
          </w:p>
        </w:tc>
        <w:tc>
          <w:tcPr>
            <w:tcW w:w="1870" w:type="dxa"/>
          </w:tcPr>
          <w:p w14:paraId="620B34EC" w14:textId="78746A46" w:rsidR="00FE1A0B" w:rsidRPr="00AC0E29" w:rsidRDefault="00FE1A0B" w:rsidP="00694F53">
            <w:pPr>
              <w:keepNext/>
              <w:rPr>
                <w:sz w:val="20"/>
              </w:rPr>
            </w:pPr>
            <w:r w:rsidRPr="00AC0E29">
              <w:rPr>
                <w:sz w:val="20"/>
              </w:rPr>
              <w:t>69.6</w:t>
            </w:r>
            <w:r w:rsidR="00F501B8">
              <w:rPr>
                <w:sz w:val="20"/>
              </w:rPr>
              <w:t>%</w:t>
            </w:r>
          </w:p>
        </w:tc>
        <w:tc>
          <w:tcPr>
            <w:tcW w:w="1870" w:type="dxa"/>
          </w:tcPr>
          <w:p w14:paraId="62FA235D" w14:textId="6A85EC8C" w:rsidR="00FE1A0B" w:rsidRPr="00AC0E29" w:rsidRDefault="00FE1A0B" w:rsidP="00694F53">
            <w:pPr>
              <w:keepNext/>
              <w:rPr>
                <w:sz w:val="20"/>
              </w:rPr>
            </w:pPr>
            <w:r w:rsidRPr="00AC0E29">
              <w:rPr>
                <w:sz w:val="20"/>
              </w:rPr>
              <w:t>62.8 to 77.2</w:t>
            </w:r>
            <w:r w:rsidR="00F501B8">
              <w:rPr>
                <w:sz w:val="20"/>
              </w:rPr>
              <w:t xml:space="preserve"> %</w:t>
            </w:r>
          </w:p>
        </w:tc>
        <w:tc>
          <w:tcPr>
            <w:tcW w:w="1870" w:type="dxa"/>
          </w:tcPr>
          <w:p w14:paraId="312B9AA0" w14:textId="77777777" w:rsidR="00FE1A0B" w:rsidRPr="00AC0E29" w:rsidRDefault="00FE1A0B" w:rsidP="00694F53">
            <w:pPr>
              <w:keepNext/>
              <w:rPr>
                <w:sz w:val="20"/>
              </w:rPr>
            </w:pPr>
            <w:r w:rsidRPr="00AC0E29">
              <w:rPr>
                <w:sz w:val="20"/>
              </w:rPr>
              <w:t>$2,633</w:t>
            </w:r>
          </w:p>
        </w:tc>
      </w:tr>
    </w:tbl>
    <w:p w14:paraId="1FC43290" w14:textId="77777777" w:rsidR="00FE1A0B" w:rsidRDefault="00FE1A0B" w:rsidP="00FE1A0B"/>
    <w:p w14:paraId="44D47516" w14:textId="24FCA06F" w:rsidR="00FE1A0B" w:rsidRDefault="00FE1A0B" w:rsidP="00FE1A0B">
      <w:pPr>
        <w:pStyle w:val="Caption"/>
        <w:keepNext/>
      </w:pPr>
      <w:r>
        <w:lastRenderedPageBreak/>
        <w:t xml:space="preserve">Table </w:t>
      </w:r>
      <w:fldSimple w:instr=" SEQ Table \* ARABIC ">
        <w:r w:rsidR="000B78F6">
          <w:rPr>
            <w:noProof/>
          </w:rPr>
          <w:t>14</w:t>
        </w:r>
      </w:fldSimple>
      <w:r>
        <w:t>: Frequencies and Mean Price of Models at Select Efficiency Levels</w:t>
      </w:r>
    </w:p>
    <w:tbl>
      <w:tblPr>
        <w:tblStyle w:val="TableGrid"/>
        <w:tblW w:w="0" w:type="auto"/>
        <w:tblLook w:val="04A0" w:firstRow="1" w:lastRow="0" w:firstColumn="1" w:lastColumn="0" w:noHBand="0" w:noVBand="1"/>
      </w:tblPr>
      <w:tblGrid>
        <w:gridCol w:w="2337"/>
        <w:gridCol w:w="2337"/>
        <w:gridCol w:w="2338"/>
        <w:gridCol w:w="2338"/>
      </w:tblGrid>
      <w:tr w:rsidR="00FE1A0B" w:rsidRPr="001A551D" w14:paraId="2C7924F9" w14:textId="77777777" w:rsidTr="00694F53">
        <w:tc>
          <w:tcPr>
            <w:tcW w:w="2337" w:type="dxa"/>
            <w:shd w:val="clear" w:color="auto" w:fill="D9D9D9" w:themeFill="background1" w:themeFillShade="D9"/>
          </w:tcPr>
          <w:p w14:paraId="259C9E5E" w14:textId="77777777" w:rsidR="00FE1A0B" w:rsidRPr="00AC0E29" w:rsidRDefault="00FE1A0B" w:rsidP="00694F53">
            <w:pPr>
              <w:keepNext/>
              <w:rPr>
                <w:b/>
                <w:sz w:val="20"/>
              </w:rPr>
            </w:pPr>
            <w:r w:rsidRPr="00AC0E29">
              <w:rPr>
                <w:b/>
                <w:sz w:val="20"/>
              </w:rPr>
              <w:t>FE Rating</w:t>
            </w:r>
          </w:p>
        </w:tc>
        <w:tc>
          <w:tcPr>
            <w:tcW w:w="2337" w:type="dxa"/>
            <w:shd w:val="clear" w:color="auto" w:fill="D9D9D9" w:themeFill="background1" w:themeFillShade="D9"/>
          </w:tcPr>
          <w:p w14:paraId="047439AB" w14:textId="77777777" w:rsidR="00FE1A0B" w:rsidRPr="00AC0E29" w:rsidRDefault="00FE1A0B" w:rsidP="00694F53">
            <w:pPr>
              <w:keepNext/>
              <w:rPr>
                <w:b/>
                <w:sz w:val="20"/>
              </w:rPr>
            </w:pPr>
            <w:r w:rsidRPr="00AC0E29">
              <w:rPr>
                <w:b/>
                <w:sz w:val="20"/>
              </w:rPr>
              <w:t>Number</w:t>
            </w:r>
          </w:p>
        </w:tc>
        <w:tc>
          <w:tcPr>
            <w:tcW w:w="2338" w:type="dxa"/>
            <w:shd w:val="clear" w:color="auto" w:fill="D9D9D9" w:themeFill="background1" w:themeFillShade="D9"/>
          </w:tcPr>
          <w:p w14:paraId="79D50D77" w14:textId="77777777" w:rsidR="00FE1A0B" w:rsidRPr="00AC0E29" w:rsidRDefault="00FE1A0B" w:rsidP="00694F53">
            <w:pPr>
              <w:keepNext/>
              <w:rPr>
                <w:b/>
                <w:sz w:val="20"/>
              </w:rPr>
            </w:pPr>
            <w:r w:rsidRPr="00AC0E29">
              <w:rPr>
                <w:b/>
                <w:sz w:val="20"/>
              </w:rPr>
              <w:t>Average Price</w:t>
            </w:r>
          </w:p>
        </w:tc>
        <w:tc>
          <w:tcPr>
            <w:tcW w:w="2338" w:type="dxa"/>
            <w:shd w:val="clear" w:color="auto" w:fill="D9D9D9" w:themeFill="background1" w:themeFillShade="D9"/>
          </w:tcPr>
          <w:p w14:paraId="7D727ED8" w14:textId="77777777" w:rsidR="00FE1A0B" w:rsidRPr="00AC0E29" w:rsidRDefault="00FE1A0B" w:rsidP="00694F53">
            <w:pPr>
              <w:keepNext/>
              <w:rPr>
                <w:b/>
                <w:sz w:val="20"/>
              </w:rPr>
            </w:pPr>
            <w:r w:rsidRPr="00AC0E29">
              <w:rPr>
                <w:b/>
                <w:sz w:val="20"/>
              </w:rPr>
              <w:t>Median Price</w:t>
            </w:r>
          </w:p>
        </w:tc>
      </w:tr>
      <w:tr w:rsidR="00FE1A0B" w:rsidRPr="001A551D" w14:paraId="41931B3C" w14:textId="77777777" w:rsidTr="00694F53">
        <w:tc>
          <w:tcPr>
            <w:tcW w:w="2337" w:type="dxa"/>
          </w:tcPr>
          <w:p w14:paraId="3E8C2BB7" w14:textId="77777777" w:rsidR="00FE1A0B" w:rsidRPr="001A551D" w:rsidRDefault="00FE1A0B" w:rsidP="00694F53">
            <w:pPr>
              <w:keepNext/>
              <w:rPr>
                <w:sz w:val="20"/>
              </w:rPr>
            </w:pPr>
            <w:r w:rsidRPr="001A551D">
              <w:rPr>
                <w:sz w:val="20"/>
              </w:rPr>
              <w:t>&lt;55</w:t>
            </w:r>
          </w:p>
        </w:tc>
        <w:tc>
          <w:tcPr>
            <w:tcW w:w="2337" w:type="dxa"/>
          </w:tcPr>
          <w:p w14:paraId="2275DB5B" w14:textId="77777777" w:rsidR="00FE1A0B" w:rsidRPr="001A551D" w:rsidRDefault="00FE1A0B" w:rsidP="00694F53">
            <w:pPr>
              <w:keepNext/>
              <w:rPr>
                <w:sz w:val="20"/>
              </w:rPr>
            </w:pPr>
            <w:r w:rsidRPr="001A551D">
              <w:rPr>
                <w:sz w:val="20"/>
              </w:rPr>
              <w:t>1</w:t>
            </w:r>
          </w:p>
        </w:tc>
        <w:tc>
          <w:tcPr>
            <w:tcW w:w="2338" w:type="dxa"/>
          </w:tcPr>
          <w:p w14:paraId="1E6CFDAA" w14:textId="77777777" w:rsidR="00FE1A0B" w:rsidRPr="001A551D" w:rsidRDefault="00FE1A0B" w:rsidP="00694F53">
            <w:pPr>
              <w:keepNext/>
              <w:rPr>
                <w:sz w:val="20"/>
              </w:rPr>
            </w:pPr>
            <w:r w:rsidRPr="001A551D">
              <w:rPr>
                <w:sz w:val="20"/>
              </w:rPr>
              <w:t>$1,799</w:t>
            </w:r>
          </w:p>
        </w:tc>
        <w:tc>
          <w:tcPr>
            <w:tcW w:w="2338" w:type="dxa"/>
          </w:tcPr>
          <w:p w14:paraId="564C20CC" w14:textId="77777777" w:rsidR="00FE1A0B" w:rsidRPr="001A551D" w:rsidRDefault="00FE1A0B" w:rsidP="00694F53">
            <w:pPr>
              <w:keepNext/>
              <w:rPr>
                <w:sz w:val="20"/>
              </w:rPr>
            </w:pPr>
            <w:r w:rsidRPr="001A551D">
              <w:rPr>
                <w:sz w:val="20"/>
              </w:rPr>
              <w:t>$1,799</w:t>
            </w:r>
          </w:p>
        </w:tc>
      </w:tr>
      <w:tr w:rsidR="00FE1A0B" w:rsidRPr="001A551D" w14:paraId="12EBC9E3" w14:textId="77777777" w:rsidTr="00694F53">
        <w:tc>
          <w:tcPr>
            <w:tcW w:w="2337" w:type="dxa"/>
          </w:tcPr>
          <w:p w14:paraId="4388A091" w14:textId="77777777" w:rsidR="00FE1A0B" w:rsidRPr="001A551D" w:rsidRDefault="00FE1A0B" w:rsidP="00694F53">
            <w:pPr>
              <w:keepNext/>
              <w:rPr>
                <w:sz w:val="20"/>
              </w:rPr>
            </w:pPr>
            <w:r w:rsidRPr="001A551D">
              <w:rPr>
                <w:sz w:val="20"/>
              </w:rPr>
              <w:t>55-59</w:t>
            </w:r>
          </w:p>
        </w:tc>
        <w:tc>
          <w:tcPr>
            <w:tcW w:w="2337" w:type="dxa"/>
          </w:tcPr>
          <w:p w14:paraId="6B84B75C" w14:textId="77777777" w:rsidR="00FE1A0B" w:rsidRPr="001A551D" w:rsidRDefault="00FE1A0B" w:rsidP="00694F53">
            <w:pPr>
              <w:keepNext/>
              <w:rPr>
                <w:sz w:val="20"/>
              </w:rPr>
            </w:pPr>
            <w:r w:rsidRPr="001A551D">
              <w:rPr>
                <w:sz w:val="20"/>
              </w:rPr>
              <w:t>1</w:t>
            </w:r>
          </w:p>
        </w:tc>
        <w:tc>
          <w:tcPr>
            <w:tcW w:w="2338" w:type="dxa"/>
          </w:tcPr>
          <w:p w14:paraId="5D7B38B6" w14:textId="77777777" w:rsidR="00FE1A0B" w:rsidRPr="001A551D" w:rsidRDefault="00FE1A0B" w:rsidP="00694F53">
            <w:pPr>
              <w:keepNext/>
              <w:rPr>
                <w:sz w:val="20"/>
              </w:rPr>
            </w:pPr>
            <w:r w:rsidRPr="001A551D">
              <w:rPr>
                <w:sz w:val="20"/>
              </w:rPr>
              <w:t>$1,800</w:t>
            </w:r>
          </w:p>
        </w:tc>
        <w:tc>
          <w:tcPr>
            <w:tcW w:w="2338" w:type="dxa"/>
          </w:tcPr>
          <w:p w14:paraId="5B3B745C" w14:textId="77777777" w:rsidR="00FE1A0B" w:rsidRPr="001A551D" w:rsidRDefault="00FE1A0B" w:rsidP="00694F53">
            <w:pPr>
              <w:keepNext/>
              <w:rPr>
                <w:sz w:val="20"/>
              </w:rPr>
            </w:pPr>
            <w:r w:rsidRPr="001A551D">
              <w:rPr>
                <w:sz w:val="20"/>
              </w:rPr>
              <w:t>$1,800</w:t>
            </w:r>
          </w:p>
        </w:tc>
      </w:tr>
      <w:tr w:rsidR="00FE1A0B" w:rsidRPr="001A551D" w14:paraId="607DC7C1" w14:textId="77777777" w:rsidTr="00694F53">
        <w:tc>
          <w:tcPr>
            <w:tcW w:w="2337" w:type="dxa"/>
          </w:tcPr>
          <w:p w14:paraId="7AACC27B" w14:textId="77777777" w:rsidR="00FE1A0B" w:rsidRPr="001A551D" w:rsidRDefault="00FE1A0B" w:rsidP="00694F53">
            <w:pPr>
              <w:keepNext/>
              <w:rPr>
                <w:sz w:val="20"/>
              </w:rPr>
            </w:pPr>
            <w:r w:rsidRPr="001A551D">
              <w:rPr>
                <w:sz w:val="20"/>
              </w:rPr>
              <w:t>60-65</w:t>
            </w:r>
          </w:p>
        </w:tc>
        <w:tc>
          <w:tcPr>
            <w:tcW w:w="2337" w:type="dxa"/>
          </w:tcPr>
          <w:p w14:paraId="50ADF1A7" w14:textId="77777777" w:rsidR="00FE1A0B" w:rsidRPr="001A551D" w:rsidRDefault="00FE1A0B" w:rsidP="00694F53">
            <w:pPr>
              <w:keepNext/>
              <w:rPr>
                <w:sz w:val="20"/>
              </w:rPr>
            </w:pPr>
            <w:r w:rsidRPr="001A551D">
              <w:rPr>
                <w:sz w:val="20"/>
              </w:rPr>
              <w:t>9</w:t>
            </w:r>
          </w:p>
        </w:tc>
        <w:tc>
          <w:tcPr>
            <w:tcW w:w="2338" w:type="dxa"/>
          </w:tcPr>
          <w:p w14:paraId="3C1C6F02" w14:textId="77777777" w:rsidR="00FE1A0B" w:rsidRPr="001A551D" w:rsidRDefault="00FE1A0B" w:rsidP="00694F53">
            <w:pPr>
              <w:keepNext/>
              <w:rPr>
                <w:sz w:val="20"/>
              </w:rPr>
            </w:pPr>
            <w:r w:rsidRPr="001A551D">
              <w:rPr>
                <w:sz w:val="20"/>
              </w:rPr>
              <w:t>$2,531</w:t>
            </w:r>
          </w:p>
        </w:tc>
        <w:tc>
          <w:tcPr>
            <w:tcW w:w="2338" w:type="dxa"/>
          </w:tcPr>
          <w:p w14:paraId="29DB6350" w14:textId="77777777" w:rsidR="00FE1A0B" w:rsidRPr="001A551D" w:rsidRDefault="00FE1A0B" w:rsidP="00694F53">
            <w:pPr>
              <w:keepNext/>
              <w:rPr>
                <w:sz w:val="20"/>
              </w:rPr>
            </w:pPr>
            <w:r w:rsidRPr="001A551D">
              <w:rPr>
                <w:sz w:val="20"/>
              </w:rPr>
              <w:t>$2,517</w:t>
            </w:r>
          </w:p>
        </w:tc>
      </w:tr>
      <w:tr w:rsidR="00FE1A0B" w:rsidRPr="001A551D" w14:paraId="7E49C99A" w14:textId="77777777" w:rsidTr="00694F53">
        <w:tc>
          <w:tcPr>
            <w:tcW w:w="2337" w:type="dxa"/>
          </w:tcPr>
          <w:p w14:paraId="54653332" w14:textId="77777777" w:rsidR="00FE1A0B" w:rsidRPr="001A551D" w:rsidRDefault="00FE1A0B" w:rsidP="00694F53">
            <w:pPr>
              <w:keepNext/>
              <w:rPr>
                <w:sz w:val="20"/>
              </w:rPr>
            </w:pPr>
            <w:r w:rsidRPr="001A551D">
              <w:rPr>
                <w:sz w:val="20"/>
              </w:rPr>
              <w:t>66-70</w:t>
            </w:r>
          </w:p>
        </w:tc>
        <w:tc>
          <w:tcPr>
            <w:tcW w:w="2337" w:type="dxa"/>
          </w:tcPr>
          <w:p w14:paraId="4969D736" w14:textId="77777777" w:rsidR="00FE1A0B" w:rsidRPr="001A551D" w:rsidRDefault="00FE1A0B" w:rsidP="00694F53">
            <w:pPr>
              <w:keepNext/>
              <w:rPr>
                <w:sz w:val="20"/>
              </w:rPr>
            </w:pPr>
            <w:r w:rsidRPr="001A551D">
              <w:rPr>
                <w:sz w:val="20"/>
              </w:rPr>
              <w:t>15</w:t>
            </w:r>
          </w:p>
        </w:tc>
        <w:tc>
          <w:tcPr>
            <w:tcW w:w="2338" w:type="dxa"/>
          </w:tcPr>
          <w:p w14:paraId="7C72087B" w14:textId="77777777" w:rsidR="00FE1A0B" w:rsidRPr="001A551D" w:rsidRDefault="00FE1A0B" w:rsidP="00694F53">
            <w:pPr>
              <w:keepNext/>
              <w:rPr>
                <w:sz w:val="20"/>
              </w:rPr>
            </w:pPr>
            <w:r w:rsidRPr="001A551D">
              <w:rPr>
                <w:sz w:val="20"/>
              </w:rPr>
              <w:t>$2,621</w:t>
            </w:r>
          </w:p>
        </w:tc>
        <w:tc>
          <w:tcPr>
            <w:tcW w:w="2338" w:type="dxa"/>
          </w:tcPr>
          <w:p w14:paraId="3DBC5D08" w14:textId="77777777" w:rsidR="00FE1A0B" w:rsidRPr="001A551D" w:rsidRDefault="00FE1A0B" w:rsidP="00694F53">
            <w:pPr>
              <w:keepNext/>
              <w:rPr>
                <w:sz w:val="20"/>
              </w:rPr>
            </w:pPr>
            <w:r w:rsidRPr="001A551D">
              <w:rPr>
                <w:sz w:val="20"/>
              </w:rPr>
              <w:t>$2,500</w:t>
            </w:r>
          </w:p>
        </w:tc>
      </w:tr>
      <w:tr w:rsidR="00FE1A0B" w:rsidRPr="001A551D" w14:paraId="65140DBF" w14:textId="77777777" w:rsidTr="00694F53">
        <w:tc>
          <w:tcPr>
            <w:tcW w:w="2337" w:type="dxa"/>
          </w:tcPr>
          <w:p w14:paraId="6FC82702" w14:textId="77777777" w:rsidR="00FE1A0B" w:rsidRPr="001A551D" w:rsidRDefault="00FE1A0B" w:rsidP="00694F53">
            <w:pPr>
              <w:keepNext/>
              <w:rPr>
                <w:sz w:val="20"/>
              </w:rPr>
            </w:pPr>
            <w:r w:rsidRPr="001A551D">
              <w:rPr>
                <w:sz w:val="20"/>
              </w:rPr>
              <w:t>Over 70</w:t>
            </w:r>
          </w:p>
        </w:tc>
        <w:tc>
          <w:tcPr>
            <w:tcW w:w="2337" w:type="dxa"/>
          </w:tcPr>
          <w:p w14:paraId="6C8D608D" w14:textId="77777777" w:rsidR="00FE1A0B" w:rsidRPr="001A551D" w:rsidRDefault="00FE1A0B" w:rsidP="00694F53">
            <w:pPr>
              <w:keepNext/>
              <w:rPr>
                <w:sz w:val="20"/>
              </w:rPr>
            </w:pPr>
            <w:r w:rsidRPr="001A551D">
              <w:rPr>
                <w:sz w:val="20"/>
              </w:rPr>
              <w:t>15</w:t>
            </w:r>
          </w:p>
        </w:tc>
        <w:tc>
          <w:tcPr>
            <w:tcW w:w="2338" w:type="dxa"/>
          </w:tcPr>
          <w:p w14:paraId="06BDDF90" w14:textId="77777777" w:rsidR="00FE1A0B" w:rsidRPr="001A551D" w:rsidRDefault="00FE1A0B" w:rsidP="00694F53">
            <w:pPr>
              <w:keepNext/>
              <w:rPr>
                <w:sz w:val="20"/>
              </w:rPr>
            </w:pPr>
            <w:r w:rsidRPr="001A551D">
              <w:rPr>
                <w:sz w:val="20"/>
              </w:rPr>
              <w:t>$2,666</w:t>
            </w:r>
          </w:p>
        </w:tc>
        <w:tc>
          <w:tcPr>
            <w:tcW w:w="2338" w:type="dxa"/>
          </w:tcPr>
          <w:p w14:paraId="3D363ECD" w14:textId="77777777" w:rsidR="00FE1A0B" w:rsidRPr="001A551D" w:rsidRDefault="00FE1A0B" w:rsidP="00694F53">
            <w:pPr>
              <w:keepNext/>
              <w:rPr>
                <w:sz w:val="20"/>
              </w:rPr>
            </w:pPr>
            <w:r w:rsidRPr="001A551D">
              <w:rPr>
                <w:sz w:val="20"/>
              </w:rPr>
              <w:t>$2,542</w:t>
            </w:r>
          </w:p>
        </w:tc>
      </w:tr>
      <w:tr w:rsidR="00FE1A0B" w:rsidRPr="001A551D" w14:paraId="28E13D35" w14:textId="77777777" w:rsidTr="00694F53">
        <w:tc>
          <w:tcPr>
            <w:tcW w:w="2337" w:type="dxa"/>
          </w:tcPr>
          <w:p w14:paraId="4D6038F8" w14:textId="77777777" w:rsidR="00FE1A0B" w:rsidRPr="001A551D" w:rsidRDefault="00FE1A0B" w:rsidP="00694F53">
            <w:pPr>
              <w:keepNext/>
              <w:rPr>
                <w:sz w:val="20"/>
              </w:rPr>
            </w:pPr>
            <w:r w:rsidRPr="001A551D">
              <w:rPr>
                <w:sz w:val="20"/>
              </w:rPr>
              <w:t>Total &amp; Overall Average</w:t>
            </w:r>
          </w:p>
        </w:tc>
        <w:tc>
          <w:tcPr>
            <w:tcW w:w="2337" w:type="dxa"/>
          </w:tcPr>
          <w:p w14:paraId="7F766119" w14:textId="77777777" w:rsidR="00FE1A0B" w:rsidRPr="001A551D" w:rsidRDefault="00FE1A0B" w:rsidP="00694F53">
            <w:pPr>
              <w:keepNext/>
              <w:rPr>
                <w:sz w:val="20"/>
              </w:rPr>
            </w:pPr>
            <w:r w:rsidRPr="001A551D">
              <w:rPr>
                <w:sz w:val="20"/>
              </w:rPr>
              <w:t>41</w:t>
            </w:r>
          </w:p>
        </w:tc>
        <w:tc>
          <w:tcPr>
            <w:tcW w:w="2338" w:type="dxa"/>
          </w:tcPr>
          <w:p w14:paraId="7B780892" w14:textId="77777777" w:rsidR="00FE1A0B" w:rsidRPr="001A551D" w:rsidRDefault="00FE1A0B" w:rsidP="00694F53">
            <w:pPr>
              <w:keepNext/>
              <w:rPr>
                <w:sz w:val="20"/>
              </w:rPr>
            </w:pPr>
            <w:r w:rsidRPr="001A551D">
              <w:rPr>
                <w:sz w:val="20"/>
              </w:rPr>
              <w:t>$2,581</w:t>
            </w:r>
          </w:p>
        </w:tc>
        <w:tc>
          <w:tcPr>
            <w:tcW w:w="2338" w:type="dxa"/>
          </w:tcPr>
          <w:p w14:paraId="46EDB90F" w14:textId="77777777" w:rsidR="00FE1A0B" w:rsidRPr="001A551D" w:rsidRDefault="00FE1A0B" w:rsidP="00694F53">
            <w:pPr>
              <w:keepNext/>
              <w:rPr>
                <w:sz w:val="20"/>
              </w:rPr>
            </w:pPr>
            <w:r w:rsidRPr="001A551D">
              <w:rPr>
                <w:sz w:val="20"/>
              </w:rPr>
              <w:t>$2,500</w:t>
            </w:r>
          </w:p>
        </w:tc>
      </w:tr>
    </w:tbl>
    <w:p w14:paraId="63F5DC0A" w14:textId="77777777" w:rsidR="00FE1A0B" w:rsidRDefault="00FE1A0B" w:rsidP="00FE1A0B"/>
    <w:p w14:paraId="6A0757E7" w14:textId="3553F4A9" w:rsidR="00FE1A0B" w:rsidRDefault="00FE1A0B" w:rsidP="00FE1A0B">
      <w:pPr>
        <w:pStyle w:val="Caption"/>
        <w:keepNext/>
      </w:pPr>
      <w:r>
        <w:t xml:space="preserve">Table </w:t>
      </w:r>
      <w:fldSimple w:instr=" SEQ Table \* ARABIC ">
        <w:r w:rsidR="000B78F6">
          <w:rPr>
            <w:noProof/>
          </w:rPr>
          <w:t>15</w:t>
        </w:r>
      </w:fldSimple>
      <w:r>
        <w:t>: Price of Installing and Venting Direct Vent Fireplace Styles</w:t>
      </w:r>
    </w:p>
    <w:tbl>
      <w:tblPr>
        <w:tblStyle w:val="TableGrid"/>
        <w:tblW w:w="0" w:type="auto"/>
        <w:tblLook w:val="04A0" w:firstRow="1" w:lastRow="0" w:firstColumn="1" w:lastColumn="0" w:noHBand="0" w:noVBand="1"/>
      </w:tblPr>
      <w:tblGrid>
        <w:gridCol w:w="3116"/>
        <w:gridCol w:w="3117"/>
        <w:gridCol w:w="3117"/>
      </w:tblGrid>
      <w:tr w:rsidR="00FE1A0B" w:rsidRPr="001A551D" w14:paraId="3F66AA42" w14:textId="77777777" w:rsidTr="00694F53">
        <w:tc>
          <w:tcPr>
            <w:tcW w:w="3116" w:type="dxa"/>
            <w:shd w:val="clear" w:color="auto" w:fill="D9D9D9" w:themeFill="background1" w:themeFillShade="D9"/>
          </w:tcPr>
          <w:p w14:paraId="36C424D1" w14:textId="77777777" w:rsidR="00FE1A0B" w:rsidRPr="00197912" w:rsidRDefault="00FE1A0B" w:rsidP="00694F53">
            <w:pPr>
              <w:keepNext/>
              <w:rPr>
                <w:rFonts w:cstheme="minorHAnsi"/>
                <w:b/>
                <w:sz w:val="20"/>
                <w:szCs w:val="20"/>
              </w:rPr>
            </w:pPr>
            <w:r w:rsidRPr="00197912">
              <w:rPr>
                <w:rFonts w:cstheme="minorHAnsi"/>
                <w:b/>
                <w:sz w:val="20"/>
                <w:szCs w:val="20"/>
              </w:rPr>
              <w:t>Zero Clearance Price</w:t>
            </w:r>
          </w:p>
        </w:tc>
        <w:tc>
          <w:tcPr>
            <w:tcW w:w="3117" w:type="dxa"/>
            <w:shd w:val="clear" w:color="auto" w:fill="D9D9D9" w:themeFill="background1" w:themeFillShade="D9"/>
          </w:tcPr>
          <w:p w14:paraId="1DC52EFC" w14:textId="77777777" w:rsidR="00FE1A0B" w:rsidRPr="00197912" w:rsidRDefault="00FE1A0B" w:rsidP="00694F53">
            <w:pPr>
              <w:keepNext/>
              <w:rPr>
                <w:rFonts w:cstheme="minorHAnsi"/>
                <w:b/>
                <w:sz w:val="20"/>
                <w:szCs w:val="20"/>
              </w:rPr>
            </w:pPr>
            <w:r w:rsidRPr="00197912">
              <w:rPr>
                <w:rFonts w:cstheme="minorHAnsi"/>
                <w:b/>
                <w:sz w:val="20"/>
                <w:szCs w:val="20"/>
              </w:rPr>
              <w:t>Response Total</w:t>
            </w:r>
          </w:p>
        </w:tc>
        <w:tc>
          <w:tcPr>
            <w:tcW w:w="3117" w:type="dxa"/>
            <w:shd w:val="clear" w:color="auto" w:fill="D9D9D9" w:themeFill="background1" w:themeFillShade="D9"/>
          </w:tcPr>
          <w:p w14:paraId="30A830D8" w14:textId="77777777" w:rsidR="00FE1A0B" w:rsidRPr="00197912" w:rsidRDefault="00FE1A0B" w:rsidP="00694F53">
            <w:pPr>
              <w:keepNext/>
              <w:rPr>
                <w:rFonts w:cstheme="minorHAnsi"/>
                <w:b/>
                <w:sz w:val="20"/>
                <w:szCs w:val="20"/>
              </w:rPr>
            </w:pPr>
            <w:r w:rsidRPr="00197912">
              <w:rPr>
                <w:rFonts w:cstheme="minorHAnsi"/>
                <w:b/>
                <w:sz w:val="20"/>
                <w:szCs w:val="20"/>
              </w:rPr>
              <w:t>Response Percent</w:t>
            </w:r>
          </w:p>
        </w:tc>
      </w:tr>
      <w:tr w:rsidR="00FE1A0B" w:rsidRPr="001A551D" w14:paraId="76915FC9" w14:textId="77777777" w:rsidTr="00694F53">
        <w:tc>
          <w:tcPr>
            <w:tcW w:w="3116" w:type="dxa"/>
          </w:tcPr>
          <w:p w14:paraId="609E6D02" w14:textId="77777777" w:rsidR="00FE1A0B" w:rsidRPr="001A551D" w:rsidRDefault="00FE1A0B" w:rsidP="00694F53">
            <w:pPr>
              <w:keepNext/>
              <w:rPr>
                <w:rFonts w:cstheme="minorHAnsi"/>
                <w:sz w:val="20"/>
                <w:szCs w:val="20"/>
              </w:rPr>
            </w:pPr>
            <w:r w:rsidRPr="001A551D">
              <w:rPr>
                <w:rFonts w:cstheme="minorHAnsi"/>
                <w:sz w:val="20"/>
                <w:szCs w:val="20"/>
              </w:rPr>
              <w:t>$500-$700</w:t>
            </w:r>
          </w:p>
        </w:tc>
        <w:tc>
          <w:tcPr>
            <w:tcW w:w="3117" w:type="dxa"/>
          </w:tcPr>
          <w:p w14:paraId="38C8C70F" w14:textId="77777777" w:rsidR="00FE1A0B" w:rsidRPr="001A551D" w:rsidRDefault="00FE1A0B" w:rsidP="00694F53">
            <w:pPr>
              <w:keepNext/>
              <w:rPr>
                <w:rFonts w:cstheme="minorHAnsi"/>
                <w:sz w:val="20"/>
                <w:szCs w:val="20"/>
              </w:rPr>
            </w:pPr>
            <w:r w:rsidRPr="001A551D">
              <w:rPr>
                <w:rFonts w:cstheme="minorHAnsi"/>
                <w:sz w:val="20"/>
                <w:szCs w:val="20"/>
              </w:rPr>
              <w:t>5</w:t>
            </w:r>
          </w:p>
        </w:tc>
        <w:tc>
          <w:tcPr>
            <w:tcW w:w="3117" w:type="dxa"/>
          </w:tcPr>
          <w:p w14:paraId="0989626B" w14:textId="77777777" w:rsidR="00FE1A0B" w:rsidRPr="001A551D" w:rsidRDefault="00FE1A0B" w:rsidP="00694F53">
            <w:pPr>
              <w:keepNext/>
              <w:rPr>
                <w:rFonts w:cstheme="minorHAnsi"/>
                <w:sz w:val="20"/>
                <w:szCs w:val="20"/>
              </w:rPr>
            </w:pPr>
            <w:r w:rsidRPr="001A551D">
              <w:rPr>
                <w:rFonts w:cstheme="minorHAnsi"/>
                <w:sz w:val="20"/>
                <w:szCs w:val="20"/>
              </w:rPr>
              <w:t>26%</w:t>
            </w:r>
          </w:p>
        </w:tc>
      </w:tr>
      <w:tr w:rsidR="00FE1A0B" w:rsidRPr="001A551D" w14:paraId="79839CD9" w14:textId="77777777" w:rsidTr="00694F53">
        <w:tc>
          <w:tcPr>
            <w:tcW w:w="3116" w:type="dxa"/>
          </w:tcPr>
          <w:p w14:paraId="421495B6" w14:textId="77777777" w:rsidR="00FE1A0B" w:rsidRPr="001A551D" w:rsidRDefault="00FE1A0B" w:rsidP="00694F53">
            <w:pPr>
              <w:keepNext/>
              <w:rPr>
                <w:rFonts w:cstheme="minorHAnsi"/>
                <w:sz w:val="20"/>
                <w:szCs w:val="20"/>
              </w:rPr>
            </w:pPr>
            <w:r w:rsidRPr="001A551D">
              <w:rPr>
                <w:rFonts w:cstheme="minorHAnsi"/>
                <w:sz w:val="20"/>
                <w:szCs w:val="20"/>
              </w:rPr>
              <w:t>$751-$1000</w:t>
            </w:r>
          </w:p>
        </w:tc>
        <w:tc>
          <w:tcPr>
            <w:tcW w:w="3117" w:type="dxa"/>
          </w:tcPr>
          <w:p w14:paraId="2AC02BFA" w14:textId="77777777" w:rsidR="00FE1A0B" w:rsidRPr="001A551D" w:rsidRDefault="00FE1A0B" w:rsidP="00694F53">
            <w:pPr>
              <w:keepNext/>
              <w:rPr>
                <w:rFonts w:cstheme="minorHAnsi"/>
                <w:sz w:val="20"/>
                <w:szCs w:val="20"/>
              </w:rPr>
            </w:pPr>
            <w:r w:rsidRPr="001A551D">
              <w:rPr>
                <w:rFonts w:cstheme="minorHAnsi"/>
                <w:sz w:val="20"/>
                <w:szCs w:val="20"/>
              </w:rPr>
              <w:t>8</w:t>
            </w:r>
          </w:p>
        </w:tc>
        <w:tc>
          <w:tcPr>
            <w:tcW w:w="3117" w:type="dxa"/>
          </w:tcPr>
          <w:p w14:paraId="2963ECE4" w14:textId="77777777" w:rsidR="00FE1A0B" w:rsidRPr="001A551D" w:rsidRDefault="00FE1A0B" w:rsidP="00694F53">
            <w:pPr>
              <w:keepNext/>
              <w:rPr>
                <w:rFonts w:cstheme="minorHAnsi"/>
                <w:sz w:val="20"/>
                <w:szCs w:val="20"/>
              </w:rPr>
            </w:pPr>
            <w:r w:rsidRPr="001A551D">
              <w:rPr>
                <w:rFonts w:cstheme="minorHAnsi"/>
                <w:sz w:val="20"/>
                <w:szCs w:val="20"/>
              </w:rPr>
              <w:t>42%</w:t>
            </w:r>
          </w:p>
        </w:tc>
      </w:tr>
      <w:tr w:rsidR="00FE1A0B" w:rsidRPr="001A551D" w14:paraId="69F744EC" w14:textId="77777777" w:rsidTr="00694F53">
        <w:tc>
          <w:tcPr>
            <w:tcW w:w="3116" w:type="dxa"/>
          </w:tcPr>
          <w:p w14:paraId="49252F9C" w14:textId="77777777" w:rsidR="00FE1A0B" w:rsidRPr="001A551D" w:rsidRDefault="00FE1A0B" w:rsidP="00694F53">
            <w:pPr>
              <w:keepNext/>
              <w:rPr>
                <w:rFonts w:cstheme="minorHAnsi"/>
                <w:sz w:val="20"/>
                <w:szCs w:val="20"/>
              </w:rPr>
            </w:pPr>
            <w:r w:rsidRPr="001A551D">
              <w:rPr>
                <w:rFonts w:cstheme="minorHAnsi"/>
                <w:sz w:val="20"/>
                <w:szCs w:val="20"/>
              </w:rPr>
              <w:t>$1001-$1500</w:t>
            </w:r>
          </w:p>
        </w:tc>
        <w:tc>
          <w:tcPr>
            <w:tcW w:w="3117" w:type="dxa"/>
          </w:tcPr>
          <w:p w14:paraId="32A05A66" w14:textId="77777777" w:rsidR="00FE1A0B" w:rsidRPr="001A551D" w:rsidRDefault="00FE1A0B" w:rsidP="00694F53">
            <w:pPr>
              <w:keepNext/>
              <w:rPr>
                <w:rFonts w:cstheme="minorHAnsi"/>
                <w:sz w:val="20"/>
                <w:szCs w:val="20"/>
              </w:rPr>
            </w:pPr>
            <w:r w:rsidRPr="001A551D">
              <w:rPr>
                <w:rFonts w:cstheme="minorHAnsi"/>
                <w:sz w:val="20"/>
                <w:szCs w:val="20"/>
              </w:rPr>
              <w:t>6</w:t>
            </w:r>
          </w:p>
        </w:tc>
        <w:tc>
          <w:tcPr>
            <w:tcW w:w="3117" w:type="dxa"/>
          </w:tcPr>
          <w:p w14:paraId="4CB8D604" w14:textId="77777777" w:rsidR="00FE1A0B" w:rsidRPr="001A551D" w:rsidRDefault="00FE1A0B" w:rsidP="00694F53">
            <w:pPr>
              <w:keepNext/>
              <w:rPr>
                <w:rFonts w:cstheme="minorHAnsi"/>
                <w:sz w:val="20"/>
                <w:szCs w:val="20"/>
              </w:rPr>
            </w:pPr>
            <w:r w:rsidRPr="001A551D">
              <w:rPr>
                <w:rFonts w:cstheme="minorHAnsi"/>
                <w:sz w:val="20"/>
                <w:szCs w:val="20"/>
              </w:rPr>
              <w:t>32%</w:t>
            </w:r>
          </w:p>
        </w:tc>
      </w:tr>
      <w:tr w:rsidR="00FE1A0B" w:rsidRPr="001A551D" w14:paraId="2253FF1E" w14:textId="77777777" w:rsidTr="00694F53">
        <w:tc>
          <w:tcPr>
            <w:tcW w:w="9350" w:type="dxa"/>
            <w:gridSpan w:val="3"/>
          </w:tcPr>
          <w:p w14:paraId="4E1BFA09" w14:textId="77777777" w:rsidR="00FE1A0B" w:rsidRPr="00197912" w:rsidRDefault="00FE1A0B" w:rsidP="00694F53">
            <w:pPr>
              <w:keepNext/>
              <w:rPr>
                <w:rFonts w:cstheme="minorHAnsi"/>
                <w:b/>
                <w:sz w:val="20"/>
                <w:szCs w:val="20"/>
              </w:rPr>
            </w:pPr>
            <w:r w:rsidRPr="00197912">
              <w:rPr>
                <w:rFonts w:cstheme="minorHAnsi"/>
                <w:b/>
                <w:sz w:val="20"/>
                <w:szCs w:val="20"/>
              </w:rPr>
              <w:t>Average Cost = $975</w:t>
            </w:r>
          </w:p>
        </w:tc>
      </w:tr>
      <w:tr w:rsidR="00FE1A0B" w:rsidRPr="001A551D" w14:paraId="3437710A" w14:textId="77777777" w:rsidTr="00694F53">
        <w:tc>
          <w:tcPr>
            <w:tcW w:w="3116" w:type="dxa"/>
            <w:shd w:val="clear" w:color="auto" w:fill="D9D9D9" w:themeFill="background1" w:themeFillShade="D9"/>
          </w:tcPr>
          <w:p w14:paraId="0B6EDF31" w14:textId="77777777" w:rsidR="00FE1A0B" w:rsidRPr="00197912" w:rsidRDefault="00FE1A0B" w:rsidP="00694F53">
            <w:pPr>
              <w:keepNext/>
              <w:rPr>
                <w:rFonts w:cstheme="minorHAnsi"/>
                <w:b/>
                <w:sz w:val="20"/>
                <w:szCs w:val="20"/>
              </w:rPr>
            </w:pPr>
            <w:r w:rsidRPr="00197912">
              <w:rPr>
                <w:rFonts w:cstheme="minorHAnsi"/>
                <w:b/>
                <w:sz w:val="20"/>
                <w:szCs w:val="20"/>
              </w:rPr>
              <w:t>Fireplace Inserts Price</w:t>
            </w:r>
          </w:p>
        </w:tc>
        <w:tc>
          <w:tcPr>
            <w:tcW w:w="3117" w:type="dxa"/>
            <w:shd w:val="clear" w:color="auto" w:fill="D9D9D9" w:themeFill="background1" w:themeFillShade="D9"/>
          </w:tcPr>
          <w:p w14:paraId="3775249B" w14:textId="77777777" w:rsidR="00FE1A0B" w:rsidRPr="00197912" w:rsidRDefault="00FE1A0B" w:rsidP="00694F53">
            <w:pPr>
              <w:keepNext/>
              <w:rPr>
                <w:rFonts w:cstheme="minorHAnsi"/>
                <w:b/>
                <w:sz w:val="20"/>
                <w:szCs w:val="20"/>
              </w:rPr>
            </w:pPr>
            <w:r w:rsidRPr="00197912">
              <w:rPr>
                <w:rFonts w:cstheme="minorHAnsi"/>
                <w:b/>
                <w:sz w:val="20"/>
                <w:szCs w:val="20"/>
              </w:rPr>
              <w:t>Response Total</w:t>
            </w:r>
          </w:p>
        </w:tc>
        <w:tc>
          <w:tcPr>
            <w:tcW w:w="3117" w:type="dxa"/>
            <w:shd w:val="clear" w:color="auto" w:fill="D9D9D9" w:themeFill="background1" w:themeFillShade="D9"/>
          </w:tcPr>
          <w:p w14:paraId="240A24ED" w14:textId="77777777" w:rsidR="00FE1A0B" w:rsidRPr="00197912" w:rsidRDefault="00FE1A0B" w:rsidP="00694F53">
            <w:pPr>
              <w:keepNext/>
              <w:rPr>
                <w:rFonts w:cstheme="minorHAnsi"/>
                <w:b/>
                <w:sz w:val="20"/>
                <w:szCs w:val="20"/>
              </w:rPr>
            </w:pPr>
            <w:r w:rsidRPr="00197912">
              <w:rPr>
                <w:rFonts w:cstheme="minorHAnsi"/>
                <w:b/>
                <w:sz w:val="20"/>
                <w:szCs w:val="20"/>
              </w:rPr>
              <w:t>Response Percent</w:t>
            </w:r>
          </w:p>
        </w:tc>
      </w:tr>
      <w:tr w:rsidR="00FE1A0B" w:rsidRPr="001A551D" w14:paraId="76E5CB34" w14:textId="77777777" w:rsidTr="00694F53">
        <w:tc>
          <w:tcPr>
            <w:tcW w:w="3116" w:type="dxa"/>
          </w:tcPr>
          <w:p w14:paraId="4DF85769" w14:textId="77777777" w:rsidR="00FE1A0B" w:rsidRPr="001A551D" w:rsidRDefault="00FE1A0B" w:rsidP="00694F53">
            <w:pPr>
              <w:keepNext/>
              <w:rPr>
                <w:rFonts w:cstheme="minorHAnsi"/>
                <w:sz w:val="20"/>
                <w:szCs w:val="20"/>
              </w:rPr>
            </w:pPr>
            <w:r w:rsidRPr="001A551D">
              <w:rPr>
                <w:rFonts w:cstheme="minorHAnsi"/>
                <w:sz w:val="20"/>
                <w:szCs w:val="20"/>
              </w:rPr>
              <w:t>$500-$700</w:t>
            </w:r>
          </w:p>
        </w:tc>
        <w:tc>
          <w:tcPr>
            <w:tcW w:w="3117" w:type="dxa"/>
          </w:tcPr>
          <w:p w14:paraId="4B3E3B9F" w14:textId="77777777" w:rsidR="00FE1A0B" w:rsidRPr="001A551D" w:rsidRDefault="00FE1A0B" w:rsidP="00694F53">
            <w:pPr>
              <w:keepNext/>
              <w:rPr>
                <w:rFonts w:cstheme="minorHAnsi"/>
                <w:sz w:val="20"/>
                <w:szCs w:val="20"/>
              </w:rPr>
            </w:pPr>
            <w:r w:rsidRPr="001A551D">
              <w:rPr>
                <w:rFonts w:cstheme="minorHAnsi"/>
                <w:sz w:val="20"/>
                <w:szCs w:val="20"/>
              </w:rPr>
              <w:t>8</w:t>
            </w:r>
          </w:p>
        </w:tc>
        <w:tc>
          <w:tcPr>
            <w:tcW w:w="3117" w:type="dxa"/>
          </w:tcPr>
          <w:p w14:paraId="2D8232DB" w14:textId="77777777" w:rsidR="00FE1A0B" w:rsidRPr="001A551D" w:rsidRDefault="00FE1A0B" w:rsidP="00694F53">
            <w:pPr>
              <w:keepNext/>
              <w:rPr>
                <w:rFonts w:cstheme="minorHAnsi"/>
                <w:sz w:val="20"/>
                <w:szCs w:val="20"/>
              </w:rPr>
            </w:pPr>
            <w:r w:rsidRPr="001A551D">
              <w:rPr>
                <w:rFonts w:cstheme="minorHAnsi"/>
                <w:sz w:val="20"/>
                <w:szCs w:val="20"/>
              </w:rPr>
              <w:t>42%</w:t>
            </w:r>
          </w:p>
        </w:tc>
      </w:tr>
      <w:tr w:rsidR="00FE1A0B" w:rsidRPr="001A551D" w14:paraId="71ADFAB7" w14:textId="77777777" w:rsidTr="00694F53">
        <w:tc>
          <w:tcPr>
            <w:tcW w:w="3116" w:type="dxa"/>
          </w:tcPr>
          <w:p w14:paraId="68B18D50" w14:textId="77777777" w:rsidR="00FE1A0B" w:rsidRPr="001A551D" w:rsidRDefault="00FE1A0B" w:rsidP="00694F53">
            <w:pPr>
              <w:keepNext/>
              <w:rPr>
                <w:rFonts w:cstheme="minorHAnsi"/>
                <w:sz w:val="20"/>
                <w:szCs w:val="20"/>
              </w:rPr>
            </w:pPr>
            <w:r w:rsidRPr="001A551D">
              <w:rPr>
                <w:rFonts w:cstheme="minorHAnsi"/>
                <w:sz w:val="20"/>
                <w:szCs w:val="20"/>
              </w:rPr>
              <w:t>$751-$1000</w:t>
            </w:r>
          </w:p>
        </w:tc>
        <w:tc>
          <w:tcPr>
            <w:tcW w:w="3117" w:type="dxa"/>
          </w:tcPr>
          <w:p w14:paraId="7E8726FA" w14:textId="77777777" w:rsidR="00FE1A0B" w:rsidRPr="001A551D" w:rsidRDefault="00FE1A0B" w:rsidP="00694F53">
            <w:pPr>
              <w:keepNext/>
              <w:rPr>
                <w:rFonts w:cstheme="minorHAnsi"/>
                <w:sz w:val="20"/>
                <w:szCs w:val="20"/>
              </w:rPr>
            </w:pPr>
            <w:r w:rsidRPr="001A551D">
              <w:rPr>
                <w:rFonts w:cstheme="minorHAnsi"/>
                <w:sz w:val="20"/>
                <w:szCs w:val="20"/>
              </w:rPr>
              <w:t>8</w:t>
            </w:r>
          </w:p>
        </w:tc>
        <w:tc>
          <w:tcPr>
            <w:tcW w:w="3117" w:type="dxa"/>
          </w:tcPr>
          <w:p w14:paraId="21EF3AC2" w14:textId="77777777" w:rsidR="00FE1A0B" w:rsidRPr="001A551D" w:rsidRDefault="00FE1A0B" w:rsidP="00694F53">
            <w:pPr>
              <w:keepNext/>
              <w:rPr>
                <w:rFonts w:cstheme="minorHAnsi"/>
                <w:sz w:val="20"/>
                <w:szCs w:val="20"/>
              </w:rPr>
            </w:pPr>
            <w:r w:rsidRPr="001A551D">
              <w:rPr>
                <w:rFonts w:cstheme="minorHAnsi"/>
                <w:sz w:val="20"/>
                <w:szCs w:val="20"/>
              </w:rPr>
              <w:t>42%</w:t>
            </w:r>
          </w:p>
        </w:tc>
      </w:tr>
      <w:tr w:rsidR="00FE1A0B" w:rsidRPr="001A551D" w14:paraId="19B7F7E6" w14:textId="77777777" w:rsidTr="00694F53">
        <w:tc>
          <w:tcPr>
            <w:tcW w:w="3116" w:type="dxa"/>
          </w:tcPr>
          <w:p w14:paraId="3A78414E" w14:textId="77777777" w:rsidR="00FE1A0B" w:rsidRPr="001A551D" w:rsidRDefault="00FE1A0B" w:rsidP="00694F53">
            <w:pPr>
              <w:keepNext/>
              <w:rPr>
                <w:rFonts w:cstheme="minorHAnsi"/>
                <w:sz w:val="20"/>
                <w:szCs w:val="20"/>
              </w:rPr>
            </w:pPr>
            <w:r w:rsidRPr="001A551D">
              <w:rPr>
                <w:rFonts w:cstheme="minorHAnsi"/>
                <w:sz w:val="20"/>
                <w:szCs w:val="20"/>
              </w:rPr>
              <w:t>$1001-$1500</w:t>
            </w:r>
          </w:p>
        </w:tc>
        <w:tc>
          <w:tcPr>
            <w:tcW w:w="3117" w:type="dxa"/>
          </w:tcPr>
          <w:p w14:paraId="326E2CDF" w14:textId="77777777" w:rsidR="00FE1A0B" w:rsidRPr="001A551D" w:rsidRDefault="00FE1A0B" w:rsidP="00694F53">
            <w:pPr>
              <w:keepNext/>
              <w:rPr>
                <w:rFonts w:cstheme="minorHAnsi"/>
                <w:sz w:val="20"/>
                <w:szCs w:val="20"/>
              </w:rPr>
            </w:pPr>
            <w:r w:rsidRPr="001A551D">
              <w:rPr>
                <w:rFonts w:cstheme="minorHAnsi"/>
                <w:sz w:val="20"/>
                <w:szCs w:val="20"/>
              </w:rPr>
              <w:t>3</w:t>
            </w:r>
          </w:p>
        </w:tc>
        <w:tc>
          <w:tcPr>
            <w:tcW w:w="3117" w:type="dxa"/>
          </w:tcPr>
          <w:p w14:paraId="47BC3131" w14:textId="77777777" w:rsidR="00FE1A0B" w:rsidRPr="001A551D" w:rsidRDefault="00FE1A0B" w:rsidP="00694F53">
            <w:pPr>
              <w:keepNext/>
              <w:rPr>
                <w:rFonts w:cstheme="minorHAnsi"/>
                <w:sz w:val="20"/>
                <w:szCs w:val="20"/>
              </w:rPr>
            </w:pPr>
            <w:r w:rsidRPr="001A551D">
              <w:rPr>
                <w:rFonts w:cstheme="minorHAnsi"/>
                <w:sz w:val="20"/>
                <w:szCs w:val="20"/>
              </w:rPr>
              <w:t>16%</w:t>
            </w:r>
          </w:p>
        </w:tc>
      </w:tr>
      <w:tr w:rsidR="00FE1A0B" w:rsidRPr="001A551D" w14:paraId="49E5557B" w14:textId="77777777" w:rsidTr="00694F53">
        <w:tc>
          <w:tcPr>
            <w:tcW w:w="9350" w:type="dxa"/>
            <w:gridSpan w:val="3"/>
          </w:tcPr>
          <w:p w14:paraId="41ADF6E4" w14:textId="77777777" w:rsidR="00FE1A0B" w:rsidRPr="00197912" w:rsidRDefault="00FE1A0B" w:rsidP="00694F53">
            <w:pPr>
              <w:keepNext/>
              <w:rPr>
                <w:rFonts w:cstheme="minorHAnsi"/>
                <w:b/>
                <w:sz w:val="20"/>
                <w:szCs w:val="20"/>
              </w:rPr>
            </w:pPr>
            <w:r w:rsidRPr="00197912">
              <w:rPr>
                <w:rFonts w:cstheme="minorHAnsi"/>
                <w:b/>
                <w:sz w:val="20"/>
                <w:szCs w:val="20"/>
              </w:rPr>
              <w:t>Average Cost = $838</w:t>
            </w:r>
          </w:p>
        </w:tc>
      </w:tr>
      <w:tr w:rsidR="00FE1A0B" w:rsidRPr="001A551D" w14:paraId="639B783B" w14:textId="77777777" w:rsidTr="00694F53">
        <w:tc>
          <w:tcPr>
            <w:tcW w:w="3116" w:type="dxa"/>
            <w:shd w:val="clear" w:color="auto" w:fill="D9D9D9" w:themeFill="background1" w:themeFillShade="D9"/>
          </w:tcPr>
          <w:p w14:paraId="7E0D228D" w14:textId="77777777" w:rsidR="00FE1A0B" w:rsidRPr="00197912" w:rsidRDefault="00FE1A0B" w:rsidP="00694F53">
            <w:pPr>
              <w:keepNext/>
              <w:rPr>
                <w:rFonts w:cstheme="minorHAnsi"/>
                <w:b/>
                <w:sz w:val="20"/>
                <w:szCs w:val="20"/>
              </w:rPr>
            </w:pPr>
            <w:r w:rsidRPr="00197912">
              <w:rPr>
                <w:rFonts w:cstheme="minorHAnsi"/>
                <w:b/>
                <w:sz w:val="20"/>
                <w:szCs w:val="20"/>
              </w:rPr>
              <w:t>Free-Standing Stoves Price</w:t>
            </w:r>
          </w:p>
        </w:tc>
        <w:tc>
          <w:tcPr>
            <w:tcW w:w="3117" w:type="dxa"/>
            <w:shd w:val="clear" w:color="auto" w:fill="D9D9D9" w:themeFill="background1" w:themeFillShade="D9"/>
          </w:tcPr>
          <w:p w14:paraId="58F37761" w14:textId="77777777" w:rsidR="00FE1A0B" w:rsidRPr="00197912" w:rsidRDefault="00FE1A0B" w:rsidP="00694F53">
            <w:pPr>
              <w:keepNext/>
              <w:rPr>
                <w:rFonts w:cstheme="minorHAnsi"/>
                <w:b/>
                <w:sz w:val="20"/>
                <w:szCs w:val="20"/>
              </w:rPr>
            </w:pPr>
            <w:r w:rsidRPr="00197912">
              <w:rPr>
                <w:rFonts w:cstheme="minorHAnsi"/>
                <w:b/>
                <w:sz w:val="20"/>
                <w:szCs w:val="20"/>
              </w:rPr>
              <w:t>Response Total</w:t>
            </w:r>
          </w:p>
        </w:tc>
        <w:tc>
          <w:tcPr>
            <w:tcW w:w="3117" w:type="dxa"/>
            <w:shd w:val="clear" w:color="auto" w:fill="D9D9D9" w:themeFill="background1" w:themeFillShade="D9"/>
          </w:tcPr>
          <w:p w14:paraId="0F379D55" w14:textId="77777777" w:rsidR="00FE1A0B" w:rsidRPr="00197912" w:rsidRDefault="00FE1A0B" w:rsidP="00694F53">
            <w:pPr>
              <w:keepNext/>
              <w:rPr>
                <w:rFonts w:cstheme="minorHAnsi"/>
                <w:b/>
                <w:sz w:val="20"/>
                <w:szCs w:val="20"/>
              </w:rPr>
            </w:pPr>
            <w:r w:rsidRPr="00197912">
              <w:rPr>
                <w:rFonts w:cstheme="minorHAnsi"/>
                <w:b/>
                <w:sz w:val="20"/>
                <w:szCs w:val="20"/>
              </w:rPr>
              <w:t>Response Percent</w:t>
            </w:r>
          </w:p>
        </w:tc>
      </w:tr>
      <w:tr w:rsidR="00FE1A0B" w:rsidRPr="001A551D" w14:paraId="7D896074" w14:textId="77777777" w:rsidTr="00694F53">
        <w:tc>
          <w:tcPr>
            <w:tcW w:w="3116" w:type="dxa"/>
          </w:tcPr>
          <w:p w14:paraId="5E604BAB" w14:textId="77777777" w:rsidR="00FE1A0B" w:rsidRPr="001A551D" w:rsidRDefault="00FE1A0B" w:rsidP="00694F53">
            <w:pPr>
              <w:keepNext/>
              <w:rPr>
                <w:rFonts w:cstheme="minorHAnsi"/>
                <w:sz w:val="20"/>
                <w:szCs w:val="20"/>
              </w:rPr>
            </w:pPr>
            <w:r w:rsidRPr="001A551D">
              <w:rPr>
                <w:rFonts w:cstheme="minorHAnsi"/>
                <w:sz w:val="20"/>
                <w:szCs w:val="20"/>
              </w:rPr>
              <w:t>$500-$700</w:t>
            </w:r>
          </w:p>
        </w:tc>
        <w:tc>
          <w:tcPr>
            <w:tcW w:w="3117" w:type="dxa"/>
          </w:tcPr>
          <w:p w14:paraId="2F43CFF7" w14:textId="77777777" w:rsidR="00FE1A0B" w:rsidRPr="001A551D" w:rsidRDefault="00FE1A0B" w:rsidP="00694F53">
            <w:pPr>
              <w:keepNext/>
              <w:rPr>
                <w:rFonts w:cstheme="minorHAnsi"/>
                <w:sz w:val="20"/>
                <w:szCs w:val="20"/>
              </w:rPr>
            </w:pPr>
            <w:r w:rsidRPr="001A551D">
              <w:rPr>
                <w:rFonts w:cstheme="minorHAnsi"/>
                <w:sz w:val="20"/>
                <w:szCs w:val="20"/>
              </w:rPr>
              <w:t>2</w:t>
            </w:r>
          </w:p>
        </w:tc>
        <w:tc>
          <w:tcPr>
            <w:tcW w:w="3117" w:type="dxa"/>
          </w:tcPr>
          <w:p w14:paraId="578DFF56" w14:textId="77777777" w:rsidR="00FE1A0B" w:rsidRPr="001A551D" w:rsidRDefault="00FE1A0B" w:rsidP="00694F53">
            <w:pPr>
              <w:keepNext/>
              <w:rPr>
                <w:rFonts w:cstheme="minorHAnsi"/>
                <w:sz w:val="20"/>
                <w:szCs w:val="20"/>
              </w:rPr>
            </w:pPr>
            <w:r w:rsidRPr="001A551D">
              <w:rPr>
                <w:rFonts w:cstheme="minorHAnsi"/>
                <w:sz w:val="20"/>
                <w:szCs w:val="20"/>
              </w:rPr>
              <w:t>11%</w:t>
            </w:r>
          </w:p>
        </w:tc>
      </w:tr>
      <w:tr w:rsidR="00FE1A0B" w:rsidRPr="001A551D" w14:paraId="77AED193" w14:textId="77777777" w:rsidTr="00694F53">
        <w:tc>
          <w:tcPr>
            <w:tcW w:w="3116" w:type="dxa"/>
          </w:tcPr>
          <w:p w14:paraId="1A4636A8" w14:textId="77777777" w:rsidR="00FE1A0B" w:rsidRPr="001A551D" w:rsidRDefault="00FE1A0B" w:rsidP="00694F53">
            <w:pPr>
              <w:keepNext/>
              <w:rPr>
                <w:rFonts w:cstheme="minorHAnsi"/>
                <w:sz w:val="20"/>
                <w:szCs w:val="20"/>
              </w:rPr>
            </w:pPr>
            <w:r w:rsidRPr="001A551D">
              <w:rPr>
                <w:rFonts w:cstheme="minorHAnsi"/>
                <w:sz w:val="20"/>
                <w:szCs w:val="20"/>
              </w:rPr>
              <w:t>$751-$1000</w:t>
            </w:r>
          </w:p>
        </w:tc>
        <w:tc>
          <w:tcPr>
            <w:tcW w:w="3117" w:type="dxa"/>
          </w:tcPr>
          <w:p w14:paraId="12AB8FE5" w14:textId="77777777" w:rsidR="00FE1A0B" w:rsidRPr="001A551D" w:rsidRDefault="00FE1A0B" w:rsidP="00694F53">
            <w:pPr>
              <w:keepNext/>
              <w:rPr>
                <w:rFonts w:cstheme="minorHAnsi"/>
                <w:sz w:val="20"/>
                <w:szCs w:val="20"/>
              </w:rPr>
            </w:pPr>
            <w:r w:rsidRPr="001A551D">
              <w:rPr>
                <w:rFonts w:cstheme="minorHAnsi"/>
                <w:sz w:val="20"/>
                <w:szCs w:val="20"/>
              </w:rPr>
              <w:t>12</w:t>
            </w:r>
          </w:p>
        </w:tc>
        <w:tc>
          <w:tcPr>
            <w:tcW w:w="3117" w:type="dxa"/>
          </w:tcPr>
          <w:p w14:paraId="5ABBF4E5" w14:textId="77777777" w:rsidR="00FE1A0B" w:rsidRPr="001A551D" w:rsidRDefault="00FE1A0B" w:rsidP="00694F53">
            <w:pPr>
              <w:keepNext/>
              <w:rPr>
                <w:rFonts w:cstheme="minorHAnsi"/>
                <w:sz w:val="20"/>
                <w:szCs w:val="20"/>
              </w:rPr>
            </w:pPr>
            <w:r w:rsidRPr="001A551D">
              <w:rPr>
                <w:rFonts w:cstheme="minorHAnsi"/>
                <w:sz w:val="20"/>
                <w:szCs w:val="20"/>
              </w:rPr>
              <w:t>63%</w:t>
            </w:r>
          </w:p>
        </w:tc>
      </w:tr>
      <w:tr w:rsidR="00FE1A0B" w:rsidRPr="001A551D" w14:paraId="31B426C7" w14:textId="77777777" w:rsidTr="00694F53">
        <w:tc>
          <w:tcPr>
            <w:tcW w:w="3116" w:type="dxa"/>
          </w:tcPr>
          <w:p w14:paraId="08AAF32F" w14:textId="77777777" w:rsidR="00FE1A0B" w:rsidRPr="001A551D" w:rsidRDefault="00FE1A0B" w:rsidP="00694F53">
            <w:pPr>
              <w:keepNext/>
              <w:rPr>
                <w:rFonts w:cstheme="minorHAnsi"/>
                <w:sz w:val="20"/>
                <w:szCs w:val="20"/>
              </w:rPr>
            </w:pPr>
            <w:r w:rsidRPr="001A551D">
              <w:rPr>
                <w:rFonts w:cstheme="minorHAnsi"/>
                <w:sz w:val="20"/>
                <w:szCs w:val="20"/>
              </w:rPr>
              <w:t>$1001-$1500</w:t>
            </w:r>
          </w:p>
        </w:tc>
        <w:tc>
          <w:tcPr>
            <w:tcW w:w="3117" w:type="dxa"/>
          </w:tcPr>
          <w:p w14:paraId="21401271" w14:textId="77777777" w:rsidR="00FE1A0B" w:rsidRPr="001A551D" w:rsidRDefault="00FE1A0B" w:rsidP="00694F53">
            <w:pPr>
              <w:keepNext/>
              <w:rPr>
                <w:rFonts w:cstheme="minorHAnsi"/>
                <w:sz w:val="20"/>
                <w:szCs w:val="20"/>
              </w:rPr>
            </w:pPr>
            <w:r w:rsidRPr="001A551D">
              <w:rPr>
                <w:rFonts w:cstheme="minorHAnsi"/>
                <w:sz w:val="20"/>
                <w:szCs w:val="20"/>
              </w:rPr>
              <w:t>5</w:t>
            </w:r>
          </w:p>
        </w:tc>
        <w:tc>
          <w:tcPr>
            <w:tcW w:w="3117" w:type="dxa"/>
          </w:tcPr>
          <w:p w14:paraId="32102DA7" w14:textId="77777777" w:rsidR="00FE1A0B" w:rsidRPr="001A551D" w:rsidRDefault="00FE1A0B" w:rsidP="00694F53">
            <w:pPr>
              <w:keepNext/>
              <w:rPr>
                <w:rFonts w:cstheme="minorHAnsi"/>
                <w:sz w:val="20"/>
                <w:szCs w:val="20"/>
              </w:rPr>
            </w:pPr>
            <w:r w:rsidRPr="001A551D">
              <w:rPr>
                <w:rFonts w:cstheme="minorHAnsi"/>
                <w:sz w:val="20"/>
                <w:szCs w:val="20"/>
              </w:rPr>
              <w:t>26%</w:t>
            </w:r>
          </w:p>
        </w:tc>
      </w:tr>
      <w:tr w:rsidR="00FE1A0B" w:rsidRPr="001A551D" w14:paraId="2C054548" w14:textId="77777777" w:rsidTr="00694F53">
        <w:tc>
          <w:tcPr>
            <w:tcW w:w="9350" w:type="dxa"/>
            <w:gridSpan w:val="3"/>
          </w:tcPr>
          <w:p w14:paraId="6740623A" w14:textId="77777777" w:rsidR="00FE1A0B" w:rsidRPr="00197912" w:rsidRDefault="00FE1A0B" w:rsidP="00694F53">
            <w:pPr>
              <w:keepNext/>
              <w:rPr>
                <w:rFonts w:cstheme="minorHAnsi"/>
                <w:b/>
                <w:sz w:val="20"/>
                <w:szCs w:val="20"/>
              </w:rPr>
            </w:pPr>
            <w:r w:rsidRPr="00197912">
              <w:rPr>
                <w:rFonts w:cstheme="minorHAnsi"/>
                <w:b/>
                <w:sz w:val="20"/>
                <w:szCs w:val="20"/>
              </w:rPr>
              <w:t>Average Cost = $947</w:t>
            </w:r>
          </w:p>
        </w:tc>
      </w:tr>
    </w:tbl>
    <w:p w14:paraId="54111EB0" w14:textId="77777777" w:rsidR="00FE1A0B" w:rsidRPr="00284CE5" w:rsidRDefault="00FE1A0B" w:rsidP="00284CE5"/>
    <w:p w14:paraId="2AC521A5" w14:textId="09FCFA94" w:rsidR="00572D2F" w:rsidRDefault="00572D2F" w:rsidP="00284CE5">
      <w:pPr>
        <w:pStyle w:val="Heading3"/>
        <w:rPr>
          <w:rFonts w:asciiTheme="minorHAnsi" w:hAnsiTheme="minorHAnsi"/>
        </w:rPr>
      </w:pPr>
      <w:bookmarkStart w:id="22" w:name="_Ref531766484"/>
      <w:r w:rsidRPr="00920905">
        <w:rPr>
          <w:rFonts w:asciiTheme="minorHAnsi" w:hAnsiTheme="minorHAnsi"/>
        </w:rPr>
        <w:t>1.</w:t>
      </w:r>
      <w:r w:rsidR="00A4411F" w:rsidRPr="00920905">
        <w:rPr>
          <w:rFonts w:asciiTheme="minorHAnsi" w:hAnsiTheme="minorHAnsi"/>
        </w:rPr>
        <w:t>5.</w:t>
      </w:r>
      <w:r w:rsidR="00FE1A0B">
        <w:rPr>
          <w:rFonts w:asciiTheme="minorHAnsi" w:hAnsiTheme="minorHAnsi"/>
        </w:rPr>
        <w:t>3</w:t>
      </w:r>
      <w:r w:rsidR="00FE1A0B" w:rsidRPr="00920905">
        <w:rPr>
          <w:rFonts w:asciiTheme="minorHAnsi" w:hAnsiTheme="minorHAnsi"/>
        </w:rPr>
        <w:t xml:space="preserve"> </w:t>
      </w:r>
      <w:r w:rsidR="00284CE5" w:rsidRPr="00284CE5">
        <w:rPr>
          <w:rFonts w:asciiTheme="minorHAnsi" w:hAnsiTheme="minorHAnsi"/>
        </w:rPr>
        <w:t>N</w:t>
      </w:r>
      <w:r w:rsidR="009E20EE">
        <w:rPr>
          <w:rFonts w:asciiTheme="minorHAnsi" w:hAnsiTheme="minorHAnsi"/>
        </w:rPr>
        <w:t>orthwest</w:t>
      </w:r>
      <w:r w:rsidR="00284CE5" w:rsidRPr="00284CE5">
        <w:rPr>
          <w:rFonts w:asciiTheme="minorHAnsi" w:hAnsiTheme="minorHAnsi"/>
        </w:rPr>
        <w:t xml:space="preserve"> Natural’s 2015</w:t>
      </w:r>
      <w:r w:rsidR="00284CE5">
        <w:rPr>
          <w:rFonts w:asciiTheme="minorHAnsi" w:hAnsiTheme="minorHAnsi"/>
        </w:rPr>
        <w:t xml:space="preserve"> </w:t>
      </w:r>
      <w:r w:rsidR="00284CE5" w:rsidRPr="00284CE5">
        <w:rPr>
          <w:rFonts w:asciiTheme="minorHAnsi" w:hAnsiTheme="minorHAnsi"/>
        </w:rPr>
        <w:t>Energy Efficiency Plan</w:t>
      </w:r>
      <w:bookmarkEnd w:id="22"/>
    </w:p>
    <w:p w14:paraId="6E94EE73" w14:textId="51F72B38" w:rsidR="00284CE5" w:rsidRDefault="009E20EE" w:rsidP="00284CE5">
      <w:r>
        <w:t xml:space="preserve">Northwest Natural </w:t>
      </w:r>
      <w:r w:rsidR="00A80057">
        <w:t xml:space="preserve">(NW Natural) </w:t>
      </w:r>
      <w:r w:rsidRPr="009E20EE">
        <w:t>began offering its current energy efficiency programs to Washington customers on October 1, 2009</w:t>
      </w:r>
      <w:r w:rsidR="00D2719E">
        <w:t xml:space="preserve">. </w:t>
      </w:r>
      <w:r w:rsidR="00D2719E" w:rsidRPr="00D2719E">
        <w:t>The Washington Utilities and Transportation Commission’s (“WUTC’s”) Order No. 04 in the Company’s 2008 rate case, docketed as UG-080546, directed NW Natural to create and begin offering a program.</w:t>
      </w:r>
      <w:r w:rsidR="00A80057">
        <w:t xml:space="preserve">  NW Natural characterized their latest gas fireplace measures in an updated Blessing Memo</w:t>
      </w:r>
      <w:r w:rsidR="003B2F01">
        <w:t>, last updated on November 13, 2014</w:t>
      </w:r>
      <w:r w:rsidR="00A80057">
        <w:t>, included as EXHIBIT A of their 2015 Energy Efficiency Plan.</w:t>
      </w:r>
      <w:r w:rsidR="00B23D99">
        <w:rPr>
          <w:rStyle w:val="EndnoteReference"/>
        </w:rPr>
        <w:endnoteReference w:id="9"/>
      </w:r>
      <w:r w:rsidR="00B23D99" w:rsidRPr="00B23D99">
        <w:rPr>
          <w:vertAlign w:val="superscript"/>
        </w:rPr>
        <w:t>,</w:t>
      </w:r>
      <w:r w:rsidR="00B23D99">
        <w:t xml:space="preserve"> </w:t>
      </w:r>
      <w:r w:rsidR="00A80057">
        <w:rPr>
          <w:rStyle w:val="FootnoteReference"/>
        </w:rPr>
        <w:footnoteReference w:id="1"/>
      </w:r>
      <w:r w:rsidR="00A80057">
        <w:t xml:space="preserve">  </w:t>
      </w:r>
    </w:p>
    <w:p w14:paraId="631517BD" w14:textId="77777777" w:rsidR="00111F1E" w:rsidRDefault="00111F1E" w:rsidP="00284CE5"/>
    <w:p w14:paraId="7C8B9543" w14:textId="27066EFF" w:rsidR="00D2719E" w:rsidRDefault="00111F1E" w:rsidP="001C5936">
      <w:pPr>
        <w:pStyle w:val="ListParagraph"/>
        <w:numPr>
          <w:ilvl w:val="0"/>
          <w:numId w:val="15"/>
        </w:numPr>
      </w:pPr>
      <w:r>
        <w:t>Baseline FE of 66.8% was found through a vendor survey.</w:t>
      </w:r>
    </w:p>
    <w:p w14:paraId="2EFCB8F6" w14:textId="3CDCED73" w:rsidR="00111F1E" w:rsidRDefault="00D2719E" w:rsidP="001C5936">
      <w:pPr>
        <w:pStyle w:val="ListParagraph"/>
        <w:numPr>
          <w:ilvl w:val="0"/>
          <w:numId w:val="15"/>
        </w:numPr>
      </w:pPr>
      <w:r>
        <w:t xml:space="preserve">Proposed </w:t>
      </w:r>
      <w:r w:rsidR="00111F1E">
        <w:t>efficiency-based</w:t>
      </w:r>
      <w:r>
        <w:t xml:space="preserve"> measure t</w:t>
      </w:r>
      <w:r w:rsidR="00111F1E">
        <w:t>iers of:</w:t>
      </w:r>
    </w:p>
    <w:p w14:paraId="028E3331" w14:textId="5A21ED7F" w:rsidR="00111F1E" w:rsidRDefault="00111F1E" w:rsidP="00111F1E"/>
    <w:p w14:paraId="1A06D005" w14:textId="43725C6D" w:rsidR="00DC3F10" w:rsidRDefault="00DC3F10" w:rsidP="00DC3F10">
      <w:pPr>
        <w:pStyle w:val="Caption"/>
        <w:keepNext/>
      </w:pPr>
      <w:r>
        <w:t xml:space="preserve">Table </w:t>
      </w:r>
      <w:fldSimple w:instr=" SEQ Table \* ARABIC ">
        <w:r w:rsidR="000B78F6">
          <w:rPr>
            <w:noProof/>
          </w:rPr>
          <w:t>16</w:t>
        </w:r>
      </w:fldSimple>
      <w:r>
        <w:t>: Northwest Natural’s Proposed Fireplace Measure Tiers</w:t>
      </w:r>
    </w:p>
    <w:tbl>
      <w:tblPr>
        <w:tblStyle w:val="TableGrid"/>
        <w:tblW w:w="0" w:type="auto"/>
        <w:tblLook w:val="04A0" w:firstRow="1" w:lastRow="0" w:firstColumn="1" w:lastColumn="0" w:noHBand="0" w:noVBand="1"/>
      </w:tblPr>
      <w:tblGrid>
        <w:gridCol w:w="3116"/>
        <w:gridCol w:w="3111"/>
        <w:gridCol w:w="3123"/>
      </w:tblGrid>
      <w:tr w:rsidR="00111F1E" w:rsidRPr="00111F1E" w14:paraId="51273C6E" w14:textId="77777777" w:rsidTr="00111F1E">
        <w:tc>
          <w:tcPr>
            <w:tcW w:w="3192" w:type="dxa"/>
            <w:shd w:val="clear" w:color="auto" w:fill="D9D9D9" w:themeFill="background1" w:themeFillShade="D9"/>
          </w:tcPr>
          <w:p w14:paraId="412337BE" w14:textId="3915CB81" w:rsidR="00111F1E" w:rsidRPr="00111F1E" w:rsidRDefault="00111F1E" w:rsidP="00111F1E">
            <w:pPr>
              <w:rPr>
                <w:b/>
                <w:sz w:val="20"/>
              </w:rPr>
            </w:pPr>
            <w:r w:rsidRPr="00111F1E">
              <w:rPr>
                <w:b/>
                <w:sz w:val="20"/>
              </w:rPr>
              <w:t>Efficiency Tiers</w:t>
            </w:r>
          </w:p>
        </w:tc>
        <w:tc>
          <w:tcPr>
            <w:tcW w:w="3192" w:type="dxa"/>
            <w:shd w:val="clear" w:color="auto" w:fill="D9D9D9" w:themeFill="background1" w:themeFillShade="D9"/>
          </w:tcPr>
          <w:p w14:paraId="7F1E58CC" w14:textId="6327EA56" w:rsidR="00111F1E" w:rsidRPr="00111F1E" w:rsidRDefault="00DC3F10" w:rsidP="00111F1E">
            <w:pPr>
              <w:rPr>
                <w:b/>
                <w:sz w:val="20"/>
              </w:rPr>
            </w:pPr>
            <w:r>
              <w:rPr>
                <w:b/>
                <w:sz w:val="20"/>
              </w:rPr>
              <w:t>Annual Gas Savings, T</w:t>
            </w:r>
            <w:r w:rsidR="00111F1E" w:rsidRPr="00111F1E">
              <w:rPr>
                <w:b/>
                <w:sz w:val="20"/>
              </w:rPr>
              <w:t>herms</w:t>
            </w:r>
          </w:p>
        </w:tc>
        <w:tc>
          <w:tcPr>
            <w:tcW w:w="3192" w:type="dxa"/>
            <w:shd w:val="clear" w:color="auto" w:fill="D9D9D9" w:themeFill="background1" w:themeFillShade="D9"/>
          </w:tcPr>
          <w:p w14:paraId="4A419613" w14:textId="23DE29AC" w:rsidR="00111F1E" w:rsidRPr="00111F1E" w:rsidRDefault="00111F1E" w:rsidP="00111F1E">
            <w:pPr>
              <w:rPr>
                <w:b/>
                <w:sz w:val="20"/>
              </w:rPr>
            </w:pPr>
            <w:r w:rsidRPr="00111F1E">
              <w:rPr>
                <w:b/>
                <w:sz w:val="20"/>
              </w:rPr>
              <w:t>Incremental Cost</w:t>
            </w:r>
          </w:p>
        </w:tc>
      </w:tr>
      <w:tr w:rsidR="00111F1E" w:rsidRPr="00111F1E" w14:paraId="76B2C960" w14:textId="77777777" w:rsidTr="00111F1E">
        <w:tc>
          <w:tcPr>
            <w:tcW w:w="3192" w:type="dxa"/>
          </w:tcPr>
          <w:p w14:paraId="69462685" w14:textId="19F13FCE" w:rsidR="00111F1E" w:rsidRPr="00111F1E" w:rsidRDefault="00111F1E" w:rsidP="00111F1E">
            <w:pPr>
              <w:rPr>
                <w:sz w:val="20"/>
              </w:rPr>
            </w:pPr>
            <w:r w:rsidRPr="00111F1E">
              <w:rPr>
                <w:sz w:val="20"/>
              </w:rPr>
              <w:t>70% FE to 74% FE</w:t>
            </w:r>
          </w:p>
        </w:tc>
        <w:tc>
          <w:tcPr>
            <w:tcW w:w="3192" w:type="dxa"/>
          </w:tcPr>
          <w:p w14:paraId="43409EFF" w14:textId="24843C1F" w:rsidR="00111F1E" w:rsidRPr="00111F1E" w:rsidRDefault="00111F1E" w:rsidP="00111F1E">
            <w:pPr>
              <w:rPr>
                <w:sz w:val="20"/>
              </w:rPr>
            </w:pPr>
            <w:r w:rsidRPr="00111F1E">
              <w:rPr>
                <w:sz w:val="20"/>
              </w:rPr>
              <w:t>79.4</w:t>
            </w:r>
          </w:p>
        </w:tc>
        <w:tc>
          <w:tcPr>
            <w:tcW w:w="3192" w:type="dxa"/>
          </w:tcPr>
          <w:p w14:paraId="21207EF2" w14:textId="057DF977" w:rsidR="00111F1E" w:rsidRPr="00111F1E" w:rsidRDefault="00111F1E" w:rsidP="00111F1E">
            <w:pPr>
              <w:rPr>
                <w:sz w:val="20"/>
              </w:rPr>
            </w:pPr>
            <w:r w:rsidRPr="00111F1E">
              <w:rPr>
                <w:sz w:val="20"/>
              </w:rPr>
              <w:t>$1</w:t>
            </w:r>
          </w:p>
        </w:tc>
      </w:tr>
      <w:tr w:rsidR="00111F1E" w:rsidRPr="00111F1E" w14:paraId="32079829" w14:textId="77777777" w:rsidTr="00111F1E">
        <w:tc>
          <w:tcPr>
            <w:tcW w:w="3192" w:type="dxa"/>
          </w:tcPr>
          <w:p w14:paraId="43E4624F" w14:textId="400AC601" w:rsidR="00111F1E" w:rsidRPr="00111F1E" w:rsidRDefault="00111F1E" w:rsidP="00111F1E">
            <w:pPr>
              <w:rPr>
                <w:sz w:val="20"/>
              </w:rPr>
            </w:pPr>
            <w:r w:rsidRPr="00111F1E">
              <w:rPr>
                <w:sz w:val="20"/>
              </w:rPr>
              <w:t>75% FE and above</w:t>
            </w:r>
          </w:p>
        </w:tc>
        <w:tc>
          <w:tcPr>
            <w:tcW w:w="3192" w:type="dxa"/>
          </w:tcPr>
          <w:p w14:paraId="2B9C430C" w14:textId="4655D255" w:rsidR="00111F1E" w:rsidRPr="00111F1E" w:rsidRDefault="00111F1E" w:rsidP="00111F1E">
            <w:pPr>
              <w:rPr>
                <w:sz w:val="20"/>
              </w:rPr>
            </w:pPr>
            <w:r w:rsidRPr="00111F1E">
              <w:rPr>
                <w:sz w:val="20"/>
              </w:rPr>
              <w:t>90.9</w:t>
            </w:r>
          </w:p>
        </w:tc>
        <w:tc>
          <w:tcPr>
            <w:tcW w:w="3192" w:type="dxa"/>
          </w:tcPr>
          <w:p w14:paraId="24C4EEBD" w14:textId="5DCD4BEE" w:rsidR="00111F1E" w:rsidRPr="00111F1E" w:rsidRDefault="00111F1E" w:rsidP="00111F1E">
            <w:pPr>
              <w:rPr>
                <w:sz w:val="20"/>
              </w:rPr>
            </w:pPr>
            <w:r w:rsidRPr="00111F1E">
              <w:rPr>
                <w:sz w:val="20"/>
              </w:rPr>
              <w:t>$173</w:t>
            </w:r>
          </w:p>
        </w:tc>
      </w:tr>
    </w:tbl>
    <w:p w14:paraId="560FFBA7" w14:textId="5E93C7F7" w:rsidR="00111F1E" w:rsidRDefault="00111F1E" w:rsidP="00111F1E"/>
    <w:p w14:paraId="4348D3F4" w14:textId="539410D7" w:rsidR="00D2719E" w:rsidRDefault="00D2719E" w:rsidP="001C5936">
      <w:pPr>
        <w:pStyle w:val="ListParagraph"/>
        <w:numPr>
          <w:ilvl w:val="0"/>
          <w:numId w:val="15"/>
        </w:numPr>
      </w:pPr>
      <w:r>
        <w:t xml:space="preserve">Burner ON time estimated as 15 </w:t>
      </w:r>
      <w:r w:rsidR="00DB6C62">
        <w:t>hr/wk</w:t>
      </w:r>
      <w:r>
        <w:t xml:space="preserve"> during a </w:t>
      </w:r>
      <w:r w:rsidR="00111F1E">
        <w:t>40-week</w:t>
      </w:r>
      <w:r>
        <w:t xml:space="preserve"> heatin</w:t>
      </w:r>
      <w:r w:rsidR="00111F1E">
        <w:t>g season (600 burner ON hours)</w:t>
      </w:r>
    </w:p>
    <w:p w14:paraId="42B6FA8E" w14:textId="237FA1E5" w:rsidR="00D2719E" w:rsidRDefault="00D2719E" w:rsidP="001C5936">
      <w:pPr>
        <w:pStyle w:val="ListParagraph"/>
        <w:numPr>
          <w:ilvl w:val="0"/>
          <w:numId w:val="15"/>
        </w:numPr>
      </w:pPr>
      <w:r>
        <w:t>Pilot light input rate assumed to be 900 Btu/h</w:t>
      </w:r>
    </w:p>
    <w:p w14:paraId="72729512" w14:textId="3E060715" w:rsidR="00784343" w:rsidRDefault="00784343" w:rsidP="001C5936">
      <w:pPr>
        <w:pStyle w:val="ListParagraph"/>
        <w:numPr>
          <w:ilvl w:val="0"/>
          <w:numId w:val="15"/>
        </w:numPr>
      </w:pPr>
      <w:r>
        <w:t>Representative input rate of the burner is assumed to be 33,000 Btu/h</w:t>
      </w:r>
    </w:p>
    <w:p w14:paraId="217C4401" w14:textId="783526F2" w:rsidR="00D2719E" w:rsidRDefault="00D2719E" w:rsidP="001C5936">
      <w:pPr>
        <w:pStyle w:val="ListParagraph"/>
        <w:numPr>
          <w:ilvl w:val="0"/>
          <w:numId w:val="15"/>
        </w:numPr>
      </w:pPr>
      <w:r>
        <w:t>Net to Gross Ratio assumed to be 0.81</w:t>
      </w:r>
    </w:p>
    <w:p w14:paraId="2A23FEC9" w14:textId="40771817" w:rsidR="00D2719E" w:rsidRDefault="00D2719E" w:rsidP="001C5936">
      <w:pPr>
        <w:pStyle w:val="ListParagraph"/>
        <w:numPr>
          <w:ilvl w:val="0"/>
          <w:numId w:val="15"/>
        </w:numPr>
      </w:pPr>
      <w:r>
        <w:t>Measure life 20 years</w:t>
      </w:r>
    </w:p>
    <w:p w14:paraId="704BF2A8" w14:textId="77777777" w:rsidR="00197912" w:rsidRDefault="00197912" w:rsidP="00197912"/>
    <w:p w14:paraId="5846626A" w14:textId="6D0BD04C" w:rsidR="003B2F01" w:rsidRDefault="003B2F01" w:rsidP="003B2F01">
      <w:pPr>
        <w:pStyle w:val="Heading3"/>
        <w:rPr>
          <w:rFonts w:asciiTheme="minorHAnsi" w:hAnsiTheme="minorHAnsi"/>
        </w:rPr>
      </w:pPr>
      <w:r w:rsidRPr="00920905">
        <w:rPr>
          <w:rFonts w:asciiTheme="minorHAnsi" w:hAnsiTheme="minorHAnsi"/>
        </w:rPr>
        <w:t>1.5.</w:t>
      </w:r>
      <w:r w:rsidR="00FE1A0B">
        <w:rPr>
          <w:rFonts w:asciiTheme="minorHAnsi" w:hAnsiTheme="minorHAnsi"/>
        </w:rPr>
        <w:t>4</w:t>
      </w:r>
      <w:r>
        <w:rPr>
          <w:rFonts w:asciiTheme="minorHAnsi" w:hAnsiTheme="minorHAnsi"/>
        </w:rPr>
        <w:t xml:space="preserve"> Energy Trust of Oregon Current Gas Fireplace Incentives</w:t>
      </w:r>
    </w:p>
    <w:p w14:paraId="1F3A626A" w14:textId="77777777" w:rsidR="003B2F01" w:rsidRDefault="003B2F01" w:rsidP="003B2F01">
      <w:r w:rsidRPr="00197912">
        <w:t>Safe and easy to operate, high-efficiency direct-vent gas fireplaces provide heat directly to the interior spaces where they are installed. Direct-vent units are also easier to operate than traditional wood-burning fireplaces and offer better indoor air quality.</w:t>
      </w:r>
    </w:p>
    <w:p w14:paraId="1DDE312F" w14:textId="77777777" w:rsidR="003B2F01" w:rsidRDefault="003B2F01" w:rsidP="003B2F01"/>
    <w:p w14:paraId="7011A626" w14:textId="5C222123" w:rsidR="003B2F01" w:rsidRDefault="003B2F01" w:rsidP="003B2F01">
      <w:pPr>
        <w:pStyle w:val="Caption"/>
        <w:keepNext/>
      </w:pPr>
      <w:r>
        <w:t xml:space="preserve">Table </w:t>
      </w:r>
      <w:fldSimple w:instr=" SEQ Table \* ARABIC ">
        <w:r w:rsidR="000B78F6">
          <w:rPr>
            <w:noProof/>
          </w:rPr>
          <w:t>17</w:t>
        </w:r>
      </w:fldSimple>
      <w:r>
        <w:t xml:space="preserve">: </w:t>
      </w:r>
      <w:r w:rsidR="00D74ACA">
        <w:t>ETO</w:t>
      </w:r>
      <w:r>
        <w:t xml:space="preserve"> Gas Fireplace Incentives</w:t>
      </w:r>
      <w:r>
        <w:rPr>
          <w:rStyle w:val="EndnoteReference"/>
        </w:rPr>
        <w:endnoteReference w:id="10"/>
      </w:r>
    </w:p>
    <w:tbl>
      <w:tblPr>
        <w:tblStyle w:val="TableGrid"/>
        <w:tblW w:w="0" w:type="auto"/>
        <w:tblLook w:val="04A0" w:firstRow="1" w:lastRow="0" w:firstColumn="1" w:lastColumn="0" w:noHBand="0" w:noVBand="1"/>
      </w:tblPr>
      <w:tblGrid>
        <w:gridCol w:w="3116"/>
        <w:gridCol w:w="3117"/>
        <w:gridCol w:w="3117"/>
      </w:tblGrid>
      <w:tr w:rsidR="003B2F01" w:rsidRPr="003B2F01" w14:paraId="3D40E991" w14:textId="77777777" w:rsidTr="003B2F01">
        <w:tc>
          <w:tcPr>
            <w:tcW w:w="3116" w:type="dxa"/>
            <w:shd w:val="clear" w:color="auto" w:fill="D9D9D9" w:themeFill="background1" w:themeFillShade="D9"/>
          </w:tcPr>
          <w:p w14:paraId="701FE3FB" w14:textId="77777777" w:rsidR="003B2F01" w:rsidRPr="003B2F01" w:rsidRDefault="003B2F01" w:rsidP="00694F53">
            <w:pPr>
              <w:rPr>
                <w:b/>
                <w:sz w:val="20"/>
              </w:rPr>
            </w:pPr>
          </w:p>
        </w:tc>
        <w:tc>
          <w:tcPr>
            <w:tcW w:w="3117" w:type="dxa"/>
            <w:shd w:val="clear" w:color="auto" w:fill="D9D9D9" w:themeFill="background1" w:themeFillShade="D9"/>
          </w:tcPr>
          <w:p w14:paraId="127A0ED8" w14:textId="77777777" w:rsidR="003B2F01" w:rsidRPr="003B2F01" w:rsidRDefault="003B2F01" w:rsidP="00694F53">
            <w:pPr>
              <w:rPr>
                <w:b/>
                <w:sz w:val="20"/>
              </w:rPr>
            </w:pPr>
            <w:r w:rsidRPr="003B2F01">
              <w:rPr>
                <w:b/>
                <w:sz w:val="20"/>
              </w:rPr>
              <w:t>Incentive</w:t>
            </w:r>
          </w:p>
        </w:tc>
        <w:tc>
          <w:tcPr>
            <w:tcW w:w="3117" w:type="dxa"/>
            <w:shd w:val="clear" w:color="auto" w:fill="D9D9D9" w:themeFill="background1" w:themeFillShade="D9"/>
          </w:tcPr>
          <w:p w14:paraId="6F983547" w14:textId="77777777" w:rsidR="003B2F01" w:rsidRPr="003B2F01" w:rsidRDefault="003B2F01" w:rsidP="00694F53">
            <w:pPr>
              <w:rPr>
                <w:b/>
                <w:sz w:val="20"/>
              </w:rPr>
            </w:pPr>
            <w:r w:rsidRPr="003B2F01">
              <w:rPr>
                <w:b/>
                <w:sz w:val="20"/>
              </w:rPr>
              <w:t>Requirements</w:t>
            </w:r>
          </w:p>
        </w:tc>
      </w:tr>
      <w:tr w:rsidR="003B2F01" w:rsidRPr="003B2F01" w14:paraId="5A2AED35" w14:textId="77777777" w:rsidTr="00694F53">
        <w:tc>
          <w:tcPr>
            <w:tcW w:w="3116" w:type="dxa"/>
          </w:tcPr>
          <w:p w14:paraId="7E4D346B" w14:textId="77777777" w:rsidR="003B2F01" w:rsidRPr="00F9782B" w:rsidRDefault="003B2F01" w:rsidP="00694F53">
            <w:pPr>
              <w:rPr>
                <w:sz w:val="20"/>
              </w:rPr>
            </w:pPr>
            <w:r w:rsidRPr="00F9782B">
              <w:rPr>
                <w:sz w:val="20"/>
              </w:rPr>
              <w:t>High-efficiency direct-vent gas fireplace</w:t>
            </w:r>
          </w:p>
        </w:tc>
        <w:tc>
          <w:tcPr>
            <w:tcW w:w="3117" w:type="dxa"/>
          </w:tcPr>
          <w:p w14:paraId="72E0D76B" w14:textId="77777777" w:rsidR="003B2F01" w:rsidRPr="00F9782B" w:rsidRDefault="003B2F01" w:rsidP="00694F53">
            <w:pPr>
              <w:rPr>
                <w:sz w:val="20"/>
              </w:rPr>
            </w:pPr>
            <w:r w:rsidRPr="00F9782B">
              <w:rPr>
                <w:sz w:val="20"/>
              </w:rPr>
              <w:t>$250</w:t>
            </w:r>
          </w:p>
        </w:tc>
        <w:tc>
          <w:tcPr>
            <w:tcW w:w="3117" w:type="dxa"/>
          </w:tcPr>
          <w:p w14:paraId="36B5091A" w14:textId="77777777" w:rsidR="003B2F01" w:rsidRPr="00F9782B" w:rsidRDefault="003B2F01" w:rsidP="00694F53">
            <w:pPr>
              <w:rPr>
                <w:sz w:val="20"/>
              </w:rPr>
            </w:pPr>
            <w:r w:rsidRPr="00F9782B">
              <w:rPr>
                <w:sz w:val="20"/>
              </w:rPr>
              <w:t>75.0+ FE with electronic pilot ignition</w:t>
            </w:r>
          </w:p>
        </w:tc>
      </w:tr>
      <w:tr w:rsidR="003B2F01" w:rsidRPr="003B2F01" w14:paraId="18490FA6" w14:textId="77777777" w:rsidTr="00694F53">
        <w:tc>
          <w:tcPr>
            <w:tcW w:w="3116" w:type="dxa"/>
          </w:tcPr>
          <w:p w14:paraId="3BDADE06" w14:textId="77777777" w:rsidR="003B2F01" w:rsidRPr="00F9782B" w:rsidRDefault="003B2F01" w:rsidP="00694F53">
            <w:pPr>
              <w:rPr>
                <w:sz w:val="20"/>
              </w:rPr>
            </w:pPr>
            <w:r w:rsidRPr="00F9782B">
              <w:rPr>
                <w:sz w:val="20"/>
              </w:rPr>
              <w:t>High-efficiency direct-vent gas fireplace</w:t>
            </w:r>
          </w:p>
        </w:tc>
        <w:tc>
          <w:tcPr>
            <w:tcW w:w="3117" w:type="dxa"/>
          </w:tcPr>
          <w:p w14:paraId="568468DD" w14:textId="77777777" w:rsidR="003B2F01" w:rsidRPr="00F9782B" w:rsidRDefault="003B2F01" w:rsidP="00694F53">
            <w:pPr>
              <w:rPr>
                <w:sz w:val="20"/>
              </w:rPr>
            </w:pPr>
            <w:r w:rsidRPr="00F9782B">
              <w:rPr>
                <w:sz w:val="20"/>
              </w:rPr>
              <w:t>$150</w:t>
            </w:r>
          </w:p>
        </w:tc>
        <w:tc>
          <w:tcPr>
            <w:tcW w:w="3117" w:type="dxa"/>
          </w:tcPr>
          <w:p w14:paraId="30B7DA93" w14:textId="77777777" w:rsidR="003B2F01" w:rsidRPr="00F9782B" w:rsidRDefault="003B2F01" w:rsidP="00694F53">
            <w:pPr>
              <w:rPr>
                <w:sz w:val="20"/>
              </w:rPr>
            </w:pPr>
            <w:r w:rsidRPr="00F9782B">
              <w:rPr>
                <w:sz w:val="20"/>
              </w:rPr>
              <w:t>70.0-74.9 FE with electronic pilot ignition</w:t>
            </w:r>
          </w:p>
        </w:tc>
      </w:tr>
    </w:tbl>
    <w:p w14:paraId="45EA0967" w14:textId="77777777" w:rsidR="003B2F01" w:rsidRDefault="003B2F01" w:rsidP="003B2F01"/>
    <w:p w14:paraId="381E5874" w14:textId="741B3CCC" w:rsidR="00197912" w:rsidRDefault="003B2F01" w:rsidP="00111F1E">
      <w:r w:rsidRPr="00197912">
        <w:t>To qualify for this incentive, your gas fireplace must also be vented to the outside with sealed combustion.</w:t>
      </w:r>
    </w:p>
    <w:p w14:paraId="68270978" w14:textId="65C57D65" w:rsidR="0057700D" w:rsidRDefault="0057700D" w:rsidP="0057700D">
      <w:pPr>
        <w:pStyle w:val="Heading3"/>
      </w:pPr>
      <w:r w:rsidRPr="00920905">
        <w:rPr>
          <w:rFonts w:asciiTheme="minorHAnsi" w:hAnsiTheme="minorHAnsi"/>
        </w:rPr>
        <w:t>1.5.</w:t>
      </w:r>
      <w:r>
        <w:rPr>
          <w:rFonts w:asciiTheme="minorHAnsi" w:hAnsiTheme="minorHAnsi"/>
        </w:rPr>
        <w:t xml:space="preserve">5 LBNL </w:t>
      </w:r>
      <w:r w:rsidRPr="0057700D">
        <w:rPr>
          <w:rFonts w:asciiTheme="minorHAnsi" w:hAnsiTheme="minorHAnsi"/>
        </w:rPr>
        <w:t>Survey of Hearth Products in U.S. Homes</w:t>
      </w:r>
    </w:p>
    <w:p w14:paraId="535BDC57" w14:textId="751BFB30" w:rsidR="0057700D" w:rsidRDefault="0057700D" w:rsidP="00055465">
      <w:r>
        <w:t>Lawrence Berkeley National Labo</w:t>
      </w:r>
      <w:r w:rsidR="00055465">
        <w:t>ratory (LBNL) published a surve</w:t>
      </w:r>
      <w:r>
        <w:t>y</w:t>
      </w:r>
      <w:r w:rsidR="007436F0">
        <w:rPr>
          <w:rStyle w:val="EndnoteReference"/>
        </w:rPr>
        <w:endnoteReference w:id="11"/>
      </w:r>
      <w:r>
        <w:t xml:space="preserve"> of </w:t>
      </w:r>
      <w:r w:rsidR="00055465">
        <w:t>hearth product characteristics, usage information, and repair and maintenance practices in June 2017. This survey compiled past surveys and metering studies.</w:t>
      </w:r>
    </w:p>
    <w:p w14:paraId="3458935D" w14:textId="451A19B2" w:rsidR="0057700D" w:rsidRDefault="0057700D" w:rsidP="00111F1E"/>
    <w:p w14:paraId="1558A360" w14:textId="2F79F948" w:rsidR="0057700D" w:rsidRDefault="00055465" w:rsidP="007436F0">
      <w:pPr>
        <w:pStyle w:val="ListParagraph"/>
        <w:numPr>
          <w:ilvl w:val="0"/>
          <w:numId w:val="21"/>
        </w:numPr>
      </w:pPr>
      <w:r>
        <w:t>National average burner ON time reported as 234 hours</w:t>
      </w:r>
    </w:p>
    <w:p w14:paraId="18B7FFE1" w14:textId="631B4BEC" w:rsidR="00055465" w:rsidRDefault="00055465" w:rsidP="007436F0">
      <w:pPr>
        <w:pStyle w:val="ListParagraph"/>
        <w:numPr>
          <w:ilvl w:val="0"/>
          <w:numId w:val="21"/>
        </w:numPr>
      </w:pPr>
      <w:r>
        <w:t>National average pilot ON time report</w:t>
      </w:r>
      <w:r w:rsidR="00DD3221">
        <w:t>ed</w:t>
      </w:r>
      <w:r>
        <w:t xml:space="preserve"> as 4593 hours</w:t>
      </w:r>
    </w:p>
    <w:p w14:paraId="0D416234" w14:textId="1E1225BA" w:rsidR="00055465" w:rsidRDefault="00055465" w:rsidP="007436F0">
      <w:pPr>
        <w:pStyle w:val="ListParagraph"/>
        <w:numPr>
          <w:ilvl w:val="0"/>
          <w:numId w:val="21"/>
        </w:numPr>
      </w:pPr>
      <w:r>
        <w:t>Pilot light input rate of 1000 Btu/h for fireplaces, inserts, and stoves</w:t>
      </w:r>
      <w:r w:rsidR="00DD3221">
        <w:t xml:space="preserve"> and 700 Btu/h for log sets.</w:t>
      </w:r>
    </w:p>
    <w:p w14:paraId="393E18E0" w14:textId="3A65F95B" w:rsidR="00DD3221" w:rsidRDefault="00DD3221" w:rsidP="007436F0">
      <w:pPr>
        <w:pStyle w:val="ListParagraph"/>
        <w:numPr>
          <w:ilvl w:val="0"/>
          <w:numId w:val="21"/>
        </w:numPr>
      </w:pPr>
      <w:r>
        <w:t xml:space="preserve">Burner input rate </w:t>
      </w:r>
      <w:r w:rsidR="007436F0">
        <w:t>reported</w:t>
      </w:r>
      <w:r>
        <w:t xml:space="preserve"> as 35,000 Btu/h.</w:t>
      </w:r>
    </w:p>
    <w:p w14:paraId="4935CC1D" w14:textId="6AB76E71"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3DA60C54" w14:textId="77777777" w:rsidR="00B37F41" w:rsidRDefault="00B37F41" w:rsidP="00B37F41">
      <w:r w:rsidRPr="00B37F41">
        <w:t>The quality of the data used in this workpaper is appropriate for computations purposes. Primarily the data is used to establ</w:t>
      </w:r>
      <w:r>
        <w:t>ish the precedent of energy consumption</w:t>
      </w:r>
      <w:r w:rsidRPr="00B37F41">
        <w:t xml:space="preserve"> from the use of a </w:t>
      </w:r>
      <w:r>
        <w:t>CPL and the energy savings from an increase in FE</w:t>
      </w:r>
      <w:r w:rsidRPr="00B37F41">
        <w:t xml:space="preserve">. </w:t>
      </w:r>
    </w:p>
    <w:p w14:paraId="28ACF957" w14:textId="77777777" w:rsidR="00B37F41" w:rsidRDefault="00B37F41" w:rsidP="00B37F41"/>
    <w:p w14:paraId="476E9820" w14:textId="77777777" w:rsidR="00B37F41" w:rsidRDefault="00B37F41" w:rsidP="00B37F41">
      <w:r w:rsidRPr="00B37F41">
        <w:t>Future data needs could involve</w:t>
      </w:r>
      <w:r>
        <w:t>:</w:t>
      </w:r>
    </w:p>
    <w:p w14:paraId="6D2AF065" w14:textId="08BA9A64" w:rsidR="00B37F41" w:rsidRDefault="00B37F41" w:rsidP="001C5936">
      <w:pPr>
        <w:pStyle w:val="ListParagraph"/>
        <w:numPr>
          <w:ilvl w:val="0"/>
          <w:numId w:val="17"/>
        </w:numPr>
      </w:pPr>
      <w:r>
        <w:t>A</w:t>
      </w:r>
      <w:r w:rsidRPr="00B37F41">
        <w:t xml:space="preserve"> thorough survey to more accurately compute an appropriate value for the annual hours the pilot is kept on throughout the service territory population.</w:t>
      </w:r>
    </w:p>
    <w:p w14:paraId="612798A5" w14:textId="042A6B2B" w:rsidR="00B37F41" w:rsidRPr="00B37F41" w:rsidRDefault="00B37F41" w:rsidP="001C5936">
      <w:pPr>
        <w:pStyle w:val="ListParagraph"/>
        <w:numPr>
          <w:ilvl w:val="0"/>
          <w:numId w:val="17"/>
        </w:numPr>
      </w:pPr>
      <w:r>
        <w:t>A</w:t>
      </w:r>
      <w:r w:rsidRPr="00B37F41">
        <w:t xml:space="preserve"> thorough survey to</w:t>
      </w:r>
      <w:r>
        <w:t xml:space="preserve"> more accurately address burner ON times of a manually operated fireplace.</w:t>
      </w:r>
    </w:p>
    <w:p w14:paraId="1621838C" w14:textId="5E7A4E3B" w:rsidR="008D72FF" w:rsidRPr="009A1B75" w:rsidRDefault="00E16609" w:rsidP="009A1B75">
      <w:pPr>
        <w:pStyle w:val="Heading1"/>
        <w:keepNext w:val="0"/>
        <w:rPr>
          <w:rFonts w:cstheme="minorHAnsi"/>
        </w:rPr>
      </w:pPr>
      <w:bookmarkStart w:id="23" w:name="_Hlk531181503"/>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8"/>
      <w:r w:rsidR="00755A45" w:rsidRPr="00500C4E">
        <w:rPr>
          <w:rFonts w:cstheme="minorHAnsi"/>
        </w:rPr>
        <w:t xml:space="preserve"> Methodology</w:t>
      </w:r>
    </w:p>
    <w:p w14:paraId="7A51A86D" w14:textId="4C0655CE" w:rsidR="00034FC3" w:rsidRDefault="00FB237A" w:rsidP="00034FC3">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The fireplaces analyzed in this workpaper are assumed to be thermostatically operated. </w:t>
      </w:r>
      <w:r w:rsidR="00975206">
        <w:rPr>
          <w:rFonts w:asciiTheme="minorHAnsi" w:hAnsiTheme="minorHAnsi" w:cstheme="minorHAnsi"/>
          <w:i w:val="0"/>
          <w:color w:val="auto"/>
          <w:szCs w:val="22"/>
        </w:rPr>
        <w:t>The baseline technology options for fireplaces in DOE’s April 2010 Rulemaking include a burner control thermostat. DOE’s baseline</w:t>
      </w:r>
      <w:r w:rsidR="00EA5C91">
        <w:rPr>
          <w:rFonts w:asciiTheme="minorHAnsi" w:hAnsiTheme="minorHAnsi" w:cstheme="minorHAnsi"/>
          <w:i w:val="0"/>
          <w:color w:val="auto"/>
          <w:szCs w:val="22"/>
        </w:rPr>
        <w:t xml:space="preserve"> technology</w:t>
      </w:r>
      <w:r w:rsidR="00975206">
        <w:rPr>
          <w:rFonts w:asciiTheme="minorHAnsi" w:hAnsiTheme="minorHAnsi" w:cstheme="minorHAnsi"/>
          <w:i w:val="0"/>
          <w:color w:val="auto"/>
          <w:szCs w:val="22"/>
        </w:rPr>
        <w:t xml:space="preserve"> options are carried through to more efficient </w:t>
      </w:r>
      <w:r w:rsidR="00EA5C91">
        <w:rPr>
          <w:rFonts w:asciiTheme="minorHAnsi" w:hAnsiTheme="minorHAnsi" w:cstheme="minorHAnsi"/>
          <w:i w:val="0"/>
          <w:color w:val="auto"/>
          <w:szCs w:val="22"/>
        </w:rPr>
        <w:t>fireplaces</w:t>
      </w:r>
      <w:r w:rsidR="00975206">
        <w:rPr>
          <w:rFonts w:asciiTheme="minorHAnsi" w:hAnsiTheme="minorHAnsi" w:cstheme="minorHAnsi"/>
          <w:i w:val="0"/>
          <w:color w:val="auto"/>
          <w:szCs w:val="22"/>
        </w:rPr>
        <w:t xml:space="preserve"> and were assumed to be present in all fireplaces examined for the April 2010 Rulemaking.</w:t>
      </w:r>
      <w:r w:rsidR="00975206">
        <w:rPr>
          <w:rStyle w:val="FootnoteReference"/>
          <w:rFonts w:asciiTheme="minorHAnsi" w:hAnsiTheme="minorHAnsi" w:cstheme="minorHAnsi"/>
          <w:i w:val="0"/>
          <w:color w:val="auto"/>
          <w:szCs w:val="22"/>
        </w:rPr>
        <w:footnoteReference w:id="2"/>
      </w:r>
      <w:r w:rsidR="00975206">
        <w:rPr>
          <w:rFonts w:asciiTheme="minorHAnsi" w:hAnsiTheme="minorHAnsi" w:cstheme="minorHAnsi"/>
          <w:i w:val="0"/>
          <w:color w:val="auto"/>
          <w:szCs w:val="22"/>
        </w:rPr>
        <w:t xml:space="preserve"> </w:t>
      </w:r>
      <w:r w:rsidR="00034FC3">
        <w:rPr>
          <w:rFonts w:asciiTheme="minorHAnsi" w:hAnsiTheme="minorHAnsi" w:cstheme="minorHAnsi"/>
          <w:i w:val="0"/>
          <w:color w:val="auto"/>
          <w:szCs w:val="22"/>
        </w:rPr>
        <w:t>Thermostatically operated fireplaces will only use as much heating is necessary to maintain a specified set point temperature.</w:t>
      </w:r>
    </w:p>
    <w:p w14:paraId="67E54720" w14:textId="5FF96322" w:rsidR="00034FC3" w:rsidRDefault="00034FC3" w:rsidP="00D23770">
      <w:pPr>
        <w:pStyle w:val="Reminders"/>
        <w:rPr>
          <w:rFonts w:asciiTheme="minorHAnsi" w:hAnsiTheme="minorHAnsi" w:cstheme="minorHAnsi"/>
          <w:i w:val="0"/>
          <w:color w:val="auto"/>
          <w:szCs w:val="22"/>
        </w:rPr>
      </w:pPr>
    </w:p>
    <w:p w14:paraId="52A1D21C" w14:textId="53DC9D2F" w:rsidR="008F6B93" w:rsidRDefault="00034FC3"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 </w:t>
      </w:r>
      <w:r w:rsidR="00D47AB4">
        <w:rPr>
          <w:rFonts w:asciiTheme="minorHAnsi" w:hAnsiTheme="minorHAnsi" w:cstheme="minorHAnsi"/>
          <w:i w:val="0"/>
          <w:color w:val="auto"/>
          <w:szCs w:val="22"/>
        </w:rPr>
        <w:t>representative burner input rate is used for both the baseline and efficient fireplace options. A constant input rate is also used in DOE’s April 2010 Rulemaking</w:t>
      </w:r>
      <w:r w:rsidR="008F6B93">
        <w:rPr>
          <w:rStyle w:val="FootnoteReference"/>
          <w:rFonts w:asciiTheme="minorHAnsi" w:hAnsiTheme="minorHAnsi" w:cstheme="minorHAnsi"/>
          <w:i w:val="0"/>
          <w:color w:val="auto"/>
          <w:szCs w:val="22"/>
        </w:rPr>
        <w:footnoteReference w:id="3"/>
      </w:r>
      <w:r w:rsidR="008F6B93">
        <w:rPr>
          <w:rFonts w:asciiTheme="minorHAnsi" w:hAnsiTheme="minorHAnsi" w:cstheme="minorHAnsi"/>
          <w:i w:val="0"/>
          <w:color w:val="auto"/>
          <w:szCs w:val="22"/>
        </w:rPr>
        <w:t xml:space="preserve"> </w:t>
      </w:r>
      <w:r w:rsidR="00D47AB4">
        <w:rPr>
          <w:rFonts w:asciiTheme="minorHAnsi" w:hAnsiTheme="minorHAnsi" w:cstheme="minorHAnsi"/>
          <w:i w:val="0"/>
          <w:color w:val="auto"/>
          <w:szCs w:val="22"/>
        </w:rPr>
        <w:t>across all efficiency options</w:t>
      </w:r>
      <w:r w:rsidR="00D47AB4" w:rsidRPr="008F6B93">
        <w:rPr>
          <w:rFonts w:asciiTheme="minorHAnsi" w:hAnsiTheme="minorHAnsi" w:cstheme="minorHAnsi"/>
          <w:i w:val="0"/>
          <w:color w:val="auto"/>
          <w:szCs w:val="22"/>
        </w:rPr>
        <w:t>.</w:t>
      </w:r>
      <w:r w:rsidR="008F6B93">
        <w:rPr>
          <w:rFonts w:asciiTheme="minorHAnsi" w:hAnsiTheme="minorHAnsi" w:cstheme="minorHAnsi"/>
          <w:i w:val="0"/>
          <w:color w:val="auto"/>
          <w:szCs w:val="22"/>
        </w:rPr>
        <w:t xml:space="preserve"> </w:t>
      </w:r>
      <w:r>
        <w:rPr>
          <w:rFonts w:asciiTheme="minorHAnsi" w:hAnsiTheme="minorHAnsi" w:cstheme="minorHAnsi"/>
          <w:i w:val="0"/>
          <w:color w:val="auto"/>
          <w:szCs w:val="22"/>
        </w:rPr>
        <w:t>A representative input rate effectively says that a replacement fireplace will be sized the same as the fireplace it is replacing.</w:t>
      </w:r>
    </w:p>
    <w:p w14:paraId="007D32FD" w14:textId="6FB9FBB7" w:rsidR="008F6B93" w:rsidRDefault="008F6B93" w:rsidP="00D23770">
      <w:pPr>
        <w:pStyle w:val="Reminders"/>
        <w:rPr>
          <w:rFonts w:asciiTheme="minorHAnsi" w:hAnsiTheme="minorHAnsi" w:cstheme="minorHAnsi"/>
          <w:i w:val="0"/>
          <w:color w:val="auto"/>
          <w:szCs w:val="22"/>
        </w:rPr>
      </w:pPr>
    </w:p>
    <w:p w14:paraId="15E720A9" w14:textId="2DBA30B0" w:rsidR="00F13A1D" w:rsidRDefault="00034FC3"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If a fireplace is operated manually, without the thermostat, under or overheating from the setpoint </w:t>
      </w:r>
      <w:r w:rsidR="00FC2C0D">
        <w:rPr>
          <w:rFonts w:asciiTheme="minorHAnsi" w:hAnsiTheme="minorHAnsi" w:cstheme="minorHAnsi"/>
          <w:i w:val="0"/>
          <w:color w:val="auto"/>
          <w:szCs w:val="22"/>
        </w:rPr>
        <w:t xml:space="preserve">temperature </w:t>
      </w:r>
      <w:r>
        <w:rPr>
          <w:rFonts w:asciiTheme="minorHAnsi" w:hAnsiTheme="minorHAnsi" w:cstheme="minorHAnsi"/>
          <w:i w:val="0"/>
          <w:color w:val="auto"/>
          <w:szCs w:val="22"/>
        </w:rPr>
        <w:t>can occur. This typically occurs when</w:t>
      </w:r>
      <w:r w:rsidR="008F6B93">
        <w:rPr>
          <w:rFonts w:asciiTheme="minorHAnsi" w:hAnsiTheme="minorHAnsi" w:cstheme="minorHAnsi"/>
          <w:i w:val="0"/>
          <w:color w:val="auto"/>
          <w:szCs w:val="22"/>
        </w:rPr>
        <w:t xml:space="preserve"> the fireplace is being used for purely aesthetic rea</w:t>
      </w:r>
      <w:r w:rsidR="00FC2C0D">
        <w:rPr>
          <w:rFonts w:asciiTheme="minorHAnsi" w:hAnsiTheme="minorHAnsi" w:cstheme="minorHAnsi"/>
          <w:i w:val="0"/>
          <w:color w:val="auto"/>
          <w:szCs w:val="22"/>
        </w:rPr>
        <w:t>sons. During manua</w:t>
      </w:r>
      <w:r>
        <w:rPr>
          <w:rFonts w:asciiTheme="minorHAnsi" w:hAnsiTheme="minorHAnsi" w:cstheme="minorHAnsi"/>
          <w:i w:val="0"/>
          <w:color w:val="auto"/>
          <w:szCs w:val="22"/>
        </w:rPr>
        <w:t>l operation of the fireplace</w:t>
      </w:r>
      <w:r w:rsidR="00FC2C0D">
        <w:rPr>
          <w:rFonts w:asciiTheme="minorHAnsi" w:hAnsiTheme="minorHAnsi" w:cstheme="minorHAnsi"/>
          <w:i w:val="0"/>
          <w:color w:val="auto"/>
          <w:szCs w:val="22"/>
        </w:rPr>
        <w:t>,</w:t>
      </w:r>
      <w:r>
        <w:rPr>
          <w:rFonts w:asciiTheme="minorHAnsi" w:hAnsiTheme="minorHAnsi" w:cstheme="minorHAnsi"/>
          <w:i w:val="0"/>
          <w:color w:val="auto"/>
          <w:szCs w:val="22"/>
        </w:rPr>
        <w:t xml:space="preserve"> the t</w:t>
      </w:r>
      <w:r w:rsidR="008F6B93">
        <w:rPr>
          <w:rFonts w:asciiTheme="minorHAnsi" w:hAnsiTheme="minorHAnsi" w:cstheme="minorHAnsi"/>
          <w:i w:val="0"/>
          <w:color w:val="auto"/>
          <w:szCs w:val="22"/>
        </w:rPr>
        <w:t xml:space="preserve">ime the </w:t>
      </w:r>
      <w:r w:rsidR="00FC2C0D">
        <w:rPr>
          <w:rFonts w:asciiTheme="minorHAnsi" w:hAnsiTheme="minorHAnsi" w:cstheme="minorHAnsi"/>
          <w:i w:val="0"/>
          <w:color w:val="auto"/>
          <w:szCs w:val="22"/>
        </w:rPr>
        <w:t>burner</w:t>
      </w:r>
      <w:r w:rsidR="008F6B93">
        <w:rPr>
          <w:rFonts w:asciiTheme="minorHAnsi" w:hAnsiTheme="minorHAnsi" w:cstheme="minorHAnsi"/>
          <w:i w:val="0"/>
          <w:color w:val="auto"/>
          <w:szCs w:val="22"/>
        </w:rPr>
        <w:t xml:space="preserve"> is ON is independent of the room temperature. Because the </w:t>
      </w:r>
      <w:r w:rsidR="00FC2C0D">
        <w:rPr>
          <w:rFonts w:asciiTheme="minorHAnsi" w:hAnsiTheme="minorHAnsi" w:cstheme="minorHAnsi"/>
          <w:i w:val="0"/>
          <w:color w:val="auto"/>
          <w:szCs w:val="22"/>
        </w:rPr>
        <w:t xml:space="preserve">burner </w:t>
      </w:r>
      <w:r w:rsidR="008F6B93">
        <w:rPr>
          <w:rFonts w:asciiTheme="minorHAnsi" w:hAnsiTheme="minorHAnsi" w:cstheme="minorHAnsi"/>
          <w:i w:val="0"/>
          <w:color w:val="auto"/>
          <w:szCs w:val="22"/>
        </w:rPr>
        <w:t>input r</w:t>
      </w:r>
      <w:r w:rsidR="00FC2C0D">
        <w:rPr>
          <w:rFonts w:asciiTheme="minorHAnsi" w:hAnsiTheme="minorHAnsi" w:cstheme="minorHAnsi"/>
          <w:i w:val="0"/>
          <w:color w:val="auto"/>
          <w:szCs w:val="22"/>
        </w:rPr>
        <w:t>ate and ON time</w:t>
      </w:r>
      <w:r w:rsidR="008F6B93">
        <w:rPr>
          <w:rFonts w:asciiTheme="minorHAnsi" w:hAnsiTheme="minorHAnsi" w:cstheme="minorHAnsi"/>
          <w:i w:val="0"/>
          <w:color w:val="auto"/>
          <w:szCs w:val="22"/>
        </w:rPr>
        <w:t xml:space="preserve"> for baseline and </w:t>
      </w:r>
      <w:r>
        <w:rPr>
          <w:rFonts w:asciiTheme="minorHAnsi" w:hAnsiTheme="minorHAnsi" w:cstheme="minorHAnsi"/>
          <w:i w:val="0"/>
          <w:color w:val="auto"/>
          <w:szCs w:val="22"/>
        </w:rPr>
        <w:t>efficient fireplaces are</w:t>
      </w:r>
      <w:r w:rsidR="008F6B93">
        <w:rPr>
          <w:rFonts w:asciiTheme="minorHAnsi" w:hAnsiTheme="minorHAnsi" w:cstheme="minorHAnsi"/>
          <w:i w:val="0"/>
          <w:color w:val="auto"/>
          <w:szCs w:val="22"/>
        </w:rPr>
        <w:t xml:space="preserve"> the same</w:t>
      </w:r>
      <w:r w:rsidR="00EA5C91">
        <w:rPr>
          <w:rFonts w:asciiTheme="minorHAnsi" w:hAnsiTheme="minorHAnsi" w:cstheme="minorHAnsi"/>
          <w:i w:val="0"/>
          <w:color w:val="auto"/>
          <w:szCs w:val="22"/>
        </w:rPr>
        <w:t>,</w:t>
      </w:r>
      <w:r w:rsidR="008F6B9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energy use is same. </w:t>
      </w:r>
      <w:r w:rsidR="002664BB">
        <w:rPr>
          <w:rFonts w:asciiTheme="minorHAnsi" w:hAnsiTheme="minorHAnsi" w:cstheme="minorHAnsi"/>
          <w:i w:val="0"/>
          <w:color w:val="auto"/>
          <w:szCs w:val="22"/>
        </w:rPr>
        <w:t>For a manually-operated fireplace to save energy, it must have shorter runtime than its less efficient counterpart, such as, if it is shut off sooner because it heats the room faster.  T</w:t>
      </w:r>
      <w:r>
        <w:rPr>
          <w:rFonts w:asciiTheme="minorHAnsi" w:hAnsiTheme="minorHAnsi" w:cstheme="minorHAnsi"/>
          <w:i w:val="0"/>
          <w:color w:val="auto"/>
          <w:szCs w:val="22"/>
        </w:rPr>
        <w:t xml:space="preserve">he manually operated state is not examined in this workpaper. </w:t>
      </w:r>
    </w:p>
    <w:p w14:paraId="511A54C5" w14:textId="15329F53" w:rsidR="00F13A1D" w:rsidRDefault="00F13A1D" w:rsidP="00D23770">
      <w:pPr>
        <w:pStyle w:val="Reminders"/>
        <w:rPr>
          <w:rFonts w:asciiTheme="minorHAnsi" w:hAnsiTheme="minorHAnsi" w:cstheme="minorHAnsi"/>
          <w:i w:val="0"/>
          <w:color w:val="auto"/>
          <w:szCs w:val="22"/>
        </w:rPr>
      </w:pPr>
    </w:p>
    <w:p w14:paraId="5216E85A" w14:textId="75B490A1" w:rsidR="00FC2C0D" w:rsidRDefault="00FC2C0D"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Throughout this section assumptions are taken from the IPL workpaper</w:t>
      </w:r>
      <w:r w:rsidR="002517A6">
        <w:rPr>
          <w:rFonts w:asciiTheme="minorHAnsi" w:hAnsiTheme="minorHAnsi" w:cstheme="minorHAnsi"/>
          <w:i w:val="0"/>
          <w:color w:val="auto"/>
          <w:szCs w:val="22"/>
        </w:rPr>
        <w:t xml:space="preserve"> for </w:t>
      </w:r>
      <w:r w:rsidR="00FB54E7">
        <w:rPr>
          <w:rFonts w:asciiTheme="minorHAnsi" w:hAnsiTheme="minorHAnsi" w:cstheme="minorHAnsi"/>
          <w:i w:val="0"/>
          <w:color w:val="auto"/>
          <w:szCs w:val="22"/>
        </w:rPr>
        <w:t xml:space="preserve">gravity </w:t>
      </w:r>
      <w:r w:rsidR="002517A6">
        <w:rPr>
          <w:rFonts w:asciiTheme="minorHAnsi" w:hAnsiTheme="minorHAnsi" w:cstheme="minorHAnsi"/>
          <w:i w:val="0"/>
          <w:color w:val="auto"/>
          <w:szCs w:val="22"/>
        </w:rPr>
        <w:t xml:space="preserve">wall furnaces, </w:t>
      </w:r>
      <w:r w:rsidR="00FB54E7">
        <w:rPr>
          <w:rFonts w:asciiTheme="minorHAnsi" w:hAnsiTheme="minorHAnsi" w:cstheme="minorHAnsi"/>
          <w:i w:val="0"/>
          <w:color w:val="auto"/>
          <w:szCs w:val="22"/>
        </w:rPr>
        <w:t xml:space="preserve">(see </w:t>
      </w:r>
      <w:r w:rsidR="002517A6" w:rsidRPr="002517A6">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B</w:t>
      </w:r>
      <w:r w:rsidR="00FB54E7">
        <w:rPr>
          <w:rFonts w:asciiTheme="minorHAnsi" w:hAnsiTheme="minorHAnsi" w:cstheme="minorHAnsi"/>
          <w:b/>
          <w:color w:val="auto"/>
          <w:szCs w:val="22"/>
        </w:rPr>
        <w:t>)</w:t>
      </w:r>
      <w:r>
        <w:rPr>
          <w:rFonts w:asciiTheme="minorHAnsi" w:hAnsiTheme="minorHAnsi" w:cstheme="minorHAnsi"/>
          <w:i w:val="0"/>
          <w:color w:val="auto"/>
          <w:szCs w:val="22"/>
        </w:rPr>
        <w:t xml:space="preserve">. </w:t>
      </w:r>
      <w:r w:rsidR="002517A6">
        <w:rPr>
          <w:rFonts w:asciiTheme="minorHAnsi" w:hAnsiTheme="minorHAnsi" w:cstheme="minorHAnsi"/>
          <w:i w:val="0"/>
          <w:color w:val="auto"/>
          <w:szCs w:val="22"/>
        </w:rPr>
        <w:t>The IPL workpaper states</w:t>
      </w:r>
      <w:r w:rsidR="00EA5C91">
        <w:rPr>
          <w:rFonts w:asciiTheme="minorHAnsi" w:hAnsiTheme="minorHAnsi" w:cstheme="minorHAnsi"/>
          <w:i w:val="0"/>
          <w:color w:val="auto"/>
          <w:szCs w:val="22"/>
        </w:rPr>
        <w:t>,</w:t>
      </w:r>
      <w:r w:rsidR="002517A6">
        <w:rPr>
          <w:rFonts w:asciiTheme="minorHAnsi" w:hAnsiTheme="minorHAnsi" w:cstheme="minorHAnsi"/>
          <w:i w:val="0"/>
          <w:color w:val="auto"/>
          <w:szCs w:val="22"/>
        </w:rPr>
        <w:t xml:space="preserve"> </w:t>
      </w:r>
      <w:r w:rsidR="00EA5C91">
        <w:rPr>
          <w:rFonts w:asciiTheme="minorHAnsi" w:hAnsiTheme="minorHAnsi" w:cstheme="minorHAnsi"/>
          <w:i w:val="0"/>
          <w:color w:val="auto"/>
          <w:szCs w:val="22"/>
        </w:rPr>
        <w:t xml:space="preserve">in section 1.1, </w:t>
      </w:r>
      <w:r w:rsidR="002517A6">
        <w:rPr>
          <w:rFonts w:asciiTheme="minorHAnsi" w:hAnsiTheme="minorHAnsi" w:cstheme="minorHAnsi"/>
          <w:i w:val="0"/>
          <w:color w:val="auto"/>
          <w:szCs w:val="22"/>
        </w:rPr>
        <w:t xml:space="preserve">that its conclusions also apply to fireplace inserts. </w:t>
      </w:r>
      <w:r>
        <w:rPr>
          <w:rFonts w:asciiTheme="minorHAnsi" w:hAnsiTheme="minorHAnsi" w:cstheme="minorHAnsi"/>
          <w:i w:val="0"/>
          <w:color w:val="auto"/>
          <w:szCs w:val="22"/>
        </w:rPr>
        <w:t xml:space="preserve">The assumptions </w:t>
      </w:r>
      <w:r w:rsidR="002517A6">
        <w:rPr>
          <w:rFonts w:asciiTheme="minorHAnsi" w:hAnsiTheme="minorHAnsi" w:cstheme="minorHAnsi"/>
          <w:i w:val="0"/>
          <w:color w:val="auto"/>
          <w:szCs w:val="22"/>
        </w:rPr>
        <w:t xml:space="preserve">from the IPL workpaper </w:t>
      </w:r>
      <w:r>
        <w:rPr>
          <w:rFonts w:asciiTheme="minorHAnsi" w:hAnsiTheme="minorHAnsi" w:cstheme="minorHAnsi"/>
          <w:i w:val="0"/>
          <w:color w:val="auto"/>
          <w:szCs w:val="22"/>
        </w:rPr>
        <w:t xml:space="preserve">are discussed as they appear but in general </w:t>
      </w:r>
      <w:r w:rsidR="001B63AB">
        <w:rPr>
          <w:rFonts w:asciiTheme="minorHAnsi" w:hAnsiTheme="minorHAnsi" w:cstheme="minorHAnsi"/>
          <w:i w:val="0"/>
          <w:color w:val="auto"/>
          <w:szCs w:val="22"/>
        </w:rPr>
        <w:t>fireplaces provide a similar utility to that</w:t>
      </w:r>
      <w:r w:rsidR="002517A6">
        <w:rPr>
          <w:rFonts w:asciiTheme="minorHAnsi" w:hAnsiTheme="minorHAnsi" w:cstheme="minorHAnsi"/>
          <w:i w:val="0"/>
          <w:color w:val="auto"/>
          <w:szCs w:val="22"/>
        </w:rPr>
        <w:t xml:space="preserve"> of</w:t>
      </w:r>
      <w:r w:rsidR="001B63AB">
        <w:rPr>
          <w:rFonts w:asciiTheme="minorHAnsi" w:hAnsiTheme="minorHAnsi" w:cstheme="minorHAnsi"/>
          <w:i w:val="0"/>
          <w:color w:val="auto"/>
          <w:szCs w:val="22"/>
        </w:rPr>
        <w:t xml:space="preserve"> </w:t>
      </w:r>
      <w:r>
        <w:rPr>
          <w:rFonts w:asciiTheme="minorHAnsi" w:hAnsiTheme="minorHAnsi" w:cstheme="minorHAnsi"/>
          <w:i w:val="0"/>
          <w:color w:val="auto"/>
          <w:szCs w:val="22"/>
        </w:rPr>
        <w:t>g</w:t>
      </w:r>
      <w:r w:rsidR="001B63AB">
        <w:rPr>
          <w:rFonts w:asciiTheme="minorHAnsi" w:hAnsiTheme="minorHAnsi" w:cstheme="minorHAnsi"/>
          <w:i w:val="0"/>
          <w:color w:val="auto"/>
          <w:szCs w:val="22"/>
        </w:rPr>
        <w:t>ravity wall furnaces, that is, they both typically heat individual rooms as opposed to a centralized heating system for an entire residence.</w:t>
      </w:r>
      <w:r w:rsidR="002517A6">
        <w:rPr>
          <w:rFonts w:asciiTheme="minorHAnsi" w:hAnsiTheme="minorHAnsi" w:cstheme="minorHAnsi"/>
          <w:i w:val="0"/>
          <w:color w:val="auto"/>
          <w:szCs w:val="22"/>
        </w:rPr>
        <w:t xml:space="preserve"> The input rates commonly used by wall furnaces are similar to those used by fireplaces. </w:t>
      </w:r>
      <w:r w:rsidR="00FB54E7">
        <w:rPr>
          <w:rFonts w:asciiTheme="minorHAnsi" w:hAnsiTheme="minorHAnsi" w:cstheme="minorHAnsi"/>
          <w:i w:val="0"/>
          <w:color w:val="auto"/>
          <w:szCs w:val="22"/>
        </w:rPr>
        <w:t>For example, i</w:t>
      </w:r>
      <w:r w:rsidR="002517A6">
        <w:rPr>
          <w:rFonts w:asciiTheme="minorHAnsi" w:hAnsiTheme="minorHAnsi" w:cstheme="minorHAnsi"/>
          <w:i w:val="0"/>
          <w:color w:val="auto"/>
          <w:szCs w:val="22"/>
        </w:rPr>
        <w:t xml:space="preserve">n the </w:t>
      </w:r>
      <w:r w:rsidR="0048365A">
        <w:rPr>
          <w:rFonts w:asciiTheme="minorHAnsi" w:hAnsiTheme="minorHAnsi" w:cstheme="minorHAnsi"/>
          <w:i w:val="0"/>
          <w:color w:val="auto"/>
          <w:szCs w:val="22"/>
        </w:rPr>
        <w:t xml:space="preserve">April 2010 </w:t>
      </w:r>
      <w:r w:rsidR="00A80057" w:rsidRPr="00FB54E7">
        <w:rPr>
          <w:rFonts w:asciiTheme="minorHAnsi" w:hAnsiTheme="minorHAnsi" w:cstheme="minorHAnsi"/>
          <w:i w:val="0"/>
          <w:color w:val="auto"/>
          <w:szCs w:val="22"/>
        </w:rPr>
        <w:t xml:space="preserve">DOE </w:t>
      </w:r>
      <w:r w:rsidR="0048365A">
        <w:rPr>
          <w:rFonts w:asciiTheme="minorHAnsi" w:hAnsiTheme="minorHAnsi" w:cstheme="minorHAnsi"/>
          <w:i w:val="0"/>
          <w:color w:val="auto"/>
          <w:szCs w:val="22"/>
        </w:rPr>
        <w:t>Final Rule</w:t>
      </w:r>
      <w:r w:rsidR="002517A6">
        <w:rPr>
          <w:rFonts w:asciiTheme="minorHAnsi" w:hAnsiTheme="minorHAnsi" w:cstheme="minorHAnsi"/>
          <w:i w:val="0"/>
          <w:color w:val="auto"/>
          <w:szCs w:val="22"/>
        </w:rPr>
        <w:t xml:space="preserve">, the representative input rate for gravity wall furnaces and fireplaces were 32,000 Btu/h and 35,000 Btu/h, respectively. </w:t>
      </w:r>
    </w:p>
    <w:p w14:paraId="0F674625" w14:textId="4A0B42AC" w:rsidR="00F13A1D" w:rsidRDefault="00F13A1D" w:rsidP="00D23770">
      <w:pPr>
        <w:pStyle w:val="Reminders"/>
        <w:rPr>
          <w:rFonts w:asciiTheme="minorHAnsi" w:hAnsiTheme="minorHAnsi" w:cstheme="minorHAnsi"/>
          <w:i w:val="0"/>
          <w:color w:val="auto"/>
          <w:szCs w:val="22"/>
        </w:rPr>
      </w:pPr>
    </w:p>
    <w:p w14:paraId="2D099C33" w14:textId="5616A02C" w:rsidR="00C53A39" w:rsidRDefault="00C53A39"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workpaper assumes that the fireplace </w:t>
      </w:r>
      <w:r w:rsidR="002664BB">
        <w:rPr>
          <w:rFonts w:asciiTheme="minorHAnsi" w:hAnsiTheme="minorHAnsi" w:cstheme="minorHAnsi"/>
          <w:i w:val="0"/>
          <w:color w:val="auto"/>
          <w:szCs w:val="22"/>
        </w:rPr>
        <w:t xml:space="preserve">is </w:t>
      </w:r>
      <w:r>
        <w:rPr>
          <w:rFonts w:asciiTheme="minorHAnsi" w:hAnsiTheme="minorHAnsi" w:cstheme="minorHAnsi"/>
          <w:i w:val="0"/>
          <w:color w:val="auto"/>
          <w:szCs w:val="22"/>
        </w:rPr>
        <w:t>the only non-centralized heat source within the room.</w:t>
      </w:r>
    </w:p>
    <w:p w14:paraId="511B564F" w14:textId="0C8DFE99" w:rsidR="00C53A39" w:rsidRDefault="00C53A39" w:rsidP="00D23770">
      <w:pPr>
        <w:pStyle w:val="Reminders"/>
        <w:rPr>
          <w:rFonts w:asciiTheme="minorHAnsi" w:hAnsiTheme="minorHAnsi" w:cstheme="minorHAnsi"/>
          <w:i w:val="0"/>
          <w:color w:val="auto"/>
          <w:szCs w:val="22"/>
        </w:rPr>
      </w:pPr>
    </w:p>
    <w:p w14:paraId="3E6CE88F" w14:textId="3D0B9439" w:rsidR="0048365A" w:rsidRDefault="0048365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for this measure are computed by assessing the annual</w:t>
      </w:r>
      <w:r w:rsidR="001034C4">
        <w:rPr>
          <w:rFonts w:asciiTheme="minorHAnsi" w:hAnsiTheme="minorHAnsi" w:cstheme="minorHAnsi"/>
          <w:i w:val="0"/>
          <w:color w:val="auto"/>
          <w:szCs w:val="22"/>
        </w:rPr>
        <w:t xml:space="preserve"> operating</w:t>
      </w:r>
      <w:r>
        <w:rPr>
          <w:rFonts w:asciiTheme="minorHAnsi" w:hAnsiTheme="minorHAnsi" w:cstheme="minorHAnsi"/>
          <w:i w:val="0"/>
          <w:color w:val="auto"/>
          <w:szCs w:val="22"/>
        </w:rPr>
        <w:t xml:space="preserve"> hours</w:t>
      </w:r>
      <w:r w:rsidR="00FA046D">
        <w:rPr>
          <w:rFonts w:asciiTheme="minorHAnsi" w:hAnsiTheme="minorHAnsi" w:cstheme="minorHAnsi"/>
          <w:i w:val="0"/>
          <w:color w:val="auto"/>
          <w:szCs w:val="22"/>
        </w:rPr>
        <w:t xml:space="preserve"> (from hourly data</w:t>
      </w:r>
      <w:r w:rsidR="00FA046D" w:rsidRPr="00FA046D">
        <w:t xml:space="preserve"> </w:t>
      </w:r>
      <w:r w:rsidR="00FA046D" w:rsidRPr="00FA046D">
        <w:rPr>
          <w:rFonts w:asciiTheme="minorHAnsi" w:hAnsiTheme="minorHAnsi" w:cstheme="minorHAnsi"/>
          <w:i w:val="0"/>
          <w:color w:val="auto"/>
          <w:szCs w:val="22"/>
        </w:rPr>
        <w:t>specific to each California Climate Zone</w:t>
      </w:r>
      <w:r w:rsidR="00FA046D">
        <w:rPr>
          <w:rFonts w:asciiTheme="minorHAnsi" w:hAnsiTheme="minorHAnsi" w:cstheme="minorHAnsi"/>
          <w:i w:val="0"/>
          <w:color w:val="auto"/>
          <w:szCs w:val="22"/>
        </w:rPr>
        <w:t>)</w:t>
      </w:r>
      <w:r>
        <w:rPr>
          <w:rFonts w:asciiTheme="minorHAnsi" w:hAnsiTheme="minorHAnsi" w:cstheme="minorHAnsi"/>
          <w:i w:val="0"/>
          <w:color w:val="auto"/>
          <w:szCs w:val="22"/>
        </w:rPr>
        <w:t xml:space="preserve"> and energy use </w:t>
      </w:r>
      <w:r w:rsidR="001034C4">
        <w:rPr>
          <w:rFonts w:asciiTheme="minorHAnsi" w:hAnsiTheme="minorHAnsi" w:cstheme="minorHAnsi"/>
          <w:i w:val="0"/>
          <w:color w:val="auto"/>
          <w:szCs w:val="22"/>
        </w:rPr>
        <w:t xml:space="preserve">in </w:t>
      </w:r>
      <w:r>
        <w:rPr>
          <w:rFonts w:asciiTheme="minorHAnsi" w:hAnsiTheme="minorHAnsi" w:cstheme="minorHAnsi"/>
          <w:i w:val="0"/>
          <w:color w:val="auto"/>
          <w:szCs w:val="22"/>
        </w:rPr>
        <w:t xml:space="preserve">three different states of operation.  </w:t>
      </w:r>
    </w:p>
    <w:p w14:paraId="78974CB2" w14:textId="004979B5" w:rsidR="0048365A" w:rsidRDefault="0048365A" w:rsidP="001C5936">
      <w:pPr>
        <w:pStyle w:val="Reminders"/>
        <w:numPr>
          <w:ilvl w:val="0"/>
          <w:numId w:val="18"/>
        </w:numPr>
        <w:rPr>
          <w:rFonts w:asciiTheme="minorHAnsi" w:hAnsiTheme="minorHAnsi" w:cstheme="minorHAnsi"/>
          <w:i w:val="0"/>
          <w:color w:val="auto"/>
          <w:szCs w:val="22"/>
        </w:rPr>
      </w:pPr>
      <w:r>
        <w:rPr>
          <w:rFonts w:asciiTheme="minorHAnsi" w:hAnsiTheme="minorHAnsi" w:cstheme="minorHAnsi"/>
          <w:i w:val="0"/>
          <w:color w:val="auto"/>
          <w:szCs w:val="22"/>
        </w:rPr>
        <w:t>When the pilot light is on and no heating is required for the</w:t>
      </w:r>
      <w:r w:rsidR="00FA046D">
        <w:rPr>
          <w:rFonts w:asciiTheme="minorHAnsi" w:hAnsiTheme="minorHAnsi" w:cstheme="minorHAnsi"/>
          <w:i w:val="0"/>
          <w:color w:val="auto"/>
          <w:szCs w:val="22"/>
        </w:rPr>
        <w:t xml:space="preserve"> hour</w:t>
      </w:r>
    </w:p>
    <w:p w14:paraId="1DCEC54F" w14:textId="22CF1A64" w:rsidR="00FA046D" w:rsidRDefault="00FA046D" w:rsidP="001C5936">
      <w:pPr>
        <w:pStyle w:val="Reminders"/>
        <w:numPr>
          <w:ilvl w:val="0"/>
          <w:numId w:val="18"/>
        </w:numPr>
        <w:rPr>
          <w:rFonts w:asciiTheme="minorHAnsi" w:hAnsiTheme="minorHAnsi" w:cstheme="minorHAnsi"/>
          <w:i w:val="0"/>
          <w:color w:val="auto"/>
          <w:szCs w:val="22"/>
        </w:rPr>
      </w:pPr>
      <w:r>
        <w:rPr>
          <w:rFonts w:asciiTheme="minorHAnsi" w:hAnsiTheme="minorHAnsi" w:cstheme="minorHAnsi"/>
          <w:i w:val="0"/>
          <w:color w:val="auto"/>
          <w:szCs w:val="22"/>
        </w:rPr>
        <w:t>When the burner is on for a fraction of the hour</w:t>
      </w:r>
    </w:p>
    <w:p w14:paraId="7E344205" w14:textId="66A8E15F" w:rsidR="00FA046D" w:rsidRDefault="00FA046D" w:rsidP="001C5936">
      <w:pPr>
        <w:pStyle w:val="Reminders"/>
        <w:numPr>
          <w:ilvl w:val="0"/>
          <w:numId w:val="18"/>
        </w:numPr>
        <w:rPr>
          <w:rFonts w:asciiTheme="minorHAnsi" w:hAnsiTheme="minorHAnsi" w:cstheme="minorHAnsi"/>
          <w:i w:val="0"/>
          <w:color w:val="auto"/>
          <w:szCs w:val="22"/>
        </w:rPr>
      </w:pPr>
      <w:r>
        <w:rPr>
          <w:rFonts w:asciiTheme="minorHAnsi" w:hAnsiTheme="minorHAnsi" w:cstheme="minorHAnsi"/>
          <w:i w:val="0"/>
          <w:color w:val="auto"/>
          <w:szCs w:val="22"/>
        </w:rPr>
        <w:t>When the pilot light is on and heating is required during the hour</w:t>
      </w:r>
    </w:p>
    <w:p w14:paraId="6FC22BA1" w14:textId="21464E7F" w:rsidR="00663CD9" w:rsidRPr="009A1B75" w:rsidRDefault="00580EA3"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With these time values, </w:t>
      </w:r>
      <w:r w:rsidR="009A1B75">
        <w:rPr>
          <w:rFonts w:asciiTheme="minorHAnsi" w:hAnsiTheme="minorHAnsi" w:cstheme="minorHAnsi"/>
          <w:i w:val="0"/>
          <w:color w:val="auto"/>
          <w:szCs w:val="22"/>
        </w:rPr>
        <w:t>input rates</w:t>
      </w:r>
      <w:r w:rsidR="0007607F">
        <w:rPr>
          <w:rFonts w:asciiTheme="minorHAnsi" w:hAnsiTheme="minorHAnsi" w:cstheme="minorHAnsi"/>
          <w:i w:val="0"/>
          <w:color w:val="auto"/>
          <w:szCs w:val="22"/>
        </w:rPr>
        <w:t>,</w:t>
      </w:r>
      <w:r w:rsidR="009A1B75">
        <w:rPr>
          <w:rFonts w:asciiTheme="minorHAnsi" w:hAnsiTheme="minorHAnsi" w:cstheme="minorHAnsi"/>
          <w:i w:val="0"/>
          <w:color w:val="auto"/>
          <w:szCs w:val="22"/>
        </w:rPr>
        <w:t xml:space="preserve"> </w:t>
      </w:r>
      <w:r w:rsidR="006E64D5">
        <w:rPr>
          <w:rFonts w:asciiTheme="minorHAnsi" w:hAnsiTheme="minorHAnsi" w:cstheme="minorHAnsi"/>
          <w:i w:val="0"/>
          <w:color w:val="auto"/>
          <w:szCs w:val="22"/>
        </w:rPr>
        <w:t xml:space="preserve">and efficiency assumptions </w:t>
      </w:r>
      <w:r w:rsidR="009A1B75">
        <w:rPr>
          <w:rFonts w:asciiTheme="minorHAnsi" w:hAnsiTheme="minorHAnsi" w:cstheme="minorHAnsi"/>
          <w:i w:val="0"/>
          <w:color w:val="auto"/>
          <w:szCs w:val="22"/>
        </w:rPr>
        <w:t>the annual energy savings</w:t>
      </w:r>
      <w:r w:rsidR="0007607F">
        <w:rPr>
          <w:rFonts w:asciiTheme="minorHAnsi" w:hAnsiTheme="minorHAnsi" w:cstheme="minorHAnsi"/>
          <w:i w:val="0"/>
          <w:color w:val="auto"/>
          <w:szCs w:val="22"/>
        </w:rPr>
        <w:t xml:space="preserve"> can be calculated</w:t>
      </w:r>
      <w:r w:rsidR="009A1B75">
        <w:rPr>
          <w:rFonts w:asciiTheme="minorHAnsi" w:hAnsiTheme="minorHAnsi" w:cstheme="minorHAnsi"/>
          <w:i w:val="0"/>
          <w:color w:val="auto"/>
          <w:szCs w:val="22"/>
        </w:rPr>
        <w:t>.</w:t>
      </w:r>
      <w:r w:rsidR="006E64D5">
        <w:rPr>
          <w:rFonts w:asciiTheme="minorHAnsi" w:hAnsiTheme="minorHAnsi" w:cstheme="minorHAnsi"/>
          <w:i w:val="0"/>
          <w:color w:val="auto"/>
          <w:szCs w:val="22"/>
        </w:rPr>
        <w:t xml:space="preserve"> </w:t>
      </w:r>
      <w:r w:rsidR="0007607F">
        <w:rPr>
          <w:rFonts w:asciiTheme="minorHAnsi" w:hAnsiTheme="minorHAnsi" w:cstheme="minorHAnsi"/>
          <w:i w:val="0"/>
          <w:color w:val="auto"/>
          <w:szCs w:val="22"/>
        </w:rPr>
        <w:t xml:space="preserve">For the measures with a baseline including CPL ignition technology, the savings from the removal of the pilot light and installing an efficient fireplace are </w:t>
      </w:r>
      <w:r w:rsidR="002664BB">
        <w:rPr>
          <w:rFonts w:asciiTheme="minorHAnsi" w:hAnsiTheme="minorHAnsi" w:cstheme="minorHAnsi"/>
          <w:i w:val="0"/>
          <w:color w:val="auto"/>
          <w:szCs w:val="22"/>
        </w:rPr>
        <w:t>added to calculate the total savings</w:t>
      </w:r>
      <w:r w:rsidR="0007607F">
        <w:rPr>
          <w:rFonts w:asciiTheme="minorHAnsi" w:hAnsiTheme="minorHAnsi" w:cstheme="minorHAnsi"/>
          <w:i w:val="0"/>
          <w:color w:val="auto"/>
          <w:szCs w:val="22"/>
        </w:rPr>
        <w:t xml:space="preserve">. For the measures with a baseline including IPL ignition technology, the savings </w:t>
      </w:r>
      <w:r w:rsidR="002664BB">
        <w:rPr>
          <w:rFonts w:asciiTheme="minorHAnsi" w:hAnsiTheme="minorHAnsi" w:cstheme="minorHAnsi"/>
          <w:i w:val="0"/>
          <w:color w:val="auto"/>
          <w:szCs w:val="22"/>
        </w:rPr>
        <w:t>come only from the higher efficiency (FE)</w:t>
      </w:r>
      <w:r w:rsidR="0007607F">
        <w:rPr>
          <w:rFonts w:asciiTheme="minorHAnsi" w:hAnsiTheme="minorHAnsi" w:cstheme="minorHAnsi"/>
          <w:i w:val="0"/>
          <w:color w:val="auto"/>
          <w:szCs w:val="22"/>
        </w:rPr>
        <w:t>.</w:t>
      </w:r>
    </w:p>
    <w:p w14:paraId="64C890B7" w14:textId="5A394A1F" w:rsidR="00485963" w:rsidRPr="00384E62" w:rsidRDefault="00485963" w:rsidP="00DF5744">
      <w:pPr>
        <w:pStyle w:val="Heading2"/>
        <w:rPr>
          <w:rFonts w:asciiTheme="minorHAnsi" w:hAnsiTheme="minorHAnsi" w:cstheme="minorHAnsi"/>
          <w:szCs w:val="26"/>
        </w:rPr>
      </w:pPr>
      <w:r w:rsidRPr="00384E62">
        <w:rPr>
          <w:rFonts w:asciiTheme="minorHAnsi" w:hAnsiTheme="minorHAnsi" w:cstheme="minorHAnsi"/>
          <w:szCs w:val="26"/>
        </w:rPr>
        <w:lastRenderedPageBreak/>
        <w:t xml:space="preserve">2.1 </w:t>
      </w:r>
      <w:r w:rsidR="00F13A1D">
        <w:rPr>
          <w:rFonts w:asciiTheme="minorHAnsi" w:hAnsiTheme="minorHAnsi" w:cstheme="minorHAnsi"/>
          <w:szCs w:val="26"/>
        </w:rPr>
        <w:t xml:space="preserve">Total </w:t>
      </w:r>
      <w:r w:rsidRPr="00384E62">
        <w:rPr>
          <w:rFonts w:asciiTheme="minorHAnsi" w:hAnsiTheme="minorHAnsi" w:cstheme="minorHAnsi"/>
          <w:szCs w:val="26"/>
        </w:rPr>
        <w:t>Hours per year the</w:t>
      </w:r>
      <w:r w:rsidR="001043F0">
        <w:rPr>
          <w:rFonts w:asciiTheme="minorHAnsi" w:hAnsiTheme="minorHAnsi" w:cstheme="minorHAnsi"/>
          <w:szCs w:val="26"/>
        </w:rPr>
        <w:t xml:space="preserve"> Standing</w:t>
      </w:r>
      <w:r w:rsidR="00F13A1D">
        <w:rPr>
          <w:rFonts w:asciiTheme="minorHAnsi" w:hAnsiTheme="minorHAnsi" w:cstheme="minorHAnsi"/>
          <w:szCs w:val="26"/>
        </w:rPr>
        <w:t xml:space="preserve"> Pilot Light is ON</w:t>
      </w:r>
    </w:p>
    <w:p w14:paraId="20B24675" w14:textId="2475FCAB" w:rsidR="00C53A39" w:rsidRDefault="00485963" w:rsidP="00663CD9">
      <w:pPr>
        <w:pStyle w:val="Reminders"/>
        <w:rPr>
          <w:rFonts w:asciiTheme="minorHAnsi" w:hAnsiTheme="minorHAnsi" w:cstheme="minorHAnsi"/>
          <w:i w:val="0"/>
          <w:color w:val="auto"/>
          <w:szCs w:val="22"/>
        </w:rPr>
      </w:pPr>
      <w:r w:rsidRPr="00705C75">
        <w:rPr>
          <w:rFonts w:asciiTheme="minorHAnsi" w:hAnsiTheme="minorHAnsi" w:cstheme="minorHAnsi"/>
          <w:i w:val="0"/>
          <w:color w:val="auto"/>
          <w:szCs w:val="22"/>
        </w:rPr>
        <w:t xml:space="preserve">SoCalGas’ data of customer calls for pilot ignition and pilot turn OFF inquiries for gravity wall furnaces was used </w:t>
      </w:r>
      <w:r w:rsidR="00044C46">
        <w:rPr>
          <w:rFonts w:asciiTheme="minorHAnsi" w:hAnsiTheme="minorHAnsi" w:cstheme="minorHAnsi"/>
          <w:i w:val="0"/>
          <w:color w:val="auto"/>
          <w:szCs w:val="22"/>
        </w:rPr>
        <w:t xml:space="preserve">to </w:t>
      </w:r>
      <w:r w:rsidRPr="00705C75">
        <w:rPr>
          <w:rFonts w:asciiTheme="minorHAnsi" w:hAnsiTheme="minorHAnsi" w:cstheme="minorHAnsi"/>
          <w:i w:val="0"/>
          <w:color w:val="auto"/>
          <w:szCs w:val="22"/>
        </w:rPr>
        <w:t>determine the</w:t>
      </w:r>
      <w:r w:rsidR="00C53A39">
        <w:rPr>
          <w:rFonts w:asciiTheme="minorHAnsi" w:hAnsiTheme="minorHAnsi" w:cstheme="minorHAnsi"/>
          <w:i w:val="0"/>
          <w:color w:val="auto"/>
          <w:szCs w:val="22"/>
        </w:rPr>
        <w:t xml:space="preserve"> heating season</w:t>
      </w:r>
      <w:r w:rsidR="001043F0">
        <w:rPr>
          <w:rFonts w:asciiTheme="minorHAnsi" w:hAnsiTheme="minorHAnsi" w:cstheme="minorHAnsi"/>
          <w:i w:val="0"/>
          <w:color w:val="auto"/>
          <w:szCs w:val="22"/>
        </w:rPr>
        <w:t xml:space="preserve">, i.e., </w:t>
      </w:r>
      <w:r w:rsidR="00C53A39">
        <w:rPr>
          <w:rFonts w:asciiTheme="minorHAnsi" w:hAnsiTheme="minorHAnsi" w:cstheme="minorHAnsi"/>
          <w:i w:val="0"/>
          <w:color w:val="auto"/>
          <w:szCs w:val="22"/>
        </w:rPr>
        <w:t>the</w:t>
      </w:r>
      <w:r w:rsidRPr="00705C75">
        <w:rPr>
          <w:rFonts w:asciiTheme="minorHAnsi" w:hAnsiTheme="minorHAnsi" w:cstheme="minorHAnsi"/>
          <w:i w:val="0"/>
          <w:color w:val="auto"/>
          <w:szCs w:val="22"/>
        </w:rPr>
        <w:t xml:space="preserve"> hours per year the fireplace</w:t>
      </w:r>
      <w:r w:rsidR="008679E0">
        <w:rPr>
          <w:rFonts w:asciiTheme="minorHAnsi" w:hAnsiTheme="minorHAnsi" w:cstheme="minorHAnsi"/>
          <w:i w:val="0"/>
          <w:color w:val="auto"/>
          <w:szCs w:val="22"/>
        </w:rPr>
        <w:t>’s pilot light is ON and the unit can provide heat</w:t>
      </w:r>
      <w:r w:rsidR="00044C46">
        <w:rPr>
          <w:rFonts w:asciiTheme="minorHAnsi" w:hAnsiTheme="minorHAnsi" w:cstheme="minorHAnsi"/>
          <w:i w:val="0"/>
          <w:color w:val="auto"/>
          <w:szCs w:val="22"/>
        </w:rPr>
        <w:t>.  Gravity wall furnace</w:t>
      </w:r>
      <w:r w:rsidR="008679E0">
        <w:rPr>
          <w:rFonts w:asciiTheme="minorHAnsi" w:hAnsiTheme="minorHAnsi" w:cstheme="minorHAnsi"/>
          <w:i w:val="0"/>
          <w:color w:val="auto"/>
          <w:szCs w:val="22"/>
        </w:rPr>
        <w:t xml:space="preserve"> </w:t>
      </w:r>
      <w:r w:rsidR="001B63AB">
        <w:rPr>
          <w:rFonts w:asciiTheme="minorHAnsi" w:hAnsiTheme="minorHAnsi" w:cstheme="minorHAnsi"/>
          <w:i w:val="0"/>
          <w:color w:val="auto"/>
          <w:szCs w:val="22"/>
        </w:rPr>
        <w:t xml:space="preserve">calls for </w:t>
      </w:r>
      <w:r w:rsidR="008679E0">
        <w:rPr>
          <w:rFonts w:asciiTheme="minorHAnsi" w:hAnsiTheme="minorHAnsi" w:cstheme="minorHAnsi"/>
          <w:i w:val="0"/>
          <w:color w:val="auto"/>
          <w:szCs w:val="22"/>
        </w:rPr>
        <w:t>pilot light</w:t>
      </w:r>
      <w:r w:rsidR="001B63AB">
        <w:rPr>
          <w:rFonts w:asciiTheme="minorHAnsi" w:hAnsiTheme="minorHAnsi" w:cstheme="minorHAnsi"/>
          <w:i w:val="0"/>
          <w:color w:val="auto"/>
          <w:szCs w:val="22"/>
        </w:rPr>
        <w:t xml:space="preserve"> ON and OFF inquiries </w:t>
      </w:r>
      <w:r w:rsidR="008679E0">
        <w:rPr>
          <w:rFonts w:asciiTheme="minorHAnsi" w:hAnsiTheme="minorHAnsi" w:cstheme="minorHAnsi"/>
          <w:i w:val="0"/>
          <w:color w:val="auto"/>
          <w:szCs w:val="22"/>
        </w:rPr>
        <w:t xml:space="preserve">are </w:t>
      </w:r>
      <w:r w:rsidR="00044C46">
        <w:rPr>
          <w:rFonts w:asciiTheme="minorHAnsi" w:hAnsiTheme="minorHAnsi" w:cstheme="minorHAnsi"/>
          <w:i w:val="0"/>
          <w:color w:val="auto"/>
          <w:szCs w:val="22"/>
        </w:rPr>
        <w:t xml:space="preserve">a reasonable </w:t>
      </w:r>
      <w:r w:rsidR="008679E0">
        <w:rPr>
          <w:rFonts w:asciiTheme="minorHAnsi" w:hAnsiTheme="minorHAnsi" w:cstheme="minorHAnsi"/>
          <w:i w:val="0"/>
          <w:color w:val="auto"/>
          <w:szCs w:val="22"/>
        </w:rPr>
        <w:t xml:space="preserve">surrogate for annual pilot light ON hours for gas fireplaces </w:t>
      </w:r>
      <w:r w:rsidR="00044C46">
        <w:rPr>
          <w:rFonts w:asciiTheme="minorHAnsi" w:hAnsiTheme="minorHAnsi" w:cstheme="minorHAnsi"/>
          <w:i w:val="0"/>
          <w:color w:val="auto"/>
          <w:szCs w:val="22"/>
        </w:rPr>
        <w:t>because</w:t>
      </w:r>
      <w:r w:rsidR="001B63AB">
        <w:rPr>
          <w:rFonts w:asciiTheme="minorHAnsi" w:hAnsiTheme="minorHAnsi" w:cstheme="minorHAnsi"/>
          <w:i w:val="0"/>
          <w:color w:val="auto"/>
          <w:szCs w:val="22"/>
        </w:rPr>
        <w:t xml:space="preserve"> the heating season </w:t>
      </w:r>
      <w:r w:rsidR="001043F0">
        <w:rPr>
          <w:rFonts w:asciiTheme="minorHAnsi" w:hAnsiTheme="minorHAnsi" w:cstheme="minorHAnsi"/>
          <w:i w:val="0"/>
          <w:color w:val="auto"/>
          <w:szCs w:val="22"/>
        </w:rPr>
        <w:t xml:space="preserve">characterization </w:t>
      </w:r>
      <w:r w:rsidR="001B63AB">
        <w:rPr>
          <w:rFonts w:asciiTheme="minorHAnsi" w:hAnsiTheme="minorHAnsi" w:cstheme="minorHAnsi"/>
          <w:i w:val="0"/>
          <w:color w:val="auto"/>
          <w:szCs w:val="22"/>
        </w:rPr>
        <w:t xml:space="preserve">is all </w:t>
      </w:r>
      <w:r w:rsidR="001043F0">
        <w:rPr>
          <w:rFonts w:asciiTheme="minorHAnsi" w:hAnsiTheme="minorHAnsi" w:cstheme="minorHAnsi"/>
          <w:i w:val="0"/>
          <w:color w:val="auto"/>
          <w:szCs w:val="22"/>
        </w:rPr>
        <w:t>that is of interest here and that should not differ between products</w:t>
      </w:r>
      <w:r w:rsidRPr="00705C75">
        <w:rPr>
          <w:rFonts w:asciiTheme="minorHAnsi" w:hAnsiTheme="minorHAnsi" w:cstheme="minorHAnsi"/>
          <w:i w:val="0"/>
          <w:color w:val="auto"/>
          <w:szCs w:val="22"/>
        </w:rPr>
        <w:t xml:space="preserve">. </w:t>
      </w:r>
    </w:p>
    <w:p w14:paraId="77659F08" w14:textId="77777777" w:rsidR="00C53A39" w:rsidRDefault="00C53A39" w:rsidP="00663CD9">
      <w:pPr>
        <w:pStyle w:val="Reminders"/>
        <w:rPr>
          <w:rFonts w:asciiTheme="minorHAnsi" w:hAnsiTheme="minorHAnsi" w:cstheme="minorHAnsi"/>
          <w:i w:val="0"/>
          <w:color w:val="auto"/>
          <w:szCs w:val="22"/>
        </w:rPr>
      </w:pPr>
    </w:p>
    <w:p w14:paraId="40FCF921" w14:textId="3FA11364" w:rsidR="005227A4" w:rsidRDefault="00663CD9" w:rsidP="00663CD9">
      <w:pPr>
        <w:pStyle w:val="Reminders"/>
        <w:rPr>
          <w:rFonts w:asciiTheme="minorHAnsi" w:hAnsiTheme="minorHAnsi" w:cstheme="minorHAnsi"/>
          <w:i w:val="0"/>
          <w:color w:val="auto"/>
          <w:szCs w:val="22"/>
        </w:rPr>
      </w:pPr>
      <w:r w:rsidRPr="00705C75">
        <w:rPr>
          <w:rFonts w:asciiTheme="minorHAnsi" w:hAnsiTheme="minorHAnsi" w:cstheme="minorHAnsi"/>
          <w:i w:val="0"/>
          <w:color w:val="auto"/>
          <w:szCs w:val="22"/>
        </w:rPr>
        <w:t xml:space="preserve">From </w:t>
      </w:r>
      <w:r w:rsidRPr="00F13A1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C</w:t>
      </w:r>
      <w:r w:rsidRPr="00705C75">
        <w:rPr>
          <w:rFonts w:asciiTheme="minorHAnsi" w:hAnsiTheme="minorHAnsi" w:cstheme="minorHAnsi"/>
          <w:i w:val="0"/>
          <w:color w:val="auto"/>
          <w:szCs w:val="22"/>
        </w:rPr>
        <w:t xml:space="preserve">, customers were found to call SoCalGas to turn off pilot lights throughout the year, however the intensity of calls occurs </w:t>
      </w:r>
      <w:r w:rsidRPr="00041151">
        <w:rPr>
          <w:rFonts w:asciiTheme="minorHAnsi" w:hAnsiTheme="minorHAnsi" w:cstheme="minorHAnsi"/>
          <w:i w:val="0"/>
          <w:color w:val="auto"/>
          <w:szCs w:val="22"/>
        </w:rPr>
        <w:t xml:space="preserve">yearly from April to July, with the maximum number of calls taking place in July. Due to July experiencing the highest calls, this workpaper will consider July as the month when pilot lights are turned OFF. For ON instances, the same process was taken and the months with the most intensity are from October to January, with December experiencing the highest number of calls. December is taken as the month when pilot lights are turned on. Since pilot lights are turned ON in December and </w:t>
      </w:r>
      <w:r w:rsidR="00DF65C8">
        <w:rPr>
          <w:rFonts w:asciiTheme="minorHAnsi" w:hAnsiTheme="minorHAnsi" w:cstheme="minorHAnsi"/>
          <w:i w:val="0"/>
          <w:color w:val="auto"/>
          <w:szCs w:val="22"/>
        </w:rPr>
        <w:t>t</w:t>
      </w:r>
      <w:r w:rsidRPr="00041151">
        <w:rPr>
          <w:rFonts w:asciiTheme="minorHAnsi" w:hAnsiTheme="minorHAnsi" w:cstheme="minorHAnsi"/>
          <w:i w:val="0"/>
          <w:color w:val="auto"/>
          <w:szCs w:val="22"/>
        </w:rPr>
        <w:t xml:space="preserve">urned OFF in July, the pilot lights are ON for seven months and OFF for five. Using CPUC approved weather data, </w:t>
      </w:r>
      <w:r w:rsidRPr="00F13A1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D</w:t>
      </w:r>
      <w:r w:rsidRPr="00041151">
        <w:rPr>
          <w:rFonts w:asciiTheme="minorHAnsi" w:hAnsiTheme="minorHAnsi" w:cstheme="minorHAnsi"/>
          <w:i w:val="0"/>
          <w:color w:val="auto"/>
          <w:szCs w:val="22"/>
        </w:rPr>
        <w:t xml:space="preserve">, the annual ON and OFF hours are identified from the 8760 annual hours available. The ON hours are found to be from </w:t>
      </w:r>
      <w:r w:rsidR="00044C46">
        <w:rPr>
          <w:rFonts w:asciiTheme="minorHAnsi" w:hAnsiTheme="minorHAnsi" w:cstheme="minorHAnsi"/>
          <w:i w:val="0"/>
          <w:color w:val="auto"/>
          <w:szCs w:val="22"/>
        </w:rPr>
        <w:t xml:space="preserve">hour </w:t>
      </w:r>
      <w:r w:rsidRPr="00041151">
        <w:rPr>
          <w:rFonts w:asciiTheme="minorHAnsi" w:hAnsiTheme="minorHAnsi" w:cstheme="minorHAnsi"/>
          <w:i w:val="0"/>
          <w:color w:val="auto"/>
          <w:szCs w:val="22"/>
        </w:rPr>
        <w:t>1</w:t>
      </w:r>
      <w:r w:rsidR="00044C46">
        <w:rPr>
          <w:rFonts w:asciiTheme="minorHAnsi" w:hAnsiTheme="minorHAnsi" w:cstheme="minorHAnsi"/>
          <w:i w:val="0"/>
          <w:color w:val="auto"/>
          <w:szCs w:val="22"/>
        </w:rPr>
        <w:t xml:space="preserve"> to hour </w:t>
      </w:r>
      <w:r w:rsidRPr="00041151">
        <w:rPr>
          <w:rFonts w:asciiTheme="minorHAnsi" w:hAnsiTheme="minorHAnsi" w:cstheme="minorHAnsi"/>
          <w:i w:val="0"/>
          <w:color w:val="auto"/>
          <w:szCs w:val="22"/>
        </w:rPr>
        <w:t xml:space="preserve">4344 and </w:t>
      </w:r>
      <w:r w:rsidR="00044C46">
        <w:rPr>
          <w:rFonts w:asciiTheme="minorHAnsi" w:hAnsiTheme="minorHAnsi" w:cstheme="minorHAnsi"/>
          <w:i w:val="0"/>
          <w:color w:val="auto"/>
          <w:szCs w:val="22"/>
        </w:rPr>
        <w:t xml:space="preserve">from hour </w:t>
      </w:r>
      <w:r w:rsidRPr="00041151">
        <w:rPr>
          <w:rFonts w:asciiTheme="minorHAnsi" w:hAnsiTheme="minorHAnsi" w:cstheme="minorHAnsi"/>
          <w:i w:val="0"/>
          <w:color w:val="auto"/>
          <w:szCs w:val="22"/>
        </w:rPr>
        <w:t>8017</w:t>
      </w:r>
      <w:r w:rsidR="00044C46">
        <w:rPr>
          <w:rFonts w:asciiTheme="minorHAnsi" w:hAnsiTheme="minorHAnsi" w:cstheme="minorHAnsi"/>
          <w:i w:val="0"/>
          <w:color w:val="auto"/>
          <w:szCs w:val="22"/>
        </w:rPr>
        <w:t xml:space="preserve"> to hour </w:t>
      </w:r>
      <w:r w:rsidRPr="00041151">
        <w:rPr>
          <w:rFonts w:asciiTheme="minorHAnsi" w:hAnsiTheme="minorHAnsi" w:cstheme="minorHAnsi"/>
          <w:i w:val="0"/>
          <w:color w:val="auto"/>
          <w:szCs w:val="22"/>
        </w:rPr>
        <w:t xml:space="preserve">8760, while hours 4345-8016 are found to be OFF hours. </w:t>
      </w:r>
      <w:r w:rsidR="00614704">
        <w:rPr>
          <w:rFonts w:asciiTheme="minorHAnsi" w:hAnsiTheme="minorHAnsi" w:cstheme="minorHAnsi"/>
          <w:i w:val="0"/>
          <w:color w:val="auto"/>
          <w:szCs w:val="22"/>
        </w:rPr>
        <w:t xml:space="preserve"> Therefore,</w:t>
      </w:r>
      <w:r w:rsidR="00705C75">
        <w:rPr>
          <w:rFonts w:asciiTheme="minorHAnsi" w:hAnsiTheme="minorHAnsi" w:cstheme="minorHAnsi"/>
          <w:i w:val="0"/>
          <w:color w:val="auto"/>
          <w:szCs w:val="22"/>
        </w:rPr>
        <w:t xml:space="preserve"> of the 8760 hours in a year</w:t>
      </w:r>
      <w:r w:rsidR="00614704">
        <w:rPr>
          <w:rFonts w:asciiTheme="minorHAnsi" w:hAnsiTheme="minorHAnsi" w:cstheme="minorHAnsi"/>
          <w:i w:val="0"/>
          <w:color w:val="auto"/>
          <w:szCs w:val="22"/>
        </w:rPr>
        <w:t xml:space="preserve"> the total </w:t>
      </w:r>
      <w:r w:rsidR="00F13A1D">
        <w:rPr>
          <w:rFonts w:asciiTheme="minorHAnsi" w:hAnsiTheme="minorHAnsi" w:cstheme="minorHAnsi"/>
          <w:i w:val="0"/>
          <w:color w:val="auto"/>
          <w:szCs w:val="22"/>
        </w:rPr>
        <w:t>pilot light</w:t>
      </w:r>
      <w:r w:rsidR="00614704">
        <w:rPr>
          <w:rFonts w:asciiTheme="minorHAnsi" w:hAnsiTheme="minorHAnsi" w:cstheme="minorHAnsi"/>
          <w:i w:val="0"/>
          <w:color w:val="auto"/>
          <w:szCs w:val="22"/>
        </w:rPr>
        <w:t xml:space="preserve"> ON hours are 5088 and the total </w:t>
      </w:r>
      <w:r w:rsidR="00F13A1D">
        <w:rPr>
          <w:rFonts w:asciiTheme="minorHAnsi" w:hAnsiTheme="minorHAnsi" w:cstheme="minorHAnsi"/>
          <w:i w:val="0"/>
          <w:color w:val="auto"/>
          <w:szCs w:val="22"/>
        </w:rPr>
        <w:t>pilot light</w:t>
      </w:r>
      <w:r w:rsidR="00614704">
        <w:rPr>
          <w:rFonts w:asciiTheme="minorHAnsi" w:hAnsiTheme="minorHAnsi" w:cstheme="minorHAnsi"/>
          <w:i w:val="0"/>
          <w:color w:val="auto"/>
          <w:szCs w:val="22"/>
        </w:rPr>
        <w:t xml:space="preserve"> OFF hours are </w:t>
      </w:r>
      <w:r w:rsidR="00705C75">
        <w:rPr>
          <w:rFonts w:asciiTheme="minorHAnsi" w:hAnsiTheme="minorHAnsi" w:cstheme="minorHAnsi"/>
          <w:i w:val="0"/>
          <w:color w:val="auto"/>
          <w:szCs w:val="22"/>
        </w:rPr>
        <w:t>3672.</w:t>
      </w:r>
    </w:p>
    <w:p w14:paraId="2456EC6B" w14:textId="4C1A9E28" w:rsidR="005227A4" w:rsidRPr="00384E62" w:rsidRDefault="00EC5782" w:rsidP="00DF5744">
      <w:pPr>
        <w:pStyle w:val="Heading2"/>
        <w:rPr>
          <w:rFonts w:asciiTheme="minorHAnsi" w:hAnsiTheme="minorHAnsi" w:cstheme="minorHAnsi"/>
        </w:rPr>
      </w:pPr>
      <w:r w:rsidRPr="00384E62">
        <w:rPr>
          <w:rFonts w:asciiTheme="minorHAnsi" w:hAnsiTheme="minorHAnsi" w:cstheme="minorHAnsi"/>
        </w:rPr>
        <w:t>2.2 Hours Per Y</w:t>
      </w:r>
      <w:r w:rsidR="005227A4" w:rsidRPr="00384E62">
        <w:rPr>
          <w:rFonts w:asciiTheme="minorHAnsi" w:hAnsiTheme="minorHAnsi" w:cstheme="minorHAnsi"/>
        </w:rPr>
        <w:t xml:space="preserve">ear the </w:t>
      </w:r>
      <w:r w:rsidR="005A1F7C" w:rsidRPr="00384E62">
        <w:rPr>
          <w:rFonts w:asciiTheme="minorHAnsi" w:hAnsiTheme="minorHAnsi" w:cstheme="minorHAnsi"/>
        </w:rPr>
        <w:t xml:space="preserve">Burner </w:t>
      </w:r>
      <w:r w:rsidRPr="00384E62">
        <w:rPr>
          <w:rFonts w:asciiTheme="minorHAnsi" w:hAnsiTheme="minorHAnsi" w:cstheme="minorHAnsi"/>
        </w:rPr>
        <w:t>is ON</w:t>
      </w:r>
    </w:p>
    <w:p w14:paraId="01217DAE" w14:textId="368824EC" w:rsidR="005227A4" w:rsidRDefault="00DF65C8"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D95243">
        <w:rPr>
          <w:rFonts w:asciiTheme="minorHAnsi" w:hAnsiTheme="minorHAnsi" w:cstheme="minorHAnsi"/>
          <w:i w:val="0"/>
          <w:color w:val="auto"/>
          <w:szCs w:val="22"/>
        </w:rPr>
        <w:t xml:space="preserve">total </w:t>
      </w:r>
      <w:r>
        <w:rPr>
          <w:rFonts w:asciiTheme="minorHAnsi" w:hAnsiTheme="minorHAnsi" w:cstheme="minorHAnsi"/>
          <w:i w:val="0"/>
          <w:color w:val="auto"/>
          <w:szCs w:val="22"/>
        </w:rPr>
        <w:t>hours per year the burner is ON can be calculated using the following equation:</w:t>
      </w:r>
    </w:p>
    <w:p w14:paraId="269E26FD" w14:textId="77777777" w:rsidR="00DF65C8" w:rsidRDefault="00DF65C8" w:rsidP="00663CD9">
      <w:pPr>
        <w:pStyle w:val="Reminders"/>
        <w:rPr>
          <w:rFonts w:asciiTheme="minorHAnsi" w:hAnsiTheme="minorHAnsi" w:cstheme="minorHAnsi"/>
          <w:i w:val="0"/>
          <w:color w:val="auto"/>
          <w:szCs w:val="22"/>
        </w:rPr>
      </w:pPr>
    </w:p>
    <w:p w14:paraId="5C65A838" w14:textId="738016E7" w:rsidR="00DF65C8" w:rsidRPr="00041151" w:rsidRDefault="00276A99" w:rsidP="00DF65C8">
      <w:pPr>
        <w:jc w:val="center"/>
        <w:rPr>
          <w:rStyle w:val="Hyperlink"/>
        </w:rPr>
      </w:pPr>
      <m:oMathPara>
        <m:oMath>
          <m:sSub>
            <m:sSubPr>
              <m:ctrlPr>
                <w:rPr>
                  <w:rStyle w:val="Hyperlink"/>
                  <w:rFonts w:ascii="Cambria Math" w:hAnsi="Cambria Math"/>
                  <w:i/>
                  <w:color w:val="auto"/>
                  <w:u w:val="none"/>
                </w:rPr>
              </m:ctrlPr>
            </m:sSubPr>
            <m:e>
              <m:r>
                <w:rPr>
                  <w:rStyle w:val="Hyperlink"/>
                  <w:rFonts w:ascii="Cambria Math" w:hAnsi="Cambria Math"/>
                  <w:color w:val="auto"/>
                  <w:u w:val="none"/>
                </w:rPr>
                <m:t>t</m:t>
              </m:r>
            </m:e>
            <m:sub>
              <m:r>
                <w:rPr>
                  <w:rStyle w:val="Hyperlink"/>
                  <w:rFonts w:ascii="Cambria Math" w:hAnsi="Cambria Math"/>
                  <w:color w:val="auto"/>
                </w:rPr>
                <m:t>Burner ON</m:t>
              </m:r>
            </m:sub>
          </m:sSub>
          <m:r>
            <w:rPr>
              <w:rStyle w:val="Hyperlink"/>
              <w:rFonts w:ascii="Cambria Math" w:hAnsi="Cambria Math"/>
              <w:color w:val="auto"/>
            </w:rPr>
            <m:t>=S*</m:t>
          </m:r>
          <m:nary>
            <m:naryPr>
              <m:chr m:val="∑"/>
              <m:limLoc m:val="undOvr"/>
              <m:ctrlPr>
                <w:rPr>
                  <w:rStyle w:val="Hyperlink"/>
                  <w:rFonts w:ascii="Cambria Math" w:hAnsi="Cambria Math"/>
                  <w:i/>
                  <w:color w:val="auto"/>
                  <w:u w:val="none"/>
                </w:rPr>
              </m:ctrlPr>
            </m:naryPr>
            <m:sub>
              <m:r>
                <w:rPr>
                  <w:rStyle w:val="Hyperlink"/>
                  <w:rFonts w:ascii="Cambria Math" w:hAnsi="Cambria Math"/>
                  <w:color w:val="auto"/>
                  <w:u w:val="none"/>
                </w:rPr>
                <m:t>i=1</m:t>
              </m:r>
            </m:sub>
            <m:sup>
              <m:r>
                <w:rPr>
                  <w:rStyle w:val="Hyperlink"/>
                  <w:rFonts w:ascii="Cambria Math" w:hAnsi="Cambria Math"/>
                  <w:color w:val="auto"/>
                  <w:u w:val="none"/>
                </w:rPr>
                <m:t>8760</m:t>
              </m:r>
            </m:sup>
            <m:e>
              <m:f>
                <m:fPr>
                  <m:ctrlPr>
                    <w:rPr>
                      <w:rStyle w:val="Hyperlink"/>
                      <w:rFonts w:ascii="Cambria Math" w:hAnsi="Cambria Math"/>
                      <w:i/>
                      <w:color w:val="auto"/>
                      <w:u w:val="none"/>
                    </w:rPr>
                  </m:ctrlPr>
                </m:fPr>
                <m:num>
                  <m:d>
                    <m:dPr>
                      <m:ctrlPr>
                        <w:rPr>
                          <w:rStyle w:val="Hyperlink"/>
                          <w:rFonts w:ascii="Cambria Math" w:hAnsi="Cambria Math"/>
                          <w:i/>
                          <w:color w:val="auto"/>
                          <w:u w:val="none"/>
                        </w:rPr>
                      </m:ctrlPr>
                    </m:dPr>
                    <m:e>
                      <m:f>
                        <m:fPr>
                          <m:ctrlPr>
                            <w:rPr>
                              <w:rStyle w:val="Hyperlink"/>
                              <w:rFonts w:ascii="Cambria Math" w:hAnsi="Cambria Math"/>
                              <w:i/>
                              <w:color w:val="auto"/>
                              <w:u w:val="none"/>
                            </w:rPr>
                          </m:ctrlPr>
                        </m:fPr>
                        <m:num>
                          <m:sSub>
                            <m:sSubPr>
                              <m:ctrlPr>
                                <w:rPr>
                                  <w:rStyle w:val="Hyperlink"/>
                                  <w:rFonts w:ascii="Cambria Math" w:hAnsi="Cambria Math"/>
                                  <w:i/>
                                  <w:color w:val="auto"/>
                                </w:rPr>
                              </m:ctrlPr>
                            </m:sSubPr>
                            <m:e>
                              <m:r>
                                <w:rPr>
                                  <w:rStyle w:val="Hyperlink"/>
                                  <w:rFonts w:ascii="Cambria Math" w:hAnsi="Cambria Math"/>
                                  <w:color w:val="auto"/>
                                </w:rPr>
                                <m:t>HDD</m:t>
                              </m:r>
                            </m:e>
                            <m:sub>
                              <m:r>
                                <w:rPr>
                                  <w:rStyle w:val="Hyperlink"/>
                                  <w:rFonts w:ascii="Cambria Math" w:hAnsi="Cambria Math"/>
                                  <w:color w:val="auto"/>
                                </w:rPr>
                                <m:t>i</m:t>
                              </m:r>
                            </m:sub>
                          </m:sSub>
                          <m:r>
                            <w:rPr>
                              <w:rStyle w:val="Hyperlink"/>
                              <w:rFonts w:ascii="Cambria Math" w:hAnsi="Cambria Math"/>
                              <w:color w:val="auto"/>
                            </w:rPr>
                            <m:t>*P</m:t>
                          </m:r>
                        </m:num>
                        <m:den>
                          <m:r>
                            <w:rPr>
                              <w:rStyle w:val="Hyperlink"/>
                              <w:rFonts w:ascii="Cambria Math" w:hAnsi="Cambria Math"/>
                              <w:color w:val="auto"/>
                            </w:rPr>
                            <m:t>Area* C</m:t>
                          </m:r>
                        </m:den>
                      </m:f>
                      <m:r>
                        <w:rPr>
                          <w:rStyle w:val="Hyperlink"/>
                          <w:rFonts w:ascii="Cambria Math" w:hAnsi="Cambria Math"/>
                          <w:color w:val="auto"/>
                        </w:rPr>
                        <m:t>*A</m:t>
                      </m:r>
                    </m:e>
                  </m:d>
                  <m:r>
                    <w:rPr>
                      <w:rStyle w:val="Hyperlink"/>
                      <w:rFonts w:ascii="Cambria Math" w:hAnsi="Cambria Math"/>
                      <w:color w:val="auto"/>
                    </w:rPr>
                    <m:t xml:space="preserve">* </m:t>
                  </m:r>
                  <m:f>
                    <m:fPr>
                      <m:ctrlPr>
                        <w:rPr>
                          <w:rStyle w:val="Hyperlink"/>
                          <w:rFonts w:ascii="Cambria Math" w:hAnsi="Cambria Math"/>
                          <w:i/>
                          <w:color w:val="auto"/>
                          <w:u w:val="none"/>
                        </w:rPr>
                      </m:ctrlPr>
                    </m:fPr>
                    <m:num>
                      <m:r>
                        <w:rPr>
                          <w:rStyle w:val="Hyperlink"/>
                          <w:rFonts w:ascii="Cambria Math" w:hAnsi="Cambria Math"/>
                          <w:color w:val="auto"/>
                        </w:rPr>
                        <m:t>100,000 Btu</m:t>
                      </m:r>
                    </m:num>
                    <m:den>
                      <m:r>
                        <w:rPr>
                          <w:rStyle w:val="Hyperlink"/>
                          <w:rFonts w:ascii="Cambria Math" w:hAnsi="Cambria Math"/>
                          <w:color w:val="auto"/>
                        </w:rPr>
                        <m:t>1 Therm</m:t>
                      </m:r>
                    </m:den>
                  </m:f>
                </m:num>
                <m:den>
                  <m:r>
                    <w:rPr>
                      <w:rStyle w:val="Hyperlink"/>
                      <w:rFonts w:ascii="Cambria Math" w:hAnsi="Cambria Math"/>
                      <w:color w:val="auto"/>
                    </w:rPr>
                    <m:t>A</m:t>
                  </m:r>
                </m:den>
              </m:f>
            </m:e>
          </m:nary>
          <m:r>
            <w:rPr>
              <w:rStyle w:val="Hyperlink"/>
              <w:rFonts w:ascii="Cambria Math" w:hAnsi="Cambria Math"/>
              <w:color w:val="auto"/>
            </w:rPr>
            <m:t>, equation (1)</m:t>
          </m:r>
        </m:oMath>
      </m:oMathPara>
    </w:p>
    <w:p w14:paraId="1985C0FE" w14:textId="77777777" w:rsidR="005227A4" w:rsidRDefault="005227A4" w:rsidP="00663CD9">
      <w:pPr>
        <w:pStyle w:val="Reminders"/>
        <w:rPr>
          <w:rFonts w:asciiTheme="minorHAnsi" w:hAnsiTheme="minorHAnsi" w:cstheme="minorHAnsi"/>
          <w:i w:val="0"/>
          <w:color w:val="auto"/>
          <w:szCs w:val="22"/>
        </w:rPr>
      </w:pPr>
    </w:p>
    <w:p w14:paraId="3669CC48" w14:textId="77777777" w:rsidR="00DF65C8" w:rsidRPr="00041151" w:rsidRDefault="00DF65C8" w:rsidP="00DF65C8">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Where,</w:t>
      </w:r>
    </w:p>
    <w:p w14:paraId="13CEAE3E" w14:textId="77777777" w:rsidR="00DF65C8" w:rsidRPr="00041151" w:rsidRDefault="00DF65C8" w:rsidP="00DF65C8">
      <w:pPr>
        <w:pStyle w:val="Reminders"/>
        <w:rPr>
          <w:rFonts w:asciiTheme="minorHAnsi" w:hAnsiTheme="minorHAnsi" w:cstheme="minorHAnsi"/>
          <w:i w:val="0"/>
          <w:color w:val="auto"/>
          <w:szCs w:val="22"/>
        </w:rPr>
      </w:pPr>
    </w:p>
    <w:p w14:paraId="7AFF29F5" w14:textId="13FB86FE" w:rsidR="00DF65C8" w:rsidRDefault="00276A99" w:rsidP="008679E0">
      <w:pPr>
        <w:spacing w:before="40" w:after="40"/>
        <w:rPr>
          <w:rStyle w:val="Hyperlink"/>
          <w:color w:val="auto"/>
          <w:u w:val="none"/>
        </w:rPr>
      </w:pPr>
      <m:oMath>
        <m:sSub>
          <m:sSubPr>
            <m:ctrlPr>
              <w:rPr>
                <w:rStyle w:val="Hyperlink"/>
                <w:rFonts w:ascii="Cambria Math" w:hAnsi="Cambria Math"/>
                <w:i/>
                <w:color w:val="auto"/>
                <w:u w:val="none"/>
              </w:rPr>
            </m:ctrlPr>
          </m:sSubPr>
          <m:e>
            <m:r>
              <w:rPr>
                <w:rStyle w:val="Hyperlink"/>
                <w:rFonts w:ascii="Cambria Math" w:hAnsi="Cambria Math"/>
                <w:color w:val="auto"/>
                <w:u w:val="none"/>
              </w:rPr>
              <m:t>t</m:t>
            </m:r>
          </m:e>
          <m:sub>
            <m:r>
              <w:rPr>
                <w:rStyle w:val="Hyperlink"/>
                <w:rFonts w:ascii="Cambria Math" w:hAnsi="Cambria Math"/>
                <w:color w:val="auto"/>
              </w:rPr>
              <m:t>Burner ON</m:t>
            </m:r>
          </m:sub>
        </m:sSub>
      </m:oMath>
      <w:r w:rsidR="00EC5782">
        <w:rPr>
          <w:rStyle w:val="Hyperlink"/>
          <w:color w:val="auto"/>
          <w:u w:val="none"/>
        </w:rPr>
        <w:t xml:space="preserve"> </w:t>
      </w:r>
      <w:r w:rsidR="00DF65C8" w:rsidRPr="00DF65C8">
        <w:rPr>
          <w:rStyle w:val="Hyperlink"/>
          <w:color w:val="auto"/>
          <w:u w:val="none"/>
        </w:rPr>
        <w:t xml:space="preserve">= </w:t>
      </w:r>
      <w:r w:rsidR="00A35405">
        <w:rPr>
          <w:rStyle w:val="Hyperlink"/>
          <w:color w:val="auto"/>
          <w:u w:val="none"/>
        </w:rPr>
        <w:t>Total</w:t>
      </w:r>
      <w:r w:rsidR="00DF65C8" w:rsidRPr="00DF65C8">
        <w:rPr>
          <w:rStyle w:val="Hyperlink"/>
          <w:color w:val="auto"/>
          <w:u w:val="none"/>
        </w:rPr>
        <w:t xml:space="preserve"> hour</w:t>
      </w:r>
      <w:r w:rsidR="00A35405">
        <w:rPr>
          <w:rStyle w:val="Hyperlink"/>
          <w:color w:val="auto"/>
          <w:u w:val="none"/>
        </w:rPr>
        <w:t xml:space="preserve">s </w:t>
      </w:r>
      <w:r w:rsidR="001043F0">
        <w:rPr>
          <w:rStyle w:val="Hyperlink"/>
          <w:color w:val="auto"/>
          <w:u w:val="none"/>
        </w:rPr>
        <w:t xml:space="preserve">per year </w:t>
      </w:r>
      <w:r w:rsidR="00A35405">
        <w:rPr>
          <w:rStyle w:val="Hyperlink"/>
          <w:color w:val="auto"/>
          <w:u w:val="none"/>
        </w:rPr>
        <w:t>the furnace</w:t>
      </w:r>
      <w:r w:rsidR="001043F0">
        <w:rPr>
          <w:rStyle w:val="Hyperlink"/>
          <w:color w:val="auto"/>
          <w:u w:val="none"/>
        </w:rPr>
        <w:t>’s burner</w:t>
      </w:r>
      <w:r w:rsidR="00A35405">
        <w:rPr>
          <w:rStyle w:val="Hyperlink"/>
          <w:color w:val="auto"/>
          <w:u w:val="none"/>
        </w:rPr>
        <w:t xml:space="preserve"> is ON.</w:t>
      </w:r>
    </w:p>
    <w:p w14:paraId="3376877B" w14:textId="073481DB" w:rsidR="00AF6143" w:rsidRDefault="00AF6143" w:rsidP="008679E0">
      <w:pPr>
        <w:spacing w:before="40" w:after="40"/>
        <w:rPr>
          <w:rStyle w:val="Hyperlink"/>
          <w:color w:val="auto"/>
          <w:u w:val="none"/>
        </w:rPr>
      </w:pPr>
      <w:r>
        <w:rPr>
          <w:rStyle w:val="Hyperlink"/>
          <w:color w:val="auto"/>
          <w:u w:val="none"/>
        </w:rPr>
        <w:t xml:space="preserve">S = Scaler to </w:t>
      </w:r>
      <w:r w:rsidR="002664BB">
        <w:rPr>
          <w:rStyle w:val="Hyperlink"/>
          <w:color w:val="auto"/>
          <w:u w:val="none"/>
        </w:rPr>
        <w:t xml:space="preserve">adjust the equations output to reflect the impact of heating only a portion of the home vs. the whole home, as was done in the furnace workpaper from which this originated </w:t>
      </w:r>
      <w:r>
        <w:rPr>
          <w:rStyle w:val="Hyperlink"/>
          <w:color w:val="auto"/>
          <w:u w:val="none"/>
        </w:rPr>
        <w:t>(</w:t>
      </w:r>
      <w:r w:rsidR="007436F0">
        <w:rPr>
          <w:rStyle w:val="Hyperlink"/>
          <w:color w:val="auto"/>
          <w:u w:val="none"/>
        </w:rPr>
        <w:t>29</w:t>
      </w:r>
      <w:r w:rsidR="002664BB">
        <w:rPr>
          <w:rStyle w:val="Hyperlink"/>
          <w:color w:val="auto"/>
          <w:u w:val="none"/>
        </w:rPr>
        <w:t>%</w:t>
      </w:r>
      <w:r>
        <w:rPr>
          <w:rStyle w:val="Hyperlink"/>
          <w:color w:val="auto"/>
          <w:u w:val="none"/>
        </w:rPr>
        <w:t>)</w:t>
      </w:r>
    </w:p>
    <w:p w14:paraId="1B2F673D" w14:textId="60647DFE" w:rsidR="00EC5782" w:rsidRPr="00DF65C8" w:rsidRDefault="00EC5782" w:rsidP="008679E0">
      <w:pPr>
        <w:spacing w:before="40" w:after="40"/>
        <w:rPr>
          <w:rStyle w:val="Hyperlink"/>
          <w:color w:val="auto"/>
        </w:rPr>
      </w:pPr>
      <w:r>
        <w:rPr>
          <w:rStyle w:val="Hyperlink"/>
          <w:color w:val="auto"/>
          <w:u w:val="none"/>
        </w:rPr>
        <w:t>i = each hour in a year.</w:t>
      </w:r>
      <w:r w:rsidR="002664BB">
        <w:rPr>
          <w:rStyle w:val="Hyperlink"/>
          <w:color w:val="auto"/>
          <w:u w:val="none"/>
        </w:rPr>
        <w:t xml:space="preserve"> </w:t>
      </w:r>
    </w:p>
    <w:p w14:paraId="64BCF386" w14:textId="248F7F7E" w:rsidR="00DF65C8" w:rsidRPr="00041151" w:rsidRDefault="00276A99" w:rsidP="00DF65C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HDD</m:t>
            </m:r>
          </m:e>
          <m:sub>
            <m:r>
              <w:rPr>
                <w:rFonts w:ascii="Cambria Math" w:hAnsi="Cambria Math" w:cstheme="minorHAnsi"/>
                <w:color w:val="auto"/>
                <w:szCs w:val="22"/>
              </w:rPr>
              <m:t>i</m:t>
            </m:r>
          </m:sub>
        </m:sSub>
      </m:oMath>
      <w:r w:rsidR="00EC5782">
        <w:rPr>
          <w:rFonts w:asciiTheme="minorHAnsi" w:hAnsiTheme="minorHAnsi" w:cstheme="minorHAnsi"/>
          <w:i w:val="0"/>
          <w:color w:val="auto"/>
          <w:szCs w:val="22"/>
        </w:rPr>
        <w:t xml:space="preserve"> </w:t>
      </w:r>
      <w:r w:rsidR="00DF65C8" w:rsidRPr="00041151">
        <w:rPr>
          <w:rFonts w:asciiTheme="minorHAnsi" w:hAnsiTheme="minorHAnsi" w:cstheme="minorHAnsi"/>
          <w:i w:val="0"/>
          <w:color w:val="auto"/>
          <w:szCs w:val="22"/>
        </w:rPr>
        <w:t>= Heating Degree Days</w:t>
      </w:r>
      <w:r w:rsidR="00D95243">
        <w:rPr>
          <w:rFonts w:asciiTheme="minorHAnsi" w:hAnsiTheme="minorHAnsi" w:cstheme="minorHAnsi"/>
          <w:i w:val="0"/>
          <w:color w:val="auto"/>
          <w:szCs w:val="22"/>
        </w:rPr>
        <w:t xml:space="preserve"> </w:t>
      </w:r>
      <w:r w:rsidR="00EC5782">
        <w:rPr>
          <w:rFonts w:asciiTheme="minorHAnsi" w:hAnsiTheme="minorHAnsi" w:cstheme="minorHAnsi"/>
          <w:i w:val="0"/>
          <w:color w:val="auto"/>
          <w:szCs w:val="22"/>
        </w:rPr>
        <w:t>at</w:t>
      </w:r>
      <w:r w:rsidR="00D95243">
        <w:rPr>
          <w:rFonts w:asciiTheme="minorHAnsi" w:hAnsiTheme="minorHAnsi" w:cstheme="minorHAnsi"/>
          <w:i w:val="0"/>
          <w:color w:val="auto"/>
          <w:szCs w:val="22"/>
        </w:rPr>
        <w:t xml:space="preserve"> each hour in a year</w:t>
      </w:r>
      <w:r w:rsidR="00DF65C8" w:rsidRPr="00041151">
        <w:rPr>
          <w:rFonts w:asciiTheme="minorHAnsi" w:hAnsiTheme="minorHAnsi" w:cstheme="minorHAnsi"/>
          <w:i w:val="0"/>
          <w:color w:val="auto"/>
          <w:szCs w:val="22"/>
        </w:rPr>
        <w:t xml:space="preserve">, Source: </w:t>
      </w:r>
      <w:r w:rsidR="00DF65C8"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D</w:t>
      </w:r>
      <w:r w:rsidR="00DF65C8" w:rsidRPr="00041151">
        <w:rPr>
          <w:rFonts w:asciiTheme="minorHAnsi" w:hAnsiTheme="minorHAnsi" w:cstheme="minorHAnsi"/>
          <w:i w:val="0"/>
          <w:color w:val="auto"/>
          <w:szCs w:val="22"/>
        </w:rPr>
        <w:t>, CompareWeatherData-v4</w:t>
      </w:r>
    </w:p>
    <w:p w14:paraId="3FD7446E" w14:textId="0E238984" w:rsidR="00DF65C8" w:rsidRPr="00041151" w:rsidRDefault="00DF65C8" w:rsidP="00DF65C8">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 xml:space="preserve">P = Regression </w:t>
      </w:r>
      <w:r w:rsidR="008906FA">
        <w:rPr>
          <w:rFonts w:asciiTheme="minorHAnsi" w:hAnsiTheme="minorHAnsi" w:cstheme="minorHAnsi"/>
          <w:i w:val="0"/>
          <w:color w:val="auto"/>
          <w:szCs w:val="22"/>
        </w:rPr>
        <w:t xml:space="preserve">coefficient </w:t>
      </w:r>
      <w:r w:rsidRPr="00041151">
        <w:rPr>
          <w:rFonts w:asciiTheme="minorHAnsi" w:hAnsiTheme="minorHAnsi" w:cstheme="minorHAnsi"/>
          <w:i w:val="0"/>
          <w:color w:val="auto"/>
          <w:szCs w:val="22"/>
        </w:rPr>
        <w:t xml:space="preserve">from </w:t>
      </w:r>
      <w:r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E</w:t>
      </w:r>
      <w:r w:rsidRPr="00041151">
        <w:rPr>
          <w:rFonts w:asciiTheme="minorHAnsi" w:hAnsiTheme="minorHAnsi" w:cstheme="minorHAnsi"/>
          <w:i w:val="0"/>
          <w:color w:val="auto"/>
          <w:szCs w:val="22"/>
        </w:rPr>
        <w:t>, (</w:t>
      </w:r>
      <w:r w:rsidR="008906FA">
        <w:rPr>
          <w:rFonts w:asciiTheme="minorHAnsi" w:hAnsiTheme="minorHAnsi" w:cstheme="minorHAnsi"/>
          <w:i w:val="0"/>
          <w:color w:val="auto"/>
          <w:szCs w:val="22"/>
        </w:rPr>
        <w:t xml:space="preserve">0.1310 </w:t>
      </w:r>
      <m:oMath>
        <m:f>
          <m:fPr>
            <m:ctrlPr>
              <w:rPr>
                <w:rStyle w:val="Hyperlink"/>
                <w:rFonts w:ascii="Cambria Math" w:hAnsi="Cambria Math"/>
                <w:color w:val="auto"/>
                <w:u w:val="none"/>
              </w:rPr>
            </m:ctrlPr>
          </m:fPr>
          <m:num>
            <m:r>
              <w:rPr>
                <w:rStyle w:val="Hyperlink"/>
                <w:rFonts w:ascii="Cambria Math" w:hAnsi="Cambria Math"/>
                <w:color w:val="auto"/>
              </w:rPr>
              <m:t>Therm</m:t>
            </m:r>
          </m:num>
          <m:den>
            <m:r>
              <w:rPr>
                <w:rStyle w:val="Hyperlink"/>
                <w:rFonts w:ascii="Cambria Math" w:hAnsi="Cambria Math"/>
                <w:color w:val="auto"/>
              </w:rPr>
              <m:t>HDD*home</m:t>
            </m:r>
          </m:den>
        </m:f>
      </m:oMath>
      <w:r w:rsidRPr="00041151">
        <w:rPr>
          <w:rFonts w:asciiTheme="minorHAnsi" w:hAnsiTheme="minorHAnsi" w:cstheme="minorHAnsi"/>
          <w:i w:val="0"/>
          <w:color w:val="auto"/>
          <w:szCs w:val="22"/>
        </w:rPr>
        <w:t>), Source: WPSCGREHC110603A</w:t>
      </w:r>
    </w:p>
    <w:p w14:paraId="40690741" w14:textId="5859898D" w:rsidR="00DF65C8" w:rsidRPr="00041151" w:rsidRDefault="00DF65C8" w:rsidP="00DF65C8">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 xml:space="preserve">Area = </w:t>
      </w:r>
      <w:r w:rsidR="00FB237A">
        <w:rPr>
          <w:rFonts w:asciiTheme="minorHAnsi" w:hAnsiTheme="minorHAnsi" w:cstheme="minorHAnsi"/>
          <w:i w:val="0"/>
          <w:color w:val="auto"/>
          <w:szCs w:val="22"/>
        </w:rPr>
        <w:t>Single-family h</w:t>
      </w:r>
      <w:r w:rsidRPr="00041151">
        <w:rPr>
          <w:rFonts w:asciiTheme="minorHAnsi" w:hAnsiTheme="minorHAnsi" w:cstheme="minorHAnsi"/>
          <w:i w:val="0"/>
          <w:color w:val="auto"/>
          <w:szCs w:val="22"/>
        </w:rPr>
        <w:t xml:space="preserve">ome area </w:t>
      </w:r>
      <w:r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E</w:t>
      </w:r>
      <w:r w:rsidRPr="00041151">
        <w:rPr>
          <w:rFonts w:asciiTheme="minorHAnsi" w:hAnsiTheme="minorHAnsi" w:cstheme="minorHAnsi"/>
          <w:i w:val="0"/>
          <w:color w:val="auto"/>
          <w:szCs w:val="22"/>
        </w:rPr>
        <w:t>, (</w:t>
      </w:r>
      <w:r w:rsidR="008906FA">
        <w:rPr>
          <w:rFonts w:asciiTheme="minorHAnsi" w:hAnsiTheme="minorHAnsi" w:cstheme="minorHAnsi"/>
          <w:i w:val="0"/>
          <w:color w:val="auto"/>
          <w:szCs w:val="22"/>
        </w:rPr>
        <w:t xml:space="preserve">1366 </w:t>
      </w:r>
      <m:oMath>
        <m:sSup>
          <m:sSupPr>
            <m:ctrlPr>
              <w:rPr>
                <w:rStyle w:val="Hyperlink"/>
                <w:rFonts w:ascii="Cambria Math" w:hAnsi="Cambria Math"/>
                <w:color w:val="auto"/>
                <w:u w:val="none"/>
              </w:rPr>
            </m:ctrlPr>
          </m:sSupPr>
          <m:e>
            <m:r>
              <w:rPr>
                <w:rStyle w:val="Hyperlink"/>
                <w:rFonts w:ascii="Cambria Math" w:hAnsi="Cambria Math"/>
                <w:color w:val="auto"/>
              </w:rPr>
              <m:t>ft</m:t>
            </m:r>
          </m:e>
          <m:sup>
            <m:r>
              <w:rPr>
                <w:rStyle w:val="Hyperlink"/>
                <w:rFonts w:ascii="Cambria Math" w:hAnsi="Cambria Math"/>
                <w:color w:val="auto"/>
              </w:rPr>
              <m:t>2</m:t>
            </m:r>
          </m:sup>
        </m:sSup>
      </m:oMath>
      <w:r w:rsidRPr="00041151">
        <w:rPr>
          <w:rFonts w:asciiTheme="minorHAnsi" w:hAnsiTheme="minorHAnsi" w:cstheme="minorHAnsi"/>
          <w:i w:val="0"/>
          <w:color w:val="auto"/>
          <w:szCs w:val="22"/>
        </w:rPr>
        <w:t xml:space="preserve">), Source: WPSCGREHC110603A </w:t>
      </w:r>
    </w:p>
    <w:p w14:paraId="1848138B" w14:textId="3134D652" w:rsidR="00DF65C8" w:rsidRPr="00041151" w:rsidRDefault="00DF65C8" w:rsidP="00DF65C8">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 xml:space="preserve">C = </w:t>
      </w:r>
      <w:r w:rsidR="003230C2">
        <w:rPr>
          <w:rFonts w:asciiTheme="minorHAnsi" w:hAnsiTheme="minorHAnsi" w:cstheme="minorHAnsi"/>
          <w:i w:val="0"/>
          <w:color w:val="auto"/>
          <w:szCs w:val="22"/>
        </w:rPr>
        <w:t>Fireplace</w:t>
      </w:r>
      <w:r w:rsidRPr="00041151">
        <w:rPr>
          <w:rFonts w:asciiTheme="minorHAnsi" w:hAnsiTheme="minorHAnsi" w:cstheme="minorHAnsi"/>
          <w:i w:val="0"/>
          <w:color w:val="auto"/>
          <w:szCs w:val="22"/>
        </w:rPr>
        <w:t xml:space="preserve"> input </w:t>
      </w:r>
      <w:r w:rsidR="00A35405">
        <w:rPr>
          <w:rFonts w:asciiTheme="minorHAnsi" w:hAnsiTheme="minorHAnsi" w:cstheme="minorHAnsi"/>
          <w:i w:val="0"/>
          <w:color w:val="auto"/>
          <w:szCs w:val="22"/>
        </w:rPr>
        <w:t xml:space="preserve">from </w:t>
      </w:r>
      <w:r w:rsidR="00FA046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E</w:t>
      </w:r>
      <w:r w:rsidRPr="00041151">
        <w:rPr>
          <w:rFonts w:asciiTheme="minorHAnsi" w:hAnsiTheme="minorHAnsi" w:cstheme="minorHAnsi"/>
          <w:i w:val="0"/>
          <w:color w:val="auto"/>
          <w:szCs w:val="22"/>
        </w:rPr>
        <w:t>, (</w:t>
      </w:r>
      <w:r w:rsidR="00F94AFD">
        <w:rPr>
          <w:rFonts w:asciiTheme="minorHAnsi" w:hAnsiTheme="minorHAnsi" w:cstheme="minorHAnsi"/>
          <w:i w:val="0"/>
          <w:color w:val="auto"/>
          <w:szCs w:val="22"/>
        </w:rPr>
        <w:t xml:space="preserve">30 </w:t>
      </w:r>
      <m:oMath>
        <m:f>
          <m:fPr>
            <m:ctrlPr>
              <w:rPr>
                <w:rStyle w:val="Hyperlink"/>
                <w:rFonts w:ascii="Cambria Math" w:hAnsi="Cambria Math"/>
                <w:color w:val="auto"/>
                <w:u w:val="none"/>
              </w:rPr>
            </m:ctrlPr>
          </m:fPr>
          <m:num>
            <m:r>
              <w:rPr>
                <w:rStyle w:val="Hyperlink"/>
                <w:rFonts w:ascii="Cambria Math" w:hAnsi="Cambria Math"/>
                <w:color w:val="auto"/>
              </w:rPr>
              <m:t>Btu</m:t>
            </m:r>
          </m:num>
          <m:den>
            <m:r>
              <w:rPr>
                <w:rStyle w:val="Hyperlink"/>
                <w:rFonts w:ascii="Cambria Math" w:hAnsi="Cambria Math"/>
                <w:color w:val="auto"/>
              </w:rPr>
              <m:t>hr*</m:t>
            </m:r>
            <m:sSup>
              <m:sSupPr>
                <m:ctrlPr>
                  <w:rPr>
                    <w:rStyle w:val="Hyperlink"/>
                    <w:rFonts w:ascii="Cambria Math" w:hAnsi="Cambria Math"/>
                    <w:color w:val="auto"/>
                    <w:u w:val="none"/>
                  </w:rPr>
                </m:ctrlPr>
              </m:sSupPr>
              <m:e>
                <m:r>
                  <w:rPr>
                    <w:rStyle w:val="Hyperlink"/>
                    <w:rFonts w:ascii="Cambria Math" w:hAnsi="Cambria Math"/>
                    <w:color w:val="auto"/>
                  </w:rPr>
                  <m:t>ft</m:t>
                </m:r>
              </m:e>
              <m:sup>
                <m:r>
                  <w:rPr>
                    <w:rStyle w:val="Hyperlink"/>
                    <w:rFonts w:ascii="Cambria Math" w:hAnsi="Cambria Math"/>
                    <w:color w:val="auto"/>
                  </w:rPr>
                  <m:t>2</m:t>
                </m:r>
              </m:sup>
            </m:sSup>
          </m:den>
        </m:f>
      </m:oMath>
      <w:r w:rsidRPr="00041151">
        <w:rPr>
          <w:rFonts w:asciiTheme="minorHAnsi" w:hAnsiTheme="minorHAnsi" w:cstheme="minorHAnsi"/>
          <w:i w:val="0"/>
          <w:color w:val="auto"/>
          <w:szCs w:val="22"/>
        </w:rPr>
        <w:t xml:space="preserve">), Source: WPSCGREHC110603A </w:t>
      </w:r>
    </w:p>
    <w:p w14:paraId="2022878D" w14:textId="3EB1DDFE" w:rsidR="00DF65C8" w:rsidRPr="00041151" w:rsidRDefault="00DF65C8" w:rsidP="00DF65C8">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 xml:space="preserve">A = </w:t>
      </w:r>
      <w:r w:rsidR="003230C2">
        <w:rPr>
          <w:rFonts w:asciiTheme="minorHAnsi" w:hAnsiTheme="minorHAnsi" w:cstheme="minorHAnsi"/>
          <w:i w:val="0"/>
          <w:color w:val="auto"/>
          <w:szCs w:val="22"/>
        </w:rPr>
        <w:t>Fireplace</w:t>
      </w:r>
      <w:r w:rsidRPr="00041151">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Output </w:t>
      </w:r>
      <w:r w:rsidRPr="00041151">
        <w:rPr>
          <w:rFonts w:asciiTheme="minorHAnsi" w:hAnsiTheme="minorHAnsi" w:cstheme="minorHAnsi"/>
          <w:i w:val="0"/>
          <w:color w:val="auto"/>
          <w:szCs w:val="22"/>
        </w:rPr>
        <w:t>capacity, (Btu/hr)</w:t>
      </w:r>
    </w:p>
    <w:p w14:paraId="0FEE1BCD" w14:textId="4C977883" w:rsidR="005227A4" w:rsidRDefault="005227A4" w:rsidP="00663CD9">
      <w:pPr>
        <w:pStyle w:val="Reminders"/>
        <w:rPr>
          <w:rFonts w:asciiTheme="minorHAnsi" w:hAnsiTheme="minorHAnsi" w:cstheme="minorHAnsi"/>
          <w:i w:val="0"/>
          <w:color w:val="auto"/>
          <w:szCs w:val="22"/>
        </w:rPr>
      </w:pPr>
    </w:p>
    <w:p w14:paraId="342351F0" w14:textId="4E6E87F2" w:rsidR="00C53A39" w:rsidRDefault="00DF65C8" w:rsidP="00663CD9">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 xml:space="preserve">Heating Degree Days </w:t>
      </w:r>
      <w:r w:rsidR="008679E0">
        <w:rPr>
          <w:rFonts w:asciiTheme="minorHAnsi" w:hAnsiTheme="minorHAnsi" w:cstheme="minorHAnsi"/>
          <w:i w:val="0"/>
          <w:color w:val="auto"/>
          <w:szCs w:val="22"/>
        </w:rPr>
        <w:t xml:space="preserve">(HDD) </w:t>
      </w:r>
      <w:r w:rsidRPr="00041151">
        <w:rPr>
          <w:rFonts w:asciiTheme="minorHAnsi" w:hAnsiTheme="minorHAnsi" w:cstheme="minorHAnsi"/>
          <w:i w:val="0"/>
          <w:color w:val="auto"/>
          <w:szCs w:val="22"/>
        </w:rPr>
        <w:t xml:space="preserve">are from </w:t>
      </w:r>
      <w:r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D</w:t>
      </w:r>
      <w:r w:rsidRPr="00041151">
        <w:rPr>
          <w:rFonts w:asciiTheme="minorHAnsi" w:hAnsiTheme="minorHAnsi" w:cstheme="minorHAnsi"/>
          <w:i w:val="0"/>
          <w:color w:val="auto"/>
          <w:szCs w:val="22"/>
        </w:rPr>
        <w:t>, with a base of 65°</w:t>
      </w:r>
      <w:r>
        <w:rPr>
          <w:rFonts w:asciiTheme="minorHAnsi" w:hAnsiTheme="minorHAnsi" w:cstheme="minorHAnsi"/>
          <w:i w:val="0"/>
          <w:color w:val="auto"/>
          <w:szCs w:val="22"/>
        </w:rPr>
        <w:t>F</w:t>
      </w:r>
      <w:r w:rsidRPr="00041151">
        <w:rPr>
          <w:rFonts w:asciiTheme="minorHAnsi" w:hAnsiTheme="minorHAnsi" w:cstheme="minorHAnsi"/>
          <w:i w:val="0"/>
          <w:color w:val="auto"/>
          <w:szCs w:val="22"/>
        </w:rPr>
        <w:t xml:space="preserve"> for each California climate zone</w:t>
      </w:r>
      <w:r w:rsidR="008679E0">
        <w:rPr>
          <w:rFonts w:asciiTheme="minorHAnsi" w:hAnsiTheme="minorHAnsi" w:cstheme="minorHAnsi"/>
          <w:i w:val="0"/>
          <w:color w:val="auto"/>
          <w:szCs w:val="22"/>
        </w:rPr>
        <w:t xml:space="preserve"> (CZ)</w:t>
      </w:r>
      <w:r w:rsidRPr="00041151">
        <w:rPr>
          <w:rFonts w:asciiTheme="minorHAnsi" w:hAnsiTheme="minorHAnsi" w:cstheme="minorHAnsi"/>
          <w:i w:val="0"/>
          <w:color w:val="auto"/>
          <w:szCs w:val="22"/>
        </w:rPr>
        <w:t>.</w:t>
      </w:r>
      <w:r w:rsidR="00A3540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 is </w:t>
      </w:r>
      <w:r w:rsidR="008906FA">
        <w:rPr>
          <w:rFonts w:asciiTheme="minorHAnsi" w:hAnsiTheme="minorHAnsi" w:cstheme="minorHAnsi"/>
          <w:i w:val="0"/>
          <w:color w:val="auto"/>
          <w:szCs w:val="22"/>
        </w:rPr>
        <w:t>a</w:t>
      </w:r>
      <w:r w:rsidR="00A35405">
        <w:rPr>
          <w:rFonts w:asciiTheme="minorHAnsi" w:hAnsiTheme="minorHAnsi" w:cstheme="minorHAnsi"/>
          <w:i w:val="0"/>
          <w:color w:val="auto"/>
          <w:szCs w:val="22"/>
        </w:rPr>
        <w:t xml:space="preserve"> regression</w:t>
      </w:r>
      <w:r w:rsidR="008906FA">
        <w:rPr>
          <w:rFonts w:asciiTheme="minorHAnsi" w:hAnsiTheme="minorHAnsi" w:cstheme="minorHAnsi"/>
          <w:i w:val="0"/>
          <w:color w:val="auto"/>
          <w:szCs w:val="22"/>
        </w:rPr>
        <w:t xml:space="preserve"> coefficient found using </w:t>
      </w:r>
      <w:r w:rsidR="00A35405">
        <w:rPr>
          <w:rFonts w:asciiTheme="minorHAnsi" w:hAnsiTheme="minorHAnsi" w:cstheme="minorHAnsi"/>
          <w:i w:val="0"/>
          <w:color w:val="auto"/>
          <w:szCs w:val="22"/>
        </w:rPr>
        <w:t>SCG</w:t>
      </w:r>
      <w:r w:rsidR="008906FA">
        <w:rPr>
          <w:rFonts w:asciiTheme="minorHAnsi" w:hAnsiTheme="minorHAnsi" w:cstheme="minorHAnsi"/>
          <w:i w:val="0"/>
          <w:color w:val="auto"/>
          <w:szCs w:val="22"/>
        </w:rPr>
        <w:t xml:space="preserve"> market data </w:t>
      </w:r>
      <w:r w:rsidR="00EC5782">
        <w:rPr>
          <w:rFonts w:asciiTheme="minorHAnsi" w:hAnsiTheme="minorHAnsi" w:cstheme="minorHAnsi"/>
          <w:i w:val="0"/>
          <w:color w:val="auto"/>
          <w:szCs w:val="22"/>
        </w:rPr>
        <w:t>which re</w:t>
      </w:r>
      <w:r w:rsidR="003230C2">
        <w:rPr>
          <w:rFonts w:asciiTheme="minorHAnsi" w:hAnsiTheme="minorHAnsi" w:cstheme="minorHAnsi"/>
          <w:i w:val="0"/>
          <w:color w:val="auto"/>
          <w:szCs w:val="22"/>
        </w:rPr>
        <w:t>lates</w:t>
      </w:r>
      <w:r w:rsidR="008906FA">
        <w:rPr>
          <w:rFonts w:asciiTheme="minorHAnsi" w:hAnsiTheme="minorHAnsi" w:cstheme="minorHAnsi"/>
          <w:i w:val="0"/>
          <w:color w:val="auto"/>
          <w:szCs w:val="22"/>
        </w:rPr>
        <w:t xml:space="preserve"> </w:t>
      </w:r>
      <w:r w:rsidR="00A35405">
        <w:rPr>
          <w:rFonts w:asciiTheme="minorHAnsi" w:hAnsiTheme="minorHAnsi" w:cstheme="minorHAnsi"/>
          <w:i w:val="0"/>
          <w:color w:val="auto"/>
          <w:szCs w:val="22"/>
        </w:rPr>
        <w:t>HDD</w:t>
      </w:r>
      <w:r w:rsidR="008906FA">
        <w:rPr>
          <w:rFonts w:asciiTheme="minorHAnsi" w:hAnsiTheme="minorHAnsi" w:cstheme="minorHAnsi"/>
          <w:i w:val="0"/>
          <w:color w:val="auto"/>
          <w:szCs w:val="22"/>
        </w:rPr>
        <w:t xml:space="preserve"> and furnace size</w:t>
      </w:r>
      <w:r w:rsidR="00A35405">
        <w:rPr>
          <w:rFonts w:asciiTheme="minorHAnsi" w:hAnsiTheme="minorHAnsi" w:cstheme="minorHAnsi"/>
          <w:i w:val="0"/>
          <w:color w:val="auto"/>
          <w:szCs w:val="22"/>
        </w:rPr>
        <w:t xml:space="preserve"> per home</w:t>
      </w:r>
      <w:r w:rsidR="008906FA">
        <w:rPr>
          <w:rFonts w:asciiTheme="minorHAnsi" w:hAnsiTheme="minorHAnsi" w:cstheme="minorHAnsi"/>
          <w:i w:val="0"/>
          <w:color w:val="auto"/>
          <w:szCs w:val="22"/>
        </w:rPr>
        <w:t xml:space="preserve"> and is </w:t>
      </w:r>
      <w:r>
        <w:rPr>
          <w:rFonts w:asciiTheme="minorHAnsi" w:hAnsiTheme="minorHAnsi" w:cstheme="minorHAnsi"/>
          <w:i w:val="0"/>
          <w:color w:val="auto"/>
          <w:szCs w:val="22"/>
        </w:rPr>
        <w:t xml:space="preserve">from </w:t>
      </w:r>
      <w:r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E</w:t>
      </w:r>
      <w:r w:rsidR="008906FA">
        <w:rPr>
          <w:rFonts w:asciiTheme="minorHAnsi" w:hAnsiTheme="minorHAnsi" w:cstheme="minorHAnsi"/>
          <w:i w:val="0"/>
          <w:color w:val="auto"/>
          <w:szCs w:val="22"/>
        </w:rPr>
        <w:t>.</w:t>
      </w:r>
      <w:r w:rsidR="00A35405">
        <w:rPr>
          <w:rFonts w:asciiTheme="minorHAnsi" w:hAnsiTheme="minorHAnsi" w:cstheme="minorHAnsi"/>
          <w:i w:val="0"/>
          <w:color w:val="auto"/>
          <w:szCs w:val="22"/>
        </w:rPr>
        <w:t xml:space="preserve"> P was found using all </w:t>
      </w:r>
      <w:r w:rsidR="008679E0">
        <w:rPr>
          <w:rFonts w:asciiTheme="minorHAnsi" w:hAnsiTheme="minorHAnsi" w:cstheme="minorHAnsi"/>
          <w:i w:val="0"/>
          <w:color w:val="auto"/>
          <w:szCs w:val="22"/>
        </w:rPr>
        <w:t xml:space="preserve">data from all CZs </w:t>
      </w:r>
      <w:r w:rsidR="00A35405">
        <w:rPr>
          <w:rFonts w:asciiTheme="minorHAnsi" w:hAnsiTheme="minorHAnsi" w:cstheme="minorHAnsi"/>
          <w:i w:val="0"/>
          <w:color w:val="auto"/>
          <w:szCs w:val="22"/>
        </w:rPr>
        <w:t xml:space="preserve">and does not change with </w:t>
      </w:r>
      <w:r w:rsidR="008679E0">
        <w:rPr>
          <w:rFonts w:asciiTheme="minorHAnsi" w:hAnsiTheme="minorHAnsi" w:cstheme="minorHAnsi"/>
          <w:i w:val="0"/>
          <w:color w:val="auto"/>
          <w:szCs w:val="22"/>
        </w:rPr>
        <w:t>CZ</w:t>
      </w:r>
      <w:r w:rsidR="00A35405">
        <w:rPr>
          <w:rFonts w:asciiTheme="minorHAnsi" w:hAnsiTheme="minorHAnsi" w:cstheme="minorHAnsi"/>
          <w:i w:val="0"/>
          <w:color w:val="auto"/>
          <w:szCs w:val="22"/>
        </w:rPr>
        <w:t>. Area refers to the average area of a home being heated by the fireplace</w:t>
      </w:r>
      <w:r w:rsidR="003230C2">
        <w:rPr>
          <w:rFonts w:asciiTheme="minorHAnsi" w:hAnsiTheme="minorHAnsi" w:cstheme="minorHAnsi"/>
          <w:i w:val="0"/>
          <w:color w:val="auto"/>
          <w:szCs w:val="22"/>
        </w:rPr>
        <w:t xml:space="preserve"> and is from </w:t>
      </w:r>
      <w:r w:rsidR="003230C2" w:rsidRPr="003230C2">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E</w:t>
      </w:r>
      <w:r w:rsidR="00A35405">
        <w:rPr>
          <w:rFonts w:asciiTheme="minorHAnsi" w:hAnsiTheme="minorHAnsi" w:cstheme="minorHAnsi"/>
          <w:i w:val="0"/>
          <w:color w:val="auto"/>
          <w:szCs w:val="22"/>
        </w:rPr>
        <w:t xml:space="preserve">. </w:t>
      </w:r>
      <w:r w:rsidR="00A35405">
        <w:rPr>
          <w:rFonts w:asciiTheme="minorHAnsi" w:hAnsiTheme="minorHAnsi" w:cstheme="minorHAnsi"/>
          <w:i w:val="0"/>
          <w:color w:val="auto"/>
          <w:szCs w:val="22"/>
        </w:rPr>
        <w:lastRenderedPageBreak/>
        <w:t>Single-family home v</w:t>
      </w:r>
      <w:r w:rsidR="00752CCE">
        <w:rPr>
          <w:rFonts w:asciiTheme="minorHAnsi" w:hAnsiTheme="minorHAnsi" w:cstheme="minorHAnsi"/>
          <w:i w:val="0"/>
          <w:color w:val="auto"/>
          <w:szCs w:val="22"/>
        </w:rPr>
        <w:t xml:space="preserve">alues for P and Area are used. </w:t>
      </w:r>
      <w:r w:rsidR="002517A6">
        <w:rPr>
          <w:rFonts w:asciiTheme="minorHAnsi" w:hAnsiTheme="minorHAnsi" w:cstheme="minorHAnsi"/>
          <w:i w:val="0"/>
          <w:color w:val="auto"/>
          <w:szCs w:val="22"/>
        </w:rPr>
        <w:t>C is the average furnace input rate pe</w:t>
      </w:r>
      <w:r w:rsidR="00FA046D">
        <w:rPr>
          <w:rFonts w:asciiTheme="minorHAnsi" w:hAnsiTheme="minorHAnsi" w:cstheme="minorHAnsi"/>
          <w:i w:val="0"/>
          <w:color w:val="auto"/>
          <w:szCs w:val="22"/>
        </w:rPr>
        <w:t xml:space="preserve">r square foot over all CZ from </w:t>
      </w:r>
      <w:r w:rsidR="002517A6" w:rsidRPr="00F94AF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F</w:t>
      </w:r>
      <w:r w:rsidR="002517A6">
        <w:rPr>
          <w:rFonts w:asciiTheme="minorHAnsi" w:hAnsiTheme="minorHAnsi" w:cstheme="minorHAnsi"/>
          <w:i w:val="0"/>
          <w:color w:val="auto"/>
          <w:szCs w:val="22"/>
        </w:rPr>
        <w:t xml:space="preserve">. This workpaper assumes that manufacturers will not manufacture a unique fireplace for each CZ. </w:t>
      </w:r>
      <w:r w:rsidR="00EC5782">
        <w:rPr>
          <w:rFonts w:asciiTheme="minorHAnsi" w:hAnsiTheme="minorHAnsi" w:cstheme="minorHAnsi"/>
          <w:i w:val="0"/>
          <w:color w:val="auto"/>
          <w:szCs w:val="22"/>
        </w:rPr>
        <w:t>The fireplace output capacity, A, cancels out in this equation.</w:t>
      </w:r>
    </w:p>
    <w:p w14:paraId="01622995" w14:textId="2DE1E45D" w:rsidR="009D422C" w:rsidRDefault="009D422C" w:rsidP="00663CD9">
      <w:pPr>
        <w:pStyle w:val="Reminders"/>
        <w:rPr>
          <w:rFonts w:asciiTheme="minorHAnsi" w:hAnsiTheme="minorHAnsi" w:cstheme="minorHAnsi"/>
          <w:i w:val="0"/>
          <w:color w:val="auto"/>
          <w:szCs w:val="22"/>
        </w:rPr>
      </w:pPr>
    </w:p>
    <w:p w14:paraId="4E029635" w14:textId="1D0BD8E1" w:rsidR="009D422C" w:rsidRDefault="009D422C" w:rsidP="04134B42">
      <w:pPr>
        <w:pStyle w:val="Reminders"/>
        <w:rPr>
          <w:rFonts w:asciiTheme="minorHAnsi" w:hAnsiTheme="minorHAnsi" w:cstheme="minorBidi"/>
          <w:i w:val="0"/>
          <w:color w:val="auto"/>
        </w:rPr>
      </w:pPr>
      <w:r w:rsidRPr="04134B42">
        <w:rPr>
          <w:rFonts w:asciiTheme="minorHAnsi" w:hAnsiTheme="minorHAnsi" w:cstheme="minorBidi"/>
          <w:i w:val="0"/>
          <w:color w:val="auto"/>
        </w:rPr>
        <w:t xml:space="preserve">The single-family home area and fireplace input per square foot were taken from </w:t>
      </w:r>
      <w:r w:rsidRPr="0057700D">
        <w:rPr>
          <w:rFonts w:asciiTheme="minorHAnsi" w:hAnsiTheme="minorHAnsi" w:cstheme="minorBidi"/>
          <w:b/>
          <w:color w:val="auto"/>
        </w:rPr>
        <w:t>Attachment E</w:t>
      </w:r>
      <w:r w:rsidRPr="04134B42">
        <w:rPr>
          <w:rFonts w:asciiTheme="minorHAnsi" w:hAnsiTheme="minorHAnsi" w:cstheme="minorBidi"/>
          <w:i w:val="0"/>
          <w:color w:val="auto"/>
        </w:rPr>
        <w:t>. These assume that the entire home is being heated with the gravity wall furnace that was the subject of that workpaper. Because fireplaces would only be expected to heat a room</w:t>
      </w:r>
      <w:r w:rsidR="002664BB" w:rsidRPr="04134B42">
        <w:rPr>
          <w:rFonts w:asciiTheme="minorHAnsi" w:hAnsiTheme="minorHAnsi" w:cstheme="minorBidi"/>
          <w:i w:val="0"/>
          <w:color w:val="auto"/>
        </w:rPr>
        <w:t xml:space="preserve"> (plus some adjacent hall or neighboring room space)</w:t>
      </w:r>
      <w:r w:rsidRPr="04134B42">
        <w:rPr>
          <w:rFonts w:asciiTheme="minorHAnsi" w:hAnsiTheme="minorHAnsi" w:cstheme="minorBidi"/>
          <w:i w:val="0"/>
          <w:color w:val="auto"/>
        </w:rPr>
        <w:t xml:space="preserve"> in a residence</w:t>
      </w:r>
      <w:r w:rsidR="002664BB" w:rsidRPr="04134B42">
        <w:rPr>
          <w:rFonts w:asciiTheme="minorHAnsi" w:hAnsiTheme="minorHAnsi" w:cstheme="minorBidi"/>
          <w:i w:val="0"/>
          <w:color w:val="auto"/>
        </w:rPr>
        <w:t>,</w:t>
      </w:r>
      <w:r w:rsidRPr="04134B42">
        <w:rPr>
          <w:rFonts w:asciiTheme="minorHAnsi" w:hAnsiTheme="minorHAnsi" w:cstheme="minorBidi"/>
          <w:i w:val="0"/>
          <w:color w:val="auto"/>
        </w:rPr>
        <w:t xml:space="preserve"> the time the burner is on is scaled down to account for not needing to heat the whole house.</w:t>
      </w:r>
      <w:r w:rsidR="005C5310" w:rsidRPr="005C5310">
        <w:rPr>
          <w:rFonts w:asciiTheme="minorHAnsi" w:hAnsiTheme="minorHAnsi" w:cstheme="minorBidi"/>
          <w:i w:val="0"/>
          <w:color w:val="auto"/>
        </w:rPr>
        <w:t xml:space="preserve"> </w:t>
      </w:r>
      <w:r w:rsidR="005C5310">
        <w:rPr>
          <w:rFonts w:asciiTheme="minorHAnsi" w:hAnsiTheme="minorHAnsi" w:cstheme="minorBidi"/>
          <w:i w:val="0"/>
          <w:color w:val="auto"/>
        </w:rPr>
        <w:t>Typical room dimensions of a living or family room range from 70 ft</w:t>
      </w:r>
      <w:r w:rsidR="005C5310" w:rsidRPr="001F4AEC">
        <w:rPr>
          <w:rFonts w:asciiTheme="minorHAnsi" w:hAnsiTheme="minorHAnsi" w:cstheme="minorBidi"/>
          <w:i w:val="0"/>
          <w:color w:val="auto"/>
          <w:vertAlign w:val="superscript"/>
        </w:rPr>
        <w:t>2</w:t>
      </w:r>
      <w:r w:rsidR="005C5310">
        <w:rPr>
          <w:rFonts w:asciiTheme="minorHAnsi" w:hAnsiTheme="minorHAnsi" w:cstheme="minorBidi"/>
          <w:i w:val="0"/>
          <w:color w:val="auto"/>
        </w:rPr>
        <w:t xml:space="preserve"> to 616 ft</w:t>
      </w:r>
      <w:r w:rsidR="005C5310" w:rsidRPr="001F4AEC">
        <w:rPr>
          <w:rFonts w:asciiTheme="minorHAnsi" w:hAnsiTheme="minorHAnsi" w:cstheme="minorBidi"/>
          <w:i w:val="0"/>
          <w:color w:val="auto"/>
          <w:vertAlign w:val="superscript"/>
        </w:rPr>
        <w:t>2</w:t>
      </w:r>
      <w:r w:rsidR="005C5310">
        <w:rPr>
          <w:rFonts w:asciiTheme="minorHAnsi" w:hAnsiTheme="minorHAnsi" w:cstheme="minorBidi"/>
          <w:i w:val="0"/>
          <w:color w:val="auto"/>
        </w:rPr>
        <w:t xml:space="preserve"> (7 ft by 10 ft to 22 ft by 28 ft) depending on the size of the home.</w:t>
      </w:r>
      <w:r w:rsidR="005C5310">
        <w:rPr>
          <w:rStyle w:val="FootnoteReference"/>
          <w:rFonts w:asciiTheme="minorHAnsi" w:hAnsiTheme="minorHAnsi" w:cstheme="minorBidi"/>
          <w:i w:val="0"/>
          <w:color w:val="auto"/>
        </w:rPr>
        <w:footnoteReference w:id="4"/>
      </w:r>
      <w:r w:rsidR="005C5310">
        <w:rPr>
          <w:rFonts w:asciiTheme="minorHAnsi" w:hAnsiTheme="minorHAnsi" w:cstheme="minorBidi"/>
          <w:i w:val="0"/>
          <w:color w:val="auto"/>
        </w:rPr>
        <w:t xml:space="preserve"> </w:t>
      </w:r>
      <w:r w:rsidRPr="04134B42">
        <w:rPr>
          <w:rFonts w:asciiTheme="minorHAnsi" w:hAnsiTheme="minorHAnsi" w:cstheme="minorBidi"/>
          <w:i w:val="0"/>
          <w:color w:val="auto"/>
        </w:rPr>
        <w:t xml:space="preserve"> </w:t>
      </w:r>
      <w:r w:rsidR="002664BB" w:rsidRPr="04134B42">
        <w:rPr>
          <w:rFonts w:asciiTheme="minorHAnsi" w:hAnsiTheme="minorHAnsi" w:cstheme="minorBidi"/>
          <w:i w:val="0"/>
          <w:color w:val="auto"/>
        </w:rPr>
        <w:t>The fireplace</w:t>
      </w:r>
      <w:r w:rsidR="005C5310">
        <w:rPr>
          <w:rFonts w:asciiTheme="minorHAnsi" w:hAnsiTheme="minorHAnsi" w:cstheme="minorBidi"/>
          <w:i w:val="0"/>
          <w:color w:val="auto"/>
        </w:rPr>
        <w:t xml:space="preserve"> in this workpaper</w:t>
      </w:r>
      <w:r w:rsidR="002664BB" w:rsidRPr="04134B42">
        <w:rPr>
          <w:rFonts w:asciiTheme="minorHAnsi" w:hAnsiTheme="minorHAnsi" w:cstheme="minorBidi"/>
          <w:i w:val="0"/>
          <w:color w:val="auto"/>
        </w:rPr>
        <w:t xml:space="preserve"> is assumed to heat</w:t>
      </w:r>
      <w:r w:rsidR="005C5310">
        <w:rPr>
          <w:rFonts w:asciiTheme="minorHAnsi" w:hAnsiTheme="minorHAnsi" w:cstheme="minorBidi"/>
          <w:i w:val="0"/>
          <w:color w:val="auto"/>
        </w:rPr>
        <w:t xml:space="preserve"> a</w:t>
      </w:r>
      <w:r w:rsidR="007436F0">
        <w:rPr>
          <w:rFonts w:asciiTheme="minorHAnsi" w:hAnsiTheme="minorHAnsi" w:cstheme="minorBidi"/>
          <w:i w:val="0"/>
          <w:color w:val="auto"/>
        </w:rPr>
        <w:t xml:space="preserve"> </w:t>
      </w:r>
      <w:r w:rsidR="002664BB" w:rsidRPr="04134B42">
        <w:rPr>
          <w:rFonts w:asciiTheme="minorHAnsi" w:hAnsiTheme="minorHAnsi" w:cstheme="minorBidi"/>
          <w:i w:val="0"/>
          <w:color w:val="auto"/>
        </w:rPr>
        <w:t>floor space</w:t>
      </w:r>
      <w:r w:rsidR="007436F0">
        <w:rPr>
          <w:rFonts w:asciiTheme="minorHAnsi" w:hAnsiTheme="minorHAnsi" w:cstheme="minorBidi"/>
          <w:i w:val="0"/>
          <w:color w:val="auto"/>
        </w:rPr>
        <w:t xml:space="preserve"> of 20 ft by 20 ft (400 </w:t>
      </w:r>
      <w:r w:rsidR="00C84DB9">
        <w:rPr>
          <w:rFonts w:asciiTheme="minorHAnsi" w:hAnsiTheme="minorHAnsi" w:cstheme="minorBidi"/>
          <w:i w:val="0"/>
          <w:color w:val="auto"/>
        </w:rPr>
        <w:t>ft</w:t>
      </w:r>
      <w:r w:rsidR="00C84DB9" w:rsidRPr="005C5310">
        <w:rPr>
          <w:rFonts w:asciiTheme="minorHAnsi" w:hAnsiTheme="minorHAnsi" w:cstheme="minorBidi"/>
          <w:i w:val="0"/>
          <w:color w:val="auto"/>
          <w:vertAlign w:val="superscript"/>
        </w:rPr>
        <w:t>2</w:t>
      </w:r>
      <w:r w:rsidR="007436F0">
        <w:rPr>
          <w:rFonts w:asciiTheme="minorHAnsi" w:hAnsiTheme="minorHAnsi" w:cstheme="minorBidi"/>
          <w:i w:val="0"/>
          <w:color w:val="auto"/>
        </w:rPr>
        <w:t>)</w:t>
      </w:r>
      <w:r w:rsidRPr="04134B42">
        <w:rPr>
          <w:rFonts w:asciiTheme="minorHAnsi" w:hAnsiTheme="minorHAnsi" w:cstheme="minorBidi"/>
          <w:i w:val="0"/>
          <w:color w:val="auto"/>
        </w:rPr>
        <w:t xml:space="preserve">. </w:t>
      </w:r>
      <w:r w:rsidR="005C5310">
        <w:rPr>
          <w:rFonts w:asciiTheme="minorHAnsi" w:hAnsiTheme="minorHAnsi" w:cstheme="minorBidi"/>
          <w:i w:val="0"/>
          <w:color w:val="auto"/>
        </w:rPr>
        <w:t>This 400 ft</w:t>
      </w:r>
      <w:r w:rsidR="005C5310" w:rsidRPr="005C5310">
        <w:rPr>
          <w:rFonts w:asciiTheme="minorHAnsi" w:hAnsiTheme="minorHAnsi" w:cstheme="minorBidi"/>
          <w:i w:val="0"/>
          <w:color w:val="auto"/>
          <w:vertAlign w:val="superscript"/>
        </w:rPr>
        <w:t>2</w:t>
      </w:r>
      <w:r w:rsidR="005C5310">
        <w:rPr>
          <w:rFonts w:asciiTheme="minorHAnsi" w:hAnsiTheme="minorHAnsi" w:cstheme="minorBidi"/>
          <w:i w:val="0"/>
          <w:color w:val="auto"/>
        </w:rPr>
        <w:t xml:space="preserve"> floor space is above the middle of the ranges found. It is larger than some living spaces where a hearth would typically be found but a fireplace will typically heat more </w:t>
      </w:r>
      <w:r w:rsidR="008A35A3">
        <w:rPr>
          <w:rFonts w:asciiTheme="minorHAnsi" w:hAnsiTheme="minorHAnsi" w:cstheme="minorBidi"/>
          <w:i w:val="0"/>
          <w:color w:val="auto"/>
        </w:rPr>
        <w:t>floor</w:t>
      </w:r>
      <w:r w:rsidR="005C5310">
        <w:rPr>
          <w:rFonts w:asciiTheme="minorHAnsi" w:hAnsiTheme="minorHAnsi" w:cstheme="minorBidi"/>
          <w:i w:val="0"/>
          <w:color w:val="auto"/>
        </w:rPr>
        <w:t xml:space="preserve"> space than just the room it is installed in. Also, as stated in the LBNL Hearth Study, hearth ownership increases with income</w:t>
      </w:r>
      <w:r w:rsidR="008A35A3">
        <w:rPr>
          <w:rFonts w:asciiTheme="minorHAnsi" w:hAnsiTheme="minorHAnsi" w:cstheme="minorBidi"/>
          <w:i w:val="0"/>
          <w:color w:val="auto"/>
        </w:rPr>
        <w:t xml:space="preserve">. It follows that home size also increases with income so a slightly larger than average floor space is </w:t>
      </w:r>
      <w:r w:rsidR="00FE00EA">
        <w:rPr>
          <w:rFonts w:asciiTheme="minorHAnsi" w:hAnsiTheme="minorHAnsi" w:cstheme="minorBidi"/>
          <w:i w:val="0"/>
          <w:color w:val="auto"/>
        </w:rPr>
        <w:t>appropriate</w:t>
      </w:r>
      <w:r w:rsidR="008A35A3">
        <w:rPr>
          <w:rFonts w:asciiTheme="minorHAnsi" w:hAnsiTheme="minorHAnsi" w:cstheme="minorBidi"/>
          <w:i w:val="0"/>
          <w:color w:val="auto"/>
        </w:rPr>
        <w:t>.</w:t>
      </w:r>
      <w:r w:rsidR="005C5310">
        <w:rPr>
          <w:rFonts w:asciiTheme="minorHAnsi" w:hAnsiTheme="minorHAnsi" w:cstheme="minorBidi"/>
          <w:i w:val="0"/>
          <w:color w:val="auto"/>
        </w:rPr>
        <w:t xml:space="preserve"> </w:t>
      </w:r>
      <w:r w:rsidRPr="04134B42">
        <w:rPr>
          <w:rFonts w:asciiTheme="minorHAnsi" w:hAnsiTheme="minorHAnsi" w:cstheme="minorBidi"/>
          <w:i w:val="0"/>
          <w:color w:val="auto"/>
        </w:rPr>
        <w:t xml:space="preserve">Therefore, the burner </w:t>
      </w:r>
      <w:r w:rsidR="002664BB" w:rsidRPr="04134B42">
        <w:rPr>
          <w:rFonts w:asciiTheme="minorHAnsi" w:hAnsiTheme="minorHAnsi" w:cstheme="minorBidi"/>
          <w:i w:val="0"/>
          <w:color w:val="auto"/>
        </w:rPr>
        <w:t xml:space="preserve">ON </w:t>
      </w:r>
      <w:r w:rsidRPr="04134B42">
        <w:rPr>
          <w:rFonts w:asciiTheme="minorHAnsi" w:hAnsiTheme="minorHAnsi" w:cstheme="minorBidi"/>
          <w:i w:val="0"/>
          <w:color w:val="auto"/>
        </w:rPr>
        <w:t xml:space="preserve">time is decreased by </w:t>
      </w:r>
      <w:r w:rsidR="007436F0">
        <w:rPr>
          <w:rFonts w:asciiTheme="minorHAnsi" w:hAnsiTheme="minorHAnsi" w:cstheme="minorBidi"/>
          <w:i w:val="0"/>
          <w:color w:val="auto"/>
        </w:rPr>
        <w:t>4</w:t>
      </w:r>
      <w:r w:rsidR="007436F0" w:rsidRPr="04134B42">
        <w:rPr>
          <w:rFonts w:asciiTheme="minorHAnsi" w:hAnsiTheme="minorHAnsi" w:cstheme="minorBidi"/>
          <w:i w:val="0"/>
          <w:color w:val="auto"/>
        </w:rPr>
        <w:t>00</w:t>
      </w:r>
      <w:r w:rsidRPr="04134B42">
        <w:rPr>
          <w:rFonts w:asciiTheme="minorHAnsi" w:hAnsiTheme="minorHAnsi" w:cstheme="minorBidi"/>
          <w:i w:val="0"/>
          <w:color w:val="auto"/>
        </w:rPr>
        <w:t xml:space="preserve">/1366, or </w:t>
      </w:r>
      <w:r w:rsidR="007436F0">
        <w:rPr>
          <w:rFonts w:asciiTheme="minorHAnsi" w:hAnsiTheme="minorHAnsi" w:cstheme="minorBidi"/>
          <w:i w:val="0"/>
          <w:color w:val="auto"/>
        </w:rPr>
        <w:t>29</w:t>
      </w:r>
      <w:r w:rsidR="002664BB" w:rsidRPr="04134B42">
        <w:rPr>
          <w:rFonts w:asciiTheme="minorHAnsi" w:hAnsiTheme="minorHAnsi" w:cstheme="minorBidi"/>
          <w:i w:val="0"/>
          <w:color w:val="auto"/>
        </w:rPr>
        <w:t>%</w:t>
      </w:r>
      <w:r w:rsidR="00AF6143" w:rsidRPr="04134B42">
        <w:rPr>
          <w:rFonts w:asciiTheme="minorHAnsi" w:hAnsiTheme="minorHAnsi" w:cstheme="minorBidi"/>
          <w:i w:val="0"/>
          <w:color w:val="auto"/>
        </w:rPr>
        <w:t xml:space="preserve">. This results in burner ON hours from </w:t>
      </w:r>
      <w:r w:rsidR="007436F0">
        <w:rPr>
          <w:rFonts w:asciiTheme="minorHAnsi" w:hAnsiTheme="minorHAnsi" w:cstheme="minorBidi"/>
          <w:i w:val="0"/>
          <w:color w:val="auto"/>
        </w:rPr>
        <w:t>85-404</w:t>
      </w:r>
      <w:r w:rsidR="00AF6143" w:rsidRPr="04134B42">
        <w:rPr>
          <w:rFonts w:asciiTheme="minorHAnsi" w:hAnsiTheme="minorHAnsi" w:cstheme="minorBidi"/>
          <w:i w:val="0"/>
          <w:color w:val="auto"/>
        </w:rPr>
        <w:t xml:space="preserve"> hours</w:t>
      </w:r>
      <w:r w:rsidR="008C27E1" w:rsidRPr="04134B42">
        <w:rPr>
          <w:rFonts w:asciiTheme="minorHAnsi" w:hAnsiTheme="minorHAnsi" w:cstheme="minorBidi"/>
          <w:i w:val="0"/>
          <w:color w:val="auto"/>
        </w:rPr>
        <w:t xml:space="preserve"> (</w:t>
      </w:r>
      <w:r w:rsidR="00316969">
        <w:rPr>
          <w:rFonts w:asciiTheme="minorHAnsi" w:hAnsiTheme="minorHAnsi" w:cstheme="minorBidi"/>
          <w:i w:val="0"/>
          <w:color w:val="auto"/>
        </w:rPr>
        <w:t>3-13</w:t>
      </w:r>
      <w:r w:rsidR="008C27E1" w:rsidRPr="04134B42">
        <w:rPr>
          <w:rFonts w:asciiTheme="minorHAnsi" w:hAnsiTheme="minorHAnsi" w:cstheme="minorBidi"/>
          <w:i w:val="0"/>
          <w:color w:val="auto"/>
        </w:rPr>
        <w:t xml:space="preserve"> hours/wk for a 30-week heating season)</w:t>
      </w:r>
      <w:r w:rsidR="00AF6143" w:rsidRPr="04134B42">
        <w:rPr>
          <w:rFonts w:asciiTheme="minorHAnsi" w:hAnsiTheme="minorHAnsi" w:cstheme="minorBidi"/>
          <w:i w:val="0"/>
          <w:color w:val="auto"/>
        </w:rPr>
        <w:t xml:space="preserve"> depending on the climate zone. This is in line with </w:t>
      </w:r>
      <w:r w:rsidR="002664BB" w:rsidRPr="04134B42">
        <w:rPr>
          <w:rFonts w:asciiTheme="minorHAnsi" w:hAnsiTheme="minorHAnsi" w:cstheme="minorBidi"/>
          <w:i w:val="0"/>
          <w:color w:val="auto"/>
        </w:rPr>
        <w:t xml:space="preserve">expectations from </w:t>
      </w:r>
      <w:r w:rsidR="00AF6143" w:rsidRPr="04134B42">
        <w:rPr>
          <w:rFonts w:asciiTheme="minorHAnsi" w:hAnsiTheme="minorHAnsi" w:cstheme="minorBidi"/>
          <w:i w:val="0"/>
          <w:color w:val="auto"/>
        </w:rPr>
        <w:t xml:space="preserve">the </w:t>
      </w:r>
      <w:r w:rsidR="008C27E1" w:rsidRPr="04134B42">
        <w:rPr>
          <w:rFonts w:asciiTheme="minorHAnsi" w:hAnsiTheme="minorHAnsi" w:cstheme="minorBidi"/>
          <w:i w:val="0"/>
          <w:color w:val="auto"/>
        </w:rPr>
        <w:t xml:space="preserve">15 hrs/wk </w:t>
      </w:r>
      <w:r w:rsidR="00AF6143" w:rsidRPr="04134B42">
        <w:rPr>
          <w:rFonts w:asciiTheme="minorHAnsi" w:hAnsiTheme="minorHAnsi" w:cstheme="minorBidi"/>
          <w:i w:val="0"/>
          <w:color w:val="auto"/>
        </w:rPr>
        <w:t>burner ON hours published in the Northwest Natural’s 2015 Energy Efficiency Plan</w:t>
      </w:r>
      <w:r w:rsidR="008C27E1" w:rsidRPr="04134B42">
        <w:rPr>
          <w:rFonts w:asciiTheme="minorHAnsi" w:hAnsiTheme="minorHAnsi" w:cstheme="minorBidi"/>
          <w:i w:val="0"/>
          <w:color w:val="auto"/>
        </w:rPr>
        <w:t xml:space="preserve"> (600 hours across a 40-week heating season)</w:t>
      </w:r>
      <w:r w:rsidR="00316969">
        <w:rPr>
          <w:rFonts w:asciiTheme="minorHAnsi" w:hAnsiTheme="minorHAnsi" w:cstheme="minorBidi"/>
          <w:i w:val="0"/>
          <w:color w:val="auto"/>
        </w:rPr>
        <w:t xml:space="preserve"> and the 234 burner ON hours per year from LBNL’s Hearth Study</w:t>
      </w:r>
      <w:r w:rsidR="00AF6143" w:rsidRPr="04134B42">
        <w:rPr>
          <w:rFonts w:asciiTheme="minorHAnsi" w:hAnsiTheme="minorHAnsi" w:cstheme="minorBidi"/>
          <w:i w:val="0"/>
          <w:color w:val="auto"/>
        </w:rPr>
        <w:t>.</w:t>
      </w:r>
      <w:r w:rsidR="002664BB" w:rsidRPr="04134B42">
        <w:rPr>
          <w:rFonts w:asciiTheme="minorHAnsi" w:hAnsiTheme="minorHAnsi" w:cstheme="minorBidi"/>
          <w:i w:val="0"/>
          <w:color w:val="auto"/>
        </w:rPr>
        <w:t xml:space="preserve">  SCG’s most populous climate zones, 8 and 9, </w:t>
      </w:r>
      <w:r w:rsidR="008C27E1" w:rsidRPr="04134B42">
        <w:rPr>
          <w:rFonts w:asciiTheme="minorHAnsi" w:hAnsiTheme="minorHAnsi" w:cstheme="minorBidi"/>
          <w:i w:val="0"/>
          <w:color w:val="auto"/>
        </w:rPr>
        <w:t xml:space="preserve">result in </w:t>
      </w:r>
      <w:r w:rsidR="00316969">
        <w:rPr>
          <w:rFonts w:asciiTheme="minorHAnsi" w:hAnsiTheme="minorHAnsi" w:cstheme="minorBidi"/>
          <w:i w:val="0"/>
          <w:color w:val="auto"/>
        </w:rPr>
        <w:t>4.2 and 4.9</w:t>
      </w:r>
      <w:r w:rsidR="008C27E1" w:rsidRPr="04134B42">
        <w:rPr>
          <w:rFonts w:asciiTheme="minorHAnsi" w:hAnsiTheme="minorHAnsi" w:cstheme="minorBidi"/>
          <w:i w:val="0"/>
          <w:color w:val="auto"/>
        </w:rPr>
        <w:t xml:space="preserve"> hrs/wk of operation, respectively, which is reasonable given the more temperate climate that is found in these CZs (respectively </w:t>
      </w:r>
      <w:r w:rsidR="00316969">
        <w:rPr>
          <w:rFonts w:asciiTheme="minorHAnsi" w:hAnsiTheme="minorHAnsi" w:cstheme="minorBidi"/>
          <w:i w:val="0"/>
          <w:color w:val="auto"/>
        </w:rPr>
        <w:t>127 and 148</w:t>
      </w:r>
      <w:r w:rsidR="008C27E1" w:rsidRPr="04134B42">
        <w:rPr>
          <w:rFonts w:asciiTheme="minorHAnsi" w:hAnsiTheme="minorHAnsi" w:cstheme="minorBidi"/>
          <w:i w:val="0"/>
          <w:color w:val="auto"/>
        </w:rPr>
        <w:t xml:space="preserve"> hours per 30-week heating season)</w:t>
      </w:r>
      <w:r w:rsidR="00AA2BE0" w:rsidRPr="04134B42">
        <w:rPr>
          <w:rFonts w:asciiTheme="minorHAnsi" w:hAnsiTheme="minorHAnsi" w:cstheme="minorBidi"/>
          <w:i w:val="0"/>
          <w:color w:val="auto"/>
        </w:rPr>
        <w:t>.</w:t>
      </w:r>
      <w:r w:rsidR="003B1908" w:rsidRPr="04134B42">
        <w:rPr>
          <w:rFonts w:asciiTheme="minorHAnsi" w:hAnsiTheme="minorHAnsi" w:cstheme="minorBidi"/>
          <w:i w:val="0"/>
          <w:color w:val="auto"/>
        </w:rPr>
        <w:t xml:space="preserve"> </w:t>
      </w:r>
      <w:r w:rsidR="003B1908" w:rsidRPr="04134B42">
        <w:fldChar w:fldCharType="begin"/>
      </w:r>
      <w:r w:rsidR="003B1908">
        <w:rPr>
          <w:rFonts w:asciiTheme="minorHAnsi" w:hAnsiTheme="minorHAnsi" w:cstheme="minorHAnsi"/>
          <w:i w:val="0"/>
          <w:color w:val="auto"/>
          <w:szCs w:val="22"/>
        </w:rPr>
        <w:instrText xml:space="preserve"> REF _Ref531952853 \h  \* MERGEFORMAT </w:instrText>
      </w:r>
      <w:r w:rsidR="003B1908" w:rsidRPr="04134B42">
        <w:rPr>
          <w:rFonts w:asciiTheme="minorHAnsi" w:hAnsiTheme="minorHAnsi" w:cstheme="minorHAnsi"/>
          <w:i w:val="0"/>
          <w:color w:val="auto"/>
          <w:szCs w:val="22"/>
        </w:rPr>
        <w:fldChar w:fldCharType="separate"/>
      </w:r>
      <w:r w:rsidR="000B78F6" w:rsidRPr="000B78F6">
        <w:rPr>
          <w:rFonts w:asciiTheme="minorHAnsi" w:hAnsiTheme="minorHAnsi" w:cstheme="minorBidi"/>
          <w:i w:val="0"/>
          <w:color w:val="auto"/>
        </w:rPr>
        <w:t>Table 18</w:t>
      </w:r>
      <w:r w:rsidR="003B1908" w:rsidRPr="04134B42">
        <w:fldChar w:fldCharType="end"/>
      </w:r>
      <w:r w:rsidR="003B1908" w:rsidRPr="04134B42">
        <w:rPr>
          <w:rFonts w:asciiTheme="minorHAnsi" w:hAnsiTheme="minorHAnsi" w:cstheme="minorBidi"/>
          <w:i w:val="0"/>
          <w:color w:val="auto"/>
        </w:rPr>
        <w:t xml:space="preserve"> shows the burner operating hours resulting from equation (1). </w:t>
      </w:r>
    </w:p>
    <w:p w14:paraId="0002EB94" w14:textId="6102F562" w:rsidR="00AA2BE0" w:rsidRDefault="00AA2BE0" w:rsidP="00AA2BE0">
      <w:pPr>
        <w:pStyle w:val="Caption"/>
        <w:keepNext/>
      </w:pPr>
      <w:bookmarkStart w:id="24" w:name="_Ref531952853"/>
      <w:r>
        <w:t xml:space="preserve">Table </w:t>
      </w:r>
      <w:fldSimple w:instr=" SEQ Table \* ARABIC ">
        <w:r w:rsidR="000B78F6">
          <w:rPr>
            <w:noProof/>
          </w:rPr>
          <w:t>18</w:t>
        </w:r>
      </w:fldSimple>
      <w:bookmarkEnd w:id="24"/>
      <w:r>
        <w:t xml:space="preserve">: </w:t>
      </w:r>
      <w:r w:rsidR="003B1908">
        <w:t>Burner Operating Hours by Climate Zone</w:t>
      </w:r>
    </w:p>
    <w:tbl>
      <w:tblPr>
        <w:tblW w:w="5328" w:type="dxa"/>
        <w:tblInd w:w="113" w:type="dxa"/>
        <w:tblLayout w:type="fixed"/>
        <w:tblCellMar>
          <w:left w:w="58" w:type="dxa"/>
          <w:right w:w="58" w:type="dxa"/>
        </w:tblCellMar>
        <w:tblLook w:val="04A0" w:firstRow="1" w:lastRow="0" w:firstColumn="1" w:lastColumn="0" w:noHBand="0" w:noVBand="1"/>
      </w:tblPr>
      <w:tblGrid>
        <w:gridCol w:w="1440"/>
        <w:gridCol w:w="1584"/>
        <w:gridCol w:w="2304"/>
      </w:tblGrid>
      <w:tr w:rsidR="00AA2BE0" w:rsidRPr="006367AA" w14:paraId="11EF915E" w14:textId="4971D9A2" w:rsidTr="00AA2BE0">
        <w:trPr>
          <w:cantSplit/>
          <w:trHeight w:val="576"/>
          <w:tblHeader/>
        </w:trPr>
        <w:tc>
          <w:tcPr>
            <w:tcW w:w="144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E52F4E2" w14:textId="77777777" w:rsidR="00AA2BE0" w:rsidRPr="006367AA" w:rsidRDefault="00AA2BE0" w:rsidP="00102456">
            <w:pPr>
              <w:jc w:val="center"/>
              <w:rPr>
                <w:rFonts w:ascii="Calibri" w:hAnsi="Calibri" w:cs="Calibri"/>
                <w:b/>
                <w:bCs/>
                <w:color w:val="000000"/>
                <w:szCs w:val="22"/>
              </w:rPr>
            </w:pPr>
            <w:r w:rsidRPr="006367AA">
              <w:rPr>
                <w:rFonts w:ascii="Calibri" w:hAnsi="Calibri" w:cs="Calibri"/>
                <w:b/>
                <w:bCs/>
                <w:color w:val="000000"/>
                <w:szCs w:val="22"/>
              </w:rPr>
              <w:t>Climate Zone</w:t>
            </w:r>
          </w:p>
        </w:tc>
        <w:tc>
          <w:tcPr>
            <w:tcW w:w="158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F8950DA" w14:textId="56208549" w:rsidR="00AA2BE0" w:rsidRPr="006367AA" w:rsidRDefault="00AA2BE0" w:rsidP="00102456">
            <w:pPr>
              <w:jc w:val="center"/>
              <w:rPr>
                <w:rFonts w:ascii="Calibri" w:hAnsi="Calibri" w:cs="Calibri"/>
                <w:b/>
                <w:bCs/>
                <w:color w:val="000000"/>
                <w:szCs w:val="22"/>
              </w:rPr>
            </w:pPr>
            <w:r>
              <w:rPr>
                <w:rFonts w:ascii="Calibri" w:hAnsi="Calibri" w:cs="Calibri"/>
                <w:b/>
                <w:bCs/>
                <w:color w:val="000000"/>
                <w:szCs w:val="22"/>
              </w:rPr>
              <w:t>HDD</w:t>
            </w:r>
          </w:p>
        </w:tc>
        <w:tc>
          <w:tcPr>
            <w:tcW w:w="2304" w:type="dxa"/>
            <w:tcBorders>
              <w:top w:val="single" w:sz="4" w:space="0" w:color="auto"/>
              <w:left w:val="single" w:sz="4" w:space="0" w:color="auto"/>
              <w:bottom w:val="single" w:sz="4" w:space="0" w:color="auto"/>
              <w:right w:val="single" w:sz="4" w:space="0" w:color="auto"/>
            </w:tcBorders>
            <w:shd w:val="clear" w:color="000000" w:fill="BFBFBF"/>
            <w:vAlign w:val="center"/>
          </w:tcPr>
          <w:p w14:paraId="2FB7031B" w14:textId="1FBBAD4E" w:rsidR="00AA2BE0" w:rsidRDefault="00AA2BE0" w:rsidP="00AA2BE0">
            <w:pPr>
              <w:jc w:val="center"/>
              <w:rPr>
                <w:rFonts w:ascii="Calibri" w:hAnsi="Calibri" w:cs="Calibri"/>
                <w:b/>
                <w:bCs/>
                <w:color w:val="000000"/>
                <w:szCs w:val="22"/>
              </w:rPr>
            </w:pPr>
            <w:r>
              <w:rPr>
                <w:rFonts w:ascii="Calibri" w:hAnsi="Calibri" w:cs="Calibri"/>
                <w:b/>
                <w:bCs/>
                <w:color w:val="000000"/>
                <w:szCs w:val="22"/>
              </w:rPr>
              <w:t xml:space="preserve">Burner </w:t>
            </w:r>
            <w:r w:rsidR="003B1908">
              <w:rPr>
                <w:rFonts w:ascii="Calibri" w:hAnsi="Calibri" w:cs="Calibri"/>
                <w:b/>
                <w:bCs/>
                <w:color w:val="000000"/>
                <w:szCs w:val="22"/>
              </w:rPr>
              <w:t>Operating Hours</w:t>
            </w:r>
            <w:r>
              <w:rPr>
                <w:rFonts w:ascii="Calibri" w:hAnsi="Calibri" w:cs="Calibri"/>
                <w:b/>
                <w:bCs/>
                <w:color w:val="000000"/>
                <w:szCs w:val="22"/>
              </w:rPr>
              <w:t xml:space="preserve"> (hrs/</w:t>
            </w:r>
            <w:r w:rsidR="00F41E88">
              <w:rPr>
                <w:rFonts w:ascii="Calibri" w:hAnsi="Calibri" w:cs="Calibri"/>
                <w:b/>
                <w:bCs/>
                <w:color w:val="000000"/>
                <w:szCs w:val="22"/>
              </w:rPr>
              <w:t>wk</w:t>
            </w:r>
          </w:p>
        </w:tc>
      </w:tr>
      <w:tr w:rsidR="00316969" w:rsidRPr="006367AA" w14:paraId="0FE9FD84" w14:textId="22D31F00"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5A1E8B2"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w:t>
            </w:r>
          </w:p>
        </w:tc>
        <w:tc>
          <w:tcPr>
            <w:tcW w:w="1584" w:type="dxa"/>
            <w:tcBorders>
              <w:top w:val="nil"/>
              <w:left w:val="nil"/>
              <w:bottom w:val="single" w:sz="4" w:space="0" w:color="auto"/>
              <w:right w:val="single" w:sz="4" w:space="0" w:color="auto"/>
            </w:tcBorders>
            <w:shd w:val="clear" w:color="auto" w:fill="auto"/>
            <w:noWrap/>
            <w:vAlign w:val="center"/>
            <w:hideMark/>
          </w:tcPr>
          <w:p w14:paraId="1F68BB66"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5</w:t>
            </w:r>
            <w:r>
              <w:rPr>
                <w:rFonts w:ascii="Calibri" w:hAnsi="Calibri" w:cs="Calibri"/>
                <w:color w:val="000000"/>
                <w:szCs w:val="22"/>
              </w:rPr>
              <w:t>,</w:t>
            </w:r>
            <w:r w:rsidRPr="006367AA">
              <w:rPr>
                <w:rFonts w:ascii="Calibri" w:hAnsi="Calibri" w:cs="Calibri"/>
                <w:color w:val="000000"/>
                <w:szCs w:val="22"/>
              </w:rPr>
              <w:t>094</w:t>
            </w:r>
          </w:p>
        </w:tc>
        <w:tc>
          <w:tcPr>
            <w:tcW w:w="2304" w:type="dxa"/>
            <w:tcBorders>
              <w:top w:val="single" w:sz="4" w:space="0" w:color="auto"/>
              <w:left w:val="nil"/>
              <w:bottom w:val="single" w:sz="4" w:space="0" w:color="auto"/>
              <w:right w:val="single" w:sz="4" w:space="0" w:color="auto"/>
            </w:tcBorders>
            <w:vAlign w:val="bottom"/>
          </w:tcPr>
          <w:p w14:paraId="185914E6" w14:textId="7DF44161" w:rsidR="00316969" w:rsidRPr="006367AA" w:rsidRDefault="00316969" w:rsidP="00316969">
            <w:pPr>
              <w:jc w:val="center"/>
              <w:rPr>
                <w:rFonts w:ascii="Calibri" w:hAnsi="Calibri" w:cs="Calibri"/>
                <w:color w:val="000000"/>
                <w:szCs w:val="22"/>
              </w:rPr>
            </w:pPr>
            <w:r>
              <w:rPr>
                <w:rFonts w:ascii="Calibri" w:hAnsi="Calibri" w:cs="Calibri"/>
                <w:color w:val="000000"/>
                <w:szCs w:val="22"/>
              </w:rPr>
              <w:t>10.3</w:t>
            </w:r>
          </w:p>
        </w:tc>
      </w:tr>
      <w:tr w:rsidR="00316969" w:rsidRPr="006367AA" w14:paraId="7E6445EB" w14:textId="6A0E8E4E"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EAF730B"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2</w:t>
            </w:r>
          </w:p>
        </w:tc>
        <w:tc>
          <w:tcPr>
            <w:tcW w:w="1584" w:type="dxa"/>
            <w:tcBorders>
              <w:top w:val="nil"/>
              <w:left w:val="nil"/>
              <w:bottom w:val="single" w:sz="4" w:space="0" w:color="auto"/>
              <w:right w:val="single" w:sz="4" w:space="0" w:color="auto"/>
            </w:tcBorders>
            <w:shd w:val="clear" w:color="auto" w:fill="auto"/>
            <w:noWrap/>
            <w:vAlign w:val="center"/>
            <w:hideMark/>
          </w:tcPr>
          <w:p w14:paraId="4BDD286A"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835</w:t>
            </w:r>
          </w:p>
        </w:tc>
        <w:tc>
          <w:tcPr>
            <w:tcW w:w="2304" w:type="dxa"/>
            <w:tcBorders>
              <w:top w:val="nil"/>
              <w:left w:val="nil"/>
              <w:bottom w:val="single" w:sz="4" w:space="0" w:color="auto"/>
              <w:right w:val="single" w:sz="4" w:space="0" w:color="auto"/>
            </w:tcBorders>
            <w:vAlign w:val="bottom"/>
          </w:tcPr>
          <w:p w14:paraId="4B762E1C" w14:textId="1E7D2159" w:rsidR="00316969" w:rsidRPr="006367AA" w:rsidRDefault="00316969" w:rsidP="00316969">
            <w:pPr>
              <w:jc w:val="center"/>
              <w:rPr>
                <w:rFonts w:ascii="Calibri" w:hAnsi="Calibri" w:cs="Calibri"/>
                <w:color w:val="000000"/>
                <w:szCs w:val="22"/>
              </w:rPr>
            </w:pPr>
            <w:r>
              <w:rPr>
                <w:rFonts w:ascii="Calibri" w:hAnsi="Calibri" w:cs="Calibri"/>
                <w:color w:val="000000"/>
                <w:szCs w:val="22"/>
              </w:rPr>
              <w:t>8.2</w:t>
            </w:r>
          </w:p>
        </w:tc>
      </w:tr>
      <w:tr w:rsidR="00316969" w:rsidRPr="006367AA" w14:paraId="6A288D77" w14:textId="1F284A32"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7DB3949"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p>
        </w:tc>
        <w:tc>
          <w:tcPr>
            <w:tcW w:w="1584" w:type="dxa"/>
            <w:tcBorders>
              <w:top w:val="nil"/>
              <w:left w:val="nil"/>
              <w:bottom w:val="single" w:sz="4" w:space="0" w:color="auto"/>
              <w:right w:val="single" w:sz="4" w:space="0" w:color="auto"/>
            </w:tcBorders>
            <w:shd w:val="clear" w:color="auto" w:fill="auto"/>
            <w:noWrap/>
            <w:vAlign w:val="center"/>
            <w:hideMark/>
          </w:tcPr>
          <w:p w14:paraId="60319B88"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257</w:t>
            </w:r>
          </w:p>
        </w:tc>
        <w:tc>
          <w:tcPr>
            <w:tcW w:w="2304" w:type="dxa"/>
            <w:tcBorders>
              <w:top w:val="nil"/>
              <w:left w:val="nil"/>
              <w:bottom w:val="single" w:sz="4" w:space="0" w:color="auto"/>
              <w:right w:val="single" w:sz="4" w:space="0" w:color="auto"/>
            </w:tcBorders>
            <w:vAlign w:val="bottom"/>
          </w:tcPr>
          <w:p w14:paraId="67B32911" w14:textId="41751798" w:rsidR="00316969" w:rsidRPr="006367AA" w:rsidRDefault="00316969" w:rsidP="00316969">
            <w:pPr>
              <w:jc w:val="center"/>
              <w:rPr>
                <w:rFonts w:ascii="Calibri" w:hAnsi="Calibri" w:cs="Calibri"/>
                <w:color w:val="000000"/>
                <w:szCs w:val="22"/>
              </w:rPr>
            </w:pPr>
            <w:r>
              <w:rPr>
                <w:rFonts w:ascii="Calibri" w:hAnsi="Calibri" w:cs="Calibri"/>
                <w:color w:val="000000"/>
                <w:szCs w:val="22"/>
              </w:rPr>
              <w:t>7.3</w:t>
            </w:r>
          </w:p>
        </w:tc>
      </w:tr>
      <w:tr w:rsidR="00316969" w:rsidRPr="006367AA" w14:paraId="08B79F8E" w14:textId="537257CB"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30C7FF00"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4</w:t>
            </w:r>
          </w:p>
        </w:tc>
        <w:tc>
          <w:tcPr>
            <w:tcW w:w="1584" w:type="dxa"/>
            <w:tcBorders>
              <w:top w:val="nil"/>
              <w:left w:val="nil"/>
              <w:bottom w:val="single" w:sz="4" w:space="0" w:color="auto"/>
              <w:right w:val="single" w:sz="4" w:space="0" w:color="auto"/>
            </w:tcBorders>
            <w:shd w:val="clear" w:color="auto" w:fill="auto"/>
            <w:noWrap/>
            <w:vAlign w:val="center"/>
            <w:hideMark/>
          </w:tcPr>
          <w:p w14:paraId="038E64A4"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050</w:t>
            </w:r>
          </w:p>
        </w:tc>
        <w:tc>
          <w:tcPr>
            <w:tcW w:w="2304" w:type="dxa"/>
            <w:tcBorders>
              <w:top w:val="nil"/>
              <w:left w:val="nil"/>
              <w:bottom w:val="single" w:sz="4" w:space="0" w:color="auto"/>
              <w:right w:val="single" w:sz="4" w:space="0" w:color="auto"/>
            </w:tcBorders>
            <w:vAlign w:val="bottom"/>
          </w:tcPr>
          <w:p w14:paraId="649EEF1F" w14:textId="4416E7E7" w:rsidR="00316969" w:rsidRPr="006367AA" w:rsidRDefault="00316969" w:rsidP="00316969">
            <w:pPr>
              <w:jc w:val="center"/>
              <w:rPr>
                <w:rFonts w:ascii="Calibri" w:hAnsi="Calibri" w:cs="Calibri"/>
                <w:color w:val="000000"/>
                <w:szCs w:val="22"/>
              </w:rPr>
            </w:pPr>
            <w:r>
              <w:rPr>
                <w:rFonts w:ascii="Calibri" w:hAnsi="Calibri" w:cs="Calibri"/>
                <w:color w:val="000000"/>
                <w:szCs w:val="22"/>
              </w:rPr>
              <w:t>7.0</w:t>
            </w:r>
          </w:p>
        </w:tc>
      </w:tr>
      <w:tr w:rsidR="00316969" w:rsidRPr="006367AA" w14:paraId="2D52FF0B" w14:textId="103395DF"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0770B20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5</w:t>
            </w:r>
          </w:p>
        </w:tc>
        <w:tc>
          <w:tcPr>
            <w:tcW w:w="1584" w:type="dxa"/>
            <w:tcBorders>
              <w:top w:val="nil"/>
              <w:left w:val="nil"/>
              <w:bottom w:val="single" w:sz="4" w:space="0" w:color="auto"/>
              <w:right w:val="single" w:sz="4" w:space="0" w:color="auto"/>
            </w:tcBorders>
            <w:shd w:val="clear" w:color="auto" w:fill="auto"/>
            <w:noWrap/>
            <w:vAlign w:val="center"/>
            <w:hideMark/>
          </w:tcPr>
          <w:p w14:paraId="0969724F"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715</w:t>
            </w:r>
          </w:p>
        </w:tc>
        <w:tc>
          <w:tcPr>
            <w:tcW w:w="2304" w:type="dxa"/>
            <w:tcBorders>
              <w:top w:val="nil"/>
              <w:left w:val="nil"/>
              <w:bottom w:val="single" w:sz="4" w:space="0" w:color="auto"/>
              <w:right w:val="single" w:sz="4" w:space="0" w:color="auto"/>
            </w:tcBorders>
            <w:vAlign w:val="bottom"/>
          </w:tcPr>
          <w:p w14:paraId="260938BF" w14:textId="3DCB5FE9" w:rsidR="00316969" w:rsidRPr="006367AA" w:rsidRDefault="00316969" w:rsidP="00316969">
            <w:pPr>
              <w:jc w:val="center"/>
              <w:rPr>
                <w:rFonts w:ascii="Calibri" w:hAnsi="Calibri" w:cs="Calibri"/>
                <w:color w:val="000000"/>
                <w:szCs w:val="22"/>
              </w:rPr>
            </w:pPr>
            <w:r>
              <w:rPr>
                <w:rFonts w:ascii="Calibri" w:hAnsi="Calibri" w:cs="Calibri"/>
                <w:color w:val="000000"/>
                <w:szCs w:val="22"/>
              </w:rPr>
              <w:t>7.9</w:t>
            </w:r>
          </w:p>
        </w:tc>
      </w:tr>
      <w:tr w:rsidR="00316969" w:rsidRPr="006367AA" w14:paraId="42DF95E1" w14:textId="5527EECB"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640F0144"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6</w:t>
            </w:r>
          </w:p>
        </w:tc>
        <w:tc>
          <w:tcPr>
            <w:tcW w:w="1584" w:type="dxa"/>
            <w:tcBorders>
              <w:top w:val="nil"/>
              <w:left w:val="nil"/>
              <w:bottom w:val="single" w:sz="4" w:space="0" w:color="auto"/>
              <w:right w:val="single" w:sz="4" w:space="0" w:color="auto"/>
            </w:tcBorders>
            <w:shd w:val="clear" w:color="auto" w:fill="auto"/>
            <w:noWrap/>
            <w:vAlign w:val="center"/>
            <w:hideMark/>
          </w:tcPr>
          <w:p w14:paraId="2EB0775A"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013</w:t>
            </w:r>
          </w:p>
        </w:tc>
        <w:tc>
          <w:tcPr>
            <w:tcW w:w="2304" w:type="dxa"/>
            <w:tcBorders>
              <w:top w:val="nil"/>
              <w:left w:val="nil"/>
              <w:bottom w:val="single" w:sz="4" w:space="0" w:color="auto"/>
              <w:right w:val="single" w:sz="4" w:space="0" w:color="auto"/>
            </w:tcBorders>
            <w:vAlign w:val="bottom"/>
          </w:tcPr>
          <w:p w14:paraId="7800B789" w14:textId="3E2B4310" w:rsidR="00316969" w:rsidRPr="006367AA" w:rsidRDefault="00316969" w:rsidP="00316969">
            <w:pPr>
              <w:jc w:val="center"/>
              <w:rPr>
                <w:rFonts w:ascii="Calibri" w:hAnsi="Calibri" w:cs="Calibri"/>
                <w:color w:val="000000"/>
                <w:szCs w:val="22"/>
              </w:rPr>
            </w:pPr>
            <w:r>
              <w:rPr>
                <w:rFonts w:ascii="Calibri" w:hAnsi="Calibri" w:cs="Calibri"/>
                <w:color w:val="000000"/>
                <w:szCs w:val="22"/>
              </w:rPr>
              <w:t>4.9</w:t>
            </w:r>
          </w:p>
        </w:tc>
      </w:tr>
      <w:tr w:rsidR="00316969" w:rsidRPr="006367AA" w14:paraId="6D734709" w14:textId="33472A95"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685BEF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7</w:t>
            </w:r>
          </w:p>
        </w:tc>
        <w:tc>
          <w:tcPr>
            <w:tcW w:w="1584" w:type="dxa"/>
            <w:tcBorders>
              <w:top w:val="nil"/>
              <w:left w:val="nil"/>
              <w:bottom w:val="single" w:sz="4" w:space="0" w:color="auto"/>
              <w:right w:val="single" w:sz="4" w:space="0" w:color="auto"/>
            </w:tcBorders>
            <w:shd w:val="clear" w:color="auto" w:fill="auto"/>
            <w:noWrap/>
            <w:vAlign w:val="center"/>
            <w:hideMark/>
          </w:tcPr>
          <w:p w14:paraId="23FAF41A"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478</w:t>
            </w:r>
          </w:p>
        </w:tc>
        <w:tc>
          <w:tcPr>
            <w:tcW w:w="2304" w:type="dxa"/>
            <w:tcBorders>
              <w:top w:val="nil"/>
              <w:left w:val="nil"/>
              <w:bottom w:val="single" w:sz="4" w:space="0" w:color="auto"/>
              <w:right w:val="single" w:sz="4" w:space="0" w:color="auto"/>
            </w:tcBorders>
            <w:vAlign w:val="bottom"/>
          </w:tcPr>
          <w:p w14:paraId="4C39603C" w14:textId="1CB8995A" w:rsidR="00316969" w:rsidRPr="006367AA" w:rsidRDefault="00316969" w:rsidP="00316969">
            <w:pPr>
              <w:jc w:val="center"/>
              <w:rPr>
                <w:rFonts w:ascii="Calibri" w:hAnsi="Calibri" w:cs="Calibri"/>
                <w:color w:val="000000"/>
                <w:szCs w:val="22"/>
              </w:rPr>
            </w:pPr>
            <w:r>
              <w:rPr>
                <w:rFonts w:ascii="Calibri" w:hAnsi="Calibri" w:cs="Calibri"/>
                <w:color w:val="000000"/>
                <w:szCs w:val="22"/>
              </w:rPr>
              <w:t>3.9</w:t>
            </w:r>
          </w:p>
        </w:tc>
      </w:tr>
      <w:tr w:rsidR="00316969" w:rsidRPr="006367AA" w14:paraId="04CAF788" w14:textId="679460DC"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A7909F2"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8</w:t>
            </w:r>
          </w:p>
        </w:tc>
        <w:tc>
          <w:tcPr>
            <w:tcW w:w="1584" w:type="dxa"/>
            <w:tcBorders>
              <w:top w:val="nil"/>
              <w:left w:val="nil"/>
              <w:bottom w:val="single" w:sz="4" w:space="0" w:color="auto"/>
              <w:right w:val="single" w:sz="4" w:space="0" w:color="auto"/>
            </w:tcBorders>
            <w:shd w:val="clear" w:color="auto" w:fill="auto"/>
            <w:noWrap/>
            <w:vAlign w:val="center"/>
            <w:hideMark/>
          </w:tcPr>
          <w:p w14:paraId="107F757D"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702</w:t>
            </w:r>
          </w:p>
        </w:tc>
        <w:tc>
          <w:tcPr>
            <w:tcW w:w="2304" w:type="dxa"/>
            <w:tcBorders>
              <w:top w:val="nil"/>
              <w:left w:val="nil"/>
              <w:bottom w:val="single" w:sz="4" w:space="0" w:color="auto"/>
              <w:right w:val="single" w:sz="4" w:space="0" w:color="auto"/>
            </w:tcBorders>
            <w:vAlign w:val="bottom"/>
          </w:tcPr>
          <w:p w14:paraId="4254D4AE" w14:textId="70DFD1AE" w:rsidR="00316969" w:rsidRPr="006367AA" w:rsidRDefault="00316969" w:rsidP="00316969">
            <w:pPr>
              <w:jc w:val="center"/>
              <w:rPr>
                <w:rFonts w:ascii="Calibri" w:hAnsi="Calibri" w:cs="Calibri"/>
                <w:color w:val="000000"/>
                <w:szCs w:val="22"/>
              </w:rPr>
            </w:pPr>
            <w:r>
              <w:rPr>
                <w:rFonts w:ascii="Calibri" w:hAnsi="Calibri" w:cs="Calibri"/>
                <w:color w:val="000000"/>
                <w:szCs w:val="22"/>
              </w:rPr>
              <w:t>4.2</w:t>
            </w:r>
          </w:p>
        </w:tc>
      </w:tr>
      <w:tr w:rsidR="00316969" w:rsidRPr="006367AA" w14:paraId="260E37CB" w14:textId="33C90755"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986DBF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9</w:t>
            </w:r>
          </w:p>
        </w:tc>
        <w:tc>
          <w:tcPr>
            <w:tcW w:w="1584" w:type="dxa"/>
            <w:tcBorders>
              <w:top w:val="nil"/>
              <w:left w:val="nil"/>
              <w:bottom w:val="single" w:sz="4" w:space="0" w:color="auto"/>
              <w:right w:val="single" w:sz="4" w:space="0" w:color="auto"/>
            </w:tcBorders>
            <w:shd w:val="clear" w:color="auto" w:fill="auto"/>
            <w:noWrap/>
            <w:vAlign w:val="center"/>
            <w:hideMark/>
          </w:tcPr>
          <w:p w14:paraId="45B0ADF4"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000</w:t>
            </w:r>
          </w:p>
        </w:tc>
        <w:tc>
          <w:tcPr>
            <w:tcW w:w="2304" w:type="dxa"/>
            <w:tcBorders>
              <w:top w:val="nil"/>
              <w:left w:val="nil"/>
              <w:bottom w:val="single" w:sz="4" w:space="0" w:color="auto"/>
              <w:right w:val="single" w:sz="4" w:space="0" w:color="auto"/>
            </w:tcBorders>
            <w:vAlign w:val="bottom"/>
          </w:tcPr>
          <w:p w14:paraId="422B1C19" w14:textId="557C050F" w:rsidR="00316969" w:rsidRPr="006367AA" w:rsidRDefault="00316969" w:rsidP="00316969">
            <w:pPr>
              <w:jc w:val="center"/>
              <w:rPr>
                <w:rFonts w:ascii="Calibri" w:hAnsi="Calibri" w:cs="Calibri"/>
                <w:color w:val="000000"/>
                <w:szCs w:val="22"/>
              </w:rPr>
            </w:pPr>
            <w:r>
              <w:rPr>
                <w:rFonts w:ascii="Calibri" w:hAnsi="Calibri" w:cs="Calibri"/>
                <w:color w:val="000000"/>
                <w:szCs w:val="22"/>
              </w:rPr>
              <w:t>4.9</w:t>
            </w:r>
          </w:p>
        </w:tc>
      </w:tr>
      <w:tr w:rsidR="00316969" w:rsidRPr="006367AA" w14:paraId="190CC560" w14:textId="46A924FC"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0A7F2B89"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10</w:t>
            </w:r>
          </w:p>
        </w:tc>
        <w:tc>
          <w:tcPr>
            <w:tcW w:w="1584" w:type="dxa"/>
            <w:tcBorders>
              <w:top w:val="nil"/>
              <w:left w:val="nil"/>
              <w:bottom w:val="single" w:sz="4" w:space="0" w:color="auto"/>
              <w:right w:val="single" w:sz="4" w:space="0" w:color="auto"/>
            </w:tcBorders>
            <w:shd w:val="clear" w:color="auto" w:fill="auto"/>
            <w:noWrap/>
            <w:vAlign w:val="center"/>
            <w:hideMark/>
          </w:tcPr>
          <w:p w14:paraId="4BB5D08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240</w:t>
            </w:r>
          </w:p>
        </w:tc>
        <w:tc>
          <w:tcPr>
            <w:tcW w:w="2304" w:type="dxa"/>
            <w:tcBorders>
              <w:top w:val="nil"/>
              <w:left w:val="nil"/>
              <w:bottom w:val="single" w:sz="4" w:space="0" w:color="auto"/>
              <w:right w:val="single" w:sz="4" w:space="0" w:color="auto"/>
            </w:tcBorders>
            <w:vAlign w:val="bottom"/>
          </w:tcPr>
          <w:p w14:paraId="61FCC53D" w14:textId="11DAEC3D" w:rsidR="00316969" w:rsidRPr="006367AA" w:rsidRDefault="00316969" w:rsidP="00316969">
            <w:pPr>
              <w:jc w:val="center"/>
              <w:rPr>
                <w:rFonts w:ascii="Calibri" w:hAnsi="Calibri" w:cs="Calibri"/>
                <w:color w:val="000000"/>
                <w:szCs w:val="22"/>
              </w:rPr>
            </w:pPr>
            <w:r>
              <w:rPr>
                <w:rFonts w:ascii="Calibri" w:hAnsi="Calibri" w:cs="Calibri"/>
                <w:color w:val="000000"/>
                <w:szCs w:val="22"/>
              </w:rPr>
              <w:t>5.4</w:t>
            </w:r>
          </w:p>
        </w:tc>
      </w:tr>
      <w:tr w:rsidR="00316969" w:rsidRPr="006367AA" w14:paraId="0C4D772A" w14:textId="6D4A1044"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9FCA58E"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11</w:t>
            </w:r>
          </w:p>
        </w:tc>
        <w:tc>
          <w:tcPr>
            <w:tcW w:w="1584" w:type="dxa"/>
            <w:tcBorders>
              <w:top w:val="nil"/>
              <w:left w:val="nil"/>
              <w:bottom w:val="single" w:sz="4" w:space="0" w:color="auto"/>
              <w:right w:val="single" w:sz="4" w:space="0" w:color="auto"/>
            </w:tcBorders>
            <w:shd w:val="clear" w:color="auto" w:fill="auto"/>
            <w:noWrap/>
            <w:vAlign w:val="center"/>
            <w:hideMark/>
          </w:tcPr>
          <w:p w14:paraId="0C67FC79"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027</w:t>
            </w:r>
          </w:p>
        </w:tc>
        <w:tc>
          <w:tcPr>
            <w:tcW w:w="2304" w:type="dxa"/>
            <w:tcBorders>
              <w:top w:val="nil"/>
              <w:left w:val="nil"/>
              <w:bottom w:val="single" w:sz="4" w:space="0" w:color="auto"/>
              <w:right w:val="single" w:sz="4" w:space="0" w:color="auto"/>
            </w:tcBorders>
            <w:vAlign w:val="bottom"/>
          </w:tcPr>
          <w:p w14:paraId="4D5EE64E" w14:textId="16A5A732" w:rsidR="00316969" w:rsidRPr="006367AA" w:rsidRDefault="00316969" w:rsidP="00316969">
            <w:pPr>
              <w:jc w:val="center"/>
              <w:rPr>
                <w:rFonts w:ascii="Calibri" w:hAnsi="Calibri" w:cs="Calibri"/>
                <w:color w:val="000000"/>
                <w:szCs w:val="22"/>
              </w:rPr>
            </w:pPr>
            <w:r>
              <w:rPr>
                <w:rFonts w:ascii="Calibri" w:hAnsi="Calibri" w:cs="Calibri"/>
                <w:color w:val="000000"/>
                <w:szCs w:val="22"/>
              </w:rPr>
              <w:t>7.5</w:t>
            </w:r>
          </w:p>
        </w:tc>
      </w:tr>
      <w:tr w:rsidR="00316969" w:rsidRPr="006367AA" w14:paraId="46BEB592" w14:textId="1E224827"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2E14B7F"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12</w:t>
            </w:r>
          </w:p>
        </w:tc>
        <w:tc>
          <w:tcPr>
            <w:tcW w:w="1584" w:type="dxa"/>
            <w:tcBorders>
              <w:top w:val="nil"/>
              <w:left w:val="nil"/>
              <w:bottom w:val="single" w:sz="4" w:space="0" w:color="auto"/>
              <w:right w:val="single" w:sz="4" w:space="0" w:color="auto"/>
            </w:tcBorders>
            <w:shd w:val="clear" w:color="auto" w:fill="auto"/>
            <w:noWrap/>
            <w:vAlign w:val="center"/>
            <w:hideMark/>
          </w:tcPr>
          <w:p w14:paraId="6819F45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122</w:t>
            </w:r>
          </w:p>
        </w:tc>
        <w:tc>
          <w:tcPr>
            <w:tcW w:w="2304" w:type="dxa"/>
            <w:tcBorders>
              <w:top w:val="nil"/>
              <w:left w:val="nil"/>
              <w:bottom w:val="single" w:sz="4" w:space="0" w:color="auto"/>
              <w:right w:val="single" w:sz="4" w:space="0" w:color="auto"/>
            </w:tcBorders>
            <w:vAlign w:val="bottom"/>
          </w:tcPr>
          <w:p w14:paraId="2436BC1D" w14:textId="6C0BE421" w:rsidR="00316969" w:rsidRPr="006367AA" w:rsidRDefault="00316969" w:rsidP="00316969">
            <w:pPr>
              <w:jc w:val="center"/>
              <w:rPr>
                <w:rFonts w:ascii="Calibri" w:hAnsi="Calibri" w:cs="Calibri"/>
                <w:color w:val="000000"/>
                <w:szCs w:val="22"/>
              </w:rPr>
            </w:pPr>
            <w:r>
              <w:rPr>
                <w:rFonts w:ascii="Calibri" w:hAnsi="Calibri" w:cs="Calibri"/>
                <w:color w:val="000000"/>
                <w:szCs w:val="22"/>
              </w:rPr>
              <w:t>7.4</w:t>
            </w:r>
          </w:p>
        </w:tc>
      </w:tr>
      <w:tr w:rsidR="00316969" w:rsidRPr="006367AA" w14:paraId="3EB868E1" w14:textId="47B7092B"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1D487C55"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13</w:t>
            </w:r>
          </w:p>
        </w:tc>
        <w:tc>
          <w:tcPr>
            <w:tcW w:w="1584" w:type="dxa"/>
            <w:tcBorders>
              <w:top w:val="nil"/>
              <w:left w:val="nil"/>
              <w:bottom w:val="single" w:sz="4" w:space="0" w:color="auto"/>
              <w:right w:val="single" w:sz="4" w:space="0" w:color="auto"/>
            </w:tcBorders>
            <w:shd w:val="clear" w:color="auto" w:fill="auto"/>
            <w:noWrap/>
            <w:vAlign w:val="center"/>
            <w:hideMark/>
          </w:tcPr>
          <w:p w14:paraId="00D677A3"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794</w:t>
            </w:r>
          </w:p>
        </w:tc>
        <w:tc>
          <w:tcPr>
            <w:tcW w:w="2304" w:type="dxa"/>
            <w:tcBorders>
              <w:top w:val="nil"/>
              <w:left w:val="nil"/>
              <w:bottom w:val="single" w:sz="4" w:space="0" w:color="auto"/>
              <w:right w:val="single" w:sz="4" w:space="0" w:color="auto"/>
            </w:tcBorders>
            <w:vAlign w:val="bottom"/>
          </w:tcPr>
          <w:p w14:paraId="53E79A5A" w14:textId="1F3BC452" w:rsidR="00316969" w:rsidRPr="006367AA" w:rsidRDefault="00316969" w:rsidP="00316969">
            <w:pPr>
              <w:jc w:val="center"/>
              <w:rPr>
                <w:rFonts w:ascii="Calibri" w:hAnsi="Calibri" w:cs="Calibri"/>
                <w:color w:val="000000"/>
                <w:szCs w:val="22"/>
              </w:rPr>
            </w:pPr>
            <w:r>
              <w:rPr>
                <w:rFonts w:ascii="Calibri" w:hAnsi="Calibri" w:cs="Calibri"/>
                <w:color w:val="000000"/>
                <w:szCs w:val="22"/>
              </w:rPr>
              <w:t>6.9</w:t>
            </w:r>
          </w:p>
        </w:tc>
      </w:tr>
      <w:tr w:rsidR="00316969" w:rsidRPr="006367AA" w14:paraId="3C7B3DF5" w14:textId="2F2A98BF"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439C5036"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14</w:t>
            </w:r>
          </w:p>
        </w:tc>
        <w:tc>
          <w:tcPr>
            <w:tcW w:w="1584" w:type="dxa"/>
            <w:tcBorders>
              <w:top w:val="nil"/>
              <w:left w:val="nil"/>
              <w:bottom w:val="single" w:sz="4" w:space="0" w:color="auto"/>
              <w:right w:val="single" w:sz="4" w:space="0" w:color="auto"/>
            </w:tcBorders>
            <w:shd w:val="clear" w:color="auto" w:fill="auto"/>
            <w:noWrap/>
            <w:vAlign w:val="center"/>
            <w:hideMark/>
          </w:tcPr>
          <w:p w14:paraId="5EBE1011"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322</w:t>
            </w:r>
          </w:p>
        </w:tc>
        <w:tc>
          <w:tcPr>
            <w:tcW w:w="2304" w:type="dxa"/>
            <w:tcBorders>
              <w:top w:val="nil"/>
              <w:left w:val="nil"/>
              <w:bottom w:val="single" w:sz="4" w:space="0" w:color="auto"/>
              <w:right w:val="single" w:sz="4" w:space="0" w:color="auto"/>
            </w:tcBorders>
            <w:vAlign w:val="bottom"/>
          </w:tcPr>
          <w:p w14:paraId="1032A59D" w14:textId="0BC9BED3" w:rsidR="00316969" w:rsidRPr="006367AA" w:rsidRDefault="00316969" w:rsidP="00316969">
            <w:pPr>
              <w:jc w:val="center"/>
              <w:rPr>
                <w:rFonts w:ascii="Calibri" w:hAnsi="Calibri" w:cs="Calibri"/>
                <w:color w:val="000000"/>
                <w:szCs w:val="22"/>
              </w:rPr>
            </w:pPr>
            <w:r>
              <w:rPr>
                <w:rFonts w:ascii="Calibri" w:hAnsi="Calibri" w:cs="Calibri"/>
                <w:color w:val="000000"/>
                <w:szCs w:val="22"/>
              </w:rPr>
              <w:t>8.0</w:t>
            </w:r>
          </w:p>
        </w:tc>
      </w:tr>
      <w:tr w:rsidR="00316969" w:rsidRPr="006367AA" w14:paraId="59AD9F2C" w14:textId="0D39724F"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5F04BB6A"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lastRenderedPageBreak/>
              <w:t>15</w:t>
            </w:r>
          </w:p>
        </w:tc>
        <w:tc>
          <w:tcPr>
            <w:tcW w:w="1584" w:type="dxa"/>
            <w:tcBorders>
              <w:top w:val="nil"/>
              <w:left w:val="nil"/>
              <w:bottom w:val="single" w:sz="4" w:space="0" w:color="auto"/>
              <w:right w:val="single" w:sz="4" w:space="0" w:color="auto"/>
            </w:tcBorders>
            <w:shd w:val="clear" w:color="auto" w:fill="auto"/>
            <w:noWrap/>
            <w:vAlign w:val="center"/>
            <w:hideMark/>
          </w:tcPr>
          <w:p w14:paraId="5396C26D"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102</w:t>
            </w:r>
          </w:p>
        </w:tc>
        <w:tc>
          <w:tcPr>
            <w:tcW w:w="2304" w:type="dxa"/>
            <w:tcBorders>
              <w:top w:val="nil"/>
              <w:left w:val="nil"/>
              <w:bottom w:val="single" w:sz="4" w:space="0" w:color="auto"/>
              <w:right w:val="single" w:sz="4" w:space="0" w:color="auto"/>
            </w:tcBorders>
            <w:vAlign w:val="bottom"/>
          </w:tcPr>
          <w:p w14:paraId="6FE305DB" w14:textId="55AA6145" w:rsidR="00316969" w:rsidRPr="006367AA" w:rsidRDefault="00316969" w:rsidP="00316969">
            <w:pPr>
              <w:jc w:val="center"/>
              <w:rPr>
                <w:rFonts w:ascii="Calibri" w:hAnsi="Calibri" w:cs="Calibri"/>
                <w:color w:val="000000"/>
                <w:szCs w:val="22"/>
              </w:rPr>
            </w:pPr>
            <w:r>
              <w:rPr>
                <w:rFonts w:ascii="Calibri" w:hAnsi="Calibri" w:cs="Calibri"/>
                <w:color w:val="000000"/>
                <w:szCs w:val="22"/>
              </w:rPr>
              <w:t>2.8</w:t>
            </w:r>
          </w:p>
        </w:tc>
      </w:tr>
      <w:tr w:rsidR="00316969" w:rsidRPr="006367AA" w14:paraId="666A1F02" w14:textId="3BD5D826" w:rsidTr="00102456">
        <w:trPr>
          <w:trHeight w:val="300"/>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14:paraId="74C03113"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16</w:t>
            </w:r>
          </w:p>
        </w:tc>
        <w:tc>
          <w:tcPr>
            <w:tcW w:w="1584" w:type="dxa"/>
            <w:tcBorders>
              <w:top w:val="nil"/>
              <w:left w:val="nil"/>
              <w:bottom w:val="single" w:sz="4" w:space="0" w:color="auto"/>
              <w:right w:val="single" w:sz="4" w:space="0" w:color="auto"/>
            </w:tcBorders>
            <w:shd w:val="clear" w:color="auto" w:fill="auto"/>
            <w:noWrap/>
            <w:vAlign w:val="center"/>
            <w:hideMark/>
          </w:tcPr>
          <w:p w14:paraId="0C279ACB" w14:textId="77777777" w:rsidR="00316969" w:rsidRPr="006367AA" w:rsidRDefault="00316969" w:rsidP="00316969">
            <w:pPr>
              <w:jc w:val="center"/>
              <w:rPr>
                <w:rFonts w:ascii="Calibri" w:hAnsi="Calibri" w:cs="Calibri"/>
                <w:color w:val="000000"/>
                <w:szCs w:val="22"/>
              </w:rPr>
            </w:pPr>
            <w:r w:rsidRPr="006367AA">
              <w:rPr>
                <w:rFonts w:ascii="Calibri" w:hAnsi="Calibri" w:cs="Calibri"/>
                <w:color w:val="000000"/>
                <w:szCs w:val="22"/>
              </w:rPr>
              <w:t>5</w:t>
            </w:r>
            <w:r>
              <w:rPr>
                <w:rFonts w:ascii="Calibri" w:hAnsi="Calibri" w:cs="Calibri"/>
                <w:color w:val="000000"/>
                <w:szCs w:val="22"/>
              </w:rPr>
              <w:t>,</w:t>
            </w:r>
            <w:r w:rsidRPr="006367AA">
              <w:rPr>
                <w:rFonts w:ascii="Calibri" w:hAnsi="Calibri" w:cs="Calibri"/>
                <w:color w:val="000000"/>
                <w:szCs w:val="22"/>
              </w:rPr>
              <w:t>578</w:t>
            </w:r>
          </w:p>
        </w:tc>
        <w:tc>
          <w:tcPr>
            <w:tcW w:w="2304" w:type="dxa"/>
            <w:tcBorders>
              <w:top w:val="nil"/>
              <w:left w:val="nil"/>
              <w:bottom w:val="single" w:sz="4" w:space="0" w:color="auto"/>
              <w:right w:val="single" w:sz="4" w:space="0" w:color="auto"/>
            </w:tcBorders>
            <w:vAlign w:val="bottom"/>
          </w:tcPr>
          <w:p w14:paraId="15D20140" w14:textId="04626BE3" w:rsidR="00316969" w:rsidRPr="006367AA" w:rsidRDefault="00316969" w:rsidP="00316969">
            <w:pPr>
              <w:jc w:val="center"/>
              <w:rPr>
                <w:rFonts w:ascii="Calibri" w:hAnsi="Calibri" w:cs="Calibri"/>
                <w:color w:val="000000"/>
                <w:szCs w:val="22"/>
              </w:rPr>
            </w:pPr>
            <w:r>
              <w:rPr>
                <w:rFonts w:ascii="Calibri" w:hAnsi="Calibri" w:cs="Calibri"/>
                <w:color w:val="000000"/>
                <w:szCs w:val="22"/>
              </w:rPr>
              <w:t>13.3</w:t>
            </w:r>
          </w:p>
        </w:tc>
      </w:tr>
    </w:tbl>
    <w:p w14:paraId="108DA209" w14:textId="248DDF2E" w:rsidR="00AA2BE0" w:rsidRDefault="00AA2BE0" w:rsidP="00663CD9">
      <w:pPr>
        <w:pStyle w:val="Reminders"/>
        <w:rPr>
          <w:rFonts w:asciiTheme="minorHAnsi" w:hAnsiTheme="minorHAnsi" w:cstheme="minorHAnsi"/>
          <w:i w:val="0"/>
          <w:color w:val="auto"/>
          <w:szCs w:val="22"/>
        </w:rPr>
      </w:pPr>
    </w:p>
    <w:p w14:paraId="71B7AC1E" w14:textId="77777777" w:rsidR="00AA2BE0" w:rsidRDefault="00AA2BE0" w:rsidP="00663CD9">
      <w:pPr>
        <w:pStyle w:val="Reminders"/>
        <w:rPr>
          <w:rFonts w:asciiTheme="minorHAnsi" w:hAnsiTheme="minorHAnsi" w:cstheme="minorHAnsi"/>
          <w:i w:val="0"/>
          <w:color w:val="auto"/>
          <w:szCs w:val="22"/>
        </w:rPr>
      </w:pPr>
    </w:p>
    <w:p w14:paraId="41B66A02" w14:textId="3852B863" w:rsidR="00DF65C8" w:rsidRPr="00384E62" w:rsidRDefault="00EC5782" w:rsidP="00DF5744">
      <w:pPr>
        <w:pStyle w:val="Heading2"/>
        <w:rPr>
          <w:rFonts w:asciiTheme="minorHAnsi" w:hAnsiTheme="minorHAnsi" w:cstheme="minorHAnsi"/>
        </w:rPr>
      </w:pPr>
      <w:r w:rsidRPr="00384E62">
        <w:rPr>
          <w:rFonts w:asciiTheme="minorHAnsi" w:hAnsiTheme="minorHAnsi" w:cstheme="minorHAnsi"/>
        </w:rPr>
        <w:t>2.3 Hours Per Year the Standing Pilot is ON</w:t>
      </w:r>
    </w:p>
    <w:p w14:paraId="3436765E" w14:textId="689B5A09" w:rsidR="00663CD9" w:rsidRPr="00485963" w:rsidRDefault="001043F0" w:rsidP="00663CD9">
      <w:pPr>
        <w:pStyle w:val="Reminders"/>
        <w:rPr>
          <w:rFonts w:asciiTheme="minorHAnsi" w:hAnsiTheme="minorHAnsi" w:cstheme="minorHAnsi"/>
          <w:i w:val="0"/>
          <w:szCs w:val="22"/>
        </w:rPr>
      </w:pPr>
      <w:r>
        <w:rPr>
          <w:rFonts w:asciiTheme="minorHAnsi" w:hAnsiTheme="minorHAnsi" w:cstheme="minorHAnsi"/>
          <w:i w:val="0"/>
          <w:color w:val="auto"/>
          <w:szCs w:val="22"/>
        </w:rPr>
        <w:t>Within the heating season (when the pilot is lit) t</w:t>
      </w:r>
      <w:r w:rsidR="00663CD9" w:rsidRPr="00041151">
        <w:rPr>
          <w:rFonts w:asciiTheme="minorHAnsi" w:hAnsiTheme="minorHAnsi" w:cstheme="minorHAnsi"/>
          <w:i w:val="0"/>
          <w:color w:val="auto"/>
          <w:szCs w:val="22"/>
        </w:rPr>
        <w:t xml:space="preserve">here are </w:t>
      </w:r>
      <w:r w:rsidR="00056D3F">
        <w:rPr>
          <w:rFonts w:asciiTheme="minorHAnsi" w:hAnsiTheme="minorHAnsi" w:cstheme="minorHAnsi"/>
          <w:i w:val="0"/>
          <w:color w:val="auto"/>
          <w:szCs w:val="22"/>
        </w:rPr>
        <w:t>three</w:t>
      </w:r>
      <w:r w:rsidR="00663CD9" w:rsidRPr="00041151">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different operating states that must be considered </w:t>
      </w:r>
      <w:r w:rsidR="00663CD9" w:rsidRPr="00041151">
        <w:rPr>
          <w:rFonts w:asciiTheme="minorHAnsi" w:hAnsiTheme="minorHAnsi" w:cstheme="minorHAnsi"/>
          <w:i w:val="0"/>
          <w:color w:val="auto"/>
          <w:szCs w:val="22"/>
        </w:rPr>
        <w:t xml:space="preserve">for </w:t>
      </w:r>
      <w:r w:rsidR="00385BF8">
        <w:rPr>
          <w:rFonts w:asciiTheme="minorHAnsi" w:hAnsiTheme="minorHAnsi" w:cstheme="minorHAnsi"/>
          <w:i w:val="0"/>
          <w:color w:val="auto"/>
          <w:szCs w:val="22"/>
        </w:rPr>
        <w:t xml:space="preserve">calculating </w:t>
      </w:r>
      <w:r w:rsidR="00EC5782">
        <w:rPr>
          <w:rFonts w:asciiTheme="minorHAnsi" w:hAnsiTheme="minorHAnsi" w:cstheme="minorHAnsi"/>
          <w:i w:val="0"/>
          <w:color w:val="auto"/>
          <w:szCs w:val="22"/>
        </w:rPr>
        <w:t xml:space="preserve">pilot light </w:t>
      </w:r>
      <w:r w:rsidR="00663CD9" w:rsidRPr="00041151">
        <w:rPr>
          <w:rFonts w:asciiTheme="minorHAnsi" w:hAnsiTheme="minorHAnsi" w:cstheme="minorHAnsi"/>
          <w:i w:val="0"/>
          <w:color w:val="auto"/>
          <w:szCs w:val="22"/>
        </w:rPr>
        <w:t xml:space="preserve">ON hours, these instances depend on the </w:t>
      </w:r>
      <w:r w:rsidR="00385BF8">
        <w:rPr>
          <w:rFonts w:asciiTheme="minorHAnsi" w:hAnsiTheme="minorHAnsi" w:cstheme="minorHAnsi"/>
          <w:i w:val="0"/>
          <w:color w:val="auto"/>
          <w:szCs w:val="22"/>
        </w:rPr>
        <w:t xml:space="preserve">HDD </w:t>
      </w:r>
      <w:r>
        <w:rPr>
          <w:rFonts w:asciiTheme="minorHAnsi" w:hAnsiTheme="minorHAnsi" w:cstheme="minorHAnsi"/>
          <w:i w:val="0"/>
          <w:color w:val="auto"/>
          <w:szCs w:val="22"/>
        </w:rPr>
        <w:t xml:space="preserve">for each hour </w:t>
      </w:r>
      <w:r w:rsidR="00663CD9" w:rsidRPr="00041151">
        <w:rPr>
          <w:rFonts w:asciiTheme="minorHAnsi" w:hAnsiTheme="minorHAnsi" w:cstheme="minorHAnsi"/>
          <w:i w:val="0"/>
          <w:color w:val="auto"/>
          <w:szCs w:val="22"/>
        </w:rPr>
        <w:t>and are as follow</w:t>
      </w:r>
      <w:r>
        <w:rPr>
          <w:rFonts w:asciiTheme="minorHAnsi" w:hAnsiTheme="minorHAnsi" w:cstheme="minorHAnsi"/>
          <w:i w:val="0"/>
          <w:color w:val="auto"/>
          <w:szCs w:val="22"/>
        </w:rPr>
        <w:t>s:</w:t>
      </w:r>
      <w:r w:rsidR="00663CD9" w:rsidRPr="00041151">
        <w:rPr>
          <w:rFonts w:asciiTheme="minorHAnsi" w:hAnsiTheme="minorHAnsi" w:cstheme="minorHAnsi"/>
          <w:i w:val="0"/>
          <w:color w:val="auto"/>
          <w:szCs w:val="22"/>
        </w:rPr>
        <w:t xml:space="preserve"> </w:t>
      </w:r>
    </w:p>
    <w:p w14:paraId="2867CCCA" w14:textId="339B3EC4" w:rsidR="00663CD9" w:rsidRPr="00041151" w:rsidRDefault="008C27E1" w:rsidP="001C5936">
      <w:pPr>
        <w:pStyle w:val="Reminders"/>
        <w:numPr>
          <w:ilvl w:val="0"/>
          <w:numId w:val="9"/>
        </w:numPr>
        <w:rPr>
          <w:rFonts w:asciiTheme="minorHAnsi" w:hAnsiTheme="minorHAnsi" w:cstheme="minorHAnsi"/>
          <w:i w:val="0"/>
          <w:color w:val="auto"/>
          <w:szCs w:val="22"/>
        </w:rPr>
      </w:pPr>
      <w:r w:rsidRPr="008C27E1">
        <w:rPr>
          <w:rFonts w:asciiTheme="minorHAnsi" w:hAnsiTheme="minorHAnsi" w:cstheme="minorHAnsi"/>
          <w:b/>
          <w:i w:val="0"/>
          <w:color w:val="auto"/>
          <w:szCs w:val="22"/>
        </w:rPr>
        <w:t>Pilot-</w:t>
      </w:r>
      <w:r>
        <w:rPr>
          <w:rFonts w:asciiTheme="minorHAnsi" w:hAnsiTheme="minorHAnsi" w:cstheme="minorHAnsi"/>
          <w:b/>
          <w:i w:val="0"/>
          <w:color w:val="auto"/>
          <w:szCs w:val="22"/>
        </w:rPr>
        <w:t>o</w:t>
      </w:r>
      <w:r w:rsidRPr="008C27E1">
        <w:rPr>
          <w:rFonts w:asciiTheme="minorHAnsi" w:hAnsiTheme="minorHAnsi" w:cstheme="minorHAnsi"/>
          <w:b/>
          <w:i w:val="0"/>
          <w:color w:val="auto"/>
          <w:szCs w:val="22"/>
        </w:rPr>
        <w:t>nly on-time</w:t>
      </w:r>
      <w:r w:rsidR="008C4347">
        <w:rPr>
          <w:rFonts w:asciiTheme="minorHAnsi" w:hAnsiTheme="minorHAnsi" w:cstheme="minorHAnsi"/>
          <w:b/>
          <w:i w:val="0"/>
          <w:color w:val="auto"/>
          <w:szCs w:val="22"/>
        </w:rPr>
        <w:t xml:space="preserve"> (no heat call)</w:t>
      </w:r>
      <w:r>
        <w:rPr>
          <w:rFonts w:asciiTheme="minorHAnsi" w:hAnsiTheme="minorHAnsi" w:cstheme="minorHAnsi"/>
          <w:i w:val="0"/>
          <w:color w:val="auto"/>
          <w:szCs w:val="22"/>
        </w:rPr>
        <w:t xml:space="preserve"> – </w:t>
      </w:r>
      <w:r w:rsidR="00385BF8">
        <w:rPr>
          <w:rFonts w:asciiTheme="minorHAnsi" w:hAnsiTheme="minorHAnsi" w:cstheme="minorHAnsi"/>
          <w:i w:val="0"/>
          <w:color w:val="auto"/>
          <w:szCs w:val="22"/>
        </w:rPr>
        <w:t>I</w:t>
      </w:r>
      <w:r w:rsidR="00663CD9" w:rsidRPr="00041151">
        <w:rPr>
          <w:rFonts w:asciiTheme="minorHAnsi" w:hAnsiTheme="minorHAnsi" w:cstheme="minorHAnsi"/>
          <w:i w:val="0"/>
          <w:color w:val="auto"/>
          <w:szCs w:val="22"/>
        </w:rPr>
        <w:t>f the HDD is equal to zero, the</w:t>
      </w:r>
      <w:r w:rsidR="00385BF8">
        <w:rPr>
          <w:rFonts w:asciiTheme="minorHAnsi" w:hAnsiTheme="minorHAnsi" w:cstheme="minorHAnsi"/>
          <w:i w:val="0"/>
          <w:color w:val="auto"/>
          <w:szCs w:val="22"/>
        </w:rPr>
        <w:t>n no heating is required, and the</w:t>
      </w:r>
      <w:r w:rsidR="00663CD9" w:rsidRPr="00041151">
        <w:rPr>
          <w:rFonts w:asciiTheme="minorHAnsi" w:hAnsiTheme="minorHAnsi" w:cstheme="minorHAnsi"/>
          <w:i w:val="0"/>
          <w:color w:val="auto"/>
          <w:szCs w:val="22"/>
        </w:rPr>
        <w:t xml:space="preserve"> </w:t>
      </w:r>
      <w:r w:rsidR="00385BF8">
        <w:rPr>
          <w:rFonts w:asciiTheme="minorHAnsi" w:hAnsiTheme="minorHAnsi" w:cstheme="minorHAnsi"/>
          <w:i w:val="0"/>
          <w:color w:val="auto"/>
          <w:szCs w:val="22"/>
        </w:rPr>
        <w:t>entire</w:t>
      </w:r>
      <w:r w:rsidR="00663CD9" w:rsidRPr="00041151">
        <w:rPr>
          <w:rFonts w:asciiTheme="minorHAnsi" w:hAnsiTheme="minorHAnsi" w:cstheme="minorHAnsi"/>
          <w:i w:val="0"/>
          <w:color w:val="auto"/>
          <w:szCs w:val="22"/>
        </w:rPr>
        <w:t xml:space="preserve"> hour</w:t>
      </w:r>
      <w:r w:rsidR="00385BF8">
        <w:rPr>
          <w:rFonts w:asciiTheme="minorHAnsi" w:hAnsiTheme="minorHAnsi" w:cstheme="minorHAnsi"/>
          <w:i w:val="0"/>
          <w:color w:val="auto"/>
          <w:szCs w:val="22"/>
        </w:rPr>
        <w:t xml:space="preserve"> is counted towards pilot ON time.</w:t>
      </w:r>
    </w:p>
    <w:p w14:paraId="628316AD" w14:textId="65F598EF" w:rsidR="00385BF8" w:rsidRDefault="008C4347" w:rsidP="001C5936">
      <w:pPr>
        <w:pStyle w:val="Reminders"/>
        <w:numPr>
          <w:ilvl w:val="0"/>
          <w:numId w:val="9"/>
        </w:numPr>
        <w:rPr>
          <w:rFonts w:asciiTheme="minorHAnsi" w:hAnsiTheme="minorHAnsi" w:cstheme="minorHAnsi"/>
          <w:i w:val="0"/>
          <w:color w:val="auto"/>
          <w:szCs w:val="22"/>
        </w:rPr>
      </w:pPr>
      <w:r w:rsidRPr="008C4347">
        <w:rPr>
          <w:rFonts w:asciiTheme="minorHAnsi" w:hAnsiTheme="minorHAnsi" w:cstheme="minorHAnsi"/>
          <w:b/>
          <w:i w:val="0"/>
          <w:color w:val="auto"/>
          <w:szCs w:val="22"/>
        </w:rPr>
        <w:t xml:space="preserve">Pilot </w:t>
      </w:r>
      <w:r>
        <w:rPr>
          <w:rFonts w:asciiTheme="minorHAnsi" w:hAnsiTheme="minorHAnsi" w:cstheme="minorHAnsi"/>
          <w:b/>
          <w:i w:val="0"/>
          <w:color w:val="auto"/>
          <w:szCs w:val="22"/>
        </w:rPr>
        <w:t>plus</w:t>
      </w:r>
      <w:r w:rsidRPr="008C4347">
        <w:rPr>
          <w:rFonts w:asciiTheme="minorHAnsi" w:hAnsiTheme="minorHAnsi" w:cstheme="minorHAnsi"/>
          <w:b/>
          <w:i w:val="0"/>
          <w:color w:val="auto"/>
          <w:szCs w:val="22"/>
        </w:rPr>
        <w:t xml:space="preserve"> Burner on-time</w:t>
      </w:r>
      <w:r>
        <w:rPr>
          <w:rFonts w:asciiTheme="minorHAnsi" w:hAnsiTheme="minorHAnsi" w:cstheme="minorHAnsi"/>
          <w:i w:val="0"/>
          <w:color w:val="auto"/>
          <w:szCs w:val="22"/>
        </w:rPr>
        <w:t xml:space="preserve"> – </w:t>
      </w:r>
      <w:r w:rsidR="00385BF8">
        <w:rPr>
          <w:rFonts w:asciiTheme="minorHAnsi" w:hAnsiTheme="minorHAnsi" w:cstheme="minorHAnsi"/>
          <w:i w:val="0"/>
          <w:color w:val="auto"/>
          <w:szCs w:val="22"/>
        </w:rPr>
        <w:t>I</w:t>
      </w:r>
      <w:r w:rsidR="00663CD9" w:rsidRPr="00041151">
        <w:rPr>
          <w:rFonts w:asciiTheme="minorHAnsi" w:hAnsiTheme="minorHAnsi" w:cstheme="minorHAnsi"/>
          <w:i w:val="0"/>
          <w:color w:val="auto"/>
          <w:szCs w:val="22"/>
        </w:rPr>
        <w:t xml:space="preserve">f </w:t>
      </w:r>
      <w:r w:rsidR="001043F0">
        <w:rPr>
          <w:rFonts w:asciiTheme="minorHAnsi" w:hAnsiTheme="minorHAnsi" w:cstheme="minorHAnsi"/>
          <w:i w:val="0"/>
          <w:color w:val="auto"/>
          <w:szCs w:val="22"/>
        </w:rPr>
        <w:t xml:space="preserve">the </w:t>
      </w:r>
      <w:r w:rsidR="00663CD9" w:rsidRPr="00041151">
        <w:rPr>
          <w:rFonts w:asciiTheme="minorHAnsi" w:hAnsiTheme="minorHAnsi" w:cstheme="minorHAnsi"/>
          <w:i w:val="0"/>
          <w:color w:val="auto"/>
          <w:szCs w:val="22"/>
        </w:rPr>
        <w:t>HDD is not zero,</w:t>
      </w:r>
      <w:r w:rsidR="00385BF8">
        <w:rPr>
          <w:rFonts w:asciiTheme="minorHAnsi" w:hAnsiTheme="minorHAnsi" w:cstheme="minorHAnsi"/>
          <w:i w:val="0"/>
          <w:color w:val="auto"/>
          <w:szCs w:val="22"/>
        </w:rPr>
        <w:t xml:space="preserve"> then heating is required for a </w:t>
      </w:r>
      <w:r w:rsidR="00705C75">
        <w:rPr>
          <w:rFonts w:asciiTheme="minorHAnsi" w:hAnsiTheme="minorHAnsi" w:cstheme="minorHAnsi"/>
          <w:i w:val="0"/>
          <w:color w:val="auto"/>
          <w:szCs w:val="22"/>
        </w:rPr>
        <w:t>part</w:t>
      </w:r>
      <w:r w:rsidR="00663CD9" w:rsidRPr="00041151">
        <w:rPr>
          <w:rFonts w:asciiTheme="minorHAnsi" w:hAnsiTheme="minorHAnsi" w:cstheme="minorHAnsi"/>
          <w:i w:val="0"/>
          <w:color w:val="auto"/>
          <w:szCs w:val="22"/>
        </w:rPr>
        <w:t xml:space="preserve"> of the hour</w:t>
      </w:r>
      <w:r w:rsidR="0007607F">
        <w:rPr>
          <w:rFonts w:asciiTheme="minorHAnsi" w:hAnsiTheme="minorHAnsi" w:cstheme="minorHAnsi"/>
          <w:i w:val="0"/>
          <w:color w:val="auto"/>
          <w:szCs w:val="22"/>
        </w:rPr>
        <w:t>.</w:t>
      </w:r>
      <w:r w:rsidR="008C27E1">
        <w:rPr>
          <w:rFonts w:asciiTheme="minorHAnsi" w:hAnsiTheme="minorHAnsi" w:cstheme="minorHAnsi"/>
          <w:i w:val="0"/>
          <w:color w:val="auto"/>
          <w:szCs w:val="22"/>
        </w:rPr>
        <w:t xml:space="preserve"> </w:t>
      </w:r>
      <w:r w:rsidR="0007607F">
        <w:rPr>
          <w:rFonts w:asciiTheme="minorHAnsi" w:hAnsiTheme="minorHAnsi" w:cstheme="minorHAnsi"/>
          <w:i w:val="0"/>
          <w:color w:val="auto"/>
          <w:szCs w:val="22"/>
        </w:rPr>
        <w:t>T</w:t>
      </w:r>
      <w:r w:rsidR="00385BF8">
        <w:rPr>
          <w:rFonts w:asciiTheme="minorHAnsi" w:hAnsiTheme="minorHAnsi" w:cstheme="minorHAnsi"/>
          <w:i w:val="0"/>
          <w:color w:val="auto"/>
          <w:szCs w:val="22"/>
        </w:rPr>
        <w:t xml:space="preserve">he standing pilot will be ON </w:t>
      </w:r>
      <w:r w:rsidR="00056D3F">
        <w:rPr>
          <w:rFonts w:asciiTheme="minorHAnsi" w:hAnsiTheme="minorHAnsi" w:cstheme="minorHAnsi"/>
          <w:i w:val="0"/>
          <w:color w:val="auto"/>
          <w:szCs w:val="22"/>
        </w:rPr>
        <w:t>at the same time as the burner.</w:t>
      </w:r>
    </w:p>
    <w:p w14:paraId="37F856F4" w14:textId="1D0268EE" w:rsidR="00056D3F" w:rsidRPr="00056D3F" w:rsidRDefault="008C4347" w:rsidP="001C5936">
      <w:pPr>
        <w:pStyle w:val="Reminders"/>
        <w:numPr>
          <w:ilvl w:val="0"/>
          <w:numId w:val="9"/>
        </w:numPr>
        <w:rPr>
          <w:rFonts w:asciiTheme="minorHAnsi" w:hAnsiTheme="minorHAnsi" w:cstheme="minorHAnsi"/>
          <w:i w:val="0"/>
          <w:color w:val="auto"/>
          <w:szCs w:val="22"/>
        </w:rPr>
      </w:pPr>
      <w:r w:rsidRPr="008C27E1">
        <w:rPr>
          <w:rFonts w:asciiTheme="minorHAnsi" w:hAnsiTheme="minorHAnsi" w:cstheme="minorHAnsi"/>
          <w:b/>
          <w:i w:val="0"/>
          <w:color w:val="auto"/>
          <w:szCs w:val="22"/>
        </w:rPr>
        <w:t>Pilot-</w:t>
      </w:r>
      <w:r>
        <w:rPr>
          <w:rFonts w:asciiTheme="minorHAnsi" w:hAnsiTheme="minorHAnsi" w:cstheme="minorHAnsi"/>
          <w:b/>
          <w:i w:val="0"/>
          <w:color w:val="auto"/>
          <w:szCs w:val="22"/>
        </w:rPr>
        <w:t>o</w:t>
      </w:r>
      <w:r w:rsidRPr="008C27E1">
        <w:rPr>
          <w:rFonts w:asciiTheme="minorHAnsi" w:hAnsiTheme="minorHAnsi" w:cstheme="minorHAnsi"/>
          <w:b/>
          <w:i w:val="0"/>
          <w:color w:val="auto"/>
          <w:szCs w:val="22"/>
        </w:rPr>
        <w:t>nly on-time</w:t>
      </w:r>
      <w:r>
        <w:rPr>
          <w:rFonts w:asciiTheme="minorHAnsi" w:hAnsiTheme="minorHAnsi" w:cstheme="minorHAnsi"/>
          <w:b/>
          <w:i w:val="0"/>
          <w:color w:val="auto"/>
          <w:szCs w:val="22"/>
        </w:rPr>
        <w:t xml:space="preserve"> (heat call) </w:t>
      </w:r>
      <w:r w:rsidRPr="008C4347">
        <w:rPr>
          <w:rFonts w:asciiTheme="minorHAnsi" w:hAnsiTheme="minorHAnsi" w:cstheme="minorHAnsi"/>
          <w:i w:val="0"/>
          <w:color w:val="auto"/>
          <w:szCs w:val="22"/>
        </w:rPr>
        <w:t xml:space="preserve">– </w:t>
      </w:r>
      <w:r w:rsidR="00056D3F">
        <w:rPr>
          <w:rFonts w:asciiTheme="minorHAnsi" w:hAnsiTheme="minorHAnsi" w:cstheme="minorHAnsi"/>
          <w:i w:val="0"/>
          <w:color w:val="auto"/>
          <w:szCs w:val="22"/>
        </w:rPr>
        <w:t>I</w:t>
      </w:r>
      <w:r w:rsidR="00056D3F" w:rsidRPr="00041151">
        <w:rPr>
          <w:rFonts w:asciiTheme="minorHAnsi" w:hAnsiTheme="minorHAnsi" w:cstheme="minorHAnsi"/>
          <w:i w:val="0"/>
          <w:color w:val="auto"/>
          <w:szCs w:val="22"/>
        </w:rPr>
        <w:t xml:space="preserve">f </w:t>
      </w:r>
      <w:r w:rsidR="001043F0">
        <w:rPr>
          <w:rFonts w:asciiTheme="minorHAnsi" w:hAnsiTheme="minorHAnsi" w:cstheme="minorHAnsi"/>
          <w:i w:val="0"/>
          <w:color w:val="auto"/>
          <w:szCs w:val="22"/>
        </w:rPr>
        <w:t xml:space="preserve">the </w:t>
      </w:r>
      <w:r w:rsidR="00056D3F" w:rsidRPr="00041151">
        <w:rPr>
          <w:rFonts w:asciiTheme="minorHAnsi" w:hAnsiTheme="minorHAnsi" w:cstheme="minorHAnsi"/>
          <w:i w:val="0"/>
          <w:color w:val="auto"/>
          <w:szCs w:val="22"/>
        </w:rPr>
        <w:t>HDD is not zero,</w:t>
      </w:r>
      <w:r w:rsidR="00056D3F">
        <w:rPr>
          <w:rFonts w:asciiTheme="minorHAnsi" w:hAnsiTheme="minorHAnsi" w:cstheme="minorHAnsi"/>
          <w:i w:val="0"/>
          <w:color w:val="auto"/>
          <w:szCs w:val="22"/>
        </w:rPr>
        <w:t xml:space="preserve"> then heating is required for a part</w:t>
      </w:r>
      <w:r w:rsidR="00056D3F" w:rsidRPr="00041151">
        <w:rPr>
          <w:rFonts w:asciiTheme="minorHAnsi" w:hAnsiTheme="minorHAnsi" w:cstheme="minorHAnsi"/>
          <w:i w:val="0"/>
          <w:color w:val="auto"/>
          <w:szCs w:val="22"/>
        </w:rPr>
        <w:t xml:space="preserve"> of the hour</w:t>
      </w:r>
      <w:r w:rsidR="0007607F">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07607F">
        <w:rPr>
          <w:rFonts w:asciiTheme="minorHAnsi" w:hAnsiTheme="minorHAnsi" w:cstheme="minorHAnsi"/>
          <w:i w:val="0"/>
          <w:color w:val="auto"/>
          <w:szCs w:val="22"/>
        </w:rPr>
        <w:t>T</w:t>
      </w:r>
      <w:r w:rsidR="00056D3F">
        <w:rPr>
          <w:rFonts w:asciiTheme="minorHAnsi" w:hAnsiTheme="minorHAnsi" w:cstheme="minorHAnsi"/>
          <w:i w:val="0"/>
          <w:color w:val="auto"/>
          <w:szCs w:val="22"/>
        </w:rPr>
        <w:t>he standing pilot will be ON for the remainder of the hour</w:t>
      </w:r>
      <w:r w:rsidR="0044766B">
        <w:rPr>
          <w:rFonts w:asciiTheme="minorHAnsi" w:hAnsiTheme="minorHAnsi" w:cstheme="minorHAnsi"/>
          <w:i w:val="0"/>
          <w:color w:val="auto"/>
          <w:szCs w:val="22"/>
        </w:rPr>
        <w:t xml:space="preserve"> while the burner is OFF</w:t>
      </w:r>
      <w:r w:rsidR="00056D3F">
        <w:rPr>
          <w:rFonts w:asciiTheme="minorHAnsi" w:hAnsiTheme="minorHAnsi" w:cstheme="minorHAnsi"/>
          <w:i w:val="0"/>
          <w:color w:val="auto"/>
          <w:szCs w:val="22"/>
        </w:rPr>
        <w:t>.</w:t>
      </w:r>
    </w:p>
    <w:p w14:paraId="66431070" w14:textId="35DA73BA" w:rsidR="00385BF8" w:rsidRDefault="00385BF8" w:rsidP="00385BF8">
      <w:pPr>
        <w:pStyle w:val="Reminders"/>
        <w:rPr>
          <w:rFonts w:asciiTheme="minorHAnsi" w:hAnsiTheme="minorHAnsi" w:cstheme="minorHAnsi"/>
          <w:i w:val="0"/>
          <w:color w:val="auto"/>
          <w:szCs w:val="22"/>
        </w:rPr>
      </w:pPr>
    </w:p>
    <w:p w14:paraId="189674A6" w14:textId="581CDFE0" w:rsidR="00385BF8" w:rsidRDefault="00385BF8" w:rsidP="00385BF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1043F0">
        <w:rPr>
          <w:rFonts w:asciiTheme="minorHAnsi" w:hAnsiTheme="minorHAnsi" w:cstheme="minorHAnsi"/>
          <w:i w:val="0"/>
          <w:color w:val="auto"/>
          <w:szCs w:val="22"/>
        </w:rPr>
        <w:t xml:space="preserve">hours per year for each of the </w:t>
      </w:r>
      <w:r w:rsidR="00056D3F">
        <w:rPr>
          <w:rFonts w:asciiTheme="minorHAnsi" w:hAnsiTheme="minorHAnsi" w:cstheme="minorHAnsi"/>
          <w:i w:val="0"/>
          <w:color w:val="auto"/>
          <w:szCs w:val="22"/>
        </w:rPr>
        <w:t>three</w:t>
      </w:r>
      <w:r w:rsidR="00705C75">
        <w:rPr>
          <w:rFonts w:asciiTheme="minorHAnsi" w:hAnsiTheme="minorHAnsi" w:cstheme="minorHAnsi"/>
          <w:i w:val="0"/>
          <w:color w:val="auto"/>
          <w:szCs w:val="22"/>
        </w:rPr>
        <w:t xml:space="preserve"> </w:t>
      </w:r>
      <w:r w:rsidR="008C4347">
        <w:rPr>
          <w:rFonts w:asciiTheme="minorHAnsi" w:hAnsiTheme="minorHAnsi" w:cstheme="minorHAnsi"/>
          <w:i w:val="0"/>
          <w:color w:val="auto"/>
          <w:szCs w:val="22"/>
        </w:rPr>
        <w:t>standing-</w:t>
      </w:r>
      <w:r>
        <w:rPr>
          <w:rFonts w:asciiTheme="minorHAnsi" w:hAnsiTheme="minorHAnsi" w:cstheme="minorHAnsi"/>
          <w:i w:val="0"/>
          <w:color w:val="auto"/>
          <w:szCs w:val="22"/>
        </w:rPr>
        <w:t xml:space="preserve">pilot </w:t>
      </w:r>
      <w:r w:rsidR="001043F0">
        <w:rPr>
          <w:rFonts w:asciiTheme="minorHAnsi" w:hAnsiTheme="minorHAnsi" w:cstheme="minorHAnsi"/>
          <w:i w:val="0"/>
          <w:color w:val="auto"/>
          <w:szCs w:val="22"/>
        </w:rPr>
        <w:t xml:space="preserve">operating states </w:t>
      </w:r>
      <w:r>
        <w:rPr>
          <w:rFonts w:asciiTheme="minorHAnsi" w:hAnsiTheme="minorHAnsi" w:cstheme="minorHAnsi"/>
          <w:i w:val="0"/>
          <w:color w:val="auto"/>
          <w:szCs w:val="22"/>
        </w:rPr>
        <w:t>can be calculated with the following equation</w:t>
      </w:r>
      <w:r w:rsidR="00705C75">
        <w:rPr>
          <w:rFonts w:asciiTheme="minorHAnsi" w:hAnsiTheme="minorHAnsi" w:cstheme="minorHAnsi"/>
          <w:i w:val="0"/>
          <w:color w:val="auto"/>
          <w:szCs w:val="22"/>
        </w:rPr>
        <w:t>s</w:t>
      </w:r>
      <w:r>
        <w:rPr>
          <w:rFonts w:asciiTheme="minorHAnsi" w:hAnsiTheme="minorHAnsi" w:cstheme="minorHAnsi"/>
          <w:i w:val="0"/>
          <w:color w:val="auto"/>
          <w:szCs w:val="22"/>
        </w:rPr>
        <w:t>:</w:t>
      </w:r>
    </w:p>
    <w:p w14:paraId="4A211B59" w14:textId="576E8EF2" w:rsidR="00705C75" w:rsidRPr="00056D3F" w:rsidRDefault="00276A99" w:rsidP="00385BF8">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1</m:t>
              </m:r>
            </m:sub>
          </m:sSub>
          <m:r>
            <w:rPr>
              <w:rFonts w:ascii="Cambria Math" w:hAnsi="Cambria Math" w:cstheme="minorHAnsi"/>
              <w:color w:val="auto"/>
              <w:szCs w:val="22"/>
            </w:rPr>
            <m:t>=</m:t>
          </m:r>
          <m:nary>
            <m:naryPr>
              <m:chr m:val="∑"/>
              <m:limLoc m:val="undOvr"/>
              <m:ctrlPr>
                <w:rPr>
                  <w:rFonts w:ascii="Cambria Math" w:hAnsi="Cambria Math" w:cstheme="minorHAnsi"/>
                  <w:color w:val="auto"/>
                  <w:szCs w:val="22"/>
                </w:rPr>
              </m:ctrlPr>
            </m:naryPr>
            <m:sub>
              <m:r>
                <w:rPr>
                  <w:rFonts w:ascii="Cambria Math" w:hAnsi="Cambria Math" w:cstheme="minorHAnsi"/>
                  <w:color w:val="auto"/>
                  <w:szCs w:val="22"/>
                </w:rPr>
                <m:t>i=1</m:t>
              </m:r>
            </m:sub>
            <m:sup>
              <m:r>
                <w:rPr>
                  <w:rFonts w:ascii="Cambria Math" w:hAnsi="Cambria Math" w:cstheme="minorHAnsi"/>
                  <w:color w:val="auto"/>
                  <w:szCs w:val="22"/>
                </w:rPr>
                <m:t>8760</m:t>
              </m:r>
            </m:sup>
            <m:e>
              <m:d>
                <m:dPr>
                  <m:begChr m:val="{"/>
                  <m:endChr m:val=""/>
                  <m:ctrlPr>
                    <w:rPr>
                      <w:rFonts w:ascii="Cambria Math" w:hAnsi="Cambria Math" w:cstheme="minorHAnsi"/>
                      <w:color w:val="auto"/>
                      <w:szCs w:val="22"/>
                    </w:rPr>
                  </m:ctrlPr>
                </m:dPr>
                <m:e>
                  <m:eqArr>
                    <m:eqArrPr>
                      <m:ctrlPr>
                        <w:rPr>
                          <w:rFonts w:ascii="Cambria Math" w:hAnsi="Cambria Math" w:cstheme="minorHAnsi"/>
                          <w:color w:val="auto"/>
                          <w:szCs w:val="22"/>
                        </w:rPr>
                      </m:ctrlPr>
                    </m:eqArrPr>
                    <m:e>
                      <m:r>
                        <w:rPr>
                          <w:rFonts w:ascii="Cambria Math" w:hAnsi="Cambria Math" w:cstheme="minorHAnsi"/>
                          <w:color w:val="auto"/>
                          <w:szCs w:val="22"/>
                        </w:rPr>
                        <m:t xml:space="preserve">1,    </m:t>
                      </m:r>
                      <m:sSub>
                        <m:sSubPr>
                          <m:ctrlPr>
                            <w:rPr>
                              <w:rFonts w:ascii="Cambria Math" w:hAnsi="Cambria Math" w:cstheme="minorHAnsi"/>
                              <w:color w:val="auto"/>
                              <w:szCs w:val="22"/>
                            </w:rPr>
                          </m:ctrlPr>
                        </m:sSubPr>
                        <m:e>
                          <m:r>
                            <w:rPr>
                              <w:rFonts w:ascii="Cambria Math" w:hAnsi="Cambria Math" w:cstheme="minorHAnsi"/>
                              <w:color w:val="auto"/>
                              <w:szCs w:val="22"/>
                            </w:rPr>
                            <m:t>HDD</m:t>
                          </m:r>
                        </m:e>
                        <m:sub>
                          <m:r>
                            <w:rPr>
                              <w:rFonts w:ascii="Cambria Math" w:hAnsi="Cambria Math" w:cstheme="minorHAnsi"/>
                              <w:color w:val="auto"/>
                              <w:szCs w:val="22"/>
                            </w:rPr>
                            <m:t>i</m:t>
                          </m:r>
                        </m:sub>
                      </m:sSub>
                      <m:r>
                        <w:rPr>
                          <w:rFonts w:ascii="Cambria Math" w:hAnsi="Cambria Math" w:cstheme="minorHAnsi"/>
                          <w:color w:val="auto"/>
                          <w:szCs w:val="22"/>
                        </w:rPr>
                        <m:t>=0</m:t>
                      </m:r>
                    </m:e>
                    <m:e>
                      <m:r>
                        <w:rPr>
                          <w:rFonts w:ascii="Cambria Math" w:hAnsi="Cambria Math" w:cstheme="minorHAnsi"/>
                          <w:color w:val="auto"/>
                          <w:szCs w:val="22"/>
                        </w:rPr>
                        <m:t xml:space="preserve">0,    </m:t>
                      </m:r>
                      <m:sSub>
                        <m:sSubPr>
                          <m:ctrlPr>
                            <w:rPr>
                              <w:rFonts w:ascii="Cambria Math" w:hAnsi="Cambria Math" w:cstheme="minorHAnsi"/>
                              <w:color w:val="auto"/>
                              <w:szCs w:val="22"/>
                            </w:rPr>
                          </m:ctrlPr>
                        </m:sSubPr>
                        <m:e>
                          <m:r>
                            <w:rPr>
                              <w:rFonts w:ascii="Cambria Math" w:hAnsi="Cambria Math" w:cstheme="minorHAnsi"/>
                              <w:color w:val="auto"/>
                              <w:szCs w:val="22"/>
                            </w:rPr>
                            <m:t>HDD</m:t>
                          </m:r>
                        </m:e>
                        <m:sub>
                          <m:r>
                            <w:rPr>
                              <w:rFonts w:ascii="Cambria Math" w:hAnsi="Cambria Math" w:cstheme="minorHAnsi"/>
                              <w:color w:val="auto"/>
                              <w:szCs w:val="22"/>
                            </w:rPr>
                            <m:t>i</m:t>
                          </m:r>
                        </m:sub>
                      </m:sSub>
                      <m:r>
                        <w:rPr>
                          <w:rFonts w:ascii="Cambria Math" w:hAnsi="Cambria Math" w:cstheme="minorHAnsi"/>
                          <w:color w:val="auto"/>
                          <w:szCs w:val="22"/>
                        </w:rPr>
                        <m:t>≠0</m:t>
                      </m:r>
                    </m:e>
                  </m:eqArr>
                </m:e>
              </m:d>
            </m:e>
          </m:nary>
          <m:r>
            <w:rPr>
              <w:rFonts w:ascii="Cambria Math" w:hAnsi="Cambria Math" w:cstheme="minorHAnsi"/>
              <w:color w:val="auto"/>
              <w:szCs w:val="22"/>
            </w:rPr>
            <m:t>, equation (2)</m:t>
          </m:r>
        </m:oMath>
      </m:oMathPara>
    </w:p>
    <w:p w14:paraId="476EAFC8" w14:textId="77777777" w:rsidR="00056D3F" w:rsidRPr="00056D3F" w:rsidRDefault="00056D3F" w:rsidP="00385BF8">
      <w:pPr>
        <w:pStyle w:val="Reminders"/>
        <w:rPr>
          <w:rFonts w:asciiTheme="minorHAnsi" w:hAnsiTheme="minorHAnsi" w:cstheme="minorHAnsi"/>
          <w:i w:val="0"/>
          <w:color w:val="auto"/>
          <w:szCs w:val="22"/>
        </w:rPr>
      </w:pPr>
    </w:p>
    <w:p w14:paraId="493F0519" w14:textId="7C5A6BA3" w:rsidR="00056D3F" w:rsidRPr="00056D3F" w:rsidRDefault="00276A99" w:rsidP="00385BF8">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2</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Burner ON</m:t>
              </m:r>
            </m:sub>
          </m:sSub>
          <m:r>
            <w:rPr>
              <w:rFonts w:ascii="Cambria Math" w:hAnsi="Cambria Math" w:cstheme="minorHAnsi"/>
              <w:color w:val="auto"/>
              <w:szCs w:val="22"/>
            </w:rPr>
            <m:t>, equation (3)</m:t>
          </m:r>
        </m:oMath>
      </m:oMathPara>
    </w:p>
    <w:p w14:paraId="33E04034" w14:textId="77777777" w:rsidR="00056D3F" w:rsidRDefault="00056D3F" w:rsidP="00385BF8">
      <w:pPr>
        <w:pStyle w:val="Reminders"/>
        <w:rPr>
          <w:rFonts w:asciiTheme="minorHAnsi" w:hAnsiTheme="minorHAnsi" w:cstheme="minorHAnsi"/>
          <w:i w:val="0"/>
          <w:color w:val="auto"/>
          <w:szCs w:val="22"/>
        </w:rPr>
      </w:pPr>
    </w:p>
    <w:p w14:paraId="7E9BBE10" w14:textId="41C2561E" w:rsidR="00385BF8" w:rsidRDefault="00276A99" w:rsidP="00385BF8">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3</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Fireplace ON</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2</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1</m:t>
              </m:r>
            </m:sub>
          </m:sSub>
          <m:r>
            <w:rPr>
              <w:rFonts w:ascii="Cambria Math" w:hAnsi="Cambria Math" w:cstheme="minorHAnsi"/>
              <w:color w:val="auto"/>
              <w:szCs w:val="22"/>
            </w:rPr>
            <m:t>, equation (4)</m:t>
          </m:r>
        </m:oMath>
      </m:oMathPara>
    </w:p>
    <w:p w14:paraId="7659F3B5" w14:textId="77777777" w:rsidR="00056D3F" w:rsidRDefault="00056D3F" w:rsidP="00385BF8">
      <w:pPr>
        <w:pStyle w:val="Reminders"/>
        <w:rPr>
          <w:rFonts w:asciiTheme="minorHAnsi" w:hAnsiTheme="minorHAnsi" w:cstheme="minorHAnsi"/>
          <w:i w:val="0"/>
          <w:color w:val="auto"/>
          <w:szCs w:val="22"/>
        </w:rPr>
      </w:pPr>
    </w:p>
    <w:p w14:paraId="5DBF4E21" w14:textId="3697BDD2" w:rsidR="00385BF8" w:rsidRDefault="00614704" w:rsidP="00385BF8">
      <w:pPr>
        <w:pStyle w:val="Reminders"/>
        <w:rPr>
          <w:rFonts w:asciiTheme="minorHAnsi" w:hAnsiTheme="minorHAnsi" w:cstheme="minorHAnsi"/>
          <w:i w:val="0"/>
          <w:color w:val="auto"/>
          <w:szCs w:val="22"/>
        </w:rPr>
      </w:pPr>
      <w:r>
        <w:rPr>
          <w:rFonts w:asciiTheme="minorHAnsi" w:hAnsiTheme="minorHAnsi" w:cstheme="minorHAnsi"/>
          <w:i w:val="0"/>
          <w:color w:val="auto"/>
          <w:szCs w:val="22"/>
        </w:rPr>
        <w:t>Where,</w:t>
      </w:r>
    </w:p>
    <w:p w14:paraId="66A22EBB" w14:textId="76E7BC95" w:rsidR="00614704" w:rsidRDefault="00614704" w:rsidP="00385BF8">
      <w:pPr>
        <w:pStyle w:val="Reminders"/>
        <w:rPr>
          <w:rFonts w:asciiTheme="minorHAnsi" w:hAnsiTheme="minorHAnsi" w:cstheme="minorHAnsi"/>
          <w:i w:val="0"/>
          <w:color w:val="auto"/>
          <w:szCs w:val="22"/>
        </w:rPr>
      </w:pPr>
    </w:p>
    <w:p w14:paraId="7E3A9145" w14:textId="53F81EB1" w:rsidR="00614704" w:rsidRDefault="00276A99" w:rsidP="00385BF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1</m:t>
            </m:r>
          </m:sub>
        </m:sSub>
      </m:oMath>
      <w:r w:rsidR="00614704">
        <w:rPr>
          <w:rFonts w:asciiTheme="minorHAnsi" w:hAnsiTheme="minorHAnsi" w:cstheme="minorHAnsi"/>
          <w:i w:val="0"/>
          <w:color w:val="auto"/>
          <w:szCs w:val="22"/>
        </w:rPr>
        <w:t xml:space="preserve"> = Total hours the pilot light is ON </w:t>
      </w:r>
      <w:r w:rsidR="00FA046D">
        <w:rPr>
          <w:rFonts w:asciiTheme="minorHAnsi" w:hAnsiTheme="minorHAnsi" w:cstheme="minorHAnsi"/>
          <w:i w:val="0"/>
          <w:color w:val="auto"/>
          <w:szCs w:val="22"/>
        </w:rPr>
        <w:t>for the entire hour and no heat was required during the hour</w:t>
      </w:r>
    </w:p>
    <w:p w14:paraId="5601508B" w14:textId="243E8006" w:rsidR="00705C75" w:rsidRDefault="004F25E7" w:rsidP="00705C7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i </w:t>
      </w:r>
      <w:r w:rsidR="00705C75">
        <w:rPr>
          <w:rFonts w:asciiTheme="minorHAnsi" w:hAnsiTheme="minorHAnsi" w:cstheme="minorHAnsi"/>
          <w:i w:val="0"/>
          <w:color w:val="auto"/>
          <w:szCs w:val="22"/>
        </w:rPr>
        <w:t>= each hour in the year</w:t>
      </w:r>
    </w:p>
    <w:p w14:paraId="6FACDF59" w14:textId="7F676E25" w:rsidR="00705C75" w:rsidRDefault="00276A99" w:rsidP="00385BF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HDD</m:t>
            </m:r>
          </m:e>
          <m:sub>
            <m:r>
              <w:rPr>
                <w:rFonts w:ascii="Cambria Math" w:hAnsi="Cambria Math" w:cstheme="minorHAnsi"/>
                <w:color w:val="auto"/>
                <w:szCs w:val="22"/>
              </w:rPr>
              <m:t>i</m:t>
            </m:r>
          </m:sub>
        </m:sSub>
      </m:oMath>
      <w:r w:rsidR="00705C75">
        <w:rPr>
          <w:rFonts w:asciiTheme="minorHAnsi" w:hAnsiTheme="minorHAnsi" w:cstheme="minorHAnsi"/>
          <w:i w:val="0"/>
          <w:color w:val="auto"/>
          <w:szCs w:val="22"/>
        </w:rPr>
        <w:t xml:space="preserve"> </w:t>
      </w:r>
      <w:r w:rsidR="00705C75" w:rsidRPr="00041151">
        <w:rPr>
          <w:rFonts w:asciiTheme="minorHAnsi" w:hAnsiTheme="minorHAnsi" w:cstheme="minorHAnsi"/>
          <w:i w:val="0"/>
          <w:color w:val="auto"/>
          <w:szCs w:val="22"/>
        </w:rPr>
        <w:t>= Heating Degree Days</w:t>
      </w:r>
      <w:r w:rsidR="00705C75">
        <w:rPr>
          <w:rFonts w:asciiTheme="minorHAnsi" w:hAnsiTheme="minorHAnsi" w:cstheme="minorHAnsi"/>
          <w:i w:val="0"/>
          <w:color w:val="auto"/>
          <w:szCs w:val="22"/>
        </w:rPr>
        <w:t xml:space="preserve"> at each hour in a year</w:t>
      </w:r>
      <w:r w:rsidR="00705C75" w:rsidRPr="00041151">
        <w:rPr>
          <w:rFonts w:asciiTheme="minorHAnsi" w:hAnsiTheme="minorHAnsi" w:cstheme="minorHAnsi"/>
          <w:i w:val="0"/>
          <w:color w:val="auto"/>
          <w:szCs w:val="22"/>
        </w:rPr>
        <w:t xml:space="preserve">, Source: </w:t>
      </w:r>
      <w:r w:rsidR="00705C75" w:rsidRPr="00A35405">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D</w:t>
      </w:r>
      <w:r w:rsidR="00705C75">
        <w:rPr>
          <w:rFonts w:asciiTheme="minorHAnsi" w:hAnsiTheme="minorHAnsi" w:cstheme="minorHAnsi"/>
          <w:i w:val="0"/>
          <w:color w:val="auto"/>
          <w:szCs w:val="22"/>
        </w:rPr>
        <w:t>, CompareWeatherData-v4</w:t>
      </w:r>
    </w:p>
    <w:p w14:paraId="7F45294D" w14:textId="655A5C92" w:rsidR="00705C75" w:rsidRDefault="00276A99" w:rsidP="00385BF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2</m:t>
            </m:r>
          </m:sub>
        </m:sSub>
      </m:oMath>
      <w:r w:rsidR="00705C75">
        <w:rPr>
          <w:rFonts w:asciiTheme="minorHAnsi" w:hAnsiTheme="minorHAnsi" w:cstheme="minorHAnsi"/>
          <w:i w:val="0"/>
          <w:color w:val="auto"/>
          <w:szCs w:val="22"/>
        </w:rPr>
        <w:t xml:space="preserve"> = Total hours the pilot light is ON </w:t>
      </w:r>
      <w:r w:rsidR="00056D3F">
        <w:rPr>
          <w:rFonts w:asciiTheme="minorHAnsi" w:hAnsiTheme="minorHAnsi" w:cstheme="minorHAnsi"/>
          <w:i w:val="0"/>
          <w:color w:val="auto"/>
          <w:szCs w:val="22"/>
        </w:rPr>
        <w:t>while the burner is also ON.</w:t>
      </w:r>
    </w:p>
    <w:p w14:paraId="33D3C71E" w14:textId="0C17C511" w:rsidR="00056D3F" w:rsidRDefault="00276A99" w:rsidP="00385BF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Burner ON</m:t>
            </m:r>
          </m:sub>
        </m:sSub>
      </m:oMath>
      <w:r w:rsidR="00056D3F">
        <w:rPr>
          <w:rFonts w:asciiTheme="minorHAnsi" w:hAnsiTheme="minorHAnsi" w:cstheme="minorHAnsi"/>
          <w:i w:val="0"/>
          <w:color w:val="auto"/>
          <w:szCs w:val="22"/>
        </w:rPr>
        <w:t xml:space="preserve"> = as calculation in section 2.2.</w:t>
      </w:r>
    </w:p>
    <w:p w14:paraId="06EFC5CA" w14:textId="47E8A8D5" w:rsidR="00056D3F" w:rsidRPr="00614704" w:rsidRDefault="00276A99" w:rsidP="00385BF8">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3</m:t>
            </m:r>
          </m:sub>
        </m:sSub>
      </m:oMath>
      <w:r w:rsidR="00056D3F">
        <w:rPr>
          <w:rFonts w:asciiTheme="minorHAnsi" w:hAnsiTheme="minorHAnsi" w:cstheme="minorHAnsi"/>
          <w:i w:val="0"/>
          <w:color w:val="auto"/>
          <w:szCs w:val="22"/>
        </w:rPr>
        <w:t xml:space="preserve"> = Total hours the pilot ligh</w:t>
      </w:r>
      <w:r w:rsidR="00FA046D">
        <w:rPr>
          <w:rFonts w:asciiTheme="minorHAnsi" w:hAnsiTheme="minorHAnsi" w:cstheme="minorHAnsi"/>
          <w:i w:val="0"/>
          <w:color w:val="auto"/>
          <w:szCs w:val="22"/>
        </w:rPr>
        <w:t>t is ON while the burner is OFF and heat was required during the hour</w:t>
      </w:r>
    </w:p>
    <w:p w14:paraId="469165AA" w14:textId="0553EA2A" w:rsidR="00385BF8" w:rsidRPr="00614704" w:rsidRDefault="00276A99" w:rsidP="00614704">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Fireplace ON</m:t>
            </m:r>
          </m:sub>
        </m:sSub>
      </m:oMath>
      <w:r w:rsidR="00614704">
        <w:rPr>
          <w:rFonts w:asciiTheme="minorHAnsi" w:hAnsiTheme="minorHAnsi" w:cstheme="minorHAnsi"/>
          <w:i w:val="0"/>
          <w:color w:val="auto"/>
          <w:szCs w:val="22"/>
        </w:rPr>
        <w:t xml:space="preserve"> = Total hours the fireplace is capabl</w:t>
      </w:r>
      <w:r w:rsidR="00705C75">
        <w:rPr>
          <w:rFonts w:asciiTheme="minorHAnsi" w:hAnsiTheme="minorHAnsi" w:cstheme="minorHAnsi"/>
          <w:i w:val="0"/>
          <w:color w:val="auto"/>
          <w:szCs w:val="22"/>
        </w:rPr>
        <w:t>e of heating (5088 hrs) from section 2.1.</w:t>
      </w:r>
    </w:p>
    <w:p w14:paraId="49848674" w14:textId="6BF9EB25" w:rsidR="00385BF8" w:rsidRPr="00384E62" w:rsidRDefault="00705C75" w:rsidP="00DF5744">
      <w:pPr>
        <w:pStyle w:val="Heading2"/>
        <w:rPr>
          <w:rFonts w:asciiTheme="minorHAnsi" w:hAnsiTheme="minorHAnsi" w:cstheme="minorHAnsi"/>
        </w:rPr>
      </w:pPr>
      <w:r w:rsidRPr="00384E62">
        <w:rPr>
          <w:rFonts w:asciiTheme="minorHAnsi" w:hAnsiTheme="minorHAnsi" w:cstheme="minorHAnsi"/>
        </w:rPr>
        <w:t>2.4 Energy Savings from Removal of a Standing Pilot</w:t>
      </w:r>
    </w:p>
    <w:p w14:paraId="7AC3012C" w14:textId="6C2FB2CA" w:rsidR="00385BF8" w:rsidRDefault="00705C75" w:rsidP="00385BF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056D3F">
        <w:rPr>
          <w:rFonts w:asciiTheme="minorHAnsi" w:hAnsiTheme="minorHAnsi" w:cstheme="minorHAnsi"/>
          <w:i w:val="0"/>
          <w:color w:val="auto"/>
          <w:szCs w:val="22"/>
        </w:rPr>
        <w:t>three</w:t>
      </w:r>
      <w:r>
        <w:rPr>
          <w:rFonts w:asciiTheme="minorHAnsi" w:hAnsiTheme="minorHAnsi" w:cstheme="minorHAnsi"/>
          <w:i w:val="0"/>
          <w:color w:val="auto"/>
          <w:szCs w:val="22"/>
        </w:rPr>
        <w:t xml:space="preserve"> pilot </w:t>
      </w:r>
      <w:r w:rsidR="001043F0">
        <w:rPr>
          <w:rFonts w:asciiTheme="minorHAnsi" w:hAnsiTheme="minorHAnsi" w:cstheme="minorHAnsi"/>
          <w:i w:val="0"/>
          <w:color w:val="auto"/>
          <w:szCs w:val="22"/>
        </w:rPr>
        <w:t xml:space="preserve">operating states </w:t>
      </w:r>
      <w:r>
        <w:rPr>
          <w:rFonts w:asciiTheme="minorHAnsi" w:hAnsiTheme="minorHAnsi" w:cstheme="minorHAnsi"/>
          <w:i w:val="0"/>
          <w:color w:val="auto"/>
          <w:szCs w:val="22"/>
        </w:rPr>
        <w:t>have different methods of calculating the energy savings from removing the standing pilot.</w:t>
      </w:r>
    </w:p>
    <w:p w14:paraId="2039C5BF" w14:textId="35EBA40E" w:rsidR="000E76D0" w:rsidRDefault="00705C75" w:rsidP="001C5936">
      <w:pPr>
        <w:pStyle w:val="Reminders"/>
        <w:numPr>
          <w:ilvl w:val="0"/>
          <w:numId w:val="10"/>
        </w:numPr>
        <w:rPr>
          <w:rFonts w:asciiTheme="minorHAnsi" w:hAnsiTheme="minorHAnsi" w:cstheme="minorHAnsi"/>
          <w:i w:val="0"/>
          <w:color w:val="auto"/>
          <w:szCs w:val="22"/>
        </w:rPr>
      </w:pPr>
      <w:r w:rsidRPr="00D44634">
        <w:rPr>
          <w:rFonts w:asciiTheme="minorHAnsi" w:hAnsiTheme="minorHAnsi" w:cstheme="minorHAnsi"/>
          <w:b/>
          <w:i w:val="0"/>
          <w:color w:val="auto"/>
          <w:szCs w:val="22"/>
        </w:rPr>
        <w:lastRenderedPageBreak/>
        <w:t xml:space="preserve">Pilot ON for </w:t>
      </w:r>
      <w:r w:rsidR="000E76D0" w:rsidRPr="00D44634">
        <w:rPr>
          <w:rFonts w:asciiTheme="minorHAnsi" w:hAnsiTheme="minorHAnsi" w:cstheme="minorHAnsi"/>
          <w:b/>
          <w:i w:val="0"/>
          <w:color w:val="auto"/>
          <w:szCs w:val="22"/>
        </w:rPr>
        <w:t xml:space="preserve">the </w:t>
      </w:r>
      <w:r w:rsidRPr="00D44634">
        <w:rPr>
          <w:rFonts w:asciiTheme="minorHAnsi" w:hAnsiTheme="minorHAnsi" w:cstheme="minorHAnsi"/>
          <w:b/>
          <w:i w:val="0"/>
          <w:color w:val="auto"/>
          <w:szCs w:val="22"/>
        </w:rPr>
        <w:t>entire hour.</w:t>
      </w:r>
      <w:r>
        <w:rPr>
          <w:rFonts w:asciiTheme="minorHAnsi" w:hAnsiTheme="minorHAnsi" w:cstheme="minorHAnsi"/>
          <w:i w:val="0"/>
          <w:color w:val="auto"/>
          <w:szCs w:val="22"/>
        </w:rPr>
        <w:t xml:space="preserve"> </w:t>
      </w:r>
      <w:r w:rsidR="000E76D0">
        <w:rPr>
          <w:rFonts w:asciiTheme="minorHAnsi" w:hAnsiTheme="minorHAnsi" w:cstheme="minorHAnsi"/>
          <w:i w:val="0"/>
          <w:color w:val="auto"/>
          <w:szCs w:val="22"/>
        </w:rPr>
        <w:t xml:space="preserve">No heating is required during this hour, so all the heat provided by the pilot to the conditioned space is wasted. </w:t>
      </w:r>
    </w:p>
    <w:p w14:paraId="6EC57344" w14:textId="522A5F87" w:rsidR="00663CD9" w:rsidRPr="00740122" w:rsidRDefault="00056D3F" w:rsidP="001C5936">
      <w:pPr>
        <w:pStyle w:val="Reminders"/>
        <w:numPr>
          <w:ilvl w:val="0"/>
          <w:numId w:val="10"/>
        </w:numPr>
        <w:rPr>
          <w:rFonts w:asciiTheme="minorHAnsi" w:hAnsiTheme="minorHAnsi" w:cstheme="minorHAnsi"/>
          <w:i w:val="0"/>
          <w:color w:val="auto"/>
          <w:szCs w:val="22"/>
        </w:rPr>
      </w:pPr>
      <w:r>
        <w:rPr>
          <w:rFonts w:asciiTheme="minorHAnsi" w:hAnsiTheme="minorHAnsi" w:cstheme="minorHAnsi"/>
          <w:b/>
          <w:i w:val="0"/>
          <w:color w:val="auto"/>
          <w:szCs w:val="22"/>
        </w:rPr>
        <w:t>Pilot and Burner ON for part of the hour</w:t>
      </w:r>
      <w:r w:rsidR="000E76D0" w:rsidRPr="00D44634">
        <w:rPr>
          <w:rFonts w:asciiTheme="minorHAnsi" w:hAnsiTheme="minorHAnsi" w:cstheme="minorHAnsi"/>
          <w:b/>
          <w:i w:val="0"/>
          <w:color w:val="auto"/>
          <w:szCs w:val="22"/>
        </w:rPr>
        <w:t>.</w:t>
      </w:r>
      <w:r w:rsidR="000E76D0">
        <w:rPr>
          <w:rFonts w:asciiTheme="minorHAnsi" w:hAnsiTheme="minorHAnsi" w:cstheme="minorHAnsi"/>
          <w:i w:val="0"/>
          <w:color w:val="auto"/>
          <w:szCs w:val="22"/>
        </w:rPr>
        <w:t xml:space="preserve"> </w:t>
      </w:r>
      <w:r w:rsidR="00A1748C">
        <w:rPr>
          <w:rFonts w:asciiTheme="minorHAnsi" w:hAnsiTheme="minorHAnsi" w:cstheme="minorHAnsi"/>
          <w:i w:val="0"/>
          <w:color w:val="auto"/>
          <w:szCs w:val="22"/>
        </w:rPr>
        <w:t xml:space="preserve">The input rate and efficiency of a fireplace </w:t>
      </w:r>
      <w:r w:rsidR="006F44A8">
        <w:rPr>
          <w:rFonts w:asciiTheme="minorHAnsi" w:hAnsiTheme="minorHAnsi" w:cstheme="minorHAnsi"/>
          <w:i w:val="0"/>
          <w:color w:val="auto"/>
          <w:szCs w:val="22"/>
        </w:rPr>
        <w:t>are</w:t>
      </w:r>
      <w:r w:rsidR="00A1748C">
        <w:rPr>
          <w:rFonts w:asciiTheme="minorHAnsi" w:hAnsiTheme="minorHAnsi" w:cstheme="minorHAnsi"/>
          <w:i w:val="0"/>
          <w:color w:val="auto"/>
          <w:szCs w:val="22"/>
        </w:rPr>
        <w:t xml:space="preserve"> found </w:t>
      </w:r>
      <w:r w:rsidR="006F44A8">
        <w:rPr>
          <w:rFonts w:asciiTheme="minorHAnsi" w:hAnsiTheme="minorHAnsi" w:cstheme="minorHAnsi"/>
          <w:i w:val="0"/>
          <w:color w:val="auto"/>
          <w:szCs w:val="22"/>
        </w:rPr>
        <w:t>using</w:t>
      </w:r>
      <w:r w:rsidR="00A1748C">
        <w:rPr>
          <w:rFonts w:asciiTheme="minorHAnsi" w:hAnsiTheme="minorHAnsi" w:cstheme="minorHAnsi"/>
          <w:i w:val="0"/>
          <w:color w:val="auto"/>
          <w:szCs w:val="22"/>
        </w:rPr>
        <w:t xml:space="preserve"> the total gas entering </w:t>
      </w:r>
      <w:r w:rsidR="006F44A8">
        <w:rPr>
          <w:rFonts w:asciiTheme="minorHAnsi" w:hAnsiTheme="minorHAnsi" w:cstheme="minorHAnsi"/>
          <w:i w:val="0"/>
          <w:color w:val="auto"/>
          <w:szCs w:val="22"/>
        </w:rPr>
        <w:t>the fireplace</w:t>
      </w:r>
      <w:r w:rsidR="00740122">
        <w:rPr>
          <w:rFonts w:asciiTheme="minorHAnsi" w:hAnsiTheme="minorHAnsi" w:cstheme="minorHAnsi"/>
          <w:i w:val="0"/>
          <w:color w:val="auto"/>
          <w:szCs w:val="22"/>
        </w:rPr>
        <w:t xml:space="preserve"> when the burner is ON</w:t>
      </w:r>
      <w:r w:rsidR="006F44A8">
        <w:rPr>
          <w:rFonts w:asciiTheme="minorHAnsi" w:hAnsiTheme="minorHAnsi" w:cstheme="minorHAnsi"/>
          <w:i w:val="0"/>
          <w:color w:val="auto"/>
          <w:szCs w:val="22"/>
        </w:rPr>
        <w:t xml:space="preserve">. </w:t>
      </w:r>
      <w:r w:rsidR="006F44A8" w:rsidRPr="00740122">
        <w:rPr>
          <w:rFonts w:asciiTheme="minorHAnsi" w:hAnsiTheme="minorHAnsi" w:cstheme="minorHAnsi"/>
          <w:i w:val="0"/>
          <w:color w:val="auto"/>
          <w:szCs w:val="22"/>
        </w:rPr>
        <w:t>Therefore,</w:t>
      </w:r>
      <w:r w:rsidR="00740122">
        <w:rPr>
          <w:rFonts w:asciiTheme="minorHAnsi" w:hAnsiTheme="minorHAnsi" w:cstheme="minorHAnsi"/>
          <w:i w:val="0"/>
          <w:color w:val="auto"/>
          <w:szCs w:val="22"/>
        </w:rPr>
        <w:t xml:space="preserve"> the </w:t>
      </w:r>
      <w:r w:rsidR="008834EC">
        <w:rPr>
          <w:rFonts w:asciiTheme="minorHAnsi" w:hAnsiTheme="minorHAnsi" w:cstheme="minorHAnsi"/>
          <w:i w:val="0"/>
          <w:color w:val="auto"/>
          <w:szCs w:val="22"/>
        </w:rPr>
        <w:t xml:space="preserve">energy </w:t>
      </w:r>
      <w:r w:rsidR="00740122">
        <w:rPr>
          <w:rFonts w:asciiTheme="minorHAnsi" w:hAnsiTheme="minorHAnsi" w:cstheme="minorHAnsi"/>
          <w:i w:val="0"/>
          <w:color w:val="auto"/>
          <w:szCs w:val="22"/>
        </w:rPr>
        <w:t xml:space="preserve">savings from </w:t>
      </w:r>
      <w:r w:rsidR="008834EC">
        <w:rPr>
          <w:rFonts w:asciiTheme="minorHAnsi" w:hAnsiTheme="minorHAnsi" w:cstheme="minorHAnsi"/>
          <w:i w:val="0"/>
          <w:color w:val="auto"/>
          <w:szCs w:val="22"/>
        </w:rPr>
        <w:t xml:space="preserve">the </w:t>
      </w:r>
      <w:r w:rsidR="00740122">
        <w:rPr>
          <w:rFonts w:asciiTheme="minorHAnsi" w:hAnsiTheme="minorHAnsi" w:cstheme="minorHAnsi"/>
          <w:i w:val="0"/>
          <w:color w:val="auto"/>
          <w:szCs w:val="22"/>
        </w:rPr>
        <w:t xml:space="preserve">removal of a pilot light are </w:t>
      </w:r>
      <w:r w:rsidR="008834EC">
        <w:rPr>
          <w:rFonts w:asciiTheme="minorHAnsi" w:hAnsiTheme="minorHAnsi" w:cstheme="minorHAnsi"/>
          <w:i w:val="0"/>
          <w:color w:val="auto"/>
          <w:szCs w:val="22"/>
        </w:rPr>
        <w:t>accounted for more appropriately within the energy savings for an increase of efficiency (See section 2.5).</w:t>
      </w:r>
    </w:p>
    <w:p w14:paraId="5C6C6434" w14:textId="35CBAFFE" w:rsidR="00A1748C" w:rsidRPr="00A1748C" w:rsidRDefault="00056D3F" w:rsidP="001C5936">
      <w:pPr>
        <w:pStyle w:val="Reminders"/>
        <w:numPr>
          <w:ilvl w:val="0"/>
          <w:numId w:val="10"/>
        </w:numPr>
        <w:rPr>
          <w:rFonts w:asciiTheme="minorHAnsi" w:hAnsiTheme="minorHAnsi" w:cstheme="minorHAnsi"/>
          <w:i w:val="0"/>
          <w:color w:val="auto"/>
          <w:szCs w:val="22"/>
        </w:rPr>
      </w:pPr>
      <w:r w:rsidRPr="00056D3F">
        <w:rPr>
          <w:rFonts w:asciiTheme="minorHAnsi" w:hAnsiTheme="minorHAnsi" w:cstheme="minorHAnsi"/>
          <w:b/>
          <w:i w:val="0"/>
          <w:color w:val="auto"/>
          <w:szCs w:val="22"/>
        </w:rPr>
        <w:t>Pilot ON and Burner OFF for part of the hour.</w:t>
      </w:r>
      <w:r w:rsidR="00A1748C" w:rsidRPr="00A1748C">
        <w:rPr>
          <w:rFonts w:asciiTheme="minorHAnsi" w:hAnsiTheme="minorHAnsi" w:cstheme="minorHAnsi"/>
          <w:i w:val="0"/>
          <w:color w:val="auto"/>
          <w:szCs w:val="22"/>
        </w:rPr>
        <w:t xml:space="preserve"> </w:t>
      </w:r>
      <w:r w:rsidR="00A1748C">
        <w:rPr>
          <w:rFonts w:asciiTheme="minorHAnsi" w:hAnsiTheme="minorHAnsi" w:cstheme="minorHAnsi"/>
          <w:i w:val="0"/>
          <w:color w:val="auto"/>
          <w:szCs w:val="22"/>
        </w:rPr>
        <w:t xml:space="preserve">Heating is required during this hour, so the heat provided by the pilot can be considered useful. </w:t>
      </w:r>
      <w:r w:rsidR="00A1748C" w:rsidRPr="00A1748C">
        <w:rPr>
          <w:rFonts w:asciiTheme="minorHAnsi" w:hAnsiTheme="minorHAnsi" w:cstheme="minorHAnsi"/>
          <w:i w:val="0"/>
          <w:color w:val="auto"/>
          <w:szCs w:val="22"/>
        </w:rPr>
        <w:t xml:space="preserve">This case will also consider a pilot light efficiency, a value that captures the amount of heat produced from the pilot light that is transferred to the conditioned space. Currently there are no studies assessing this value; however, the DEER water heater calculator </w:t>
      </w:r>
      <w:r w:rsidR="00A1748C" w:rsidRPr="00A1748C">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G</w:t>
      </w:r>
      <w:r w:rsidR="00A1748C" w:rsidRPr="00A1748C">
        <w:rPr>
          <w:rFonts w:asciiTheme="minorHAnsi" w:hAnsiTheme="minorHAnsi" w:cstheme="minorHAnsi"/>
          <w:i w:val="0"/>
          <w:color w:val="auto"/>
          <w:szCs w:val="22"/>
        </w:rPr>
        <w:t>, uses a pilot light efficiency of 67%, which t</w:t>
      </w:r>
      <w:r w:rsidR="00C113D5">
        <w:rPr>
          <w:rFonts w:asciiTheme="minorHAnsi" w:hAnsiTheme="minorHAnsi" w:cstheme="minorHAnsi"/>
          <w:i w:val="0"/>
          <w:color w:val="auto"/>
          <w:szCs w:val="22"/>
        </w:rPr>
        <w:t>his measure will also use. I</w:t>
      </w:r>
      <w:r w:rsidR="00A1748C" w:rsidRPr="00A1748C">
        <w:rPr>
          <w:rFonts w:asciiTheme="minorHAnsi" w:hAnsiTheme="minorHAnsi" w:cstheme="minorHAnsi"/>
          <w:i w:val="0"/>
          <w:color w:val="auto"/>
          <w:szCs w:val="22"/>
        </w:rPr>
        <w:t xml:space="preserve">n other words, during these periods, this measure will only claim 33% of the pilot light energy as savings for energy that would have otherwise been wasted, while 67% of the pilot heat rate is assumed to be transferred into the conditioned space. </w:t>
      </w:r>
    </w:p>
    <w:p w14:paraId="4EDEE395" w14:textId="3C2C4CEF" w:rsidR="000E76D0" w:rsidRDefault="000E76D0" w:rsidP="00663CD9">
      <w:pPr>
        <w:pStyle w:val="Reminders"/>
        <w:rPr>
          <w:rFonts w:asciiTheme="minorHAnsi" w:hAnsiTheme="minorHAnsi" w:cstheme="minorHAnsi"/>
          <w:i w:val="0"/>
          <w:color w:val="auto"/>
          <w:szCs w:val="22"/>
        </w:rPr>
      </w:pPr>
    </w:p>
    <w:p w14:paraId="099FF45A" w14:textId="0409A9F6" w:rsidR="000E76D0" w:rsidRDefault="000E76D0"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for the removal of the standing pilot light can be calculated using the equation</w:t>
      </w:r>
      <w:r w:rsidR="004F25E7">
        <w:rPr>
          <w:rFonts w:asciiTheme="minorHAnsi" w:hAnsiTheme="minorHAnsi" w:cstheme="minorHAnsi"/>
          <w:i w:val="0"/>
          <w:color w:val="auto"/>
          <w:szCs w:val="22"/>
        </w:rPr>
        <w:t>s</w:t>
      </w:r>
      <w:r>
        <w:rPr>
          <w:rFonts w:asciiTheme="minorHAnsi" w:hAnsiTheme="minorHAnsi" w:cstheme="minorHAnsi"/>
          <w:i w:val="0"/>
          <w:color w:val="auto"/>
          <w:szCs w:val="22"/>
        </w:rPr>
        <w:t xml:space="preserve"> below</w:t>
      </w:r>
      <w:r w:rsidR="004F25E7">
        <w:rPr>
          <w:rFonts w:asciiTheme="minorHAnsi" w:hAnsiTheme="minorHAnsi" w:cstheme="minorHAnsi"/>
          <w:i w:val="0"/>
          <w:color w:val="auto"/>
          <w:szCs w:val="22"/>
        </w:rPr>
        <w:t xml:space="preserve"> for each instance of standing pilot energy use</w:t>
      </w:r>
      <w:r>
        <w:rPr>
          <w:rFonts w:asciiTheme="minorHAnsi" w:hAnsiTheme="minorHAnsi" w:cstheme="minorHAnsi"/>
          <w:i w:val="0"/>
          <w:color w:val="auto"/>
          <w:szCs w:val="22"/>
        </w:rPr>
        <w:t>:</w:t>
      </w:r>
    </w:p>
    <w:p w14:paraId="624BC66F" w14:textId="77777777" w:rsidR="000E76D0" w:rsidRDefault="000E76D0" w:rsidP="00663CD9">
      <w:pPr>
        <w:pStyle w:val="Reminders"/>
        <w:rPr>
          <w:rFonts w:asciiTheme="minorHAnsi" w:hAnsiTheme="minorHAnsi" w:cstheme="minorHAnsi"/>
          <w:i w:val="0"/>
          <w:color w:val="auto"/>
          <w:szCs w:val="22"/>
        </w:rPr>
      </w:pPr>
    </w:p>
    <w:p w14:paraId="09AD9F6F" w14:textId="5A4D87AF" w:rsidR="000E76D0" w:rsidRPr="006F44A8"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1</m:t>
              </m:r>
            </m:sub>
          </m:sSub>
          <m:r>
            <w:rPr>
              <w:rFonts w:ascii="Cambria Math" w:hAnsi="Cambria Math" w:cstheme="minorHAnsi"/>
              <w:color w:val="auto"/>
              <w:szCs w:val="22"/>
            </w:rPr>
            <m:t xml:space="preserve"> x </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P</m:t>
              </m:r>
            </m:sub>
          </m:sSub>
          <m:r>
            <w:rPr>
              <w:rFonts w:ascii="Cambria Math" w:hAnsi="Cambria Math" w:cstheme="minorHAnsi"/>
              <w:color w:val="auto"/>
              <w:szCs w:val="22"/>
            </w:rPr>
            <m:t xml:space="preserve"> x </m:t>
          </m:r>
          <m:f>
            <m:fPr>
              <m:ctrlPr>
                <w:rPr>
                  <w:rFonts w:ascii="Cambria Math" w:hAnsi="Cambria Math" w:cstheme="minorHAnsi"/>
                  <w:color w:val="auto"/>
                  <w:szCs w:val="22"/>
                </w:rPr>
              </m:ctrlPr>
            </m:fPr>
            <m:num>
              <m:r>
                <w:rPr>
                  <w:rFonts w:ascii="Cambria Math" w:hAnsi="Cambria Math" w:cstheme="minorHAnsi"/>
                  <w:color w:val="auto"/>
                  <w:szCs w:val="22"/>
                </w:rPr>
                <m:t>1 Therm</m:t>
              </m:r>
            </m:num>
            <m:den>
              <m:r>
                <w:rPr>
                  <w:rFonts w:ascii="Cambria Math" w:hAnsi="Cambria Math" w:cstheme="minorHAnsi"/>
                  <w:color w:val="auto"/>
                  <w:szCs w:val="22"/>
                </w:rPr>
                <m:t>100,000 Btu</m:t>
              </m:r>
            </m:den>
          </m:f>
          <m:r>
            <w:rPr>
              <w:rFonts w:ascii="Cambria Math" w:hAnsi="Cambria Math" w:cstheme="minorHAnsi"/>
              <w:color w:val="auto"/>
              <w:szCs w:val="22"/>
            </w:rPr>
            <m:t>, equation (5)</m:t>
          </m:r>
        </m:oMath>
      </m:oMathPara>
    </w:p>
    <w:p w14:paraId="6B5B1FD6" w14:textId="77777777" w:rsidR="006F44A8" w:rsidRPr="006F44A8" w:rsidRDefault="006F44A8" w:rsidP="00663CD9">
      <w:pPr>
        <w:pStyle w:val="Reminders"/>
        <w:rPr>
          <w:rFonts w:asciiTheme="minorHAnsi" w:hAnsiTheme="minorHAnsi" w:cstheme="minorHAnsi"/>
          <w:i w:val="0"/>
          <w:color w:val="auto"/>
          <w:szCs w:val="22"/>
        </w:rPr>
      </w:pPr>
    </w:p>
    <w:p w14:paraId="210808A7" w14:textId="3E9FAB97" w:rsidR="006F44A8" w:rsidRPr="000E76D0"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2</m:t>
              </m:r>
            </m:sub>
          </m:sSub>
          <m:r>
            <w:rPr>
              <w:rFonts w:ascii="Cambria Math" w:hAnsi="Cambria Math" w:cstheme="minorHAnsi"/>
              <w:color w:val="auto"/>
              <w:szCs w:val="22"/>
            </w:rPr>
            <m:t>=0, equation (6)</m:t>
          </m:r>
        </m:oMath>
      </m:oMathPara>
    </w:p>
    <w:p w14:paraId="0AE9319F" w14:textId="77777777" w:rsidR="000E76D0" w:rsidRPr="000E76D0" w:rsidRDefault="000E76D0" w:rsidP="00663CD9">
      <w:pPr>
        <w:pStyle w:val="Reminders"/>
        <w:rPr>
          <w:rFonts w:asciiTheme="minorHAnsi" w:hAnsiTheme="minorHAnsi" w:cstheme="minorHAnsi"/>
          <w:i w:val="0"/>
          <w:color w:val="auto"/>
          <w:szCs w:val="22"/>
        </w:rPr>
      </w:pPr>
    </w:p>
    <w:p w14:paraId="7FB34ED0" w14:textId="6E2DAF97" w:rsidR="000E76D0" w:rsidRPr="006F44A8"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3</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3</m:t>
              </m:r>
            </m:sub>
          </m:sSub>
          <m:r>
            <w:rPr>
              <w:rFonts w:ascii="Cambria Math" w:hAnsi="Cambria Math" w:cstheme="minorHAnsi"/>
              <w:color w:val="auto"/>
              <w:szCs w:val="22"/>
            </w:rPr>
            <m:t xml:space="preserve"> x </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P</m:t>
              </m:r>
            </m:sub>
          </m:sSub>
          <m:r>
            <w:rPr>
              <w:rFonts w:ascii="Cambria Math" w:hAnsi="Cambria Math" w:cstheme="minorHAnsi"/>
              <w:color w:val="auto"/>
              <w:szCs w:val="22"/>
            </w:rPr>
            <m:t xml:space="preserve"> x </m:t>
          </m:r>
          <m:d>
            <m:dPr>
              <m:ctrlPr>
                <w:rPr>
                  <w:rFonts w:ascii="Cambria Math" w:hAnsi="Cambria Math" w:cstheme="minorHAnsi"/>
                  <w:color w:val="auto"/>
                  <w:szCs w:val="22"/>
                </w:rPr>
              </m:ctrlPr>
            </m:dPr>
            <m:e>
              <m:r>
                <w:rPr>
                  <w:rFonts w:ascii="Cambria Math" w:hAnsi="Cambria Math" w:cstheme="minorHAnsi"/>
                  <w:color w:val="auto"/>
                  <w:szCs w:val="22"/>
                </w:rPr>
                <m:t>1-η</m:t>
              </m:r>
            </m:e>
          </m:d>
          <m:r>
            <w:rPr>
              <w:rFonts w:ascii="Cambria Math" w:hAnsi="Cambria Math" w:cstheme="minorHAnsi"/>
              <w:color w:val="auto"/>
              <w:szCs w:val="22"/>
            </w:rPr>
            <m:t xml:space="preserve"> x </m:t>
          </m:r>
          <m:f>
            <m:fPr>
              <m:ctrlPr>
                <w:rPr>
                  <w:rFonts w:ascii="Cambria Math" w:hAnsi="Cambria Math" w:cstheme="minorHAnsi"/>
                  <w:color w:val="auto"/>
                  <w:szCs w:val="22"/>
                </w:rPr>
              </m:ctrlPr>
            </m:fPr>
            <m:num>
              <m:r>
                <w:rPr>
                  <w:rFonts w:ascii="Cambria Math" w:hAnsi="Cambria Math" w:cstheme="minorHAnsi"/>
                  <w:color w:val="auto"/>
                  <w:szCs w:val="22"/>
                </w:rPr>
                <m:t>1 Therm</m:t>
              </m:r>
            </m:num>
            <m:den>
              <m:r>
                <w:rPr>
                  <w:rFonts w:ascii="Cambria Math" w:hAnsi="Cambria Math" w:cstheme="minorHAnsi"/>
                  <w:color w:val="auto"/>
                  <w:szCs w:val="22"/>
                </w:rPr>
                <m:t>100,000 Btu</m:t>
              </m:r>
            </m:den>
          </m:f>
          <m:r>
            <w:rPr>
              <w:rFonts w:ascii="Cambria Math" w:hAnsi="Cambria Math" w:cstheme="minorHAnsi"/>
              <w:color w:val="auto"/>
              <w:szCs w:val="22"/>
            </w:rPr>
            <m:t>, equation (7)</m:t>
          </m:r>
        </m:oMath>
      </m:oMathPara>
    </w:p>
    <w:p w14:paraId="69B61602" w14:textId="09774922" w:rsidR="006F44A8" w:rsidRDefault="006F44A8" w:rsidP="00663CD9">
      <w:pPr>
        <w:pStyle w:val="Reminders"/>
        <w:rPr>
          <w:rFonts w:asciiTheme="minorHAnsi" w:hAnsiTheme="minorHAnsi" w:cstheme="minorHAnsi"/>
          <w:i w:val="0"/>
          <w:color w:val="auto"/>
          <w:szCs w:val="22"/>
        </w:rPr>
      </w:pPr>
    </w:p>
    <w:p w14:paraId="403D613D" w14:textId="08E661B0" w:rsidR="006F44A8"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P</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2</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3</m:t>
              </m:r>
            </m:sub>
          </m:sSub>
          <m:r>
            <w:rPr>
              <w:rFonts w:ascii="Cambria Math" w:hAnsi="Cambria Math" w:cstheme="minorHAnsi"/>
              <w:color w:val="auto"/>
              <w:szCs w:val="22"/>
            </w:rPr>
            <m:t>, equation (8)</m:t>
          </m:r>
        </m:oMath>
      </m:oMathPara>
    </w:p>
    <w:p w14:paraId="392336C4" w14:textId="77777777" w:rsidR="000E76D0" w:rsidRDefault="000E76D0" w:rsidP="00663CD9">
      <w:pPr>
        <w:pStyle w:val="Reminders"/>
        <w:rPr>
          <w:rFonts w:asciiTheme="minorHAnsi" w:hAnsiTheme="minorHAnsi" w:cstheme="minorHAnsi"/>
          <w:i w:val="0"/>
          <w:color w:val="auto"/>
          <w:szCs w:val="22"/>
        </w:rPr>
      </w:pPr>
    </w:p>
    <w:p w14:paraId="60B27172" w14:textId="604738F4" w:rsidR="000E76D0" w:rsidRDefault="000E76D0"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Where, </w:t>
      </w:r>
    </w:p>
    <w:p w14:paraId="2760CB40" w14:textId="47620B39" w:rsidR="000E76D0" w:rsidRDefault="000E76D0" w:rsidP="00663CD9">
      <w:pPr>
        <w:pStyle w:val="Reminders"/>
        <w:rPr>
          <w:rFonts w:asciiTheme="minorHAnsi" w:hAnsiTheme="minorHAnsi" w:cstheme="minorHAnsi"/>
          <w:i w:val="0"/>
          <w:color w:val="auto"/>
          <w:szCs w:val="22"/>
        </w:rPr>
      </w:pPr>
    </w:p>
    <w:p w14:paraId="175573A9" w14:textId="0E8688C4" w:rsidR="000E76D0"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1</m:t>
            </m:r>
          </m:sub>
        </m:sSub>
      </m:oMath>
      <w:r w:rsidR="000E76D0">
        <w:rPr>
          <w:rFonts w:asciiTheme="minorHAnsi" w:hAnsiTheme="minorHAnsi" w:cstheme="minorHAnsi"/>
          <w:i w:val="0"/>
          <w:color w:val="auto"/>
          <w:szCs w:val="22"/>
        </w:rPr>
        <w:t xml:space="preserve"> = </w:t>
      </w:r>
      <w:r w:rsidR="00D850BD">
        <w:rPr>
          <w:rFonts w:asciiTheme="minorHAnsi" w:hAnsiTheme="minorHAnsi" w:cstheme="minorHAnsi"/>
          <w:i w:val="0"/>
          <w:color w:val="auto"/>
          <w:szCs w:val="22"/>
        </w:rPr>
        <w:t>Pilot light e</w:t>
      </w:r>
      <w:r w:rsidR="000E76D0">
        <w:rPr>
          <w:rFonts w:asciiTheme="minorHAnsi" w:hAnsiTheme="minorHAnsi" w:cstheme="minorHAnsi"/>
          <w:i w:val="0"/>
          <w:color w:val="auto"/>
          <w:szCs w:val="22"/>
        </w:rPr>
        <w:t>nergy savings from instance 1 when the pilot light was on for the entire hour</w:t>
      </w:r>
      <w:r w:rsidR="00D850BD">
        <w:rPr>
          <w:rFonts w:asciiTheme="minorHAnsi" w:hAnsiTheme="minorHAnsi" w:cstheme="minorHAnsi"/>
          <w:i w:val="0"/>
          <w:color w:val="auto"/>
          <w:szCs w:val="22"/>
        </w:rPr>
        <w:t xml:space="preserve"> (Therms).</w:t>
      </w:r>
    </w:p>
    <w:p w14:paraId="5A397090" w14:textId="7FA3BD2F" w:rsidR="008834EC" w:rsidRPr="008834EC"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1</m:t>
            </m:r>
          </m:sub>
        </m:sSub>
      </m:oMath>
      <w:r w:rsidR="008834EC">
        <w:rPr>
          <w:rFonts w:asciiTheme="minorHAnsi" w:hAnsiTheme="minorHAnsi" w:cstheme="minorHAnsi"/>
          <w:i w:val="0"/>
          <w:color w:val="auto"/>
          <w:szCs w:val="22"/>
        </w:rPr>
        <w:t xml:space="preserve"> = Pilot light ON time for instance 1 when the pilot light was on for the entire hour (hours), as calculated in section 2.3.</w:t>
      </w:r>
    </w:p>
    <w:p w14:paraId="28FFD95C" w14:textId="3993D166" w:rsidR="00D850BD"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P</m:t>
            </m:r>
          </m:sub>
        </m:sSub>
      </m:oMath>
      <w:r w:rsidR="00D850BD">
        <w:rPr>
          <w:rFonts w:asciiTheme="minorHAnsi" w:hAnsiTheme="minorHAnsi" w:cstheme="minorHAnsi"/>
          <w:i w:val="0"/>
          <w:color w:val="auto"/>
          <w:szCs w:val="22"/>
        </w:rPr>
        <w:t xml:space="preserve"> = Input rate of the pilot light (501.4 </w:t>
      </w:r>
      <m:oMath>
        <m:f>
          <m:fPr>
            <m:ctrlPr>
              <w:rPr>
                <w:rFonts w:ascii="Cambria Math" w:hAnsi="Cambria Math" w:cstheme="minorHAnsi"/>
                <w:color w:val="auto"/>
                <w:szCs w:val="22"/>
              </w:rPr>
            </m:ctrlPr>
          </m:fPr>
          <m:num>
            <m:r>
              <w:rPr>
                <w:rFonts w:ascii="Cambria Math" w:hAnsi="Cambria Math" w:cstheme="minorHAnsi"/>
                <w:color w:val="auto"/>
                <w:szCs w:val="22"/>
              </w:rPr>
              <m:t>Btu</m:t>
            </m:r>
          </m:num>
          <m:den>
            <m:r>
              <w:rPr>
                <w:rFonts w:ascii="Cambria Math" w:hAnsi="Cambria Math" w:cstheme="minorHAnsi"/>
                <w:color w:val="auto"/>
                <w:szCs w:val="22"/>
              </w:rPr>
              <m:t>hr</m:t>
            </m:r>
          </m:den>
        </m:f>
      </m:oMath>
      <w:r w:rsidR="00D850BD">
        <w:rPr>
          <w:rFonts w:asciiTheme="minorHAnsi" w:hAnsiTheme="minorHAnsi" w:cstheme="minorHAnsi"/>
          <w:i w:val="0"/>
          <w:color w:val="auto"/>
          <w:szCs w:val="22"/>
        </w:rPr>
        <w:t xml:space="preserve">) from </w:t>
      </w:r>
      <w:r w:rsidR="00D850BD" w:rsidRPr="00D850B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C</w:t>
      </w:r>
      <w:r w:rsidR="00D850BD">
        <w:rPr>
          <w:rFonts w:asciiTheme="minorHAnsi" w:hAnsiTheme="minorHAnsi" w:cstheme="minorHAnsi"/>
          <w:i w:val="0"/>
          <w:color w:val="auto"/>
          <w:szCs w:val="22"/>
        </w:rPr>
        <w:t>.</w:t>
      </w:r>
    </w:p>
    <w:p w14:paraId="451FBCE9" w14:textId="40EA291F" w:rsidR="006F44A8" w:rsidRPr="006F44A8"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2</m:t>
            </m:r>
          </m:sub>
        </m:sSub>
      </m:oMath>
      <w:r w:rsidR="006F44A8">
        <w:rPr>
          <w:rFonts w:asciiTheme="minorHAnsi" w:hAnsiTheme="minorHAnsi" w:cstheme="minorHAnsi"/>
          <w:i w:val="0"/>
          <w:color w:val="auto"/>
          <w:szCs w:val="22"/>
        </w:rPr>
        <w:t xml:space="preserve"> = Pilot light energy savings from instance 2, when the pilot light and burner were ON for a portion of the hour (Therms)</w:t>
      </w:r>
    </w:p>
    <w:p w14:paraId="4564F645" w14:textId="32B062DD" w:rsidR="00D850BD" w:rsidRDefault="00276A99" w:rsidP="00D850BD">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3</m:t>
            </m:r>
          </m:sub>
        </m:sSub>
      </m:oMath>
      <w:r w:rsidR="00D850BD">
        <w:rPr>
          <w:rFonts w:asciiTheme="minorHAnsi" w:hAnsiTheme="minorHAnsi" w:cstheme="minorHAnsi"/>
          <w:i w:val="0"/>
          <w:color w:val="auto"/>
          <w:szCs w:val="22"/>
        </w:rPr>
        <w:t xml:space="preserve"> = Pilot light energy savings from instance </w:t>
      </w:r>
      <w:r w:rsidR="006F44A8">
        <w:rPr>
          <w:rFonts w:asciiTheme="minorHAnsi" w:hAnsiTheme="minorHAnsi" w:cstheme="minorHAnsi"/>
          <w:i w:val="0"/>
          <w:color w:val="auto"/>
          <w:szCs w:val="22"/>
        </w:rPr>
        <w:t>3,</w:t>
      </w:r>
      <w:r w:rsidR="00D850BD">
        <w:rPr>
          <w:rFonts w:asciiTheme="minorHAnsi" w:hAnsiTheme="minorHAnsi" w:cstheme="minorHAnsi"/>
          <w:i w:val="0"/>
          <w:color w:val="auto"/>
          <w:szCs w:val="22"/>
        </w:rPr>
        <w:t xml:space="preserve"> when the pilot light was </w:t>
      </w:r>
      <w:r w:rsidR="006F44A8">
        <w:rPr>
          <w:rFonts w:asciiTheme="minorHAnsi" w:hAnsiTheme="minorHAnsi" w:cstheme="minorHAnsi"/>
          <w:i w:val="0"/>
          <w:color w:val="auto"/>
          <w:szCs w:val="22"/>
        </w:rPr>
        <w:t>ON and the burner was OFF</w:t>
      </w:r>
      <w:r w:rsidR="00D850BD">
        <w:rPr>
          <w:rFonts w:asciiTheme="minorHAnsi" w:hAnsiTheme="minorHAnsi" w:cstheme="minorHAnsi"/>
          <w:i w:val="0"/>
          <w:color w:val="auto"/>
          <w:szCs w:val="22"/>
        </w:rPr>
        <w:t xml:space="preserve"> for a portion of the hour (Therms).</w:t>
      </w:r>
    </w:p>
    <w:p w14:paraId="33CD76B4" w14:textId="121F49BA" w:rsidR="008834EC" w:rsidRDefault="00276A99" w:rsidP="00D850BD">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3</m:t>
            </m:r>
          </m:sub>
        </m:sSub>
      </m:oMath>
      <w:r w:rsidR="008834EC">
        <w:rPr>
          <w:rFonts w:asciiTheme="minorHAnsi" w:hAnsiTheme="minorHAnsi" w:cstheme="minorHAnsi"/>
          <w:i w:val="0"/>
          <w:color w:val="auto"/>
          <w:szCs w:val="22"/>
        </w:rPr>
        <w:t xml:space="preserve"> = Pilot light ON time for instance 3 when the pilot light was</w:t>
      </w:r>
      <w:r w:rsidR="00EF7E1B">
        <w:rPr>
          <w:rFonts w:asciiTheme="minorHAnsi" w:hAnsiTheme="minorHAnsi" w:cstheme="minorHAnsi"/>
          <w:i w:val="0"/>
          <w:color w:val="auto"/>
          <w:szCs w:val="22"/>
        </w:rPr>
        <w:t xml:space="preserve"> ON and the burner was OFF</w:t>
      </w:r>
      <w:r w:rsidR="008834EC">
        <w:rPr>
          <w:rFonts w:asciiTheme="minorHAnsi" w:hAnsiTheme="minorHAnsi" w:cstheme="minorHAnsi"/>
          <w:i w:val="0"/>
          <w:color w:val="auto"/>
          <w:szCs w:val="22"/>
        </w:rPr>
        <w:t xml:space="preserve"> for </w:t>
      </w:r>
      <w:r w:rsidR="00EF7E1B">
        <w:rPr>
          <w:rFonts w:asciiTheme="minorHAnsi" w:hAnsiTheme="minorHAnsi" w:cstheme="minorHAnsi"/>
          <w:i w:val="0"/>
          <w:color w:val="auto"/>
          <w:szCs w:val="22"/>
        </w:rPr>
        <w:t>a portion of the hour</w:t>
      </w:r>
      <w:r w:rsidR="008834EC">
        <w:rPr>
          <w:rFonts w:asciiTheme="minorHAnsi" w:hAnsiTheme="minorHAnsi" w:cstheme="minorHAnsi"/>
          <w:i w:val="0"/>
          <w:color w:val="auto"/>
          <w:szCs w:val="22"/>
        </w:rPr>
        <w:t xml:space="preserve"> (hours), as calculated in section 2.3.</w:t>
      </w:r>
    </w:p>
    <w:p w14:paraId="6D06CF58" w14:textId="5ED0C996" w:rsidR="00663CD9" w:rsidRDefault="00D850BD"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η = efficiency of the pilot light (67%) from </w:t>
      </w:r>
      <w:r w:rsidRPr="00D850BD">
        <w:rPr>
          <w:rFonts w:asciiTheme="minorHAnsi" w:hAnsiTheme="minorHAnsi" w:cstheme="minorHAnsi"/>
          <w:b/>
          <w:color w:val="auto"/>
          <w:szCs w:val="22"/>
        </w:rPr>
        <w:t xml:space="preserve">Attachment </w:t>
      </w:r>
      <w:r w:rsidR="0012247D">
        <w:rPr>
          <w:rFonts w:asciiTheme="minorHAnsi" w:hAnsiTheme="minorHAnsi" w:cstheme="minorHAnsi"/>
          <w:b/>
          <w:color w:val="auto"/>
          <w:szCs w:val="22"/>
        </w:rPr>
        <w:t>G</w:t>
      </w:r>
      <w:r w:rsidR="006F44A8">
        <w:rPr>
          <w:rFonts w:asciiTheme="minorHAnsi" w:hAnsiTheme="minorHAnsi" w:cstheme="minorHAnsi"/>
          <w:i w:val="0"/>
          <w:color w:val="auto"/>
          <w:szCs w:val="22"/>
        </w:rPr>
        <w:t>.</w:t>
      </w:r>
    </w:p>
    <w:p w14:paraId="0AD26480" w14:textId="77777777" w:rsidR="00DE15C4" w:rsidRDefault="00DE15C4" w:rsidP="00663CD9">
      <w:pPr>
        <w:pStyle w:val="Reminders"/>
        <w:rPr>
          <w:rFonts w:asciiTheme="minorHAnsi" w:hAnsiTheme="minorHAnsi" w:cstheme="minorHAnsi"/>
          <w:i w:val="0"/>
          <w:color w:val="auto"/>
          <w:szCs w:val="22"/>
        </w:rPr>
      </w:pPr>
    </w:p>
    <w:p w14:paraId="76C028AA" w14:textId="6620562B" w:rsidR="006F44A8" w:rsidRPr="006F44A8"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P</m:t>
            </m:r>
          </m:sub>
        </m:sSub>
      </m:oMath>
      <w:r w:rsidR="006F44A8">
        <w:rPr>
          <w:rFonts w:asciiTheme="minorHAnsi" w:hAnsiTheme="minorHAnsi" w:cstheme="minorHAnsi"/>
          <w:i w:val="0"/>
          <w:color w:val="auto"/>
          <w:szCs w:val="22"/>
        </w:rPr>
        <w:t xml:space="preserve"> = Total energy saving from the removal of a pilot light.</w:t>
      </w:r>
    </w:p>
    <w:p w14:paraId="59A2C073" w14:textId="175F4731" w:rsidR="00D850BD" w:rsidRPr="00384E62" w:rsidRDefault="00D850BD" w:rsidP="00DF5744">
      <w:pPr>
        <w:pStyle w:val="Heading2"/>
        <w:rPr>
          <w:rFonts w:asciiTheme="minorHAnsi" w:hAnsiTheme="minorHAnsi" w:cstheme="minorHAnsi"/>
        </w:rPr>
      </w:pPr>
      <w:r w:rsidRPr="00384E62">
        <w:rPr>
          <w:rFonts w:asciiTheme="minorHAnsi" w:hAnsiTheme="minorHAnsi" w:cstheme="minorHAnsi"/>
        </w:rPr>
        <w:t>2.5 Energy Savings from an Increase in Efficiency</w:t>
      </w:r>
    </w:p>
    <w:p w14:paraId="3D3AEACF" w14:textId="5484DF8A" w:rsidR="00D850BD" w:rsidRDefault="00D850BD"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from an increase in efficiency can be calculated using the following equations:</w:t>
      </w:r>
    </w:p>
    <w:p w14:paraId="228F8BAA" w14:textId="77EDBA8B" w:rsidR="00D850BD" w:rsidRDefault="00D850BD" w:rsidP="00663CD9">
      <w:pPr>
        <w:pStyle w:val="Reminders"/>
        <w:rPr>
          <w:rFonts w:asciiTheme="minorHAnsi" w:hAnsiTheme="minorHAnsi" w:cstheme="minorHAnsi"/>
          <w:i w:val="0"/>
          <w:color w:val="auto"/>
          <w:szCs w:val="22"/>
        </w:rPr>
      </w:pPr>
    </w:p>
    <w:p w14:paraId="0DAFDECA" w14:textId="33EBA9D2" w:rsidR="00D850BD" w:rsidRPr="00041151" w:rsidRDefault="00276A99" w:rsidP="00D850BD">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FE</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Burner ON</m:t>
              </m:r>
            </m:sub>
          </m:sSub>
          <m:r>
            <w:rPr>
              <w:rFonts w:ascii="Cambria Math" w:hAnsi="Cambria Math" w:cstheme="minorHAnsi"/>
              <w:color w:val="auto"/>
              <w:szCs w:val="22"/>
            </w:rPr>
            <m:t xml:space="preserve"> x </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Burner</m:t>
              </m:r>
            </m:sub>
          </m:sSub>
          <m:r>
            <w:rPr>
              <w:rFonts w:ascii="Cambria Math" w:hAnsi="Cambria Math" w:cstheme="minorHAnsi"/>
              <w:color w:val="auto"/>
              <w:szCs w:val="22"/>
            </w:rPr>
            <m:t xml:space="preserve"> x </m:t>
          </m:r>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1</m:t>
                  </m:r>
                </m:num>
                <m:den>
                  <m:sSub>
                    <m:sSubPr>
                      <m:ctrlPr>
                        <w:rPr>
                          <w:rFonts w:ascii="Cambria Math" w:hAnsi="Cambria Math" w:cstheme="minorHAnsi"/>
                          <w:color w:val="auto"/>
                          <w:szCs w:val="22"/>
                        </w:rPr>
                      </m:ctrlPr>
                    </m:sSubPr>
                    <m:e>
                      <m:r>
                        <w:rPr>
                          <w:rFonts w:ascii="Cambria Math" w:hAnsi="Cambria Math" w:cstheme="minorHAnsi"/>
                          <w:color w:val="auto"/>
                          <w:szCs w:val="22"/>
                        </w:rPr>
                        <m:t>FE</m:t>
                      </m:r>
                    </m:e>
                    <m:sub>
                      <m:r>
                        <w:rPr>
                          <w:rFonts w:ascii="Cambria Math" w:hAnsi="Cambria Math" w:cstheme="minorHAnsi"/>
                          <w:color w:val="auto"/>
                          <w:szCs w:val="22"/>
                        </w:rPr>
                        <m:t>Baseline</m:t>
                      </m:r>
                    </m:sub>
                  </m:sSub>
                </m:den>
              </m:f>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m:t>
                  </m:r>
                </m:num>
                <m:den>
                  <m:sSub>
                    <m:sSubPr>
                      <m:ctrlPr>
                        <w:rPr>
                          <w:rFonts w:ascii="Cambria Math" w:hAnsi="Cambria Math" w:cstheme="minorHAnsi"/>
                          <w:color w:val="auto"/>
                          <w:szCs w:val="22"/>
                        </w:rPr>
                      </m:ctrlPr>
                    </m:sSubPr>
                    <m:e>
                      <m:r>
                        <w:rPr>
                          <w:rFonts w:ascii="Cambria Math" w:hAnsi="Cambria Math" w:cstheme="minorHAnsi"/>
                          <w:color w:val="auto"/>
                          <w:szCs w:val="22"/>
                        </w:rPr>
                        <m:t>FE</m:t>
                      </m:r>
                    </m:e>
                    <m:sub>
                      <m:r>
                        <w:rPr>
                          <w:rFonts w:ascii="Cambria Math" w:hAnsi="Cambria Math" w:cstheme="minorHAnsi"/>
                          <w:color w:val="auto"/>
                          <w:szCs w:val="22"/>
                        </w:rPr>
                        <m:t>Measure</m:t>
                      </m:r>
                    </m:sub>
                  </m:sSub>
                </m:den>
              </m:f>
            </m:e>
          </m:d>
          <m:r>
            <w:rPr>
              <w:rFonts w:ascii="Cambria Math" w:hAnsi="Cambria Math" w:cstheme="minorHAnsi"/>
              <w:color w:val="auto"/>
              <w:szCs w:val="22"/>
            </w:rPr>
            <m:t>x</m:t>
          </m:r>
          <m:f>
            <m:fPr>
              <m:ctrlPr>
                <w:rPr>
                  <w:rFonts w:ascii="Cambria Math" w:hAnsi="Cambria Math" w:cstheme="minorHAnsi"/>
                  <w:color w:val="auto"/>
                  <w:szCs w:val="22"/>
                </w:rPr>
              </m:ctrlPr>
            </m:fPr>
            <m:num>
              <m:r>
                <w:rPr>
                  <w:rFonts w:ascii="Cambria Math" w:hAnsi="Cambria Math" w:cstheme="minorHAnsi"/>
                  <w:color w:val="auto"/>
                  <w:szCs w:val="22"/>
                </w:rPr>
                <m:t>1 Therm</m:t>
              </m:r>
            </m:num>
            <m:den>
              <m:r>
                <w:rPr>
                  <w:rFonts w:ascii="Cambria Math" w:hAnsi="Cambria Math" w:cstheme="minorHAnsi"/>
                  <w:color w:val="auto"/>
                  <w:szCs w:val="22"/>
                </w:rPr>
                <m:t>100,000 Btu</m:t>
              </m:r>
            </m:den>
          </m:f>
          <m:r>
            <w:rPr>
              <w:rFonts w:ascii="Cambria Math" w:hAnsi="Cambria Math" w:cstheme="minorHAnsi"/>
              <w:color w:val="auto"/>
              <w:szCs w:val="22"/>
            </w:rPr>
            <m:t>, equation (9)</m:t>
          </m:r>
        </m:oMath>
      </m:oMathPara>
    </w:p>
    <w:p w14:paraId="761A52C4" w14:textId="6AE6152C" w:rsidR="00D850BD" w:rsidRDefault="00D850BD" w:rsidP="00663CD9">
      <w:pPr>
        <w:pStyle w:val="Reminders"/>
        <w:rPr>
          <w:rFonts w:asciiTheme="minorHAnsi" w:hAnsiTheme="minorHAnsi" w:cstheme="minorHAnsi"/>
          <w:i w:val="0"/>
          <w:color w:val="auto"/>
          <w:szCs w:val="22"/>
        </w:rPr>
      </w:pPr>
    </w:p>
    <w:p w14:paraId="17C72F73" w14:textId="33935160" w:rsidR="00D850BD" w:rsidRDefault="00D850BD"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Where,</w:t>
      </w:r>
    </w:p>
    <w:p w14:paraId="35A599AE" w14:textId="2D057ED4" w:rsidR="00D850BD" w:rsidRDefault="00D850BD" w:rsidP="00663CD9">
      <w:pPr>
        <w:pStyle w:val="Reminders"/>
        <w:rPr>
          <w:rFonts w:asciiTheme="minorHAnsi" w:hAnsiTheme="minorHAnsi" w:cstheme="minorHAnsi"/>
          <w:i w:val="0"/>
          <w:color w:val="auto"/>
          <w:szCs w:val="22"/>
        </w:rPr>
      </w:pPr>
    </w:p>
    <w:p w14:paraId="46DF63F5" w14:textId="70C8738D" w:rsidR="00D850BD"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FE</m:t>
            </m:r>
          </m:sub>
        </m:sSub>
      </m:oMath>
      <w:r w:rsidR="00D850BD">
        <w:rPr>
          <w:rFonts w:asciiTheme="minorHAnsi" w:hAnsiTheme="minorHAnsi" w:cstheme="minorHAnsi"/>
          <w:i w:val="0"/>
          <w:color w:val="auto"/>
          <w:szCs w:val="22"/>
        </w:rPr>
        <w:t xml:space="preserve"> = Energy savings from an increase in efficiency (Therms).</w:t>
      </w:r>
    </w:p>
    <w:p w14:paraId="4946F51C" w14:textId="77777777" w:rsidR="00D850BD" w:rsidRDefault="00276A99" w:rsidP="00D850BD">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Burner ON</m:t>
            </m:r>
          </m:sub>
        </m:sSub>
      </m:oMath>
      <w:r w:rsidR="00D850BD">
        <w:rPr>
          <w:rFonts w:asciiTheme="minorHAnsi" w:hAnsiTheme="minorHAnsi" w:cstheme="minorHAnsi"/>
          <w:i w:val="0"/>
          <w:color w:val="auto"/>
          <w:szCs w:val="22"/>
        </w:rPr>
        <w:t xml:space="preserve"> = as calculation in section 2.2.</w:t>
      </w:r>
    </w:p>
    <w:p w14:paraId="510ADA02" w14:textId="2CD314B2" w:rsid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Burner</m:t>
            </m:r>
          </m:sub>
        </m:sSub>
      </m:oMath>
      <w:r w:rsidR="002E3BC1">
        <w:rPr>
          <w:rFonts w:asciiTheme="minorHAnsi" w:hAnsiTheme="minorHAnsi" w:cstheme="minorHAnsi"/>
          <w:i w:val="0"/>
          <w:color w:val="auto"/>
          <w:szCs w:val="22"/>
        </w:rPr>
        <w:t xml:space="preserve"> = </w:t>
      </w:r>
      <w:r w:rsidR="004F25E7">
        <w:rPr>
          <w:rFonts w:asciiTheme="minorHAnsi" w:hAnsiTheme="minorHAnsi" w:cstheme="minorHAnsi"/>
          <w:i w:val="0"/>
          <w:color w:val="auto"/>
          <w:szCs w:val="22"/>
        </w:rPr>
        <w:t xml:space="preserve">Representative </w:t>
      </w:r>
      <w:r w:rsidR="002E3BC1">
        <w:rPr>
          <w:rFonts w:asciiTheme="minorHAnsi" w:hAnsiTheme="minorHAnsi" w:cstheme="minorHAnsi"/>
          <w:i w:val="0"/>
          <w:color w:val="auto"/>
          <w:szCs w:val="22"/>
        </w:rPr>
        <w:t>Input rate of a fireplace (</w:t>
      </w:r>
      <w:r w:rsidR="00752CCE">
        <w:rPr>
          <w:rFonts w:asciiTheme="minorHAnsi" w:hAnsiTheme="minorHAnsi" w:cstheme="minorHAnsi"/>
          <w:i w:val="0"/>
          <w:color w:val="auto"/>
          <w:szCs w:val="22"/>
        </w:rPr>
        <w:t xml:space="preserve">40,980 </w:t>
      </w:r>
      <m:oMath>
        <m:f>
          <m:fPr>
            <m:ctrlPr>
              <w:rPr>
                <w:rFonts w:ascii="Cambria Math" w:hAnsi="Cambria Math" w:cstheme="minorHAnsi"/>
                <w:color w:val="auto"/>
                <w:szCs w:val="22"/>
              </w:rPr>
            </m:ctrlPr>
          </m:fPr>
          <m:num>
            <m:r>
              <w:rPr>
                <w:rFonts w:ascii="Cambria Math" w:hAnsi="Cambria Math" w:cstheme="minorHAnsi"/>
                <w:color w:val="auto"/>
                <w:szCs w:val="22"/>
              </w:rPr>
              <m:t>Btu</m:t>
            </m:r>
          </m:num>
          <m:den>
            <m:r>
              <w:rPr>
                <w:rFonts w:ascii="Cambria Math" w:hAnsi="Cambria Math" w:cstheme="minorHAnsi"/>
                <w:color w:val="auto"/>
                <w:szCs w:val="22"/>
              </w:rPr>
              <m:t>hr</m:t>
            </m:r>
          </m:den>
        </m:f>
      </m:oMath>
      <w:r w:rsidR="002E3BC1">
        <w:rPr>
          <w:rFonts w:asciiTheme="minorHAnsi" w:hAnsiTheme="minorHAnsi" w:cstheme="minorHAnsi"/>
          <w:i w:val="0"/>
          <w:color w:val="auto"/>
          <w:szCs w:val="22"/>
        </w:rPr>
        <w:t>)</w:t>
      </w:r>
      <w:r w:rsidR="0012247D">
        <w:rPr>
          <w:rFonts w:asciiTheme="minorHAnsi" w:hAnsiTheme="minorHAnsi" w:cstheme="minorHAnsi"/>
          <w:i w:val="0"/>
          <w:color w:val="auto"/>
          <w:szCs w:val="22"/>
        </w:rPr>
        <w:t xml:space="preserve"> from </w:t>
      </w:r>
      <w:r w:rsidR="0012247D" w:rsidRPr="00752CCE">
        <w:rPr>
          <w:rFonts w:asciiTheme="minorHAnsi" w:hAnsiTheme="minorHAnsi" w:cstheme="minorHAnsi"/>
          <w:b/>
          <w:color w:val="auto"/>
          <w:szCs w:val="22"/>
        </w:rPr>
        <w:t xml:space="preserve">Attachment </w:t>
      </w:r>
      <w:r w:rsidR="00752CCE" w:rsidRPr="00752CCE">
        <w:rPr>
          <w:rFonts w:asciiTheme="minorHAnsi" w:hAnsiTheme="minorHAnsi" w:cstheme="minorHAnsi"/>
          <w:b/>
          <w:color w:val="auto"/>
          <w:szCs w:val="22"/>
        </w:rPr>
        <w:t>E</w:t>
      </w:r>
      <w:r w:rsidR="0012247D">
        <w:rPr>
          <w:rFonts w:asciiTheme="minorHAnsi" w:hAnsiTheme="minorHAnsi" w:cstheme="minorHAnsi"/>
          <w:i w:val="0"/>
          <w:color w:val="auto"/>
          <w:szCs w:val="22"/>
        </w:rPr>
        <w:t>.</w:t>
      </w:r>
    </w:p>
    <w:p w14:paraId="3E217F48" w14:textId="301CC6A4" w:rsidR="002E3BC1" w:rsidRP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FE</m:t>
            </m:r>
          </m:e>
          <m:sub>
            <m:r>
              <w:rPr>
                <w:rFonts w:ascii="Cambria Math" w:hAnsi="Cambria Math" w:cstheme="minorHAnsi"/>
                <w:color w:val="auto"/>
                <w:szCs w:val="22"/>
              </w:rPr>
              <m:t>Baseline</m:t>
            </m:r>
          </m:sub>
        </m:sSub>
      </m:oMath>
      <w:r w:rsidR="002E3BC1">
        <w:rPr>
          <w:rFonts w:asciiTheme="minorHAnsi" w:hAnsiTheme="minorHAnsi" w:cstheme="minorHAnsi"/>
          <w:i w:val="0"/>
          <w:color w:val="auto"/>
          <w:szCs w:val="22"/>
        </w:rPr>
        <w:t xml:space="preserve"> = Fireplace efficiency of fireplace at the baseline (%)</w:t>
      </w:r>
    </w:p>
    <w:p w14:paraId="0391C009" w14:textId="6386E556" w:rsidR="002E3BC1" w:rsidRDefault="00276A99" w:rsidP="00663CD9">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FE</m:t>
            </m:r>
          </m:e>
          <m:sub>
            <m:r>
              <w:rPr>
                <w:rFonts w:ascii="Cambria Math" w:hAnsi="Cambria Math" w:cstheme="minorHAnsi"/>
                <w:color w:val="auto"/>
                <w:szCs w:val="22"/>
              </w:rPr>
              <m:t>Measure</m:t>
            </m:r>
          </m:sub>
        </m:sSub>
      </m:oMath>
      <w:r w:rsidR="002E3BC1">
        <w:rPr>
          <w:rFonts w:asciiTheme="minorHAnsi" w:hAnsiTheme="minorHAnsi" w:cstheme="minorHAnsi"/>
          <w:i w:val="0"/>
          <w:color w:val="auto"/>
          <w:szCs w:val="22"/>
        </w:rPr>
        <w:t xml:space="preserve"> = Fireplace efficiency of fireplace of the measure (%)</w:t>
      </w:r>
    </w:p>
    <w:p w14:paraId="491904A2" w14:textId="5FD3A65F" w:rsidR="0012247D" w:rsidRDefault="0012247D" w:rsidP="00663CD9">
      <w:pPr>
        <w:pStyle w:val="Reminders"/>
        <w:rPr>
          <w:rFonts w:asciiTheme="minorHAnsi" w:hAnsiTheme="minorHAnsi" w:cstheme="minorHAnsi"/>
          <w:i w:val="0"/>
          <w:color w:val="auto"/>
          <w:szCs w:val="22"/>
        </w:rPr>
      </w:pPr>
    </w:p>
    <w:p w14:paraId="3E31B34D" w14:textId="2695ABD6" w:rsidR="00AA565D" w:rsidRPr="00D850BD" w:rsidRDefault="0012247D"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input rate of the burner used is the </w:t>
      </w:r>
      <w:r w:rsidR="00752CCE">
        <w:rPr>
          <w:rFonts w:asciiTheme="minorHAnsi" w:hAnsiTheme="minorHAnsi" w:cstheme="minorHAnsi"/>
          <w:i w:val="0"/>
          <w:color w:val="auto"/>
          <w:szCs w:val="22"/>
        </w:rPr>
        <w:t xml:space="preserve">average </w:t>
      </w:r>
      <w:r>
        <w:rPr>
          <w:rFonts w:asciiTheme="minorHAnsi" w:hAnsiTheme="minorHAnsi" w:cstheme="minorHAnsi"/>
          <w:i w:val="0"/>
          <w:color w:val="auto"/>
          <w:szCs w:val="22"/>
        </w:rPr>
        <w:t>input ra</w:t>
      </w:r>
      <w:r w:rsidR="00752CCE">
        <w:rPr>
          <w:rFonts w:asciiTheme="minorHAnsi" w:hAnsiTheme="minorHAnsi" w:cstheme="minorHAnsi"/>
          <w:i w:val="0"/>
          <w:color w:val="auto"/>
          <w:szCs w:val="22"/>
        </w:rPr>
        <w:t xml:space="preserve">te </w:t>
      </w:r>
      <w:r>
        <w:rPr>
          <w:rFonts w:asciiTheme="minorHAnsi" w:hAnsiTheme="minorHAnsi" w:cstheme="minorHAnsi"/>
          <w:i w:val="0"/>
          <w:color w:val="auto"/>
          <w:szCs w:val="22"/>
        </w:rPr>
        <w:t>of a gas wall furnace sized for a single-family home</w:t>
      </w:r>
      <w:r w:rsidR="00752CCE">
        <w:rPr>
          <w:rFonts w:asciiTheme="minorHAnsi" w:hAnsiTheme="minorHAnsi" w:cstheme="minorHAnsi"/>
          <w:i w:val="0"/>
          <w:color w:val="auto"/>
          <w:szCs w:val="22"/>
        </w:rPr>
        <w:t xml:space="preserve">, using California CZ outdoor air temperatures, as found in </w:t>
      </w:r>
      <w:r w:rsidR="00752CCE" w:rsidRPr="00752CCE">
        <w:rPr>
          <w:rFonts w:asciiTheme="minorHAnsi" w:hAnsiTheme="minorHAnsi" w:cstheme="minorHAnsi"/>
          <w:b/>
          <w:color w:val="auto"/>
          <w:szCs w:val="22"/>
        </w:rPr>
        <w:t>Attachment E</w:t>
      </w:r>
      <w:r w:rsidR="00752CCE">
        <w:rPr>
          <w:rFonts w:asciiTheme="minorHAnsi" w:hAnsiTheme="minorHAnsi" w:cstheme="minorHAnsi"/>
          <w:i w:val="0"/>
          <w:color w:val="auto"/>
          <w:szCs w:val="22"/>
        </w:rPr>
        <w:t>. This workpaper has previously established that the consumer utility and burner input rates of gas wall furnaces and fireplaces are similar.</w:t>
      </w:r>
    </w:p>
    <w:p w14:paraId="1A8B4CC3" w14:textId="4AFA17C0" w:rsidR="00D850BD" w:rsidRPr="00384E62" w:rsidRDefault="002E3BC1" w:rsidP="00DF5744">
      <w:pPr>
        <w:pStyle w:val="Heading2"/>
        <w:rPr>
          <w:rFonts w:asciiTheme="minorHAnsi" w:hAnsiTheme="minorHAnsi" w:cstheme="minorHAnsi"/>
        </w:rPr>
      </w:pPr>
      <w:r w:rsidRPr="00384E62">
        <w:rPr>
          <w:rFonts w:asciiTheme="minorHAnsi" w:hAnsiTheme="minorHAnsi" w:cstheme="minorHAnsi"/>
        </w:rPr>
        <w:t>2.6 Total Energy Savings</w:t>
      </w:r>
    </w:p>
    <w:p w14:paraId="18294530" w14:textId="1113FFBC" w:rsidR="00D850BD" w:rsidRDefault="002E3BC1" w:rsidP="00663CD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CA6E68">
        <w:rPr>
          <w:rFonts w:asciiTheme="minorHAnsi" w:hAnsiTheme="minorHAnsi" w:cstheme="minorHAnsi"/>
          <w:i w:val="0"/>
          <w:color w:val="auto"/>
          <w:szCs w:val="22"/>
        </w:rPr>
        <w:t xml:space="preserve">baseline for the </w:t>
      </w:r>
      <w:r w:rsidR="002C212F">
        <w:rPr>
          <w:rFonts w:asciiTheme="minorHAnsi" w:hAnsiTheme="minorHAnsi" w:cstheme="minorHAnsi"/>
          <w:i w:val="0"/>
          <w:color w:val="auto"/>
          <w:szCs w:val="22"/>
        </w:rPr>
        <w:t>AR</w:t>
      </w:r>
      <w:r>
        <w:rPr>
          <w:rFonts w:asciiTheme="minorHAnsi" w:hAnsiTheme="minorHAnsi" w:cstheme="minorHAnsi"/>
          <w:i w:val="0"/>
          <w:color w:val="auto"/>
          <w:szCs w:val="22"/>
        </w:rPr>
        <w:t xml:space="preserve"> </w:t>
      </w:r>
      <w:r w:rsidR="00CA6E68">
        <w:rPr>
          <w:rFonts w:asciiTheme="minorHAnsi" w:hAnsiTheme="minorHAnsi" w:cstheme="minorHAnsi"/>
          <w:i w:val="0"/>
          <w:color w:val="auto"/>
          <w:szCs w:val="22"/>
        </w:rPr>
        <w:t xml:space="preserve">measure </w:t>
      </w:r>
      <w:r>
        <w:rPr>
          <w:rFonts w:asciiTheme="minorHAnsi" w:hAnsiTheme="minorHAnsi" w:cstheme="minorHAnsi"/>
          <w:i w:val="0"/>
          <w:color w:val="auto"/>
          <w:szCs w:val="22"/>
        </w:rPr>
        <w:t xml:space="preserve">is assumed </w:t>
      </w:r>
      <w:r w:rsidR="00CA6E68">
        <w:rPr>
          <w:rFonts w:asciiTheme="minorHAnsi" w:hAnsiTheme="minorHAnsi" w:cstheme="minorHAnsi"/>
          <w:i w:val="0"/>
          <w:color w:val="auto"/>
          <w:szCs w:val="22"/>
        </w:rPr>
        <w:t xml:space="preserve">to </w:t>
      </w:r>
      <w:r>
        <w:rPr>
          <w:rFonts w:asciiTheme="minorHAnsi" w:hAnsiTheme="minorHAnsi" w:cstheme="minorHAnsi"/>
          <w:i w:val="0"/>
          <w:color w:val="auto"/>
          <w:szCs w:val="22"/>
        </w:rPr>
        <w:t xml:space="preserve">use </w:t>
      </w:r>
      <w:r w:rsidR="00CA6E68">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standing pilot and both </w:t>
      </w:r>
      <w:r w:rsidR="00CA6E68">
        <w:rPr>
          <w:rFonts w:asciiTheme="minorHAnsi" w:hAnsiTheme="minorHAnsi" w:cstheme="minorHAnsi"/>
          <w:i w:val="0"/>
          <w:color w:val="auto"/>
          <w:szCs w:val="22"/>
        </w:rPr>
        <w:t xml:space="preserve">measure </w:t>
      </w:r>
      <w:r>
        <w:rPr>
          <w:rFonts w:asciiTheme="minorHAnsi" w:hAnsiTheme="minorHAnsi" w:cstheme="minorHAnsi"/>
          <w:i w:val="0"/>
          <w:color w:val="auto"/>
          <w:szCs w:val="22"/>
        </w:rPr>
        <w:t xml:space="preserve">tiers must use electronic ignition, therefore energy savings for the </w:t>
      </w:r>
      <w:r w:rsidR="002C212F">
        <w:rPr>
          <w:rFonts w:asciiTheme="minorHAnsi" w:hAnsiTheme="minorHAnsi" w:cstheme="minorHAnsi"/>
          <w:i w:val="0"/>
          <w:color w:val="auto"/>
          <w:szCs w:val="22"/>
        </w:rPr>
        <w:t>AR</w:t>
      </w:r>
      <w:r>
        <w:rPr>
          <w:rFonts w:asciiTheme="minorHAnsi" w:hAnsiTheme="minorHAnsi" w:cstheme="minorHAnsi"/>
          <w:i w:val="0"/>
          <w:color w:val="auto"/>
          <w:szCs w:val="22"/>
        </w:rPr>
        <w:t xml:space="preserve"> measure will include savings from the removal of a standing pilot light and savings from an increase in FE.  The </w:t>
      </w:r>
      <w:r w:rsidR="001929F7">
        <w:rPr>
          <w:rFonts w:asciiTheme="minorHAnsi" w:hAnsiTheme="minorHAnsi" w:cstheme="minorHAnsi"/>
          <w:i w:val="0"/>
          <w:color w:val="auto"/>
          <w:szCs w:val="22"/>
        </w:rPr>
        <w:t xml:space="preserve">baseline for the </w:t>
      </w:r>
      <w:r w:rsidR="002C212F">
        <w:rPr>
          <w:rFonts w:asciiTheme="minorHAnsi" w:hAnsiTheme="minorHAnsi" w:cstheme="minorHAnsi"/>
          <w:i w:val="0"/>
          <w:color w:val="auto"/>
          <w:szCs w:val="22"/>
        </w:rPr>
        <w:t xml:space="preserve">NR/NC </w:t>
      </w:r>
      <w:r w:rsidR="001929F7">
        <w:rPr>
          <w:rFonts w:asciiTheme="minorHAnsi" w:hAnsiTheme="minorHAnsi" w:cstheme="minorHAnsi"/>
          <w:i w:val="0"/>
          <w:color w:val="auto"/>
          <w:szCs w:val="22"/>
        </w:rPr>
        <w:t xml:space="preserve">measure </w:t>
      </w:r>
      <w:r>
        <w:rPr>
          <w:rFonts w:asciiTheme="minorHAnsi" w:hAnsiTheme="minorHAnsi" w:cstheme="minorHAnsi"/>
          <w:i w:val="0"/>
          <w:color w:val="auto"/>
          <w:szCs w:val="22"/>
        </w:rPr>
        <w:t>is assume</w:t>
      </w:r>
      <w:r w:rsidR="009A1B75">
        <w:rPr>
          <w:rFonts w:asciiTheme="minorHAnsi" w:hAnsiTheme="minorHAnsi" w:cstheme="minorHAnsi"/>
          <w:i w:val="0"/>
          <w:color w:val="auto"/>
          <w:szCs w:val="22"/>
        </w:rPr>
        <w:t>d</w:t>
      </w:r>
      <w:r>
        <w:rPr>
          <w:rFonts w:asciiTheme="minorHAnsi" w:hAnsiTheme="minorHAnsi" w:cstheme="minorHAnsi"/>
          <w:i w:val="0"/>
          <w:color w:val="auto"/>
          <w:szCs w:val="22"/>
        </w:rPr>
        <w:t xml:space="preserve"> to use electronic ignition and both </w:t>
      </w:r>
      <w:r w:rsidR="001929F7">
        <w:rPr>
          <w:rFonts w:asciiTheme="minorHAnsi" w:hAnsiTheme="minorHAnsi" w:cstheme="minorHAnsi"/>
          <w:i w:val="0"/>
          <w:color w:val="auto"/>
          <w:szCs w:val="22"/>
        </w:rPr>
        <w:t xml:space="preserve">measure </w:t>
      </w:r>
      <w:r>
        <w:rPr>
          <w:rFonts w:asciiTheme="minorHAnsi" w:hAnsiTheme="minorHAnsi" w:cstheme="minorHAnsi"/>
          <w:i w:val="0"/>
          <w:color w:val="auto"/>
          <w:szCs w:val="22"/>
        </w:rPr>
        <w:t xml:space="preserve">tiers must use electronic ignition, therefore the energy savings for the </w:t>
      </w:r>
      <w:r w:rsidR="002C212F">
        <w:rPr>
          <w:rFonts w:asciiTheme="minorHAnsi" w:hAnsiTheme="minorHAnsi" w:cstheme="minorHAnsi"/>
          <w:i w:val="0"/>
          <w:color w:val="auto"/>
          <w:szCs w:val="22"/>
        </w:rPr>
        <w:t xml:space="preserve">NR/NC </w:t>
      </w:r>
      <w:r>
        <w:rPr>
          <w:rFonts w:asciiTheme="minorHAnsi" w:hAnsiTheme="minorHAnsi" w:cstheme="minorHAnsi"/>
          <w:i w:val="0"/>
          <w:color w:val="auto"/>
          <w:szCs w:val="22"/>
        </w:rPr>
        <w:t xml:space="preserve">measure will include savings from an increase in FE only. The following equations </w:t>
      </w:r>
      <w:r w:rsidR="009A1B75">
        <w:rPr>
          <w:rFonts w:asciiTheme="minorHAnsi" w:hAnsiTheme="minorHAnsi" w:cstheme="minorHAnsi"/>
          <w:i w:val="0"/>
          <w:color w:val="auto"/>
          <w:szCs w:val="22"/>
        </w:rPr>
        <w:t>can be used to calculate</w:t>
      </w:r>
      <w:r>
        <w:rPr>
          <w:rFonts w:asciiTheme="minorHAnsi" w:hAnsiTheme="minorHAnsi" w:cstheme="minorHAnsi"/>
          <w:i w:val="0"/>
          <w:color w:val="auto"/>
          <w:szCs w:val="22"/>
        </w:rPr>
        <w:t xml:space="preserve"> the energy savings for the </w:t>
      </w:r>
      <w:r w:rsidR="002C212F">
        <w:rPr>
          <w:rFonts w:asciiTheme="minorHAnsi" w:hAnsiTheme="minorHAnsi" w:cstheme="minorHAnsi"/>
          <w:i w:val="0"/>
          <w:color w:val="auto"/>
          <w:szCs w:val="22"/>
        </w:rPr>
        <w:t>AR</w:t>
      </w:r>
      <w:r>
        <w:rPr>
          <w:rFonts w:asciiTheme="minorHAnsi" w:hAnsiTheme="minorHAnsi" w:cstheme="minorHAnsi"/>
          <w:i w:val="0"/>
          <w:color w:val="auto"/>
          <w:szCs w:val="22"/>
        </w:rPr>
        <w:t xml:space="preserve"> and </w:t>
      </w:r>
      <w:r w:rsidR="002C212F">
        <w:rPr>
          <w:rFonts w:asciiTheme="minorHAnsi" w:hAnsiTheme="minorHAnsi" w:cstheme="minorHAnsi"/>
          <w:i w:val="0"/>
          <w:color w:val="auto"/>
          <w:szCs w:val="22"/>
        </w:rPr>
        <w:t xml:space="preserve">NR/NC </w:t>
      </w:r>
      <w:r>
        <w:rPr>
          <w:rFonts w:asciiTheme="minorHAnsi" w:hAnsiTheme="minorHAnsi" w:cstheme="minorHAnsi"/>
          <w:i w:val="0"/>
          <w:color w:val="auto"/>
          <w:szCs w:val="22"/>
        </w:rPr>
        <w:t>measures.</w:t>
      </w:r>
    </w:p>
    <w:p w14:paraId="4BFCF902" w14:textId="1B614745" w:rsidR="00663CD9" w:rsidRPr="00041151" w:rsidRDefault="00663CD9" w:rsidP="00663CD9">
      <w:pPr>
        <w:pStyle w:val="Reminders"/>
        <w:rPr>
          <w:rFonts w:asciiTheme="minorHAnsi" w:hAnsiTheme="minorHAnsi" w:cstheme="minorHAnsi"/>
          <w:i w:val="0"/>
          <w:color w:val="auto"/>
          <w:szCs w:val="22"/>
        </w:rPr>
      </w:pPr>
    </w:p>
    <w:p w14:paraId="42E9A29C" w14:textId="47468C83" w:rsidR="00663CD9" w:rsidRPr="00041151"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AR</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P</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FE</m:t>
              </m:r>
            </m:sub>
          </m:sSub>
          <m:r>
            <w:rPr>
              <w:rFonts w:ascii="Cambria Math" w:hAnsi="Cambria Math" w:cstheme="minorHAnsi"/>
              <w:color w:val="auto"/>
              <w:szCs w:val="22"/>
            </w:rPr>
            <m:t>, equation (10)</m:t>
          </m:r>
        </m:oMath>
      </m:oMathPara>
    </w:p>
    <w:p w14:paraId="18100F32" w14:textId="77777777" w:rsidR="00663CD9" w:rsidRPr="00041151" w:rsidRDefault="00663CD9" w:rsidP="00663CD9">
      <w:pPr>
        <w:pStyle w:val="Reminders"/>
        <w:rPr>
          <w:rFonts w:asciiTheme="minorHAnsi" w:hAnsiTheme="minorHAnsi" w:cstheme="minorHAnsi"/>
          <w:i w:val="0"/>
          <w:color w:val="auto"/>
          <w:szCs w:val="22"/>
        </w:rPr>
      </w:pPr>
    </w:p>
    <w:p w14:paraId="3B23A072" w14:textId="788966C9" w:rsidR="00663CD9" w:rsidRPr="00041151" w:rsidRDefault="00276A99" w:rsidP="00663CD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NR/NC</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FE</m:t>
              </m:r>
            </m:sub>
          </m:sSub>
          <m:r>
            <w:rPr>
              <w:rFonts w:ascii="Cambria Math" w:hAnsi="Cambria Math" w:cstheme="minorHAnsi"/>
              <w:color w:val="auto"/>
              <w:szCs w:val="22"/>
            </w:rPr>
            <m:t>, equation (11)</m:t>
          </m:r>
        </m:oMath>
      </m:oMathPara>
    </w:p>
    <w:p w14:paraId="60CF007E" w14:textId="77777777" w:rsidR="00663CD9" w:rsidRPr="00041151" w:rsidRDefault="00663CD9" w:rsidP="00663CD9">
      <w:pPr>
        <w:pStyle w:val="Reminders"/>
        <w:rPr>
          <w:rFonts w:asciiTheme="minorHAnsi" w:hAnsiTheme="minorHAnsi" w:cstheme="minorHAnsi"/>
          <w:i w:val="0"/>
          <w:color w:val="auto"/>
          <w:szCs w:val="22"/>
        </w:rPr>
      </w:pPr>
    </w:p>
    <w:p w14:paraId="0052BBC4" w14:textId="77777777" w:rsidR="00663CD9" w:rsidRPr="00041151" w:rsidRDefault="00663CD9" w:rsidP="00663CD9">
      <w:pPr>
        <w:pStyle w:val="Reminders"/>
        <w:rPr>
          <w:rFonts w:asciiTheme="minorHAnsi" w:hAnsiTheme="minorHAnsi" w:cstheme="minorHAnsi"/>
          <w:i w:val="0"/>
          <w:color w:val="auto"/>
          <w:szCs w:val="22"/>
        </w:rPr>
      </w:pPr>
      <w:r w:rsidRPr="00041151">
        <w:rPr>
          <w:rFonts w:asciiTheme="minorHAnsi" w:hAnsiTheme="minorHAnsi" w:cstheme="minorHAnsi"/>
          <w:i w:val="0"/>
          <w:color w:val="auto"/>
          <w:szCs w:val="22"/>
        </w:rPr>
        <w:t>Where,</w:t>
      </w:r>
    </w:p>
    <w:p w14:paraId="00FA0774" w14:textId="4A385BBB" w:rsidR="00663CD9" w:rsidRDefault="00663CD9" w:rsidP="00663CD9">
      <w:pPr>
        <w:pStyle w:val="Reminders"/>
        <w:rPr>
          <w:rFonts w:asciiTheme="minorHAnsi" w:hAnsiTheme="minorHAnsi" w:cstheme="minorHAnsi"/>
          <w:i w:val="0"/>
          <w:color w:val="auto"/>
          <w:szCs w:val="22"/>
        </w:rPr>
      </w:pPr>
    </w:p>
    <w:p w14:paraId="5018F8C6" w14:textId="0EAB33E8" w:rsid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AR</m:t>
            </m:r>
          </m:sub>
        </m:sSub>
      </m:oMath>
      <w:r w:rsidR="002E3BC1">
        <w:rPr>
          <w:rFonts w:asciiTheme="minorHAnsi" w:hAnsiTheme="minorHAnsi" w:cstheme="minorHAnsi"/>
          <w:i w:val="0"/>
          <w:color w:val="auto"/>
          <w:szCs w:val="22"/>
        </w:rPr>
        <w:t xml:space="preserve"> = Energy savings for the </w:t>
      </w:r>
      <w:r w:rsidR="002C212F">
        <w:rPr>
          <w:rFonts w:asciiTheme="minorHAnsi" w:hAnsiTheme="minorHAnsi" w:cstheme="minorHAnsi"/>
          <w:i w:val="0"/>
          <w:color w:val="auto"/>
          <w:szCs w:val="22"/>
        </w:rPr>
        <w:t>AR</w:t>
      </w:r>
      <w:r w:rsidR="002E3BC1">
        <w:rPr>
          <w:rFonts w:asciiTheme="minorHAnsi" w:hAnsiTheme="minorHAnsi" w:cstheme="minorHAnsi"/>
          <w:i w:val="0"/>
          <w:color w:val="auto"/>
          <w:szCs w:val="22"/>
        </w:rPr>
        <w:t xml:space="preserve"> Measure (Therms).</w:t>
      </w:r>
    </w:p>
    <w:p w14:paraId="29D560DA" w14:textId="2E33FC42" w:rsid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P</m:t>
            </m:r>
          </m:sub>
        </m:sSub>
      </m:oMath>
      <w:r w:rsidR="002E3BC1">
        <w:rPr>
          <w:rFonts w:asciiTheme="minorHAnsi" w:hAnsiTheme="minorHAnsi" w:cstheme="minorHAnsi"/>
          <w:i w:val="0"/>
          <w:color w:val="auto"/>
          <w:szCs w:val="22"/>
        </w:rPr>
        <w:t xml:space="preserve"> = </w:t>
      </w:r>
      <w:r w:rsidR="006F44A8">
        <w:rPr>
          <w:rFonts w:asciiTheme="minorHAnsi" w:hAnsiTheme="minorHAnsi" w:cstheme="minorHAnsi"/>
          <w:i w:val="0"/>
          <w:color w:val="auto"/>
          <w:szCs w:val="22"/>
        </w:rPr>
        <w:t>Total e</w:t>
      </w:r>
      <w:r w:rsidR="002E3BC1">
        <w:rPr>
          <w:rFonts w:asciiTheme="minorHAnsi" w:hAnsiTheme="minorHAnsi" w:cstheme="minorHAnsi"/>
          <w:i w:val="0"/>
          <w:color w:val="auto"/>
          <w:szCs w:val="22"/>
        </w:rPr>
        <w:t xml:space="preserve">nergy savings for </w:t>
      </w:r>
      <w:r w:rsidR="00740122">
        <w:rPr>
          <w:rFonts w:asciiTheme="minorHAnsi" w:hAnsiTheme="minorHAnsi" w:cstheme="minorHAnsi"/>
          <w:i w:val="0"/>
          <w:color w:val="auto"/>
          <w:szCs w:val="22"/>
        </w:rPr>
        <w:t>the removal of the pilot light</w:t>
      </w:r>
      <w:r w:rsidR="002E3BC1">
        <w:rPr>
          <w:rFonts w:asciiTheme="minorHAnsi" w:hAnsiTheme="minorHAnsi" w:cstheme="minorHAnsi"/>
          <w:i w:val="0"/>
          <w:color w:val="auto"/>
          <w:szCs w:val="22"/>
        </w:rPr>
        <w:t xml:space="preserve"> (Therms) as calculated in section 2.4.</w:t>
      </w:r>
    </w:p>
    <w:p w14:paraId="50CF1E7C" w14:textId="3161B618" w:rsid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FE</m:t>
            </m:r>
          </m:sub>
        </m:sSub>
      </m:oMath>
      <w:r w:rsidR="002E3BC1">
        <w:rPr>
          <w:rFonts w:asciiTheme="minorHAnsi" w:hAnsiTheme="minorHAnsi" w:cstheme="minorHAnsi"/>
          <w:i w:val="0"/>
          <w:color w:val="auto"/>
          <w:szCs w:val="22"/>
        </w:rPr>
        <w:t xml:space="preserve"> = Energy savings for an increase in FE (Therms) as calculated in section 2.5.</w:t>
      </w:r>
    </w:p>
    <w:p w14:paraId="14BE8862" w14:textId="7C74D209" w:rsidR="002E3BC1" w:rsidRDefault="00276A99" w:rsidP="002E3BC1">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NR/NC</m:t>
            </m:r>
          </m:sub>
        </m:sSub>
      </m:oMath>
      <w:r w:rsidR="002E3BC1">
        <w:rPr>
          <w:rFonts w:asciiTheme="minorHAnsi" w:hAnsiTheme="minorHAnsi" w:cstheme="minorHAnsi"/>
          <w:i w:val="0"/>
          <w:color w:val="auto"/>
          <w:szCs w:val="22"/>
        </w:rPr>
        <w:t xml:space="preserve"> = Energy savings for the </w:t>
      </w:r>
      <w:r w:rsidR="002C212F">
        <w:rPr>
          <w:rFonts w:asciiTheme="minorHAnsi" w:hAnsiTheme="minorHAnsi" w:cstheme="minorHAnsi"/>
          <w:i w:val="0"/>
          <w:color w:val="auto"/>
          <w:szCs w:val="22"/>
        </w:rPr>
        <w:t xml:space="preserve">NR/NC </w:t>
      </w:r>
      <w:r w:rsidR="002E3BC1">
        <w:rPr>
          <w:rFonts w:asciiTheme="minorHAnsi" w:hAnsiTheme="minorHAnsi" w:cstheme="minorHAnsi"/>
          <w:i w:val="0"/>
          <w:color w:val="auto"/>
          <w:szCs w:val="22"/>
        </w:rPr>
        <w:t>Measure (Therms).</w:t>
      </w:r>
    </w:p>
    <w:p w14:paraId="546C10D8" w14:textId="211892CA" w:rsidR="002E3BC1" w:rsidRDefault="002E3BC1" w:rsidP="002E3BC1">
      <w:pPr>
        <w:pStyle w:val="Reminders"/>
        <w:rPr>
          <w:rFonts w:asciiTheme="minorHAnsi" w:hAnsiTheme="minorHAnsi" w:cstheme="minorHAnsi"/>
          <w:i w:val="0"/>
          <w:color w:val="auto"/>
          <w:szCs w:val="22"/>
        </w:rPr>
      </w:pPr>
    </w:p>
    <w:p w14:paraId="01E332EE" w14:textId="548E4E1C" w:rsidR="009A32CD" w:rsidRDefault="009A32CD" w:rsidP="002E3BC1">
      <w:pPr>
        <w:pStyle w:val="Reminders"/>
        <w:rPr>
          <w:rFonts w:asciiTheme="minorHAnsi" w:hAnsiTheme="minorHAnsi" w:cstheme="minorHAnsi"/>
          <w:i w:val="0"/>
          <w:color w:val="auto"/>
          <w:szCs w:val="22"/>
        </w:rPr>
      </w:pPr>
      <w:r w:rsidRPr="009A32CD">
        <w:rPr>
          <w:rFonts w:asciiTheme="minorHAnsi" w:hAnsiTheme="minorHAnsi" w:cstheme="minorHAnsi"/>
          <w:i w:val="0"/>
          <w:color w:val="auto"/>
          <w:szCs w:val="22"/>
        </w:rPr>
        <w:lastRenderedPageBreak/>
        <w:fldChar w:fldCharType="begin"/>
      </w:r>
      <w:r w:rsidRPr="009A32CD">
        <w:rPr>
          <w:rFonts w:asciiTheme="minorHAnsi" w:hAnsiTheme="minorHAnsi" w:cstheme="minorHAnsi"/>
          <w:i w:val="0"/>
          <w:color w:val="auto"/>
          <w:szCs w:val="22"/>
        </w:rPr>
        <w:instrText xml:space="preserve"> REF _Ref530998223 \h  \* MERGEFORMAT </w:instrText>
      </w:r>
      <w:r w:rsidRPr="009A32CD">
        <w:rPr>
          <w:rFonts w:asciiTheme="minorHAnsi" w:hAnsiTheme="minorHAnsi" w:cstheme="minorHAnsi"/>
          <w:i w:val="0"/>
          <w:color w:val="auto"/>
          <w:szCs w:val="22"/>
        </w:rPr>
      </w:r>
      <w:r w:rsidRPr="009A32CD">
        <w:rPr>
          <w:rFonts w:asciiTheme="minorHAnsi" w:hAnsiTheme="minorHAnsi" w:cstheme="minorHAnsi"/>
          <w:i w:val="0"/>
          <w:color w:val="auto"/>
          <w:szCs w:val="22"/>
        </w:rPr>
        <w:fldChar w:fldCharType="separate"/>
      </w:r>
      <w:r w:rsidR="000B78F6" w:rsidRPr="000B78F6">
        <w:rPr>
          <w:rFonts w:asciiTheme="minorHAnsi" w:hAnsiTheme="minorHAnsi" w:cstheme="minorHAnsi"/>
          <w:i w:val="0"/>
          <w:color w:val="auto"/>
        </w:rPr>
        <w:t xml:space="preserve">Table </w:t>
      </w:r>
      <w:r w:rsidR="000B78F6" w:rsidRPr="000B78F6">
        <w:rPr>
          <w:rFonts w:asciiTheme="minorHAnsi" w:hAnsiTheme="minorHAnsi" w:cstheme="minorHAnsi"/>
          <w:i w:val="0"/>
          <w:noProof/>
          <w:color w:val="auto"/>
        </w:rPr>
        <w:t>19</w:t>
      </w:r>
      <w:r w:rsidRPr="009A32CD">
        <w:rPr>
          <w:rFonts w:asciiTheme="minorHAnsi" w:hAnsiTheme="minorHAnsi" w:cstheme="minorHAnsi"/>
          <w:i w:val="0"/>
          <w:color w:val="auto"/>
          <w:szCs w:val="22"/>
        </w:rPr>
        <w:fldChar w:fldCharType="end"/>
      </w:r>
      <w:r w:rsidRPr="009A32CD">
        <w:rPr>
          <w:rFonts w:asciiTheme="minorHAnsi" w:hAnsiTheme="minorHAnsi" w:cstheme="minorHAnsi"/>
          <w:i w:val="0"/>
          <w:color w:val="auto"/>
          <w:szCs w:val="22"/>
        </w:rPr>
        <w:t xml:space="preserve"> </w:t>
      </w:r>
      <w:r>
        <w:rPr>
          <w:rFonts w:asciiTheme="minorHAnsi" w:hAnsiTheme="minorHAnsi" w:cstheme="minorHAnsi"/>
          <w:i w:val="0"/>
          <w:color w:val="auto"/>
          <w:szCs w:val="22"/>
        </w:rPr>
        <w:t>shows the energy savings broken out by pilot light and measure tier along with the total energy savings.</w:t>
      </w:r>
    </w:p>
    <w:p w14:paraId="2CEC114B" w14:textId="77777777" w:rsidR="00752CCE" w:rsidRDefault="00752CCE" w:rsidP="002E3BC1">
      <w:pPr>
        <w:pStyle w:val="Reminders"/>
        <w:rPr>
          <w:rFonts w:asciiTheme="minorHAnsi" w:hAnsiTheme="minorHAnsi" w:cstheme="minorHAnsi"/>
          <w:i w:val="0"/>
          <w:color w:val="auto"/>
          <w:szCs w:val="22"/>
        </w:rPr>
      </w:pPr>
    </w:p>
    <w:p w14:paraId="08125C6C" w14:textId="2C366FD6" w:rsidR="009A32CD" w:rsidRDefault="009A32CD" w:rsidP="009A32CD">
      <w:pPr>
        <w:pStyle w:val="Caption"/>
        <w:keepNext/>
      </w:pPr>
      <w:bookmarkStart w:id="25" w:name="_Ref530998223"/>
      <w:r>
        <w:t xml:space="preserve">Table </w:t>
      </w:r>
      <w:fldSimple w:instr=" SEQ Table \* ARABIC ">
        <w:r w:rsidR="000B78F6">
          <w:rPr>
            <w:noProof/>
          </w:rPr>
          <w:t>19</w:t>
        </w:r>
      </w:fldSimple>
      <w:bookmarkEnd w:id="25"/>
      <w:r>
        <w:t>: Energy Savings by Measure and Climate Zone</w:t>
      </w:r>
    </w:p>
    <w:tbl>
      <w:tblPr>
        <w:tblW w:w="9395" w:type="dxa"/>
        <w:tblInd w:w="113" w:type="dxa"/>
        <w:tblLayout w:type="fixed"/>
        <w:tblCellMar>
          <w:left w:w="58" w:type="dxa"/>
          <w:right w:w="58" w:type="dxa"/>
        </w:tblCellMar>
        <w:tblLook w:val="04A0" w:firstRow="1" w:lastRow="0" w:firstColumn="1" w:lastColumn="0" w:noHBand="0" w:noVBand="1"/>
      </w:tblPr>
      <w:tblGrid>
        <w:gridCol w:w="960"/>
        <w:gridCol w:w="745"/>
        <w:gridCol w:w="1098"/>
        <w:gridCol w:w="1001"/>
        <w:gridCol w:w="1001"/>
        <w:gridCol w:w="1147"/>
        <w:gridCol w:w="1193"/>
        <w:gridCol w:w="1102"/>
        <w:gridCol w:w="1148"/>
      </w:tblGrid>
      <w:tr w:rsidR="00752CCE" w:rsidRPr="006367AA" w14:paraId="15A80BC1" w14:textId="77777777" w:rsidTr="00752CCE">
        <w:trPr>
          <w:cantSplit/>
          <w:trHeight w:val="300"/>
          <w:tblHeader/>
        </w:trPr>
        <w:tc>
          <w:tcPr>
            <w:tcW w:w="9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BFFEAF1"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Climate Zone</w:t>
            </w:r>
          </w:p>
        </w:tc>
        <w:tc>
          <w:tcPr>
            <w:tcW w:w="745"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3E4E0E3" w14:textId="7DF2E1A4" w:rsidR="00752CCE" w:rsidRPr="006367AA" w:rsidRDefault="00752CCE" w:rsidP="009A32CD">
            <w:pPr>
              <w:jc w:val="center"/>
              <w:rPr>
                <w:rFonts w:ascii="Calibri" w:hAnsi="Calibri" w:cs="Calibri"/>
                <w:b/>
                <w:bCs/>
                <w:color w:val="000000"/>
                <w:szCs w:val="22"/>
              </w:rPr>
            </w:pPr>
            <w:r>
              <w:rPr>
                <w:rFonts w:ascii="Calibri" w:hAnsi="Calibri" w:cs="Calibri"/>
                <w:b/>
                <w:bCs/>
                <w:color w:val="000000"/>
                <w:szCs w:val="22"/>
              </w:rPr>
              <w:t>HDD</w:t>
            </w:r>
            <w:r>
              <w:rPr>
                <w:rFonts w:ascii="Calibri" w:hAnsi="Calibri" w:cs="Calibri"/>
                <w:b/>
                <w:bCs/>
                <w:color w:val="000000"/>
                <w:szCs w:val="22"/>
              </w:rPr>
              <w:br/>
            </w:r>
          </w:p>
        </w:tc>
        <w:tc>
          <w:tcPr>
            <w:tcW w:w="5440" w:type="dxa"/>
            <w:gridSpan w:val="5"/>
            <w:tcBorders>
              <w:top w:val="single" w:sz="4" w:space="0" w:color="auto"/>
              <w:left w:val="nil"/>
              <w:bottom w:val="single" w:sz="4" w:space="0" w:color="auto"/>
              <w:right w:val="single" w:sz="4" w:space="0" w:color="auto"/>
            </w:tcBorders>
            <w:shd w:val="clear" w:color="000000" w:fill="BFBFBF"/>
            <w:vAlign w:val="center"/>
            <w:hideMark/>
          </w:tcPr>
          <w:p w14:paraId="7A65EE24" w14:textId="504B13B7" w:rsidR="00752CCE" w:rsidRPr="006367AA" w:rsidRDefault="001425FB" w:rsidP="009A32CD">
            <w:pPr>
              <w:jc w:val="center"/>
              <w:rPr>
                <w:rFonts w:ascii="Calibri" w:hAnsi="Calibri" w:cs="Calibri"/>
                <w:b/>
                <w:bCs/>
                <w:color w:val="000000"/>
                <w:szCs w:val="22"/>
              </w:rPr>
            </w:pPr>
            <w:r>
              <w:rPr>
                <w:rFonts w:ascii="Calibri" w:hAnsi="Calibri" w:cs="Calibri"/>
                <w:b/>
                <w:bCs/>
                <w:color w:val="000000"/>
                <w:szCs w:val="22"/>
              </w:rPr>
              <w:t>AR</w:t>
            </w:r>
          </w:p>
        </w:tc>
        <w:tc>
          <w:tcPr>
            <w:tcW w:w="2250" w:type="dxa"/>
            <w:gridSpan w:val="2"/>
            <w:tcBorders>
              <w:top w:val="single" w:sz="4" w:space="0" w:color="auto"/>
              <w:left w:val="nil"/>
              <w:bottom w:val="single" w:sz="4" w:space="0" w:color="auto"/>
              <w:right w:val="single" w:sz="4" w:space="0" w:color="auto"/>
            </w:tcBorders>
            <w:shd w:val="clear" w:color="000000" w:fill="BFBFBF"/>
            <w:vAlign w:val="center"/>
            <w:hideMark/>
          </w:tcPr>
          <w:p w14:paraId="336DC840" w14:textId="1DC42AF5" w:rsidR="00752CCE" w:rsidRPr="006367AA" w:rsidRDefault="001425FB" w:rsidP="009A32CD">
            <w:pPr>
              <w:jc w:val="center"/>
              <w:rPr>
                <w:rFonts w:ascii="Calibri" w:hAnsi="Calibri" w:cs="Calibri"/>
                <w:b/>
                <w:bCs/>
                <w:color w:val="000000"/>
                <w:szCs w:val="22"/>
              </w:rPr>
            </w:pPr>
            <w:r>
              <w:rPr>
                <w:rFonts w:ascii="Calibri" w:hAnsi="Calibri" w:cs="Calibri"/>
                <w:b/>
                <w:bCs/>
                <w:color w:val="000000"/>
                <w:szCs w:val="22"/>
              </w:rPr>
              <w:t>NR/NC</w:t>
            </w:r>
          </w:p>
        </w:tc>
      </w:tr>
      <w:tr w:rsidR="00752CCE" w:rsidRPr="006367AA" w14:paraId="13FF408E" w14:textId="77777777" w:rsidTr="00752CCE">
        <w:trPr>
          <w:cantSplit/>
          <w:trHeight w:val="30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AD7B00C" w14:textId="77777777" w:rsidR="00752CCE" w:rsidRPr="006367AA" w:rsidRDefault="00752CCE" w:rsidP="009A32CD">
            <w:pPr>
              <w:jc w:val="center"/>
              <w:rPr>
                <w:rFonts w:ascii="Calibri" w:hAnsi="Calibri" w:cs="Calibri"/>
                <w:b/>
                <w:bCs/>
                <w:color w:val="000000"/>
                <w:szCs w:val="22"/>
              </w:rPr>
            </w:pPr>
          </w:p>
        </w:tc>
        <w:tc>
          <w:tcPr>
            <w:tcW w:w="745" w:type="dxa"/>
            <w:vMerge/>
            <w:tcBorders>
              <w:top w:val="single" w:sz="4" w:space="0" w:color="auto"/>
              <w:left w:val="single" w:sz="4" w:space="0" w:color="auto"/>
              <w:bottom w:val="single" w:sz="4" w:space="0" w:color="auto"/>
              <w:right w:val="single" w:sz="4" w:space="0" w:color="auto"/>
            </w:tcBorders>
            <w:vAlign w:val="center"/>
            <w:hideMark/>
          </w:tcPr>
          <w:p w14:paraId="6F899A64" w14:textId="77777777" w:rsidR="00752CCE" w:rsidRPr="006367AA" w:rsidRDefault="00752CCE" w:rsidP="009A32CD">
            <w:pPr>
              <w:jc w:val="center"/>
              <w:rPr>
                <w:rFonts w:ascii="Calibri" w:hAnsi="Calibri" w:cs="Calibri"/>
                <w:b/>
                <w:bCs/>
                <w:color w:val="000000"/>
                <w:szCs w:val="22"/>
              </w:rPr>
            </w:pPr>
          </w:p>
        </w:tc>
        <w:tc>
          <w:tcPr>
            <w:tcW w:w="3100" w:type="dxa"/>
            <w:gridSpan w:val="3"/>
            <w:tcBorders>
              <w:top w:val="single" w:sz="4" w:space="0" w:color="auto"/>
              <w:left w:val="nil"/>
              <w:bottom w:val="single" w:sz="4" w:space="0" w:color="auto"/>
              <w:right w:val="single" w:sz="4" w:space="0" w:color="auto"/>
            </w:tcBorders>
            <w:shd w:val="clear" w:color="000000" w:fill="BFBFBF"/>
            <w:vAlign w:val="center"/>
            <w:hideMark/>
          </w:tcPr>
          <w:p w14:paraId="55802FCD" w14:textId="06A4C613" w:rsidR="00752CCE" w:rsidRDefault="00752CCE" w:rsidP="009A32CD">
            <w:pPr>
              <w:jc w:val="center"/>
              <w:rPr>
                <w:rFonts w:ascii="Calibri" w:hAnsi="Calibri" w:cs="Calibri"/>
                <w:b/>
                <w:bCs/>
                <w:color w:val="000000"/>
                <w:szCs w:val="22"/>
              </w:rPr>
            </w:pPr>
            <w:r w:rsidRPr="006367AA">
              <w:rPr>
                <w:rFonts w:ascii="Calibri" w:hAnsi="Calibri" w:cs="Calibri"/>
                <w:b/>
                <w:bCs/>
                <w:color w:val="000000"/>
                <w:szCs w:val="22"/>
              </w:rPr>
              <w:t xml:space="preserve">Savings </w:t>
            </w:r>
            <w:r>
              <w:rPr>
                <w:rFonts w:ascii="Calibri" w:hAnsi="Calibri" w:cs="Calibri"/>
                <w:b/>
                <w:bCs/>
                <w:color w:val="000000"/>
                <w:szCs w:val="22"/>
              </w:rPr>
              <w:t xml:space="preserve">Components </w:t>
            </w:r>
          </w:p>
          <w:p w14:paraId="2B362BBE" w14:textId="59CD9B00" w:rsidR="00752CCE" w:rsidRPr="006367AA" w:rsidRDefault="00752CCE" w:rsidP="009A32CD">
            <w:pPr>
              <w:jc w:val="center"/>
              <w:rPr>
                <w:rFonts w:ascii="Calibri" w:hAnsi="Calibri" w:cs="Calibri"/>
                <w:b/>
                <w:bCs/>
                <w:color w:val="000000"/>
                <w:szCs w:val="22"/>
              </w:rPr>
            </w:pPr>
            <w:r>
              <w:rPr>
                <w:rFonts w:ascii="Calibri" w:hAnsi="Calibri" w:cs="Calibri"/>
                <w:b/>
                <w:bCs/>
                <w:color w:val="000000"/>
                <w:szCs w:val="22"/>
              </w:rPr>
              <w:t>(therms/yr.)</w:t>
            </w:r>
          </w:p>
        </w:tc>
        <w:tc>
          <w:tcPr>
            <w:tcW w:w="2340" w:type="dxa"/>
            <w:gridSpan w:val="2"/>
            <w:tcBorders>
              <w:top w:val="single" w:sz="4" w:space="0" w:color="auto"/>
              <w:left w:val="nil"/>
              <w:bottom w:val="single" w:sz="4" w:space="0" w:color="auto"/>
              <w:right w:val="single" w:sz="4" w:space="0" w:color="auto"/>
            </w:tcBorders>
            <w:shd w:val="clear" w:color="000000" w:fill="BFBFBF"/>
            <w:vAlign w:val="center"/>
            <w:hideMark/>
          </w:tcPr>
          <w:p w14:paraId="4397E57A" w14:textId="77777777" w:rsidR="00752CCE" w:rsidRDefault="00752CCE" w:rsidP="009A32CD">
            <w:pPr>
              <w:jc w:val="center"/>
              <w:rPr>
                <w:rFonts w:ascii="Calibri" w:hAnsi="Calibri" w:cs="Calibri"/>
                <w:b/>
                <w:bCs/>
                <w:color w:val="000000"/>
                <w:szCs w:val="22"/>
              </w:rPr>
            </w:pPr>
            <w:r w:rsidRPr="006367AA">
              <w:rPr>
                <w:rFonts w:ascii="Calibri" w:hAnsi="Calibri" w:cs="Calibri"/>
                <w:b/>
                <w:bCs/>
                <w:color w:val="000000"/>
                <w:szCs w:val="22"/>
              </w:rPr>
              <w:t>Total Savings</w:t>
            </w:r>
            <w:r>
              <w:rPr>
                <w:rFonts w:ascii="Calibri" w:hAnsi="Calibri" w:cs="Calibri"/>
                <w:b/>
                <w:bCs/>
                <w:color w:val="000000"/>
                <w:szCs w:val="22"/>
              </w:rPr>
              <w:t xml:space="preserve"> </w:t>
            </w:r>
          </w:p>
          <w:p w14:paraId="5838D7B6" w14:textId="2F9D60D0" w:rsidR="00752CCE" w:rsidRPr="006367AA" w:rsidRDefault="00752CCE" w:rsidP="009A32CD">
            <w:pPr>
              <w:jc w:val="center"/>
              <w:rPr>
                <w:rFonts w:ascii="Calibri" w:hAnsi="Calibri" w:cs="Calibri"/>
                <w:b/>
                <w:bCs/>
                <w:color w:val="000000"/>
                <w:szCs w:val="22"/>
              </w:rPr>
            </w:pPr>
            <w:r>
              <w:rPr>
                <w:rFonts w:ascii="Calibri" w:hAnsi="Calibri" w:cs="Calibri"/>
                <w:b/>
                <w:bCs/>
                <w:color w:val="000000"/>
                <w:szCs w:val="22"/>
              </w:rPr>
              <w:t>(therms/yr.)</w:t>
            </w:r>
          </w:p>
        </w:tc>
        <w:tc>
          <w:tcPr>
            <w:tcW w:w="2250" w:type="dxa"/>
            <w:gridSpan w:val="2"/>
            <w:tcBorders>
              <w:top w:val="single" w:sz="4" w:space="0" w:color="auto"/>
              <w:left w:val="nil"/>
              <w:bottom w:val="single" w:sz="4" w:space="0" w:color="auto"/>
              <w:right w:val="single" w:sz="4" w:space="0" w:color="auto"/>
            </w:tcBorders>
            <w:shd w:val="clear" w:color="000000" w:fill="BFBFBF"/>
            <w:vAlign w:val="center"/>
            <w:hideMark/>
          </w:tcPr>
          <w:p w14:paraId="495AC3EE" w14:textId="55E5E61A" w:rsidR="00752CCE" w:rsidRDefault="00752CCE" w:rsidP="009A32CD">
            <w:pPr>
              <w:jc w:val="center"/>
              <w:rPr>
                <w:rFonts w:ascii="Calibri" w:hAnsi="Calibri" w:cs="Calibri"/>
                <w:b/>
                <w:bCs/>
                <w:color w:val="000000"/>
                <w:szCs w:val="22"/>
              </w:rPr>
            </w:pPr>
            <w:r w:rsidRPr="006367AA">
              <w:rPr>
                <w:rFonts w:ascii="Calibri" w:hAnsi="Calibri" w:cs="Calibri"/>
                <w:b/>
                <w:bCs/>
                <w:color w:val="000000"/>
                <w:szCs w:val="22"/>
              </w:rPr>
              <w:t>Total Savings</w:t>
            </w:r>
            <w:r>
              <w:rPr>
                <w:rFonts w:ascii="Calibri" w:hAnsi="Calibri" w:cs="Calibri"/>
                <w:b/>
                <w:bCs/>
                <w:color w:val="000000"/>
                <w:szCs w:val="22"/>
              </w:rPr>
              <w:t xml:space="preserve"> </w:t>
            </w:r>
          </w:p>
          <w:p w14:paraId="17B84A18" w14:textId="4DBBB380" w:rsidR="00752CCE" w:rsidRPr="006367AA" w:rsidRDefault="00752CCE" w:rsidP="009A32CD">
            <w:pPr>
              <w:jc w:val="center"/>
              <w:rPr>
                <w:rFonts w:ascii="Calibri" w:hAnsi="Calibri" w:cs="Calibri"/>
                <w:b/>
                <w:bCs/>
                <w:color w:val="000000"/>
                <w:szCs w:val="22"/>
              </w:rPr>
            </w:pPr>
            <w:r>
              <w:rPr>
                <w:rFonts w:ascii="Calibri" w:hAnsi="Calibri" w:cs="Calibri"/>
                <w:b/>
                <w:bCs/>
                <w:color w:val="000000"/>
                <w:szCs w:val="22"/>
              </w:rPr>
              <w:t>(therms/yr.)</w:t>
            </w:r>
          </w:p>
        </w:tc>
      </w:tr>
      <w:tr w:rsidR="00752CCE" w:rsidRPr="006367AA" w14:paraId="4BB7294F" w14:textId="77777777" w:rsidTr="00752CCE">
        <w:trPr>
          <w:cantSplit/>
          <w:trHeight w:val="30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25C4627" w14:textId="77777777" w:rsidR="00752CCE" w:rsidRPr="006367AA" w:rsidRDefault="00752CCE" w:rsidP="009A32CD">
            <w:pPr>
              <w:jc w:val="center"/>
              <w:rPr>
                <w:rFonts w:ascii="Calibri" w:hAnsi="Calibri" w:cs="Calibri"/>
                <w:b/>
                <w:bCs/>
                <w:color w:val="000000"/>
                <w:szCs w:val="22"/>
              </w:rPr>
            </w:pPr>
          </w:p>
        </w:tc>
        <w:tc>
          <w:tcPr>
            <w:tcW w:w="745" w:type="dxa"/>
            <w:vMerge/>
            <w:tcBorders>
              <w:top w:val="single" w:sz="4" w:space="0" w:color="auto"/>
              <w:left w:val="single" w:sz="4" w:space="0" w:color="auto"/>
              <w:bottom w:val="single" w:sz="4" w:space="0" w:color="auto"/>
              <w:right w:val="single" w:sz="4" w:space="0" w:color="auto"/>
            </w:tcBorders>
            <w:vAlign w:val="center"/>
            <w:hideMark/>
          </w:tcPr>
          <w:p w14:paraId="68FC1358" w14:textId="77777777" w:rsidR="00752CCE" w:rsidRPr="006367AA" w:rsidRDefault="00752CCE" w:rsidP="009A32CD">
            <w:pPr>
              <w:jc w:val="center"/>
              <w:rPr>
                <w:rFonts w:ascii="Calibri" w:hAnsi="Calibri" w:cs="Calibri"/>
                <w:b/>
                <w:bCs/>
                <w:color w:val="000000"/>
                <w:szCs w:val="22"/>
              </w:rPr>
            </w:pPr>
          </w:p>
        </w:tc>
        <w:tc>
          <w:tcPr>
            <w:tcW w:w="1098" w:type="dxa"/>
            <w:tcBorders>
              <w:top w:val="nil"/>
              <w:left w:val="nil"/>
              <w:bottom w:val="single" w:sz="4" w:space="0" w:color="auto"/>
              <w:right w:val="single" w:sz="4" w:space="0" w:color="auto"/>
            </w:tcBorders>
            <w:shd w:val="clear" w:color="000000" w:fill="BFBFBF"/>
            <w:vAlign w:val="center"/>
            <w:hideMark/>
          </w:tcPr>
          <w:p w14:paraId="066D40ED"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Pilot Light</w:t>
            </w:r>
          </w:p>
        </w:tc>
        <w:tc>
          <w:tcPr>
            <w:tcW w:w="1001" w:type="dxa"/>
            <w:tcBorders>
              <w:top w:val="nil"/>
              <w:left w:val="nil"/>
              <w:bottom w:val="single" w:sz="4" w:space="0" w:color="auto"/>
              <w:right w:val="single" w:sz="4" w:space="0" w:color="auto"/>
            </w:tcBorders>
            <w:shd w:val="clear" w:color="000000" w:fill="BFBFBF"/>
            <w:vAlign w:val="center"/>
            <w:hideMark/>
          </w:tcPr>
          <w:p w14:paraId="28607960" w14:textId="2914530F"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1</w:t>
            </w:r>
          </w:p>
        </w:tc>
        <w:tc>
          <w:tcPr>
            <w:tcW w:w="1001" w:type="dxa"/>
            <w:tcBorders>
              <w:top w:val="nil"/>
              <w:left w:val="nil"/>
              <w:bottom w:val="single" w:sz="4" w:space="0" w:color="auto"/>
              <w:right w:val="single" w:sz="4" w:space="0" w:color="auto"/>
            </w:tcBorders>
            <w:shd w:val="clear" w:color="000000" w:fill="BFBFBF"/>
            <w:vAlign w:val="center"/>
            <w:hideMark/>
          </w:tcPr>
          <w:p w14:paraId="181D10F9" w14:textId="3E22B95E"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2</w:t>
            </w:r>
          </w:p>
        </w:tc>
        <w:tc>
          <w:tcPr>
            <w:tcW w:w="1147" w:type="dxa"/>
            <w:tcBorders>
              <w:top w:val="nil"/>
              <w:left w:val="nil"/>
              <w:bottom w:val="single" w:sz="4" w:space="0" w:color="auto"/>
              <w:right w:val="single" w:sz="4" w:space="0" w:color="auto"/>
            </w:tcBorders>
            <w:shd w:val="clear" w:color="000000" w:fill="BFBFBF"/>
            <w:vAlign w:val="center"/>
            <w:hideMark/>
          </w:tcPr>
          <w:p w14:paraId="2E20E3AB"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1</w:t>
            </w:r>
          </w:p>
        </w:tc>
        <w:tc>
          <w:tcPr>
            <w:tcW w:w="1193" w:type="dxa"/>
            <w:tcBorders>
              <w:top w:val="nil"/>
              <w:left w:val="nil"/>
              <w:bottom w:val="single" w:sz="4" w:space="0" w:color="auto"/>
              <w:right w:val="single" w:sz="4" w:space="0" w:color="auto"/>
            </w:tcBorders>
            <w:shd w:val="clear" w:color="000000" w:fill="BFBFBF"/>
            <w:vAlign w:val="center"/>
            <w:hideMark/>
          </w:tcPr>
          <w:p w14:paraId="3ECAEE57"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2</w:t>
            </w:r>
          </w:p>
        </w:tc>
        <w:tc>
          <w:tcPr>
            <w:tcW w:w="1102" w:type="dxa"/>
            <w:tcBorders>
              <w:top w:val="nil"/>
              <w:left w:val="nil"/>
              <w:bottom w:val="single" w:sz="4" w:space="0" w:color="auto"/>
              <w:right w:val="single" w:sz="4" w:space="0" w:color="auto"/>
            </w:tcBorders>
            <w:shd w:val="clear" w:color="000000" w:fill="BFBFBF"/>
            <w:vAlign w:val="center"/>
            <w:hideMark/>
          </w:tcPr>
          <w:p w14:paraId="0A264392"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1</w:t>
            </w:r>
          </w:p>
        </w:tc>
        <w:tc>
          <w:tcPr>
            <w:tcW w:w="1148" w:type="dxa"/>
            <w:tcBorders>
              <w:top w:val="nil"/>
              <w:left w:val="nil"/>
              <w:bottom w:val="single" w:sz="4" w:space="0" w:color="auto"/>
              <w:right w:val="single" w:sz="4" w:space="0" w:color="auto"/>
            </w:tcBorders>
            <w:shd w:val="clear" w:color="000000" w:fill="BFBFBF"/>
            <w:vAlign w:val="center"/>
            <w:hideMark/>
          </w:tcPr>
          <w:p w14:paraId="78FAE1D9" w14:textId="77777777" w:rsidR="00752CCE" w:rsidRPr="006367AA" w:rsidRDefault="00752CCE" w:rsidP="009A32CD">
            <w:pPr>
              <w:jc w:val="center"/>
              <w:rPr>
                <w:rFonts w:ascii="Calibri" w:hAnsi="Calibri" w:cs="Calibri"/>
                <w:b/>
                <w:bCs/>
                <w:color w:val="000000"/>
                <w:szCs w:val="22"/>
              </w:rPr>
            </w:pPr>
            <w:r w:rsidRPr="006367AA">
              <w:rPr>
                <w:rFonts w:ascii="Calibri" w:hAnsi="Calibri" w:cs="Calibri"/>
                <w:b/>
                <w:bCs/>
                <w:color w:val="000000"/>
                <w:szCs w:val="22"/>
              </w:rPr>
              <w:t>Tier 2</w:t>
            </w:r>
          </w:p>
        </w:tc>
      </w:tr>
      <w:tr w:rsidR="00316969" w:rsidRPr="006367AA" w14:paraId="08957FF6"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B88FB2"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w:t>
            </w:r>
          </w:p>
        </w:tc>
        <w:tc>
          <w:tcPr>
            <w:tcW w:w="745" w:type="dxa"/>
            <w:tcBorders>
              <w:top w:val="nil"/>
              <w:left w:val="nil"/>
              <w:bottom w:val="single" w:sz="4" w:space="0" w:color="auto"/>
              <w:right w:val="single" w:sz="4" w:space="0" w:color="auto"/>
            </w:tcBorders>
            <w:shd w:val="clear" w:color="auto" w:fill="auto"/>
            <w:noWrap/>
            <w:vAlign w:val="bottom"/>
            <w:hideMark/>
          </w:tcPr>
          <w:p w14:paraId="5F6D6AE4" w14:textId="0EB6AB99"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5</w:t>
            </w:r>
            <w:r>
              <w:rPr>
                <w:rFonts w:ascii="Calibri" w:hAnsi="Calibri" w:cs="Calibri"/>
                <w:color w:val="000000"/>
                <w:szCs w:val="22"/>
              </w:rPr>
              <w:t>,</w:t>
            </w:r>
            <w:r w:rsidRPr="006367AA">
              <w:rPr>
                <w:rFonts w:ascii="Calibri" w:hAnsi="Calibri" w:cs="Calibri"/>
                <w:color w:val="000000"/>
                <w:szCs w:val="22"/>
              </w:rPr>
              <w:t>094</w:t>
            </w:r>
          </w:p>
        </w:tc>
        <w:tc>
          <w:tcPr>
            <w:tcW w:w="1098" w:type="dxa"/>
            <w:tcBorders>
              <w:top w:val="nil"/>
              <w:left w:val="nil"/>
              <w:bottom w:val="single" w:sz="4" w:space="0" w:color="auto"/>
              <w:right w:val="single" w:sz="4" w:space="0" w:color="auto"/>
            </w:tcBorders>
            <w:shd w:val="clear" w:color="auto" w:fill="auto"/>
            <w:noWrap/>
            <w:vAlign w:val="bottom"/>
            <w:hideMark/>
          </w:tcPr>
          <w:p w14:paraId="4219877B" w14:textId="28AA91DE" w:rsidR="00316969" w:rsidRPr="006367AA" w:rsidRDefault="00316969" w:rsidP="00316969">
            <w:pPr>
              <w:jc w:val="right"/>
              <w:rPr>
                <w:rFonts w:ascii="Calibri" w:hAnsi="Calibri" w:cs="Calibri"/>
                <w:color w:val="000000"/>
                <w:szCs w:val="22"/>
              </w:rPr>
            </w:pPr>
            <w:r>
              <w:rPr>
                <w:rFonts w:ascii="Calibri" w:hAnsi="Calibri" w:cs="Calibri"/>
                <w:color w:val="000000"/>
                <w:szCs w:val="22"/>
              </w:rPr>
              <w:t>8</w:t>
            </w:r>
          </w:p>
        </w:tc>
        <w:tc>
          <w:tcPr>
            <w:tcW w:w="1001" w:type="dxa"/>
            <w:tcBorders>
              <w:top w:val="nil"/>
              <w:left w:val="nil"/>
              <w:bottom w:val="single" w:sz="4" w:space="0" w:color="auto"/>
              <w:right w:val="single" w:sz="4" w:space="0" w:color="auto"/>
            </w:tcBorders>
            <w:shd w:val="clear" w:color="auto" w:fill="auto"/>
            <w:noWrap/>
            <w:vAlign w:val="bottom"/>
            <w:hideMark/>
          </w:tcPr>
          <w:p w14:paraId="686F4B94" w14:textId="32AAA906" w:rsidR="00316969" w:rsidRPr="006367AA" w:rsidRDefault="00316969" w:rsidP="00316969">
            <w:pPr>
              <w:jc w:val="right"/>
              <w:rPr>
                <w:rFonts w:ascii="Calibri" w:hAnsi="Calibri" w:cs="Calibri"/>
                <w:color w:val="000000"/>
                <w:szCs w:val="22"/>
              </w:rPr>
            </w:pPr>
            <w:r>
              <w:rPr>
                <w:rFonts w:ascii="Calibri" w:hAnsi="Calibri" w:cs="Calibri"/>
                <w:color w:val="000000"/>
                <w:szCs w:val="22"/>
              </w:rPr>
              <w:t>33</w:t>
            </w:r>
          </w:p>
        </w:tc>
        <w:tc>
          <w:tcPr>
            <w:tcW w:w="1001" w:type="dxa"/>
            <w:tcBorders>
              <w:top w:val="nil"/>
              <w:left w:val="nil"/>
              <w:bottom w:val="single" w:sz="4" w:space="0" w:color="auto"/>
              <w:right w:val="single" w:sz="4" w:space="0" w:color="auto"/>
            </w:tcBorders>
            <w:shd w:val="clear" w:color="auto" w:fill="auto"/>
            <w:noWrap/>
            <w:vAlign w:val="bottom"/>
            <w:hideMark/>
          </w:tcPr>
          <w:p w14:paraId="10B35B10" w14:textId="58230792" w:rsidR="00316969" w:rsidRPr="006367AA" w:rsidRDefault="00316969" w:rsidP="00316969">
            <w:pPr>
              <w:jc w:val="right"/>
              <w:rPr>
                <w:rFonts w:ascii="Calibri" w:hAnsi="Calibri" w:cs="Calibri"/>
                <w:color w:val="000000"/>
                <w:szCs w:val="22"/>
              </w:rPr>
            </w:pPr>
            <w:r>
              <w:rPr>
                <w:rFonts w:ascii="Calibri" w:hAnsi="Calibri" w:cs="Calibri"/>
                <w:color w:val="000000"/>
                <w:szCs w:val="22"/>
              </w:rPr>
              <w:t>49</w:t>
            </w:r>
          </w:p>
        </w:tc>
        <w:tc>
          <w:tcPr>
            <w:tcW w:w="1147" w:type="dxa"/>
            <w:tcBorders>
              <w:top w:val="nil"/>
              <w:left w:val="nil"/>
              <w:bottom w:val="single" w:sz="4" w:space="0" w:color="auto"/>
              <w:right w:val="single" w:sz="4" w:space="0" w:color="auto"/>
            </w:tcBorders>
            <w:shd w:val="clear" w:color="auto" w:fill="auto"/>
            <w:noWrap/>
            <w:vAlign w:val="bottom"/>
            <w:hideMark/>
          </w:tcPr>
          <w:p w14:paraId="4BB936AD" w14:textId="52E65550" w:rsidR="00316969" w:rsidRPr="006367AA" w:rsidRDefault="00316969" w:rsidP="00316969">
            <w:pPr>
              <w:jc w:val="right"/>
              <w:rPr>
                <w:rFonts w:ascii="Calibri" w:hAnsi="Calibri" w:cs="Calibri"/>
                <w:color w:val="000000"/>
                <w:szCs w:val="22"/>
              </w:rPr>
            </w:pPr>
            <w:r>
              <w:rPr>
                <w:rFonts w:ascii="Calibri" w:hAnsi="Calibri" w:cs="Calibri"/>
                <w:color w:val="000000"/>
                <w:szCs w:val="22"/>
              </w:rPr>
              <w:t>41</w:t>
            </w:r>
          </w:p>
        </w:tc>
        <w:tc>
          <w:tcPr>
            <w:tcW w:w="1193" w:type="dxa"/>
            <w:tcBorders>
              <w:top w:val="nil"/>
              <w:left w:val="nil"/>
              <w:bottom w:val="single" w:sz="4" w:space="0" w:color="auto"/>
              <w:right w:val="single" w:sz="4" w:space="0" w:color="auto"/>
            </w:tcBorders>
            <w:shd w:val="clear" w:color="auto" w:fill="auto"/>
            <w:noWrap/>
            <w:vAlign w:val="bottom"/>
            <w:hideMark/>
          </w:tcPr>
          <w:p w14:paraId="1B7357BA" w14:textId="6963BFC4" w:rsidR="00316969" w:rsidRPr="006367AA" w:rsidRDefault="00316969" w:rsidP="00316969">
            <w:pPr>
              <w:jc w:val="right"/>
              <w:rPr>
                <w:rFonts w:ascii="Calibri" w:hAnsi="Calibri" w:cs="Calibri"/>
                <w:color w:val="000000"/>
                <w:szCs w:val="22"/>
              </w:rPr>
            </w:pPr>
            <w:r>
              <w:rPr>
                <w:rFonts w:ascii="Calibri" w:hAnsi="Calibri" w:cs="Calibri"/>
                <w:color w:val="000000"/>
                <w:szCs w:val="22"/>
              </w:rPr>
              <w:t>57</w:t>
            </w:r>
          </w:p>
        </w:tc>
        <w:tc>
          <w:tcPr>
            <w:tcW w:w="1102" w:type="dxa"/>
            <w:tcBorders>
              <w:top w:val="nil"/>
              <w:left w:val="nil"/>
              <w:bottom w:val="single" w:sz="4" w:space="0" w:color="auto"/>
              <w:right w:val="single" w:sz="4" w:space="0" w:color="auto"/>
            </w:tcBorders>
            <w:shd w:val="clear" w:color="auto" w:fill="auto"/>
            <w:noWrap/>
            <w:vAlign w:val="bottom"/>
            <w:hideMark/>
          </w:tcPr>
          <w:p w14:paraId="32F93BFC" w14:textId="32C0BD03" w:rsidR="00316969" w:rsidRPr="006367AA" w:rsidRDefault="00316969" w:rsidP="00316969">
            <w:pPr>
              <w:jc w:val="right"/>
              <w:rPr>
                <w:rFonts w:ascii="Calibri" w:hAnsi="Calibri" w:cs="Calibri"/>
                <w:color w:val="000000"/>
                <w:szCs w:val="22"/>
              </w:rPr>
            </w:pPr>
            <w:r>
              <w:rPr>
                <w:rFonts w:ascii="Calibri" w:hAnsi="Calibri" w:cs="Calibri"/>
                <w:color w:val="000000"/>
                <w:szCs w:val="22"/>
              </w:rPr>
              <w:t>20</w:t>
            </w:r>
          </w:p>
        </w:tc>
        <w:tc>
          <w:tcPr>
            <w:tcW w:w="1148" w:type="dxa"/>
            <w:tcBorders>
              <w:top w:val="nil"/>
              <w:left w:val="nil"/>
              <w:bottom w:val="single" w:sz="4" w:space="0" w:color="auto"/>
              <w:right w:val="single" w:sz="4" w:space="0" w:color="auto"/>
            </w:tcBorders>
            <w:shd w:val="clear" w:color="auto" w:fill="auto"/>
            <w:noWrap/>
            <w:vAlign w:val="bottom"/>
            <w:hideMark/>
          </w:tcPr>
          <w:p w14:paraId="1E7EFBFB" w14:textId="271FEAC4" w:rsidR="00316969" w:rsidRPr="006367AA" w:rsidRDefault="00316969" w:rsidP="00316969">
            <w:pPr>
              <w:jc w:val="right"/>
              <w:rPr>
                <w:rFonts w:ascii="Calibri" w:hAnsi="Calibri" w:cs="Calibri"/>
                <w:color w:val="000000"/>
                <w:szCs w:val="22"/>
              </w:rPr>
            </w:pPr>
            <w:r>
              <w:rPr>
                <w:rFonts w:ascii="Calibri" w:hAnsi="Calibri" w:cs="Calibri"/>
                <w:color w:val="000000"/>
                <w:szCs w:val="22"/>
              </w:rPr>
              <w:t>36</w:t>
            </w:r>
          </w:p>
        </w:tc>
      </w:tr>
      <w:tr w:rsidR="00316969" w:rsidRPr="006367AA" w14:paraId="05A24734"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5AC78C"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2</w:t>
            </w:r>
          </w:p>
        </w:tc>
        <w:tc>
          <w:tcPr>
            <w:tcW w:w="745" w:type="dxa"/>
            <w:tcBorders>
              <w:top w:val="nil"/>
              <w:left w:val="nil"/>
              <w:bottom w:val="single" w:sz="4" w:space="0" w:color="auto"/>
              <w:right w:val="single" w:sz="4" w:space="0" w:color="auto"/>
            </w:tcBorders>
            <w:shd w:val="clear" w:color="auto" w:fill="auto"/>
            <w:noWrap/>
            <w:vAlign w:val="bottom"/>
            <w:hideMark/>
          </w:tcPr>
          <w:p w14:paraId="37A63521" w14:textId="10E1B5CC"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835</w:t>
            </w:r>
          </w:p>
        </w:tc>
        <w:tc>
          <w:tcPr>
            <w:tcW w:w="1098" w:type="dxa"/>
            <w:tcBorders>
              <w:top w:val="nil"/>
              <w:left w:val="nil"/>
              <w:bottom w:val="single" w:sz="4" w:space="0" w:color="auto"/>
              <w:right w:val="single" w:sz="4" w:space="0" w:color="auto"/>
            </w:tcBorders>
            <w:shd w:val="clear" w:color="auto" w:fill="auto"/>
            <w:noWrap/>
            <w:vAlign w:val="bottom"/>
            <w:hideMark/>
          </w:tcPr>
          <w:p w14:paraId="04E1E427" w14:textId="0E7E3068" w:rsidR="00316969" w:rsidRPr="006367AA" w:rsidRDefault="00316969" w:rsidP="00316969">
            <w:pPr>
              <w:jc w:val="right"/>
              <w:rPr>
                <w:rFonts w:ascii="Calibri" w:hAnsi="Calibri" w:cs="Calibri"/>
                <w:color w:val="000000"/>
                <w:szCs w:val="22"/>
              </w:rPr>
            </w:pPr>
            <w:r>
              <w:rPr>
                <w:rFonts w:ascii="Calibri" w:hAnsi="Calibri" w:cs="Calibri"/>
                <w:color w:val="000000"/>
                <w:szCs w:val="22"/>
              </w:rPr>
              <w:t>11</w:t>
            </w:r>
          </w:p>
        </w:tc>
        <w:tc>
          <w:tcPr>
            <w:tcW w:w="1001" w:type="dxa"/>
            <w:tcBorders>
              <w:top w:val="nil"/>
              <w:left w:val="nil"/>
              <w:bottom w:val="single" w:sz="4" w:space="0" w:color="auto"/>
              <w:right w:val="single" w:sz="4" w:space="0" w:color="auto"/>
            </w:tcBorders>
            <w:shd w:val="clear" w:color="auto" w:fill="auto"/>
            <w:noWrap/>
            <w:vAlign w:val="bottom"/>
            <w:hideMark/>
          </w:tcPr>
          <w:p w14:paraId="68FA4C29" w14:textId="1A13B909"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c>
          <w:tcPr>
            <w:tcW w:w="1001" w:type="dxa"/>
            <w:tcBorders>
              <w:top w:val="nil"/>
              <w:left w:val="nil"/>
              <w:bottom w:val="single" w:sz="4" w:space="0" w:color="auto"/>
              <w:right w:val="single" w:sz="4" w:space="0" w:color="auto"/>
            </w:tcBorders>
            <w:shd w:val="clear" w:color="auto" w:fill="auto"/>
            <w:noWrap/>
            <w:vAlign w:val="bottom"/>
            <w:hideMark/>
          </w:tcPr>
          <w:p w14:paraId="6548B03C" w14:textId="01AE4B0A" w:rsidR="00316969" w:rsidRPr="006367AA" w:rsidRDefault="00316969" w:rsidP="00316969">
            <w:pPr>
              <w:jc w:val="right"/>
              <w:rPr>
                <w:rFonts w:ascii="Calibri" w:hAnsi="Calibri" w:cs="Calibri"/>
                <w:color w:val="000000"/>
                <w:szCs w:val="22"/>
              </w:rPr>
            </w:pPr>
            <w:r>
              <w:rPr>
                <w:rFonts w:ascii="Calibri" w:hAnsi="Calibri" w:cs="Calibri"/>
                <w:color w:val="000000"/>
                <w:szCs w:val="22"/>
              </w:rPr>
              <w:t>39</w:t>
            </w:r>
          </w:p>
        </w:tc>
        <w:tc>
          <w:tcPr>
            <w:tcW w:w="1147" w:type="dxa"/>
            <w:tcBorders>
              <w:top w:val="nil"/>
              <w:left w:val="nil"/>
              <w:bottom w:val="single" w:sz="4" w:space="0" w:color="auto"/>
              <w:right w:val="single" w:sz="4" w:space="0" w:color="auto"/>
            </w:tcBorders>
            <w:shd w:val="clear" w:color="auto" w:fill="auto"/>
            <w:noWrap/>
            <w:vAlign w:val="bottom"/>
            <w:hideMark/>
          </w:tcPr>
          <w:p w14:paraId="309DEADA" w14:textId="16817E06" w:rsidR="00316969" w:rsidRPr="006367AA" w:rsidRDefault="00316969" w:rsidP="00316969">
            <w:pPr>
              <w:jc w:val="right"/>
              <w:rPr>
                <w:rFonts w:ascii="Calibri" w:hAnsi="Calibri" w:cs="Calibri"/>
                <w:color w:val="000000"/>
                <w:szCs w:val="22"/>
              </w:rPr>
            </w:pPr>
            <w:r>
              <w:rPr>
                <w:rFonts w:ascii="Calibri" w:hAnsi="Calibri" w:cs="Calibri"/>
                <w:color w:val="000000"/>
                <w:szCs w:val="22"/>
              </w:rPr>
              <w:t>37</w:t>
            </w:r>
          </w:p>
        </w:tc>
        <w:tc>
          <w:tcPr>
            <w:tcW w:w="1193" w:type="dxa"/>
            <w:tcBorders>
              <w:top w:val="nil"/>
              <w:left w:val="nil"/>
              <w:bottom w:val="single" w:sz="4" w:space="0" w:color="auto"/>
              <w:right w:val="single" w:sz="4" w:space="0" w:color="auto"/>
            </w:tcBorders>
            <w:shd w:val="clear" w:color="auto" w:fill="auto"/>
            <w:noWrap/>
            <w:vAlign w:val="bottom"/>
            <w:hideMark/>
          </w:tcPr>
          <w:p w14:paraId="35478D1B" w14:textId="00CC794A" w:rsidR="00316969" w:rsidRPr="006367AA" w:rsidRDefault="00316969" w:rsidP="00316969">
            <w:pPr>
              <w:jc w:val="right"/>
              <w:rPr>
                <w:rFonts w:ascii="Calibri" w:hAnsi="Calibri" w:cs="Calibri"/>
                <w:color w:val="000000"/>
                <w:szCs w:val="22"/>
              </w:rPr>
            </w:pPr>
            <w:r>
              <w:rPr>
                <w:rFonts w:ascii="Calibri" w:hAnsi="Calibri" w:cs="Calibri"/>
                <w:color w:val="000000"/>
                <w:szCs w:val="22"/>
              </w:rPr>
              <w:t>50</w:t>
            </w:r>
          </w:p>
        </w:tc>
        <w:tc>
          <w:tcPr>
            <w:tcW w:w="1102" w:type="dxa"/>
            <w:tcBorders>
              <w:top w:val="nil"/>
              <w:left w:val="nil"/>
              <w:bottom w:val="single" w:sz="4" w:space="0" w:color="auto"/>
              <w:right w:val="single" w:sz="4" w:space="0" w:color="auto"/>
            </w:tcBorders>
            <w:shd w:val="clear" w:color="auto" w:fill="auto"/>
            <w:noWrap/>
            <w:vAlign w:val="bottom"/>
            <w:hideMark/>
          </w:tcPr>
          <w:p w14:paraId="14FD0B78" w14:textId="3F55AC7A" w:rsidR="00316969" w:rsidRPr="006367AA" w:rsidRDefault="00316969" w:rsidP="00316969">
            <w:pPr>
              <w:jc w:val="right"/>
              <w:rPr>
                <w:rFonts w:ascii="Calibri" w:hAnsi="Calibri" w:cs="Calibri"/>
                <w:color w:val="000000"/>
                <w:szCs w:val="22"/>
              </w:rPr>
            </w:pPr>
            <w:r>
              <w:rPr>
                <w:rFonts w:ascii="Calibri" w:hAnsi="Calibri" w:cs="Calibri"/>
                <w:color w:val="000000"/>
                <w:szCs w:val="22"/>
              </w:rPr>
              <w:t>16</w:t>
            </w:r>
          </w:p>
        </w:tc>
        <w:tc>
          <w:tcPr>
            <w:tcW w:w="1148" w:type="dxa"/>
            <w:tcBorders>
              <w:top w:val="nil"/>
              <w:left w:val="nil"/>
              <w:bottom w:val="single" w:sz="4" w:space="0" w:color="auto"/>
              <w:right w:val="single" w:sz="4" w:space="0" w:color="auto"/>
            </w:tcBorders>
            <w:shd w:val="clear" w:color="auto" w:fill="auto"/>
            <w:noWrap/>
            <w:vAlign w:val="bottom"/>
            <w:hideMark/>
          </w:tcPr>
          <w:p w14:paraId="4AADB915" w14:textId="54C69EAF" w:rsidR="00316969" w:rsidRPr="006367AA" w:rsidRDefault="00316969" w:rsidP="00316969">
            <w:pPr>
              <w:jc w:val="right"/>
              <w:rPr>
                <w:rFonts w:ascii="Calibri" w:hAnsi="Calibri" w:cs="Calibri"/>
                <w:color w:val="000000"/>
                <w:szCs w:val="22"/>
              </w:rPr>
            </w:pPr>
            <w:r>
              <w:rPr>
                <w:rFonts w:ascii="Calibri" w:hAnsi="Calibri" w:cs="Calibri"/>
                <w:color w:val="000000"/>
                <w:szCs w:val="22"/>
              </w:rPr>
              <w:t>29</w:t>
            </w:r>
          </w:p>
        </w:tc>
      </w:tr>
      <w:tr w:rsidR="00316969" w:rsidRPr="006367AA" w14:paraId="2BC96D38"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9250EF"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p>
        </w:tc>
        <w:tc>
          <w:tcPr>
            <w:tcW w:w="745" w:type="dxa"/>
            <w:tcBorders>
              <w:top w:val="nil"/>
              <w:left w:val="nil"/>
              <w:bottom w:val="single" w:sz="4" w:space="0" w:color="auto"/>
              <w:right w:val="single" w:sz="4" w:space="0" w:color="auto"/>
            </w:tcBorders>
            <w:shd w:val="clear" w:color="auto" w:fill="auto"/>
            <w:noWrap/>
            <w:vAlign w:val="bottom"/>
            <w:hideMark/>
          </w:tcPr>
          <w:p w14:paraId="3137BFC2" w14:textId="3E0802D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257</w:t>
            </w:r>
          </w:p>
        </w:tc>
        <w:tc>
          <w:tcPr>
            <w:tcW w:w="1098" w:type="dxa"/>
            <w:tcBorders>
              <w:top w:val="nil"/>
              <w:left w:val="nil"/>
              <w:bottom w:val="single" w:sz="4" w:space="0" w:color="auto"/>
              <w:right w:val="single" w:sz="4" w:space="0" w:color="auto"/>
            </w:tcBorders>
            <w:shd w:val="clear" w:color="auto" w:fill="auto"/>
            <w:noWrap/>
            <w:vAlign w:val="bottom"/>
            <w:hideMark/>
          </w:tcPr>
          <w:p w14:paraId="00EFBEEB" w14:textId="62C28720" w:rsidR="00316969" w:rsidRPr="006367AA" w:rsidRDefault="00316969" w:rsidP="00316969">
            <w:pPr>
              <w:jc w:val="right"/>
              <w:rPr>
                <w:rFonts w:ascii="Calibri" w:hAnsi="Calibri" w:cs="Calibri"/>
                <w:color w:val="000000"/>
                <w:szCs w:val="22"/>
              </w:rPr>
            </w:pPr>
            <w:r>
              <w:rPr>
                <w:rFonts w:ascii="Calibri" w:hAnsi="Calibri" w:cs="Calibri"/>
                <w:color w:val="000000"/>
                <w:szCs w:val="22"/>
              </w:rPr>
              <w:t>9</w:t>
            </w:r>
          </w:p>
        </w:tc>
        <w:tc>
          <w:tcPr>
            <w:tcW w:w="1001" w:type="dxa"/>
            <w:tcBorders>
              <w:top w:val="nil"/>
              <w:left w:val="nil"/>
              <w:bottom w:val="single" w:sz="4" w:space="0" w:color="auto"/>
              <w:right w:val="single" w:sz="4" w:space="0" w:color="auto"/>
            </w:tcBorders>
            <w:shd w:val="clear" w:color="auto" w:fill="auto"/>
            <w:noWrap/>
            <w:vAlign w:val="bottom"/>
            <w:hideMark/>
          </w:tcPr>
          <w:p w14:paraId="087BFEB6" w14:textId="5BC6B183" w:rsidR="00316969" w:rsidRPr="006367AA" w:rsidRDefault="00316969" w:rsidP="00316969">
            <w:pPr>
              <w:jc w:val="right"/>
              <w:rPr>
                <w:rFonts w:ascii="Calibri" w:hAnsi="Calibri" w:cs="Calibri"/>
                <w:color w:val="000000"/>
                <w:szCs w:val="22"/>
              </w:rPr>
            </w:pPr>
            <w:r>
              <w:rPr>
                <w:rFonts w:ascii="Calibri" w:hAnsi="Calibri" w:cs="Calibri"/>
                <w:color w:val="000000"/>
                <w:szCs w:val="22"/>
              </w:rPr>
              <w:t>23</w:t>
            </w:r>
          </w:p>
        </w:tc>
        <w:tc>
          <w:tcPr>
            <w:tcW w:w="1001" w:type="dxa"/>
            <w:tcBorders>
              <w:top w:val="nil"/>
              <w:left w:val="nil"/>
              <w:bottom w:val="single" w:sz="4" w:space="0" w:color="auto"/>
              <w:right w:val="single" w:sz="4" w:space="0" w:color="auto"/>
            </w:tcBorders>
            <w:shd w:val="clear" w:color="auto" w:fill="auto"/>
            <w:noWrap/>
            <w:vAlign w:val="bottom"/>
            <w:hideMark/>
          </w:tcPr>
          <w:p w14:paraId="17E74E95" w14:textId="7094D517" w:rsidR="00316969" w:rsidRPr="006367AA" w:rsidRDefault="00316969" w:rsidP="00316969">
            <w:pPr>
              <w:jc w:val="right"/>
              <w:rPr>
                <w:rFonts w:ascii="Calibri" w:hAnsi="Calibri" w:cs="Calibri"/>
                <w:color w:val="000000"/>
                <w:szCs w:val="22"/>
              </w:rPr>
            </w:pPr>
            <w:r>
              <w:rPr>
                <w:rFonts w:ascii="Calibri" w:hAnsi="Calibri" w:cs="Calibri"/>
                <w:color w:val="000000"/>
                <w:szCs w:val="22"/>
              </w:rPr>
              <w:t>34</w:t>
            </w:r>
          </w:p>
        </w:tc>
        <w:tc>
          <w:tcPr>
            <w:tcW w:w="1147" w:type="dxa"/>
            <w:tcBorders>
              <w:top w:val="nil"/>
              <w:left w:val="nil"/>
              <w:bottom w:val="single" w:sz="4" w:space="0" w:color="auto"/>
              <w:right w:val="single" w:sz="4" w:space="0" w:color="auto"/>
            </w:tcBorders>
            <w:shd w:val="clear" w:color="auto" w:fill="auto"/>
            <w:noWrap/>
            <w:vAlign w:val="bottom"/>
            <w:hideMark/>
          </w:tcPr>
          <w:p w14:paraId="1FBE6D87" w14:textId="18BFBFC8" w:rsidR="00316969" w:rsidRPr="006367AA" w:rsidRDefault="00316969" w:rsidP="00316969">
            <w:pPr>
              <w:jc w:val="right"/>
              <w:rPr>
                <w:rFonts w:ascii="Calibri" w:hAnsi="Calibri" w:cs="Calibri"/>
                <w:color w:val="000000"/>
                <w:szCs w:val="22"/>
              </w:rPr>
            </w:pPr>
            <w:r>
              <w:rPr>
                <w:rFonts w:ascii="Calibri" w:hAnsi="Calibri" w:cs="Calibri"/>
                <w:color w:val="000000"/>
                <w:szCs w:val="22"/>
              </w:rPr>
              <w:t>33</w:t>
            </w:r>
          </w:p>
        </w:tc>
        <w:tc>
          <w:tcPr>
            <w:tcW w:w="1193" w:type="dxa"/>
            <w:tcBorders>
              <w:top w:val="nil"/>
              <w:left w:val="nil"/>
              <w:bottom w:val="single" w:sz="4" w:space="0" w:color="auto"/>
              <w:right w:val="single" w:sz="4" w:space="0" w:color="auto"/>
            </w:tcBorders>
            <w:shd w:val="clear" w:color="auto" w:fill="auto"/>
            <w:noWrap/>
            <w:vAlign w:val="bottom"/>
            <w:hideMark/>
          </w:tcPr>
          <w:p w14:paraId="677CA97F" w14:textId="0F2D08D7" w:rsidR="00316969" w:rsidRPr="006367AA" w:rsidRDefault="00316969" w:rsidP="00316969">
            <w:pPr>
              <w:jc w:val="right"/>
              <w:rPr>
                <w:rFonts w:ascii="Calibri" w:hAnsi="Calibri" w:cs="Calibri"/>
                <w:color w:val="000000"/>
                <w:szCs w:val="22"/>
              </w:rPr>
            </w:pPr>
            <w:r>
              <w:rPr>
                <w:rFonts w:ascii="Calibri" w:hAnsi="Calibri" w:cs="Calibri"/>
                <w:color w:val="000000"/>
                <w:szCs w:val="22"/>
              </w:rPr>
              <w:t>44</w:t>
            </w:r>
          </w:p>
        </w:tc>
        <w:tc>
          <w:tcPr>
            <w:tcW w:w="1102" w:type="dxa"/>
            <w:tcBorders>
              <w:top w:val="nil"/>
              <w:left w:val="nil"/>
              <w:bottom w:val="single" w:sz="4" w:space="0" w:color="auto"/>
              <w:right w:val="single" w:sz="4" w:space="0" w:color="auto"/>
            </w:tcBorders>
            <w:shd w:val="clear" w:color="auto" w:fill="auto"/>
            <w:noWrap/>
            <w:vAlign w:val="bottom"/>
            <w:hideMark/>
          </w:tcPr>
          <w:p w14:paraId="347F6057" w14:textId="4DB8E7E3" w:rsidR="00316969" w:rsidRPr="006367AA" w:rsidRDefault="00316969" w:rsidP="00316969">
            <w:pPr>
              <w:jc w:val="right"/>
              <w:rPr>
                <w:rFonts w:ascii="Calibri" w:hAnsi="Calibri" w:cs="Calibri"/>
                <w:color w:val="000000"/>
                <w:szCs w:val="22"/>
              </w:rPr>
            </w:pPr>
            <w:r>
              <w:rPr>
                <w:rFonts w:ascii="Calibri" w:hAnsi="Calibri" w:cs="Calibri"/>
                <w:color w:val="000000"/>
                <w:szCs w:val="22"/>
              </w:rPr>
              <w:t>14</w:t>
            </w:r>
          </w:p>
        </w:tc>
        <w:tc>
          <w:tcPr>
            <w:tcW w:w="1148" w:type="dxa"/>
            <w:tcBorders>
              <w:top w:val="nil"/>
              <w:left w:val="nil"/>
              <w:bottom w:val="single" w:sz="4" w:space="0" w:color="auto"/>
              <w:right w:val="single" w:sz="4" w:space="0" w:color="auto"/>
            </w:tcBorders>
            <w:shd w:val="clear" w:color="auto" w:fill="auto"/>
            <w:noWrap/>
            <w:vAlign w:val="bottom"/>
            <w:hideMark/>
          </w:tcPr>
          <w:p w14:paraId="159FBAAE" w14:textId="49A4C9C1"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r>
      <w:tr w:rsidR="00316969" w:rsidRPr="006367AA" w14:paraId="5FEA9992"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6FC62C"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4</w:t>
            </w:r>
          </w:p>
        </w:tc>
        <w:tc>
          <w:tcPr>
            <w:tcW w:w="745" w:type="dxa"/>
            <w:tcBorders>
              <w:top w:val="nil"/>
              <w:left w:val="nil"/>
              <w:bottom w:val="single" w:sz="4" w:space="0" w:color="auto"/>
              <w:right w:val="single" w:sz="4" w:space="0" w:color="auto"/>
            </w:tcBorders>
            <w:shd w:val="clear" w:color="auto" w:fill="auto"/>
            <w:noWrap/>
            <w:vAlign w:val="bottom"/>
            <w:hideMark/>
          </w:tcPr>
          <w:p w14:paraId="0012751B" w14:textId="5461C0A1"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050</w:t>
            </w:r>
          </w:p>
        </w:tc>
        <w:tc>
          <w:tcPr>
            <w:tcW w:w="1098" w:type="dxa"/>
            <w:tcBorders>
              <w:top w:val="nil"/>
              <w:left w:val="nil"/>
              <w:bottom w:val="single" w:sz="4" w:space="0" w:color="auto"/>
              <w:right w:val="single" w:sz="4" w:space="0" w:color="auto"/>
            </w:tcBorders>
            <w:shd w:val="clear" w:color="auto" w:fill="auto"/>
            <w:noWrap/>
            <w:vAlign w:val="bottom"/>
            <w:hideMark/>
          </w:tcPr>
          <w:p w14:paraId="688B097D" w14:textId="51DCC63B" w:rsidR="00316969" w:rsidRPr="006367AA" w:rsidRDefault="00316969" w:rsidP="00316969">
            <w:pPr>
              <w:jc w:val="right"/>
              <w:rPr>
                <w:rFonts w:ascii="Calibri" w:hAnsi="Calibri" w:cs="Calibri"/>
                <w:color w:val="000000"/>
                <w:szCs w:val="22"/>
              </w:rPr>
            </w:pPr>
            <w:r>
              <w:rPr>
                <w:rFonts w:ascii="Calibri" w:hAnsi="Calibri" w:cs="Calibri"/>
                <w:color w:val="000000"/>
                <w:szCs w:val="22"/>
              </w:rPr>
              <w:t>11</w:t>
            </w:r>
          </w:p>
        </w:tc>
        <w:tc>
          <w:tcPr>
            <w:tcW w:w="1001" w:type="dxa"/>
            <w:tcBorders>
              <w:top w:val="nil"/>
              <w:left w:val="nil"/>
              <w:bottom w:val="single" w:sz="4" w:space="0" w:color="auto"/>
              <w:right w:val="single" w:sz="4" w:space="0" w:color="auto"/>
            </w:tcBorders>
            <w:shd w:val="clear" w:color="auto" w:fill="auto"/>
            <w:noWrap/>
            <w:vAlign w:val="bottom"/>
            <w:hideMark/>
          </w:tcPr>
          <w:p w14:paraId="38F7F9F2" w14:textId="1DADAC76" w:rsidR="00316969" w:rsidRPr="006367AA" w:rsidRDefault="00316969" w:rsidP="00316969">
            <w:pPr>
              <w:jc w:val="right"/>
              <w:rPr>
                <w:rFonts w:ascii="Calibri" w:hAnsi="Calibri" w:cs="Calibri"/>
                <w:color w:val="000000"/>
                <w:szCs w:val="22"/>
              </w:rPr>
            </w:pPr>
            <w:r>
              <w:rPr>
                <w:rFonts w:ascii="Calibri" w:hAnsi="Calibri" w:cs="Calibri"/>
                <w:color w:val="000000"/>
                <w:szCs w:val="22"/>
              </w:rPr>
              <w:t>22</w:t>
            </w:r>
          </w:p>
        </w:tc>
        <w:tc>
          <w:tcPr>
            <w:tcW w:w="1001" w:type="dxa"/>
            <w:tcBorders>
              <w:top w:val="nil"/>
              <w:left w:val="nil"/>
              <w:bottom w:val="single" w:sz="4" w:space="0" w:color="auto"/>
              <w:right w:val="single" w:sz="4" w:space="0" w:color="auto"/>
            </w:tcBorders>
            <w:shd w:val="clear" w:color="auto" w:fill="auto"/>
            <w:noWrap/>
            <w:vAlign w:val="bottom"/>
            <w:hideMark/>
          </w:tcPr>
          <w:p w14:paraId="1C3C8438" w14:textId="2ABDFB58" w:rsidR="00316969" w:rsidRPr="006367AA" w:rsidRDefault="00316969" w:rsidP="00316969">
            <w:pPr>
              <w:jc w:val="right"/>
              <w:rPr>
                <w:rFonts w:ascii="Calibri" w:hAnsi="Calibri" w:cs="Calibri"/>
                <w:color w:val="000000"/>
                <w:szCs w:val="22"/>
              </w:rPr>
            </w:pPr>
            <w:r>
              <w:rPr>
                <w:rFonts w:ascii="Calibri" w:hAnsi="Calibri" w:cs="Calibri"/>
                <w:color w:val="000000"/>
                <w:szCs w:val="22"/>
              </w:rPr>
              <w:t>33</w:t>
            </w:r>
          </w:p>
        </w:tc>
        <w:tc>
          <w:tcPr>
            <w:tcW w:w="1147" w:type="dxa"/>
            <w:tcBorders>
              <w:top w:val="nil"/>
              <w:left w:val="nil"/>
              <w:bottom w:val="single" w:sz="4" w:space="0" w:color="auto"/>
              <w:right w:val="single" w:sz="4" w:space="0" w:color="auto"/>
            </w:tcBorders>
            <w:shd w:val="clear" w:color="auto" w:fill="auto"/>
            <w:noWrap/>
            <w:vAlign w:val="bottom"/>
            <w:hideMark/>
          </w:tcPr>
          <w:p w14:paraId="58A920E0" w14:textId="55601597" w:rsidR="00316969" w:rsidRPr="006367AA" w:rsidRDefault="00316969" w:rsidP="00316969">
            <w:pPr>
              <w:jc w:val="right"/>
              <w:rPr>
                <w:rFonts w:ascii="Calibri" w:hAnsi="Calibri" w:cs="Calibri"/>
                <w:color w:val="000000"/>
                <w:szCs w:val="22"/>
              </w:rPr>
            </w:pPr>
            <w:r>
              <w:rPr>
                <w:rFonts w:ascii="Calibri" w:hAnsi="Calibri" w:cs="Calibri"/>
                <w:color w:val="000000"/>
                <w:szCs w:val="22"/>
              </w:rPr>
              <w:t>33</w:t>
            </w:r>
          </w:p>
        </w:tc>
        <w:tc>
          <w:tcPr>
            <w:tcW w:w="1193" w:type="dxa"/>
            <w:tcBorders>
              <w:top w:val="nil"/>
              <w:left w:val="nil"/>
              <w:bottom w:val="single" w:sz="4" w:space="0" w:color="auto"/>
              <w:right w:val="single" w:sz="4" w:space="0" w:color="auto"/>
            </w:tcBorders>
            <w:shd w:val="clear" w:color="auto" w:fill="auto"/>
            <w:noWrap/>
            <w:vAlign w:val="bottom"/>
            <w:hideMark/>
          </w:tcPr>
          <w:p w14:paraId="6B5F049E" w14:textId="62292BA7" w:rsidR="00316969" w:rsidRPr="006367AA" w:rsidRDefault="00316969" w:rsidP="00316969">
            <w:pPr>
              <w:jc w:val="right"/>
              <w:rPr>
                <w:rFonts w:ascii="Calibri" w:hAnsi="Calibri" w:cs="Calibri"/>
                <w:color w:val="000000"/>
                <w:szCs w:val="22"/>
              </w:rPr>
            </w:pPr>
            <w:r>
              <w:rPr>
                <w:rFonts w:ascii="Calibri" w:hAnsi="Calibri" w:cs="Calibri"/>
                <w:color w:val="000000"/>
                <w:szCs w:val="22"/>
              </w:rPr>
              <w:t>44</w:t>
            </w:r>
          </w:p>
        </w:tc>
        <w:tc>
          <w:tcPr>
            <w:tcW w:w="1102" w:type="dxa"/>
            <w:tcBorders>
              <w:top w:val="nil"/>
              <w:left w:val="nil"/>
              <w:bottom w:val="single" w:sz="4" w:space="0" w:color="auto"/>
              <w:right w:val="single" w:sz="4" w:space="0" w:color="auto"/>
            </w:tcBorders>
            <w:shd w:val="clear" w:color="auto" w:fill="auto"/>
            <w:noWrap/>
            <w:vAlign w:val="bottom"/>
            <w:hideMark/>
          </w:tcPr>
          <w:p w14:paraId="37411A09" w14:textId="607C91CA" w:rsidR="00316969" w:rsidRPr="006367AA" w:rsidRDefault="00316969" w:rsidP="00316969">
            <w:pPr>
              <w:jc w:val="right"/>
              <w:rPr>
                <w:rFonts w:ascii="Calibri" w:hAnsi="Calibri" w:cs="Calibri"/>
                <w:color w:val="000000"/>
                <w:szCs w:val="22"/>
              </w:rPr>
            </w:pPr>
            <w:r>
              <w:rPr>
                <w:rFonts w:ascii="Calibri" w:hAnsi="Calibri" w:cs="Calibri"/>
                <w:color w:val="000000"/>
                <w:szCs w:val="22"/>
              </w:rPr>
              <w:t>14</w:t>
            </w:r>
          </w:p>
        </w:tc>
        <w:tc>
          <w:tcPr>
            <w:tcW w:w="1148" w:type="dxa"/>
            <w:tcBorders>
              <w:top w:val="nil"/>
              <w:left w:val="nil"/>
              <w:bottom w:val="single" w:sz="4" w:space="0" w:color="auto"/>
              <w:right w:val="single" w:sz="4" w:space="0" w:color="auto"/>
            </w:tcBorders>
            <w:shd w:val="clear" w:color="auto" w:fill="auto"/>
            <w:noWrap/>
            <w:vAlign w:val="bottom"/>
            <w:hideMark/>
          </w:tcPr>
          <w:p w14:paraId="57908FD4" w14:textId="48D29144" w:rsidR="00316969" w:rsidRPr="006367AA" w:rsidRDefault="00316969" w:rsidP="00316969">
            <w:pPr>
              <w:jc w:val="right"/>
              <w:rPr>
                <w:rFonts w:ascii="Calibri" w:hAnsi="Calibri" w:cs="Calibri"/>
                <w:color w:val="000000"/>
                <w:szCs w:val="22"/>
              </w:rPr>
            </w:pPr>
            <w:r>
              <w:rPr>
                <w:rFonts w:ascii="Calibri" w:hAnsi="Calibri" w:cs="Calibri"/>
                <w:color w:val="000000"/>
                <w:szCs w:val="22"/>
              </w:rPr>
              <w:t>24</w:t>
            </w:r>
          </w:p>
        </w:tc>
      </w:tr>
      <w:tr w:rsidR="00316969" w:rsidRPr="006367AA" w14:paraId="28CF40E3"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1262E9"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5</w:t>
            </w:r>
          </w:p>
        </w:tc>
        <w:tc>
          <w:tcPr>
            <w:tcW w:w="745" w:type="dxa"/>
            <w:tcBorders>
              <w:top w:val="nil"/>
              <w:left w:val="nil"/>
              <w:bottom w:val="single" w:sz="4" w:space="0" w:color="auto"/>
              <w:right w:val="single" w:sz="4" w:space="0" w:color="auto"/>
            </w:tcBorders>
            <w:shd w:val="clear" w:color="auto" w:fill="auto"/>
            <w:noWrap/>
            <w:vAlign w:val="bottom"/>
            <w:hideMark/>
          </w:tcPr>
          <w:p w14:paraId="4A695B90" w14:textId="4527C81D"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715</w:t>
            </w:r>
          </w:p>
        </w:tc>
        <w:tc>
          <w:tcPr>
            <w:tcW w:w="1098" w:type="dxa"/>
            <w:tcBorders>
              <w:top w:val="nil"/>
              <w:left w:val="nil"/>
              <w:bottom w:val="single" w:sz="4" w:space="0" w:color="auto"/>
              <w:right w:val="single" w:sz="4" w:space="0" w:color="auto"/>
            </w:tcBorders>
            <w:shd w:val="clear" w:color="auto" w:fill="auto"/>
            <w:noWrap/>
            <w:vAlign w:val="bottom"/>
            <w:hideMark/>
          </w:tcPr>
          <w:p w14:paraId="2B1B2680" w14:textId="511BBA9D"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c>
          <w:tcPr>
            <w:tcW w:w="1001" w:type="dxa"/>
            <w:tcBorders>
              <w:top w:val="nil"/>
              <w:left w:val="nil"/>
              <w:bottom w:val="single" w:sz="4" w:space="0" w:color="auto"/>
              <w:right w:val="single" w:sz="4" w:space="0" w:color="auto"/>
            </w:tcBorders>
            <w:shd w:val="clear" w:color="auto" w:fill="auto"/>
            <w:noWrap/>
            <w:vAlign w:val="bottom"/>
            <w:hideMark/>
          </w:tcPr>
          <w:p w14:paraId="4BA0BC1D" w14:textId="2FD2FBDE" w:rsidR="00316969" w:rsidRPr="006367AA" w:rsidRDefault="00316969" w:rsidP="00316969">
            <w:pPr>
              <w:jc w:val="right"/>
              <w:rPr>
                <w:rFonts w:ascii="Calibri" w:hAnsi="Calibri" w:cs="Calibri"/>
                <w:color w:val="000000"/>
                <w:szCs w:val="22"/>
              </w:rPr>
            </w:pPr>
            <w:r>
              <w:rPr>
                <w:rFonts w:ascii="Calibri" w:hAnsi="Calibri" w:cs="Calibri"/>
                <w:color w:val="000000"/>
                <w:szCs w:val="22"/>
              </w:rPr>
              <w:t>25</w:t>
            </w:r>
          </w:p>
        </w:tc>
        <w:tc>
          <w:tcPr>
            <w:tcW w:w="1001" w:type="dxa"/>
            <w:tcBorders>
              <w:top w:val="nil"/>
              <w:left w:val="nil"/>
              <w:bottom w:val="single" w:sz="4" w:space="0" w:color="auto"/>
              <w:right w:val="single" w:sz="4" w:space="0" w:color="auto"/>
            </w:tcBorders>
            <w:shd w:val="clear" w:color="auto" w:fill="auto"/>
            <w:noWrap/>
            <w:vAlign w:val="bottom"/>
            <w:hideMark/>
          </w:tcPr>
          <w:p w14:paraId="705D868A" w14:textId="4C153D87" w:rsidR="00316969" w:rsidRPr="006367AA" w:rsidRDefault="00316969" w:rsidP="00316969">
            <w:pPr>
              <w:jc w:val="right"/>
              <w:rPr>
                <w:rFonts w:ascii="Calibri" w:hAnsi="Calibri" w:cs="Calibri"/>
                <w:color w:val="000000"/>
                <w:szCs w:val="22"/>
              </w:rPr>
            </w:pPr>
            <w:r>
              <w:rPr>
                <w:rFonts w:ascii="Calibri" w:hAnsi="Calibri" w:cs="Calibri"/>
                <w:color w:val="000000"/>
                <w:szCs w:val="22"/>
              </w:rPr>
              <w:t>37</w:t>
            </w:r>
          </w:p>
        </w:tc>
        <w:tc>
          <w:tcPr>
            <w:tcW w:w="1147" w:type="dxa"/>
            <w:tcBorders>
              <w:top w:val="nil"/>
              <w:left w:val="nil"/>
              <w:bottom w:val="single" w:sz="4" w:space="0" w:color="auto"/>
              <w:right w:val="single" w:sz="4" w:space="0" w:color="auto"/>
            </w:tcBorders>
            <w:shd w:val="clear" w:color="auto" w:fill="auto"/>
            <w:noWrap/>
            <w:vAlign w:val="bottom"/>
            <w:hideMark/>
          </w:tcPr>
          <w:p w14:paraId="4EFF4C73" w14:textId="65E641A0"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93" w:type="dxa"/>
            <w:tcBorders>
              <w:top w:val="nil"/>
              <w:left w:val="nil"/>
              <w:bottom w:val="single" w:sz="4" w:space="0" w:color="auto"/>
              <w:right w:val="single" w:sz="4" w:space="0" w:color="auto"/>
            </w:tcBorders>
            <w:shd w:val="clear" w:color="auto" w:fill="auto"/>
            <w:noWrap/>
            <w:vAlign w:val="bottom"/>
            <w:hideMark/>
          </w:tcPr>
          <w:p w14:paraId="3324BC68" w14:textId="4D70924E" w:rsidR="00316969" w:rsidRPr="006367AA" w:rsidRDefault="00316969" w:rsidP="00316969">
            <w:pPr>
              <w:jc w:val="right"/>
              <w:rPr>
                <w:rFonts w:ascii="Calibri" w:hAnsi="Calibri" w:cs="Calibri"/>
                <w:color w:val="000000"/>
                <w:szCs w:val="22"/>
              </w:rPr>
            </w:pPr>
            <w:r>
              <w:rPr>
                <w:rFonts w:ascii="Calibri" w:hAnsi="Calibri" w:cs="Calibri"/>
                <w:color w:val="000000"/>
                <w:szCs w:val="22"/>
              </w:rPr>
              <w:t>47</w:t>
            </w:r>
          </w:p>
        </w:tc>
        <w:tc>
          <w:tcPr>
            <w:tcW w:w="1102" w:type="dxa"/>
            <w:tcBorders>
              <w:top w:val="nil"/>
              <w:left w:val="nil"/>
              <w:bottom w:val="single" w:sz="4" w:space="0" w:color="auto"/>
              <w:right w:val="single" w:sz="4" w:space="0" w:color="auto"/>
            </w:tcBorders>
            <w:shd w:val="clear" w:color="auto" w:fill="auto"/>
            <w:noWrap/>
            <w:vAlign w:val="bottom"/>
            <w:hideMark/>
          </w:tcPr>
          <w:p w14:paraId="235CB973" w14:textId="72A9ABD9" w:rsidR="00316969" w:rsidRPr="006367AA" w:rsidRDefault="00316969" w:rsidP="00316969">
            <w:pPr>
              <w:jc w:val="right"/>
              <w:rPr>
                <w:rFonts w:ascii="Calibri" w:hAnsi="Calibri" w:cs="Calibri"/>
                <w:color w:val="000000"/>
                <w:szCs w:val="22"/>
              </w:rPr>
            </w:pPr>
            <w:r>
              <w:rPr>
                <w:rFonts w:ascii="Calibri" w:hAnsi="Calibri" w:cs="Calibri"/>
                <w:color w:val="000000"/>
                <w:szCs w:val="22"/>
              </w:rPr>
              <w:t>16</w:t>
            </w:r>
          </w:p>
        </w:tc>
        <w:tc>
          <w:tcPr>
            <w:tcW w:w="1148" w:type="dxa"/>
            <w:tcBorders>
              <w:top w:val="nil"/>
              <w:left w:val="nil"/>
              <w:bottom w:val="single" w:sz="4" w:space="0" w:color="auto"/>
              <w:right w:val="single" w:sz="4" w:space="0" w:color="auto"/>
            </w:tcBorders>
            <w:shd w:val="clear" w:color="auto" w:fill="auto"/>
            <w:noWrap/>
            <w:vAlign w:val="bottom"/>
            <w:hideMark/>
          </w:tcPr>
          <w:p w14:paraId="3743382F" w14:textId="7232AB26" w:rsidR="00316969" w:rsidRPr="006367AA" w:rsidRDefault="00316969" w:rsidP="00316969">
            <w:pPr>
              <w:jc w:val="right"/>
              <w:rPr>
                <w:rFonts w:ascii="Calibri" w:hAnsi="Calibri" w:cs="Calibri"/>
                <w:color w:val="000000"/>
                <w:szCs w:val="22"/>
              </w:rPr>
            </w:pPr>
            <w:r>
              <w:rPr>
                <w:rFonts w:ascii="Calibri" w:hAnsi="Calibri" w:cs="Calibri"/>
                <w:color w:val="000000"/>
                <w:szCs w:val="22"/>
              </w:rPr>
              <w:t>28</w:t>
            </w:r>
          </w:p>
        </w:tc>
      </w:tr>
      <w:tr w:rsidR="00316969" w:rsidRPr="006367AA" w14:paraId="23B88C11"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F907D4"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6</w:t>
            </w:r>
          </w:p>
        </w:tc>
        <w:tc>
          <w:tcPr>
            <w:tcW w:w="745" w:type="dxa"/>
            <w:tcBorders>
              <w:top w:val="nil"/>
              <w:left w:val="nil"/>
              <w:bottom w:val="single" w:sz="4" w:space="0" w:color="auto"/>
              <w:right w:val="single" w:sz="4" w:space="0" w:color="auto"/>
            </w:tcBorders>
            <w:shd w:val="clear" w:color="auto" w:fill="auto"/>
            <w:noWrap/>
            <w:vAlign w:val="bottom"/>
            <w:hideMark/>
          </w:tcPr>
          <w:p w14:paraId="39AE0ECE" w14:textId="2234E265"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013</w:t>
            </w:r>
          </w:p>
        </w:tc>
        <w:tc>
          <w:tcPr>
            <w:tcW w:w="1098" w:type="dxa"/>
            <w:tcBorders>
              <w:top w:val="nil"/>
              <w:left w:val="nil"/>
              <w:bottom w:val="single" w:sz="4" w:space="0" w:color="auto"/>
              <w:right w:val="single" w:sz="4" w:space="0" w:color="auto"/>
            </w:tcBorders>
            <w:shd w:val="clear" w:color="auto" w:fill="auto"/>
            <w:noWrap/>
            <w:vAlign w:val="bottom"/>
            <w:hideMark/>
          </w:tcPr>
          <w:p w14:paraId="3493C64B" w14:textId="1CDCD2CF" w:rsidR="00316969" w:rsidRPr="006367AA" w:rsidRDefault="00316969" w:rsidP="00316969">
            <w:pPr>
              <w:jc w:val="right"/>
              <w:rPr>
                <w:rFonts w:ascii="Calibri" w:hAnsi="Calibri" w:cs="Calibri"/>
                <w:color w:val="000000"/>
                <w:szCs w:val="22"/>
              </w:rPr>
            </w:pPr>
            <w:r>
              <w:rPr>
                <w:rFonts w:ascii="Calibri" w:hAnsi="Calibri" w:cs="Calibri"/>
                <w:color w:val="000000"/>
                <w:szCs w:val="22"/>
              </w:rPr>
              <w:t>12</w:t>
            </w:r>
          </w:p>
        </w:tc>
        <w:tc>
          <w:tcPr>
            <w:tcW w:w="1001" w:type="dxa"/>
            <w:tcBorders>
              <w:top w:val="nil"/>
              <w:left w:val="nil"/>
              <w:bottom w:val="single" w:sz="4" w:space="0" w:color="auto"/>
              <w:right w:val="single" w:sz="4" w:space="0" w:color="auto"/>
            </w:tcBorders>
            <w:shd w:val="clear" w:color="auto" w:fill="auto"/>
            <w:noWrap/>
            <w:vAlign w:val="bottom"/>
            <w:hideMark/>
          </w:tcPr>
          <w:p w14:paraId="242B0BAE" w14:textId="5E90085E" w:rsidR="00316969" w:rsidRPr="006367AA" w:rsidRDefault="00316969" w:rsidP="00316969">
            <w:pPr>
              <w:jc w:val="right"/>
              <w:rPr>
                <w:rFonts w:ascii="Calibri" w:hAnsi="Calibri" w:cs="Calibri"/>
                <w:color w:val="000000"/>
                <w:szCs w:val="22"/>
              </w:rPr>
            </w:pPr>
            <w:r>
              <w:rPr>
                <w:rFonts w:ascii="Calibri" w:hAnsi="Calibri" w:cs="Calibri"/>
                <w:color w:val="000000"/>
                <w:szCs w:val="22"/>
              </w:rPr>
              <w:t>16</w:t>
            </w:r>
          </w:p>
        </w:tc>
        <w:tc>
          <w:tcPr>
            <w:tcW w:w="1001" w:type="dxa"/>
            <w:tcBorders>
              <w:top w:val="nil"/>
              <w:left w:val="nil"/>
              <w:bottom w:val="single" w:sz="4" w:space="0" w:color="auto"/>
              <w:right w:val="single" w:sz="4" w:space="0" w:color="auto"/>
            </w:tcBorders>
            <w:shd w:val="clear" w:color="auto" w:fill="auto"/>
            <w:noWrap/>
            <w:vAlign w:val="bottom"/>
            <w:hideMark/>
          </w:tcPr>
          <w:p w14:paraId="226BE349" w14:textId="569DEEB1" w:rsidR="00316969" w:rsidRPr="006367AA" w:rsidRDefault="00316969" w:rsidP="00316969">
            <w:pPr>
              <w:jc w:val="right"/>
              <w:rPr>
                <w:rFonts w:ascii="Calibri" w:hAnsi="Calibri" w:cs="Calibri"/>
                <w:color w:val="000000"/>
                <w:szCs w:val="22"/>
              </w:rPr>
            </w:pPr>
            <w:r>
              <w:rPr>
                <w:rFonts w:ascii="Calibri" w:hAnsi="Calibri" w:cs="Calibri"/>
                <w:color w:val="000000"/>
                <w:szCs w:val="22"/>
              </w:rPr>
              <w:t>23</w:t>
            </w:r>
          </w:p>
        </w:tc>
        <w:tc>
          <w:tcPr>
            <w:tcW w:w="1147" w:type="dxa"/>
            <w:tcBorders>
              <w:top w:val="nil"/>
              <w:left w:val="nil"/>
              <w:bottom w:val="single" w:sz="4" w:space="0" w:color="auto"/>
              <w:right w:val="single" w:sz="4" w:space="0" w:color="auto"/>
            </w:tcBorders>
            <w:shd w:val="clear" w:color="auto" w:fill="auto"/>
            <w:noWrap/>
            <w:vAlign w:val="bottom"/>
            <w:hideMark/>
          </w:tcPr>
          <w:p w14:paraId="1FFB2F87" w14:textId="03DACF66" w:rsidR="00316969" w:rsidRPr="006367AA" w:rsidRDefault="00316969" w:rsidP="00316969">
            <w:pPr>
              <w:jc w:val="right"/>
              <w:rPr>
                <w:rFonts w:ascii="Calibri" w:hAnsi="Calibri" w:cs="Calibri"/>
                <w:color w:val="000000"/>
                <w:szCs w:val="22"/>
              </w:rPr>
            </w:pPr>
            <w:r>
              <w:rPr>
                <w:rFonts w:ascii="Calibri" w:hAnsi="Calibri" w:cs="Calibri"/>
                <w:color w:val="000000"/>
                <w:szCs w:val="22"/>
              </w:rPr>
              <w:t>27</w:t>
            </w:r>
          </w:p>
        </w:tc>
        <w:tc>
          <w:tcPr>
            <w:tcW w:w="1193" w:type="dxa"/>
            <w:tcBorders>
              <w:top w:val="nil"/>
              <w:left w:val="nil"/>
              <w:bottom w:val="single" w:sz="4" w:space="0" w:color="auto"/>
              <w:right w:val="single" w:sz="4" w:space="0" w:color="auto"/>
            </w:tcBorders>
            <w:shd w:val="clear" w:color="auto" w:fill="auto"/>
            <w:noWrap/>
            <w:vAlign w:val="bottom"/>
            <w:hideMark/>
          </w:tcPr>
          <w:p w14:paraId="025B16E1" w14:textId="7C534063"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02" w:type="dxa"/>
            <w:tcBorders>
              <w:top w:val="nil"/>
              <w:left w:val="nil"/>
              <w:bottom w:val="single" w:sz="4" w:space="0" w:color="auto"/>
              <w:right w:val="single" w:sz="4" w:space="0" w:color="auto"/>
            </w:tcBorders>
            <w:shd w:val="clear" w:color="auto" w:fill="auto"/>
            <w:noWrap/>
            <w:vAlign w:val="bottom"/>
            <w:hideMark/>
          </w:tcPr>
          <w:p w14:paraId="7B895821" w14:textId="20DA08FB"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c>
          <w:tcPr>
            <w:tcW w:w="1148" w:type="dxa"/>
            <w:tcBorders>
              <w:top w:val="nil"/>
              <w:left w:val="nil"/>
              <w:bottom w:val="single" w:sz="4" w:space="0" w:color="auto"/>
              <w:right w:val="single" w:sz="4" w:space="0" w:color="auto"/>
            </w:tcBorders>
            <w:shd w:val="clear" w:color="auto" w:fill="auto"/>
            <w:noWrap/>
            <w:vAlign w:val="bottom"/>
            <w:hideMark/>
          </w:tcPr>
          <w:p w14:paraId="5F06D224" w14:textId="67975821" w:rsidR="00316969" w:rsidRPr="006367AA" w:rsidRDefault="00316969" w:rsidP="00316969">
            <w:pPr>
              <w:jc w:val="right"/>
              <w:rPr>
                <w:rFonts w:ascii="Calibri" w:hAnsi="Calibri" w:cs="Calibri"/>
                <w:color w:val="000000"/>
                <w:szCs w:val="22"/>
              </w:rPr>
            </w:pPr>
            <w:r>
              <w:rPr>
                <w:rFonts w:ascii="Calibri" w:hAnsi="Calibri" w:cs="Calibri"/>
                <w:color w:val="000000"/>
                <w:szCs w:val="22"/>
              </w:rPr>
              <w:t>17</w:t>
            </w:r>
          </w:p>
        </w:tc>
      </w:tr>
      <w:tr w:rsidR="00316969" w:rsidRPr="006367AA" w14:paraId="4E917F9A"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E22B9C"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7</w:t>
            </w:r>
          </w:p>
        </w:tc>
        <w:tc>
          <w:tcPr>
            <w:tcW w:w="745" w:type="dxa"/>
            <w:tcBorders>
              <w:top w:val="nil"/>
              <w:left w:val="nil"/>
              <w:bottom w:val="single" w:sz="4" w:space="0" w:color="auto"/>
              <w:right w:val="single" w:sz="4" w:space="0" w:color="auto"/>
            </w:tcBorders>
            <w:shd w:val="clear" w:color="auto" w:fill="auto"/>
            <w:noWrap/>
            <w:vAlign w:val="bottom"/>
            <w:hideMark/>
          </w:tcPr>
          <w:p w14:paraId="74AFEBCA" w14:textId="61DDF8B5"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478</w:t>
            </w:r>
          </w:p>
        </w:tc>
        <w:tc>
          <w:tcPr>
            <w:tcW w:w="1098" w:type="dxa"/>
            <w:tcBorders>
              <w:top w:val="nil"/>
              <w:left w:val="nil"/>
              <w:bottom w:val="single" w:sz="4" w:space="0" w:color="auto"/>
              <w:right w:val="single" w:sz="4" w:space="0" w:color="auto"/>
            </w:tcBorders>
            <w:shd w:val="clear" w:color="auto" w:fill="auto"/>
            <w:noWrap/>
            <w:vAlign w:val="bottom"/>
            <w:hideMark/>
          </w:tcPr>
          <w:p w14:paraId="3A58D8FF" w14:textId="341CC6C0"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c>
          <w:tcPr>
            <w:tcW w:w="1001" w:type="dxa"/>
            <w:tcBorders>
              <w:top w:val="nil"/>
              <w:left w:val="nil"/>
              <w:bottom w:val="single" w:sz="4" w:space="0" w:color="auto"/>
              <w:right w:val="single" w:sz="4" w:space="0" w:color="auto"/>
            </w:tcBorders>
            <w:shd w:val="clear" w:color="auto" w:fill="auto"/>
            <w:noWrap/>
            <w:vAlign w:val="bottom"/>
            <w:hideMark/>
          </w:tcPr>
          <w:p w14:paraId="7D898E64" w14:textId="4F0188A5" w:rsidR="00316969" w:rsidRPr="006367AA" w:rsidRDefault="00316969" w:rsidP="00316969">
            <w:pPr>
              <w:jc w:val="right"/>
              <w:rPr>
                <w:rFonts w:ascii="Calibri" w:hAnsi="Calibri" w:cs="Calibri"/>
                <w:color w:val="000000"/>
                <w:szCs w:val="22"/>
              </w:rPr>
            </w:pPr>
            <w:r>
              <w:rPr>
                <w:rFonts w:ascii="Calibri" w:hAnsi="Calibri" w:cs="Calibri"/>
                <w:color w:val="000000"/>
                <w:szCs w:val="22"/>
              </w:rPr>
              <w:t>12</w:t>
            </w:r>
          </w:p>
        </w:tc>
        <w:tc>
          <w:tcPr>
            <w:tcW w:w="1001" w:type="dxa"/>
            <w:tcBorders>
              <w:top w:val="nil"/>
              <w:left w:val="nil"/>
              <w:bottom w:val="single" w:sz="4" w:space="0" w:color="auto"/>
              <w:right w:val="single" w:sz="4" w:space="0" w:color="auto"/>
            </w:tcBorders>
            <w:shd w:val="clear" w:color="auto" w:fill="auto"/>
            <w:noWrap/>
            <w:vAlign w:val="bottom"/>
            <w:hideMark/>
          </w:tcPr>
          <w:p w14:paraId="212897C7" w14:textId="08E3F411" w:rsidR="00316969" w:rsidRPr="006367AA" w:rsidRDefault="00316969" w:rsidP="00316969">
            <w:pPr>
              <w:jc w:val="right"/>
              <w:rPr>
                <w:rFonts w:ascii="Calibri" w:hAnsi="Calibri" w:cs="Calibri"/>
                <w:color w:val="000000"/>
                <w:szCs w:val="22"/>
              </w:rPr>
            </w:pPr>
            <w:r>
              <w:rPr>
                <w:rFonts w:ascii="Calibri" w:hAnsi="Calibri" w:cs="Calibri"/>
                <w:color w:val="000000"/>
                <w:szCs w:val="22"/>
              </w:rPr>
              <w:t>18</w:t>
            </w:r>
          </w:p>
        </w:tc>
        <w:tc>
          <w:tcPr>
            <w:tcW w:w="1147" w:type="dxa"/>
            <w:tcBorders>
              <w:top w:val="nil"/>
              <w:left w:val="nil"/>
              <w:bottom w:val="single" w:sz="4" w:space="0" w:color="auto"/>
              <w:right w:val="single" w:sz="4" w:space="0" w:color="auto"/>
            </w:tcBorders>
            <w:shd w:val="clear" w:color="auto" w:fill="auto"/>
            <w:noWrap/>
            <w:vAlign w:val="bottom"/>
            <w:hideMark/>
          </w:tcPr>
          <w:p w14:paraId="2D53741A" w14:textId="2C16E6A6" w:rsidR="00316969" w:rsidRPr="006367AA" w:rsidRDefault="00316969" w:rsidP="00316969">
            <w:pPr>
              <w:jc w:val="right"/>
              <w:rPr>
                <w:rFonts w:ascii="Calibri" w:hAnsi="Calibri" w:cs="Calibri"/>
                <w:color w:val="000000"/>
                <w:szCs w:val="22"/>
              </w:rPr>
            </w:pPr>
            <w:r>
              <w:rPr>
                <w:rFonts w:ascii="Calibri" w:hAnsi="Calibri" w:cs="Calibri"/>
                <w:color w:val="000000"/>
                <w:szCs w:val="22"/>
              </w:rPr>
              <w:t>23</w:t>
            </w:r>
          </w:p>
        </w:tc>
        <w:tc>
          <w:tcPr>
            <w:tcW w:w="1193" w:type="dxa"/>
            <w:tcBorders>
              <w:top w:val="nil"/>
              <w:left w:val="nil"/>
              <w:bottom w:val="single" w:sz="4" w:space="0" w:color="auto"/>
              <w:right w:val="single" w:sz="4" w:space="0" w:color="auto"/>
            </w:tcBorders>
            <w:shd w:val="clear" w:color="auto" w:fill="auto"/>
            <w:noWrap/>
            <w:vAlign w:val="bottom"/>
            <w:hideMark/>
          </w:tcPr>
          <w:p w14:paraId="7599D5DF" w14:textId="059B4A2C" w:rsidR="00316969" w:rsidRPr="006367AA" w:rsidRDefault="00316969" w:rsidP="00316969">
            <w:pPr>
              <w:jc w:val="right"/>
              <w:rPr>
                <w:rFonts w:ascii="Calibri" w:hAnsi="Calibri" w:cs="Calibri"/>
                <w:color w:val="000000"/>
                <w:szCs w:val="22"/>
              </w:rPr>
            </w:pPr>
            <w:r>
              <w:rPr>
                <w:rFonts w:ascii="Calibri" w:hAnsi="Calibri" w:cs="Calibri"/>
                <w:color w:val="000000"/>
                <w:szCs w:val="22"/>
              </w:rPr>
              <w:t>29</w:t>
            </w:r>
          </w:p>
        </w:tc>
        <w:tc>
          <w:tcPr>
            <w:tcW w:w="1102" w:type="dxa"/>
            <w:tcBorders>
              <w:top w:val="nil"/>
              <w:left w:val="nil"/>
              <w:bottom w:val="single" w:sz="4" w:space="0" w:color="auto"/>
              <w:right w:val="single" w:sz="4" w:space="0" w:color="auto"/>
            </w:tcBorders>
            <w:shd w:val="clear" w:color="auto" w:fill="auto"/>
            <w:noWrap/>
            <w:vAlign w:val="bottom"/>
            <w:hideMark/>
          </w:tcPr>
          <w:p w14:paraId="29AEB058" w14:textId="3179219F" w:rsidR="00316969" w:rsidRPr="006367AA" w:rsidRDefault="00316969" w:rsidP="00316969">
            <w:pPr>
              <w:jc w:val="right"/>
              <w:rPr>
                <w:rFonts w:ascii="Calibri" w:hAnsi="Calibri" w:cs="Calibri"/>
                <w:color w:val="000000"/>
                <w:szCs w:val="22"/>
              </w:rPr>
            </w:pPr>
            <w:r>
              <w:rPr>
                <w:rFonts w:ascii="Calibri" w:hAnsi="Calibri" w:cs="Calibri"/>
                <w:color w:val="000000"/>
                <w:szCs w:val="22"/>
              </w:rPr>
              <w:t>8</w:t>
            </w:r>
          </w:p>
        </w:tc>
        <w:tc>
          <w:tcPr>
            <w:tcW w:w="1148" w:type="dxa"/>
            <w:tcBorders>
              <w:top w:val="nil"/>
              <w:left w:val="nil"/>
              <w:bottom w:val="single" w:sz="4" w:space="0" w:color="auto"/>
              <w:right w:val="single" w:sz="4" w:space="0" w:color="auto"/>
            </w:tcBorders>
            <w:shd w:val="clear" w:color="auto" w:fill="auto"/>
            <w:noWrap/>
            <w:vAlign w:val="bottom"/>
            <w:hideMark/>
          </w:tcPr>
          <w:p w14:paraId="2DAFDBD7" w14:textId="0F0BADFA" w:rsidR="00316969" w:rsidRPr="006367AA" w:rsidRDefault="00316969" w:rsidP="00316969">
            <w:pPr>
              <w:jc w:val="right"/>
              <w:rPr>
                <w:rFonts w:ascii="Calibri" w:hAnsi="Calibri" w:cs="Calibri"/>
                <w:color w:val="000000"/>
                <w:szCs w:val="22"/>
              </w:rPr>
            </w:pPr>
            <w:r>
              <w:rPr>
                <w:rFonts w:ascii="Calibri" w:hAnsi="Calibri" w:cs="Calibri"/>
                <w:color w:val="000000"/>
                <w:szCs w:val="22"/>
              </w:rPr>
              <w:t>14</w:t>
            </w:r>
          </w:p>
        </w:tc>
      </w:tr>
      <w:tr w:rsidR="00316969" w:rsidRPr="006367AA" w14:paraId="531525EC"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D90F23"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8</w:t>
            </w:r>
          </w:p>
        </w:tc>
        <w:tc>
          <w:tcPr>
            <w:tcW w:w="745" w:type="dxa"/>
            <w:tcBorders>
              <w:top w:val="nil"/>
              <w:left w:val="nil"/>
              <w:bottom w:val="single" w:sz="4" w:space="0" w:color="auto"/>
              <w:right w:val="single" w:sz="4" w:space="0" w:color="auto"/>
            </w:tcBorders>
            <w:shd w:val="clear" w:color="auto" w:fill="auto"/>
            <w:noWrap/>
            <w:vAlign w:val="bottom"/>
            <w:hideMark/>
          </w:tcPr>
          <w:p w14:paraId="2826838A" w14:textId="1B9B248D"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702</w:t>
            </w:r>
          </w:p>
        </w:tc>
        <w:tc>
          <w:tcPr>
            <w:tcW w:w="1098" w:type="dxa"/>
            <w:tcBorders>
              <w:top w:val="nil"/>
              <w:left w:val="nil"/>
              <w:bottom w:val="single" w:sz="4" w:space="0" w:color="auto"/>
              <w:right w:val="single" w:sz="4" w:space="0" w:color="auto"/>
            </w:tcBorders>
            <w:shd w:val="clear" w:color="auto" w:fill="auto"/>
            <w:noWrap/>
            <w:vAlign w:val="bottom"/>
            <w:hideMark/>
          </w:tcPr>
          <w:p w14:paraId="1EA3B311" w14:textId="4E1E01CC"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09195FAE" w14:textId="7037CEDD"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2D785B25" w14:textId="2807F9BC" w:rsidR="00316969" w:rsidRPr="006367AA" w:rsidRDefault="00316969" w:rsidP="00316969">
            <w:pPr>
              <w:jc w:val="right"/>
              <w:rPr>
                <w:rFonts w:ascii="Calibri" w:hAnsi="Calibri" w:cs="Calibri"/>
                <w:color w:val="000000"/>
                <w:szCs w:val="22"/>
              </w:rPr>
            </w:pPr>
            <w:r>
              <w:rPr>
                <w:rFonts w:ascii="Calibri" w:hAnsi="Calibri" w:cs="Calibri"/>
                <w:color w:val="000000"/>
                <w:szCs w:val="22"/>
              </w:rPr>
              <w:t>20</w:t>
            </w:r>
          </w:p>
        </w:tc>
        <w:tc>
          <w:tcPr>
            <w:tcW w:w="1147" w:type="dxa"/>
            <w:tcBorders>
              <w:top w:val="nil"/>
              <w:left w:val="nil"/>
              <w:bottom w:val="single" w:sz="4" w:space="0" w:color="auto"/>
              <w:right w:val="single" w:sz="4" w:space="0" w:color="auto"/>
            </w:tcBorders>
            <w:shd w:val="clear" w:color="auto" w:fill="auto"/>
            <w:noWrap/>
            <w:vAlign w:val="bottom"/>
            <w:hideMark/>
          </w:tcPr>
          <w:p w14:paraId="7D4D7879" w14:textId="5504681A"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c>
          <w:tcPr>
            <w:tcW w:w="1193" w:type="dxa"/>
            <w:tcBorders>
              <w:top w:val="nil"/>
              <w:left w:val="nil"/>
              <w:bottom w:val="single" w:sz="4" w:space="0" w:color="auto"/>
              <w:right w:val="single" w:sz="4" w:space="0" w:color="auto"/>
            </w:tcBorders>
            <w:shd w:val="clear" w:color="auto" w:fill="auto"/>
            <w:noWrap/>
            <w:vAlign w:val="bottom"/>
            <w:hideMark/>
          </w:tcPr>
          <w:p w14:paraId="2013B897" w14:textId="251AA03D" w:rsidR="00316969" w:rsidRPr="006367AA" w:rsidRDefault="00316969" w:rsidP="00316969">
            <w:pPr>
              <w:jc w:val="right"/>
              <w:rPr>
                <w:rFonts w:ascii="Calibri" w:hAnsi="Calibri" w:cs="Calibri"/>
                <w:color w:val="000000"/>
                <w:szCs w:val="22"/>
              </w:rPr>
            </w:pPr>
            <w:r>
              <w:rPr>
                <w:rFonts w:ascii="Calibri" w:hAnsi="Calibri" w:cs="Calibri"/>
                <w:color w:val="000000"/>
                <w:szCs w:val="22"/>
              </w:rPr>
              <w:t>32</w:t>
            </w:r>
          </w:p>
        </w:tc>
        <w:tc>
          <w:tcPr>
            <w:tcW w:w="1102" w:type="dxa"/>
            <w:tcBorders>
              <w:top w:val="nil"/>
              <w:left w:val="nil"/>
              <w:bottom w:val="single" w:sz="4" w:space="0" w:color="auto"/>
              <w:right w:val="single" w:sz="4" w:space="0" w:color="auto"/>
            </w:tcBorders>
            <w:shd w:val="clear" w:color="auto" w:fill="auto"/>
            <w:noWrap/>
            <w:vAlign w:val="bottom"/>
            <w:hideMark/>
          </w:tcPr>
          <w:p w14:paraId="2F9D2B6F" w14:textId="09820221" w:rsidR="00316969" w:rsidRPr="006367AA" w:rsidRDefault="00316969" w:rsidP="00316969">
            <w:pPr>
              <w:jc w:val="right"/>
              <w:rPr>
                <w:rFonts w:ascii="Calibri" w:hAnsi="Calibri" w:cs="Calibri"/>
                <w:color w:val="000000"/>
                <w:szCs w:val="22"/>
              </w:rPr>
            </w:pPr>
            <w:r>
              <w:rPr>
                <w:rFonts w:ascii="Calibri" w:hAnsi="Calibri" w:cs="Calibri"/>
                <w:color w:val="000000"/>
                <w:szCs w:val="22"/>
              </w:rPr>
              <w:t>8</w:t>
            </w:r>
          </w:p>
        </w:tc>
        <w:tc>
          <w:tcPr>
            <w:tcW w:w="1148" w:type="dxa"/>
            <w:tcBorders>
              <w:top w:val="nil"/>
              <w:left w:val="nil"/>
              <w:bottom w:val="single" w:sz="4" w:space="0" w:color="auto"/>
              <w:right w:val="single" w:sz="4" w:space="0" w:color="auto"/>
            </w:tcBorders>
            <w:shd w:val="clear" w:color="auto" w:fill="auto"/>
            <w:noWrap/>
            <w:vAlign w:val="bottom"/>
            <w:hideMark/>
          </w:tcPr>
          <w:p w14:paraId="3B980C1A" w14:textId="5B9867C8" w:rsidR="00316969" w:rsidRPr="006367AA" w:rsidRDefault="00316969" w:rsidP="00316969">
            <w:pPr>
              <w:jc w:val="right"/>
              <w:rPr>
                <w:rFonts w:ascii="Calibri" w:hAnsi="Calibri" w:cs="Calibri"/>
                <w:color w:val="000000"/>
                <w:szCs w:val="22"/>
              </w:rPr>
            </w:pPr>
            <w:r>
              <w:rPr>
                <w:rFonts w:ascii="Calibri" w:hAnsi="Calibri" w:cs="Calibri"/>
                <w:color w:val="000000"/>
                <w:szCs w:val="22"/>
              </w:rPr>
              <w:t>15</w:t>
            </w:r>
          </w:p>
        </w:tc>
      </w:tr>
      <w:tr w:rsidR="00316969" w:rsidRPr="006367AA" w14:paraId="6ADF20C0"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5CBED3"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9</w:t>
            </w:r>
          </w:p>
        </w:tc>
        <w:tc>
          <w:tcPr>
            <w:tcW w:w="745" w:type="dxa"/>
            <w:tcBorders>
              <w:top w:val="nil"/>
              <w:left w:val="nil"/>
              <w:bottom w:val="single" w:sz="4" w:space="0" w:color="auto"/>
              <w:right w:val="single" w:sz="4" w:space="0" w:color="auto"/>
            </w:tcBorders>
            <w:shd w:val="clear" w:color="auto" w:fill="auto"/>
            <w:noWrap/>
            <w:vAlign w:val="bottom"/>
            <w:hideMark/>
          </w:tcPr>
          <w:p w14:paraId="1A119AAB" w14:textId="29D6052C"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000</w:t>
            </w:r>
          </w:p>
        </w:tc>
        <w:tc>
          <w:tcPr>
            <w:tcW w:w="1098" w:type="dxa"/>
            <w:tcBorders>
              <w:top w:val="nil"/>
              <w:left w:val="nil"/>
              <w:bottom w:val="single" w:sz="4" w:space="0" w:color="auto"/>
              <w:right w:val="single" w:sz="4" w:space="0" w:color="auto"/>
            </w:tcBorders>
            <w:shd w:val="clear" w:color="auto" w:fill="auto"/>
            <w:noWrap/>
            <w:vAlign w:val="bottom"/>
            <w:hideMark/>
          </w:tcPr>
          <w:p w14:paraId="05644A91" w14:textId="00D23B8D"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738D5A30" w14:textId="1C43462C" w:rsidR="00316969" w:rsidRPr="006367AA" w:rsidRDefault="00316969" w:rsidP="00316969">
            <w:pPr>
              <w:jc w:val="right"/>
              <w:rPr>
                <w:rFonts w:ascii="Calibri" w:hAnsi="Calibri" w:cs="Calibri"/>
                <w:color w:val="000000"/>
                <w:szCs w:val="22"/>
              </w:rPr>
            </w:pPr>
            <w:r>
              <w:rPr>
                <w:rFonts w:ascii="Calibri" w:hAnsi="Calibri" w:cs="Calibri"/>
                <w:color w:val="000000"/>
                <w:szCs w:val="22"/>
              </w:rPr>
              <w:t>16</w:t>
            </w:r>
          </w:p>
        </w:tc>
        <w:tc>
          <w:tcPr>
            <w:tcW w:w="1001" w:type="dxa"/>
            <w:tcBorders>
              <w:top w:val="nil"/>
              <w:left w:val="nil"/>
              <w:bottom w:val="single" w:sz="4" w:space="0" w:color="auto"/>
              <w:right w:val="single" w:sz="4" w:space="0" w:color="auto"/>
            </w:tcBorders>
            <w:shd w:val="clear" w:color="auto" w:fill="auto"/>
            <w:noWrap/>
            <w:vAlign w:val="bottom"/>
            <w:hideMark/>
          </w:tcPr>
          <w:p w14:paraId="10C9E883" w14:textId="5BE7D76E" w:rsidR="00316969" w:rsidRPr="006367AA" w:rsidRDefault="00316969" w:rsidP="00316969">
            <w:pPr>
              <w:jc w:val="right"/>
              <w:rPr>
                <w:rFonts w:ascii="Calibri" w:hAnsi="Calibri" w:cs="Calibri"/>
                <w:color w:val="000000"/>
                <w:szCs w:val="22"/>
              </w:rPr>
            </w:pPr>
            <w:r>
              <w:rPr>
                <w:rFonts w:ascii="Calibri" w:hAnsi="Calibri" w:cs="Calibri"/>
                <w:color w:val="000000"/>
                <w:szCs w:val="22"/>
              </w:rPr>
              <w:t>23</w:t>
            </w:r>
          </w:p>
        </w:tc>
        <w:tc>
          <w:tcPr>
            <w:tcW w:w="1147" w:type="dxa"/>
            <w:tcBorders>
              <w:top w:val="nil"/>
              <w:left w:val="nil"/>
              <w:bottom w:val="single" w:sz="4" w:space="0" w:color="auto"/>
              <w:right w:val="single" w:sz="4" w:space="0" w:color="auto"/>
            </w:tcBorders>
            <w:shd w:val="clear" w:color="auto" w:fill="auto"/>
            <w:noWrap/>
            <w:vAlign w:val="bottom"/>
            <w:hideMark/>
          </w:tcPr>
          <w:p w14:paraId="2CE9B3D8" w14:textId="68408D4F" w:rsidR="00316969" w:rsidRPr="006367AA" w:rsidRDefault="00316969" w:rsidP="00316969">
            <w:pPr>
              <w:jc w:val="right"/>
              <w:rPr>
                <w:rFonts w:ascii="Calibri" w:hAnsi="Calibri" w:cs="Calibri"/>
                <w:color w:val="000000"/>
                <w:szCs w:val="22"/>
              </w:rPr>
            </w:pPr>
            <w:r>
              <w:rPr>
                <w:rFonts w:ascii="Calibri" w:hAnsi="Calibri" w:cs="Calibri"/>
                <w:color w:val="000000"/>
                <w:szCs w:val="22"/>
              </w:rPr>
              <w:t>28</w:t>
            </w:r>
          </w:p>
        </w:tc>
        <w:tc>
          <w:tcPr>
            <w:tcW w:w="1193" w:type="dxa"/>
            <w:tcBorders>
              <w:top w:val="nil"/>
              <w:left w:val="nil"/>
              <w:bottom w:val="single" w:sz="4" w:space="0" w:color="auto"/>
              <w:right w:val="single" w:sz="4" w:space="0" w:color="auto"/>
            </w:tcBorders>
            <w:shd w:val="clear" w:color="auto" w:fill="auto"/>
            <w:noWrap/>
            <w:vAlign w:val="bottom"/>
            <w:hideMark/>
          </w:tcPr>
          <w:p w14:paraId="1CA53F89" w14:textId="0F79F8E7" w:rsidR="00316969" w:rsidRPr="006367AA" w:rsidRDefault="00316969" w:rsidP="00316969">
            <w:pPr>
              <w:jc w:val="right"/>
              <w:rPr>
                <w:rFonts w:ascii="Calibri" w:hAnsi="Calibri" w:cs="Calibri"/>
                <w:color w:val="000000"/>
                <w:szCs w:val="22"/>
              </w:rPr>
            </w:pPr>
            <w:r>
              <w:rPr>
                <w:rFonts w:ascii="Calibri" w:hAnsi="Calibri" w:cs="Calibri"/>
                <w:color w:val="000000"/>
                <w:szCs w:val="22"/>
              </w:rPr>
              <w:t>36</w:t>
            </w:r>
          </w:p>
        </w:tc>
        <w:tc>
          <w:tcPr>
            <w:tcW w:w="1102" w:type="dxa"/>
            <w:tcBorders>
              <w:top w:val="nil"/>
              <w:left w:val="nil"/>
              <w:bottom w:val="single" w:sz="4" w:space="0" w:color="auto"/>
              <w:right w:val="single" w:sz="4" w:space="0" w:color="auto"/>
            </w:tcBorders>
            <w:shd w:val="clear" w:color="auto" w:fill="auto"/>
            <w:noWrap/>
            <w:vAlign w:val="bottom"/>
            <w:hideMark/>
          </w:tcPr>
          <w:p w14:paraId="0A832AFD" w14:textId="554E6A4B"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c>
          <w:tcPr>
            <w:tcW w:w="1148" w:type="dxa"/>
            <w:tcBorders>
              <w:top w:val="nil"/>
              <w:left w:val="nil"/>
              <w:bottom w:val="single" w:sz="4" w:space="0" w:color="auto"/>
              <w:right w:val="single" w:sz="4" w:space="0" w:color="auto"/>
            </w:tcBorders>
            <w:shd w:val="clear" w:color="auto" w:fill="auto"/>
            <w:noWrap/>
            <w:vAlign w:val="bottom"/>
            <w:hideMark/>
          </w:tcPr>
          <w:p w14:paraId="6514D292" w14:textId="3C5097D0" w:rsidR="00316969" w:rsidRPr="006367AA" w:rsidRDefault="00316969" w:rsidP="00316969">
            <w:pPr>
              <w:jc w:val="right"/>
              <w:rPr>
                <w:rFonts w:ascii="Calibri" w:hAnsi="Calibri" w:cs="Calibri"/>
                <w:color w:val="000000"/>
                <w:szCs w:val="22"/>
              </w:rPr>
            </w:pPr>
            <w:r>
              <w:rPr>
                <w:rFonts w:ascii="Calibri" w:hAnsi="Calibri" w:cs="Calibri"/>
                <w:color w:val="000000"/>
                <w:szCs w:val="22"/>
              </w:rPr>
              <w:t>17</w:t>
            </w:r>
          </w:p>
        </w:tc>
      </w:tr>
      <w:tr w:rsidR="00316969" w:rsidRPr="006367AA" w14:paraId="52E5EDEB"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F84D4E"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10</w:t>
            </w:r>
          </w:p>
        </w:tc>
        <w:tc>
          <w:tcPr>
            <w:tcW w:w="745" w:type="dxa"/>
            <w:tcBorders>
              <w:top w:val="nil"/>
              <w:left w:val="nil"/>
              <w:bottom w:val="single" w:sz="4" w:space="0" w:color="auto"/>
              <w:right w:val="single" w:sz="4" w:space="0" w:color="auto"/>
            </w:tcBorders>
            <w:shd w:val="clear" w:color="auto" w:fill="auto"/>
            <w:noWrap/>
            <w:vAlign w:val="bottom"/>
            <w:hideMark/>
          </w:tcPr>
          <w:p w14:paraId="2CBA5E03" w14:textId="12913B8F"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240</w:t>
            </w:r>
          </w:p>
        </w:tc>
        <w:tc>
          <w:tcPr>
            <w:tcW w:w="1098" w:type="dxa"/>
            <w:tcBorders>
              <w:top w:val="nil"/>
              <w:left w:val="nil"/>
              <w:bottom w:val="single" w:sz="4" w:space="0" w:color="auto"/>
              <w:right w:val="single" w:sz="4" w:space="0" w:color="auto"/>
            </w:tcBorders>
            <w:shd w:val="clear" w:color="auto" w:fill="auto"/>
            <w:noWrap/>
            <w:vAlign w:val="bottom"/>
            <w:hideMark/>
          </w:tcPr>
          <w:p w14:paraId="3E439A70" w14:textId="7ADCD4DC"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42888EE8" w14:textId="04DEF503" w:rsidR="00316969" w:rsidRPr="006367AA" w:rsidRDefault="00316969" w:rsidP="00316969">
            <w:pPr>
              <w:jc w:val="right"/>
              <w:rPr>
                <w:rFonts w:ascii="Calibri" w:hAnsi="Calibri" w:cs="Calibri"/>
                <w:color w:val="000000"/>
                <w:szCs w:val="22"/>
              </w:rPr>
            </w:pPr>
            <w:r>
              <w:rPr>
                <w:rFonts w:ascii="Calibri" w:hAnsi="Calibri" w:cs="Calibri"/>
                <w:color w:val="000000"/>
                <w:szCs w:val="22"/>
              </w:rPr>
              <w:t>17</w:t>
            </w:r>
          </w:p>
        </w:tc>
        <w:tc>
          <w:tcPr>
            <w:tcW w:w="1001" w:type="dxa"/>
            <w:tcBorders>
              <w:top w:val="nil"/>
              <w:left w:val="nil"/>
              <w:bottom w:val="single" w:sz="4" w:space="0" w:color="auto"/>
              <w:right w:val="single" w:sz="4" w:space="0" w:color="auto"/>
            </w:tcBorders>
            <w:shd w:val="clear" w:color="auto" w:fill="auto"/>
            <w:noWrap/>
            <w:vAlign w:val="bottom"/>
            <w:hideMark/>
          </w:tcPr>
          <w:p w14:paraId="0BDF3A6B" w14:textId="786A1594" w:rsidR="00316969" w:rsidRPr="006367AA" w:rsidRDefault="00316969" w:rsidP="00316969">
            <w:pPr>
              <w:jc w:val="right"/>
              <w:rPr>
                <w:rFonts w:ascii="Calibri" w:hAnsi="Calibri" w:cs="Calibri"/>
                <w:color w:val="000000"/>
                <w:szCs w:val="22"/>
              </w:rPr>
            </w:pPr>
            <w:r>
              <w:rPr>
                <w:rFonts w:ascii="Calibri" w:hAnsi="Calibri" w:cs="Calibri"/>
                <w:color w:val="000000"/>
                <w:szCs w:val="22"/>
              </w:rPr>
              <w:t>25</w:t>
            </w:r>
          </w:p>
        </w:tc>
        <w:tc>
          <w:tcPr>
            <w:tcW w:w="1147" w:type="dxa"/>
            <w:tcBorders>
              <w:top w:val="nil"/>
              <w:left w:val="nil"/>
              <w:bottom w:val="single" w:sz="4" w:space="0" w:color="auto"/>
              <w:right w:val="single" w:sz="4" w:space="0" w:color="auto"/>
            </w:tcBorders>
            <w:shd w:val="clear" w:color="auto" w:fill="auto"/>
            <w:noWrap/>
            <w:vAlign w:val="bottom"/>
            <w:hideMark/>
          </w:tcPr>
          <w:p w14:paraId="0DD0D013" w14:textId="18CAD663" w:rsidR="00316969" w:rsidRPr="006367AA" w:rsidRDefault="00316969" w:rsidP="00316969">
            <w:pPr>
              <w:jc w:val="right"/>
              <w:rPr>
                <w:rFonts w:ascii="Calibri" w:hAnsi="Calibri" w:cs="Calibri"/>
                <w:color w:val="000000"/>
                <w:szCs w:val="22"/>
              </w:rPr>
            </w:pPr>
            <w:r>
              <w:rPr>
                <w:rFonts w:ascii="Calibri" w:hAnsi="Calibri" w:cs="Calibri"/>
                <w:color w:val="000000"/>
                <w:szCs w:val="22"/>
              </w:rPr>
              <w:t>30</w:t>
            </w:r>
          </w:p>
        </w:tc>
        <w:tc>
          <w:tcPr>
            <w:tcW w:w="1193" w:type="dxa"/>
            <w:tcBorders>
              <w:top w:val="nil"/>
              <w:left w:val="nil"/>
              <w:bottom w:val="single" w:sz="4" w:space="0" w:color="auto"/>
              <w:right w:val="single" w:sz="4" w:space="0" w:color="auto"/>
            </w:tcBorders>
            <w:shd w:val="clear" w:color="auto" w:fill="auto"/>
            <w:noWrap/>
            <w:vAlign w:val="bottom"/>
            <w:hideMark/>
          </w:tcPr>
          <w:p w14:paraId="1ECB1B08" w14:textId="388F651D" w:rsidR="00316969" w:rsidRPr="006367AA" w:rsidRDefault="00316969" w:rsidP="00316969">
            <w:pPr>
              <w:jc w:val="right"/>
              <w:rPr>
                <w:rFonts w:ascii="Calibri" w:hAnsi="Calibri" w:cs="Calibri"/>
                <w:color w:val="000000"/>
                <w:szCs w:val="22"/>
              </w:rPr>
            </w:pPr>
            <w:r>
              <w:rPr>
                <w:rFonts w:ascii="Calibri" w:hAnsi="Calibri" w:cs="Calibri"/>
                <w:color w:val="000000"/>
                <w:szCs w:val="22"/>
              </w:rPr>
              <w:t>38</w:t>
            </w:r>
          </w:p>
        </w:tc>
        <w:tc>
          <w:tcPr>
            <w:tcW w:w="1102" w:type="dxa"/>
            <w:tcBorders>
              <w:top w:val="nil"/>
              <w:left w:val="nil"/>
              <w:bottom w:val="single" w:sz="4" w:space="0" w:color="auto"/>
              <w:right w:val="single" w:sz="4" w:space="0" w:color="auto"/>
            </w:tcBorders>
            <w:shd w:val="clear" w:color="auto" w:fill="auto"/>
            <w:noWrap/>
            <w:vAlign w:val="bottom"/>
            <w:hideMark/>
          </w:tcPr>
          <w:p w14:paraId="70D8C93C" w14:textId="7026D882" w:rsidR="00316969" w:rsidRPr="006367AA" w:rsidRDefault="00316969" w:rsidP="00316969">
            <w:pPr>
              <w:jc w:val="right"/>
              <w:rPr>
                <w:rFonts w:ascii="Calibri" w:hAnsi="Calibri" w:cs="Calibri"/>
                <w:color w:val="000000"/>
                <w:szCs w:val="22"/>
              </w:rPr>
            </w:pPr>
            <w:r>
              <w:rPr>
                <w:rFonts w:ascii="Calibri" w:hAnsi="Calibri" w:cs="Calibri"/>
                <w:color w:val="000000"/>
                <w:szCs w:val="22"/>
              </w:rPr>
              <w:t>11</w:t>
            </w:r>
          </w:p>
        </w:tc>
        <w:tc>
          <w:tcPr>
            <w:tcW w:w="1148" w:type="dxa"/>
            <w:tcBorders>
              <w:top w:val="nil"/>
              <w:left w:val="nil"/>
              <w:bottom w:val="single" w:sz="4" w:space="0" w:color="auto"/>
              <w:right w:val="single" w:sz="4" w:space="0" w:color="auto"/>
            </w:tcBorders>
            <w:shd w:val="clear" w:color="auto" w:fill="auto"/>
            <w:noWrap/>
            <w:vAlign w:val="bottom"/>
            <w:hideMark/>
          </w:tcPr>
          <w:p w14:paraId="47AD0000" w14:textId="1D4CDE4D" w:rsidR="00316969" w:rsidRPr="006367AA" w:rsidRDefault="00316969" w:rsidP="00316969">
            <w:pPr>
              <w:jc w:val="right"/>
              <w:rPr>
                <w:rFonts w:ascii="Calibri" w:hAnsi="Calibri" w:cs="Calibri"/>
                <w:color w:val="000000"/>
                <w:szCs w:val="22"/>
              </w:rPr>
            </w:pPr>
            <w:r>
              <w:rPr>
                <w:rFonts w:ascii="Calibri" w:hAnsi="Calibri" w:cs="Calibri"/>
                <w:color w:val="000000"/>
                <w:szCs w:val="22"/>
              </w:rPr>
              <w:t>19</w:t>
            </w:r>
          </w:p>
        </w:tc>
      </w:tr>
      <w:tr w:rsidR="00316969" w:rsidRPr="006367AA" w14:paraId="05B2F575"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E53C1E"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11</w:t>
            </w:r>
          </w:p>
        </w:tc>
        <w:tc>
          <w:tcPr>
            <w:tcW w:w="745" w:type="dxa"/>
            <w:tcBorders>
              <w:top w:val="nil"/>
              <w:left w:val="nil"/>
              <w:bottom w:val="single" w:sz="4" w:space="0" w:color="auto"/>
              <w:right w:val="single" w:sz="4" w:space="0" w:color="auto"/>
            </w:tcBorders>
            <w:shd w:val="clear" w:color="auto" w:fill="auto"/>
            <w:noWrap/>
            <w:vAlign w:val="bottom"/>
            <w:hideMark/>
          </w:tcPr>
          <w:p w14:paraId="4A402C61" w14:textId="68A696DE"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027</w:t>
            </w:r>
          </w:p>
        </w:tc>
        <w:tc>
          <w:tcPr>
            <w:tcW w:w="1098" w:type="dxa"/>
            <w:tcBorders>
              <w:top w:val="nil"/>
              <w:left w:val="nil"/>
              <w:bottom w:val="single" w:sz="4" w:space="0" w:color="auto"/>
              <w:right w:val="single" w:sz="4" w:space="0" w:color="auto"/>
            </w:tcBorders>
            <w:shd w:val="clear" w:color="auto" w:fill="auto"/>
            <w:noWrap/>
            <w:vAlign w:val="bottom"/>
            <w:hideMark/>
          </w:tcPr>
          <w:p w14:paraId="07621F1F" w14:textId="28F8F92E"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5A508FF9" w14:textId="727C1EF1" w:rsidR="00316969" w:rsidRPr="006367AA" w:rsidRDefault="00316969" w:rsidP="00316969">
            <w:pPr>
              <w:jc w:val="right"/>
              <w:rPr>
                <w:rFonts w:ascii="Calibri" w:hAnsi="Calibri" w:cs="Calibri"/>
                <w:color w:val="000000"/>
                <w:szCs w:val="22"/>
              </w:rPr>
            </w:pPr>
            <w:r>
              <w:rPr>
                <w:rFonts w:ascii="Calibri" w:hAnsi="Calibri" w:cs="Calibri"/>
                <w:color w:val="000000"/>
                <w:szCs w:val="22"/>
              </w:rPr>
              <w:t>24</w:t>
            </w:r>
          </w:p>
        </w:tc>
        <w:tc>
          <w:tcPr>
            <w:tcW w:w="1001" w:type="dxa"/>
            <w:tcBorders>
              <w:top w:val="nil"/>
              <w:left w:val="nil"/>
              <w:bottom w:val="single" w:sz="4" w:space="0" w:color="auto"/>
              <w:right w:val="single" w:sz="4" w:space="0" w:color="auto"/>
            </w:tcBorders>
            <w:shd w:val="clear" w:color="auto" w:fill="auto"/>
            <w:noWrap/>
            <w:vAlign w:val="bottom"/>
            <w:hideMark/>
          </w:tcPr>
          <w:p w14:paraId="5FB027A2" w14:textId="1EBBFD76"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47" w:type="dxa"/>
            <w:tcBorders>
              <w:top w:val="nil"/>
              <w:left w:val="nil"/>
              <w:bottom w:val="single" w:sz="4" w:space="0" w:color="auto"/>
              <w:right w:val="single" w:sz="4" w:space="0" w:color="auto"/>
            </w:tcBorders>
            <w:shd w:val="clear" w:color="auto" w:fill="auto"/>
            <w:noWrap/>
            <w:vAlign w:val="bottom"/>
            <w:hideMark/>
          </w:tcPr>
          <w:p w14:paraId="03ED6C70" w14:textId="2CF75FBA" w:rsidR="00316969" w:rsidRPr="006367AA" w:rsidRDefault="00316969" w:rsidP="00316969">
            <w:pPr>
              <w:jc w:val="right"/>
              <w:rPr>
                <w:rFonts w:ascii="Calibri" w:hAnsi="Calibri" w:cs="Calibri"/>
                <w:color w:val="000000"/>
                <w:szCs w:val="22"/>
              </w:rPr>
            </w:pPr>
            <w:r>
              <w:rPr>
                <w:rFonts w:ascii="Calibri" w:hAnsi="Calibri" w:cs="Calibri"/>
                <w:color w:val="000000"/>
                <w:szCs w:val="22"/>
              </w:rPr>
              <w:t>36</w:t>
            </w:r>
          </w:p>
        </w:tc>
        <w:tc>
          <w:tcPr>
            <w:tcW w:w="1193" w:type="dxa"/>
            <w:tcBorders>
              <w:top w:val="nil"/>
              <w:left w:val="nil"/>
              <w:bottom w:val="single" w:sz="4" w:space="0" w:color="auto"/>
              <w:right w:val="single" w:sz="4" w:space="0" w:color="auto"/>
            </w:tcBorders>
            <w:shd w:val="clear" w:color="auto" w:fill="auto"/>
            <w:noWrap/>
            <w:vAlign w:val="bottom"/>
            <w:hideMark/>
          </w:tcPr>
          <w:p w14:paraId="4665BE75" w14:textId="29201D77" w:rsidR="00316969" w:rsidRPr="006367AA" w:rsidRDefault="00316969" w:rsidP="00316969">
            <w:pPr>
              <w:jc w:val="right"/>
              <w:rPr>
                <w:rFonts w:ascii="Calibri" w:hAnsi="Calibri" w:cs="Calibri"/>
                <w:color w:val="000000"/>
                <w:szCs w:val="22"/>
              </w:rPr>
            </w:pPr>
            <w:r>
              <w:rPr>
                <w:rFonts w:ascii="Calibri" w:hAnsi="Calibri" w:cs="Calibri"/>
                <w:color w:val="000000"/>
                <w:szCs w:val="22"/>
              </w:rPr>
              <w:t>48</w:t>
            </w:r>
          </w:p>
        </w:tc>
        <w:tc>
          <w:tcPr>
            <w:tcW w:w="1102" w:type="dxa"/>
            <w:tcBorders>
              <w:top w:val="nil"/>
              <w:left w:val="nil"/>
              <w:bottom w:val="single" w:sz="4" w:space="0" w:color="auto"/>
              <w:right w:val="single" w:sz="4" w:space="0" w:color="auto"/>
            </w:tcBorders>
            <w:shd w:val="clear" w:color="auto" w:fill="auto"/>
            <w:noWrap/>
            <w:vAlign w:val="bottom"/>
            <w:hideMark/>
          </w:tcPr>
          <w:p w14:paraId="48486A11" w14:textId="50172F3A" w:rsidR="00316969" w:rsidRPr="006367AA" w:rsidRDefault="00316969" w:rsidP="00316969">
            <w:pPr>
              <w:jc w:val="right"/>
              <w:rPr>
                <w:rFonts w:ascii="Calibri" w:hAnsi="Calibri" w:cs="Calibri"/>
                <w:color w:val="000000"/>
                <w:szCs w:val="22"/>
              </w:rPr>
            </w:pPr>
            <w:r>
              <w:rPr>
                <w:rFonts w:ascii="Calibri" w:hAnsi="Calibri" w:cs="Calibri"/>
                <w:color w:val="000000"/>
                <w:szCs w:val="22"/>
              </w:rPr>
              <w:t>15</w:t>
            </w:r>
          </w:p>
        </w:tc>
        <w:tc>
          <w:tcPr>
            <w:tcW w:w="1148" w:type="dxa"/>
            <w:tcBorders>
              <w:top w:val="nil"/>
              <w:left w:val="nil"/>
              <w:bottom w:val="single" w:sz="4" w:space="0" w:color="auto"/>
              <w:right w:val="single" w:sz="4" w:space="0" w:color="auto"/>
            </w:tcBorders>
            <w:shd w:val="clear" w:color="auto" w:fill="auto"/>
            <w:noWrap/>
            <w:vAlign w:val="bottom"/>
            <w:hideMark/>
          </w:tcPr>
          <w:p w14:paraId="1D19E6AB" w14:textId="247BAB79"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r>
      <w:tr w:rsidR="00316969" w:rsidRPr="006367AA" w14:paraId="271DE973"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7F39FC"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12</w:t>
            </w:r>
          </w:p>
        </w:tc>
        <w:tc>
          <w:tcPr>
            <w:tcW w:w="745" w:type="dxa"/>
            <w:tcBorders>
              <w:top w:val="nil"/>
              <w:left w:val="nil"/>
              <w:bottom w:val="single" w:sz="4" w:space="0" w:color="auto"/>
              <w:right w:val="single" w:sz="4" w:space="0" w:color="auto"/>
            </w:tcBorders>
            <w:shd w:val="clear" w:color="auto" w:fill="auto"/>
            <w:noWrap/>
            <w:vAlign w:val="bottom"/>
            <w:hideMark/>
          </w:tcPr>
          <w:p w14:paraId="54E04007" w14:textId="59F6AC25"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122</w:t>
            </w:r>
          </w:p>
        </w:tc>
        <w:tc>
          <w:tcPr>
            <w:tcW w:w="1098" w:type="dxa"/>
            <w:tcBorders>
              <w:top w:val="nil"/>
              <w:left w:val="nil"/>
              <w:bottom w:val="single" w:sz="4" w:space="0" w:color="auto"/>
              <w:right w:val="single" w:sz="4" w:space="0" w:color="auto"/>
            </w:tcBorders>
            <w:shd w:val="clear" w:color="auto" w:fill="auto"/>
            <w:noWrap/>
            <w:vAlign w:val="bottom"/>
            <w:hideMark/>
          </w:tcPr>
          <w:p w14:paraId="7441FC64" w14:textId="376E0DE9" w:rsidR="00316969" w:rsidRPr="006367AA" w:rsidRDefault="00316969" w:rsidP="00316969">
            <w:pPr>
              <w:jc w:val="right"/>
              <w:rPr>
                <w:rFonts w:ascii="Calibri" w:hAnsi="Calibri" w:cs="Calibri"/>
                <w:color w:val="000000"/>
                <w:szCs w:val="22"/>
              </w:rPr>
            </w:pPr>
            <w:r>
              <w:rPr>
                <w:rFonts w:ascii="Calibri" w:hAnsi="Calibri" w:cs="Calibri"/>
                <w:color w:val="000000"/>
                <w:szCs w:val="22"/>
              </w:rPr>
              <w:t>12</w:t>
            </w:r>
          </w:p>
        </w:tc>
        <w:tc>
          <w:tcPr>
            <w:tcW w:w="1001" w:type="dxa"/>
            <w:tcBorders>
              <w:top w:val="nil"/>
              <w:left w:val="nil"/>
              <w:bottom w:val="single" w:sz="4" w:space="0" w:color="auto"/>
              <w:right w:val="single" w:sz="4" w:space="0" w:color="auto"/>
            </w:tcBorders>
            <w:shd w:val="clear" w:color="auto" w:fill="auto"/>
            <w:noWrap/>
            <w:vAlign w:val="bottom"/>
            <w:hideMark/>
          </w:tcPr>
          <w:p w14:paraId="227C6DDC" w14:textId="14186C07" w:rsidR="00316969" w:rsidRPr="006367AA" w:rsidRDefault="00316969" w:rsidP="00316969">
            <w:pPr>
              <w:jc w:val="right"/>
              <w:rPr>
                <w:rFonts w:ascii="Calibri" w:hAnsi="Calibri" w:cs="Calibri"/>
                <w:color w:val="000000"/>
                <w:szCs w:val="22"/>
              </w:rPr>
            </w:pPr>
            <w:r>
              <w:rPr>
                <w:rFonts w:ascii="Calibri" w:hAnsi="Calibri" w:cs="Calibri"/>
                <w:color w:val="000000"/>
                <w:szCs w:val="22"/>
              </w:rPr>
              <w:t>24</w:t>
            </w:r>
          </w:p>
        </w:tc>
        <w:tc>
          <w:tcPr>
            <w:tcW w:w="1001" w:type="dxa"/>
            <w:tcBorders>
              <w:top w:val="nil"/>
              <w:left w:val="nil"/>
              <w:bottom w:val="single" w:sz="4" w:space="0" w:color="auto"/>
              <w:right w:val="single" w:sz="4" w:space="0" w:color="auto"/>
            </w:tcBorders>
            <w:shd w:val="clear" w:color="auto" w:fill="auto"/>
            <w:noWrap/>
            <w:vAlign w:val="bottom"/>
            <w:hideMark/>
          </w:tcPr>
          <w:p w14:paraId="1A8F4932" w14:textId="07F50DDB"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47" w:type="dxa"/>
            <w:tcBorders>
              <w:top w:val="nil"/>
              <w:left w:val="nil"/>
              <w:bottom w:val="single" w:sz="4" w:space="0" w:color="auto"/>
              <w:right w:val="single" w:sz="4" w:space="0" w:color="auto"/>
            </w:tcBorders>
            <w:shd w:val="clear" w:color="auto" w:fill="auto"/>
            <w:noWrap/>
            <w:vAlign w:val="bottom"/>
            <w:hideMark/>
          </w:tcPr>
          <w:p w14:paraId="05F7C674" w14:textId="5F213EB5"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93" w:type="dxa"/>
            <w:tcBorders>
              <w:top w:val="nil"/>
              <w:left w:val="nil"/>
              <w:bottom w:val="single" w:sz="4" w:space="0" w:color="auto"/>
              <w:right w:val="single" w:sz="4" w:space="0" w:color="auto"/>
            </w:tcBorders>
            <w:shd w:val="clear" w:color="auto" w:fill="auto"/>
            <w:noWrap/>
            <w:vAlign w:val="bottom"/>
            <w:hideMark/>
          </w:tcPr>
          <w:p w14:paraId="0D8507F7" w14:textId="196F8FC8" w:rsidR="00316969" w:rsidRPr="006367AA" w:rsidRDefault="00316969" w:rsidP="00316969">
            <w:pPr>
              <w:jc w:val="right"/>
              <w:rPr>
                <w:rFonts w:ascii="Calibri" w:hAnsi="Calibri" w:cs="Calibri"/>
                <w:color w:val="000000"/>
                <w:szCs w:val="22"/>
              </w:rPr>
            </w:pPr>
            <w:r>
              <w:rPr>
                <w:rFonts w:ascii="Calibri" w:hAnsi="Calibri" w:cs="Calibri"/>
                <w:color w:val="000000"/>
                <w:szCs w:val="22"/>
              </w:rPr>
              <w:t>47</w:t>
            </w:r>
          </w:p>
        </w:tc>
        <w:tc>
          <w:tcPr>
            <w:tcW w:w="1102" w:type="dxa"/>
            <w:tcBorders>
              <w:top w:val="nil"/>
              <w:left w:val="nil"/>
              <w:bottom w:val="single" w:sz="4" w:space="0" w:color="auto"/>
              <w:right w:val="single" w:sz="4" w:space="0" w:color="auto"/>
            </w:tcBorders>
            <w:shd w:val="clear" w:color="auto" w:fill="auto"/>
            <w:noWrap/>
            <w:vAlign w:val="bottom"/>
            <w:hideMark/>
          </w:tcPr>
          <w:p w14:paraId="438F4E92" w14:textId="67EB9FF4" w:rsidR="00316969" w:rsidRPr="006367AA" w:rsidRDefault="00316969" w:rsidP="00316969">
            <w:pPr>
              <w:jc w:val="right"/>
              <w:rPr>
                <w:rFonts w:ascii="Calibri" w:hAnsi="Calibri" w:cs="Calibri"/>
                <w:color w:val="000000"/>
                <w:szCs w:val="22"/>
              </w:rPr>
            </w:pPr>
            <w:r>
              <w:rPr>
                <w:rFonts w:ascii="Calibri" w:hAnsi="Calibri" w:cs="Calibri"/>
                <w:color w:val="000000"/>
                <w:szCs w:val="22"/>
              </w:rPr>
              <w:t>15</w:t>
            </w:r>
          </w:p>
        </w:tc>
        <w:tc>
          <w:tcPr>
            <w:tcW w:w="1148" w:type="dxa"/>
            <w:tcBorders>
              <w:top w:val="nil"/>
              <w:left w:val="nil"/>
              <w:bottom w:val="single" w:sz="4" w:space="0" w:color="auto"/>
              <w:right w:val="single" w:sz="4" w:space="0" w:color="auto"/>
            </w:tcBorders>
            <w:shd w:val="clear" w:color="auto" w:fill="auto"/>
            <w:noWrap/>
            <w:vAlign w:val="bottom"/>
            <w:hideMark/>
          </w:tcPr>
          <w:p w14:paraId="6BC60796" w14:textId="55644B9A"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r>
      <w:tr w:rsidR="00316969" w:rsidRPr="006367AA" w14:paraId="720EBDAE"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91A03E"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13</w:t>
            </w:r>
          </w:p>
        </w:tc>
        <w:tc>
          <w:tcPr>
            <w:tcW w:w="745" w:type="dxa"/>
            <w:tcBorders>
              <w:top w:val="nil"/>
              <w:left w:val="nil"/>
              <w:bottom w:val="single" w:sz="4" w:space="0" w:color="auto"/>
              <w:right w:val="single" w:sz="4" w:space="0" w:color="auto"/>
            </w:tcBorders>
            <w:shd w:val="clear" w:color="auto" w:fill="auto"/>
            <w:noWrap/>
            <w:vAlign w:val="bottom"/>
            <w:hideMark/>
          </w:tcPr>
          <w:p w14:paraId="0ABD3E99" w14:textId="6736FE0D"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2</w:t>
            </w:r>
            <w:r>
              <w:rPr>
                <w:rFonts w:ascii="Calibri" w:hAnsi="Calibri" w:cs="Calibri"/>
                <w:color w:val="000000"/>
                <w:szCs w:val="22"/>
              </w:rPr>
              <w:t>,</w:t>
            </w:r>
            <w:r w:rsidRPr="006367AA">
              <w:rPr>
                <w:rFonts w:ascii="Calibri" w:hAnsi="Calibri" w:cs="Calibri"/>
                <w:color w:val="000000"/>
                <w:szCs w:val="22"/>
              </w:rPr>
              <w:t>794</w:t>
            </w:r>
          </w:p>
        </w:tc>
        <w:tc>
          <w:tcPr>
            <w:tcW w:w="1098" w:type="dxa"/>
            <w:tcBorders>
              <w:top w:val="nil"/>
              <w:left w:val="nil"/>
              <w:bottom w:val="single" w:sz="4" w:space="0" w:color="auto"/>
              <w:right w:val="single" w:sz="4" w:space="0" w:color="auto"/>
            </w:tcBorders>
            <w:shd w:val="clear" w:color="auto" w:fill="auto"/>
            <w:noWrap/>
            <w:vAlign w:val="bottom"/>
            <w:hideMark/>
          </w:tcPr>
          <w:p w14:paraId="271D0950" w14:textId="03B5255F"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1FFB19CE" w14:textId="5767597E" w:rsidR="00316969" w:rsidRPr="006367AA" w:rsidRDefault="00316969" w:rsidP="00316969">
            <w:pPr>
              <w:jc w:val="right"/>
              <w:rPr>
                <w:rFonts w:ascii="Calibri" w:hAnsi="Calibri" w:cs="Calibri"/>
                <w:color w:val="000000"/>
                <w:szCs w:val="22"/>
              </w:rPr>
            </w:pPr>
            <w:r>
              <w:rPr>
                <w:rFonts w:ascii="Calibri" w:hAnsi="Calibri" w:cs="Calibri"/>
                <w:color w:val="000000"/>
                <w:szCs w:val="22"/>
              </w:rPr>
              <w:t>22</w:t>
            </w:r>
          </w:p>
        </w:tc>
        <w:tc>
          <w:tcPr>
            <w:tcW w:w="1001" w:type="dxa"/>
            <w:tcBorders>
              <w:top w:val="nil"/>
              <w:left w:val="nil"/>
              <w:bottom w:val="single" w:sz="4" w:space="0" w:color="auto"/>
              <w:right w:val="single" w:sz="4" w:space="0" w:color="auto"/>
            </w:tcBorders>
            <w:shd w:val="clear" w:color="auto" w:fill="auto"/>
            <w:noWrap/>
            <w:vAlign w:val="bottom"/>
            <w:hideMark/>
          </w:tcPr>
          <w:p w14:paraId="7F19C235" w14:textId="32E12884" w:rsidR="00316969" w:rsidRPr="006367AA" w:rsidRDefault="00316969" w:rsidP="00316969">
            <w:pPr>
              <w:jc w:val="right"/>
              <w:rPr>
                <w:rFonts w:ascii="Calibri" w:hAnsi="Calibri" w:cs="Calibri"/>
                <w:color w:val="000000"/>
                <w:szCs w:val="22"/>
              </w:rPr>
            </w:pPr>
            <w:r>
              <w:rPr>
                <w:rFonts w:ascii="Calibri" w:hAnsi="Calibri" w:cs="Calibri"/>
                <w:color w:val="000000"/>
                <w:szCs w:val="22"/>
              </w:rPr>
              <w:t>33</w:t>
            </w:r>
          </w:p>
        </w:tc>
        <w:tc>
          <w:tcPr>
            <w:tcW w:w="1147" w:type="dxa"/>
            <w:tcBorders>
              <w:top w:val="nil"/>
              <w:left w:val="nil"/>
              <w:bottom w:val="single" w:sz="4" w:space="0" w:color="auto"/>
              <w:right w:val="single" w:sz="4" w:space="0" w:color="auto"/>
            </w:tcBorders>
            <w:shd w:val="clear" w:color="auto" w:fill="auto"/>
            <w:noWrap/>
            <w:vAlign w:val="bottom"/>
            <w:hideMark/>
          </w:tcPr>
          <w:p w14:paraId="1A3C6B4F" w14:textId="02DC1F75" w:rsidR="00316969" w:rsidRPr="006367AA" w:rsidRDefault="00316969" w:rsidP="00316969">
            <w:pPr>
              <w:jc w:val="right"/>
              <w:rPr>
                <w:rFonts w:ascii="Calibri" w:hAnsi="Calibri" w:cs="Calibri"/>
                <w:color w:val="000000"/>
                <w:szCs w:val="22"/>
              </w:rPr>
            </w:pPr>
            <w:r>
              <w:rPr>
                <w:rFonts w:ascii="Calibri" w:hAnsi="Calibri" w:cs="Calibri"/>
                <w:color w:val="000000"/>
                <w:szCs w:val="22"/>
              </w:rPr>
              <w:t>35</w:t>
            </w:r>
          </w:p>
        </w:tc>
        <w:tc>
          <w:tcPr>
            <w:tcW w:w="1193" w:type="dxa"/>
            <w:tcBorders>
              <w:top w:val="nil"/>
              <w:left w:val="nil"/>
              <w:bottom w:val="single" w:sz="4" w:space="0" w:color="auto"/>
              <w:right w:val="single" w:sz="4" w:space="0" w:color="auto"/>
            </w:tcBorders>
            <w:shd w:val="clear" w:color="auto" w:fill="auto"/>
            <w:noWrap/>
            <w:vAlign w:val="bottom"/>
            <w:hideMark/>
          </w:tcPr>
          <w:p w14:paraId="1AED7983" w14:textId="51AF7444" w:rsidR="00316969" w:rsidRPr="006367AA" w:rsidRDefault="00316969" w:rsidP="00316969">
            <w:pPr>
              <w:jc w:val="right"/>
              <w:rPr>
                <w:rFonts w:ascii="Calibri" w:hAnsi="Calibri" w:cs="Calibri"/>
                <w:color w:val="000000"/>
                <w:szCs w:val="22"/>
              </w:rPr>
            </w:pPr>
            <w:r>
              <w:rPr>
                <w:rFonts w:ascii="Calibri" w:hAnsi="Calibri" w:cs="Calibri"/>
                <w:color w:val="000000"/>
                <w:szCs w:val="22"/>
              </w:rPr>
              <w:t>46</w:t>
            </w:r>
          </w:p>
        </w:tc>
        <w:tc>
          <w:tcPr>
            <w:tcW w:w="1102" w:type="dxa"/>
            <w:tcBorders>
              <w:top w:val="nil"/>
              <w:left w:val="nil"/>
              <w:bottom w:val="single" w:sz="4" w:space="0" w:color="auto"/>
              <w:right w:val="single" w:sz="4" w:space="0" w:color="auto"/>
            </w:tcBorders>
            <w:shd w:val="clear" w:color="auto" w:fill="auto"/>
            <w:noWrap/>
            <w:vAlign w:val="bottom"/>
            <w:hideMark/>
          </w:tcPr>
          <w:p w14:paraId="235B58D4" w14:textId="530C275A" w:rsidR="00316969" w:rsidRPr="006367AA" w:rsidRDefault="00316969" w:rsidP="00316969">
            <w:pPr>
              <w:jc w:val="right"/>
              <w:rPr>
                <w:rFonts w:ascii="Calibri" w:hAnsi="Calibri" w:cs="Calibri"/>
                <w:color w:val="000000"/>
                <w:szCs w:val="22"/>
              </w:rPr>
            </w:pPr>
            <w:r>
              <w:rPr>
                <w:rFonts w:ascii="Calibri" w:hAnsi="Calibri" w:cs="Calibri"/>
                <w:color w:val="000000"/>
                <w:szCs w:val="22"/>
              </w:rPr>
              <w:t>14</w:t>
            </w:r>
          </w:p>
        </w:tc>
        <w:tc>
          <w:tcPr>
            <w:tcW w:w="1148" w:type="dxa"/>
            <w:tcBorders>
              <w:top w:val="nil"/>
              <w:left w:val="nil"/>
              <w:bottom w:val="single" w:sz="4" w:space="0" w:color="auto"/>
              <w:right w:val="single" w:sz="4" w:space="0" w:color="auto"/>
            </w:tcBorders>
            <w:shd w:val="clear" w:color="auto" w:fill="auto"/>
            <w:noWrap/>
            <w:vAlign w:val="bottom"/>
            <w:hideMark/>
          </w:tcPr>
          <w:p w14:paraId="026B8660" w14:textId="144E7F97" w:rsidR="00316969" w:rsidRPr="006367AA" w:rsidRDefault="00316969" w:rsidP="00316969">
            <w:pPr>
              <w:jc w:val="right"/>
              <w:rPr>
                <w:rFonts w:ascii="Calibri" w:hAnsi="Calibri" w:cs="Calibri"/>
                <w:color w:val="000000"/>
                <w:szCs w:val="22"/>
              </w:rPr>
            </w:pPr>
            <w:r>
              <w:rPr>
                <w:rFonts w:ascii="Calibri" w:hAnsi="Calibri" w:cs="Calibri"/>
                <w:color w:val="000000"/>
                <w:szCs w:val="22"/>
              </w:rPr>
              <w:t>24</w:t>
            </w:r>
          </w:p>
        </w:tc>
      </w:tr>
      <w:tr w:rsidR="00316969" w:rsidRPr="006367AA" w14:paraId="420CF326"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8FADE1"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14</w:t>
            </w:r>
          </w:p>
        </w:tc>
        <w:tc>
          <w:tcPr>
            <w:tcW w:w="745" w:type="dxa"/>
            <w:tcBorders>
              <w:top w:val="nil"/>
              <w:left w:val="nil"/>
              <w:bottom w:val="single" w:sz="4" w:space="0" w:color="auto"/>
              <w:right w:val="single" w:sz="4" w:space="0" w:color="auto"/>
            </w:tcBorders>
            <w:shd w:val="clear" w:color="auto" w:fill="auto"/>
            <w:noWrap/>
            <w:vAlign w:val="bottom"/>
            <w:hideMark/>
          </w:tcPr>
          <w:p w14:paraId="350E7046" w14:textId="43BD272B"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3</w:t>
            </w:r>
            <w:r>
              <w:rPr>
                <w:rFonts w:ascii="Calibri" w:hAnsi="Calibri" w:cs="Calibri"/>
                <w:color w:val="000000"/>
                <w:szCs w:val="22"/>
              </w:rPr>
              <w:t>,</w:t>
            </w:r>
            <w:r w:rsidRPr="006367AA">
              <w:rPr>
                <w:rFonts w:ascii="Calibri" w:hAnsi="Calibri" w:cs="Calibri"/>
                <w:color w:val="000000"/>
                <w:szCs w:val="22"/>
              </w:rPr>
              <w:t>322</w:t>
            </w:r>
          </w:p>
        </w:tc>
        <w:tc>
          <w:tcPr>
            <w:tcW w:w="1098" w:type="dxa"/>
            <w:tcBorders>
              <w:top w:val="nil"/>
              <w:left w:val="nil"/>
              <w:bottom w:val="single" w:sz="4" w:space="0" w:color="auto"/>
              <w:right w:val="single" w:sz="4" w:space="0" w:color="auto"/>
            </w:tcBorders>
            <w:shd w:val="clear" w:color="auto" w:fill="auto"/>
            <w:noWrap/>
            <w:vAlign w:val="bottom"/>
            <w:hideMark/>
          </w:tcPr>
          <w:p w14:paraId="4828EEC4" w14:textId="228179CE"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001" w:type="dxa"/>
            <w:tcBorders>
              <w:top w:val="nil"/>
              <w:left w:val="nil"/>
              <w:bottom w:val="single" w:sz="4" w:space="0" w:color="auto"/>
              <w:right w:val="single" w:sz="4" w:space="0" w:color="auto"/>
            </w:tcBorders>
            <w:shd w:val="clear" w:color="auto" w:fill="auto"/>
            <w:noWrap/>
            <w:vAlign w:val="bottom"/>
            <w:hideMark/>
          </w:tcPr>
          <w:p w14:paraId="655CBFE6" w14:textId="5C2AA548"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c>
          <w:tcPr>
            <w:tcW w:w="1001" w:type="dxa"/>
            <w:tcBorders>
              <w:top w:val="nil"/>
              <w:left w:val="nil"/>
              <w:bottom w:val="single" w:sz="4" w:space="0" w:color="auto"/>
              <w:right w:val="single" w:sz="4" w:space="0" w:color="auto"/>
            </w:tcBorders>
            <w:shd w:val="clear" w:color="auto" w:fill="auto"/>
            <w:noWrap/>
            <w:vAlign w:val="bottom"/>
            <w:hideMark/>
          </w:tcPr>
          <w:p w14:paraId="323ACD92" w14:textId="6B13A600" w:rsidR="00316969" w:rsidRPr="006367AA" w:rsidRDefault="00316969" w:rsidP="00316969">
            <w:pPr>
              <w:jc w:val="right"/>
              <w:rPr>
                <w:rFonts w:ascii="Calibri" w:hAnsi="Calibri" w:cs="Calibri"/>
                <w:color w:val="000000"/>
                <w:szCs w:val="22"/>
              </w:rPr>
            </w:pPr>
            <w:r>
              <w:rPr>
                <w:rFonts w:ascii="Calibri" w:hAnsi="Calibri" w:cs="Calibri"/>
                <w:color w:val="000000"/>
                <w:szCs w:val="22"/>
              </w:rPr>
              <w:t>38</w:t>
            </w:r>
          </w:p>
        </w:tc>
        <w:tc>
          <w:tcPr>
            <w:tcW w:w="1147" w:type="dxa"/>
            <w:tcBorders>
              <w:top w:val="nil"/>
              <w:left w:val="nil"/>
              <w:bottom w:val="single" w:sz="4" w:space="0" w:color="auto"/>
              <w:right w:val="single" w:sz="4" w:space="0" w:color="auto"/>
            </w:tcBorders>
            <w:shd w:val="clear" w:color="auto" w:fill="auto"/>
            <w:noWrap/>
            <w:vAlign w:val="bottom"/>
            <w:hideMark/>
          </w:tcPr>
          <w:p w14:paraId="14ED2CEA" w14:textId="6BD44EF3" w:rsidR="00316969" w:rsidRPr="006367AA" w:rsidRDefault="00316969" w:rsidP="00316969">
            <w:pPr>
              <w:jc w:val="right"/>
              <w:rPr>
                <w:rFonts w:ascii="Calibri" w:hAnsi="Calibri" w:cs="Calibri"/>
                <w:color w:val="000000"/>
                <w:szCs w:val="22"/>
              </w:rPr>
            </w:pPr>
            <w:r>
              <w:rPr>
                <w:rFonts w:ascii="Calibri" w:hAnsi="Calibri" w:cs="Calibri"/>
                <w:color w:val="000000"/>
                <w:szCs w:val="22"/>
              </w:rPr>
              <w:t>38</w:t>
            </w:r>
          </w:p>
        </w:tc>
        <w:tc>
          <w:tcPr>
            <w:tcW w:w="1193" w:type="dxa"/>
            <w:tcBorders>
              <w:top w:val="nil"/>
              <w:left w:val="nil"/>
              <w:bottom w:val="single" w:sz="4" w:space="0" w:color="auto"/>
              <w:right w:val="single" w:sz="4" w:space="0" w:color="auto"/>
            </w:tcBorders>
            <w:shd w:val="clear" w:color="auto" w:fill="auto"/>
            <w:noWrap/>
            <w:vAlign w:val="bottom"/>
            <w:hideMark/>
          </w:tcPr>
          <w:p w14:paraId="69E0BC6F" w14:textId="4AE5B158" w:rsidR="00316969" w:rsidRPr="006367AA" w:rsidRDefault="00316969" w:rsidP="00316969">
            <w:pPr>
              <w:jc w:val="right"/>
              <w:rPr>
                <w:rFonts w:ascii="Calibri" w:hAnsi="Calibri" w:cs="Calibri"/>
                <w:color w:val="000000"/>
                <w:szCs w:val="22"/>
              </w:rPr>
            </w:pPr>
            <w:r>
              <w:rPr>
                <w:rFonts w:ascii="Calibri" w:hAnsi="Calibri" w:cs="Calibri"/>
                <w:color w:val="000000"/>
                <w:szCs w:val="22"/>
              </w:rPr>
              <w:t>50</w:t>
            </w:r>
          </w:p>
        </w:tc>
        <w:tc>
          <w:tcPr>
            <w:tcW w:w="1102" w:type="dxa"/>
            <w:tcBorders>
              <w:top w:val="nil"/>
              <w:left w:val="nil"/>
              <w:bottom w:val="single" w:sz="4" w:space="0" w:color="auto"/>
              <w:right w:val="single" w:sz="4" w:space="0" w:color="auto"/>
            </w:tcBorders>
            <w:shd w:val="clear" w:color="auto" w:fill="auto"/>
            <w:noWrap/>
            <w:vAlign w:val="bottom"/>
            <w:hideMark/>
          </w:tcPr>
          <w:p w14:paraId="6DA9EDB3" w14:textId="68D15A8D" w:rsidR="00316969" w:rsidRPr="006367AA" w:rsidRDefault="00316969" w:rsidP="00316969">
            <w:pPr>
              <w:jc w:val="right"/>
              <w:rPr>
                <w:rFonts w:ascii="Calibri" w:hAnsi="Calibri" w:cs="Calibri"/>
                <w:color w:val="000000"/>
                <w:szCs w:val="22"/>
              </w:rPr>
            </w:pPr>
            <w:r>
              <w:rPr>
                <w:rFonts w:ascii="Calibri" w:hAnsi="Calibri" w:cs="Calibri"/>
                <w:color w:val="000000"/>
                <w:szCs w:val="22"/>
              </w:rPr>
              <w:t>16</w:t>
            </w:r>
          </w:p>
        </w:tc>
        <w:tc>
          <w:tcPr>
            <w:tcW w:w="1148" w:type="dxa"/>
            <w:tcBorders>
              <w:top w:val="nil"/>
              <w:left w:val="nil"/>
              <w:bottom w:val="single" w:sz="4" w:space="0" w:color="auto"/>
              <w:right w:val="single" w:sz="4" w:space="0" w:color="auto"/>
            </w:tcBorders>
            <w:shd w:val="clear" w:color="auto" w:fill="auto"/>
            <w:noWrap/>
            <w:vAlign w:val="bottom"/>
            <w:hideMark/>
          </w:tcPr>
          <w:p w14:paraId="2B10E424" w14:textId="428BCE68" w:rsidR="00316969" w:rsidRPr="006367AA" w:rsidRDefault="00316969" w:rsidP="00316969">
            <w:pPr>
              <w:jc w:val="right"/>
              <w:rPr>
                <w:rFonts w:ascii="Calibri" w:hAnsi="Calibri" w:cs="Calibri"/>
                <w:color w:val="000000"/>
                <w:szCs w:val="22"/>
              </w:rPr>
            </w:pPr>
            <w:r>
              <w:rPr>
                <w:rFonts w:ascii="Calibri" w:hAnsi="Calibri" w:cs="Calibri"/>
                <w:color w:val="000000"/>
                <w:szCs w:val="22"/>
              </w:rPr>
              <w:t>28</w:t>
            </w:r>
          </w:p>
        </w:tc>
      </w:tr>
      <w:tr w:rsidR="00316969" w:rsidRPr="006367AA" w14:paraId="2ED82A73"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D8C9E2"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15</w:t>
            </w:r>
          </w:p>
        </w:tc>
        <w:tc>
          <w:tcPr>
            <w:tcW w:w="745" w:type="dxa"/>
            <w:tcBorders>
              <w:top w:val="nil"/>
              <w:left w:val="nil"/>
              <w:bottom w:val="single" w:sz="4" w:space="0" w:color="auto"/>
              <w:right w:val="single" w:sz="4" w:space="0" w:color="auto"/>
            </w:tcBorders>
            <w:shd w:val="clear" w:color="auto" w:fill="auto"/>
            <w:noWrap/>
            <w:vAlign w:val="bottom"/>
            <w:hideMark/>
          </w:tcPr>
          <w:p w14:paraId="68C584BE" w14:textId="4A946C6B"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w:t>
            </w:r>
            <w:r>
              <w:rPr>
                <w:rFonts w:ascii="Calibri" w:hAnsi="Calibri" w:cs="Calibri"/>
                <w:color w:val="000000"/>
                <w:szCs w:val="22"/>
              </w:rPr>
              <w:t>,</w:t>
            </w:r>
            <w:r w:rsidRPr="006367AA">
              <w:rPr>
                <w:rFonts w:ascii="Calibri" w:hAnsi="Calibri" w:cs="Calibri"/>
                <w:color w:val="000000"/>
                <w:szCs w:val="22"/>
              </w:rPr>
              <w:t>102</w:t>
            </w:r>
          </w:p>
        </w:tc>
        <w:tc>
          <w:tcPr>
            <w:tcW w:w="1098" w:type="dxa"/>
            <w:tcBorders>
              <w:top w:val="nil"/>
              <w:left w:val="nil"/>
              <w:bottom w:val="single" w:sz="4" w:space="0" w:color="auto"/>
              <w:right w:val="single" w:sz="4" w:space="0" w:color="auto"/>
            </w:tcBorders>
            <w:shd w:val="clear" w:color="auto" w:fill="auto"/>
            <w:noWrap/>
            <w:vAlign w:val="bottom"/>
            <w:hideMark/>
          </w:tcPr>
          <w:p w14:paraId="3018991A" w14:textId="087A36F0" w:rsidR="00316969" w:rsidRPr="006367AA" w:rsidRDefault="00316969" w:rsidP="00316969">
            <w:pPr>
              <w:jc w:val="right"/>
              <w:rPr>
                <w:rFonts w:ascii="Calibri" w:hAnsi="Calibri" w:cs="Calibri"/>
                <w:color w:val="000000"/>
                <w:szCs w:val="22"/>
              </w:rPr>
            </w:pPr>
            <w:r>
              <w:rPr>
                <w:rFonts w:ascii="Calibri" w:hAnsi="Calibri" w:cs="Calibri"/>
                <w:color w:val="000000"/>
                <w:szCs w:val="22"/>
              </w:rPr>
              <w:t>17</w:t>
            </w:r>
          </w:p>
        </w:tc>
        <w:tc>
          <w:tcPr>
            <w:tcW w:w="1001" w:type="dxa"/>
            <w:tcBorders>
              <w:top w:val="nil"/>
              <w:left w:val="nil"/>
              <w:bottom w:val="single" w:sz="4" w:space="0" w:color="auto"/>
              <w:right w:val="single" w:sz="4" w:space="0" w:color="auto"/>
            </w:tcBorders>
            <w:shd w:val="clear" w:color="auto" w:fill="auto"/>
            <w:noWrap/>
            <w:vAlign w:val="bottom"/>
            <w:hideMark/>
          </w:tcPr>
          <w:p w14:paraId="3AB63C4F" w14:textId="539A4FC8" w:rsidR="00316969" w:rsidRPr="006367AA" w:rsidRDefault="00316969" w:rsidP="00316969">
            <w:pPr>
              <w:jc w:val="right"/>
              <w:rPr>
                <w:rFonts w:ascii="Calibri" w:hAnsi="Calibri" w:cs="Calibri"/>
                <w:color w:val="000000"/>
                <w:szCs w:val="22"/>
              </w:rPr>
            </w:pPr>
            <w:r>
              <w:rPr>
                <w:rFonts w:ascii="Calibri" w:hAnsi="Calibri" w:cs="Calibri"/>
                <w:color w:val="000000"/>
                <w:szCs w:val="22"/>
              </w:rPr>
              <w:t>9</w:t>
            </w:r>
          </w:p>
        </w:tc>
        <w:tc>
          <w:tcPr>
            <w:tcW w:w="1001" w:type="dxa"/>
            <w:tcBorders>
              <w:top w:val="nil"/>
              <w:left w:val="nil"/>
              <w:bottom w:val="single" w:sz="4" w:space="0" w:color="auto"/>
              <w:right w:val="single" w:sz="4" w:space="0" w:color="auto"/>
            </w:tcBorders>
            <w:shd w:val="clear" w:color="auto" w:fill="auto"/>
            <w:noWrap/>
            <w:vAlign w:val="bottom"/>
            <w:hideMark/>
          </w:tcPr>
          <w:p w14:paraId="7C346F93" w14:textId="61F38724" w:rsidR="00316969" w:rsidRPr="006367AA" w:rsidRDefault="00316969" w:rsidP="00316969">
            <w:pPr>
              <w:jc w:val="right"/>
              <w:rPr>
                <w:rFonts w:ascii="Calibri" w:hAnsi="Calibri" w:cs="Calibri"/>
                <w:color w:val="000000"/>
                <w:szCs w:val="22"/>
              </w:rPr>
            </w:pPr>
            <w:r>
              <w:rPr>
                <w:rFonts w:ascii="Calibri" w:hAnsi="Calibri" w:cs="Calibri"/>
                <w:color w:val="000000"/>
                <w:szCs w:val="22"/>
              </w:rPr>
              <w:t>13</w:t>
            </w:r>
          </w:p>
        </w:tc>
        <w:tc>
          <w:tcPr>
            <w:tcW w:w="1147" w:type="dxa"/>
            <w:tcBorders>
              <w:top w:val="nil"/>
              <w:left w:val="nil"/>
              <w:bottom w:val="single" w:sz="4" w:space="0" w:color="auto"/>
              <w:right w:val="single" w:sz="4" w:space="0" w:color="auto"/>
            </w:tcBorders>
            <w:shd w:val="clear" w:color="auto" w:fill="auto"/>
            <w:noWrap/>
            <w:vAlign w:val="bottom"/>
            <w:hideMark/>
          </w:tcPr>
          <w:p w14:paraId="02A9422F" w14:textId="569467F6" w:rsidR="00316969" w:rsidRPr="006367AA" w:rsidRDefault="00316969" w:rsidP="00316969">
            <w:pPr>
              <w:jc w:val="right"/>
              <w:rPr>
                <w:rFonts w:ascii="Calibri" w:hAnsi="Calibri" w:cs="Calibri"/>
                <w:color w:val="000000"/>
                <w:szCs w:val="22"/>
              </w:rPr>
            </w:pPr>
            <w:r>
              <w:rPr>
                <w:rFonts w:ascii="Calibri" w:hAnsi="Calibri" w:cs="Calibri"/>
                <w:color w:val="000000"/>
                <w:szCs w:val="22"/>
              </w:rPr>
              <w:t>26</w:t>
            </w:r>
          </w:p>
        </w:tc>
        <w:tc>
          <w:tcPr>
            <w:tcW w:w="1193" w:type="dxa"/>
            <w:tcBorders>
              <w:top w:val="nil"/>
              <w:left w:val="nil"/>
              <w:bottom w:val="single" w:sz="4" w:space="0" w:color="auto"/>
              <w:right w:val="single" w:sz="4" w:space="0" w:color="auto"/>
            </w:tcBorders>
            <w:shd w:val="clear" w:color="auto" w:fill="auto"/>
            <w:noWrap/>
            <w:vAlign w:val="bottom"/>
            <w:hideMark/>
          </w:tcPr>
          <w:p w14:paraId="325CA837" w14:textId="16653A30" w:rsidR="00316969" w:rsidRPr="006367AA" w:rsidRDefault="00316969" w:rsidP="00316969">
            <w:pPr>
              <w:jc w:val="right"/>
              <w:rPr>
                <w:rFonts w:ascii="Calibri" w:hAnsi="Calibri" w:cs="Calibri"/>
                <w:color w:val="000000"/>
                <w:szCs w:val="22"/>
              </w:rPr>
            </w:pPr>
            <w:r>
              <w:rPr>
                <w:rFonts w:ascii="Calibri" w:hAnsi="Calibri" w:cs="Calibri"/>
                <w:color w:val="000000"/>
                <w:szCs w:val="22"/>
              </w:rPr>
              <w:t>31</w:t>
            </w:r>
          </w:p>
        </w:tc>
        <w:tc>
          <w:tcPr>
            <w:tcW w:w="1102" w:type="dxa"/>
            <w:tcBorders>
              <w:top w:val="nil"/>
              <w:left w:val="nil"/>
              <w:bottom w:val="single" w:sz="4" w:space="0" w:color="auto"/>
              <w:right w:val="single" w:sz="4" w:space="0" w:color="auto"/>
            </w:tcBorders>
            <w:shd w:val="clear" w:color="auto" w:fill="auto"/>
            <w:noWrap/>
            <w:vAlign w:val="bottom"/>
            <w:hideMark/>
          </w:tcPr>
          <w:p w14:paraId="27AE2717" w14:textId="4475F38B" w:rsidR="00316969" w:rsidRPr="006367AA" w:rsidRDefault="00316969" w:rsidP="00316969">
            <w:pPr>
              <w:jc w:val="right"/>
              <w:rPr>
                <w:rFonts w:ascii="Calibri" w:hAnsi="Calibri" w:cs="Calibri"/>
                <w:color w:val="000000"/>
                <w:szCs w:val="22"/>
              </w:rPr>
            </w:pPr>
            <w:r>
              <w:rPr>
                <w:rFonts w:ascii="Calibri" w:hAnsi="Calibri" w:cs="Calibri"/>
                <w:color w:val="000000"/>
                <w:szCs w:val="22"/>
              </w:rPr>
              <w:t>6</w:t>
            </w:r>
          </w:p>
        </w:tc>
        <w:tc>
          <w:tcPr>
            <w:tcW w:w="1148" w:type="dxa"/>
            <w:tcBorders>
              <w:top w:val="nil"/>
              <w:left w:val="nil"/>
              <w:bottom w:val="single" w:sz="4" w:space="0" w:color="auto"/>
              <w:right w:val="single" w:sz="4" w:space="0" w:color="auto"/>
            </w:tcBorders>
            <w:shd w:val="clear" w:color="auto" w:fill="auto"/>
            <w:noWrap/>
            <w:vAlign w:val="bottom"/>
            <w:hideMark/>
          </w:tcPr>
          <w:p w14:paraId="5F1E776B" w14:textId="7C0CE67F"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r>
      <w:tr w:rsidR="00316969" w:rsidRPr="006367AA" w14:paraId="2B5F97F6" w14:textId="77777777" w:rsidTr="00752CC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E14ACE" w14:textId="77777777"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16</w:t>
            </w:r>
          </w:p>
        </w:tc>
        <w:tc>
          <w:tcPr>
            <w:tcW w:w="745" w:type="dxa"/>
            <w:tcBorders>
              <w:top w:val="nil"/>
              <w:left w:val="nil"/>
              <w:bottom w:val="single" w:sz="4" w:space="0" w:color="auto"/>
              <w:right w:val="single" w:sz="4" w:space="0" w:color="auto"/>
            </w:tcBorders>
            <w:shd w:val="clear" w:color="auto" w:fill="auto"/>
            <w:noWrap/>
            <w:vAlign w:val="bottom"/>
            <w:hideMark/>
          </w:tcPr>
          <w:p w14:paraId="1EFF9030" w14:textId="3B102FDF" w:rsidR="00316969" w:rsidRPr="006367AA" w:rsidRDefault="00316969" w:rsidP="00316969">
            <w:pPr>
              <w:jc w:val="right"/>
              <w:rPr>
                <w:rFonts w:ascii="Calibri" w:hAnsi="Calibri" w:cs="Calibri"/>
                <w:color w:val="000000"/>
                <w:szCs w:val="22"/>
              </w:rPr>
            </w:pPr>
            <w:r w:rsidRPr="006367AA">
              <w:rPr>
                <w:rFonts w:ascii="Calibri" w:hAnsi="Calibri" w:cs="Calibri"/>
                <w:color w:val="000000"/>
                <w:szCs w:val="22"/>
              </w:rPr>
              <w:t>5</w:t>
            </w:r>
            <w:r>
              <w:rPr>
                <w:rFonts w:ascii="Calibri" w:hAnsi="Calibri" w:cs="Calibri"/>
                <w:color w:val="000000"/>
                <w:szCs w:val="22"/>
              </w:rPr>
              <w:t>,</w:t>
            </w:r>
            <w:r w:rsidRPr="006367AA">
              <w:rPr>
                <w:rFonts w:ascii="Calibri" w:hAnsi="Calibri" w:cs="Calibri"/>
                <w:color w:val="000000"/>
                <w:szCs w:val="22"/>
              </w:rPr>
              <w:t>578</w:t>
            </w:r>
          </w:p>
        </w:tc>
        <w:tc>
          <w:tcPr>
            <w:tcW w:w="1098" w:type="dxa"/>
            <w:tcBorders>
              <w:top w:val="nil"/>
              <w:left w:val="nil"/>
              <w:bottom w:val="single" w:sz="4" w:space="0" w:color="auto"/>
              <w:right w:val="single" w:sz="4" w:space="0" w:color="auto"/>
            </w:tcBorders>
            <w:shd w:val="clear" w:color="auto" w:fill="auto"/>
            <w:noWrap/>
            <w:vAlign w:val="bottom"/>
            <w:hideMark/>
          </w:tcPr>
          <w:p w14:paraId="5B47CF03" w14:textId="15F38F86" w:rsidR="00316969" w:rsidRPr="006367AA" w:rsidRDefault="00316969" w:rsidP="00316969">
            <w:pPr>
              <w:jc w:val="right"/>
              <w:rPr>
                <w:rFonts w:ascii="Calibri" w:hAnsi="Calibri" w:cs="Calibri"/>
                <w:color w:val="000000"/>
                <w:szCs w:val="22"/>
              </w:rPr>
            </w:pPr>
            <w:r>
              <w:rPr>
                <w:rFonts w:ascii="Calibri" w:hAnsi="Calibri" w:cs="Calibri"/>
                <w:color w:val="000000"/>
                <w:szCs w:val="22"/>
              </w:rPr>
              <w:t>10</w:t>
            </w:r>
          </w:p>
        </w:tc>
        <w:tc>
          <w:tcPr>
            <w:tcW w:w="1001" w:type="dxa"/>
            <w:tcBorders>
              <w:top w:val="nil"/>
              <w:left w:val="nil"/>
              <w:bottom w:val="single" w:sz="4" w:space="0" w:color="auto"/>
              <w:right w:val="single" w:sz="4" w:space="0" w:color="auto"/>
            </w:tcBorders>
            <w:shd w:val="clear" w:color="auto" w:fill="auto"/>
            <w:noWrap/>
            <w:vAlign w:val="bottom"/>
            <w:hideMark/>
          </w:tcPr>
          <w:p w14:paraId="6CDD8C97" w14:textId="3BD5C50C" w:rsidR="00316969" w:rsidRPr="006367AA" w:rsidRDefault="00316969" w:rsidP="00316969">
            <w:pPr>
              <w:jc w:val="right"/>
              <w:rPr>
                <w:rFonts w:ascii="Calibri" w:hAnsi="Calibri" w:cs="Calibri"/>
                <w:color w:val="000000"/>
                <w:szCs w:val="22"/>
              </w:rPr>
            </w:pPr>
            <w:r>
              <w:rPr>
                <w:rFonts w:ascii="Calibri" w:hAnsi="Calibri" w:cs="Calibri"/>
                <w:color w:val="000000"/>
                <w:szCs w:val="22"/>
              </w:rPr>
              <w:t>43</w:t>
            </w:r>
          </w:p>
        </w:tc>
        <w:tc>
          <w:tcPr>
            <w:tcW w:w="1001" w:type="dxa"/>
            <w:tcBorders>
              <w:top w:val="nil"/>
              <w:left w:val="nil"/>
              <w:bottom w:val="single" w:sz="4" w:space="0" w:color="auto"/>
              <w:right w:val="single" w:sz="4" w:space="0" w:color="auto"/>
            </w:tcBorders>
            <w:shd w:val="clear" w:color="auto" w:fill="auto"/>
            <w:noWrap/>
            <w:vAlign w:val="bottom"/>
            <w:hideMark/>
          </w:tcPr>
          <w:p w14:paraId="0A676948" w14:textId="12F52E23" w:rsidR="00316969" w:rsidRPr="006367AA" w:rsidRDefault="00316969" w:rsidP="00316969">
            <w:pPr>
              <w:jc w:val="right"/>
              <w:rPr>
                <w:rFonts w:ascii="Calibri" w:hAnsi="Calibri" w:cs="Calibri"/>
                <w:color w:val="000000"/>
                <w:szCs w:val="22"/>
              </w:rPr>
            </w:pPr>
            <w:r>
              <w:rPr>
                <w:rFonts w:ascii="Calibri" w:hAnsi="Calibri" w:cs="Calibri"/>
                <w:color w:val="000000"/>
                <w:szCs w:val="22"/>
              </w:rPr>
              <w:t>63</w:t>
            </w:r>
          </w:p>
        </w:tc>
        <w:tc>
          <w:tcPr>
            <w:tcW w:w="1147" w:type="dxa"/>
            <w:tcBorders>
              <w:top w:val="nil"/>
              <w:left w:val="nil"/>
              <w:bottom w:val="single" w:sz="4" w:space="0" w:color="auto"/>
              <w:right w:val="single" w:sz="4" w:space="0" w:color="auto"/>
            </w:tcBorders>
            <w:shd w:val="clear" w:color="auto" w:fill="auto"/>
            <w:noWrap/>
            <w:vAlign w:val="bottom"/>
            <w:hideMark/>
          </w:tcPr>
          <w:p w14:paraId="3C3E9C57" w14:textId="62F7A0D9" w:rsidR="00316969" w:rsidRPr="006367AA" w:rsidRDefault="00316969" w:rsidP="00316969">
            <w:pPr>
              <w:jc w:val="right"/>
              <w:rPr>
                <w:rFonts w:ascii="Calibri" w:hAnsi="Calibri" w:cs="Calibri"/>
                <w:color w:val="000000"/>
                <w:szCs w:val="22"/>
              </w:rPr>
            </w:pPr>
            <w:r>
              <w:rPr>
                <w:rFonts w:ascii="Calibri" w:hAnsi="Calibri" w:cs="Calibri"/>
                <w:color w:val="000000"/>
                <w:szCs w:val="22"/>
              </w:rPr>
              <w:t>52</w:t>
            </w:r>
          </w:p>
        </w:tc>
        <w:tc>
          <w:tcPr>
            <w:tcW w:w="1193" w:type="dxa"/>
            <w:tcBorders>
              <w:top w:val="nil"/>
              <w:left w:val="nil"/>
              <w:bottom w:val="single" w:sz="4" w:space="0" w:color="auto"/>
              <w:right w:val="single" w:sz="4" w:space="0" w:color="auto"/>
            </w:tcBorders>
            <w:shd w:val="clear" w:color="auto" w:fill="auto"/>
            <w:noWrap/>
            <w:vAlign w:val="bottom"/>
            <w:hideMark/>
          </w:tcPr>
          <w:p w14:paraId="49007D63" w14:textId="50E27E25" w:rsidR="00316969" w:rsidRPr="006367AA" w:rsidRDefault="00316969" w:rsidP="00316969">
            <w:pPr>
              <w:jc w:val="right"/>
              <w:rPr>
                <w:rFonts w:ascii="Calibri" w:hAnsi="Calibri" w:cs="Calibri"/>
                <w:color w:val="000000"/>
                <w:szCs w:val="22"/>
              </w:rPr>
            </w:pPr>
            <w:r>
              <w:rPr>
                <w:rFonts w:ascii="Calibri" w:hAnsi="Calibri" w:cs="Calibri"/>
                <w:color w:val="000000"/>
                <w:szCs w:val="22"/>
              </w:rPr>
              <w:t>73</w:t>
            </w:r>
          </w:p>
        </w:tc>
        <w:tc>
          <w:tcPr>
            <w:tcW w:w="1102" w:type="dxa"/>
            <w:tcBorders>
              <w:top w:val="nil"/>
              <w:left w:val="nil"/>
              <w:bottom w:val="single" w:sz="4" w:space="0" w:color="auto"/>
              <w:right w:val="single" w:sz="4" w:space="0" w:color="auto"/>
            </w:tcBorders>
            <w:shd w:val="clear" w:color="auto" w:fill="auto"/>
            <w:noWrap/>
            <w:vAlign w:val="bottom"/>
            <w:hideMark/>
          </w:tcPr>
          <w:p w14:paraId="32D71941" w14:textId="1C0E3F10" w:rsidR="00316969" w:rsidRPr="006367AA" w:rsidRDefault="00316969" w:rsidP="00316969">
            <w:pPr>
              <w:jc w:val="right"/>
              <w:rPr>
                <w:rFonts w:ascii="Calibri" w:hAnsi="Calibri" w:cs="Calibri"/>
                <w:color w:val="000000"/>
                <w:szCs w:val="22"/>
              </w:rPr>
            </w:pPr>
            <w:r>
              <w:rPr>
                <w:rFonts w:ascii="Calibri" w:hAnsi="Calibri" w:cs="Calibri"/>
                <w:color w:val="000000"/>
                <w:szCs w:val="22"/>
              </w:rPr>
              <w:t>27</w:t>
            </w:r>
          </w:p>
        </w:tc>
        <w:tc>
          <w:tcPr>
            <w:tcW w:w="1148" w:type="dxa"/>
            <w:tcBorders>
              <w:top w:val="nil"/>
              <w:left w:val="nil"/>
              <w:bottom w:val="single" w:sz="4" w:space="0" w:color="auto"/>
              <w:right w:val="single" w:sz="4" w:space="0" w:color="auto"/>
            </w:tcBorders>
            <w:shd w:val="clear" w:color="auto" w:fill="auto"/>
            <w:noWrap/>
            <w:vAlign w:val="bottom"/>
            <w:hideMark/>
          </w:tcPr>
          <w:p w14:paraId="00F0A7BC" w14:textId="699618AF" w:rsidR="00316969" w:rsidRPr="006367AA" w:rsidRDefault="00316969" w:rsidP="00316969">
            <w:pPr>
              <w:jc w:val="right"/>
              <w:rPr>
                <w:rFonts w:ascii="Calibri" w:hAnsi="Calibri" w:cs="Calibri"/>
                <w:color w:val="000000"/>
                <w:szCs w:val="22"/>
              </w:rPr>
            </w:pPr>
            <w:r>
              <w:rPr>
                <w:rFonts w:ascii="Calibri" w:hAnsi="Calibri" w:cs="Calibri"/>
                <w:color w:val="000000"/>
                <w:szCs w:val="22"/>
              </w:rPr>
              <w:t>47</w:t>
            </w:r>
          </w:p>
        </w:tc>
      </w:tr>
      <w:bookmarkEnd w:id="23"/>
    </w:tbl>
    <w:p w14:paraId="5CF05416" w14:textId="77777777" w:rsidR="00663CD9" w:rsidRDefault="00663CD9" w:rsidP="00D23770">
      <w:pPr>
        <w:pStyle w:val="Reminders"/>
        <w:rPr>
          <w:rFonts w:asciiTheme="minorHAnsi" w:hAnsiTheme="minorHAnsi" w:cstheme="minorHAnsi"/>
          <w:i w:val="0"/>
          <w:szCs w:val="22"/>
        </w:rPr>
      </w:pPr>
    </w:p>
    <w:p w14:paraId="38DE98CA" w14:textId="77777777" w:rsidR="00E16609" w:rsidRPr="00500C4E" w:rsidRDefault="00E16609" w:rsidP="00E16609">
      <w:pPr>
        <w:pStyle w:val="Heading1"/>
        <w:keepNext w:val="0"/>
        <w:rPr>
          <w:rFonts w:cstheme="minorHAnsi"/>
        </w:rPr>
      </w:pPr>
      <w:bookmarkStart w:id="26"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6"/>
      <w:r w:rsidRPr="00500C4E">
        <w:rPr>
          <w:rFonts w:cstheme="minorHAnsi"/>
        </w:rPr>
        <w:t>s</w:t>
      </w:r>
    </w:p>
    <w:p w14:paraId="2386980E" w14:textId="0C3520C7" w:rsidR="002C212F" w:rsidRDefault="002C212F" w:rsidP="00E16609">
      <w:pPr>
        <w:rPr>
          <w:rFonts w:cstheme="minorHAnsi"/>
          <w:szCs w:val="22"/>
        </w:rPr>
      </w:pPr>
      <w:r>
        <w:rPr>
          <w:rFonts w:cstheme="minorHAnsi"/>
          <w:szCs w:val="22"/>
        </w:rPr>
        <w:t>The savings for this measure do not include any electric savings, as such, this workpaper does not identify a relevant load shape.</w:t>
      </w:r>
    </w:p>
    <w:p w14:paraId="35730EBF" w14:textId="77777777" w:rsidR="005552C3" w:rsidRDefault="00F95E2F" w:rsidP="00920905">
      <w:pPr>
        <w:pStyle w:val="Heading1"/>
      </w:pPr>
      <w:r>
        <w:t>Section 4. Costs</w:t>
      </w:r>
    </w:p>
    <w:p w14:paraId="5D1E3DE0" w14:textId="52EDB988" w:rsidR="007708B3" w:rsidRDefault="005C77D9" w:rsidP="005C77D9">
      <w:bookmarkStart w:id="27" w:name="_MON_1399297811"/>
      <w:bookmarkStart w:id="28" w:name="_Toc214003097"/>
      <w:bookmarkEnd w:id="27"/>
      <w:r>
        <w:t xml:space="preserve">To determine the base and measure case costs, retail prices were pulled from online retailers using web scraping </w:t>
      </w:r>
      <w:r w:rsidR="008C4347">
        <w:t>software</w:t>
      </w:r>
      <w:r>
        <w:t xml:space="preserve">. Retail cost information was found for 105 gas fireplaces currently on the market. Linear regressions were derived to estimate the retail costs of CPL and IPL ignition fireplaces separately. The regressions are dependent on FE values. The retail cost and regressions are displayed in </w:t>
      </w:r>
      <w:r>
        <w:fldChar w:fldCharType="begin"/>
      </w:r>
      <w:r>
        <w:instrText xml:space="preserve"> REF _Ref531940162 \h </w:instrText>
      </w:r>
      <w:r>
        <w:fldChar w:fldCharType="separate"/>
      </w:r>
      <w:r w:rsidR="000B78F6">
        <w:t xml:space="preserve">Figure </w:t>
      </w:r>
      <w:r w:rsidR="000B78F6">
        <w:rPr>
          <w:noProof/>
        </w:rPr>
        <w:t>5</w:t>
      </w:r>
      <w:r>
        <w:fldChar w:fldCharType="end"/>
      </w:r>
      <w:r w:rsidR="00D74ACA">
        <w:t xml:space="preserve">. Also displayed in </w:t>
      </w:r>
      <w:r w:rsidR="00D74ACA">
        <w:fldChar w:fldCharType="begin"/>
      </w:r>
      <w:r w:rsidR="00D74ACA">
        <w:instrText xml:space="preserve"> REF _Ref531940162 \h </w:instrText>
      </w:r>
      <w:r w:rsidR="00D74ACA">
        <w:fldChar w:fldCharType="separate"/>
      </w:r>
      <w:r w:rsidR="000B78F6">
        <w:t xml:space="preserve">Figure </w:t>
      </w:r>
      <w:r w:rsidR="000B78F6">
        <w:rPr>
          <w:noProof/>
        </w:rPr>
        <w:t>5</w:t>
      </w:r>
      <w:r w:rsidR="00D74ACA">
        <w:fldChar w:fldCharType="end"/>
      </w:r>
      <w:r>
        <w:t xml:space="preserve"> </w:t>
      </w:r>
      <w:r w:rsidR="00D74ACA">
        <w:t>are</w:t>
      </w:r>
      <w:r>
        <w:t xml:space="preserve"> the average retail cost for CPL and IPL ignition systems </w:t>
      </w:r>
      <w:r w:rsidR="00D74ACA">
        <w:t xml:space="preserve">and the retail cost versus FE values </w:t>
      </w:r>
      <w:r w:rsidR="001B7D21">
        <w:t xml:space="preserve">as published in the </w:t>
      </w:r>
      <w:r w:rsidR="00D74ACA">
        <w:t>ETO</w:t>
      </w:r>
      <w:r w:rsidR="001B7D21">
        <w:t xml:space="preserve"> vendor survey.</w:t>
      </w:r>
    </w:p>
    <w:p w14:paraId="51221915" w14:textId="242927A7" w:rsidR="007708B3" w:rsidRDefault="007708B3" w:rsidP="005C77D9"/>
    <w:p w14:paraId="16025928" w14:textId="498074EF" w:rsidR="005C77D9" w:rsidRDefault="000B78F6" w:rsidP="005C77D9">
      <w:pPr>
        <w:keepNext/>
      </w:pPr>
      <w:r>
        <w:rPr>
          <w:noProof/>
        </w:rPr>
        <w:lastRenderedPageBreak/>
        <w:drawing>
          <wp:inline distT="0" distB="0" distL="0" distR="0" wp14:anchorId="7E736A46" wp14:editId="42EE42AB">
            <wp:extent cx="5944235" cy="3035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3035935"/>
                    </a:xfrm>
                    <a:prstGeom prst="rect">
                      <a:avLst/>
                    </a:prstGeom>
                    <a:noFill/>
                  </pic:spPr>
                </pic:pic>
              </a:graphicData>
            </a:graphic>
          </wp:inline>
        </w:drawing>
      </w:r>
    </w:p>
    <w:p w14:paraId="59E2F028" w14:textId="5E906F18" w:rsidR="007708B3" w:rsidRDefault="005C77D9" w:rsidP="005C77D9">
      <w:pPr>
        <w:pStyle w:val="Caption"/>
      </w:pPr>
      <w:bookmarkStart w:id="29" w:name="_Ref531940162"/>
      <w:r>
        <w:t xml:space="preserve">Figure </w:t>
      </w:r>
      <w:fldSimple w:instr=" SEQ Figure \* ARABIC ">
        <w:r w:rsidR="000B78F6">
          <w:rPr>
            <w:noProof/>
          </w:rPr>
          <w:t>5</w:t>
        </w:r>
      </w:fldSimple>
      <w:bookmarkEnd w:id="29"/>
      <w:r>
        <w:t xml:space="preserve">: Web Scraped Retail Cost, Linear Regressions, and </w:t>
      </w:r>
      <w:r w:rsidR="00D74ACA">
        <w:t>ETO Published</w:t>
      </w:r>
      <w:r>
        <w:t xml:space="preserve"> Cost</w:t>
      </w:r>
      <w:r w:rsidR="00D74ACA">
        <w:t>s</w:t>
      </w:r>
    </w:p>
    <w:p w14:paraId="0A50FC2B" w14:textId="2EFFCDC9" w:rsidR="007708B3" w:rsidRDefault="007708B3" w:rsidP="005C77D9"/>
    <w:p w14:paraId="7A504142" w14:textId="506933F3" w:rsidR="00ED245D" w:rsidRDefault="006776D6" w:rsidP="005C77D9">
      <w:r>
        <w:t xml:space="preserve">In the April 2010 DOE Final Rule, retail cost information was published. These costs when transferred to 2017$ are much lower than the retail costs shown in </w:t>
      </w:r>
      <w:r>
        <w:fldChar w:fldCharType="begin"/>
      </w:r>
      <w:r>
        <w:instrText xml:space="preserve"> REF _Ref531940162 \h </w:instrText>
      </w:r>
      <w:r>
        <w:fldChar w:fldCharType="separate"/>
      </w:r>
      <w:r w:rsidR="000B78F6">
        <w:t xml:space="preserve">Figure </w:t>
      </w:r>
      <w:r w:rsidR="000B78F6">
        <w:rPr>
          <w:noProof/>
        </w:rPr>
        <w:t>5</w:t>
      </w:r>
      <w:r>
        <w:fldChar w:fldCharType="end"/>
      </w:r>
      <w:r>
        <w:t>. Therefore, they were considered too out of date to be used.</w:t>
      </w:r>
    </w:p>
    <w:p w14:paraId="028F2B5C" w14:textId="5F5DDAB1" w:rsidR="00E16609" w:rsidRDefault="00E16609" w:rsidP="00824F1C">
      <w:pPr>
        <w:pStyle w:val="Heading2"/>
        <w:rPr>
          <w:rFonts w:asciiTheme="minorHAnsi" w:hAnsiTheme="minorHAnsi" w:cstheme="minorHAnsi"/>
        </w:rPr>
      </w:pPr>
      <w:r w:rsidRPr="00500C4E">
        <w:rPr>
          <w:rFonts w:asciiTheme="minorHAnsi" w:hAnsiTheme="minorHAnsi" w:cstheme="minorHAnsi"/>
        </w:rPr>
        <w:t>4.1 Base Case Cost</w:t>
      </w:r>
      <w:bookmarkEnd w:id="28"/>
    </w:p>
    <w:p w14:paraId="43B484FF" w14:textId="5FDE6B38" w:rsidR="00ED245D" w:rsidRPr="008C4347" w:rsidRDefault="00D44ED3" w:rsidP="00920905">
      <w:r w:rsidRPr="008C4347">
        <w:t>The base case for th</w:t>
      </w:r>
      <w:r w:rsidRPr="002C212F">
        <w:t xml:space="preserve">e </w:t>
      </w:r>
      <w:r w:rsidR="002C212F" w:rsidRPr="002C212F">
        <w:rPr>
          <w:rFonts w:cstheme="minorHAnsi"/>
          <w:szCs w:val="22"/>
        </w:rPr>
        <w:t xml:space="preserve">NR/NC </w:t>
      </w:r>
      <w:r w:rsidRPr="008C4347">
        <w:t>measure assumes IPL technology. The retail cost regression for IPL ignition systems is in line with both the ETO average cost of IPL fireplaces and the FE based retail cost values. Because the retail cost regression is in line with previously published ETO data, the regression is used to determine the measure case costs.</w:t>
      </w:r>
    </w:p>
    <w:p w14:paraId="0BD66F55" w14:textId="3C79B9D7" w:rsidR="00D44ED3" w:rsidRPr="008C4347" w:rsidRDefault="00D44ED3" w:rsidP="00920905"/>
    <w:p w14:paraId="24DB3C28" w14:textId="6C6BFA08" w:rsidR="00D44ED3" w:rsidRPr="008C4347" w:rsidRDefault="00D44ED3" w:rsidP="00920905">
      <w:r w:rsidRPr="008C4347">
        <w:t xml:space="preserve">The base case for the </w:t>
      </w:r>
      <w:r w:rsidR="002C212F">
        <w:t>AR</w:t>
      </w:r>
      <w:r w:rsidRPr="008C4347">
        <w:t xml:space="preserve"> measure assumes CPL technology. The retail cost regression is lower than both the ETO average cost of CPL fireplaces and the FE based retail cost values. ETO costs based on FE were used to determine the base case cost for the </w:t>
      </w:r>
      <w:r w:rsidR="002C212F">
        <w:t>AR</w:t>
      </w:r>
      <w:r w:rsidRPr="008C4347">
        <w:t xml:space="preserve"> measure. The ETO costs are more conservative and previously established.</w:t>
      </w:r>
    </w:p>
    <w:p w14:paraId="1ED82B0D" w14:textId="42DB9DD4" w:rsidR="00F81C56" w:rsidRPr="008C4347" w:rsidRDefault="00F81C56" w:rsidP="00920905"/>
    <w:p w14:paraId="1860C0D2" w14:textId="025C5B73" w:rsidR="00F81C56" w:rsidRDefault="00F81C56" w:rsidP="00F81C56">
      <w:r w:rsidRPr="008C4347">
        <w:t>DOE and ETO both publish installation cost data.  DOE states that the installation of fireplaces using CPL and IP</w:t>
      </w:r>
      <w:r w:rsidR="00AA2BE0">
        <w:t>L technology will cost $622</w:t>
      </w:r>
      <w:r w:rsidRPr="008C4347">
        <w:t xml:space="preserve"> and $7</w:t>
      </w:r>
      <w:r w:rsidR="00AA2BE0">
        <w:t>90</w:t>
      </w:r>
      <w:r w:rsidRPr="008C4347">
        <w:t xml:space="preserve">, respectively.  ETO states that the average installation cost for fireplaces is $920. This </w:t>
      </w:r>
      <w:r>
        <w:t xml:space="preserve">workpaper uses the ETO values because it is more representative </w:t>
      </w:r>
      <w:r w:rsidR="008C4347">
        <w:t xml:space="preserve">of </w:t>
      </w:r>
      <w:r>
        <w:t>the western US (DOE uses national average values in its calculations) and it is more recently published.</w:t>
      </w:r>
    </w:p>
    <w:p w14:paraId="33AAB3B4" w14:textId="7AFD3CA7" w:rsidR="00D44ED3" w:rsidRDefault="00D44ED3" w:rsidP="00920905">
      <w:pPr>
        <w:rPr>
          <w:color w:val="FF0000"/>
        </w:rPr>
      </w:pPr>
    </w:p>
    <w:p w14:paraId="3DAB7322" w14:textId="28351876" w:rsidR="00D44ED3" w:rsidRDefault="00D44ED3" w:rsidP="00D44ED3">
      <w:pPr>
        <w:pStyle w:val="Caption"/>
        <w:keepNext/>
      </w:pPr>
      <w:r>
        <w:t xml:space="preserve">Table </w:t>
      </w:r>
      <w:fldSimple w:instr=" SEQ Table \* ARABIC ">
        <w:r w:rsidR="000B78F6">
          <w:rPr>
            <w:noProof/>
          </w:rPr>
          <w:t>20</w:t>
        </w:r>
      </w:fldSimple>
      <w:r>
        <w:t xml:space="preserve">: Base Case Retail </w:t>
      </w:r>
      <w:r w:rsidR="00F81C56">
        <w:t xml:space="preserve">and Installation </w:t>
      </w:r>
      <w:r>
        <w:t>Costs</w:t>
      </w:r>
    </w:p>
    <w:tbl>
      <w:tblPr>
        <w:tblW w:w="9242" w:type="dxa"/>
        <w:tblInd w:w="113" w:type="dxa"/>
        <w:tblLayout w:type="fixed"/>
        <w:tblLook w:val="04A0" w:firstRow="1" w:lastRow="0" w:firstColumn="1" w:lastColumn="0" w:noHBand="0" w:noVBand="1"/>
      </w:tblPr>
      <w:tblGrid>
        <w:gridCol w:w="2310"/>
        <w:gridCol w:w="2311"/>
        <w:gridCol w:w="2310"/>
        <w:gridCol w:w="2311"/>
      </w:tblGrid>
      <w:tr w:rsidR="00F81C56" w:rsidRPr="00425F05" w14:paraId="0FBE1001" w14:textId="70477623" w:rsidTr="00AA2BE0">
        <w:trPr>
          <w:trHeight w:val="323"/>
        </w:trPr>
        <w:tc>
          <w:tcPr>
            <w:tcW w:w="2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A489013" w14:textId="77777777" w:rsidR="00F81C56" w:rsidRPr="00425F05" w:rsidRDefault="00F81C56" w:rsidP="00AA2BE0">
            <w:pPr>
              <w:keepNext/>
              <w:rPr>
                <w:rFonts w:ascii="Calibri" w:hAnsi="Calibri" w:cs="Calibri"/>
                <w:b/>
                <w:color w:val="000000"/>
                <w:sz w:val="20"/>
                <w:szCs w:val="22"/>
              </w:rPr>
            </w:pPr>
            <w:r w:rsidRPr="00425F05">
              <w:rPr>
                <w:rFonts w:ascii="Calibri" w:hAnsi="Calibri" w:cs="Calibri"/>
                <w:b/>
                <w:color w:val="000000"/>
                <w:sz w:val="20"/>
                <w:szCs w:val="22"/>
              </w:rPr>
              <w:t>Measure</w:t>
            </w:r>
          </w:p>
        </w:tc>
        <w:tc>
          <w:tcPr>
            <w:tcW w:w="23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CC0538" w14:textId="5A8A0E93" w:rsidR="00F81C56" w:rsidRPr="00425F05" w:rsidRDefault="008C4347" w:rsidP="00AA2BE0">
            <w:pPr>
              <w:keepNext/>
              <w:jc w:val="center"/>
              <w:rPr>
                <w:rFonts w:ascii="Calibri" w:hAnsi="Calibri" w:cs="Calibri"/>
                <w:b/>
                <w:color w:val="000000"/>
                <w:sz w:val="20"/>
                <w:szCs w:val="22"/>
              </w:rPr>
            </w:pPr>
            <w:r>
              <w:rPr>
                <w:rFonts w:ascii="Calibri" w:hAnsi="Calibri" w:cs="Calibri"/>
                <w:b/>
                <w:color w:val="000000"/>
                <w:sz w:val="20"/>
                <w:szCs w:val="22"/>
              </w:rPr>
              <w:t xml:space="preserve">Assumed </w:t>
            </w:r>
            <w:r w:rsidR="00F81C56" w:rsidRPr="00425F05">
              <w:rPr>
                <w:rFonts w:ascii="Calibri" w:hAnsi="Calibri" w:cs="Calibri"/>
                <w:b/>
                <w:color w:val="000000"/>
                <w:sz w:val="20"/>
                <w:szCs w:val="22"/>
              </w:rPr>
              <w:t>Baseline FE</w:t>
            </w:r>
            <w:r w:rsidR="00F81C56">
              <w:rPr>
                <w:rFonts w:ascii="Calibri" w:hAnsi="Calibri" w:cs="Calibri"/>
                <w:b/>
                <w:color w:val="000000"/>
                <w:sz w:val="20"/>
                <w:szCs w:val="22"/>
              </w:rPr>
              <w:t>, %</w:t>
            </w:r>
          </w:p>
        </w:tc>
        <w:tc>
          <w:tcPr>
            <w:tcW w:w="2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1618CD" w14:textId="3918EB68" w:rsidR="00F81C56" w:rsidRPr="00425F05" w:rsidRDefault="00F81C56" w:rsidP="00AA2BE0">
            <w:pPr>
              <w:keepNext/>
              <w:jc w:val="center"/>
              <w:rPr>
                <w:rFonts w:ascii="Calibri" w:hAnsi="Calibri" w:cs="Calibri"/>
                <w:b/>
                <w:color w:val="000000"/>
                <w:sz w:val="20"/>
                <w:szCs w:val="22"/>
              </w:rPr>
            </w:pPr>
            <w:r>
              <w:rPr>
                <w:rFonts w:ascii="Calibri" w:hAnsi="Calibri" w:cs="Calibri"/>
                <w:b/>
                <w:color w:val="000000"/>
                <w:sz w:val="20"/>
                <w:szCs w:val="22"/>
              </w:rPr>
              <w:t>Retail Cost, 2017$</w:t>
            </w:r>
          </w:p>
        </w:tc>
        <w:tc>
          <w:tcPr>
            <w:tcW w:w="23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C0159" w14:textId="5A4225C0" w:rsidR="00F81C56" w:rsidRDefault="00F81C56" w:rsidP="00AA2BE0">
            <w:pPr>
              <w:keepNext/>
              <w:jc w:val="center"/>
              <w:rPr>
                <w:rFonts w:ascii="Calibri" w:hAnsi="Calibri" w:cs="Calibri"/>
                <w:b/>
                <w:color w:val="000000"/>
                <w:sz w:val="20"/>
                <w:szCs w:val="22"/>
              </w:rPr>
            </w:pPr>
            <w:r w:rsidRPr="00F81C56">
              <w:rPr>
                <w:rFonts w:ascii="Calibri" w:hAnsi="Calibri" w:cs="Calibri"/>
                <w:b/>
                <w:color w:val="000000"/>
                <w:sz w:val="20"/>
                <w:szCs w:val="20"/>
              </w:rPr>
              <w:t>Installation Cost, 2017$</w:t>
            </w:r>
          </w:p>
        </w:tc>
      </w:tr>
      <w:tr w:rsidR="00F81C56" w:rsidRPr="00425F05" w14:paraId="54D42E5B" w14:textId="161C64B6" w:rsidTr="00AA2BE0">
        <w:trPr>
          <w:trHeight w:val="70"/>
        </w:trPr>
        <w:tc>
          <w:tcPr>
            <w:tcW w:w="2310" w:type="dxa"/>
            <w:tcBorders>
              <w:top w:val="nil"/>
              <w:left w:val="single" w:sz="4" w:space="0" w:color="auto"/>
              <w:bottom w:val="single" w:sz="4" w:space="0" w:color="auto"/>
              <w:right w:val="single" w:sz="4" w:space="0" w:color="auto"/>
            </w:tcBorders>
            <w:shd w:val="clear" w:color="auto" w:fill="auto"/>
            <w:noWrap/>
            <w:vAlign w:val="bottom"/>
          </w:tcPr>
          <w:p w14:paraId="235BB293" w14:textId="0563F8D3" w:rsidR="00F81C56" w:rsidRPr="002C212F" w:rsidRDefault="002C212F" w:rsidP="008C4347">
            <w:pPr>
              <w:keepNext/>
              <w:rPr>
                <w:rFonts w:ascii="Calibri" w:hAnsi="Calibri" w:cs="Calibri"/>
                <w:color w:val="000000"/>
                <w:sz w:val="20"/>
                <w:szCs w:val="20"/>
              </w:rPr>
            </w:pPr>
            <w:r w:rsidRPr="002C212F">
              <w:rPr>
                <w:rFonts w:cstheme="minorHAnsi"/>
                <w:sz w:val="20"/>
                <w:szCs w:val="20"/>
              </w:rPr>
              <w:t xml:space="preserve">NR/NC </w:t>
            </w:r>
          </w:p>
        </w:tc>
        <w:tc>
          <w:tcPr>
            <w:tcW w:w="2311" w:type="dxa"/>
            <w:tcBorders>
              <w:top w:val="nil"/>
              <w:left w:val="nil"/>
              <w:bottom w:val="single" w:sz="4" w:space="0" w:color="auto"/>
              <w:right w:val="single" w:sz="4" w:space="0" w:color="auto"/>
            </w:tcBorders>
            <w:shd w:val="clear" w:color="auto" w:fill="auto"/>
            <w:noWrap/>
            <w:vAlign w:val="center"/>
          </w:tcPr>
          <w:p w14:paraId="0FDE84E0" w14:textId="77777777" w:rsidR="00F81C56" w:rsidRPr="00425F05" w:rsidRDefault="00F81C56" w:rsidP="00AA2BE0">
            <w:pPr>
              <w:keepNext/>
              <w:jc w:val="center"/>
              <w:rPr>
                <w:rFonts w:ascii="Calibri" w:hAnsi="Calibri" w:cs="Calibri"/>
                <w:color w:val="000000"/>
                <w:sz w:val="20"/>
                <w:szCs w:val="22"/>
              </w:rPr>
            </w:pPr>
            <w:r w:rsidRPr="00425F05">
              <w:rPr>
                <w:rFonts w:ascii="Calibri" w:hAnsi="Calibri" w:cs="Calibri"/>
                <w:color w:val="000000"/>
                <w:sz w:val="20"/>
                <w:szCs w:val="22"/>
              </w:rPr>
              <w:t>64.6</w:t>
            </w:r>
          </w:p>
        </w:tc>
        <w:tc>
          <w:tcPr>
            <w:tcW w:w="2310" w:type="dxa"/>
            <w:tcBorders>
              <w:top w:val="single" w:sz="4" w:space="0" w:color="auto"/>
              <w:left w:val="nil"/>
              <w:bottom w:val="single" w:sz="4" w:space="0" w:color="auto"/>
              <w:right w:val="single" w:sz="4" w:space="0" w:color="auto"/>
            </w:tcBorders>
            <w:vAlign w:val="center"/>
          </w:tcPr>
          <w:p w14:paraId="609064A7" w14:textId="4E8B7945" w:rsidR="00F81C56" w:rsidRPr="00425F05" w:rsidRDefault="00F81C56" w:rsidP="00AA2BE0">
            <w:pPr>
              <w:keepNext/>
              <w:jc w:val="center"/>
              <w:rPr>
                <w:rFonts w:ascii="Calibri" w:hAnsi="Calibri" w:cs="Calibri"/>
                <w:color w:val="000000"/>
                <w:sz w:val="20"/>
                <w:szCs w:val="22"/>
              </w:rPr>
            </w:pPr>
            <w:r>
              <w:rPr>
                <w:rFonts w:ascii="Calibri" w:hAnsi="Calibri" w:cs="Calibri"/>
                <w:color w:val="000000"/>
                <w:sz w:val="20"/>
                <w:szCs w:val="20"/>
              </w:rPr>
              <w:t xml:space="preserve">$             </w:t>
            </w:r>
            <w:r w:rsidR="008C4347">
              <w:rPr>
                <w:rFonts w:ascii="Calibri" w:hAnsi="Calibri" w:cs="Calibri"/>
                <w:color w:val="000000"/>
                <w:sz w:val="20"/>
                <w:szCs w:val="20"/>
              </w:rPr>
              <w:t>2,815</w:t>
            </w:r>
          </w:p>
        </w:tc>
        <w:tc>
          <w:tcPr>
            <w:tcW w:w="2311" w:type="dxa"/>
            <w:tcBorders>
              <w:top w:val="single" w:sz="4" w:space="0" w:color="auto"/>
              <w:left w:val="nil"/>
              <w:bottom w:val="single" w:sz="4" w:space="0" w:color="auto"/>
              <w:right w:val="single" w:sz="4" w:space="0" w:color="auto"/>
            </w:tcBorders>
            <w:vAlign w:val="center"/>
          </w:tcPr>
          <w:p w14:paraId="5A50687E" w14:textId="674D6A20" w:rsidR="00F81C56" w:rsidRDefault="00AA2BE0" w:rsidP="00AA2BE0">
            <w:pPr>
              <w:keepNext/>
              <w:jc w:val="center"/>
              <w:rPr>
                <w:rFonts w:ascii="Calibri" w:hAnsi="Calibri" w:cs="Calibri"/>
                <w:color w:val="000000"/>
                <w:sz w:val="20"/>
                <w:szCs w:val="20"/>
              </w:rPr>
            </w:pPr>
            <w:r>
              <w:rPr>
                <w:rFonts w:ascii="Calibri" w:hAnsi="Calibri" w:cs="Calibri"/>
                <w:color w:val="000000"/>
                <w:sz w:val="20"/>
                <w:szCs w:val="20"/>
              </w:rPr>
              <w:t xml:space="preserve">$        </w:t>
            </w:r>
            <w:r w:rsidR="001425FB">
              <w:rPr>
                <w:rFonts w:ascii="Calibri" w:hAnsi="Calibri" w:cs="Calibri"/>
                <w:color w:val="000000"/>
                <w:sz w:val="20"/>
                <w:szCs w:val="20"/>
              </w:rPr>
              <w:t>976</w:t>
            </w:r>
          </w:p>
        </w:tc>
      </w:tr>
      <w:tr w:rsidR="00F81C56" w:rsidRPr="00425F05" w14:paraId="2BBC4334" w14:textId="59C58EF6" w:rsidTr="00AA2BE0">
        <w:trPr>
          <w:trHeight w:val="70"/>
        </w:trPr>
        <w:tc>
          <w:tcPr>
            <w:tcW w:w="2310" w:type="dxa"/>
            <w:tcBorders>
              <w:top w:val="nil"/>
              <w:left w:val="single" w:sz="4" w:space="0" w:color="auto"/>
              <w:bottom w:val="single" w:sz="4" w:space="0" w:color="auto"/>
              <w:right w:val="single" w:sz="4" w:space="0" w:color="auto"/>
            </w:tcBorders>
            <w:shd w:val="clear" w:color="auto" w:fill="auto"/>
            <w:noWrap/>
            <w:vAlign w:val="bottom"/>
          </w:tcPr>
          <w:p w14:paraId="6B03342B" w14:textId="1FED45AA" w:rsidR="00F81C56" w:rsidRDefault="002C212F" w:rsidP="00F81C56">
            <w:pPr>
              <w:rPr>
                <w:rFonts w:ascii="Calibri" w:hAnsi="Calibri" w:cs="Calibri"/>
                <w:color w:val="000000"/>
                <w:sz w:val="20"/>
                <w:szCs w:val="22"/>
              </w:rPr>
            </w:pPr>
            <w:r>
              <w:rPr>
                <w:rFonts w:ascii="Calibri" w:hAnsi="Calibri" w:cs="Calibri"/>
                <w:color w:val="000000"/>
                <w:sz w:val="20"/>
                <w:szCs w:val="22"/>
              </w:rPr>
              <w:t>AR</w:t>
            </w:r>
          </w:p>
        </w:tc>
        <w:tc>
          <w:tcPr>
            <w:tcW w:w="2311" w:type="dxa"/>
            <w:tcBorders>
              <w:top w:val="nil"/>
              <w:left w:val="nil"/>
              <w:bottom w:val="single" w:sz="4" w:space="0" w:color="auto"/>
              <w:right w:val="single" w:sz="4" w:space="0" w:color="auto"/>
            </w:tcBorders>
            <w:shd w:val="clear" w:color="auto" w:fill="auto"/>
            <w:noWrap/>
            <w:vAlign w:val="center"/>
          </w:tcPr>
          <w:p w14:paraId="74F55106" w14:textId="77777777" w:rsidR="00F81C56" w:rsidRPr="00425F05" w:rsidRDefault="00F81C56" w:rsidP="00AA2BE0">
            <w:pPr>
              <w:jc w:val="center"/>
              <w:rPr>
                <w:rFonts w:ascii="Calibri" w:hAnsi="Calibri" w:cs="Calibri"/>
                <w:color w:val="000000"/>
                <w:sz w:val="20"/>
                <w:szCs w:val="22"/>
              </w:rPr>
            </w:pPr>
            <w:r w:rsidRPr="00425F05">
              <w:rPr>
                <w:rFonts w:ascii="Calibri" w:hAnsi="Calibri" w:cs="Calibri"/>
                <w:color w:val="000000"/>
                <w:sz w:val="20"/>
                <w:szCs w:val="22"/>
              </w:rPr>
              <w:t>60.8</w:t>
            </w:r>
          </w:p>
        </w:tc>
        <w:tc>
          <w:tcPr>
            <w:tcW w:w="2310" w:type="dxa"/>
            <w:tcBorders>
              <w:top w:val="nil"/>
              <w:left w:val="nil"/>
              <w:bottom w:val="single" w:sz="4" w:space="0" w:color="auto"/>
              <w:right w:val="single" w:sz="4" w:space="0" w:color="auto"/>
            </w:tcBorders>
            <w:vAlign w:val="center"/>
          </w:tcPr>
          <w:p w14:paraId="238AF4E5" w14:textId="514AA7A8" w:rsidR="00F81C56" w:rsidRPr="00425F05" w:rsidRDefault="00F81C56" w:rsidP="00AA2BE0">
            <w:pPr>
              <w:jc w:val="center"/>
              <w:rPr>
                <w:rFonts w:ascii="Calibri" w:hAnsi="Calibri" w:cs="Calibri"/>
                <w:color w:val="000000"/>
                <w:sz w:val="20"/>
                <w:szCs w:val="22"/>
              </w:rPr>
            </w:pPr>
            <w:r>
              <w:rPr>
                <w:rFonts w:ascii="Calibri" w:hAnsi="Calibri" w:cs="Calibri"/>
                <w:color w:val="000000"/>
                <w:sz w:val="20"/>
                <w:szCs w:val="20"/>
              </w:rPr>
              <w:t xml:space="preserve">$             </w:t>
            </w:r>
            <w:r w:rsidR="008C4347">
              <w:rPr>
                <w:rFonts w:ascii="Calibri" w:hAnsi="Calibri" w:cs="Calibri"/>
                <w:color w:val="000000"/>
                <w:sz w:val="20"/>
                <w:szCs w:val="20"/>
              </w:rPr>
              <w:t>2,382</w:t>
            </w:r>
          </w:p>
        </w:tc>
        <w:tc>
          <w:tcPr>
            <w:tcW w:w="2311" w:type="dxa"/>
            <w:tcBorders>
              <w:top w:val="nil"/>
              <w:left w:val="nil"/>
              <w:bottom w:val="single" w:sz="4" w:space="0" w:color="auto"/>
              <w:right w:val="single" w:sz="4" w:space="0" w:color="auto"/>
            </w:tcBorders>
            <w:vAlign w:val="center"/>
          </w:tcPr>
          <w:p w14:paraId="0B0A6C28" w14:textId="6C963DC8" w:rsidR="00F81C56" w:rsidRDefault="00AA2BE0" w:rsidP="00AA2BE0">
            <w:pPr>
              <w:jc w:val="center"/>
              <w:rPr>
                <w:rFonts w:ascii="Calibri" w:hAnsi="Calibri" w:cs="Calibri"/>
                <w:color w:val="000000"/>
                <w:sz w:val="20"/>
                <w:szCs w:val="20"/>
              </w:rPr>
            </w:pPr>
            <w:r>
              <w:rPr>
                <w:rFonts w:ascii="Calibri" w:hAnsi="Calibri" w:cs="Calibri"/>
                <w:color w:val="000000"/>
                <w:sz w:val="20"/>
                <w:szCs w:val="20"/>
              </w:rPr>
              <w:t xml:space="preserve">$        </w:t>
            </w:r>
            <w:r w:rsidR="001425FB">
              <w:rPr>
                <w:rFonts w:ascii="Calibri" w:hAnsi="Calibri" w:cs="Calibri"/>
                <w:color w:val="000000"/>
                <w:sz w:val="20"/>
                <w:szCs w:val="20"/>
              </w:rPr>
              <w:t>976</w:t>
            </w:r>
          </w:p>
        </w:tc>
      </w:tr>
    </w:tbl>
    <w:p w14:paraId="1076D7FC" w14:textId="20D8FC5B" w:rsidR="00ED245D" w:rsidRPr="00920905" w:rsidRDefault="00ED245D" w:rsidP="00920905">
      <w:pPr>
        <w:rPr>
          <w:color w:val="FF0000"/>
        </w:rPr>
      </w:pPr>
    </w:p>
    <w:p w14:paraId="2C471944" w14:textId="77777777" w:rsidR="005A0E53" w:rsidRPr="00500C4E" w:rsidRDefault="005A0E53" w:rsidP="005A0E53">
      <w:pPr>
        <w:pStyle w:val="Heading2"/>
        <w:rPr>
          <w:rFonts w:asciiTheme="minorHAnsi" w:hAnsiTheme="minorHAnsi" w:cstheme="minorHAnsi"/>
        </w:rPr>
      </w:pPr>
      <w:bookmarkStart w:id="30" w:name="_Toc214003098"/>
      <w:r w:rsidRPr="00500C4E">
        <w:rPr>
          <w:rFonts w:asciiTheme="minorHAnsi" w:hAnsiTheme="minorHAnsi" w:cstheme="minorHAnsi"/>
        </w:rPr>
        <w:lastRenderedPageBreak/>
        <w:t>4.2 Measure Case Cost</w:t>
      </w:r>
    </w:p>
    <w:p w14:paraId="68DB7D9B" w14:textId="6AFF3DED" w:rsidR="00AA565D" w:rsidRDefault="00AA565D" w:rsidP="00AA565D">
      <w:r>
        <w:t>The web scrape derived retail cost regression for IPL ignition systems closely tracks with the ETO reta</w:t>
      </w:r>
      <w:r w:rsidR="008C4347">
        <w:t>il costs above FE values of 60%. The</w:t>
      </w:r>
      <w:r>
        <w:t xml:space="preserve"> web scraped retail cost data shows most models above a FE of 60% use IPL ignition technology. Because the retail cost regression is in line with previously published ETO data, the regression is used to determine the measure case costs.</w:t>
      </w:r>
    </w:p>
    <w:p w14:paraId="77001583" w14:textId="59463A79" w:rsidR="00AA565D" w:rsidRDefault="00AA565D" w:rsidP="00AA565D"/>
    <w:p w14:paraId="763E25C5" w14:textId="613904D0" w:rsidR="00AA565D" w:rsidRPr="004801E7" w:rsidRDefault="00AA565D" w:rsidP="00AA565D">
      <m:oMathPara>
        <m:oMath>
          <m:r>
            <w:rPr>
              <w:rFonts w:ascii="Cambria Math" w:hAnsi="Cambria Math"/>
            </w:rPr>
            <m:t>Retail Cost=2109.6+10.914 x FE, equation (12)</m:t>
          </m:r>
        </m:oMath>
      </m:oMathPara>
    </w:p>
    <w:p w14:paraId="1D527DF0" w14:textId="1D83CBA9" w:rsidR="00AA565D" w:rsidRDefault="00AA565D" w:rsidP="00AA565D"/>
    <w:p w14:paraId="5BB720A0" w14:textId="35C092C9" w:rsidR="00D44ED3" w:rsidRDefault="00D44ED3" w:rsidP="00D44ED3">
      <w:pPr>
        <w:pStyle w:val="Caption"/>
        <w:keepNext/>
      </w:pPr>
      <w:r>
        <w:t xml:space="preserve">Table </w:t>
      </w:r>
      <w:fldSimple w:instr=" SEQ Table \* ARABIC ">
        <w:r w:rsidR="000B78F6">
          <w:rPr>
            <w:noProof/>
          </w:rPr>
          <w:t>21</w:t>
        </w:r>
      </w:fldSimple>
      <w:r>
        <w:t xml:space="preserve">: Measure Case Retail </w:t>
      </w:r>
      <w:r w:rsidR="00F81C56">
        <w:t xml:space="preserve">and Installation </w:t>
      </w:r>
      <w:r>
        <w:t>Costs</w:t>
      </w:r>
    </w:p>
    <w:tbl>
      <w:tblPr>
        <w:tblW w:w="9355" w:type="dxa"/>
        <w:tblLayout w:type="fixed"/>
        <w:tblLook w:val="04A0" w:firstRow="1" w:lastRow="0" w:firstColumn="1" w:lastColumn="0" w:noHBand="0" w:noVBand="1"/>
      </w:tblPr>
      <w:tblGrid>
        <w:gridCol w:w="1040"/>
        <w:gridCol w:w="1565"/>
        <w:gridCol w:w="2250"/>
        <w:gridCol w:w="2250"/>
        <w:gridCol w:w="2250"/>
      </w:tblGrid>
      <w:tr w:rsidR="004801E7" w:rsidRPr="00F81C56" w14:paraId="6D1E6D65" w14:textId="77777777" w:rsidTr="004801E7">
        <w:trPr>
          <w:trHeight w:val="300"/>
        </w:trPr>
        <w:tc>
          <w:tcPr>
            <w:tcW w:w="1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7684D97" w14:textId="77777777" w:rsidR="006776D6" w:rsidRPr="00F81C56" w:rsidRDefault="006776D6" w:rsidP="004801E7">
            <w:pPr>
              <w:rPr>
                <w:rFonts w:ascii="Calibri" w:hAnsi="Calibri" w:cs="Calibri"/>
                <w:b/>
                <w:color w:val="000000"/>
                <w:sz w:val="20"/>
                <w:szCs w:val="20"/>
              </w:rPr>
            </w:pPr>
            <w:r w:rsidRPr="00F81C56">
              <w:rPr>
                <w:rFonts w:ascii="Calibri" w:hAnsi="Calibri" w:cs="Calibri"/>
                <w:b/>
                <w:color w:val="000000"/>
                <w:sz w:val="20"/>
                <w:szCs w:val="20"/>
              </w:rPr>
              <w:t>Measure</w:t>
            </w:r>
          </w:p>
        </w:tc>
        <w:tc>
          <w:tcPr>
            <w:tcW w:w="1565"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67755D94" w14:textId="77777777" w:rsidR="006776D6" w:rsidRPr="00F81C56" w:rsidRDefault="006776D6" w:rsidP="004801E7">
            <w:pPr>
              <w:rPr>
                <w:rFonts w:ascii="Calibri" w:hAnsi="Calibri" w:cs="Calibri"/>
                <w:b/>
                <w:color w:val="000000"/>
                <w:sz w:val="20"/>
                <w:szCs w:val="20"/>
              </w:rPr>
            </w:pPr>
            <w:r w:rsidRPr="00F81C56">
              <w:rPr>
                <w:rFonts w:ascii="Calibri" w:hAnsi="Calibri" w:cs="Calibri"/>
                <w:b/>
                <w:color w:val="000000"/>
                <w:sz w:val="20"/>
                <w:szCs w:val="20"/>
              </w:rPr>
              <w:t>FE Range</w:t>
            </w: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1C93EF84" w14:textId="77777777" w:rsidR="006776D6" w:rsidRPr="00F81C56" w:rsidRDefault="006776D6" w:rsidP="004801E7">
            <w:pPr>
              <w:rPr>
                <w:rFonts w:ascii="Calibri" w:hAnsi="Calibri" w:cs="Calibri"/>
                <w:b/>
                <w:color w:val="000000"/>
                <w:sz w:val="20"/>
                <w:szCs w:val="20"/>
              </w:rPr>
            </w:pPr>
            <w:r w:rsidRPr="00F81C56">
              <w:rPr>
                <w:rFonts w:ascii="Calibri" w:hAnsi="Calibri" w:cs="Calibri"/>
                <w:b/>
                <w:color w:val="000000"/>
                <w:sz w:val="20"/>
                <w:szCs w:val="20"/>
              </w:rPr>
              <w:t>FE Used in Calculations</w:t>
            </w: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2585698" w14:textId="77777777" w:rsidR="006776D6" w:rsidRPr="00F81C56" w:rsidRDefault="006776D6" w:rsidP="004801E7">
            <w:pPr>
              <w:rPr>
                <w:rFonts w:ascii="Calibri" w:hAnsi="Calibri" w:cs="Calibri"/>
                <w:b/>
                <w:color w:val="000000"/>
                <w:sz w:val="20"/>
                <w:szCs w:val="20"/>
              </w:rPr>
            </w:pPr>
            <w:r w:rsidRPr="00F81C56">
              <w:rPr>
                <w:rFonts w:ascii="Calibri" w:hAnsi="Calibri" w:cs="Calibri"/>
                <w:b/>
                <w:color w:val="000000"/>
                <w:sz w:val="20"/>
                <w:szCs w:val="20"/>
              </w:rPr>
              <w:t>Retail Cost, 2017$</w:t>
            </w: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41FEF589" w14:textId="77777777" w:rsidR="006776D6" w:rsidRPr="00F81C56" w:rsidRDefault="006776D6" w:rsidP="004801E7">
            <w:pPr>
              <w:rPr>
                <w:rFonts w:ascii="Calibri" w:hAnsi="Calibri" w:cs="Calibri"/>
                <w:b/>
                <w:color w:val="000000"/>
                <w:sz w:val="20"/>
                <w:szCs w:val="20"/>
              </w:rPr>
            </w:pPr>
            <w:r w:rsidRPr="00F81C56">
              <w:rPr>
                <w:rFonts w:ascii="Calibri" w:hAnsi="Calibri" w:cs="Calibri"/>
                <w:b/>
                <w:color w:val="000000"/>
                <w:sz w:val="20"/>
                <w:szCs w:val="20"/>
              </w:rPr>
              <w:t>Installation Cost, 2017$</w:t>
            </w:r>
          </w:p>
        </w:tc>
      </w:tr>
      <w:tr w:rsidR="00F81C56" w:rsidRPr="00F81C56" w14:paraId="57E32E75" w14:textId="77777777" w:rsidTr="00AC20FD">
        <w:trPr>
          <w:trHeight w:val="300"/>
        </w:trPr>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7B9B9" w14:textId="5ACD163E" w:rsidR="00F81C56" w:rsidRPr="00F81C56" w:rsidRDefault="002C212F" w:rsidP="00AC20FD">
            <w:pPr>
              <w:rPr>
                <w:rFonts w:ascii="Calibri" w:hAnsi="Calibri" w:cs="Calibri"/>
                <w:color w:val="000000"/>
                <w:sz w:val="20"/>
                <w:szCs w:val="20"/>
              </w:rPr>
            </w:pPr>
            <w:r>
              <w:rPr>
                <w:rFonts w:ascii="Calibri" w:hAnsi="Calibri" w:cs="Calibri"/>
                <w:color w:val="000000"/>
                <w:sz w:val="20"/>
                <w:szCs w:val="20"/>
              </w:rPr>
              <w:t>NR/NC</w:t>
            </w:r>
          </w:p>
        </w:tc>
        <w:tc>
          <w:tcPr>
            <w:tcW w:w="1565" w:type="dxa"/>
            <w:tcBorders>
              <w:top w:val="nil"/>
              <w:left w:val="nil"/>
              <w:bottom w:val="single" w:sz="4" w:space="0" w:color="auto"/>
              <w:right w:val="single" w:sz="4" w:space="0" w:color="auto"/>
            </w:tcBorders>
            <w:shd w:val="clear" w:color="auto" w:fill="auto"/>
            <w:noWrap/>
            <w:hideMark/>
          </w:tcPr>
          <w:p w14:paraId="177CB5C4" w14:textId="77777777" w:rsidR="00F81C56" w:rsidRPr="00F81C56" w:rsidRDefault="00F81C56" w:rsidP="00F81C56">
            <w:pPr>
              <w:rPr>
                <w:rFonts w:ascii="Calibri" w:hAnsi="Calibri" w:cs="Calibri"/>
                <w:color w:val="000000"/>
                <w:sz w:val="20"/>
                <w:szCs w:val="20"/>
              </w:rPr>
            </w:pPr>
            <w:r w:rsidRPr="00F81C56">
              <w:rPr>
                <w:rFonts w:ascii="Calibri" w:hAnsi="Calibri" w:cs="Calibri"/>
                <w:color w:val="000000"/>
                <w:sz w:val="20"/>
                <w:szCs w:val="20"/>
              </w:rPr>
              <w:t>≥70% and &lt;75%</w:t>
            </w:r>
          </w:p>
        </w:tc>
        <w:tc>
          <w:tcPr>
            <w:tcW w:w="2250" w:type="dxa"/>
            <w:tcBorders>
              <w:top w:val="nil"/>
              <w:left w:val="nil"/>
              <w:bottom w:val="single" w:sz="4" w:space="0" w:color="auto"/>
              <w:right w:val="single" w:sz="4" w:space="0" w:color="auto"/>
            </w:tcBorders>
            <w:shd w:val="clear" w:color="auto" w:fill="auto"/>
            <w:noWrap/>
            <w:vAlign w:val="center"/>
            <w:hideMark/>
          </w:tcPr>
          <w:p w14:paraId="2655E597" w14:textId="534DAA25"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72.1</w:t>
            </w:r>
            <w:r w:rsidR="00AC20FD">
              <w:rPr>
                <w:rFonts w:ascii="Calibri" w:hAnsi="Calibri" w:cs="Calibri"/>
                <w:color w:val="000000"/>
                <w:sz w:val="20"/>
                <w:szCs w:val="20"/>
              </w:rPr>
              <w:t>%</w:t>
            </w:r>
          </w:p>
        </w:tc>
        <w:tc>
          <w:tcPr>
            <w:tcW w:w="2250" w:type="dxa"/>
            <w:tcBorders>
              <w:top w:val="nil"/>
              <w:left w:val="nil"/>
              <w:bottom w:val="single" w:sz="4" w:space="0" w:color="auto"/>
              <w:right w:val="single" w:sz="4" w:space="0" w:color="auto"/>
            </w:tcBorders>
            <w:shd w:val="clear" w:color="auto" w:fill="auto"/>
            <w:vAlign w:val="center"/>
          </w:tcPr>
          <w:p w14:paraId="48558CF9" w14:textId="02DDB7EA"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 xml:space="preserve">$    </w:t>
            </w:r>
            <w:r w:rsidR="008C4347">
              <w:rPr>
                <w:rFonts w:ascii="Calibri" w:hAnsi="Calibri" w:cs="Calibri"/>
                <w:color w:val="000000"/>
                <w:sz w:val="20"/>
                <w:szCs w:val="20"/>
              </w:rPr>
              <w:t>2,897</w:t>
            </w:r>
          </w:p>
        </w:tc>
        <w:tc>
          <w:tcPr>
            <w:tcW w:w="2250" w:type="dxa"/>
            <w:tcBorders>
              <w:top w:val="nil"/>
              <w:left w:val="nil"/>
              <w:bottom w:val="single" w:sz="4" w:space="0" w:color="auto"/>
              <w:right w:val="single" w:sz="4" w:space="0" w:color="auto"/>
            </w:tcBorders>
            <w:shd w:val="clear" w:color="auto" w:fill="auto"/>
            <w:noWrap/>
            <w:vAlign w:val="center"/>
            <w:hideMark/>
          </w:tcPr>
          <w:p w14:paraId="150E125D" w14:textId="08DB3AA5"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w:t>
            </w:r>
            <w:r w:rsidR="001425FB">
              <w:rPr>
                <w:rFonts w:ascii="Calibri" w:hAnsi="Calibri" w:cs="Calibri"/>
                <w:color w:val="000000"/>
                <w:sz w:val="20"/>
                <w:szCs w:val="20"/>
              </w:rPr>
              <w:t>976</w:t>
            </w:r>
          </w:p>
        </w:tc>
      </w:tr>
      <w:tr w:rsidR="00F81C56" w:rsidRPr="00F81C56" w14:paraId="6EE3E642" w14:textId="77777777" w:rsidTr="00AC20FD">
        <w:trPr>
          <w:trHeight w:val="300"/>
        </w:trPr>
        <w:tc>
          <w:tcPr>
            <w:tcW w:w="1040" w:type="dxa"/>
            <w:vMerge/>
            <w:tcBorders>
              <w:top w:val="nil"/>
              <w:left w:val="single" w:sz="4" w:space="0" w:color="auto"/>
              <w:bottom w:val="single" w:sz="4" w:space="0" w:color="auto"/>
              <w:right w:val="single" w:sz="4" w:space="0" w:color="auto"/>
            </w:tcBorders>
            <w:vAlign w:val="center"/>
            <w:hideMark/>
          </w:tcPr>
          <w:p w14:paraId="417A32F1" w14:textId="77777777" w:rsidR="00F81C56" w:rsidRPr="00F81C56" w:rsidRDefault="00F81C56" w:rsidP="00AC20FD">
            <w:pPr>
              <w:rPr>
                <w:rFonts w:ascii="Calibri" w:hAnsi="Calibri" w:cs="Calibri"/>
                <w:color w:val="000000"/>
                <w:sz w:val="20"/>
                <w:szCs w:val="20"/>
              </w:rPr>
            </w:pPr>
          </w:p>
        </w:tc>
        <w:tc>
          <w:tcPr>
            <w:tcW w:w="1565" w:type="dxa"/>
            <w:tcBorders>
              <w:top w:val="nil"/>
              <w:left w:val="nil"/>
              <w:bottom w:val="single" w:sz="4" w:space="0" w:color="auto"/>
              <w:right w:val="single" w:sz="4" w:space="0" w:color="auto"/>
            </w:tcBorders>
            <w:shd w:val="clear" w:color="auto" w:fill="auto"/>
            <w:noWrap/>
            <w:hideMark/>
          </w:tcPr>
          <w:p w14:paraId="08012BBC" w14:textId="77777777" w:rsidR="00F81C56" w:rsidRPr="00F81C56" w:rsidRDefault="00F81C56" w:rsidP="00F81C56">
            <w:pPr>
              <w:rPr>
                <w:rFonts w:ascii="Calibri" w:hAnsi="Calibri" w:cs="Calibri"/>
                <w:color w:val="000000"/>
                <w:sz w:val="20"/>
                <w:szCs w:val="20"/>
              </w:rPr>
            </w:pPr>
            <w:r w:rsidRPr="00F81C56">
              <w:rPr>
                <w:rFonts w:ascii="Calibri" w:hAnsi="Calibri" w:cs="Calibri"/>
                <w:color w:val="000000"/>
                <w:sz w:val="20"/>
                <w:szCs w:val="20"/>
              </w:rPr>
              <w:t>≥75%</w:t>
            </w:r>
          </w:p>
        </w:tc>
        <w:tc>
          <w:tcPr>
            <w:tcW w:w="2250" w:type="dxa"/>
            <w:tcBorders>
              <w:top w:val="nil"/>
              <w:left w:val="nil"/>
              <w:bottom w:val="single" w:sz="4" w:space="0" w:color="auto"/>
              <w:right w:val="single" w:sz="4" w:space="0" w:color="auto"/>
            </w:tcBorders>
            <w:shd w:val="clear" w:color="auto" w:fill="auto"/>
            <w:noWrap/>
            <w:vAlign w:val="center"/>
            <w:hideMark/>
          </w:tcPr>
          <w:p w14:paraId="2FF77928" w14:textId="65853BBC"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79.1</w:t>
            </w:r>
            <w:r w:rsidR="00AC20FD">
              <w:rPr>
                <w:rFonts w:ascii="Calibri" w:hAnsi="Calibri" w:cs="Calibri"/>
                <w:color w:val="000000"/>
                <w:sz w:val="20"/>
                <w:szCs w:val="20"/>
              </w:rPr>
              <w:t>%</w:t>
            </w:r>
          </w:p>
        </w:tc>
        <w:tc>
          <w:tcPr>
            <w:tcW w:w="2250" w:type="dxa"/>
            <w:tcBorders>
              <w:top w:val="nil"/>
              <w:left w:val="nil"/>
              <w:bottom w:val="single" w:sz="4" w:space="0" w:color="auto"/>
              <w:right w:val="single" w:sz="4" w:space="0" w:color="auto"/>
            </w:tcBorders>
            <w:shd w:val="clear" w:color="auto" w:fill="auto"/>
            <w:vAlign w:val="center"/>
          </w:tcPr>
          <w:p w14:paraId="43EFAD4D" w14:textId="1B732B33"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    2,97</w:t>
            </w:r>
            <w:r w:rsidR="008C4347">
              <w:rPr>
                <w:rFonts w:ascii="Calibri" w:hAnsi="Calibri" w:cs="Calibri"/>
                <w:color w:val="000000"/>
                <w:sz w:val="20"/>
                <w:szCs w:val="20"/>
              </w:rPr>
              <w:t>3</w:t>
            </w:r>
          </w:p>
        </w:tc>
        <w:tc>
          <w:tcPr>
            <w:tcW w:w="2250" w:type="dxa"/>
            <w:tcBorders>
              <w:top w:val="nil"/>
              <w:left w:val="nil"/>
              <w:bottom w:val="single" w:sz="4" w:space="0" w:color="auto"/>
              <w:right w:val="single" w:sz="4" w:space="0" w:color="auto"/>
            </w:tcBorders>
            <w:shd w:val="clear" w:color="auto" w:fill="auto"/>
            <w:noWrap/>
            <w:vAlign w:val="center"/>
            <w:hideMark/>
          </w:tcPr>
          <w:p w14:paraId="5CD83E89" w14:textId="5D65718E" w:rsidR="00F81C56" w:rsidRPr="00F81C56" w:rsidRDefault="008C4347" w:rsidP="008C4347">
            <w:pPr>
              <w:jc w:val="center"/>
              <w:rPr>
                <w:rFonts w:ascii="Calibri" w:hAnsi="Calibri" w:cs="Calibri"/>
                <w:color w:val="000000"/>
                <w:sz w:val="20"/>
                <w:szCs w:val="20"/>
              </w:rPr>
            </w:pPr>
            <w:r>
              <w:rPr>
                <w:rFonts w:ascii="Calibri" w:hAnsi="Calibri" w:cs="Calibri"/>
                <w:color w:val="000000"/>
                <w:sz w:val="20"/>
                <w:szCs w:val="20"/>
              </w:rPr>
              <w:t>$</w:t>
            </w:r>
            <w:r w:rsidR="001425FB" w:rsidRPr="00F81C56">
              <w:rPr>
                <w:rFonts w:ascii="Calibri" w:hAnsi="Calibri" w:cs="Calibri"/>
                <w:color w:val="000000"/>
                <w:sz w:val="20"/>
                <w:szCs w:val="20"/>
              </w:rPr>
              <w:t>9</w:t>
            </w:r>
            <w:r w:rsidR="001425FB">
              <w:rPr>
                <w:rFonts w:ascii="Calibri" w:hAnsi="Calibri" w:cs="Calibri"/>
                <w:color w:val="000000"/>
                <w:sz w:val="20"/>
                <w:szCs w:val="20"/>
              </w:rPr>
              <w:t>76</w:t>
            </w:r>
          </w:p>
        </w:tc>
      </w:tr>
      <w:tr w:rsidR="00F81C56" w:rsidRPr="00F81C56" w14:paraId="28D9E3B4" w14:textId="77777777" w:rsidTr="00AC20FD">
        <w:trPr>
          <w:trHeight w:val="300"/>
        </w:trPr>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055FAC" w14:textId="17C23579" w:rsidR="00F81C56" w:rsidRPr="00F81C56" w:rsidRDefault="002C212F" w:rsidP="00AC20FD">
            <w:pPr>
              <w:rPr>
                <w:rFonts w:ascii="Calibri" w:hAnsi="Calibri" w:cs="Calibri"/>
                <w:color w:val="000000"/>
                <w:sz w:val="20"/>
                <w:szCs w:val="20"/>
              </w:rPr>
            </w:pPr>
            <w:r>
              <w:rPr>
                <w:rFonts w:ascii="Calibri" w:hAnsi="Calibri" w:cs="Calibri"/>
                <w:color w:val="000000"/>
                <w:sz w:val="20"/>
                <w:szCs w:val="20"/>
              </w:rPr>
              <w:t>AR</w:t>
            </w:r>
          </w:p>
        </w:tc>
        <w:tc>
          <w:tcPr>
            <w:tcW w:w="1565" w:type="dxa"/>
            <w:tcBorders>
              <w:top w:val="nil"/>
              <w:left w:val="nil"/>
              <w:bottom w:val="single" w:sz="4" w:space="0" w:color="auto"/>
              <w:right w:val="single" w:sz="4" w:space="0" w:color="auto"/>
            </w:tcBorders>
            <w:shd w:val="clear" w:color="auto" w:fill="auto"/>
            <w:noWrap/>
            <w:hideMark/>
          </w:tcPr>
          <w:p w14:paraId="41342054" w14:textId="77777777" w:rsidR="00F81C56" w:rsidRPr="00F81C56" w:rsidRDefault="00F81C56" w:rsidP="00F81C56">
            <w:pPr>
              <w:rPr>
                <w:rFonts w:ascii="Calibri" w:hAnsi="Calibri" w:cs="Calibri"/>
                <w:color w:val="000000"/>
                <w:sz w:val="20"/>
                <w:szCs w:val="20"/>
              </w:rPr>
            </w:pPr>
            <w:r w:rsidRPr="00F81C56">
              <w:rPr>
                <w:rFonts w:ascii="Calibri" w:hAnsi="Calibri" w:cs="Calibri"/>
                <w:color w:val="000000"/>
                <w:sz w:val="20"/>
                <w:szCs w:val="20"/>
              </w:rPr>
              <w:t>≥70% and &lt;75%</w:t>
            </w:r>
          </w:p>
        </w:tc>
        <w:tc>
          <w:tcPr>
            <w:tcW w:w="2250" w:type="dxa"/>
            <w:tcBorders>
              <w:top w:val="nil"/>
              <w:left w:val="nil"/>
              <w:bottom w:val="single" w:sz="4" w:space="0" w:color="auto"/>
              <w:right w:val="single" w:sz="4" w:space="0" w:color="auto"/>
            </w:tcBorders>
            <w:shd w:val="clear" w:color="auto" w:fill="auto"/>
            <w:noWrap/>
            <w:vAlign w:val="center"/>
            <w:hideMark/>
          </w:tcPr>
          <w:p w14:paraId="07C8FE00" w14:textId="43518386"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72.1</w:t>
            </w:r>
            <w:r w:rsidR="00AC20FD">
              <w:rPr>
                <w:rFonts w:ascii="Calibri" w:hAnsi="Calibri" w:cs="Calibri"/>
                <w:color w:val="000000"/>
                <w:sz w:val="20"/>
                <w:szCs w:val="20"/>
              </w:rPr>
              <w:t>%</w:t>
            </w:r>
          </w:p>
        </w:tc>
        <w:tc>
          <w:tcPr>
            <w:tcW w:w="2250" w:type="dxa"/>
            <w:tcBorders>
              <w:top w:val="nil"/>
              <w:left w:val="nil"/>
              <w:bottom w:val="single" w:sz="4" w:space="0" w:color="auto"/>
              <w:right w:val="single" w:sz="4" w:space="0" w:color="auto"/>
            </w:tcBorders>
            <w:shd w:val="clear" w:color="auto" w:fill="auto"/>
            <w:vAlign w:val="center"/>
          </w:tcPr>
          <w:p w14:paraId="44C5046A" w14:textId="2B13A134"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    2,89</w:t>
            </w:r>
            <w:r w:rsidR="008C4347">
              <w:rPr>
                <w:rFonts w:ascii="Calibri" w:hAnsi="Calibri" w:cs="Calibri"/>
                <w:color w:val="000000"/>
                <w:sz w:val="20"/>
                <w:szCs w:val="20"/>
              </w:rPr>
              <w:t>7</w:t>
            </w:r>
          </w:p>
        </w:tc>
        <w:tc>
          <w:tcPr>
            <w:tcW w:w="2250" w:type="dxa"/>
            <w:tcBorders>
              <w:top w:val="nil"/>
              <w:left w:val="nil"/>
              <w:bottom w:val="single" w:sz="4" w:space="0" w:color="auto"/>
              <w:right w:val="single" w:sz="4" w:space="0" w:color="auto"/>
            </w:tcBorders>
            <w:shd w:val="clear" w:color="auto" w:fill="auto"/>
            <w:noWrap/>
            <w:vAlign w:val="center"/>
            <w:hideMark/>
          </w:tcPr>
          <w:p w14:paraId="55473C1C" w14:textId="108A111E" w:rsidR="00F81C56" w:rsidRPr="00F81C56" w:rsidRDefault="008C4347" w:rsidP="008C4347">
            <w:pPr>
              <w:jc w:val="center"/>
              <w:rPr>
                <w:rFonts w:ascii="Calibri" w:hAnsi="Calibri" w:cs="Calibri"/>
                <w:color w:val="000000"/>
                <w:sz w:val="20"/>
                <w:szCs w:val="20"/>
              </w:rPr>
            </w:pPr>
            <w:r>
              <w:rPr>
                <w:rFonts w:ascii="Calibri" w:hAnsi="Calibri" w:cs="Calibri"/>
                <w:color w:val="000000"/>
                <w:sz w:val="20"/>
                <w:szCs w:val="20"/>
              </w:rPr>
              <w:t>$</w:t>
            </w:r>
            <w:r w:rsidR="001425FB" w:rsidRPr="00F81C56">
              <w:rPr>
                <w:rFonts w:ascii="Calibri" w:hAnsi="Calibri" w:cs="Calibri"/>
                <w:color w:val="000000"/>
                <w:sz w:val="20"/>
                <w:szCs w:val="20"/>
              </w:rPr>
              <w:t>9</w:t>
            </w:r>
            <w:r w:rsidR="001425FB">
              <w:rPr>
                <w:rFonts w:ascii="Calibri" w:hAnsi="Calibri" w:cs="Calibri"/>
                <w:color w:val="000000"/>
                <w:sz w:val="20"/>
                <w:szCs w:val="20"/>
              </w:rPr>
              <w:t>76</w:t>
            </w:r>
          </w:p>
        </w:tc>
      </w:tr>
      <w:tr w:rsidR="00F81C56" w:rsidRPr="00F81C56" w14:paraId="46CFA8C9" w14:textId="77777777" w:rsidTr="008C4347">
        <w:trPr>
          <w:trHeight w:val="300"/>
        </w:trPr>
        <w:tc>
          <w:tcPr>
            <w:tcW w:w="1040" w:type="dxa"/>
            <w:vMerge/>
            <w:tcBorders>
              <w:top w:val="nil"/>
              <w:left w:val="single" w:sz="4" w:space="0" w:color="auto"/>
              <w:bottom w:val="single" w:sz="4" w:space="0" w:color="auto"/>
              <w:right w:val="single" w:sz="4" w:space="0" w:color="auto"/>
            </w:tcBorders>
            <w:hideMark/>
          </w:tcPr>
          <w:p w14:paraId="4A012896" w14:textId="77777777" w:rsidR="00F81C56" w:rsidRPr="00F81C56" w:rsidRDefault="00F81C56" w:rsidP="00F81C56">
            <w:pPr>
              <w:rPr>
                <w:rFonts w:ascii="Calibri" w:hAnsi="Calibri" w:cs="Calibri"/>
                <w:color w:val="000000"/>
                <w:sz w:val="20"/>
                <w:szCs w:val="20"/>
              </w:rPr>
            </w:pPr>
          </w:p>
        </w:tc>
        <w:tc>
          <w:tcPr>
            <w:tcW w:w="1565" w:type="dxa"/>
            <w:tcBorders>
              <w:top w:val="nil"/>
              <w:left w:val="nil"/>
              <w:bottom w:val="single" w:sz="4" w:space="0" w:color="auto"/>
              <w:right w:val="single" w:sz="4" w:space="0" w:color="auto"/>
            </w:tcBorders>
            <w:shd w:val="clear" w:color="auto" w:fill="auto"/>
            <w:noWrap/>
            <w:hideMark/>
          </w:tcPr>
          <w:p w14:paraId="297EE52D" w14:textId="77777777" w:rsidR="00F81C56" w:rsidRPr="00F81C56" w:rsidRDefault="00F81C56" w:rsidP="00F81C56">
            <w:pPr>
              <w:rPr>
                <w:rFonts w:ascii="Calibri" w:hAnsi="Calibri" w:cs="Calibri"/>
                <w:color w:val="000000"/>
                <w:sz w:val="20"/>
                <w:szCs w:val="20"/>
              </w:rPr>
            </w:pPr>
            <w:r w:rsidRPr="00F81C56">
              <w:rPr>
                <w:rFonts w:ascii="Calibri" w:hAnsi="Calibri" w:cs="Calibri"/>
                <w:color w:val="000000"/>
                <w:sz w:val="20"/>
                <w:szCs w:val="20"/>
              </w:rPr>
              <w:t>≥75%</w:t>
            </w:r>
          </w:p>
        </w:tc>
        <w:tc>
          <w:tcPr>
            <w:tcW w:w="2250" w:type="dxa"/>
            <w:tcBorders>
              <w:top w:val="nil"/>
              <w:left w:val="nil"/>
              <w:bottom w:val="single" w:sz="4" w:space="0" w:color="auto"/>
              <w:right w:val="single" w:sz="4" w:space="0" w:color="auto"/>
            </w:tcBorders>
            <w:shd w:val="clear" w:color="auto" w:fill="auto"/>
            <w:noWrap/>
            <w:vAlign w:val="center"/>
            <w:hideMark/>
          </w:tcPr>
          <w:p w14:paraId="042AAB4B" w14:textId="292F788F"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79.1</w:t>
            </w:r>
            <w:r w:rsidR="00AC20FD">
              <w:rPr>
                <w:rFonts w:ascii="Calibri" w:hAnsi="Calibri" w:cs="Calibri"/>
                <w:color w:val="000000"/>
                <w:sz w:val="20"/>
                <w:szCs w:val="20"/>
              </w:rPr>
              <w:t>%</w:t>
            </w:r>
          </w:p>
        </w:tc>
        <w:tc>
          <w:tcPr>
            <w:tcW w:w="2250" w:type="dxa"/>
            <w:tcBorders>
              <w:top w:val="nil"/>
              <w:left w:val="nil"/>
              <w:bottom w:val="single" w:sz="4" w:space="0" w:color="auto"/>
              <w:right w:val="single" w:sz="4" w:space="0" w:color="auto"/>
            </w:tcBorders>
            <w:shd w:val="clear" w:color="auto" w:fill="auto"/>
            <w:vAlign w:val="center"/>
          </w:tcPr>
          <w:p w14:paraId="73FA1BB5" w14:textId="78D59969"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    2,97</w:t>
            </w:r>
            <w:r w:rsidR="008C4347">
              <w:rPr>
                <w:rFonts w:ascii="Calibri" w:hAnsi="Calibri" w:cs="Calibri"/>
                <w:color w:val="000000"/>
                <w:sz w:val="20"/>
                <w:szCs w:val="20"/>
              </w:rPr>
              <w:t>3</w:t>
            </w:r>
          </w:p>
        </w:tc>
        <w:tc>
          <w:tcPr>
            <w:tcW w:w="2250" w:type="dxa"/>
            <w:tcBorders>
              <w:top w:val="nil"/>
              <w:left w:val="nil"/>
              <w:bottom w:val="single" w:sz="4" w:space="0" w:color="auto"/>
              <w:right w:val="single" w:sz="4" w:space="0" w:color="auto"/>
            </w:tcBorders>
            <w:shd w:val="clear" w:color="auto" w:fill="auto"/>
            <w:noWrap/>
            <w:vAlign w:val="center"/>
            <w:hideMark/>
          </w:tcPr>
          <w:p w14:paraId="5D05E92F" w14:textId="1BBF5B2E" w:rsidR="00F81C56" w:rsidRPr="00F81C56" w:rsidRDefault="00F81C56" w:rsidP="008C4347">
            <w:pPr>
              <w:jc w:val="center"/>
              <w:rPr>
                <w:rFonts w:ascii="Calibri" w:hAnsi="Calibri" w:cs="Calibri"/>
                <w:color w:val="000000"/>
                <w:sz w:val="20"/>
                <w:szCs w:val="20"/>
              </w:rPr>
            </w:pPr>
            <w:r w:rsidRPr="00F81C56">
              <w:rPr>
                <w:rFonts w:ascii="Calibri" w:hAnsi="Calibri" w:cs="Calibri"/>
                <w:color w:val="000000"/>
                <w:sz w:val="20"/>
                <w:szCs w:val="20"/>
              </w:rPr>
              <w:t>$</w:t>
            </w:r>
            <w:r w:rsidR="001425FB">
              <w:rPr>
                <w:rFonts w:ascii="Calibri" w:hAnsi="Calibri" w:cs="Calibri"/>
                <w:color w:val="000000"/>
                <w:sz w:val="20"/>
                <w:szCs w:val="20"/>
              </w:rPr>
              <w:t>976</w:t>
            </w:r>
          </w:p>
        </w:tc>
      </w:tr>
    </w:tbl>
    <w:p w14:paraId="20127324" w14:textId="2A06C825" w:rsidR="006776D6" w:rsidRDefault="006776D6" w:rsidP="00AA565D"/>
    <w:p w14:paraId="43166DC4"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0"/>
    </w:p>
    <w:p w14:paraId="6A7AF501" w14:textId="42810E25" w:rsidR="00DC3F10" w:rsidRDefault="00DC3F10" w:rsidP="00DC3F10">
      <w:pPr>
        <w:pStyle w:val="Caption"/>
        <w:keepNext/>
      </w:pPr>
      <w:bookmarkStart w:id="31" w:name="_Ref532551157"/>
      <w:r>
        <w:t xml:space="preserve">Table </w:t>
      </w:r>
      <w:fldSimple w:instr=" SEQ Table \* ARABIC ">
        <w:r w:rsidR="000B78F6">
          <w:rPr>
            <w:noProof/>
          </w:rPr>
          <w:t>22</w:t>
        </w:r>
      </w:fldSimple>
      <w:bookmarkEnd w:id="31"/>
      <w:r>
        <w:t>:</w:t>
      </w:r>
      <w:r w:rsidRPr="00DC3F10">
        <w:t xml:space="preserve"> Full and Incremental Costs</w:t>
      </w:r>
    </w:p>
    <w:tbl>
      <w:tblPr>
        <w:tblStyle w:val="TableGrid1"/>
        <w:tblW w:w="4681" w:type="pct"/>
        <w:tblLook w:val="01E0" w:firstRow="1" w:lastRow="1" w:firstColumn="1" w:lastColumn="1" w:noHBand="0" w:noVBand="0"/>
      </w:tblPr>
      <w:tblGrid>
        <w:gridCol w:w="1730"/>
        <w:gridCol w:w="2160"/>
        <w:gridCol w:w="2705"/>
        <w:gridCol w:w="2158"/>
      </w:tblGrid>
      <w:tr w:rsidR="005C7803" w:rsidRPr="005C7803" w14:paraId="1ED85A7B" w14:textId="77777777" w:rsidTr="005C7803">
        <w:trPr>
          <w:trHeight w:val="288"/>
        </w:trPr>
        <w:tc>
          <w:tcPr>
            <w:tcW w:w="988" w:type="pct"/>
            <w:shd w:val="clear" w:color="auto" w:fill="D9D9D9" w:themeFill="background1" w:themeFillShade="D9"/>
            <w:vAlign w:val="center"/>
          </w:tcPr>
          <w:p w14:paraId="38DA04DB" w14:textId="77777777" w:rsidR="005C7803" w:rsidRPr="005C7803" w:rsidRDefault="005C7803" w:rsidP="005C7803">
            <w:pPr>
              <w:rPr>
                <w:rFonts w:cstheme="minorHAnsi"/>
                <w:b/>
                <w:szCs w:val="20"/>
                <w:highlight w:val="yellow"/>
              </w:rPr>
            </w:pPr>
            <w:r w:rsidRPr="005C7803">
              <w:rPr>
                <w:rFonts w:cstheme="minorHAnsi"/>
                <w:b/>
                <w:szCs w:val="20"/>
              </w:rPr>
              <w:t>Installation Type</w:t>
            </w:r>
          </w:p>
        </w:tc>
        <w:tc>
          <w:tcPr>
            <w:tcW w:w="1234" w:type="pct"/>
            <w:shd w:val="clear" w:color="auto" w:fill="D9D9D9" w:themeFill="background1" w:themeFillShade="D9"/>
            <w:vAlign w:val="center"/>
          </w:tcPr>
          <w:p w14:paraId="0B43DD1F" w14:textId="5B5E04C1" w:rsidR="005C7803" w:rsidRPr="005C7803" w:rsidRDefault="005C7803" w:rsidP="005C7803">
            <w:pPr>
              <w:rPr>
                <w:rFonts w:cstheme="minorHAnsi"/>
                <w:b/>
                <w:szCs w:val="20"/>
              </w:rPr>
            </w:pPr>
            <w:r w:rsidRPr="005C7803">
              <w:rPr>
                <w:rFonts w:ascii="Calibri" w:hAnsi="Calibri" w:cs="Calibri"/>
                <w:b/>
                <w:szCs w:val="20"/>
              </w:rPr>
              <w:t>FE Range</w:t>
            </w:r>
          </w:p>
        </w:tc>
        <w:tc>
          <w:tcPr>
            <w:tcW w:w="1545" w:type="pct"/>
            <w:shd w:val="clear" w:color="auto" w:fill="D9D9D9" w:themeFill="background1" w:themeFillShade="D9"/>
            <w:vAlign w:val="center"/>
          </w:tcPr>
          <w:p w14:paraId="1EF90660" w14:textId="4FA86BFE" w:rsidR="005C7803" w:rsidRPr="005C7803" w:rsidRDefault="005C7803" w:rsidP="005C7803">
            <w:pPr>
              <w:jc w:val="center"/>
              <w:rPr>
                <w:rFonts w:cstheme="minorHAnsi"/>
                <w:b/>
                <w:szCs w:val="20"/>
              </w:rPr>
            </w:pPr>
            <w:r w:rsidRPr="005C7803">
              <w:rPr>
                <w:rFonts w:cstheme="minorHAnsi"/>
                <w:b/>
                <w:szCs w:val="20"/>
              </w:rPr>
              <w:t>Incremental Measure Cost</w:t>
            </w:r>
          </w:p>
        </w:tc>
        <w:tc>
          <w:tcPr>
            <w:tcW w:w="1233" w:type="pct"/>
            <w:shd w:val="clear" w:color="auto" w:fill="D9D9D9" w:themeFill="background1" w:themeFillShade="D9"/>
            <w:vAlign w:val="center"/>
          </w:tcPr>
          <w:p w14:paraId="527648EC" w14:textId="16BDF97E" w:rsidR="005C7803" w:rsidRPr="005C7803" w:rsidRDefault="005C7803" w:rsidP="005C7803">
            <w:pPr>
              <w:jc w:val="center"/>
              <w:rPr>
                <w:rFonts w:cstheme="minorHAnsi"/>
                <w:b/>
                <w:szCs w:val="20"/>
                <w:highlight w:val="yellow"/>
              </w:rPr>
            </w:pPr>
            <w:r w:rsidRPr="005C7803">
              <w:rPr>
                <w:rFonts w:cstheme="minorHAnsi"/>
                <w:b/>
                <w:szCs w:val="20"/>
              </w:rPr>
              <w:t>Full Measure Cost</w:t>
            </w:r>
          </w:p>
        </w:tc>
      </w:tr>
      <w:tr w:rsidR="005C7803" w:rsidRPr="005C7803" w14:paraId="1BCF0FA3" w14:textId="77777777" w:rsidTr="005C7803">
        <w:tc>
          <w:tcPr>
            <w:tcW w:w="988" w:type="pct"/>
            <w:vMerge w:val="restart"/>
            <w:vAlign w:val="center"/>
          </w:tcPr>
          <w:p w14:paraId="19C4134E" w14:textId="2693094E" w:rsidR="005C7803" w:rsidRPr="005C7803" w:rsidRDefault="002C212F" w:rsidP="005C7803">
            <w:pPr>
              <w:rPr>
                <w:rFonts w:cstheme="minorHAnsi"/>
                <w:szCs w:val="20"/>
              </w:rPr>
            </w:pPr>
            <w:r>
              <w:rPr>
                <w:rFonts w:cstheme="minorHAnsi"/>
                <w:szCs w:val="20"/>
              </w:rPr>
              <w:t>NR/NC</w:t>
            </w:r>
          </w:p>
        </w:tc>
        <w:tc>
          <w:tcPr>
            <w:tcW w:w="1234" w:type="pct"/>
          </w:tcPr>
          <w:p w14:paraId="6C76C9E5" w14:textId="40E9553A" w:rsidR="005C7803" w:rsidRPr="005C7803" w:rsidRDefault="005C7803" w:rsidP="005C7803">
            <w:pPr>
              <w:rPr>
                <w:rFonts w:cstheme="minorHAnsi"/>
                <w:szCs w:val="20"/>
              </w:rPr>
            </w:pPr>
            <w:r w:rsidRPr="005C7803">
              <w:rPr>
                <w:rFonts w:ascii="Calibri" w:hAnsi="Calibri" w:cs="Calibri"/>
                <w:szCs w:val="20"/>
              </w:rPr>
              <w:t>≥70% and &lt;75%</w:t>
            </w:r>
          </w:p>
        </w:tc>
        <w:tc>
          <w:tcPr>
            <w:tcW w:w="1545" w:type="pct"/>
            <w:vAlign w:val="center"/>
          </w:tcPr>
          <w:p w14:paraId="12254A11" w14:textId="1D2261E9" w:rsidR="005C7803" w:rsidRPr="005C7803" w:rsidRDefault="005C7803" w:rsidP="005C7803">
            <w:pPr>
              <w:jc w:val="center"/>
              <w:rPr>
                <w:rFonts w:cstheme="minorHAnsi"/>
                <w:szCs w:val="20"/>
              </w:rPr>
            </w:pPr>
            <w:r w:rsidRPr="005C7803">
              <w:rPr>
                <w:rFonts w:cstheme="minorHAnsi"/>
                <w:szCs w:val="20"/>
              </w:rPr>
              <w:t>$82</w:t>
            </w:r>
          </w:p>
        </w:tc>
        <w:tc>
          <w:tcPr>
            <w:tcW w:w="1233" w:type="pct"/>
            <w:vAlign w:val="center"/>
          </w:tcPr>
          <w:p w14:paraId="2FC7B748" w14:textId="71D8CE0C" w:rsidR="005C7803" w:rsidRPr="005C7803" w:rsidRDefault="005C7803" w:rsidP="005C7803">
            <w:pPr>
              <w:jc w:val="center"/>
              <w:rPr>
                <w:rFonts w:cstheme="minorHAnsi"/>
                <w:szCs w:val="20"/>
              </w:rPr>
            </w:pPr>
            <w:r>
              <w:rPr>
                <w:rFonts w:cstheme="minorHAnsi"/>
                <w:szCs w:val="20"/>
              </w:rPr>
              <w:t>$3,</w:t>
            </w:r>
            <w:r w:rsidR="001425FB">
              <w:rPr>
                <w:rFonts w:cstheme="minorHAnsi"/>
                <w:szCs w:val="20"/>
              </w:rPr>
              <w:t>872</w:t>
            </w:r>
          </w:p>
        </w:tc>
      </w:tr>
      <w:tr w:rsidR="005C7803" w:rsidRPr="005C7803" w14:paraId="6C7BC9EE" w14:textId="77777777" w:rsidTr="005C7803">
        <w:tc>
          <w:tcPr>
            <w:tcW w:w="988" w:type="pct"/>
            <w:vMerge/>
            <w:vAlign w:val="center"/>
          </w:tcPr>
          <w:p w14:paraId="5848F791" w14:textId="77777777" w:rsidR="005C7803" w:rsidRPr="005C7803" w:rsidRDefault="005C7803" w:rsidP="005C7803">
            <w:pPr>
              <w:rPr>
                <w:rFonts w:cstheme="minorHAnsi"/>
                <w:szCs w:val="20"/>
              </w:rPr>
            </w:pPr>
          </w:p>
        </w:tc>
        <w:tc>
          <w:tcPr>
            <w:tcW w:w="1234" w:type="pct"/>
          </w:tcPr>
          <w:p w14:paraId="7A9BCD92" w14:textId="5277683D" w:rsidR="005C7803" w:rsidRPr="005C7803" w:rsidRDefault="005C7803" w:rsidP="005C7803">
            <w:pPr>
              <w:rPr>
                <w:rFonts w:cstheme="minorHAnsi"/>
                <w:szCs w:val="20"/>
              </w:rPr>
            </w:pPr>
            <w:r w:rsidRPr="005C7803">
              <w:rPr>
                <w:rFonts w:ascii="Calibri" w:hAnsi="Calibri" w:cs="Calibri"/>
                <w:szCs w:val="20"/>
              </w:rPr>
              <w:t>≥75%</w:t>
            </w:r>
          </w:p>
        </w:tc>
        <w:tc>
          <w:tcPr>
            <w:tcW w:w="1545" w:type="pct"/>
            <w:vAlign w:val="center"/>
          </w:tcPr>
          <w:p w14:paraId="024E5909" w14:textId="5FD79FAA" w:rsidR="005C7803" w:rsidRPr="005C7803" w:rsidRDefault="005C7803" w:rsidP="005C7803">
            <w:pPr>
              <w:jc w:val="center"/>
              <w:rPr>
                <w:rFonts w:cstheme="minorHAnsi"/>
                <w:szCs w:val="20"/>
              </w:rPr>
            </w:pPr>
            <w:r w:rsidRPr="005C7803">
              <w:rPr>
                <w:rFonts w:cstheme="minorHAnsi"/>
                <w:szCs w:val="20"/>
              </w:rPr>
              <w:t>$158</w:t>
            </w:r>
          </w:p>
        </w:tc>
        <w:tc>
          <w:tcPr>
            <w:tcW w:w="1233" w:type="pct"/>
            <w:vAlign w:val="center"/>
          </w:tcPr>
          <w:p w14:paraId="126FF7A2" w14:textId="2565A4F6" w:rsidR="005C7803" w:rsidRPr="005C7803" w:rsidRDefault="005C7803" w:rsidP="005C7803">
            <w:pPr>
              <w:jc w:val="center"/>
              <w:rPr>
                <w:rFonts w:cstheme="minorHAnsi"/>
                <w:szCs w:val="20"/>
              </w:rPr>
            </w:pPr>
            <w:r>
              <w:rPr>
                <w:rFonts w:cstheme="minorHAnsi"/>
                <w:szCs w:val="20"/>
              </w:rPr>
              <w:t>$3,</w:t>
            </w:r>
            <w:r w:rsidR="001425FB">
              <w:rPr>
                <w:rFonts w:cstheme="minorHAnsi"/>
                <w:szCs w:val="20"/>
              </w:rPr>
              <w:t>948</w:t>
            </w:r>
          </w:p>
        </w:tc>
      </w:tr>
      <w:tr w:rsidR="005C7803" w:rsidRPr="005C7803" w14:paraId="0D4D5743" w14:textId="77777777" w:rsidTr="005C7803">
        <w:tc>
          <w:tcPr>
            <w:tcW w:w="988" w:type="pct"/>
            <w:vMerge w:val="restart"/>
            <w:vAlign w:val="center"/>
          </w:tcPr>
          <w:p w14:paraId="7197A8D1" w14:textId="47763BEC" w:rsidR="005C7803" w:rsidRPr="005C7803" w:rsidRDefault="002C212F" w:rsidP="005C7803">
            <w:pPr>
              <w:rPr>
                <w:rFonts w:cstheme="minorHAnsi"/>
                <w:szCs w:val="20"/>
              </w:rPr>
            </w:pPr>
            <w:r>
              <w:rPr>
                <w:rFonts w:cstheme="minorHAnsi"/>
                <w:szCs w:val="20"/>
              </w:rPr>
              <w:t>AR</w:t>
            </w:r>
          </w:p>
        </w:tc>
        <w:tc>
          <w:tcPr>
            <w:tcW w:w="1234" w:type="pct"/>
          </w:tcPr>
          <w:p w14:paraId="313DDEED" w14:textId="49E6C1A7" w:rsidR="005C7803" w:rsidRPr="005C7803" w:rsidRDefault="005C7803" w:rsidP="005C7803">
            <w:pPr>
              <w:rPr>
                <w:rFonts w:cstheme="minorHAnsi"/>
                <w:szCs w:val="20"/>
              </w:rPr>
            </w:pPr>
            <w:r w:rsidRPr="005C7803">
              <w:rPr>
                <w:rFonts w:ascii="Calibri" w:hAnsi="Calibri" w:cs="Calibri"/>
                <w:szCs w:val="20"/>
              </w:rPr>
              <w:t>≥70% and &lt;75%</w:t>
            </w:r>
          </w:p>
        </w:tc>
        <w:tc>
          <w:tcPr>
            <w:tcW w:w="1545" w:type="pct"/>
            <w:vAlign w:val="center"/>
          </w:tcPr>
          <w:p w14:paraId="62345A80" w14:textId="4DF39442" w:rsidR="005C7803" w:rsidRPr="005C7803" w:rsidRDefault="005C7803" w:rsidP="005C7803">
            <w:pPr>
              <w:jc w:val="center"/>
              <w:rPr>
                <w:rFonts w:cstheme="minorHAnsi"/>
                <w:szCs w:val="20"/>
              </w:rPr>
            </w:pPr>
            <w:r w:rsidRPr="005C7803">
              <w:rPr>
                <w:rFonts w:cstheme="minorHAnsi"/>
                <w:szCs w:val="20"/>
              </w:rPr>
              <w:t>$515</w:t>
            </w:r>
          </w:p>
        </w:tc>
        <w:tc>
          <w:tcPr>
            <w:tcW w:w="1233" w:type="pct"/>
            <w:vAlign w:val="center"/>
          </w:tcPr>
          <w:p w14:paraId="2278BF3D" w14:textId="1DE59C50" w:rsidR="005C7803" w:rsidRPr="005C7803" w:rsidRDefault="005C7803" w:rsidP="005C7803">
            <w:pPr>
              <w:jc w:val="center"/>
              <w:rPr>
                <w:rFonts w:cstheme="minorHAnsi"/>
                <w:szCs w:val="20"/>
              </w:rPr>
            </w:pPr>
            <w:r>
              <w:rPr>
                <w:rFonts w:cstheme="minorHAnsi"/>
                <w:szCs w:val="20"/>
              </w:rPr>
              <w:t>$3,</w:t>
            </w:r>
            <w:r w:rsidR="001425FB">
              <w:rPr>
                <w:rFonts w:cstheme="minorHAnsi"/>
                <w:szCs w:val="20"/>
              </w:rPr>
              <w:t>872</w:t>
            </w:r>
          </w:p>
        </w:tc>
      </w:tr>
      <w:tr w:rsidR="005C7803" w:rsidRPr="005C7803" w14:paraId="69B14E9C" w14:textId="77777777" w:rsidTr="005C7803">
        <w:tc>
          <w:tcPr>
            <w:tcW w:w="988" w:type="pct"/>
            <w:vMerge/>
          </w:tcPr>
          <w:p w14:paraId="014AB340" w14:textId="77777777" w:rsidR="005C7803" w:rsidRPr="005C7803" w:rsidRDefault="005C7803" w:rsidP="005C7803">
            <w:pPr>
              <w:rPr>
                <w:rFonts w:cstheme="minorHAnsi"/>
                <w:szCs w:val="20"/>
              </w:rPr>
            </w:pPr>
          </w:p>
        </w:tc>
        <w:tc>
          <w:tcPr>
            <w:tcW w:w="1234" w:type="pct"/>
          </w:tcPr>
          <w:p w14:paraId="42C80176" w14:textId="34A0072C" w:rsidR="005C7803" w:rsidRPr="005C7803" w:rsidRDefault="005C7803" w:rsidP="005C7803">
            <w:pPr>
              <w:rPr>
                <w:rFonts w:cstheme="minorHAnsi"/>
                <w:szCs w:val="20"/>
              </w:rPr>
            </w:pPr>
            <w:r w:rsidRPr="005C7803">
              <w:rPr>
                <w:rFonts w:ascii="Calibri" w:hAnsi="Calibri" w:cs="Calibri"/>
                <w:szCs w:val="20"/>
              </w:rPr>
              <w:t>≥75%</w:t>
            </w:r>
          </w:p>
        </w:tc>
        <w:tc>
          <w:tcPr>
            <w:tcW w:w="1545" w:type="pct"/>
            <w:vAlign w:val="center"/>
          </w:tcPr>
          <w:p w14:paraId="29CB3F4C" w14:textId="0CAA58CC" w:rsidR="005C7803" w:rsidRPr="005C7803" w:rsidRDefault="005C7803" w:rsidP="005C7803">
            <w:pPr>
              <w:jc w:val="center"/>
              <w:rPr>
                <w:rFonts w:cstheme="minorHAnsi"/>
                <w:szCs w:val="20"/>
              </w:rPr>
            </w:pPr>
            <w:r w:rsidRPr="005C7803">
              <w:rPr>
                <w:rFonts w:cstheme="minorHAnsi"/>
                <w:szCs w:val="20"/>
              </w:rPr>
              <w:t>$</w:t>
            </w:r>
            <w:r w:rsidR="001425FB" w:rsidRPr="005C7803">
              <w:rPr>
                <w:rFonts w:cstheme="minorHAnsi"/>
                <w:szCs w:val="20"/>
              </w:rPr>
              <w:t>59</w:t>
            </w:r>
            <w:r w:rsidR="001425FB">
              <w:rPr>
                <w:rFonts w:cstheme="minorHAnsi"/>
                <w:szCs w:val="20"/>
              </w:rPr>
              <w:t>1</w:t>
            </w:r>
          </w:p>
        </w:tc>
        <w:tc>
          <w:tcPr>
            <w:tcW w:w="1233" w:type="pct"/>
            <w:vAlign w:val="center"/>
          </w:tcPr>
          <w:p w14:paraId="65EA544F" w14:textId="7E1D3244" w:rsidR="005C7803" w:rsidRPr="005C7803" w:rsidRDefault="005C7803" w:rsidP="005C7803">
            <w:pPr>
              <w:jc w:val="center"/>
              <w:rPr>
                <w:rFonts w:cstheme="minorHAnsi"/>
                <w:szCs w:val="20"/>
              </w:rPr>
            </w:pPr>
            <w:r>
              <w:rPr>
                <w:rFonts w:cstheme="minorHAnsi"/>
                <w:szCs w:val="20"/>
              </w:rPr>
              <w:t>$3,</w:t>
            </w:r>
            <w:r w:rsidR="001425FB">
              <w:rPr>
                <w:rFonts w:cstheme="minorHAnsi"/>
                <w:szCs w:val="20"/>
              </w:rPr>
              <w:t>948</w:t>
            </w:r>
          </w:p>
        </w:tc>
      </w:tr>
    </w:tbl>
    <w:p w14:paraId="4770F016" w14:textId="415A1E11" w:rsidR="00E16609" w:rsidRDefault="00E16609" w:rsidP="005C7803">
      <w:pPr>
        <w:rPr>
          <w:rFonts w:cstheme="minorHAnsi"/>
          <w:b/>
          <w:sz w:val="36"/>
        </w:rPr>
      </w:pPr>
      <w:bookmarkStart w:id="32" w:name="_Toc214003099"/>
      <w:r w:rsidRPr="00920905">
        <w:rPr>
          <w:rFonts w:cstheme="minorHAnsi"/>
          <w:sz w:val="20"/>
          <w:szCs w:val="20"/>
        </w:rPr>
        <w:br w:type="page"/>
      </w:r>
      <w:bookmarkEnd w:id="32"/>
      <w:r w:rsidRPr="00F86936">
        <w:rPr>
          <w:rFonts w:cstheme="minorHAnsi"/>
          <w:b/>
          <w:sz w:val="36"/>
        </w:rPr>
        <w:lastRenderedPageBreak/>
        <w:t>Attachments</w:t>
      </w:r>
    </w:p>
    <w:p w14:paraId="39404E43" w14:textId="77777777" w:rsidR="00B75170" w:rsidRPr="00F86936" w:rsidRDefault="00B75170" w:rsidP="005C7803">
      <w:pPr>
        <w:rPr>
          <w:rFonts w:cstheme="minorHAnsi"/>
          <w:b/>
        </w:rPr>
      </w:pPr>
    </w:p>
    <w:p w14:paraId="0BD37D4A" w14:textId="2CB1AFA6" w:rsidR="0012247D" w:rsidRDefault="0012247D" w:rsidP="00AD384F">
      <w:pPr>
        <w:rPr>
          <w:rFonts w:cstheme="minorHAnsi"/>
        </w:rPr>
      </w:pPr>
      <w:r>
        <w:rPr>
          <w:rFonts w:cstheme="minorHAnsi"/>
        </w:rPr>
        <w:t>Attachment A: Fireplace Analysis</w:t>
      </w:r>
    </w:p>
    <w:p w14:paraId="19933210" w14:textId="7E96178D" w:rsidR="00612041" w:rsidRPr="00500C4E" w:rsidRDefault="00AD384F" w:rsidP="00AD384F">
      <w:pPr>
        <w:rPr>
          <w:rFonts w:cstheme="minorHAnsi"/>
        </w:rPr>
      </w:pPr>
      <w:r>
        <w:rPr>
          <w:rFonts w:cstheme="minorHAnsi"/>
        </w:rPr>
        <w:t xml:space="preserve">Attachment </w:t>
      </w:r>
      <w:r w:rsidR="0012247D">
        <w:rPr>
          <w:rFonts w:cstheme="minorHAnsi"/>
        </w:rPr>
        <w:t>B</w:t>
      </w:r>
      <w:r>
        <w:rPr>
          <w:rFonts w:cstheme="minorHAnsi"/>
        </w:rPr>
        <w:t xml:space="preserve">: WPSCGREHC180723A: </w:t>
      </w:r>
      <w:r w:rsidRPr="00AD384F">
        <w:rPr>
          <w:rFonts w:cstheme="minorHAnsi"/>
        </w:rPr>
        <w:t>Wall Furnace Intermittent Pilot Light (IPL</w:t>
      </w:r>
      <w:r>
        <w:rPr>
          <w:rFonts w:cstheme="minorHAnsi"/>
        </w:rPr>
        <w:t>)</w:t>
      </w:r>
    </w:p>
    <w:p w14:paraId="3EF43D5F" w14:textId="5BDD96CD" w:rsidR="00C54EFF" w:rsidRDefault="00AD384F" w:rsidP="00E16609">
      <w:pPr>
        <w:rPr>
          <w:rFonts w:cstheme="minorHAnsi"/>
        </w:rPr>
      </w:pPr>
      <w:r>
        <w:rPr>
          <w:rFonts w:cstheme="minorHAnsi"/>
        </w:rPr>
        <w:t xml:space="preserve">Attachment </w:t>
      </w:r>
      <w:r w:rsidR="0012247D">
        <w:rPr>
          <w:rFonts w:cstheme="minorHAnsi"/>
        </w:rPr>
        <w:t>C</w:t>
      </w:r>
      <w:r>
        <w:rPr>
          <w:rFonts w:cstheme="minorHAnsi"/>
        </w:rPr>
        <w:t>:</w:t>
      </w:r>
      <w:r w:rsidRPr="00AD384F">
        <w:t xml:space="preserve"> </w:t>
      </w:r>
      <w:r w:rsidR="00147A15">
        <w:t xml:space="preserve">WPSCGREHC180723A: </w:t>
      </w:r>
      <w:r w:rsidRPr="00AD384F">
        <w:rPr>
          <w:rFonts w:cstheme="minorHAnsi"/>
        </w:rPr>
        <w:t>Energy Savings Analysis</w:t>
      </w:r>
      <w:r>
        <w:rPr>
          <w:rFonts w:cstheme="minorHAnsi"/>
        </w:rPr>
        <w:t xml:space="preserve"> from </w:t>
      </w:r>
      <w:r w:rsidRPr="00AD384F">
        <w:rPr>
          <w:rFonts w:cstheme="minorHAnsi"/>
        </w:rPr>
        <w:t>WPSCGREHC180723A</w:t>
      </w:r>
    </w:p>
    <w:p w14:paraId="609CAFF9" w14:textId="37E2CE9B" w:rsidR="00AD384F" w:rsidRDefault="00AD384F" w:rsidP="00E16609">
      <w:pPr>
        <w:rPr>
          <w:rFonts w:cstheme="minorHAnsi"/>
        </w:rPr>
      </w:pPr>
      <w:r>
        <w:rPr>
          <w:rFonts w:cstheme="minorHAnsi"/>
        </w:rPr>
        <w:t xml:space="preserve">Attachment </w:t>
      </w:r>
      <w:r w:rsidR="0012247D">
        <w:rPr>
          <w:rFonts w:cstheme="minorHAnsi"/>
        </w:rPr>
        <w:t>D</w:t>
      </w:r>
      <w:r>
        <w:rPr>
          <w:rFonts w:cstheme="minorHAnsi"/>
        </w:rPr>
        <w:t xml:space="preserve">: </w:t>
      </w:r>
      <w:r w:rsidR="00147A15">
        <w:t xml:space="preserve">WPSCGREHC180723A: </w:t>
      </w:r>
      <w:r w:rsidRPr="00AD384F">
        <w:rPr>
          <w:rFonts w:cstheme="minorHAnsi"/>
        </w:rPr>
        <w:t>CompareWeatherData-v4</w:t>
      </w:r>
    </w:p>
    <w:p w14:paraId="039C702D" w14:textId="2C1B4F95" w:rsidR="00AD384F" w:rsidRDefault="00AD384F" w:rsidP="00E16609">
      <w:pPr>
        <w:rPr>
          <w:rFonts w:cstheme="minorHAnsi"/>
        </w:rPr>
      </w:pPr>
      <w:r>
        <w:rPr>
          <w:rFonts w:cstheme="minorHAnsi"/>
        </w:rPr>
        <w:t xml:space="preserve">Attachment </w:t>
      </w:r>
      <w:r w:rsidR="0012247D">
        <w:rPr>
          <w:rFonts w:cstheme="minorHAnsi"/>
        </w:rPr>
        <w:t>E</w:t>
      </w:r>
      <w:r>
        <w:rPr>
          <w:rFonts w:cstheme="minorHAnsi"/>
        </w:rPr>
        <w:t>:</w:t>
      </w:r>
      <w:r w:rsidRPr="00AD384F">
        <w:t xml:space="preserve"> </w:t>
      </w:r>
      <w:r w:rsidRPr="00AD384F">
        <w:rPr>
          <w:rFonts w:cstheme="minorHAnsi"/>
        </w:rPr>
        <w:t>WPSCGREHC110603A: Gravity Wall Furnaces in Single-Family and Multi-Family Homes</w:t>
      </w:r>
    </w:p>
    <w:p w14:paraId="6FA59B9E" w14:textId="411E68B1" w:rsidR="00AD384F" w:rsidRDefault="00AD384F" w:rsidP="00E16609">
      <w:pPr>
        <w:rPr>
          <w:rFonts w:cstheme="minorHAnsi"/>
        </w:rPr>
      </w:pPr>
      <w:r>
        <w:rPr>
          <w:rFonts w:cstheme="minorHAnsi"/>
        </w:rPr>
        <w:t xml:space="preserve">Attachment </w:t>
      </w:r>
      <w:r w:rsidR="0012247D">
        <w:rPr>
          <w:rFonts w:cstheme="minorHAnsi"/>
        </w:rPr>
        <w:t>F</w:t>
      </w:r>
      <w:r>
        <w:rPr>
          <w:rFonts w:cstheme="minorHAnsi"/>
        </w:rPr>
        <w:t>:</w:t>
      </w:r>
      <w:r w:rsidR="00DC3F10" w:rsidRPr="00DC3F10">
        <w:t xml:space="preserve"> </w:t>
      </w:r>
      <w:r w:rsidR="00F86936">
        <w:rPr>
          <w:rFonts w:cstheme="minorHAnsi"/>
        </w:rPr>
        <w:t>Furnace Calculations</w:t>
      </w:r>
    </w:p>
    <w:p w14:paraId="120873A9" w14:textId="73DFB4A5" w:rsidR="00AD384F" w:rsidRDefault="00AD384F" w:rsidP="00E16609">
      <w:pPr>
        <w:rPr>
          <w:rFonts w:cstheme="minorHAnsi"/>
        </w:rPr>
      </w:pPr>
      <w:r>
        <w:rPr>
          <w:rFonts w:cstheme="minorHAnsi"/>
        </w:rPr>
        <w:t xml:space="preserve">Attachment </w:t>
      </w:r>
      <w:r w:rsidR="0012247D">
        <w:rPr>
          <w:rFonts w:cstheme="minorHAnsi"/>
        </w:rPr>
        <w:t>G</w:t>
      </w:r>
      <w:r>
        <w:rPr>
          <w:rFonts w:cstheme="minorHAnsi"/>
        </w:rPr>
        <w:t>:</w:t>
      </w:r>
      <w:r w:rsidR="00DC3F10" w:rsidRPr="00DC3F10">
        <w:t xml:space="preserve"> </w:t>
      </w:r>
      <w:r w:rsidR="00DC3F10" w:rsidRPr="00DC3F10">
        <w:rPr>
          <w:rFonts w:cstheme="minorHAnsi"/>
        </w:rPr>
        <w:t>DEER-WaterHeater-Calculator-v2.1</w:t>
      </w:r>
    </w:p>
    <w:p w14:paraId="61552C8F" w14:textId="600EF8D7" w:rsidR="0012247D" w:rsidRDefault="000057BC" w:rsidP="00E16609">
      <w:pPr>
        <w:rPr>
          <w:rFonts w:cstheme="minorHAnsi"/>
        </w:rPr>
      </w:pPr>
      <w:r>
        <w:rPr>
          <w:rFonts w:cstheme="minorHAnsi"/>
        </w:rPr>
        <w:t>Attachment H: Measure Summary Table</w:t>
      </w:r>
    </w:p>
    <w:p w14:paraId="396D4BAA" w14:textId="77777777" w:rsidR="000057BC" w:rsidRPr="00500C4E" w:rsidRDefault="000057BC" w:rsidP="00E16609">
      <w:pPr>
        <w:rPr>
          <w:rFonts w:cstheme="minorHAnsi"/>
        </w:rPr>
      </w:pPr>
    </w:p>
    <w:p w14:paraId="3AE329C6" w14:textId="77777777" w:rsidR="00C54EFF" w:rsidRPr="00500C4E" w:rsidRDefault="00C54EFF">
      <w:pPr>
        <w:spacing w:after="200" w:line="276" w:lineRule="auto"/>
        <w:rPr>
          <w:rFonts w:cstheme="minorHAnsi"/>
        </w:rPr>
      </w:pPr>
      <w:r w:rsidRPr="00500C4E">
        <w:rPr>
          <w:rFonts w:cstheme="minorHAnsi"/>
        </w:rPr>
        <w:br w:type="page"/>
      </w:r>
    </w:p>
    <w:p w14:paraId="37C6569D"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492F8" w14:textId="77777777" w:rsidR="009E15C9" w:rsidRDefault="009E15C9" w:rsidP="00447D6E">
      <w:r>
        <w:separator/>
      </w:r>
    </w:p>
    <w:p w14:paraId="49370504" w14:textId="77777777" w:rsidR="009E15C9" w:rsidRDefault="009E15C9"/>
  </w:endnote>
  <w:endnote w:type="continuationSeparator" w:id="0">
    <w:p w14:paraId="44EDB78A" w14:textId="77777777" w:rsidR="009E15C9" w:rsidRDefault="009E15C9" w:rsidP="00447D6E">
      <w:r>
        <w:continuationSeparator/>
      </w:r>
    </w:p>
    <w:p w14:paraId="6EA6F123" w14:textId="77777777" w:rsidR="009E15C9" w:rsidRDefault="009E15C9"/>
  </w:endnote>
  <w:endnote w:id="1">
    <w:p w14:paraId="270F2CED" w14:textId="35ED91C0" w:rsidR="009E15C9" w:rsidRDefault="009E15C9">
      <w:pPr>
        <w:pStyle w:val="EndnoteText"/>
      </w:pPr>
      <w:r>
        <w:rPr>
          <w:rStyle w:val="EndnoteReference"/>
        </w:rPr>
        <w:endnoteRef/>
      </w:r>
      <w:r>
        <w:t xml:space="preserve"> Fireplace graphic for </w:t>
      </w:r>
      <w:r>
        <w:fldChar w:fldCharType="begin"/>
      </w:r>
      <w:r>
        <w:instrText xml:space="preserve"> REF _Ref531678275 \h </w:instrText>
      </w:r>
      <w:r>
        <w:fldChar w:fldCharType="separate"/>
      </w:r>
      <w:r>
        <w:t xml:space="preserve">Figure </w:t>
      </w:r>
      <w:r>
        <w:rPr>
          <w:noProof/>
        </w:rPr>
        <w:t>1</w:t>
      </w:r>
      <w:r>
        <w:fldChar w:fldCharType="end"/>
      </w:r>
      <w:r>
        <w:t xml:space="preserve">: </w:t>
      </w:r>
      <w:hyperlink r:id="rId1" w:history="1">
        <w:r w:rsidRPr="00575180">
          <w:rPr>
            <w:rStyle w:val="Hyperlink"/>
          </w:rPr>
          <w:t>http://architectstrace.wordpress.com/2010/07/19/feeling-lightheaded-gas-fps-explained</w:t>
        </w:r>
      </w:hyperlink>
    </w:p>
  </w:endnote>
  <w:endnote w:id="2">
    <w:p w14:paraId="165510DC" w14:textId="1078D1B3" w:rsidR="009E15C9" w:rsidRDefault="009E15C9" w:rsidP="00A215BF">
      <w:pPr>
        <w:pStyle w:val="EndnoteText"/>
      </w:pPr>
      <w:r>
        <w:rPr>
          <w:rStyle w:val="EndnoteReference"/>
        </w:rPr>
        <w:endnoteRef/>
      </w:r>
      <w:r>
        <w:t xml:space="preserve"> California’s Title 24: </w:t>
      </w:r>
      <w:hyperlink r:id="rId2" w:history="1">
        <w:r w:rsidRPr="009B2BE2">
          <w:rPr>
            <w:rStyle w:val="Hyperlink"/>
          </w:rPr>
          <w:t>https://www.energy.ca.gov/title24/2016standards/index.html</w:t>
        </w:r>
      </w:hyperlink>
    </w:p>
  </w:endnote>
  <w:endnote w:id="3">
    <w:p w14:paraId="066FB816" w14:textId="1E3F590C" w:rsidR="009E15C9" w:rsidRDefault="009E15C9">
      <w:pPr>
        <w:pStyle w:val="EndnoteText"/>
      </w:pPr>
      <w:r>
        <w:rPr>
          <w:rStyle w:val="EndnoteReference"/>
        </w:rPr>
        <w:endnoteRef/>
      </w:r>
      <w:r>
        <w:t xml:space="preserve"> April 2010 DOE Final Rule: </w:t>
      </w:r>
      <w:hyperlink r:id="rId3" w:history="1">
        <w:r w:rsidRPr="00BB040A">
          <w:rPr>
            <w:rStyle w:val="Hyperlink"/>
          </w:rPr>
          <w:t>https://www.regulations.gov/document?D=EERE-2006-STD-0129-0005</w:t>
        </w:r>
      </w:hyperlink>
    </w:p>
  </w:endnote>
  <w:endnote w:id="4">
    <w:p w14:paraId="5DC487FF" w14:textId="2D2F3B61" w:rsidR="009E15C9" w:rsidRDefault="009E15C9">
      <w:pPr>
        <w:pStyle w:val="EndnoteText"/>
      </w:pPr>
      <w:r>
        <w:rPr>
          <w:rStyle w:val="EndnoteReference"/>
        </w:rPr>
        <w:endnoteRef/>
      </w:r>
      <w:r>
        <w:t xml:space="preserve"> DOE Vented Hearth Heater Definition Revision: </w:t>
      </w:r>
      <w:hyperlink r:id="rId4" w:history="1">
        <w:r w:rsidRPr="00BB040A">
          <w:rPr>
            <w:rStyle w:val="Hyperlink"/>
          </w:rPr>
          <w:t>https://www.regulations.gov/document?D=EERE-2011-BT-STD-0047-0376</w:t>
        </w:r>
      </w:hyperlink>
    </w:p>
  </w:endnote>
  <w:endnote w:id="5">
    <w:p w14:paraId="1D5A5607" w14:textId="4C482750" w:rsidR="009E15C9" w:rsidRDefault="009E15C9">
      <w:pPr>
        <w:pStyle w:val="EndnoteText"/>
      </w:pPr>
      <w:r>
        <w:rPr>
          <w:rStyle w:val="EndnoteReference"/>
        </w:rPr>
        <w:endnoteRef/>
      </w:r>
      <w:r>
        <w:t xml:space="preserve"> Hearth Def Vacation: </w:t>
      </w:r>
      <w:hyperlink r:id="rId5" w:history="1">
        <w:r w:rsidRPr="00BB040A">
          <w:rPr>
            <w:rStyle w:val="Hyperlink"/>
          </w:rPr>
          <w:t>https://www.leagle.com/decision/infco20130208115</w:t>
        </w:r>
      </w:hyperlink>
    </w:p>
  </w:endnote>
  <w:endnote w:id="6">
    <w:p w14:paraId="79FFEB35" w14:textId="11278763" w:rsidR="009E15C9" w:rsidRDefault="009E15C9">
      <w:pPr>
        <w:pStyle w:val="EndnoteText"/>
      </w:pPr>
      <w:r>
        <w:rPr>
          <w:rStyle w:val="EndnoteReference"/>
        </w:rPr>
        <w:endnoteRef/>
      </w:r>
      <w:r>
        <w:t xml:space="preserve"> DOE Hearth Products NOPR: </w:t>
      </w:r>
      <w:hyperlink r:id="rId6" w:history="1">
        <w:r w:rsidRPr="00BB040A">
          <w:rPr>
            <w:rStyle w:val="Hyperlink"/>
          </w:rPr>
          <w:t>https://www.regulations.gov/document?D=EERE-2014-BT-STD-0036-0010</w:t>
        </w:r>
      </w:hyperlink>
    </w:p>
  </w:endnote>
  <w:endnote w:id="7">
    <w:p w14:paraId="26BF4AC0" w14:textId="1EF959EE" w:rsidR="009E15C9" w:rsidRDefault="009E15C9">
      <w:pPr>
        <w:pStyle w:val="EndnoteText"/>
      </w:pPr>
      <w:r>
        <w:rPr>
          <w:rStyle w:val="EndnoteReference"/>
        </w:rPr>
        <w:endnoteRef/>
      </w:r>
      <w:r>
        <w:t xml:space="preserve"> NRCan Database: </w:t>
      </w:r>
      <w:hyperlink r:id="rId7" w:history="1">
        <w:r w:rsidRPr="00D429B3">
          <w:rPr>
            <w:rStyle w:val="Hyperlink"/>
          </w:rPr>
          <w:t>http://oee.nrcan.gc.ca/pml-lmp/index.cfm</w:t>
        </w:r>
      </w:hyperlink>
    </w:p>
  </w:endnote>
  <w:endnote w:id="8">
    <w:p w14:paraId="026FFBFE" w14:textId="25201463" w:rsidR="009E15C9" w:rsidRDefault="009E15C9">
      <w:pPr>
        <w:pStyle w:val="EndnoteText"/>
      </w:pPr>
      <w:r>
        <w:rPr>
          <w:rStyle w:val="EndnoteReference"/>
        </w:rPr>
        <w:endnoteRef/>
      </w:r>
      <w:r>
        <w:t xml:space="preserve"> ETO Efficient Direct Vent Gas Fireplaces in Oregon: </w:t>
      </w:r>
      <w:hyperlink r:id="rId8" w:history="1">
        <w:r w:rsidRPr="00BB040A">
          <w:rPr>
            <w:rStyle w:val="Hyperlink"/>
          </w:rPr>
          <w:t>https://ohpba.org/Resources/Documents/ETO%20_Gas_Fireplace_Survey_Results_12-5-13.pdf</w:t>
        </w:r>
      </w:hyperlink>
    </w:p>
  </w:endnote>
  <w:endnote w:id="9">
    <w:p w14:paraId="5B9CB7A8" w14:textId="24A9C0E5" w:rsidR="009E15C9" w:rsidRDefault="009E15C9" w:rsidP="00BB040A">
      <w:pPr>
        <w:pStyle w:val="EndnoteText"/>
      </w:pPr>
      <w:r>
        <w:rPr>
          <w:rStyle w:val="EndnoteReference"/>
        </w:rPr>
        <w:endnoteRef/>
      </w:r>
      <w:r>
        <w:t xml:space="preserve"> NW Natural’s 2015 Energy Efficiency Plan: </w:t>
      </w:r>
      <w:hyperlink r:id="rId9" w:history="1">
        <w:r w:rsidRPr="00D429B3">
          <w:rPr>
            <w:rStyle w:val="Hyperlink"/>
          </w:rPr>
          <w:t>https://www.utc.wa.gov/_layouts/15/CasesPublicWebsite/GetDocument.ashx?docID=9&amp;year=2014&amp;docketNumber=143895</w:t>
        </w:r>
      </w:hyperlink>
    </w:p>
  </w:endnote>
  <w:endnote w:id="10">
    <w:p w14:paraId="0C6E0215" w14:textId="5D29A7E4" w:rsidR="009E15C9" w:rsidRDefault="009E15C9" w:rsidP="003B2F01">
      <w:pPr>
        <w:pStyle w:val="EndnoteText"/>
      </w:pPr>
      <w:r>
        <w:rPr>
          <w:rStyle w:val="EndnoteReference"/>
        </w:rPr>
        <w:endnoteRef/>
      </w:r>
      <w:r>
        <w:t xml:space="preserve"> ETO Gas Fireplace Incentives: </w:t>
      </w:r>
      <w:hyperlink r:id="rId10" w:history="1">
        <w:r w:rsidRPr="00BB040A">
          <w:rPr>
            <w:rStyle w:val="Hyperlink"/>
          </w:rPr>
          <w:t>https://www.energytrust.org/incentives/gas-fireplaces/</w:t>
        </w:r>
      </w:hyperlink>
    </w:p>
  </w:endnote>
  <w:endnote w:id="11">
    <w:p w14:paraId="4D804631" w14:textId="769FE35B" w:rsidR="009E15C9" w:rsidRDefault="009E15C9">
      <w:pPr>
        <w:pStyle w:val="EndnoteText"/>
      </w:pPr>
      <w:r>
        <w:rPr>
          <w:rStyle w:val="EndnoteReference"/>
        </w:rPr>
        <w:endnoteRef/>
      </w:r>
      <w:r>
        <w:t xml:space="preserve"> LBNL </w:t>
      </w:r>
      <w:r w:rsidRPr="00BB040A">
        <w:t>Su</w:t>
      </w:r>
      <w:r>
        <w:t xml:space="preserve">rvey of Hearth Products in U.S. </w:t>
      </w:r>
      <w:r w:rsidRPr="00BB040A">
        <w:t>Homes</w:t>
      </w:r>
      <w:r>
        <w:t xml:space="preserve">: </w:t>
      </w:r>
      <w:hyperlink r:id="rId11" w:history="1">
        <w:r w:rsidRPr="00BB040A">
          <w:rPr>
            <w:rStyle w:val="Hyperlink"/>
          </w:rPr>
          <w:t>https://eta.lbl.gov/sites/default/files/publications/lbnl-2001030.pdf</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30956" w14:textId="3D505C91" w:rsidR="009E15C9" w:rsidRPr="009500DC" w:rsidRDefault="00276A9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E15C9">
          <w:rPr>
            <w:rFonts w:cstheme="minorHAnsi"/>
            <w:b/>
            <w:sz w:val="20"/>
            <w:szCs w:val="20"/>
          </w:rPr>
          <w:t>WPSCGREHC181220</w:t>
        </w:r>
      </w:sdtContent>
    </w:sdt>
    <w:r w:rsidR="009E15C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E15C9">
          <w:rPr>
            <w:rFonts w:cstheme="minorHAnsi"/>
            <w:b/>
            <w:sz w:val="20"/>
            <w:szCs w:val="20"/>
          </w:rPr>
          <w:t>Revision 00</w:t>
        </w:r>
      </w:sdtContent>
    </w:sdt>
    <w:r w:rsidR="009E15C9" w:rsidRPr="009500DC">
      <w:rPr>
        <w:rFonts w:cstheme="minorHAnsi"/>
        <w:b/>
        <w:sz w:val="20"/>
        <w:szCs w:val="20"/>
      </w:rPr>
      <w:tab/>
    </w:r>
    <w:r w:rsidR="009E15C9" w:rsidRPr="009500DC">
      <w:rPr>
        <w:rFonts w:cstheme="minorHAnsi"/>
        <w:b/>
        <w:sz w:val="20"/>
        <w:szCs w:val="20"/>
      </w:rPr>
      <w:fldChar w:fldCharType="begin"/>
    </w:r>
    <w:r w:rsidR="009E15C9" w:rsidRPr="009500DC">
      <w:rPr>
        <w:rFonts w:cstheme="minorHAnsi"/>
        <w:b/>
        <w:sz w:val="20"/>
        <w:szCs w:val="20"/>
      </w:rPr>
      <w:instrText xml:space="preserve"> PAGE   \* MERGEFORMAT </w:instrText>
    </w:r>
    <w:r w:rsidR="009E15C9" w:rsidRPr="009500DC">
      <w:rPr>
        <w:rFonts w:cstheme="minorHAnsi"/>
        <w:b/>
        <w:sz w:val="20"/>
        <w:szCs w:val="20"/>
      </w:rPr>
      <w:fldChar w:fldCharType="separate"/>
    </w:r>
    <w:r w:rsidR="009E15C9">
      <w:rPr>
        <w:rFonts w:cstheme="minorHAnsi"/>
        <w:b/>
        <w:noProof/>
        <w:sz w:val="20"/>
        <w:szCs w:val="20"/>
      </w:rPr>
      <w:t>12</w:t>
    </w:r>
    <w:r w:rsidR="009E15C9" w:rsidRPr="009500DC">
      <w:rPr>
        <w:rFonts w:cstheme="minorHAnsi"/>
        <w:b/>
        <w:noProof/>
        <w:sz w:val="20"/>
        <w:szCs w:val="20"/>
      </w:rPr>
      <w:fldChar w:fldCharType="end"/>
    </w:r>
    <w:r w:rsidR="009E15C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9E15C9">
          <w:rPr>
            <w:rFonts w:cstheme="minorHAnsi"/>
            <w:b/>
            <w:sz w:val="20"/>
            <w:szCs w:val="20"/>
          </w:rPr>
          <w:t>December 20, 2018</w:t>
        </w:r>
      </w:sdtContent>
    </w:sdt>
  </w:p>
  <w:p w14:paraId="4EA9D101" w14:textId="7D7E30C8" w:rsidR="009E15C9" w:rsidRPr="009500DC" w:rsidRDefault="00276A9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E15C9">
          <w:rPr>
            <w:rFonts w:cstheme="minorHAnsi"/>
            <w:b/>
            <w:sz w:val="20"/>
            <w:szCs w:val="20"/>
          </w:rPr>
          <w:t>Southern California Gas Company</w:t>
        </w:r>
      </w:sdtContent>
    </w:sdt>
  </w:p>
  <w:p w14:paraId="63C3E602" w14:textId="77777777" w:rsidR="009E15C9" w:rsidRDefault="009E15C9"/>
  <w:p w14:paraId="6D5BC1FA" w14:textId="77777777" w:rsidR="009E15C9" w:rsidRDefault="009E15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EF67D" w14:textId="77777777" w:rsidR="009E15C9" w:rsidRDefault="009E15C9" w:rsidP="00447D6E">
      <w:r>
        <w:separator/>
      </w:r>
    </w:p>
    <w:p w14:paraId="5F12F113" w14:textId="77777777" w:rsidR="009E15C9" w:rsidRDefault="009E15C9"/>
  </w:footnote>
  <w:footnote w:type="continuationSeparator" w:id="0">
    <w:p w14:paraId="3811CB4C" w14:textId="77777777" w:rsidR="009E15C9" w:rsidRDefault="009E15C9" w:rsidP="00447D6E">
      <w:r>
        <w:continuationSeparator/>
      </w:r>
    </w:p>
    <w:p w14:paraId="1DB0E5F9" w14:textId="77777777" w:rsidR="009E15C9" w:rsidRDefault="009E15C9"/>
  </w:footnote>
  <w:footnote w:id="1">
    <w:p w14:paraId="1AB93477" w14:textId="3237641D" w:rsidR="009E15C9" w:rsidRDefault="009E15C9" w:rsidP="00A80057">
      <w:pPr>
        <w:pStyle w:val="FootnoteText"/>
      </w:pPr>
      <w:r>
        <w:rPr>
          <w:rStyle w:val="FootnoteReference"/>
        </w:rPr>
        <w:footnoteRef/>
      </w:r>
      <w:r>
        <w:t xml:space="preserve">NW Natural’s 2015 Energy Efficiency Plan, containing updated Blessing Memo for gas fireplace measures as Exhibit A, available at: </w:t>
      </w:r>
      <w:hyperlink r:id="rId1" w:history="1">
        <w:r w:rsidRPr="00D429B3">
          <w:rPr>
            <w:rStyle w:val="Hyperlink"/>
          </w:rPr>
          <w:t>https://www.utc.wa.gov/_layouts/15/CasesPublicWebsite/GetDocument.ashx?docID=9&amp;year=2014&amp;docketNumber=143895</w:t>
        </w:r>
      </w:hyperlink>
    </w:p>
  </w:footnote>
  <w:footnote w:id="2">
    <w:p w14:paraId="7D33E330" w14:textId="5CD0980B" w:rsidR="009E15C9" w:rsidRDefault="009E15C9">
      <w:pPr>
        <w:pStyle w:val="FootnoteText"/>
      </w:pPr>
      <w:r>
        <w:rPr>
          <w:rStyle w:val="FootnoteReference"/>
        </w:rPr>
        <w:footnoteRef/>
      </w:r>
      <w:r>
        <w:t xml:space="preserve"> Section 3.3.1.2 of the April 2010 DOE Energy Conservation Standards Rulemaking TSD</w:t>
      </w:r>
    </w:p>
  </w:footnote>
  <w:footnote w:id="3">
    <w:p w14:paraId="5CC7A6DC" w14:textId="77777777" w:rsidR="009E15C9" w:rsidRDefault="009E15C9" w:rsidP="008F6B93">
      <w:pPr>
        <w:pStyle w:val="FootnoteText"/>
      </w:pPr>
      <w:r>
        <w:rPr>
          <w:rStyle w:val="FootnoteReference"/>
        </w:rPr>
        <w:footnoteRef/>
      </w:r>
      <w:r>
        <w:t xml:space="preserve"> From the DHE Life-Cycle Cost spreadsheet: </w:t>
      </w:r>
      <w:hyperlink r:id="rId2" w:history="1">
        <w:r w:rsidRPr="008F6B93">
          <w:rPr>
            <w:rStyle w:val="Hyperlink"/>
          </w:rPr>
          <w:t>https://www.regulations.gov/document?D=EERE-2006-STD-0129-0148</w:t>
        </w:r>
      </w:hyperlink>
    </w:p>
  </w:footnote>
  <w:footnote w:id="4">
    <w:p w14:paraId="3B5E6147" w14:textId="79C811FD" w:rsidR="009E15C9" w:rsidRDefault="009E15C9" w:rsidP="005C5310">
      <w:pPr>
        <w:pStyle w:val="FootnoteText"/>
      </w:pPr>
      <w:r>
        <w:rPr>
          <w:rStyle w:val="FootnoteReference"/>
        </w:rPr>
        <w:footnoteRef/>
      </w:r>
      <w:r>
        <w:t xml:space="preserve"> Living room sizes were estimated from an array of different online retail and home improvement websites. However, no specific study was identified to provide an average room size.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36C20"/>
    <w:multiLevelType w:val="hybridMultilevel"/>
    <w:tmpl w:val="226C0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10776"/>
    <w:multiLevelType w:val="hybridMultilevel"/>
    <w:tmpl w:val="F68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367BE0"/>
    <w:multiLevelType w:val="hybridMultilevel"/>
    <w:tmpl w:val="188AB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B862A7"/>
    <w:multiLevelType w:val="hybridMultilevel"/>
    <w:tmpl w:val="0E0426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BB52F2"/>
    <w:multiLevelType w:val="hybridMultilevel"/>
    <w:tmpl w:val="9892A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35AD9"/>
    <w:multiLevelType w:val="hybridMultilevel"/>
    <w:tmpl w:val="24042E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117814"/>
    <w:multiLevelType w:val="hybridMultilevel"/>
    <w:tmpl w:val="D1AC4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23ED8"/>
    <w:multiLevelType w:val="hybridMultilevel"/>
    <w:tmpl w:val="27E0285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D29A2"/>
    <w:multiLevelType w:val="hybridMultilevel"/>
    <w:tmpl w:val="CEBC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7C0169"/>
    <w:multiLevelType w:val="hybridMultilevel"/>
    <w:tmpl w:val="0FC8C6F8"/>
    <w:lvl w:ilvl="0" w:tplc="04090011">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081C3C"/>
    <w:multiLevelType w:val="hybridMultilevel"/>
    <w:tmpl w:val="9ACE5D24"/>
    <w:lvl w:ilvl="0" w:tplc="C67C15F2">
      <w:start w:val="1"/>
      <w:numFmt w:val="bullet"/>
      <w:lvlText w:val=""/>
      <w:lvlJc w:val="left"/>
      <w:pPr>
        <w:ind w:left="720" w:hanging="360"/>
      </w:pPr>
      <w:rPr>
        <w:rFonts w:ascii="Symbol" w:hAnsi="Symbol" w:hint="default"/>
        <w:color w:val="FF0000"/>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56F05"/>
    <w:multiLevelType w:val="hybridMultilevel"/>
    <w:tmpl w:val="E2404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7200EF"/>
    <w:multiLevelType w:val="hybridMultilevel"/>
    <w:tmpl w:val="1D5A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3747E3D"/>
    <w:multiLevelType w:val="hybridMultilevel"/>
    <w:tmpl w:val="7D28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CD34BE"/>
    <w:multiLevelType w:val="hybridMultilevel"/>
    <w:tmpl w:val="4F0AAF7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6"/>
  </w:num>
  <w:num w:numId="4">
    <w:abstractNumId w:val="1"/>
  </w:num>
  <w:num w:numId="5">
    <w:abstractNumId w:val="21"/>
  </w:num>
  <w:num w:numId="6">
    <w:abstractNumId w:val="13"/>
  </w:num>
  <w:num w:numId="7">
    <w:abstractNumId w:val="18"/>
  </w:num>
  <w:num w:numId="8">
    <w:abstractNumId w:val="7"/>
  </w:num>
  <w:num w:numId="9">
    <w:abstractNumId w:val="2"/>
  </w:num>
  <w:num w:numId="10">
    <w:abstractNumId w:val="5"/>
  </w:num>
  <w:num w:numId="11">
    <w:abstractNumId w:val="19"/>
  </w:num>
  <w:num w:numId="12">
    <w:abstractNumId w:val="14"/>
  </w:num>
  <w:num w:numId="13">
    <w:abstractNumId w:val="4"/>
  </w:num>
  <w:num w:numId="14">
    <w:abstractNumId w:val="11"/>
  </w:num>
  <w:num w:numId="15">
    <w:abstractNumId w:val="12"/>
  </w:num>
  <w:num w:numId="16">
    <w:abstractNumId w:val="8"/>
  </w:num>
  <w:num w:numId="17">
    <w:abstractNumId w:val="20"/>
  </w:num>
  <w:num w:numId="18">
    <w:abstractNumId w:val="16"/>
  </w:num>
  <w:num w:numId="19">
    <w:abstractNumId w:val="9"/>
  </w:num>
  <w:num w:numId="20">
    <w:abstractNumId w:val="3"/>
  </w:num>
  <w:num w:numId="21">
    <w:abstractNumId w:val="10"/>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57BC"/>
    <w:rsid w:val="00005902"/>
    <w:rsid w:val="0001002B"/>
    <w:rsid w:val="00010806"/>
    <w:rsid w:val="00013F71"/>
    <w:rsid w:val="000173BF"/>
    <w:rsid w:val="00024252"/>
    <w:rsid w:val="000245B5"/>
    <w:rsid w:val="0002545A"/>
    <w:rsid w:val="00027183"/>
    <w:rsid w:val="00033EA1"/>
    <w:rsid w:val="00034D88"/>
    <w:rsid w:val="00034FC3"/>
    <w:rsid w:val="0003746D"/>
    <w:rsid w:val="0004020F"/>
    <w:rsid w:val="000436CB"/>
    <w:rsid w:val="00044C46"/>
    <w:rsid w:val="00052457"/>
    <w:rsid w:val="00052E17"/>
    <w:rsid w:val="00055465"/>
    <w:rsid w:val="00056947"/>
    <w:rsid w:val="00056D3F"/>
    <w:rsid w:val="00061A8E"/>
    <w:rsid w:val="00063922"/>
    <w:rsid w:val="00064CB3"/>
    <w:rsid w:val="00070BEE"/>
    <w:rsid w:val="00072040"/>
    <w:rsid w:val="0007607F"/>
    <w:rsid w:val="00076DF4"/>
    <w:rsid w:val="00076F51"/>
    <w:rsid w:val="00080C84"/>
    <w:rsid w:val="00086F7F"/>
    <w:rsid w:val="0009074D"/>
    <w:rsid w:val="0009592B"/>
    <w:rsid w:val="00096229"/>
    <w:rsid w:val="000968C6"/>
    <w:rsid w:val="000A63C9"/>
    <w:rsid w:val="000B3765"/>
    <w:rsid w:val="000B655B"/>
    <w:rsid w:val="000B78F6"/>
    <w:rsid w:val="000C0000"/>
    <w:rsid w:val="000C18CC"/>
    <w:rsid w:val="000C687D"/>
    <w:rsid w:val="000C7ED1"/>
    <w:rsid w:val="000D764B"/>
    <w:rsid w:val="000D789A"/>
    <w:rsid w:val="000E4B5F"/>
    <w:rsid w:val="000E706D"/>
    <w:rsid w:val="000E76D0"/>
    <w:rsid w:val="000F130A"/>
    <w:rsid w:val="000F4FD8"/>
    <w:rsid w:val="00102456"/>
    <w:rsid w:val="001034C4"/>
    <w:rsid w:val="001043F0"/>
    <w:rsid w:val="00107242"/>
    <w:rsid w:val="00111CC5"/>
    <w:rsid w:val="00111F1E"/>
    <w:rsid w:val="001206F7"/>
    <w:rsid w:val="0012247D"/>
    <w:rsid w:val="001236C1"/>
    <w:rsid w:val="00133EE8"/>
    <w:rsid w:val="00140B30"/>
    <w:rsid w:val="001425FB"/>
    <w:rsid w:val="00147155"/>
    <w:rsid w:val="00147A15"/>
    <w:rsid w:val="00153CB3"/>
    <w:rsid w:val="00154C3B"/>
    <w:rsid w:val="00160158"/>
    <w:rsid w:val="00165357"/>
    <w:rsid w:val="001721C8"/>
    <w:rsid w:val="001722B7"/>
    <w:rsid w:val="001727D9"/>
    <w:rsid w:val="00174BB4"/>
    <w:rsid w:val="00175D14"/>
    <w:rsid w:val="001811EE"/>
    <w:rsid w:val="00185AD4"/>
    <w:rsid w:val="001929F7"/>
    <w:rsid w:val="00197912"/>
    <w:rsid w:val="001979AF"/>
    <w:rsid w:val="001A0506"/>
    <w:rsid w:val="001A0EB4"/>
    <w:rsid w:val="001A1A86"/>
    <w:rsid w:val="001A5F62"/>
    <w:rsid w:val="001B015E"/>
    <w:rsid w:val="001B2301"/>
    <w:rsid w:val="001B43F3"/>
    <w:rsid w:val="001B618B"/>
    <w:rsid w:val="001B63AB"/>
    <w:rsid w:val="001B67D7"/>
    <w:rsid w:val="001B7D21"/>
    <w:rsid w:val="001C1338"/>
    <w:rsid w:val="001C4140"/>
    <w:rsid w:val="001C5936"/>
    <w:rsid w:val="001C5A94"/>
    <w:rsid w:val="001D2317"/>
    <w:rsid w:val="001D3223"/>
    <w:rsid w:val="001D33EF"/>
    <w:rsid w:val="001D5AB3"/>
    <w:rsid w:val="001D6CF0"/>
    <w:rsid w:val="001E0519"/>
    <w:rsid w:val="001E0829"/>
    <w:rsid w:val="001E1320"/>
    <w:rsid w:val="001E556A"/>
    <w:rsid w:val="001F05CE"/>
    <w:rsid w:val="001F0EC9"/>
    <w:rsid w:val="001F1905"/>
    <w:rsid w:val="001F4A65"/>
    <w:rsid w:val="001F50DB"/>
    <w:rsid w:val="0020497C"/>
    <w:rsid w:val="00205C45"/>
    <w:rsid w:val="0021035B"/>
    <w:rsid w:val="00211153"/>
    <w:rsid w:val="00214C06"/>
    <w:rsid w:val="00214D3B"/>
    <w:rsid w:val="00214E6D"/>
    <w:rsid w:val="0023254A"/>
    <w:rsid w:val="002344FB"/>
    <w:rsid w:val="00236216"/>
    <w:rsid w:val="002405CD"/>
    <w:rsid w:val="00240B74"/>
    <w:rsid w:val="00243B62"/>
    <w:rsid w:val="0024675B"/>
    <w:rsid w:val="002469DD"/>
    <w:rsid w:val="00247180"/>
    <w:rsid w:val="0025157F"/>
    <w:rsid w:val="002517A6"/>
    <w:rsid w:val="00254671"/>
    <w:rsid w:val="00257D36"/>
    <w:rsid w:val="00263C1C"/>
    <w:rsid w:val="002664BB"/>
    <w:rsid w:val="00271415"/>
    <w:rsid w:val="00274FBE"/>
    <w:rsid w:val="002762E1"/>
    <w:rsid w:val="00276A99"/>
    <w:rsid w:val="002811BC"/>
    <w:rsid w:val="00283DE8"/>
    <w:rsid w:val="00284CE5"/>
    <w:rsid w:val="00285552"/>
    <w:rsid w:val="00285966"/>
    <w:rsid w:val="00285A0D"/>
    <w:rsid w:val="00290ED8"/>
    <w:rsid w:val="00294FF9"/>
    <w:rsid w:val="00296B49"/>
    <w:rsid w:val="002A03FC"/>
    <w:rsid w:val="002A1843"/>
    <w:rsid w:val="002A3D26"/>
    <w:rsid w:val="002A523E"/>
    <w:rsid w:val="002B1ADF"/>
    <w:rsid w:val="002B502E"/>
    <w:rsid w:val="002B657B"/>
    <w:rsid w:val="002C212F"/>
    <w:rsid w:val="002C2853"/>
    <w:rsid w:val="002C444C"/>
    <w:rsid w:val="002C458F"/>
    <w:rsid w:val="002C6C20"/>
    <w:rsid w:val="002C6C7A"/>
    <w:rsid w:val="002C7F78"/>
    <w:rsid w:val="002D5277"/>
    <w:rsid w:val="002D71FA"/>
    <w:rsid w:val="002D73AF"/>
    <w:rsid w:val="002E3BC1"/>
    <w:rsid w:val="002E4919"/>
    <w:rsid w:val="002E4FD9"/>
    <w:rsid w:val="002E5B58"/>
    <w:rsid w:val="002F1437"/>
    <w:rsid w:val="002F3943"/>
    <w:rsid w:val="002F4E34"/>
    <w:rsid w:val="002F6A42"/>
    <w:rsid w:val="002F79E7"/>
    <w:rsid w:val="002F7E01"/>
    <w:rsid w:val="003003EC"/>
    <w:rsid w:val="003035E3"/>
    <w:rsid w:val="0030363A"/>
    <w:rsid w:val="003062C3"/>
    <w:rsid w:val="00312E6C"/>
    <w:rsid w:val="00313A25"/>
    <w:rsid w:val="00316969"/>
    <w:rsid w:val="00317970"/>
    <w:rsid w:val="00317EB0"/>
    <w:rsid w:val="00320A0A"/>
    <w:rsid w:val="003230C2"/>
    <w:rsid w:val="00327131"/>
    <w:rsid w:val="00332700"/>
    <w:rsid w:val="003336E3"/>
    <w:rsid w:val="003358BD"/>
    <w:rsid w:val="00344E88"/>
    <w:rsid w:val="00345D80"/>
    <w:rsid w:val="003471D4"/>
    <w:rsid w:val="00350BF1"/>
    <w:rsid w:val="00353C49"/>
    <w:rsid w:val="003540B1"/>
    <w:rsid w:val="003557E9"/>
    <w:rsid w:val="003560BA"/>
    <w:rsid w:val="00361C61"/>
    <w:rsid w:val="00364CC6"/>
    <w:rsid w:val="003650F6"/>
    <w:rsid w:val="0036726C"/>
    <w:rsid w:val="00372ACC"/>
    <w:rsid w:val="00377CF6"/>
    <w:rsid w:val="003832D2"/>
    <w:rsid w:val="003845E5"/>
    <w:rsid w:val="00384E62"/>
    <w:rsid w:val="00385BF8"/>
    <w:rsid w:val="0038781C"/>
    <w:rsid w:val="00391407"/>
    <w:rsid w:val="00393137"/>
    <w:rsid w:val="00397406"/>
    <w:rsid w:val="003A3170"/>
    <w:rsid w:val="003A360E"/>
    <w:rsid w:val="003A3AB0"/>
    <w:rsid w:val="003B1908"/>
    <w:rsid w:val="003B2F01"/>
    <w:rsid w:val="003D17FF"/>
    <w:rsid w:val="003D2871"/>
    <w:rsid w:val="003D5B83"/>
    <w:rsid w:val="003E0FB2"/>
    <w:rsid w:val="003E6E47"/>
    <w:rsid w:val="003F0623"/>
    <w:rsid w:val="003F33DE"/>
    <w:rsid w:val="003F3A41"/>
    <w:rsid w:val="003F5BE4"/>
    <w:rsid w:val="003F67E9"/>
    <w:rsid w:val="003F69BA"/>
    <w:rsid w:val="00401031"/>
    <w:rsid w:val="004023B7"/>
    <w:rsid w:val="004045A0"/>
    <w:rsid w:val="00413CDB"/>
    <w:rsid w:val="004200FE"/>
    <w:rsid w:val="00421183"/>
    <w:rsid w:val="00421BA6"/>
    <w:rsid w:val="00421C17"/>
    <w:rsid w:val="00424B10"/>
    <w:rsid w:val="00425F05"/>
    <w:rsid w:val="00426CDE"/>
    <w:rsid w:val="00427C26"/>
    <w:rsid w:val="00433EA1"/>
    <w:rsid w:val="00441957"/>
    <w:rsid w:val="004432DD"/>
    <w:rsid w:val="00443D32"/>
    <w:rsid w:val="004451D2"/>
    <w:rsid w:val="004469DD"/>
    <w:rsid w:val="0044766B"/>
    <w:rsid w:val="004476B2"/>
    <w:rsid w:val="00447CE5"/>
    <w:rsid w:val="00447D6E"/>
    <w:rsid w:val="0045048F"/>
    <w:rsid w:val="0045181B"/>
    <w:rsid w:val="00452133"/>
    <w:rsid w:val="00452C7A"/>
    <w:rsid w:val="00453E24"/>
    <w:rsid w:val="00456B53"/>
    <w:rsid w:val="00461F76"/>
    <w:rsid w:val="0046286E"/>
    <w:rsid w:val="004673A2"/>
    <w:rsid w:val="00471234"/>
    <w:rsid w:val="00472250"/>
    <w:rsid w:val="0047437C"/>
    <w:rsid w:val="00477522"/>
    <w:rsid w:val="004801E7"/>
    <w:rsid w:val="00480E7B"/>
    <w:rsid w:val="0048365A"/>
    <w:rsid w:val="004843E5"/>
    <w:rsid w:val="00484BF6"/>
    <w:rsid w:val="00485963"/>
    <w:rsid w:val="0049052C"/>
    <w:rsid w:val="00493457"/>
    <w:rsid w:val="00494628"/>
    <w:rsid w:val="0049566B"/>
    <w:rsid w:val="00497338"/>
    <w:rsid w:val="004A1650"/>
    <w:rsid w:val="004B1184"/>
    <w:rsid w:val="004B4A3A"/>
    <w:rsid w:val="004B5CE5"/>
    <w:rsid w:val="004B750E"/>
    <w:rsid w:val="004B7D51"/>
    <w:rsid w:val="004C2244"/>
    <w:rsid w:val="004C23F1"/>
    <w:rsid w:val="004D069A"/>
    <w:rsid w:val="004D3616"/>
    <w:rsid w:val="004E01F5"/>
    <w:rsid w:val="004E09CF"/>
    <w:rsid w:val="004E297E"/>
    <w:rsid w:val="004E76CA"/>
    <w:rsid w:val="004F1698"/>
    <w:rsid w:val="004F25E7"/>
    <w:rsid w:val="004F37B4"/>
    <w:rsid w:val="00500C4E"/>
    <w:rsid w:val="00505352"/>
    <w:rsid w:val="00505CEC"/>
    <w:rsid w:val="0051020F"/>
    <w:rsid w:val="00513CAB"/>
    <w:rsid w:val="00516CF5"/>
    <w:rsid w:val="0052274D"/>
    <w:rsid w:val="005227A4"/>
    <w:rsid w:val="00523597"/>
    <w:rsid w:val="00523736"/>
    <w:rsid w:val="00532530"/>
    <w:rsid w:val="00535CA4"/>
    <w:rsid w:val="0053693F"/>
    <w:rsid w:val="005476F6"/>
    <w:rsid w:val="005501C3"/>
    <w:rsid w:val="00551D72"/>
    <w:rsid w:val="005540B6"/>
    <w:rsid w:val="00555049"/>
    <w:rsid w:val="005552C3"/>
    <w:rsid w:val="00556DF6"/>
    <w:rsid w:val="00560934"/>
    <w:rsid w:val="00563E58"/>
    <w:rsid w:val="00564960"/>
    <w:rsid w:val="00570654"/>
    <w:rsid w:val="00570F38"/>
    <w:rsid w:val="005720F2"/>
    <w:rsid w:val="0057218D"/>
    <w:rsid w:val="005729C8"/>
    <w:rsid w:val="00572D2F"/>
    <w:rsid w:val="005734A4"/>
    <w:rsid w:val="0057700D"/>
    <w:rsid w:val="00580EA3"/>
    <w:rsid w:val="00592115"/>
    <w:rsid w:val="00594EF5"/>
    <w:rsid w:val="005A0E53"/>
    <w:rsid w:val="005A1078"/>
    <w:rsid w:val="005A1F7C"/>
    <w:rsid w:val="005A4658"/>
    <w:rsid w:val="005A496B"/>
    <w:rsid w:val="005B28C1"/>
    <w:rsid w:val="005B6344"/>
    <w:rsid w:val="005C1C74"/>
    <w:rsid w:val="005C2E48"/>
    <w:rsid w:val="005C3F23"/>
    <w:rsid w:val="005C5310"/>
    <w:rsid w:val="005C77D9"/>
    <w:rsid w:val="005C7803"/>
    <w:rsid w:val="005C7D75"/>
    <w:rsid w:val="005D226F"/>
    <w:rsid w:val="005D4DD7"/>
    <w:rsid w:val="005D58A7"/>
    <w:rsid w:val="005D7DBB"/>
    <w:rsid w:val="005E12A9"/>
    <w:rsid w:val="005F139E"/>
    <w:rsid w:val="005F69D5"/>
    <w:rsid w:val="006002A6"/>
    <w:rsid w:val="00602799"/>
    <w:rsid w:val="00602AE1"/>
    <w:rsid w:val="00602F18"/>
    <w:rsid w:val="00607A35"/>
    <w:rsid w:val="00607C30"/>
    <w:rsid w:val="00607C70"/>
    <w:rsid w:val="006110F3"/>
    <w:rsid w:val="00612041"/>
    <w:rsid w:val="00614704"/>
    <w:rsid w:val="00614AFF"/>
    <w:rsid w:val="00621ABA"/>
    <w:rsid w:val="0062322A"/>
    <w:rsid w:val="006302A4"/>
    <w:rsid w:val="00631157"/>
    <w:rsid w:val="006367AA"/>
    <w:rsid w:val="006404E6"/>
    <w:rsid w:val="0064680F"/>
    <w:rsid w:val="0064729D"/>
    <w:rsid w:val="00647ABE"/>
    <w:rsid w:val="00650AEF"/>
    <w:rsid w:val="006516BA"/>
    <w:rsid w:val="00663CD9"/>
    <w:rsid w:val="00664B05"/>
    <w:rsid w:val="00665C04"/>
    <w:rsid w:val="0066682D"/>
    <w:rsid w:val="006746FE"/>
    <w:rsid w:val="00676E9F"/>
    <w:rsid w:val="006776D6"/>
    <w:rsid w:val="00680934"/>
    <w:rsid w:val="00685D5C"/>
    <w:rsid w:val="0069264D"/>
    <w:rsid w:val="00694F53"/>
    <w:rsid w:val="0069578B"/>
    <w:rsid w:val="00697868"/>
    <w:rsid w:val="006A055F"/>
    <w:rsid w:val="006A126F"/>
    <w:rsid w:val="006A14E9"/>
    <w:rsid w:val="006A2A65"/>
    <w:rsid w:val="006A5293"/>
    <w:rsid w:val="006A67E4"/>
    <w:rsid w:val="006A6D15"/>
    <w:rsid w:val="006B0DF3"/>
    <w:rsid w:val="006B0F11"/>
    <w:rsid w:val="006B27FA"/>
    <w:rsid w:val="006B4A48"/>
    <w:rsid w:val="006B59F2"/>
    <w:rsid w:val="006B5C7F"/>
    <w:rsid w:val="006C2C55"/>
    <w:rsid w:val="006C2C9B"/>
    <w:rsid w:val="006C430A"/>
    <w:rsid w:val="006D1D5F"/>
    <w:rsid w:val="006D1DA9"/>
    <w:rsid w:val="006D2809"/>
    <w:rsid w:val="006E27A3"/>
    <w:rsid w:val="006E3342"/>
    <w:rsid w:val="006E42EB"/>
    <w:rsid w:val="006E4B12"/>
    <w:rsid w:val="006E64D5"/>
    <w:rsid w:val="006E65D0"/>
    <w:rsid w:val="006F1B21"/>
    <w:rsid w:val="006F21E8"/>
    <w:rsid w:val="006F44A8"/>
    <w:rsid w:val="006F78D5"/>
    <w:rsid w:val="0070091B"/>
    <w:rsid w:val="007048AC"/>
    <w:rsid w:val="00705C75"/>
    <w:rsid w:val="00726338"/>
    <w:rsid w:val="00726AD5"/>
    <w:rsid w:val="00733C7D"/>
    <w:rsid w:val="00740122"/>
    <w:rsid w:val="00740761"/>
    <w:rsid w:val="007436F0"/>
    <w:rsid w:val="00745F77"/>
    <w:rsid w:val="007464DE"/>
    <w:rsid w:val="007529EA"/>
    <w:rsid w:val="00752CCE"/>
    <w:rsid w:val="00755A45"/>
    <w:rsid w:val="00760CDC"/>
    <w:rsid w:val="00764D0D"/>
    <w:rsid w:val="007708B3"/>
    <w:rsid w:val="00774B7E"/>
    <w:rsid w:val="00777C53"/>
    <w:rsid w:val="00784343"/>
    <w:rsid w:val="00786E92"/>
    <w:rsid w:val="007933F1"/>
    <w:rsid w:val="007A5F52"/>
    <w:rsid w:val="007A741D"/>
    <w:rsid w:val="007B090A"/>
    <w:rsid w:val="007D5991"/>
    <w:rsid w:val="007E43F8"/>
    <w:rsid w:val="007E5076"/>
    <w:rsid w:val="007E656B"/>
    <w:rsid w:val="007F2997"/>
    <w:rsid w:val="007F50E8"/>
    <w:rsid w:val="007F54E2"/>
    <w:rsid w:val="007F7FBA"/>
    <w:rsid w:val="00800319"/>
    <w:rsid w:val="0080044E"/>
    <w:rsid w:val="00800706"/>
    <w:rsid w:val="0080189A"/>
    <w:rsid w:val="0080195A"/>
    <w:rsid w:val="00801F7F"/>
    <w:rsid w:val="00803C2B"/>
    <w:rsid w:val="0080568D"/>
    <w:rsid w:val="00810D3E"/>
    <w:rsid w:val="00811945"/>
    <w:rsid w:val="008228C0"/>
    <w:rsid w:val="00824F1C"/>
    <w:rsid w:val="00826688"/>
    <w:rsid w:val="0083369B"/>
    <w:rsid w:val="00835AA9"/>
    <w:rsid w:val="00835D38"/>
    <w:rsid w:val="00841BE7"/>
    <w:rsid w:val="008430C7"/>
    <w:rsid w:val="00847A4E"/>
    <w:rsid w:val="00861FFE"/>
    <w:rsid w:val="00864349"/>
    <w:rsid w:val="00865FBC"/>
    <w:rsid w:val="008679E0"/>
    <w:rsid w:val="00871D79"/>
    <w:rsid w:val="0087393E"/>
    <w:rsid w:val="00877271"/>
    <w:rsid w:val="00881A42"/>
    <w:rsid w:val="00882386"/>
    <w:rsid w:val="008834EC"/>
    <w:rsid w:val="0088361D"/>
    <w:rsid w:val="0088429A"/>
    <w:rsid w:val="00885E0A"/>
    <w:rsid w:val="0088603B"/>
    <w:rsid w:val="008877AF"/>
    <w:rsid w:val="008906FA"/>
    <w:rsid w:val="00893FC3"/>
    <w:rsid w:val="0089577B"/>
    <w:rsid w:val="008A35A3"/>
    <w:rsid w:val="008A63BD"/>
    <w:rsid w:val="008B1024"/>
    <w:rsid w:val="008B1357"/>
    <w:rsid w:val="008B2DF3"/>
    <w:rsid w:val="008B3DF7"/>
    <w:rsid w:val="008C27E1"/>
    <w:rsid w:val="008C2E0E"/>
    <w:rsid w:val="008C4347"/>
    <w:rsid w:val="008C4DE0"/>
    <w:rsid w:val="008D3930"/>
    <w:rsid w:val="008D67F9"/>
    <w:rsid w:val="008D72FF"/>
    <w:rsid w:val="008E17CC"/>
    <w:rsid w:val="008E25B1"/>
    <w:rsid w:val="008E56FB"/>
    <w:rsid w:val="008F2167"/>
    <w:rsid w:val="008F33B4"/>
    <w:rsid w:val="008F6298"/>
    <w:rsid w:val="008F6B93"/>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739A4"/>
    <w:rsid w:val="00975206"/>
    <w:rsid w:val="009804C2"/>
    <w:rsid w:val="009824E9"/>
    <w:rsid w:val="009826E5"/>
    <w:rsid w:val="009844A1"/>
    <w:rsid w:val="00985ACB"/>
    <w:rsid w:val="009861ED"/>
    <w:rsid w:val="00986E20"/>
    <w:rsid w:val="00987BCE"/>
    <w:rsid w:val="00991266"/>
    <w:rsid w:val="00995479"/>
    <w:rsid w:val="00995CB0"/>
    <w:rsid w:val="00997E77"/>
    <w:rsid w:val="009A1B75"/>
    <w:rsid w:val="009A2734"/>
    <w:rsid w:val="009A32CD"/>
    <w:rsid w:val="009B2A02"/>
    <w:rsid w:val="009B2B61"/>
    <w:rsid w:val="009B2BE2"/>
    <w:rsid w:val="009B5B7B"/>
    <w:rsid w:val="009C1777"/>
    <w:rsid w:val="009C2C86"/>
    <w:rsid w:val="009C4B8F"/>
    <w:rsid w:val="009C59E5"/>
    <w:rsid w:val="009C6FE0"/>
    <w:rsid w:val="009D01A0"/>
    <w:rsid w:val="009D0753"/>
    <w:rsid w:val="009D10A4"/>
    <w:rsid w:val="009D279B"/>
    <w:rsid w:val="009D422C"/>
    <w:rsid w:val="009D5131"/>
    <w:rsid w:val="009D6F71"/>
    <w:rsid w:val="009E15C9"/>
    <w:rsid w:val="009E1802"/>
    <w:rsid w:val="009E1CDE"/>
    <w:rsid w:val="009E20EE"/>
    <w:rsid w:val="009E212D"/>
    <w:rsid w:val="009E2B06"/>
    <w:rsid w:val="009E3829"/>
    <w:rsid w:val="009E51E2"/>
    <w:rsid w:val="009E74BB"/>
    <w:rsid w:val="009F7A61"/>
    <w:rsid w:val="00A02B33"/>
    <w:rsid w:val="00A11800"/>
    <w:rsid w:val="00A11C16"/>
    <w:rsid w:val="00A1423E"/>
    <w:rsid w:val="00A1748C"/>
    <w:rsid w:val="00A17664"/>
    <w:rsid w:val="00A20FAF"/>
    <w:rsid w:val="00A215BF"/>
    <w:rsid w:val="00A24520"/>
    <w:rsid w:val="00A24614"/>
    <w:rsid w:val="00A3164A"/>
    <w:rsid w:val="00A35405"/>
    <w:rsid w:val="00A37F42"/>
    <w:rsid w:val="00A43D53"/>
    <w:rsid w:val="00A4411F"/>
    <w:rsid w:val="00A500D6"/>
    <w:rsid w:val="00A523FF"/>
    <w:rsid w:val="00A54756"/>
    <w:rsid w:val="00A54C66"/>
    <w:rsid w:val="00A57D36"/>
    <w:rsid w:val="00A61BB6"/>
    <w:rsid w:val="00A65734"/>
    <w:rsid w:val="00A6687F"/>
    <w:rsid w:val="00A67648"/>
    <w:rsid w:val="00A67907"/>
    <w:rsid w:val="00A73050"/>
    <w:rsid w:val="00A73CC1"/>
    <w:rsid w:val="00A80057"/>
    <w:rsid w:val="00A80270"/>
    <w:rsid w:val="00A82B74"/>
    <w:rsid w:val="00A82DB1"/>
    <w:rsid w:val="00A8376E"/>
    <w:rsid w:val="00A84127"/>
    <w:rsid w:val="00A84736"/>
    <w:rsid w:val="00A86DA2"/>
    <w:rsid w:val="00A90DFC"/>
    <w:rsid w:val="00A91BF3"/>
    <w:rsid w:val="00AA0A9C"/>
    <w:rsid w:val="00AA16C0"/>
    <w:rsid w:val="00AA2BE0"/>
    <w:rsid w:val="00AA47A1"/>
    <w:rsid w:val="00AA4CDC"/>
    <w:rsid w:val="00AA565D"/>
    <w:rsid w:val="00AB21D4"/>
    <w:rsid w:val="00AB21F5"/>
    <w:rsid w:val="00AB3386"/>
    <w:rsid w:val="00AB36DB"/>
    <w:rsid w:val="00AB6331"/>
    <w:rsid w:val="00AC0B1D"/>
    <w:rsid w:val="00AC0E29"/>
    <w:rsid w:val="00AC20FD"/>
    <w:rsid w:val="00AC2F5B"/>
    <w:rsid w:val="00AC3DAD"/>
    <w:rsid w:val="00AC5309"/>
    <w:rsid w:val="00AC5B97"/>
    <w:rsid w:val="00AD384F"/>
    <w:rsid w:val="00AD4D76"/>
    <w:rsid w:val="00AD4DD0"/>
    <w:rsid w:val="00AE0A8D"/>
    <w:rsid w:val="00AF2412"/>
    <w:rsid w:val="00AF5E7F"/>
    <w:rsid w:val="00AF6143"/>
    <w:rsid w:val="00AF6342"/>
    <w:rsid w:val="00B053FB"/>
    <w:rsid w:val="00B05647"/>
    <w:rsid w:val="00B07EE5"/>
    <w:rsid w:val="00B21CC5"/>
    <w:rsid w:val="00B23D99"/>
    <w:rsid w:val="00B26778"/>
    <w:rsid w:val="00B26B83"/>
    <w:rsid w:val="00B32479"/>
    <w:rsid w:val="00B33FE2"/>
    <w:rsid w:val="00B3664B"/>
    <w:rsid w:val="00B37F41"/>
    <w:rsid w:val="00B403ED"/>
    <w:rsid w:val="00B4065F"/>
    <w:rsid w:val="00B45091"/>
    <w:rsid w:val="00B45447"/>
    <w:rsid w:val="00B46D2D"/>
    <w:rsid w:val="00B614F1"/>
    <w:rsid w:val="00B75170"/>
    <w:rsid w:val="00B76FD4"/>
    <w:rsid w:val="00B826A1"/>
    <w:rsid w:val="00B844ED"/>
    <w:rsid w:val="00B866B4"/>
    <w:rsid w:val="00B94226"/>
    <w:rsid w:val="00BA0A8C"/>
    <w:rsid w:val="00BA0CEB"/>
    <w:rsid w:val="00BA2383"/>
    <w:rsid w:val="00BA2E7E"/>
    <w:rsid w:val="00BA491E"/>
    <w:rsid w:val="00BA590A"/>
    <w:rsid w:val="00BA5FE4"/>
    <w:rsid w:val="00BB040A"/>
    <w:rsid w:val="00BB0B39"/>
    <w:rsid w:val="00BB30D1"/>
    <w:rsid w:val="00BB39D8"/>
    <w:rsid w:val="00BB3F1C"/>
    <w:rsid w:val="00BB487A"/>
    <w:rsid w:val="00BB5F75"/>
    <w:rsid w:val="00BC6524"/>
    <w:rsid w:val="00BD3931"/>
    <w:rsid w:val="00BD5B88"/>
    <w:rsid w:val="00BD5F58"/>
    <w:rsid w:val="00BD7FF5"/>
    <w:rsid w:val="00BE0AEB"/>
    <w:rsid w:val="00BF12B1"/>
    <w:rsid w:val="00BF45CF"/>
    <w:rsid w:val="00BF73FD"/>
    <w:rsid w:val="00C018E0"/>
    <w:rsid w:val="00C03B41"/>
    <w:rsid w:val="00C05AAF"/>
    <w:rsid w:val="00C113D5"/>
    <w:rsid w:val="00C118C7"/>
    <w:rsid w:val="00C20877"/>
    <w:rsid w:val="00C20E7B"/>
    <w:rsid w:val="00C21456"/>
    <w:rsid w:val="00C24D03"/>
    <w:rsid w:val="00C25E61"/>
    <w:rsid w:val="00C275FC"/>
    <w:rsid w:val="00C31747"/>
    <w:rsid w:val="00C34E2B"/>
    <w:rsid w:val="00C35A1B"/>
    <w:rsid w:val="00C413F3"/>
    <w:rsid w:val="00C53A39"/>
    <w:rsid w:val="00C54EFF"/>
    <w:rsid w:val="00C55D03"/>
    <w:rsid w:val="00C63548"/>
    <w:rsid w:val="00C63F96"/>
    <w:rsid w:val="00C65450"/>
    <w:rsid w:val="00C677AF"/>
    <w:rsid w:val="00C67E59"/>
    <w:rsid w:val="00C72B8B"/>
    <w:rsid w:val="00C72CB5"/>
    <w:rsid w:val="00C73E57"/>
    <w:rsid w:val="00C76D4F"/>
    <w:rsid w:val="00C7785E"/>
    <w:rsid w:val="00C802DC"/>
    <w:rsid w:val="00C805BC"/>
    <w:rsid w:val="00C84831"/>
    <w:rsid w:val="00C84DB9"/>
    <w:rsid w:val="00C90258"/>
    <w:rsid w:val="00C91E72"/>
    <w:rsid w:val="00C959CA"/>
    <w:rsid w:val="00C95D16"/>
    <w:rsid w:val="00CA2AB4"/>
    <w:rsid w:val="00CA6E68"/>
    <w:rsid w:val="00CB0100"/>
    <w:rsid w:val="00CB04D2"/>
    <w:rsid w:val="00CD7EFE"/>
    <w:rsid w:val="00CE0C66"/>
    <w:rsid w:val="00CE28CF"/>
    <w:rsid w:val="00CE4386"/>
    <w:rsid w:val="00CE4CDC"/>
    <w:rsid w:val="00CE5BEB"/>
    <w:rsid w:val="00CE69E9"/>
    <w:rsid w:val="00CE71F2"/>
    <w:rsid w:val="00CF3F65"/>
    <w:rsid w:val="00CF464D"/>
    <w:rsid w:val="00D15E51"/>
    <w:rsid w:val="00D16356"/>
    <w:rsid w:val="00D17EF4"/>
    <w:rsid w:val="00D23770"/>
    <w:rsid w:val="00D25074"/>
    <w:rsid w:val="00D2719E"/>
    <w:rsid w:val="00D34517"/>
    <w:rsid w:val="00D36798"/>
    <w:rsid w:val="00D44634"/>
    <w:rsid w:val="00D44ED3"/>
    <w:rsid w:val="00D47AB4"/>
    <w:rsid w:val="00D47E80"/>
    <w:rsid w:val="00D52753"/>
    <w:rsid w:val="00D65D98"/>
    <w:rsid w:val="00D662ED"/>
    <w:rsid w:val="00D70563"/>
    <w:rsid w:val="00D70D89"/>
    <w:rsid w:val="00D71558"/>
    <w:rsid w:val="00D72051"/>
    <w:rsid w:val="00D7380B"/>
    <w:rsid w:val="00D74ACA"/>
    <w:rsid w:val="00D75D77"/>
    <w:rsid w:val="00D7639E"/>
    <w:rsid w:val="00D77FF3"/>
    <w:rsid w:val="00D835EF"/>
    <w:rsid w:val="00D850BD"/>
    <w:rsid w:val="00D85F09"/>
    <w:rsid w:val="00D86A9D"/>
    <w:rsid w:val="00D92C5A"/>
    <w:rsid w:val="00D95243"/>
    <w:rsid w:val="00D95DB8"/>
    <w:rsid w:val="00DA089A"/>
    <w:rsid w:val="00DA11A0"/>
    <w:rsid w:val="00DA2822"/>
    <w:rsid w:val="00DA690B"/>
    <w:rsid w:val="00DA7225"/>
    <w:rsid w:val="00DB44E9"/>
    <w:rsid w:val="00DB6C62"/>
    <w:rsid w:val="00DC1966"/>
    <w:rsid w:val="00DC3259"/>
    <w:rsid w:val="00DC3F10"/>
    <w:rsid w:val="00DD0523"/>
    <w:rsid w:val="00DD3221"/>
    <w:rsid w:val="00DD55BF"/>
    <w:rsid w:val="00DE15C4"/>
    <w:rsid w:val="00DE5758"/>
    <w:rsid w:val="00DE5FCF"/>
    <w:rsid w:val="00DF0D19"/>
    <w:rsid w:val="00DF2EE9"/>
    <w:rsid w:val="00DF55F1"/>
    <w:rsid w:val="00DF5744"/>
    <w:rsid w:val="00DF65C8"/>
    <w:rsid w:val="00DF6FD8"/>
    <w:rsid w:val="00E05A80"/>
    <w:rsid w:val="00E06A37"/>
    <w:rsid w:val="00E071A5"/>
    <w:rsid w:val="00E07752"/>
    <w:rsid w:val="00E10311"/>
    <w:rsid w:val="00E13685"/>
    <w:rsid w:val="00E16609"/>
    <w:rsid w:val="00E16F08"/>
    <w:rsid w:val="00E233F3"/>
    <w:rsid w:val="00E265CB"/>
    <w:rsid w:val="00E26B34"/>
    <w:rsid w:val="00E314BA"/>
    <w:rsid w:val="00E325BE"/>
    <w:rsid w:val="00E326BA"/>
    <w:rsid w:val="00E34202"/>
    <w:rsid w:val="00E36679"/>
    <w:rsid w:val="00E37F72"/>
    <w:rsid w:val="00E40BE5"/>
    <w:rsid w:val="00E40CF9"/>
    <w:rsid w:val="00E42A30"/>
    <w:rsid w:val="00E5625D"/>
    <w:rsid w:val="00E61729"/>
    <w:rsid w:val="00E64671"/>
    <w:rsid w:val="00E648BB"/>
    <w:rsid w:val="00E65FBA"/>
    <w:rsid w:val="00E67ACA"/>
    <w:rsid w:val="00E713F1"/>
    <w:rsid w:val="00E76B31"/>
    <w:rsid w:val="00E81F3E"/>
    <w:rsid w:val="00E844BB"/>
    <w:rsid w:val="00E84C48"/>
    <w:rsid w:val="00E859BD"/>
    <w:rsid w:val="00E86B70"/>
    <w:rsid w:val="00E87C8F"/>
    <w:rsid w:val="00E9008F"/>
    <w:rsid w:val="00E91A56"/>
    <w:rsid w:val="00E924C3"/>
    <w:rsid w:val="00E950C1"/>
    <w:rsid w:val="00E954EE"/>
    <w:rsid w:val="00E96759"/>
    <w:rsid w:val="00E9708D"/>
    <w:rsid w:val="00EA4437"/>
    <w:rsid w:val="00EA4D87"/>
    <w:rsid w:val="00EA5C91"/>
    <w:rsid w:val="00EB34FC"/>
    <w:rsid w:val="00EB76E1"/>
    <w:rsid w:val="00EC2499"/>
    <w:rsid w:val="00EC501E"/>
    <w:rsid w:val="00EC5782"/>
    <w:rsid w:val="00ED079D"/>
    <w:rsid w:val="00ED245D"/>
    <w:rsid w:val="00EE4120"/>
    <w:rsid w:val="00EF2E8A"/>
    <w:rsid w:val="00EF4E6B"/>
    <w:rsid w:val="00EF5416"/>
    <w:rsid w:val="00EF7E1B"/>
    <w:rsid w:val="00F06CCF"/>
    <w:rsid w:val="00F1053D"/>
    <w:rsid w:val="00F110D5"/>
    <w:rsid w:val="00F11E63"/>
    <w:rsid w:val="00F12733"/>
    <w:rsid w:val="00F13A1D"/>
    <w:rsid w:val="00F171E1"/>
    <w:rsid w:val="00F20DCF"/>
    <w:rsid w:val="00F241BF"/>
    <w:rsid w:val="00F25B36"/>
    <w:rsid w:val="00F3052A"/>
    <w:rsid w:val="00F3078E"/>
    <w:rsid w:val="00F30A16"/>
    <w:rsid w:val="00F341E3"/>
    <w:rsid w:val="00F35D09"/>
    <w:rsid w:val="00F41E88"/>
    <w:rsid w:val="00F4304D"/>
    <w:rsid w:val="00F46612"/>
    <w:rsid w:val="00F4752B"/>
    <w:rsid w:val="00F476E8"/>
    <w:rsid w:val="00F501B8"/>
    <w:rsid w:val="00F541AE"/>
    <w:rsid w:val="00F56792"/>
    <w:rsid w:val="00F571A6"/>
    <w:rsid w:val="00F6018B"/>
    <w:rsid w:val="00F60265"/>
    <w:rsid w:val="00F60E32"/>
    <w:rsid w:val="00F633B9"/>
    <w:rsid w:val="00F64210"/>
    <w:rsid w:val="00F644FF"/>
    <w:rsid w:val="00F65ABA"/>
    <w:rsid w:val="00F65E15"/>
    <w:rsid w:val="00F7242E"/>
    <w:rsid w:val="00F74B33"/>
    <w:rsid w:val="00F810DD"/>
    <w:rsid w:val="00F81C56"/>
    <w:rsid w:val="00F86936"/>
    <w:rsid w:val="00F90121"/>
    <w:rsid w:val="00F94AFD"/>
    <w:rsid w:val="00F95E2F"/>
    <w:rsid w:val="00F96DEB"/>
    <w:rsid w:val="00F9782B"/>
    <w:rsid w:val="00FA046D"/>
    <w:rsid w:val="00FA1872"/>
    <w:rsid w:val="00FA4F34"/>
    <w:rsid w:val="00FB237A"/>
    <w:rsid w:val="00FB2590"/>
    <w:rsid w:val="00FB54E7"/>
    <w:rsid w:val="00FB7B0D"/>
    <w:rsid w:val="00FC2C0D"/>
    <w:rsid w:val="00FD5A8C"/>
    <w:rsid w:val="00FE00EA"/>
    <w:rsid w:val="00FE1A0B"/>
    <w:rsid w:val="00FE286E"/>
    <w:rsid w:val="00FE3233"/>
    <w:rsid w:val="00FE4C68"/>
    <w:rsid w:val="00FE5FAF"/>
    <w:rsid w:val="00FE6D74"/>
    <w:rsid w:val="00FF73B4"/>
    <w:rsid w:val="04134B4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74466215"/>
  <w15:docId w15:val="{0088635F-BD2C-4535-B02D-C330F537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E09C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semiHidden/>
    <w:unhideWhenUsed/>
    <w:rsid w:val="00E713F1"/>
    <w:pPr>
      <w:spacing w:before="100" w:beforeAutospacing="1" w:after="100" w:afterAutospacing="1"/>
    </w:pPr>
    <w:rPr>
      <w:rFonts w:ascii="Times New Roman" w:eastAsiaTheme="minorEastAsia" w:hAnsi="Times New Roman"/>
      <w:sz w:val="24"/>
    </w:rPr>
  </w:style>
  <w:style w:type="character" w:styleId="UnresolvedMention">
    <w:name w:val="Unresolved Mention"/>
    <w:basedOn w:val="DefaultParagraphFont"/>
    <w:uiPriority w:val="99"/>
    <w:semiHidden/>
    <w:unhideWhenUsed/>
    <w:rsid w:val="00E13685"/>
    <w:rPr>
      <w:color w:val="808080"/>
      <w:shd w:val="clear" w:color="auto" w:fill="E6E6E6"/>
    </w:rPr>
  </w:style>
  <w:style w:type="character" w:customStyle="1" w:styleId="Heading4Char">
    <w:name w:val="Heading 4 Char"/>
    <w:basedOn w:val="DefaultParagraphFont"/>
    <w:link w:val="Heading4"/>
    <w:uiPriority w:val="9"/>
    <w:rsid w:val="004E09CF"/>
    <w:rPr>
      <w:rFonts w:asciiTheme="majorHAnsi" w:eastAsiaTheme="majorEastAsia" w:hAnsiTheme="majorHAnsi" w:cstheme="majorBidi"/>
      <w:i/>
      <w:iCs/>
      <w:color w:val="365F91" w:themeColor="accent1" w:themeShade="BF"/>
      <w:szCs w:val="24"/>
    </w:rPr>
  </w:style>
  <w:style w:type="character" w:styleId="FollowedHyperlink">
    <w:name w:val="FollowedHyperlink"/>
    <w:basedOn w:val="DefaultParagraphFont"/>
    <w:uiPriority w:val="99"/>
    <w:semiHidden/>
    <w:unhideWhenUsed/>
    <w:rsid w:val="00D77FF3"/>
    <w:rPr>
      <w:color w:val="800080" w:themeColor="followedHyperlink"/>
      <w:u w:val="single"/>
    </w:rPr>
  </w:style>
  <w:style w:type="paragraph" w:customStyle="1" w:styleId="ART">
    <w:name w:val="ART"/>
    <w:basedOn w:val="Normal"/>
    <w:next w:val="PR1"/>
    <w:rsid w:val="00391407"/>
    <w:pPr>
      <w:numPr>
        <w:ilvl w:val="1"/>
        <w:numId w:val="13"/>
      </w:numPr>
      <w:suppressAutoHyphens/>
      <w:spacing w:before="240"/>
      <w:outlineLvl w:val="1"/>
    </w:pPr>
    <w:rPr>
      <w:rFonts w:ascii="Arial" w:eastAsiaTheme="minorEastAsia" w:hAnsi="Arial"/>
      <w:b/>
      <w:caps/>
      <w:szCs w:val="22"/>
    </w:rPr>
  </w:style>
  <w:style w:type="paragraph" w:customStyle="1" w:styleId="PR1">
    <w:name w:val="PR1"/>
    <w:basedOn w:val="ART"/>
    <w:rsid w:val="00391407"/>
    <w:pPr>
      <w:numPr>
        <w:ilvl w:val="2"/>
      </w:numPr>
      <w:outlineLvl w:val="2"/>
    </w:pPr>
    <w:rPr>
      <w:b w:val="0"/>
      <w:caps w:val="0"/>
    </w:rPr>
  </w:style>
  <w:style w:type="paragraph" w:customStyle="1" w:styleId="PR2">
    <w:name w:val="PR2"/>
    <w:basedOn w:val="PR1"/>
    <w:rsid w:val="00391407"/>
    <w:pPr>
      <w:numPr>
        <w:ilvl w:val="3"/>
      </w:numPr>
      <w:spacing w:before="0"/>
      <w:outlineLvl w:val="3"/>
    </w:pPr>
  </w:style>
  <w:style w:type="paragraph" w:customStyle="1" w:styleId="PR3">
    <w:name w:val="PR3"/>
    <w:basedOn w:val="PR1"/>
    <w:rsid w:val="00391407"/>
    <w:pPr>
      <w:numPr>
        <w:ilvl w:val="4"/>
      </w:numPr>
      <w:spacing w:before="0"/>
      <w:outlineLvl w:val="4"/>
    </w:pPr>
  </w:style>
  <w:style w:type="paragraph" w:customStyle="1" w:styleId="PR4">
    <w:name w:val="PR4"/>
    <w:basedOn w:val="PR1"/>
    <w:rsid w:val="00391407"/>
    <w:pPr>
      <w:numPr>
        <w:ilvl w:val="5"/>
      </w:numPr>
      <w:tabs>
        <w:tab w:val="left" w:pos="2448"/>
      </w:tabs>
      <w:spacing w:before="0"/>
      <w:outlineLvl w:val="5"/>
    </w:pPr>
  </w:style>
  <w:style w:type="paragraph" w:customStyle="1" w:styleId="PR5">
    <w:name w:val="PR5"/>
    <w:basedOn w:val="PR1"/>
    <w:rsid w:val="00391407"/>
    <w:pPr>
      <w:numPr>
        <w:ilvl w:val="6"/>
      </w:numPr>
      <w:spacing w:before="0"/>
      <w:outlineLvl w:val="6"/>
    </w:pPr>
  </w:style>
  <w:style w:type="paragraph" w:customStyle="1" w:styleId="PR6">
    <w:name w:val="PR6"/>
    <w:basedOn w:val="PR1"/>
    <w:rsid w:val="00391407"/>
    <w:pPr>
      <w:numPr>
        <w:ilvl w:val="7"/>
      </w:numPr>
      <w:tabs>
        <w:tab w:val="left" w:pos="3744"/>
      </w:tabs>
      <w:spacing w:before="0"/>
      <w:outlineLvl w:val="7"/>
    </w:pPr>
  </w:style>
  <w:style w:type="paragraph" w:customStyle="1" w:styleId="PR7">
    <w:name w:val="PR7"/>
    <w:basedOn w:val="PR6"/>
    <w:rsid w:val="00391407"/>
    <w:pPr>
      <w:numPr>
        <w:ilvl w:val="8"/>
      </w:numPr>
      <w:tabs>
        <w:tab w:val="left" w:pos="4464"/>
      </w:tabs>
    </w:pPr>
  </w:style>
  <w:style w:type="paragraph" w:customStyle="1" w:styleId="WPSCT">
    <w:name w:val="WPSCT"/>
    <w:basedOn w:val="Normal"/>
    <w:next w:val="ART"/>
    <w:qFormat/>
    <w:rsid w:val="00391407"/>
    <w:pPr>
      <w:numPr>
        <w:numId w:val="13"/>
      </w:numPr>
      <w:suppressAutoHyphens/>
      <w:spacing w:before="240"/>
      <w:outlineLvl w:val="0"/>
    </w:pPr>
    <w:rPr>
      <w:rFonts w:ascii="Arial" w:eastAsiaTheme="minorEastAsia" w:hAnsi="Arial"/>
      <w:b/>
      <w:caps/>
      <w:szCs w:val="22"/>
    </w:rPr>
  </w:style>
  <w:style w:type="character" w:customStyle="1" w:styleId="normaltextrun">
    <w:name w:val="normaltextrun"/>
    <w:basedOn w:val="DefaultParagraphFont"/>
    <w:rsid w:val="003A3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438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8378466">
      <w:bodyDiv w:val="1"/>
      <w:marLeft w:val="0"/>
      <w:marRight w:val="0"/>
      <w:marTop w:val="0"/>
      <w:marBottom w:val="0"/>
      <w:divBdr>
        <w:top w:val="none" w:sz="0" w:space="0" w:color="auto"/>
        <w:left w:val="none" w:sz="0" w:space="0" w:color="auto"/>
        <w:bottom w:val="none" w:sz="0" w:space="0" w:color="auto"/>
        <w:right w:val="none" w:sz="0" w:space="0" w:color="auto"/>
      </w:divBdr>
    </w:div>
    <w:div w:id="989408067">
      <w:bodyDiv w:val="1"/>
      <w:marLeft w:val="0"/>
      <w:marRight w:val="0"/>
      <w:marTop w:val="0"/>
      <w:marBottom w:val="0"/>
      <w:divBdr>
        <w:top w:val="none" w:sz="0" w:space="0" w:color="auto"/>
        <w:left w:val="none" w:sz="0" w:space="0" w:color="auto"/>
        <w:bottom w:val="none" w:sz="0" w:space="0" w:color="auto"/>
        <w:right w:val="none" w:sz="0" w:space="0" w:color="auto"/>
      </w:divBdr>
    </w:div>
    <w:div w:id="99526044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26065977">
      <w:bodyDiv w:val="1"/>
      <w:marLeft w:val="0"/>
      <w:marRight w:val="0"/>
      <w:marTop w:val="0"/>
      <w:marBottom w:val="0"/>
      <w:divBdr>
        <w:top w:val="none" w:sz="0" w:space="0" w:color="auto"/>
        <w:left w:val="none" w:sz="0" w:space="0" w:color="auto"/>
        <w:bottom w:val="none" w:sz="0" w:space="0" w:color="auto"/>
        <w:right w:val="none" w:sz="0" w:space="0" w:color="auto"/>
      </w:divBdr>
    </w:div>
    <w:div w:id="1799760555">
      <w:bodyDiv w:val="1"/>
      <w:marLeft w:val="0"/>
      <w:marRight w:val="0"/>
      <w:marTop w:val="0"/>
      <w:marBottom w:val="0"/>
      <w:divBdr>
        <w:top w:val="none" w:sz="0" w:space="0" w:color="auto"/>
        <w:left w:val="none" w:sz="0" w:space="0" w:color="auto"/>
        <w:bottom w:val="none" w:sz="0" w:space="0" w:color="auto"/>
        <w:right w:val="none" w:sz="0" w:space="0" w:color="auto"/>
      </w:divBdr>
    </w:div>
    <w:div w:id="1808467877">
      <w:bodyDiv w:val="1"/>
      <w:marLeft w:val="0"/>
      <w:marRight w:val="0"/>
      <w:marTop w:val="0"/>
      <w:marBottom w:val="0"/>
      <w:divBdr>
        <w:top w:val="none" w:sz="0" w:space="0" w:color="auto"/>
        <w:left w:val="none" w:sz="0" w:space="0" w:color="auto"/>
        <w:bottom w:val="none" w:sz="0" w:space="0" w:color="auto"/>
        <w:right w:val="none" w:sz="0" w:space="0" w:color="auto"/>
      </w:divBdr>
    </w:div>
    <w:div w:id="207377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endnotes.xml.rels><?xml version="1.0" encoding="UTF-8" standalone="yes"?>
<Relationships xmlns="http://schemas.openxmlformats.org/package/2006/relationships"><Relationship Id="rId8" Type="http://schemas.openxmlformats.org/officeDocument/2006/relationships/hyperlink" Target="https://ohpba.org/Resources/Documents/ETO%20_Gas_Fireplace_Survey_Results_12-5-13.pdf" TargetMode="External"/><Relationship Id="rId3" Type="http://schemas.openxmlformats.org/officeDocument/2006/relationships/hyperlink" Target="https://www.regulations.gov/document?D=EERE-2006-STD-0129-0005" TargetMode="External"/><Relationship Id="rId7" Type="http://schemas.openxmlformats.org/officeDocument/2006/relationships/hyperlink" Target="http://oee.nrcan.gc.ca/pml-lmp/index.cfm?action=app.welcome-bienvenue&amp;language_langue=en" TargetMode="External"/><Relationship Id="rId2" Type="http://schemas.openxmlformats.org/officeDocument/2006/relationships/hyperlink" Target="https://www.energy.ca.gov/title24/2016standards/index.html" TargetMode="External"/><Relationship Id="rId1" Type="http://schemas.openxmlformats.org/officeDocument/2006/relationships/hyperlink" Target="http://architectstrace.wordpress.com/2010/07/19/feeling-lightheaded-gas-fps-explained" TargetMode="External"/><Relationship Id="rId6" Type="http://schemas.openxmlformats.org/officeDocument/2006/relationships/hyperlink" Target="https://www.regulations.gov/document?D=EERE-2014-BT-STD-0036-0010" TargetMode="External"/><Relationship Id="rId11" Type="http://schemas.openxmlformats.org/officeDocument/2006/relationships/hyperlink" Target="https://eta.lbl.gov/sites/default/files/publications/lbnl-2001030.pdf" TargetMode="External"/><Relationship Id="rId5" Type="http://schemas.openxmlformats.org/officeDocument/2006/relationships/hyperlink" Target="https://www.leagle.com/decision/infco20130208115" TargetMode="External"/><Relationship Id="rId10" Type="http://schemas.openxmlformats.org/officeDocument/2006/relationships/hyperlink" Target="https://www.energytrust.org/incentives/gas-fireplaces/" TargetMode="External"/><Relationship Id="rId4" Type="http://schemas.openxmlformats.org/officeDocument/2006/relationships/hyperlink" Target="https://www.regulations.gov/document?D=EERE-2011-BT-STD-0047-0376" TargetMode="External"/><Relationship Id="rId9" Type="http://schemas.openxmlformats.org/officeDocument/2006/relationships/hyperlink" Target="https://www.utc.wa.gov/_layouts/15/CasesPublicWebsite/GetDocument.ashx?docID=9&amp;year=2014&amp;docketNumber=14389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egulations.gov/document?D=EERE-2006-STD-0129-0148" TargetMode="External"/><Relationship Id="rId1" Type="http://schemas.openxmlformats.org/officeDocument/2006/relationships/hyperlink" Target="https://www.utc.wa.gov/_layouts/15/CasesPublicWebsite/GetDocument.ashx?docID=9&amp;year=2014&amp;docketNumber=14389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0E25"/>
    <w:rsid w:val="000A0B41"/>
    <w:rsid w:val="000E65C3"/>
    <w:rsid w:val="000F25A7"/>
    <w:rsid w:val="000F64A3"/>
    <w:rsid w:val="00104321"/>
    <w:rsid w:val="0013425D"/>
    <w:rsid w:val="00141C46"/>
    <w:rsid w:val="00146151"/>
    <w:rsid w:val="00204A7F"/>
    <w:rsid w:val="002B514B"/>
    <w:rsid w:val="002C0C03"/>
    <w:rsid w:val="002C7BB6"/>
    <w:rsid w:val="00311B0D"/>
    <w:rsid w:val="00357946"/>
    <w:rsid w:val="003A131F"/>
    <w:rsid w:val="003A17C1"/>
    <w:rsid w:val="00560392"/>
    <w:rsid w:val="006012BF"/>
    <w:rsid w:val="00687476"/>
    <w:rsid w:val="006B7FA8"/>
    <w:rsid w:val="008211B5"/>
    <w:rsid w:val="0082609A"/>
    <w:rsid w:val="00874653"/>
    <w:rsid w:val="008955A7"/>
    <w:rsid w:val="008D12F7"/>
    <w:rsid w:val="008D5218"/>
    <w:rsid w:val="00917143"/>
    <w:rsid w:val="00957973"/>
    <w:rsid w:val="00970B0A"/>
    <w:rsid w:val="00A5022A"/>
    <w:rsid w:val="00AE4C28"/>
    <w:rsid w:val="00B418C9"/>
    <w:rsid w:val="00B73964"/>
    <w:rsid w:val="00B74704"/>
    <w:rsid w:val="00BA747D"/>
    <w:rsid w:val="00C947B8"/>
    <w:rsid w:val="00CB1DDA"/>
    <w:rsid w:val="00CB4927"/>
    <w:rsid w:val="00CE79E3"/>
    <w:rsid w:val="00D0496D"/>
    <w:rsid w:val="00D051F5"/>
    <w:rsid w:val="00D40610"/>
    <w:rsid w:val="00D97F11"/>
    <w:rsid w:val="00DD512F"/>
    <w:rsid w:val="00EB73B0"/>
    <w:rsid w:val="00EC59D9"/>
    <w:rsid w:val="00F7350A"/>
    <w:rsid w:val="00FC37F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7F11"/>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7" ma:contentTypeDescription="Create a new document." ma:contentTypeScope="" ma:versionID="1b36b76a831433097d7b014ae416e70e">
  <xsd:schema xmlns:xsd="http://www.w3.org/2001/XMLSchema" xmlns:xs="http://www.w3.org/2001/XMLSchema" xmlns:p="http://schemas.microsoft.com/office/2006/metadata/properties" xmlns:ns2="08bcfa67-6ebe-41f8-a71c-397e8dbf592e" targetNamespace="http://schemas.microsoft.com/office/2006/metadata/properties" ma:root="true" ma:fieldsID="9f41da6f885b8c65c74c8ab177ff86f3" ns2:_="">
    <xsd:import namespace="08bcfa67-6ebe-41f8-a71c-397e8dbf592e"/>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19A82D-6249-4A2C-840B-5DC22DB839D4}">
  <ds:schemaRefs>
    <ds:schemaRef ds:uri="http://schemas.microsoft.com/sharepoint/v3/contenttype/forms"/>
  </ds:schemaRefs>
</ds:datastoreItem>
</file>

<file path=customXml/itemProps3.xml><?xml version="1.0" encoding="utf-8"?>
<ds:datastoreItem xmlns:ds="http://schemas.openxmlformats.org/officeDocument/2006/customXml" ds:itemID="{3BD0B042-6E41-4A9B-B270-F771E3D25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B8AD27-F271-41FD-A743-29C1048097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bcfa67-6ebe-41f8-a71c-397e8dbf592e"/>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4229751-9FC0-4C35-8D03-20DB61BE8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6656</Words>
  <Characters>37945</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WPSCGREHC181220</vt:lpstr>
    </vt:vector>
  </TitlesOfParts>
  <Company>Southern California Gas Company</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WPSCGREHC181220</dc:title>
  <dc:subject/>
  <dc:creator>User567</dc:creator>
  <cp:keywords/>
  <dc:description/>
  <cp:lastModifiedBy>Deang, Paul I</cp:lastModifiedBy>
  <cp:revision>4</cp:revision>
  <dcterms:created xsi:type="dcterms:W3CDTF">2018-12-26T20:33:00Z</dcterms:created>
  <dcterms:modified xsi:type="dcterms:W3CDTF">2018-12-28T02:41:00Z</dcterms:modified>
  <cp:contentStatus>Revision 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0x0101005A7BE4A0BFE46347AA05FC5D687C5F4E</vt:lpwstr>
  </property>
</Properties>
</file>