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6D0C9" w14:textId="77777777"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62242A">
            <w:t>WPSCGNRWH170412A</w:t>
          </w:r>
        </w:sdtContent>
      </w:sdt>
    </w:p>
    <w:bookmarkEnd w:id="0"/>
    <w:p w14:paraId="7D56D0CA" w14:textId="72442947" w:rsidR="00DA690B" w:rsidRPr="00500C4E" w:rsidRDefault="00B36F35"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62242A">
            <w:rPr>
              <w:rStyle w:val="CaptionChar"/>
              <w:rFonts w:asciiTheme="minorHAnsi" w:hAnsiTheme="minorHAnsi" w:cstheme="minorHAnsi"/>
              <w:b/>
              <w:bCs w:val="0"/>
              <w:sz w:val="48"/>
              <w:szCs w:val="48"/>
            </w:rPr>
            <w:t>Revision 1</w:t>
          </w:r>
        </w:sdtContent>
      </w:sdt>
    </w:p>
    <w:p w14:paraId="7D56D0CB" w14:textId="77777777" w:rsidR="00285A0D" w:rsidRPr="00500C4E" w:rsidRDefault="00285A0D" w:rsidP="00DE5758">
      <w:pPr>
        <w:jc w:val="right"/>
        <w:rPr>
          <w:rFonts w:cstheme="minorHAnsi"/>
          <w:b/>
          <w:sz w:val="48"/>
          <w:szCs w:val="48"/>
        </w:rPr>
      </w:pPr>
    </w:p>
    <w:bookmarkStart w:id="2" w:name="SCE"/>
    <w:p w14:paraId="7D56D0CC" w14:textId="77777777" w:rsidR="00DA690B" w:rsidRPr="00500C4E" w:rsidRDefault="00B36F35"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62242A">
            <w:rPr>
              <w:rFonts w:cstheme="minorHAnsi"/>
              <w:b/>
              <w:sz w:val="36"/>
              <w:szCs w:val="36"/>
            </w:rPr>
            <w:t>Southern California Gas Company</w:t>
          </w:r>
        </w:sdtContent>
      </w:sdt>
      <w:bookmarkEnd w:id="2"/>
    </w:p>
    <w:p w14:paraId="7D56D0CD" w14:textId="77777777" w:rsidR="00DA690B" w:rsidRPr="00EE7118" w:rsidRDefault="00EE7118" w:rsidP="00DA690B">
      <w:pPr>
        <w:rPr>
          <w:rFonts w:cstheme="minorHAnsi"/>
          <w:b/>
          <w:sz w:val="32"/>
        </w:rPr>
      </w:pPr>
      <w:r w:rsidRPr="00EE7118">
        <w:rPr>
          <w:rFonts w:cstheme="minorHAnsi"/>
          <w:b/>
          <w:sz w:val="32"/>
        </w:rPr>
        <w:t xml:space="preserve">Customer Programs Department </w:t>
      </w:r>
    </w:p>
    <w:p w14:paraId="7D56D0CE" w14:textId="77777777" w:rsidR="00DA690B" w:rsidRPr="00500C4E" w:rsidRDefault="00DA690B" w:rsidP="00DA690B">
      <w:pPr>
        <w:rPr>
          <w:rFonts w:cstheme="minorHAnsi"/>
        </w:rPr>
      </w:pPr>
    </w:p>
    <w:p w14:paraId="7D56D0CF" w14:textId="53978B55" w:rsidR="00DA690B" w:rsidRPr="00500C4E" w:rsidRDefault="009D0753" w:rsidP="009D0753">
      <w:pPr>
        <w:tabs>
          <w:tab w:val="left" w:pos="8190"/>
        </w:tabs>
        <w:rPr>
          <w:rFonts w:cstheme="minorHAnsi"/>
        </w:rPr>
      </w:pPr>
      <w:r w:rsidRPr="00500C4E">
        <w:rPr>
          <w:rFonts w:cstheme="minorHAnsi"/>
        </w:rPr>
        <w:tab/>
      </w:r>
      <w:r w:rsidR="0075061F">
        <w:rPr>
          <w:rFonts w:cstheme="minorHAnsi"/>
        </w:rPr>
        <w:t xml:space="preserve"> </w:t>
      </w:r>
    </w:p>
    <w:p w14:paraId="7D56D0D0" w14:textId="77777777" w:rsidR="00DA690B" w:rsidRPr="00500C4E" w:rsidRDefault="00DA690B" w:rsidP="00DA690B">
      <w:pPr>
        <w:rPr>
          <w:rFonts w:cstheme="minorHAnsi"/>
        </w:rPr>
      </w:pPr>
    </w:p>
    <w:p w14:paraId="7D56D0D1" w14:textId="77777777" w:rsidR="00DA690B" w:rsidRPr="00500C4E" w:rsidRDefault="00DA690B" w:rsidP="00DA690B">
      <w:pPr>
        <w:rPr>
          <w:rFonts w:cstheme="minorHAnsi"/>
        </w:rPr>
      </w:pPr>
    </w:p>
    <w:p w14:paraId="7D56D0D2" w14:textId="77777777" w:rsidR="00DA690B" w:rsidRPr="00500C4E" w:rsidRDefault="00DA690B" w:rsidP="00DA690B">
      <w:pPr>
        <w:rPr>
          <w:rFonts w:cstheme="minorHAnsi"/>
        </w:rPr>
      </w:pPr>
    </w:p>
    <w:p w14:paraId="7D56D0D3" w14:textId="77777777" w:rsidR="00DA690B" w:rsidRPr="00500C4E" w:rsidRDefault="00DA690B" w:rsidP="00DA690B">
      <w:pPr>
        <w:rPr>
          <w:rFonts w:cstheme="minorHAnsi"/>
        </w:rPr>
      </w:pPr>
    </w:p>
    <w:p w14:paraId="7D56D0D4" w14:textId="77777777" w:rsidR="00DA690B" w:rsidRPr="00500C4E" w:rsidRDefault="00DA690B" w:rsidP="00DA690B">
      <w:pPr>
        <w:rPr>
          <w:rFonts w:cstheme="minorHAnsi"/>
        </w:rPr>
      </w:pPr>
    </w:p>
    <w:p w14:paraId="7D56D0D5" w14:textId="77777777" w:rsidR="00DA690B" w:rsidRPr="0075061F" w:rsidRDefault="00EE7118" w:rsidP="00DA690B">
      <w:pPr>
        <w:rPr>
          <w:rFonts w:cstheme="minorHAnsi"/>
          <w:b/>
          <w:sz w:val="56"/>
          <w:szCs w:val="72"/>
        </w:rPr>
      </w:pPr>
      <w:r w:rsidRPr="0075061F">
        <w:rPr>
          <w:rFonts w:cstheme="minorHAnsi"/>
          <w:b/>
          <w:sz w:val="56"/>
          <w:szCs w:val="72"/>
        </w:rPr>
        <w:t xml:space="preserve">Low Flow Showerheads for Commercial Facilities </w:t>
      </w:r>
    </w:p>
    <w:p w14:paraId="7D56D0D6" w14:textId="77777777" w:rsidR="00E76B31" w:rsidRPr="00500C4E" w:rsidRDefault="00E76B31" w:rsidP="00E76B31">
      <w:pPr>
        <w:pStyle w:val="Reminders"/>
        <w:rPr>
          <w:rFonts w:asciiTheme="minorHAnsi" w:hAnsiTheme="minorHAnsi" w:cstheme="minorHAnsi"/>
          <w:i w:val="0"/>
          <w:szCs w:val="22"/>
        </w:rPr>
      </w:pPr>
    </w:p>
    <w:p w14:paraId="7D56D0D7" w14:textId="77777777" w:rsidR="00EF4E6B" w:rsidRDefault="00EF4E6B" w:rsidP="00E76B31">
      <w:pPr>
        <w:pStyle w:val="Reminders"/>
        <w:rPr>
          <w:rFonts w:asciiTheme="minorHAnsi" w:hAnsiTheme="minorHAnsi" w:cstheme="minorHAnsi"/>
          <w:b/>
          <w:i w:val="0"/>
          <w:sz w:val="32"/>
          <w:szCs w:val="22"/>
        </w:rPr>
      </w:pPr>
    </w:p>
    <w:p w14:paraId="7D56D0D8" w14:textId="77777777" w:rsidR="008531CA" w:rsidRPr="00500C4E" w:rsidRDefault="008531CA" w:rsidP="00E76B31">
      <w:pPr>
        <w:pStyle w:val="Reminders"/>
        <w:rPr>
          <w:rFonts w:asciiTheme="minorHAnsi" w:hAnsiTheme="minorHAnsi" w:cstheme="minorHAnsi"/>
          <w:b/>
          <w:i w:val="0"/>
          <w:sz w:val="32"/>
          <w:szCs w:val="22"/>
        </w:rPr>
      </w:pPr>
    </w:p>
    <w:p w14:paraId="7D56D0D9"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7D56D0DA" w14:textId="77777777" w:rsidR="00290ED8" w:rsidRPr="00500C4E" w:rsidRDefault="00290ED8" w:rsidP="00AC5309">
      <w:pPr>
        <w:pStyle w:val="Heading1"/>
      </w:pPr>
      <w:bookmarkStart w:id="3" w:name="_Toc304800192"/>
      <w:bookmarkStart w:id="4" w:name="_Toc324318330"/>
      <w:bookmarkStart w:id="5" w:name="_Toc324340474"/>
      <w:bookmarkStart w:id="6" w:name="_Toc324433427"/>
      <w:bookmarkStart w:id="7" w:name="_Toc502148133"/>
      <w:r w:rsidRPr="00500C4E">
        <w:lastRenderedPageBreak/>
        <w:t>At-a-Glance Summary</w:t>
      </w:r>
      <w:bookmarkEnd w:id="3"/>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AC5309" w:rsidRPr="00500C4E" w14:paraId="7D56D0DD" w14:textId="77777777" w:rsidTr="00920905">
        <w:trPr>
          <w:trHeight w:val="465"/>
        </w:trPr>
        <w:tc>
          <w:tcPr>
            <w:tcW w:w="1875" w:type="pct"/>
          </w:tcPr>
          <w:p w14:paraId="7D56D0DB"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7D56D0DC" w14:textId="77777777" w:rsidR="00AC5309" w:rsidRPr="00500C4E" w:rsidRDefault="002462F6" w:rsidP="002462F6">
            <w:pPr>
              <w:rPr>
                <w:rFonts w:cs="Arial"/>
                <w:bCs/>
                <w:color w:val="FF0000"/>
                <w:szCs w:val="20"/>
              </w:rPr>
            </w:pPr>
            <w:r w:rsidRPr="002462F6">
              <w:rPr>
                <w:rFonts w:cs="Arial"/>
                <w:szCs w:val="20"/>
              </w:rPr>
              <w:t>Commercial 1.5 GPM LFSH/ Commercial 1.8 GPM LFSH</w:t>
            </w:r>
          </w:p>
        </w:tc>
      </w:tr>
      <w:tr w:rsidR="00AC5309" w:rsidRPr="002E5766" w14:paraId="7D56D0E0" w14:textId="77777777" w:rsidTr="00920905">
        <w:trPr>
          <w:trHeight w:val="465"/>
        </w:trPr>
        <w:tc>
          <w:tcPr>
            <w:tcW w:w="1875" w:type="pct"/>
          </w:tcPr>
          <w:p w14:paraId="7D56D0DE" w14:textId="77777777" w:rsidR="00290ED8" w:rsidRPr="002E5766" w:rsidRDefault="00290ED8">
            <w:pPr>
              <w:rPr>
                <w:rStyle w:val="Strong"/>
                <w:rFonts w:asciiTheme="minorHAnsi" w:hAnsiTheme="minorHAnsi"/>
                <w:sz w:val="20"/>
                <w:szCs w:val="20"/>
              </w:rPr>
            </w:pPr>
            <w:r w:rsidRPr="002E5766">
              <w:rPr>
                <w:rStyle w:val="Strong"/>
                <w:rFonts w:asciiTheme="minorHAnsi" w:hAnsiTheme="minorHAnsi"/>
                <w:sz w:val="20"/>
                <w:szCs w:val="20"/>
              </w:rPr>
              <w:t>Measure</w:t>
            </w:r>
            <w:r w:rsidR="001D3223" w:rsidRPr="002E5766">
              <w:rPr>
                <w:rStyle w:val="Strong"/>
                <w:rFonts w:asciiTheme="minorHAnsi" w:hAnsiTheme="minorHAnsi"/>
                <w:sz w:val="20"/>
                <w:szCs w:val="20"/>
              </w:rPr>
              <w:t xml:space="preserve"> </w:t>
            </w:r>
            <w:r w:rsidRPr="002E5766">
              <w:rPr>
                <w:rStyle w:val="Strong"/>
                <w:rFonts w:asciiTheme="minorHAnsi" w:hAnsiTheme="minorHAnsi"/>
                <w:sz w:val="20"/>
                <w:szCs w:val="20"/>
              </w:rPr>
              <w:t>Description</w:t>
            </w:r>
          </w:p>
        </w:tc>
        <w:tc>
          <w:tcPr>
            <w:tcW w:w="3125" w:type="pct"/>
          </w:tcPr>
          <w:p w14:paraId="7D56D0DF" w14:textId="100730C5" w:rsidR="00290ED8" w:rsidRPr="002E5766" w:rsidRDefault="0017069E" w:rsidP="0017069E">
            <w:pPr>
              <w:rPr>
                <w:rFonts w:cs="Arial"/>
                <w:szCs w:val="20"/>
              </w:rPr>
            </w:pPr>
            <w:r>
              <w:rPr>
                <w:rFonts w:cs="Arial"/>
                <w:szCs w:val="20"/>
              </w:rPr>
              <w:t>Direct Install</w:t>
            </w:r>
            <w:r w:rsidR="00AC7538">
              <w:rPr>
                <w:rFonts w:cs="Arial"/>
                <w:szCs w:val="20"/>
              </w:rPr>
              <w:t>ation</w:t>
            </w:r>
            <w:r>
              <w:rPr>
                <w:rFonts w:cs="Arial"/>
                <w:szCs w:val="20"/>
              </w:rPr>
              <w:t xml:space="preserve"> </w:t>
            </w:r>
            <w:r w:rsidR="00BD307B" w:rsidRPr="002E5766">
              <w:rPr>
                <w:rFonts w:cs="Arial"/>
                <w:szCs w:val="20"/>
              </w:rPr>
              <w:t>of low-flow showerheads, 1.5 gpm &amp; 1.8 gm, in commercial facilities to reduce water consumption and save energy associated with water heating</w:t>
            </w:r>
          </w:p>
        </w:tc>
      </w:tr>
      <w:tr w:rsidR="00AC5309" w:rsidRPr="002E5766" w14:paraId="7D56D0E3" w14:textId="77777777" w:rsidTr="00920905">
        <w:trPr>
          <w:trHeight w:val="465"/>
        </w:trPr>
        <w:tc>
          <w:tcPr>
            <w:tcW w:w="1875" w:type="pct"/>
          </w:tcPr>
          <w:p w14:paraId="7D56D0E1" w14:textId="77777777" w:rsidR="00290ED8" w:rsidRPr="002E5766" w:rsidRDefault="00290ED8">
            <w:pPr>
              <w:rPr>
                <w:rStyle w:val="Strong"/>
                <w:rFonts w:asciiTheme="minorHAnsi" w:hAnsiTheme="minorHAnsi"/>
                <w:sz w:val="20"/>
                <w:szCs w:val="20"/>
              </w:rPr>
            </w:pPr>
            <w:r w:rsidRPr="002E5766">
              <w:rPr>
                <w:rStyle w:val="Strong"/>
                <w:rFonts w:asciiTheme="minorHAnsi" w:hAnsiTheme="minorHAnsi"/>
                <w:sz w:val="20"/>
                <w:szCs w:val="20"/>
              </w:rPr>
              <w:t>Base Case Description</w:t>
            </w:r>
          </w:p>
        </w:tc>
        <w:tc>
          <w:tcPr>
            <w:tcW w:w="3125" w:type="pct"/>
          </w:tcPr>
          <w:p w14:paraId="7D56D0E2" w14:textId="77777777" w:rsidR="00290ED8" w:rsidRPr="002E5766" w:rsidRDefault="00BD307B" w:rsidP="00456A34">
            <w:pPr>
              <w:rPr>
                <w:rFonts w:cs="Arial"/>
                <w:szCs w:val="20"/>
              </w:rPr>
            </w:pPr>
            <w:r w:rsidRPr="002E5766">
              <w:rPr>
                <w:rFonts w:cs="Arial"/>
                <w:szCs w:val="20"/>
              </w:rPr>
              <w:t>The baseline flow rate is 2.25 GPM for the 1</w:t>
            </w:r>
            <w:r w:rsidRPr="002E5766">
              <w:rPr>
                <w:rFonts w:cs="Arial"/>
                <w:szCs w:val="20"/>
                <w:vertAlign w:val="superscript"/>
              </w:rPr>
              <w:t>st</w:t>
            </w:r>
            <w:r w:rsidRPr="002E5766">
              <w:rPr>
                <w:rFonts w:cs="Arial"/>
                <w:szCs w:val="20"/>
              </w:rPr>
              <w:t xml:space="preserve"> BL period and 1.8 GPM for the 2</w:t>
            </w:r>
            <w:r w:rsidRPr="002E5766">
              <w:rPr>
                <w:rFonts w:cs="Arial"/>
                <w:szCs w:val="20"/>
                <w:vertAlign w:val="superscript"/>
              </w:rPr>
              <w:t>nd</w:t>
            </w:r>
            <w:r w:rsidRPr="002E5766">
              <w:rPr>
                <w:rFonts w:cs="Arial"/>
                <w:szCs w:val="20"/>
              </w:rPr>
              <w:t xml:space="preserve"> BL period.   </w:t>
            </w:r>
          </w:p>
        </w:tc>
      </w:tr>
      <w:tr w:rsidR="00D36798" w:rsidRPr="002E5766" w14:paraId="7D56D0E6" w14:textId="77777777" w:rsidTr="00920905">
        <w:trPr>
          <w:trHeight w:val="465"/>
        </w:trPr>
        <w:tc>
          <w:tcPr>
            <w:tcW w:w="1875" w:type="pct"/>
          </w:tcPr>
          <w:p w14:paraId="7D56D0E4" w14:textId="77777777" w:rsidR="00D36798" w:rsidRPr="002E5766" w:rsidRDefault="00B4065F">
            <w:pPr>
              <w:rPr>
                <w:rStyle w:val="Strong"/>
                <w:rFonts w:asciiTheme="minorHAnsi" w:hAnsiTheme="minorHAnsi"/>
                <w:sz w:val="20"/>
                <w:szCs w:val="20"/>
              </w:rPr>
            </w:pPr>
            <w:r w:rsidRPr="002E5766">
              <w:rPr>
                <w:rStyle w:val="Strong"/>
                <w:rFonts w:asciiTheme="minorHAnsi" w:hAnsiTheme="minorHAnsi"/>
                <w:sz w:val="20"/>
                <w:szCs w:val="20"/>
              </w:rPr>
              <w:t>Units</w:t>
            </w:r>
          </w:p>
        </w:tc>
        <w:tc>
          <w:tcPr>
            <w:tcW w:w="3125" w:type="pct"/>
          </w:tcPr>
          <w:p w14:paraId="7D56D0E5" w14:textId="77777777" w:rsidR="00D36798" w:rsidRPr="002E5766" w:rsidRDefault="00277874">
            <w:pPr>
              <w:rPr>
                <w:rFonts w:cs="Arial"/>
                <w:szCs w:val="20"/>
              </w:rPr>
            </w:pPr>
            <w:r w:rsidRPr="002E5766">
              <w:rPr>
                <w:rFonts w:cs="Arial"/>
                <w:szCs w:val="20"/>
              </w:rPr>
              <w:t xml:space="preserve">Per fixture </w:t>
            </w:r>
          </w:p>
        </w:tc>
      </w:tr>
      <w:tr w:rsidR="008C68CC" w:rsidRPr="002E5766" w14:paraId="7D56D0F1" w14:textId="77777777" w:rsidTr="008C68CC">
        <w:trPr>
          <w:trHeight w:val="2078"/>
        </w:trPr>
        <w:tc>
          <w:tcPr>
            <w:tcW w:w="1875" w:type="pct"/>
          </w:tcPr>
          <w:p w14:paraId="7D56D0E7" w14:textId="77777777" w:rsidR="00290ED8" w:rsidRPr="002E5766" w:rsidRDefault="001C1338">
            <w:pPr>
              <w:rPr>
                <w:rStyle w:val="Strong1"/>
                <w:szCs w:val="20"/>
              </w:rPr>
            </w:pPr>
            <w:r w:rsidRPr="002E5766">
              <w:rPr>
                <w:rStyle w:val="Strong"/>
                <w:rFonts w:asciiTheme="minorHAnsi" w:hAnsiTheme="minorHAnsi"/>
                <w:sz w:val="20"/>
                <w:szCs w:val="20"/>
              </w:rPr>
              <w:t>Energy Savings</w:t>
            </w:r>
          </w:p>
        </w:tc>
        <w:tc>
          <w:tcPr>
            <w:tcW w:w="3125" w:type="pct"/>
          </w:tcPr>
          <w:p w14:paraId="7D56D0E8" w14:textId="77777777" w:rsidR="009E6BAB" w:rsidRPr="002E5766" w:rsidRDefault="009E6BAB">
            <w:pPr>
              <w:rPr>
                <w:rFonts w:cs="Arial"/>
                <w:szCs w:val="20"/>
              </w:rPr>
            </w:pPr>
            <w:r w:rsidRPr="002E5766">
              <w:rPr>
                <w:rFonts w:cs="Arial"/>
                <w:szCs w:val="20"/>
              </w:rPr>
              <w:t xml:space="preserve">Savings </w:t>
            </w:r>
            <w:r w:rsidR="008C68CC">
              <w:rPr>
                <w:rFonts w:cs="Arial"/>
                <w:szCs w:val="20"/>
              </w:rPr>
              <w:t>for 1.5 gpm</w:t>
            </w:r>
            <w:r w:rsidR="003100FA">
              <w:rPr>
                <w:rFonts w:cs="Arial"/>
                <w:szCs w:val="20"/>
              </w:rPr>
              <w:t xml:space="preserve"> LFSH</w:t>
            </w:r>
            <w:r w:rsidR="008C68CC">
              <w:rPr>
                <w:rFonts w:cs="Arial"/>
                <w:szCs w:val="20"/>
              </w:rPr>
              <w:t xml:space="preserve"> i</w:t>
            </w:r>
            <w:r w:rsidRPr="002E5766">
              <w:rPr>
                <w:rFonts w:cs="Arial"/>
                <w:szCs w:val="20"/>
              </w:rPr>
              <w:t>n climate zone 9, are as follows:</w:t>
            </w:r>
          </w:p>
          <w:p w14:paraId="7D56D0E9" w14:textId="4EF014A4" w:rsidR="00255114" w:rsidRDefault="007720FB">
            <w:pPr>
              <w:rPr>
                <w:rFonts w:cs="Arial"/>
                <w:szCs w:val="20"/>
              </w:rPr>
            </w:pPr>
            <w:r>
              <w:rPr>
                <w:rFonts w:cs="Arial"/>
                <w:szCs w:val="20"/>
              </w:rPr>
              <w:t>Lodging</w:t>
            </w:r>
            <w:r w:rsidR="00794064" w:rsidRPr="002E5766">
              <w:rPr>
                <w:rFonts w:cs="Arial"/>
                <w:szCs w:val="20"/>
              </w:rPr>
              <w:t xml:space="preserve"> = </w:t>
            </w:r>
            <w:r w:rsidR="0017069E">
              <w:rPr>
                <w:rFonts w:cs="Arial"/>
                <w:szCs w:val="20"/>
              </w:rPr>
              <w:t>12.81</w:t>
            </w:r>
            <w:r w:rsidR="00794064" w:rsidRPr="002E5766">
              <w:rPr>
                <w:rFonts w:cs="Arial"/>
                <w:szCs w:val="20"/>
              </w:rPr>
              <w:t xml:space="preserve"> </w:t>
            </w:r>
            <w:r w:rsidR="009E6BAB" w:rsidRPr="002E5766">
              <w:rPr>
                <w:rFonts w:cs="Arial"/>
                <w:szCs w:val="20"/>
              </w:rPr>
              <w:t>ther</w:t>
            </w:r>
            <w:r w:rsidR="00794064" w:rsidRPr="002E5766">
              <w:rPr>
                <w:rFonts w:cs="Arial"/>
                <w:szCs w:val="20"/>
              </w:rPr>
              <w:t xml:space="preserve">ms/fixture/yr </w:t>
            </w:r>
            <w:r w:rsidR="00121E2E">
              <w:rPr>
                <w:rFonts w:cs="Arial"/>
                <w:szCs w:val="20"/>
              </w:rPr>
              <w:t>and</w:t>
            </w:r>
          </w:p>
          <w:p w14:paraId="7D56D0EA" w14:textId="3E025E35" w:rsidR="008C68CC" w:rsidRDefault="0017069E">
            <w:pPr>
              <w:rPr>
                <w:rFonts w:cs="Arial"/>
                <w:szCs w:val="20"/>
              </w:rPr>
            </w:pPr>
            <w:r>
              <w:rPr>
                <w:rFonts w:cs="Arial"/>
                <w:szCs w:val="20"/>
              </w:rPr>
              <w:t>Schools and other Commercial Buildings</w:t>
            </w:r>
            <w:r w:rsidR="00794064" w:rsidRPr="002E5766">
              <w:rPr>
                <w:rFonts w:cs="Arial"/>
                <w:szCs w:val="20"/>
              </w:rPr>
              <w:t xml:space="preserve"> = </w:t>
            </w:r>
            <w:r w:rsidR="00340F96" w:rsidRPr="002E5766">
              <w:rPr>
                <w:rFonts w:cs="Arial"/>
                <w:szCs w:val="20"/>
              </w:rPr>
              <w:t>6.27</w:t>
            </w:r>
            <w:r w:rsidR="009E6BAB" w:rsidRPr="002E5766">
              <w:rPr>
                <w:rFonts w:cs="Arial"/>
                <w:szCs w:val="20"/>
              </w:rPr>
              <w:t xml:space="preserve"> therms/fixture</w:t>
            </w:r>
            <w:r w:rsidR="00610038" w:rsidRPr="002E5766">
              <w:rPr>
                <w:rFonts w:cs="Arial"/>
                <w:szCs w:val="20"/>
              </w:rPr>
              <w:t>/yr</w:t>
            </w:r>
          </w:p>
          <w:p w14:paraId="7D56D0EB" w14:textId="77777777" w:rsidR="003100FA" w:rsidRDefault="003100FA">
            <w:pPr>
              <w:rPr>
                <w:rFonts w:cs="Arial"/>
                <w:szCs w:val="20"/>
              </w:rPr>
            </w:pPr>
          </w:p>
          <w:p w14:paraId="7D56D0EC" w14:textId="77777777" w:rsidR="008C68CC" w:rsidRPr="002E5766" w:rsidRDefault="008C68CC" w:rsidP="008C68CC">
            <w:pPr>
              <w:rPr>
                <w:rFonts w:cs="Arial"/>
                <w:szCs w:val="20"/>
              </w:rPr>
            </w:pPr>
            <w:r w:rsidRPr="002E5766">
              <w:rPr>
                <w:rFonts w:cs="Arial"/>
                <w:szCs w:val="20"/>
              </w:rPr>
              <w:t xml:space="preserve">Savings </w:t>
            </w:r>
            <w:r>
              <w:rPr>
                <w:rFonts w:cs="Arial"/>
                <w:szCs w:val="20"/>
              </w:rPr>
              <w:t xml:space="preserve">for 1.8 gpm </w:t>
            </w:r>
            <w:r w:rsidR="003100FA">
              <w:rPr>
                <w:rFonts w:cs="Arial"/>
                <w:szCs w:val="20"/>
              </w:rPr>
              <w:t xml:space="preserve">LFSH </w:t>
            </w:r>
            <w:r>
              <w:rPr>
                <w:rFonts w:cs="Arial"/>
                <w:szCs w:val="20"/>
              </w:rPr>
              <w:t>i</w:t>
            </w:r>
            <w:r w:rsidRPr="002E5766">
              <w:rPr>
                <w:rFonts w:cs="Arial"/>
                <w:szCs w:val="20"/>
              </w:rPr>
              <w:t>n climate zone 9, are as follows:</w:t>
            </w:r>
          </w:p>
          <w:p w14:paraId="7D56D0ED" w14:textId="2434D042" w:rsidR="008C68CC" w:rsidRPr="002E5766" w:rsidRDefault="007720FB" w:rsidP="008C68CC">
            <w:pPr>
              <w:rPr>
                <w:rFonts w:cs="Arial"/>
                <w:szCs w:val="20"/>
              </w:rPr>
            </w:pPr>
            <w:r>
              <w:rPr>
                <w:rFonts w:cs="Arial"/>
                <w:szCs w:val="20"/>
              </w:rPr>
              <w:t>Lodging</w:t>
            </w:r>
            <w:r w:rsidR="00303FB4">
              <w:rPr>
                <w:rFonts w:cs="Arial"/>
                <w:szCs w:val="20"/>
              </w:rPr>
              <w:t xml:space="preserve"> </w:t>
            </w:r>
            <w:r w:rsidR="008C68CC" w:rsidRPr="002E5766">
              <w:rPr>
                <w:rFonts w:cs="Arial"/>
                <w:szCs w:val="20"/>
              </w:rPr>
              <w:t xml:space="preserve">= </w:t>
            </w:r>
            <w:r w:rsidR="0017069E">
              <w:rPr>
                <w:rFonts w:cs="Arial"/>
                <w:szCs w:val="20"/>
              </w:rPr>
              <w:t>7.69</w:t>
            </w:r>
            <w:r w:rsidR="008C68CC" w:rsidRPr="002E5766">
              <w:rPr>
                <w:rFonts w:cs="Arial"/>
                <w:szCs w:val="20"/>
              </w:rPr>
              <w:t xml:space="preserve"> therms/fixture/yr</w:t>
            </w:r>
            <w:r w:rsidR="00121E2E">
              <w:rPr>
                <w:rFonts w:cs="Arial"/>
                <w:szCs w:val="20"/>
              </w:rPr>
              <w:t xml:space="preserve"> and</w:t>
            </w:r>
          </w:p>
          <w:p w14:paraId="7D56D0EE" w14:textId="1970984E" w:rsidR="008C68CC" w:rsidRPr="002E5766" w:rsidRDefault="0017069E" w:rsidP="008C68CC">
            <w:pPr>
              <w:rPr>
                <w:rFonts w:cs="Arial"/>
                <w:szCs w:val="20"/>
              </w:rPr>
            </w:pPr>
            <w:r>
              <w:rPr>
                <w:rFonts w:cs="Arial"/>
                <w:szCs w:val="20"/>
              </w:rPr>
              <w:t>Schools and other Commercial Buildings</w:t>
            </w:r>
            <w:r w:rsidRPr="002E5766">
              <w:rPr>
                <w:rFonts w:cs="Arial"/>
                <w:szCs w:val="20"/>
              </w:rPr>
              <w:t xml:space="preserve"> </w:t>
            </w:r>
            <w:r w:rsidR="008C68CC" w:rsidRPr="002E5766">
              <w:rPr>
                <w:rFonts w:cs="Arial"/>
                <w:szCs w:val="20"/>
              </w:rPr>
              <w:t xml:space="preserve">= </w:t>
            </w:r>
            <w:r w:rsidR="008C68CC">
              <w:rPr>
                <w:rFonts w:cs="Arial"/>
                <w:szCs w:val="20"/>
              </w:rPr>
              <w:t>3.76</w:t>
            </w:r>
            <w:r w:rsidR="008C68CC" w:rsidRPr="002E5766">
              <w:rPr>
                <w:rFonts w:cs="Arial"/>
                <w:szCs w:val="20"/>
              </w:rPr>
              <w:t xml:space="preserve"> therms/fixture/yr</w:t>
            </w:r>
          </w:p>
          <w:p w14:paraId="7D56D0EF" w14:textId="77777777" w:rsidR="008C68CC" w:rsidRPr="002E5766" w:rsidRDefault="008C68CC">
            <w:pPr>
              <w:rPr>
                <w:rFonts w:cs="Arial"/>
                <w:szCs w:val="20"/>
              </w:rPr>
            </w:pPr>
          </w:p>
          <w:p w14:paraId="7D56D0F0" w14:textId="42AC05EF" w:rsidR="00290ED8" w:rsidRPr="002E5766" w:rsidRDefault="00610038">
            <w:pPr>
              <w:rPr>
                <w:rFonts w:cs="Arial"/>
                <w:szCs w:val="20"/>
              </w:rPr>
            </w:pPr>
            <w:r w:rsidRPr="002E5766">
              <w:rPr>
                <w:rFonts w:cs="Arial"/>
                <w:szCs w:val="20"/>
              </w:rPr>
              <w:t xml:space="preserve">For details, </w:t>
            </w:r>
            <w:r w:rsidR="00D36798" w:rsidRPr="002E5766">
              <w:rPr>
                <w:rFonts w:cs="Arial"/>
                <w:szCs w:val="20"/>
              </w:rPr>
              <w:t>Refer to Excel Calculation Attachment</w:t>
            </w:r>
            <w:r w:rsidR="0017069E">
              <w:rPr>
                <w:rFonts w:cs="Arial"/>
                <w:szCs w:val="20"/>
              </w:rPr>
              <w:t xml:space="preserve"> B</w:t>
            </w:r>
          </w:p>
        </w:tc>
      </w:tr>
      <w:tr w:rsidR="00290ED8" w:rsidRPr="00500C4E" w14:paraId="7D56D0F5" w14:textId="77777777" w:rsidTr="00920905">
        <w:trPr>
          <w:trHeight w:val="465"/>
        </w:trPr>
        <w:tc>
          <w:tcPr>
            <w:tcW w:w="1875" w:type="pct"/>
          </w:tcPr>
          <w:p w14:paraId="7D56D0F2" w14:textId="77777777" w:rsidR="00290ED8" w:rsidRPr="007D211C" w:rsidRDefault="002469DD">
            <w:pPr>
              <w:rPr>
                <w:rStyle w:val="Strong"/>
                <w:rFonts w:asciiTheme="minorHAnsi" w:hAnsiTheme="minorHAnsi"/>
                <w:sz w:val="20"/>
                <w:szCs w:val="20"/>
              </w:rPr>
            </w:pPr>
            <w:r w:rsidRPr="007D211C">
              <w:rPr>
                <w:rStyle w:val="Strong"/>
                <w:rFonts w:asciiTheme="minorHAnsi" w:hAnsiTheme="minorHAnsi"/>
                <w:sz w:val="20"/>
                <w:szCs w:val="20"/>
              </w:rPr>
              <w:t xml:space="preserve">Full </w:t>
            </w:r>
            <w:r w:rsidR="00290ED8" w:rsidRPr="007D211C">
              <w:rPr>
                <w:rStyle w:val="Strong"/>
                <w:rFonts w:asciiTheme="minorHAnsi" w:hAnsiTheme="minorHAnsi"/>
                <w:sz w:val="20"/>
                <w:szCs w:val="20"/>
              </w:rPr>
              <w:t>Measure Cost ($/unit)</w:t>
            </w:r>
          </w:p>
        </w:tc>
        <w:tc>
          <w:tcPr>
            <w:tcW w:w="3125" w:type="pct"/>
          </w:tcPr>
          <w:p w14:paraId="12856F39" w14:textId="2C36ADCB" w:rsidR="008D27BC" w:rsidRDefault="0039659E" w:rsidP="0039659E">
            <w:pPr>
              <w:rPr>
                <w:rFonts w:cs="Arial"/>
                <w:szCs w:val="20"/>
              </w:rPr>
            </w:pPr>
            <w:r>
              <w:rPr>
                <w:rFonts w:cs="Arial"/>
                <w:szCs w:val="20"/>
              </w:rPr>
              <w:t>$45.96</w:t>
            </w:r>
            <w:r w:rsidR="008D27BC">
              <w:rPr>
                <w:rFonts w:cs="Arial"/>
                <w:szCs w:val="20"/>
              </w:rPr>
              <w:t xml:space="preserve"> Measure Cost</w:t>
            </w:r>
          </w:p>
          <w:p w14:paraId="7D56D0F4" w14:textId="666ACC2A" w:rsidR="00290ED8" w:rsidRPr="007D211C" w:rsidRDefault="008D27BC" w:rsidP="008D27BC">
            <w:pPr>
              <w:rPr>
                <w:rFonts w:cs="Arial"/>
                <w:szCs w:val="20"/>
              </w:rPr>
            </w:pPr>
            <w:r>
              <w:rPr>
                <w:rFonts w:cs="Arial"/>
                <w:szCs w:val="20"/>
              </w:rPr>
              <w:t>$31.06 Base Cost</w:t>
            </w:r>
          </w:p>
        </w:tc>
      </w:tr>
      <w:tr w:rsidR="00AC5309" w:rsidRPr="00500C4E" w14:paraId="7D56D0F9" w14:textId="77777777" w:rsidTr="00920905">
        <w:trPr>
          <w:trHeight w:val="465"/>
        </w:trPr>
        <w:tc>
          <w:tcPr>
            <w:tcW w:w="1875" w:type="pct"/>
          </w:tcPr>
          <w:p w14:paraId="7D56D0F6"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7D56D0F7" w14:textId="52F7FD6F" w:rsidR="00BE0AEB" w:rsidRPr="007D211C" w:rsidRDefault="007D211C" w:rsidP="00BE0AEB">
            <w:pPr>
              <w:rPr>
                <w:rFonts w:cs="Arial"/>
                <w:szCs w:val="20"/>
              </w:rPr>
            </w:pPr>
            <w:r w:rsidRPr="007D211C">
              <w:rPr>
                <w:rFonts w:cs="Arial"/>
                <w:szCs w:val="20"/>
              </w:rPr>
              <w:t>$14.90</w:t>
            </w:r>
            <w:r w:rsidR="00255114">
              <w:rPr>
                <w:rFonts w:cs="Arial"/>
                <w:szCs w:val="20"/>
              </w:rPr>
              <w:t xml:space="preserve"> </w:t>
            </w:r>
          </w:p>
          <w:p w14:paraId="7D56D0F8" w14:textId="735505CE" w:rsidR="00290ED8" w:rsidRPr="007D211C" w:rsidRDefault="00290ED8" w:rsidP="00AC2F5B">
            <w:pPr>
              <w:rPr>
                <w:rFonts w:cs="Arial"/>
                <w:szCs w:val="20"/>
              </w:rPr>
            </w:pPr>
          </w:p>
        </w:tc>
      </w:tr>
      <w:tr w:rsidR="00290ED8" w:rsidRPr="00500C4E" w14:paraId="7D56D0FC" w14:textId="77777777" w:rsidTr="00920905">
        <w:trPr>
          <w:trHeight w:val="465"/>
        </w:trPr>
        <w:tc>
          <w:tcPr>
            <w:tcW w:w="1875" w:type="pct"/>
          </w:tcPr>
          <w:p w14:paraId="7D56D0FA" w14:textId="77777777"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D56D0FB" w14:textId="6A50325D" w:rsidR="00290ED8" w:rsidRPr="00A17D9D" w:rsidRDefault="00A17D9D">
            <w:pPr>
              <w:rPr>
                <w:rFonts w:cs="Arial"/>
                <w:szCs w:val="20"/>
              </w:rPr>
            </w:pPr>
            <w:r w:rsidRPr="00A17D9D">
              <w:rPr>
                <w:rFonts w:cs="Arial"/>
                <w:szCs w:val="20"/>
              </w:rPr>
              <w:t>The low-flow showerhead has a</w:t>
            </w:r>
            <w:r w:rsidR="00603B47">
              <w:rPr>
                <w:rFonts w:cs="Arial"/>
                <w:szCs w:val="20"/>
              </w:rPr>
              <w:t>n</w:t>
            </w:r>
            <w:r w:rsidRPr="00A17D9D">
              <w:rPr>
                <w:rFonts w:cs="Arial"/>
                <w:szCs w:val="20"/>
              </w:rPr>
              <w:t xml:space="preserve"> EUL of 10 years and RUL of 3.3 years </w:t>
            </w:r>
            <w:r w:rsidR="007D211C">
              <w:rPr>
                <w:rFonts w:cs="Arial"/>
                <w:szCs w:val="20"/>
              </w:rPr>
              <w:t xml:space="preserve">using DEER READI tool </w:t>
            </w:r>
            <w:r w:rsidR="001C1338" w:rsidRPr="00A17D9D">
              <w:rPr>
                <w:rFonts w:cs="Arial"/>
                <w:szCs w:val="20"/>
              </w:rPr>
              <w:t>(</w:t>
            </w:r>
            <w:r w:rsidRPr="00A17D9D">
              <w:rPr>
                <w:rFonts w:cs="Arial"/>
                <w:szCs w:val="20"/>
              </w:rPr>
              <w:t>WtrHt-WH-Shrhd</w:t>
            </w:r>
            <w:r w:rsidR="001C1338" w:rsidRPr="00A17D9D">
              <w:rPr>
                <w:rFonts w:cs="Arial"/>
                <w:szCs w:val="20"/>
              </w:rPr>
              <w:t>)</w:t>
            </w:r>
          </w:p>
        </w:tc>
      </w:tr>
      <w:tr w:rsidR="00AC5309" w:rsidRPr="002E5766" w14:paraId="7D56D0FF" w14:textId="77777777" w:rsidTr="00920905">
        <w:trPr>
          <w:trHeight w:val="465"/>
        </w:trPr>
        <w:tc>
          <w:tcPr>
            <w:tcW w:w="1875" w:type="pct"/>
          </w:tcPr>
          <w:p w14:paraId="7D56D0FD" w14:textId="77777777" w:rsidR="00290ED8" w:rsidRPr="002E5766" w:rsidRDefault="00290ED8">
            <w:pPr>
              <w:rPr>
                <w:rStyle w:val="Strong"/>
                <w:rFonts w:asciiTheme="minorHAnsi" w:hAnsiTheme="minorHAnsi"/>
                <w:sz w:val="20"/>
                <w:szCs w:val="20"/>
              </w:rPr>
            </w:pPr>
            <w:r w:rsidRPr="002E5766">
              <w:rPr>
                <w:rStyle w:val="Strong"/>
                <w:rFonts w:asciiTheme="minorHAnsi" w:hAnsiTheme="minorHAnsi"/>
                <w:sz w:val="20"/>
                <w:szCs w:val="20"/>
              </w:rPr>
              <w:t xml:space="preserve">Measure </w:t>
            </w:r>
            <w:r w:rsidR="00AE0A8D" w:rsidRPr="002E5766">
              <w:rPr>
                <w:rStyle w:val="Strong"/>
                <w:rFonts w:asciiTheme="minorHAnsi" w:hAnsiTheme="minorHAnsi"/>
                <w:sz w:val="20"/>
                <w:szCs w:val="20"/>
              </w:rPr>
              <w:t>Installation</w:t>
            </w:r>
            <w:r w:rsidRPr="002E5766">
              <w:rPr>
                <w:rStyle w:val="Strong"/>
                <w:rFonts w:asciiTheme="minorHAnsi" w:hAnsiTheme="minorHAnsi"/>
                <w:sz w:val="20"/>
                <w:szCs w:val="20"/>
              </w:rPr>
              <w:t xml:space="preserve"> Type</w:t>
            </w:r>
          </w:p>
        </w:tc>
        <w:tc>
          <w:tcPr>
            <w:tcW w:w="3125" w:type="pct"/>
          </w:tcPr>
          <w:p w14:paraId="7D56D0FE" w14:textId="5B46A97A" w:rsidR="00290ED8" w:rsidRPr="002E5766" w:rsidRDefault="00C65450" w:rsidP="00603B47">
            <w:pPr>
              <w:rPr>
                <w:rFonts w:cs="Arial"/>
                <w:szCs w:val="20"/>
              </w:rPr>
            </w:pPr>
            <w:r w:rsidRPr="002E5766">
              <w:rPr>
                <w:szCs w:val="20"/>
              </w:rPr>
              <w:t>Early Retirement</w:t>
            </w:r>
            <w:r w:rsidR="00096E11">
              <w:rPr>
                <w:szCs w:val="20"/>
              </w:rPr>
              <w:t xml:space="preserve"> (</w:t>
            </w:r>
            <w:r w:rsidRPr="002E5766">
              <w:rPr>
                <w:szCs w:val="20"/>
              </w:rPr>
              <w:t>ER</w:t>
            </w:r>
            <w:r w:rsidR="00BC2CAC" w:rsidRPr="002E5766">
              <w:rPr>
                <w:szCs w:val="20"/>
              </w:rPr>
              <w:t>)</w:t>
            </w:r>
          </w:p>
        </w:tc>
      </w:tr>
      <w:tr w:rsidR="00290ED8" w:rsidRPr="002E5766" w14:paraId="7D56D102" w14:textId="77777777" w:rsidTr="00920905">
        <w:trPr>
          <w:trHeight w:val="465"/>
        </w:trPr>
        <w:tc>
          <w:tcPr>
            <w:tcW w:w="1875" w:type="pct"/>
          </w:tcPr>
          <w:p w14:paraId="7D56D100" w14:textId="77777777" w:rsidR="00290ED8" w:rsidRPr="002E5766" w:rsidRDefault="001C1338">
            <w:pPr>
              <w:rPr>
                <w:rStyle w:val="Strong"/>
                <w:rFonts w:asciiTheme="minorHAnsi" w:hAnsiTheme="minorHAnsi"/>
                <w:sz w:val="20"/>
                <w:szCs w:val="20"/>
              </w:rPr>
            </w:pPr>
            <w:r w:rsidRPr="002E5766">
              <w:rPr>
                <w:rStyle w:val="Strong"/>
                <w:rFonts w:asciiTheme="minorHAnsi" w:hAnsiTheme="minorHAnsi"/>
                <w:sz w:val="20"/>
                <w:szCs w:val="20"/>
              </w:rPr>
              <w:t>Net-to-Gross Ratio</w:t>
            </w:r>
          </w:p>
        </w:tc>
        <w:tc>
          <w:tcPr>
            <w:tcW w:w="3125" w:type="pct"/>
          </w:tcPr>
          <w:p w14:paraId="7D56D101" w14:textId="77777777" w:rsidR="00290ED8" w:rsidRPr="002E5766" w:rsidRDefault="00BC2CAC" w:rsidP="00282F5E">
            <w:pPr>
              <w:rPr>
                <w:rFonts w:cs="Arial"/>
                <w:szCs w:val="20"/>
              </w:rPr>
            </w:pPr>
            <w:r w:rsidRPr="002E5766">
              <w:rPr>
                <w:rFonts w:cs="Arial"/>
                <w:szCs w:val="20"/>
              </w:rPr>
              <w:t>0.</w:t>
            </w:r>
            <w:r w:rsidR="00282F5E" w:rsidRPr="002E5766">
              <w:rPr>
                <w:rFonts w:cs="Arial"/>
                <w:szCs w:val="20"/>
              </w:rPr>
              <w:t>7</w:t>
            </w:r>
            <w:r w:rsidRPr="002E5766">
              <w:rPr>
                <w:rFonts w:cs="Arial"/>
                <w:szCs w:val="20"/>
              </w:rPr>
              <w:t xml:space="preserve"> (DEER NTGR ID: </w:t>
            </w:r>
            <w:r w:rsidR="009E6BAB" w:rsidRPr="002E5766">
              <w:rPr>
                <w:szCs w:val="20"/>
              </w:rPr>
              <w:t>ALL-Default&lt;=</w:t>
            </w:r>
            <w:r w:rsidRPr="002E5766">
              <w:rPr>
                <w:szCs w:val="20"/>
              </w:rPr>
              <w:t>2yrs)</w:t>
            </w:r>
          </w:p>
        </w:tc>
      </w:tr>
      <w:tr w:rsidR="002E5766" w:rsidRPr="002E5766" w14:paraId="7D56D105" w14:textId="77777777" w:rsidTr="00920905">
        <w:trPr>
          <w:trHeight w:val="465"/>
        </w:trPr>
        <w:tc>
          <w:tcPr>
            <w:tcW w:w="1875" w:type="pct"/>
          </w:tcPr>
          <w:p w14:paraId="7D56D103" w14:textId="77777777" w:rsidR="00290ED8" w:rsidRPr="002E5766" w:rsidRDefault="00290ED8">
            <w:pPr>
              <w:rPr>
                <w:rStyle w:val="Strong"/>
                <w:rFonts w:asciiTheme="minorHAnsi" w:hAnsiTheme="minorHAnsi"/>
                <w:sz w:val="20"/>
                <w:szCs w:val="20"/>
              </w:rPr>
            </w:pPr>
            <w:r w:rsidRPr="002E5766">
              <w:rPr>
                <w:rStyle w:val="Strong"/>
                <w:rFonts w:asciiTheme="minorHAnsi" w:hAnsiTheme="minorHAnsi"/>
                <w:sz w:val="20"/>
                <w:szCs w:val="20"/>
              </w:rPr>
              <w:t>Important Comments</w:t>
            </w:r>
          </w:p>
        </w:tc>
        <w:tc>
          <w:tcPr>
            <w:tcW w:w="3125" w:type="pct"/>
          </w:tcPr>
          <w:p w14:paraId="7D56D104" w14:textId="77777777" w:rsidR="00061A8E" w:rsidRPr="002E5766" w:rsidRDefault="00BE0AEB">
            <w:pPr>
              <w:rPr>
                <w:rFonts w:cs="Arial"/>
                <w:szCs w:val="20"/>
              </w:rPr>
            </w:pPr>
            <w:r w:rsidRPr="002E5766">
              <w:rPr>
                <w:rFonts w:cs="Arial"/>
                <w:szCs w:val="20"/>
              </w:rPr>
              <w:t xml:space="preserve">This work paper has a complementary </w:t>
            </w:r>
            <w:r w:rsidR="00A84127" w:rsidRPr="002E5766">
              <w:rPr>
                <w:rFonts w:cs="Arial"/>
                <w:szCs w:val="20"/>
              </w:rPr>
              <w:t>Ex Ante Data</w:t>
            </w:r>
            <w:r w:rsidR="00317EB0" w:rsidRPr="002E5766">
              <w:rPr>
                <w:rFonts w:cs="Arial"/>
                <w:szCs w:val="20"/>
              </w:rPr>
              <w:t>base</w:t>
            </w:r>
            <w:r w:rsidR="00A84127" w:rsidRPr="002E5766">
              <w:rPr>
                <w:rFonts w:cs="Arial"/>
                <w:szCs w:val="20"/>
              </w:rPr>
              <w:t xml:space="preserve"> </w:t>
            </w:r>
            <w:r w:rsidR="00A6687F" w:rsidRPr="002E5766">
              <w:rPr>
                <w:rFonts w:cs="Arial"/>
                <w:szCs w:val="20"/>
              </w:rPr>
              <w:t>data</w:t>
            </w:r>
            <w:r w:rsidRPr="002E5766">
              <w:rPr>
                <w:rFonts w:cs="Arial"/>
                <w:szCs w:val="20"/>
              </w:rPr>
              <w:t xml:space="preserve"> set</w:t>
            </w:r>
            <w:r w:rsidR="00A6687F" w:rsidRPr="002E5766">
              <w:rPr>
                <w:rFonts w:cs="Arial"/>
                <w:szCs w:val="20"/>
              </w:rPr>
              <w:t xml:space="preserve"> that will be </w:t>
            </w:r>
            <w:r w:rsidR="001B2301" w:rsidRPr="002E5766">
              <w:rPr>
                <w:rFonts w:cs="Arial"/>
                <w:szCs w:val="20"/>
              </w:rPr>
              <w:t xml:space="preserve">provided </w:t>
            </w:r>
            <w:r w:rsidR="00A6687F" w:rsidRPr="002E5766">
              <w:rPr>
                <w:rFonts w:cs="Arial"/>
                <w:szCs w:val="20"/>
              </w:rPr>
              <w:t>in a separate submission to the California Public Utilities Commission (CPUC)</w:t>
            </w:r>
            <w:r w:rsidR="00A84127" w:rsidRPr="002E5766">
              <w:rPr>
                <w:rFonts w:cs="Arial"/>
                <w:szCs w:val="20"/>
              </w:rPr>
              <w:t>.</w:t>
            </w:r>
          </w:p>
        </w:tc>
      </w:tr>
    </w:tbl>
    <w:p w14:paraId="7D56D106" w14:textId="77777777" w:rsidR="00AC5309" w:rsidRPr="00500C4E" w:rsidRDefault="00AC5309">
      <w:pPr>
        <w:spacing w:after="200" w:line="276" w:lineRule="auto"/>
        <w:rPr>
          <w:rFonts w:cstheme="minorHAnsi"/>
          <w:b/>
          <w:bCs/>
          <w:smallCaps/>
          <w:kern w:val="32"/>
          <w:sz w:val="36"/>
          <w:szCs w:val="32"/>
        </w:rPr>
      </w:pPr>
    </w:p>
    <w:p w14:paraId="7D56D107" w14:textId="77777777" w:rsidR="00AC5309" w:rsidRPr="00500C4E" w:rsidRDefault="00AC5309">
      <w:pPr>
        <w:spacing w:after="200" w:line="276" w:lineRule="auto"/>
        <w:rPr>
          <w:rFonts w:cstheme="minorHAnsi"/>
          <w:b/>
          <w:bCs/>
          <w:smallCaps/>
          <w:kern w:val="32"/>
          <w:sz w:val="36"/>
          <w:szCs w:val="32"/>
        </w:rPr>
      </w:pPr>
    </w:p>
    <w:p w14:paraId="7D56D108" w14:textId="77777777" w:rsidR="008C68CC" w:rsidRDefault="008C68CC">
      <w:pPr>
        <w:spacing w:after="200" w:line="276" w:lineRule="auto"/>
        <w:rPr>
          <w:rFonts w:cs="Arial"/>
          <w:b/>
          <w:bCs/>
          <w:smallCaps/>
          <w:kern w:val="32"/>
          <w:sz w:val="36"/>
          <w:szCs w:val="32"/>
        </w:rPr>
      </w:pPr>
      <w:r>
        <w:br w:type="page"/>
      </w:r>
    </w:p>
    <w:p w14:paraId="7D56D109" w14:textId="77777777" w:rsidR="0088361D" w:rsidRPr="00500C4E" w:rsidRDefault="00EB34FC" w:rsidP="00C959CA">
      <w:pPr>
        <w:pStyle w:val="Heading1"/>
      </w:pPr>
      <w:bookmarkStart w:id="8" w:name="_Toc502148134"/>
      <w:r w:rsidRPr="00500C4E">
        <w:lastRenderedPageBreak/>
        <w:t>Revision History</w:t>
      </w:r>
      <w:bookmarkEnd w:id="8"/>
    </w:p>
    <w:tbl>
      <w:tblPr>
        <w:tblStyle w:val="TableGrid1"/>
        <w:tblW w:w="5000" w:type="pct"/>
        <w:tblLook w:val="01E0" w:firstRow="1" w:lastRow="1" w:firstColumn="1" w:lastColumn="1" w:noHBand="0" w:noVBand="0"/>
      </w:tblPr>
      <w:tblGrid>
        <w:gridCol w:w="524"/>
        <w:gridCol w:w="979"/>
        <w:gridCol w:w="1378"/>
        <w:gridCol w:w="6469"/>
      </w:tblGrid>
      <w:tr w:rsidR="003845E5" w:rsidRPr="00500C4E" w14:paraId="7D56D10E" w14:textId="77777777" w:rsidTr="00572895">
        <w:trPr>
          <w:trHeight w:val="20"/>
        </w:trPr>
        <w:tc>
          <w:tcPr>
            <w:tcW w:w="282" w:type="pct"/>
            <w:shd w:val="clear" w:color="auto" w:fill="D9D9D9" w:themeFill="background1" w:themeFillShade="D9"/>
          </w:tcPr>
          <w:p w14:paraId="7D56D10A" w14:textId="77777777" w:rsidR="00933188" w:rsidRPr="00500C4E" w:rsidRDefault="003845E5" w:rsidP="003845E5">
            <w:pPr>
              <w:rPr>
                <w:rFonts w:cstheme="minorHAnsi"/>
                <w:b/>
                <w:bCs/>
                <w:szCs w:val="20"/>
              </w:rPr>
            </w:pPr>
            <w:r>
              <w:rPr>
                <w:rFonts w:cstheme="minorHAnsi"/>
                <w:b/>
                <w:szCs w:val="20"/>
              </w:rPr>
              <w:t>Rev</w:t>
            </w:r>
          </w:p>
        </w:tc>
        <w:tc>
          <w:tcPr>
            <w:tcW w:w="511" w:type="pct"/>
            <w:shd w:val="clear" w:color="auto" w:fill="D9D9D9" w:themeFill="background1" w:themeFillShade="D9"/>
          </w:tcPr>
          <w:p w14:paraId="7D56D10B" w14:textId="77777777" w:rsidR="00933188" w:rsidRPr="00500C4E" w:rsidRDefault="00933188" w:rsidP="005729C8">
            <w:pPr>
              <w:rPr>
                <w:rFonts w:cstheme="minorHAnsi"/>
                <w:b/>
                <w:bCs/>
                <w:szCs w:val="20"/>
              </w:rPr>
            </w:pPr>
            <w:r w:rsidRPr="00920905">
              <w:rPr>
                <w:rFonts w:cstheme="minorHAnsi"/>
                <w:b/>
                <w:szCs w:val="20"/>
              </w:rPr>
              <w:t>Date</w:t>
            </w:r>
          </w:p>
        </w:tc>
        <w:tc>
          <w:tcPr>
            <w:tcW w:w="744" w:type="pct"/>
            <w:shd w:val="clear" w:color="auto" w:fill="D9D9D9" w:themeFill="background1" w:themeFillShade="D9"/>
          </w:tcPr>
          <w:p w14:paraId="7D56D10C" w14:textId="77777777" w:rsidR="00933188" w:rsidRPr="00500C4E" w:rsidRDefault="003845E5" w:rsidP="003845E5">
            <w:pPr>
              <w:rPr>
                <w:rFonts w:cstheme="minorHAnsi"/>
                <w:b/>
                <w:bCs/>
                <w:szCs w:val="20"/>
              </w:rPr>
            </w:pPr>
            <w:r>
              <w:rPr>
                <w:rFonts w:cstheme="minorHAnsi"/>
                <w:b/>
                <w:szCs w:val="20"/>
              </w:rPr>
              <w:t>Author</w:t>
            </w:r>
          </w:p>
        </w:tc>
        <w:tc>
          <w:tcPr>
            <w:tcW w:w="3463" w:type="pct"/>
            <w:shd w:val="clear" w:color="auto" w:fill="D9D9D9" w:themeFill="background1" w:themeFillShade="D9"/>
          </w:tcPr>
          <w:p w14:paraId="7D56D10D" w14:textId="77777777" w:rsidR="00933188" w:rsidRPr="00500C4E" w:rsidRDefault="00933188" w:rsidP="005729C8">
            <w:pPr>
              <w:rPr>
                <w:rFonts w:cstheme="minorHAnsi"/>
                <w:b/>
                <w:bCs/>
                <w:szCs w:val="20"/>
              </w:rPr>
            </w:pPr>
            <w:r w:rsidRPr="00920905">
              <w:rPr>
                <w:rFonts w:cstheme="minorHAnsi"/>
                <w:b/>
                <w:szCs w:val="20"/>
              </w:rPr>
              <w:t>Summary of Changes</w:t>
            </w:r>
          </w:p>
        </w:tc>
      </w:tr>
      <w:tr w:rsidR="002E5766" w:rsidRPr="002E5766" w14:paraId="7D56D113" w14:textId="77777777" w:rsidTr="00572895">
        <w:trPr>
          <w:trHeight w:val="20"/>
        </w:trPr>
        <w:tc>
          <w:tcPr>
            <w:tcW w:w="282" w:type="pct"/>
          </w:tcPr>
          <w:p w14:paraId="7D56D10F" w14:textId="77777777" w:rsidR="00933188" w:rsidRPr="002E5766" w:rsidRDefault="00933188" w:rsidP="005729C8">
            <w:pPr>
              <w:rPr>
                <w:rFonts w:cstheme="minorHAnsi"/>
                <w:szCs w:val="20"/>
              </w:rPr>
            </w:pPr>
            <w:r w:rsidRPr="002E5766">
              <w:rPr>
                <w:rFonts w:cstheme="minorHAnsi"/>
                <w:szCs w:val="20"/>
              </w:rPr>
              <w:t>0</w:t>
            </w:r>
          </w:p>
        </w:tc>
        <w:tc>
          <w:tcPr>
            <w:tcW w:w="511" w:type="pct"/>
          </w:tcPr>
          <w:p w14:paraId="7D56D110" w14:textId="77777777" w:rsidR="00933188" w:rsidRPr="002E5766" w:rsidRDefault="00BD1F1B" w:rsidP="00175597">
            <w:pPr>
              <w:rPr>
                <w:rFonts w:cstheme="minorHAnsi"/>
                <w:szCs w:val="20"/>
              </w:rPr>
            </w:pPr>
            <w:r w:rsidRPr="002E5766">
              <w:rPr>
                <w:rFonts w:cstheme="minorHAnsi"/>
                <w:szCs w:val="20"/>
              </w:rPr>
              <w:t>0</w:t>
            </w:r>
            <w:r w:rsidR="007720FB">
              <w:rPr>
                <w:rFonts w:cstheme="minorHAnsi"/>
                <w:szCs w:val="20"/>
              </w:rPr>
              <w:t>4</w:t>
            </w:r>
            <w:r w:rsidR="00572895" w:rsidRPr="002E5766">
              <w:rPr>
                <w:rFonts w:cstheme="minorHAnsi"/>
                <w:szCs w:val="20"/>
              </w:rPr>
              <w:t>/</w:t>
            </w:r>
            <w:r w:rsidR="00BD2B96">
              <w:rPr>
                <w:rFonts w:cstheme="minorHAnsi"/>
                <w:szCs w:val="20"/>
              </w:rPr>
              <w:t>2</w:t>
            </w:r>
            <w:r w:rsidR="00175597" w:rsidRPr="002E5766">
              <w:rPr>
                <w:rFonts w:cstheme="minorHAnsi"/>
                <w:szCs w:val="20"/>
              </w:rPr>
              <w:t>7</w:t>
            </w:r>
            <w:r w:rsidR="00572895" w:rsidRPr="002E5766">
              <w:rPr>
                <w:rFonts w:cstheme="minorHAnsi"/>
                <w:szCs w:val="20"/>
              </w:rPr>
              <w:t>/1</w:t>
            </w:r>
            <w:r w:rsidRPr="002E5766">
              <w:rPr>
                <w:rFonts w:cstheme="minorHAnsi"/>
                <w:szCs w:val="20"/>
              </w:rPr>
              <w:t>7</w:t>
            </w:r>
          </w:p>
        </w:tc>
        <w:tc>
          <w:tcPr>
            <w:tcW w:w="744" w:type="pct"/>
          </w:tcPr>
          <w:p w14:paraId="7D56D111" w14:textId="77777777" w:rsidR="00933188" w:rsidRPr="002E5766" w:rsidRDefault="00BD1F1B" w:rsidP="001B2301">
            <w:pPr>
              <w:rPr>
                <w:rFonts w:cstheme="minorHAnsi"/>
                <w:szCs w:val="20"/>
              </w:rPr>
            </w:pPr>
            <w:r w:rsidRPr="002E5766">
              <w:rPr>
                <w:rFonts w:cstheme="minorHAnsi"/>
                <w:szCs w:val="20"/>
              </w:rPr>
              <w:t>Raad Bashar, SCG</w:t>
            </w:r>
          </w:p>
        </w:tc>
        <w:tc>
          <w:tcPr>
            <w:tcW w:w="3463" w:type="pct"/>
          </w:tcPr>
          <w:p w14:paraId="7D56D112" w14:textId="77777777" w:rsidR="0036726C" w:rsidRPr="002E5766" w:rsidRDefault="00BD1F1B" w:rsidP="00572895">
            <w:r w:rsidRPr="002E5766">
              <w:t>New</w:t>
            </w:r>
            <w:r w:rsidR="00572895" w:rsidRPr="002E5766">
              <w:t xml:space="preserve"> work paper </w:t>
            </w:r>
          </w:p>
        </w:tc>
      </w:tr>
      <w:tr w:rsidR="00563258" w:rsidRPr="002E5766" w14:paraId="0391C412" w14:textId="77777777" w:rsidTr="00572895">
        <w:trPr>
          <w:trHeight w:val="20"/>
        </w:trPr>
        <w:tc>
          <w:tcPr>
            <w:tcW w:w="282" w:type="pct"/>
          </w:tcPr>
          <w:p w14:paraId="5D06E036" w14:textId="314DE513" w:rsidR="00563258" w:rsidRPr="002E5766" w:rsidRDefault="00563258" w:rsidP="005729C8">
            <w:pPr>
              <w:rPr>
                <w:rFonts w:cstheme="minorHAnsi"/>
                <w:szCs w:val="20"/>
              </w:rPr>
            </w:pPr>
            <w:r>
              <w:rPr>
                <w:rFonts w:cstheme="minorHAnsi"/>
                <w:szCs w:val="20"/>
              </w:rPr>
              <w:t>1</w:t>
            </w:r>
          </w:p>
        </w:tc>
        <w:tc>
          <w:tcPr>
            <w:tcW w:w="511" w:type="pct"/>
          </w:tcPr>
          <w:p w14:paraId="6BD44EFB" w14:textId="44C6B90B" w:rsidR="00563258" w:rsidRPr="002E5766" w:rsidRDefault="008E14C1" w:rsidP="00175597">
            <w:pPr>
              <w:rPr>
                <w:rFonts w:cstheme="minorHAnsi"/>
                <w:szCs w:val="20"/>
              </w:rPr>
            </w:pPr>
            <w:r>
              <w:rPr>
                <w:rFonts w:cstheme="minorHAnsi"/>
                <w:szCs w:val="20"/>
              </w:rPr>
              <w:t>12/21</w:t>
            </w:r>
            <w:r w:rsidR="00563258">
              <w:rPr>
                <w:rFonts w:cstheme="minorHAnsi"/>
                <w:szCs w:val="20"/>
              </w:rPr>
              <w:t>/17</w:t>
            </w:r>
          </w:p>
        </w:tc>
        <w:tc>
          <w:tcPr>
            <w:tcW w:w="744" w:type="pct"/>
          </w:tcPr>
          <w:p w14:paraId="4AE6EB71" w14:textId="751D9F7D" w:rsidR="00563258" w:rsidRPr="002E5766" w:rsidRDefault="008E14C1" w:rsidP="001B2301">
            <w:pPr>
              <w:rPr>
                <w:rFonts w:cstheme="minorHAnsi"/>
                <w:szCs w:val="20"/>
              </w:rPr>
            </w:pPr>
            <w:r>
              <w:rPr>
                <w:rFonts w:cstheme="minorHAnsi"/>
                <w:szCs w:val="20"/>
              </w:rPr>
              <w:t>Matthew Mendoza</w:t>
            </w:r>
            <w:r w:rsidR="00563258" w:rsidRPr="002E5766">
              <w:rPr>
                <w:rFonts w:cstheme="minorHAnsi"/>
                <w:szCs w:val="20"/>
              </w:rPr>
              <w:t>, SCG</w:t>
            </w:r>
          </w:p>
        </w:tc>
        <w:tc>
          <w:tcPr>
            <w:tcW w:w="3463" w:type="pct"/>
          </w:tcPr>
          <w:p w14:paraId="289919C0" w14:textId="58BA311E" w:rsidR="00563258" w:rsidRPr="00CD4FAB" w:rsidRDefault="005944FE" w:rsidP="00BF2BB7">
            <w:pPr>
              <w:pStyle w:val="ListParagraph"/>
              <w:numPr>
                <w:ilvl w:val="0"/>
                <w:numId w:val="26"/>
              </w:numPr>
            </w:pPr>
            <w:r>
              <w:rPr>
                <w:rFonts w:eastAsiaTheme="minorHAnsi"/>
              </w:rPr>
              <w:t>Incorporated</w:t>
            </w:r>
            <w:r w:rsidR="00CD4FAB">
              <w:rPr>
                <w:rFonts w:eastAsiaTheme="minorHAnsi"/>
              </w:rPr>
              <w:t xml:space="preserve"> the responses to the Commission Staff’s comments.</w:t>
            </w:r>
          </w:p>
          <w:p w14:paraId="17262CA8" w14:textId="3239286F" w:rsidR="008E14C1" w:rsidRPr="008E14C1" w:rsidRDefault="005944FE" w:rsidP="008E14C1">
            <w:pPr>
              <w:pStyle w:val="ListParagraph"/>
              <w:numPr>
                <w:ilvl w:val="0"/>
                <w:numId w:val="26"/>
              </w:numPr>
            </w:pPr>
            <w:r>
              <w:rPr>
                <w:rFonts w:eastAsiaTheme="minorHAnsi"/>
              </w:rPr>
              <w:t>Adjusted</w:t>
            </w:r>
            <w:r w:rsidR="00CD4FAB">
              <w:rPr>
                <w:rFonts w:eastAsiaTheme="minorHAnsi"/>
              </w:rPr>
              <w:t xml:space="preserve"> </w:t>
            </w:r>
            <w:r w:rsidR="00F81D25">
              <w:rPr>
                <w:rFonts w:eastAsiaTheme="minorHAnsi"/>
              </w:rPr>
              <w:t xml:space="preserve">and clarified </w:t>
            </w:r>
            <w:r w:rsidR="00CD4FAB">
              <w:rPr>
                <w:rFonts w:eastAsiaTheme="minorHAnsi"/>
              </w:rPr>
              <w:t>the energy calculations for the Lodging category</w:t>
            </w:r>
            <w:r w:rsidR="008E14C1">
              <w:rPr>
                <w:rFonts w:eastAsiaTheme="minorHAnsi"/>
              </w:rPr>
              <w:t>; Recalculated market occupancy rate as suggested by Comment 4</w:t>
            </w:r>
          </w:p>
          <w:p w14:paraId="0B37B6C5" w14:textId="77777777" w:rsidR="00CD4FAB" w:rsidRPr="00200F21" w:rsidRDefault="005944FE" w:rsidP="00BF2BB7">
            <w:pPr>
              <w:pStyle w:val="ListParagraph"/>
              <w:numPr>
                <w:ilvl w:val="0"/>
                <w:numId w:val="26"/>
              </w:numPr>
            </w:pPr>
            <w:r>
              <w:rPr>
                <w:rFonts w:eastAsiaTheme="minorHAnsi"/>
              </w:rPr>
              <w:t>Changed</w:t>
            </w:r>
            <w:r w:rsidR="00CD4FAB">
              <w:rPr>
                <w:rFonts w:eastAsiaTheme="minorHAnsi"/>
              </w:rPr>
              <w:t xml:space="preserve"> the Schools operating days per year</w:t>
            </w:r>
            <w:r w:rsidR="00F81D25">
              <w:rPr>
                <w:rFonts w:eastAsiaTheme="minorHAnsi"/>
              </w:rPr>
              <w:t>, as pointed out by the reviewer in comment-5</w:t>
            </w:r>
          </w:p>
          <w:p w14:paraId="17E33C6C" w14:textId="6B942FFC" w:rsidR="00200F21" w:rsidRPr="00200F21" w:rsidRDefault="00200F21" w:rsidP="00200F21">
            <w:pPr>
              <w:pStyle w:val="ListParagraph"/>
              <w:numPr>
                <w:ilvl w:val="0"/>
                <w:numId w:val="26"/>
              </w:numPr>
            </w:pPr>
            <w:r w:rsidRPr="008F7F24">
              <w:rPr>
                <w:rFonts w:eastAsiaTheme="minorHAnsi"/>
              </w:rPr>
              <w:t>Removed ROB/NC Installation types and PreRebDown delivery type</w:t>
            </w:r>
            <w:r w:rsidR="00B36F35">
              <w:rPr>
                <w:rFonts w:eastAsiaTheme="minorHAnsi"/>
              </w:rPr>
              <w:t>; workpaper will be used strictly as Direct Install</w:t>
            </w:r>
            <w:bookmarkStart w:id="9" w:name="_GoBack"/>
            <w:bookmarkEnd w:id="9"/>
          </w:p>
        </w:tc>
      </w:tr>
    </w:tbl>
    <w:p w14:paraId="0ECDA42E" w14:textId="77777777" w:rsidR="00335475" w:rsidRDefault="00335475" w:rsidP="005E489F"/>
    <w:p w14:paraId="0043187A" w14:textId="77777777" w:rsidR="00335475" w:rsidRDefault="00335475" w:rsidP="00335475">
      <w:pPr>
        <w:pStyle w:val="Heading1"/>
      </w:pPr>
      <w:bookmarkStart w:id="10" w:name="_Toc502148135"/>
      <w:r>
        <w:t>Commission Staff and Cal TF Comments</w:t>
      </w:r>
      <w:bookmarkEnd w:id="10"/>
    </w:p>
    <w:tbl>
      <w:tblPr>
        <w:tblStyle w:val="TableGrid1"/>
        <w:tblW w:w="5001" w:type="pct"/>
        <w:tblLook w:val="01E0" w:firstRow="1" w:lastRow="1" w:firstColumn="1" w:lastColumn="1" w:noHBand="0" w:noVBand="0"/>
      </w:tblPr>
      <w:tblGrid>
        <w:gridCol w:w="524"/>
        <w:gridCol w:w="657"/>
        <w:gridCol w:w="1024"/>
        <w:gridCol w:w="1033"/>
        <w:gridCol w:w="2511"/>
        <w:gridCol w:w="3603"/>
      </w:tblGrid>
      <w:tr w:rsidR="00335475" w:rsidRPr="00500C4E" w14:paraId="7994A6D1" w14:textId="77777777" w:rsidTr="00860B34">
        <w:trPr>
          <w:trHeight w:val="20"/>
        </w:trPr>
        <w:tc>
          <w:tcPr>
            <w:tcW w:w="280" w:type="pct"/>
            <w:shd w:val="clear" w:color="auto" w:fill="D9D9D9" w:themeFill="background1" w:themeFillShade="D9"/>
          </w:tcPr>
          <w:p w14:paraId="290EB812" w14:textId="77777777" w:rsidR="00335475" w:rsidRPr="00090AC9" w:rsidRDefault="00335475" w:rsidP="00335475">
            <w:pPr>
              <w:rPr>
                <w:b/>
                <w:bCs/>
                <w:szCs w:val="20"/>
              </w:rPr>
            </w:pPr>
            <w:r>
              <w:rPr>
                <w:b/>
                <w:szCs w:val="20"/>
              </w:rPr>
              <w:t>Rev</w:t>
            </w:r>
          </w:p>
        </w:tc>
        <w:tc>
          <w:tcPr>
            <w:tcW w:w="351" w:type="pct"/>
            <w:shd w:val="clear" w:color="auto" w:fill="D9D9D9" w:themeFill="background1" w:themeFillShade="D9"/>
          </w:tcPr>
          <w:p w14:paraId="34B8436A" w14:textId="77777777" w:rsidR="00335475" w:rsidRPr="00090AC9" w:rsidRDefault="00335475" w:rsidP="00335475">
            <w:pPr>
              <w:rPr>
                <w:b/>
                <w:szCs w:val="20"/>
              </w:rPr>
            </w:pPr>
            <w:r>
              <w:rPr>
                <w:b/>
                <w:szCs w:val="20"/>
              </w:rPr>
              <w:t>Party</w:t>
            </w:r>
          </w:p>
        </w:tc>
        <w:tc>
          <w:tcPr>
            <w:tcW w:w="547" w:type="pct"/>
            <w:shd w:val="clear" w:color="auto" w:fill="D9D9D9" w:themeFill="background1" w:themeFillShade="D9"/>
          </w:tcPr>
          <w:p w14:paraId="1BFEF634" w14:textId="77777777" w:rsidR="00335475" w:rsidRPr="00090AC9" w:rsidRDefault="00335475" w:rsidP="00335475">
            <w:pPr>
              <w:rPr>
                <w:b/>
                <w:bCs/>
                <w:szCs w:val="20"/>
              </w:rPr>
            </w:pPr>
            <w:r>
              <w:rPr>
                <w:b/>
                <w:szCs w:val="20"/>
              </w:rPr>
              <w:t>Submittal Date</w:t>
            </w:r>
          </w:p>
        </w:tc>
        <w:tc>
          <w:tcPr>
            <w:tcW w:w="406" w:type="pct"/>
            <w:shd w:val="clear" w:color="auto" w:fill="D9D9D9" w:themeFill="background1" w:themeFillShade="D9"/>
          </w:tcPr>
          <w:p w14:paraId="1F37E150" w14:textId="77777777" w:rsidR="00335475" w:rsidRPr="00090AC9" w:rsidRDefault="00335475" w:rsidP="00335475">
            <w:pPr>
              <w:rPr>
                <w:b/>
                <w:bCs/>
                <w:szCs w:val="20"/>
              </w:rPr>
            </w:pPr>
            <w:r>
              <w:rPr>
                <w:b/>
                <w:szCs w:val="20"/>
              </w:rPr>
              <w:t>Comment Date</w:t>
            </w:r>
          </w:p>
        </w:tc>
        <w:tc>
          <w:tcPr>
            <w:tcW w:w="1488" w:type="pct"/>
            <w:shd w:val="clear" w:color="auto" w:fill="D9D9D9" w:themeFill="background1" w:themeFillShade="D9"/>
          </w:tcPr>
          <w:p w14:paraId="3DCB8B49" w14:textId="77777777" w:rsidR="00335475" w:rsidRPr="00090AC9" w:rsidRDefault="00335475" w:rsidP="00335475">
            <w:pPr>
              <w:rPr>
                <w:b/>
                <w:bCs/>
                <w:szCs w:val="20"/>
              </w:rPr>
            </w:pPr>
            <w:r w:rsidRPr="00090AC9">
              <w:rPr>
                <w:b/>
                <w:szCs w:val="20"/>
              </w:rPr>
              <w:t>Comments</w:t>
            </w:r>
          </w:p>
        </w:tc>
        <w:tc>
          <w:tcPr>
            <w:tcW w:w="1926" w:type="pct"/>
            <w:shd w:val="clear" w:color="auto" w:fill="D9D9D9" w:themeFill="background1" w:themeFillShade="D9"/>
          </w:tcPr>
          <w:p w14:paraId="44AB4576" w14:textId="77777777" w:rsidR="00335475" w:rsidRPr="00090AC9" w:rsidRDefault="00335475" w:rsidP="00335475">
            <w:pPr>
              <w:rPr>
                <w:b/>
                <w:szCs w:val="20"/>
              </w:rPr>
            </w:pPr>
            <w:r>
              <w:rPr>
                <w:b/>
                <w:szCs w:val="20"/>
              </w:rPr>
              <w:t>WP Developer Response</w:t>
            </w:r>
          </w:p>
        </w:tc>
      </w:tr>
      <w:tr w:rsidR="00373041" w:rsidRPr="00500C4E" w14:paraId="330EB811" w14:textId="77777777" w:rsidTr="00860B34">
        <w:trPr>
          <w:trHeight w:val="20"/>
        </w:trPr>
        <w:tc>
          <w:tcPr>
            <w:tcW w:w="280" w:type="pct"/>
          </w:tcPr>
          <w:p w14:paraId="56D08FCB" w14:textId="77777777" w:rsidR="00335475" w:rsidRPr="002E4FAD" w:rsidRDefault="00335475" w:rsidP="00335475">
            <w:pPr>
              <w:rPr>
                <w:bCs/>
              </w:rPr>
            </w:pPr>
            <w:r w:rsidRPr="002E4FAD">
              <w:rPr>
                <w:bCs/>
              </w:rPr>
              <w:t>0</w:t>
            </w:r>
          </w:p>
        </w:tc>
        <w:tc>
          <w:tcPr>
            <w:tcW w:w="351" w:type="pct"/>
          </w:tcPr>
          <w:p w14:paraId="1A293FEE" w14:textId="77777777" w:rsidR="00335475" w:rsidRPr="002E4FAD" w:rsidRDefault="00335475" w:rsidP="00335475">
            <w:pPr>
              <w:rPr>
                <w:bCs/>
                <w:szCs w:val="20"/>
              </w:rPr>
            </w:pPr>
            <w:r w:rsidRPr="002E4FAD">
              <w:rPr>
                <w:bCs/>
                <w:szCs w:val="20"/>
              </w:rPr>
              <w:t>CS</w:t>
            </w:r>
          </w:p>
        </w:tc>
        <w:tc>
          <w:tcPr>
            <w:tcW w:w="547" w:type="pct"/>
          </w:tcPr>
          <w:p w14:paraId="3B86577E" w14:textId="050107D3" w:rsidR="00335475" w:rsidRPr="002E4FAD" w:rsidRDefault="00D84C92" w:rsidP="00335475">
            <w:pPr>
              <w:rPr>
                <w:bCs/>
                <w:szCs w:val="20"/>
              </w:rPr>
            </w:pPr>
            <w:r w:rsidRPr="002E4FAD">
              <w:rPr>
                <w:bCs/>
                <w:szCs w:val="20"/>
              </w:rPr>
              <w:t>6/19</w:t>
            </w:r>
            <w:r w:rsidR="00335475" w:rsidRPr="002E4FAD">
              <w:rPr>
                <w:bCs/>
                <w:szCs w:val="20"/>
              </w:rPr>
              <w:t>/1</w:t>
            </w:r>
            <w:r w:rsidRPr="002E4FAD">
              <w:rPr>
                <w:bCs/>
                <w:szCs w:val="20"/>
              </w:rPr>
              <w:t>7</w:t>
            </w:r>
          </w:p>
        </w:tc>
        <w:tc>
          <w:tcPr>
            <w:tcW w:w="406" w:type="pct"/>
          </w:tcPr>
          <w:p w14:paraId="2BD741EF" w14:textId="137FAC2F" w:rsidR="00335475" w:rsidRPr="002E4FAD" w:rsidRDefault="00D84C92" w:rsidP="00335475">
            <w:pPr>
              <w:rPr>
                <w:bCs/>
                <w:szCs w:val="20"/>
              </w:rPr>
            </w:pPr>
            <w:r w:rsidRPr="002E4FAD">
              <w:rPr>
                <w:bCs/>
                <w:szCs w:val="20"/>
              </w:rPr>
              <w:t>7</w:t>
            </w:r>
            <w:r w:rsidR="00335475" w:rsidRPr="002E4FAD">
              <w:rPr>
                <w:bCs/>
                <w:szCs w:val="20"/>
              </w:rPr>
              <w:t>/</w:t>
            </w:r>
            <w:r w:rsidRPr="002E4FAD">
              <w:rPr>
                <w:bCs/>
                <w:szCs w:val="20"/>
              </w:rPr>
              <w:t>3</w:t>
            </w:r>
            <w:r w:rsidR="00335475" w:rsidRPr="002E4FAD">
              <w:rPr>
                <w:bCs/>
                <w:szCs w:val="20"/>
              </w:rPr>
              <w:t>/1</w:t>
            </w:r>
            <w:r w:rsidRPr="002E4FAD">
              <w:rPr>
                <w:bCs/>
                <w:szCs w:val="20"/>
              </w:rPr>
              <w:t>7</w:t>
            </w:r>
          </w:p>
        </w:tc>
        <w:tc>
          <w:tcPr>
            <w:tcW w:w="1488" w:type="pct"/>
          </w:tcPr>
          <w:p w14:paraId="04EDB4C5" w14:textId="2D9AEB4C" w:rsidR="002E4FAD" w:rsidRPr="00373198" w:rsidRDefault="002E4FAD" w:rsidP="002E4FAD">
            <w:pPr>
              <w:pStyle w:val="Default"/>
              <w:rPr>
                <w:rFonts w:eastAsiaTheme="minorHAnsi"/>
                <w:b/>
                <w:color w:val="auto"/>
                <w:sz w:val="18"/>
                <w:szCs w:val="18"/>
                <w:u w:val="single"/>
              </w:rPr>
            </w:pPr>
            <w:r w:rsidRPr="00373198">
              <w:rPr>
                <w:rFonts w:eastAsiaTheme="minorHAnsi"/>
                <w:b/>
                <w:color w:val="auto"/>
                <w:sz w:val="18"/>
                <w:szCs w:val="18"/>
                <w:u w:val="single"/>
              </w:rPr>
              <w:t>Comment 1.</w:t>
            </w:r>
          </w:p>
          <w:p w14:paraId="7C093A66" w14:textId="3ACDD193" w:rsidR="00335475" w:rsidRPr="004443CD" w:rsidRDefault="00D84C92" w:rsidP="00373198">
            <w:pPr>
              <w:pStyle w:val="Default"/>
              <w:rPr>
                <w:rFonts w:eastAsiaTheme="minorHAnsi"/>
                <w:color w:val="auto"/>
                <w:sz w:val="17"/>
                <w:szCs w:val="17"/>
              </w:rPr>
            </w:pPr>
            <w:r w:rsidRPr="004443CD">
              <w:rPr>
                <w:rFonts w:eastAsiaTheme="minorHAnsi"/>
                <w:color w:val="auto"/>
                <w:sz w:val="17"/>
                <w:szCs w:val="17"/>
              </w:rPr>
              <w:t>Preponderance of Evidence (PoE): Workpaper covers both Accelerated Replacement (AR) and Normal Replacement (NR). AR implementations require evidence that the program was the primary influence to accelerate replacement of the equipment. Provide narrative discussing procedures, collected evidence and contractor requirements that identify PoE of accelerated replacement for these deemed measures.</w:t>
            </w:r>
          </w:p>
          <w:p w14:paraId="67430970" w14:textId="4FD6BDD5" w:rsidR="00D84C92" w:rsidRDefault="00D84C92" w:rsidP="004443CD">
            <w:pPr>
              <w:pStyle w:val="Default"/>
              <w:ind w:left="360"/>
              <w:rPr>
                <w:rFonts w:eastAsiaTheme="minorHAnsi"/>
                <w:color w:val="auto"/>
                <w:sz w:val="17"/>
                <w:szCs w:val="17"/>
              </w:rPr>
            </w:pPr>
          </w:p>
          <w:p w14:paraId="7C3D7974" w14:textId="21CC98BB" w:rsidR="002E4FAD" w:rsidRDefault="002E4FAD" w:rsidP="004443CD">
            <w:pPr>
              <w:pStyle w:val="Default"/>
              <w:ind w:left="360"/>
              <w:rPr>
                <w:rFonts w:eastAsiaTheme="minorHAnsi"/>
                <w:color w:val="auto"/>
                <w:sz w:val="17"/>
                <w:szCs w:val="17"/>
              </w:rPr>
            </w:pPr>
          </w:p>
          <w:p w14:paraId="410BF767" w14:textId="2AD0FCFB" w:rsidR="002E4FAD" w:rsidRDefault="002E4FAD" w:rsidP="004443CD">
            <w:pPr>
              <w:pStyle w:val="Default"/>
              <w:ind w:left="360"/>
              <w:rPr>
                <w:rFonts w:eastAsiaTheme="minorHAnsi"/>
                <w:color w:val="auto"/>
                <w:sz w:val="17"/>
                <w:szCs w:val="17"/>
              </w:rPr>
            </w:pPr>
          </w:p>
          <w:p w14:paraId="2E85EE0B" w14:textId="36B76475" w:rsidR="002E4FAD" w:rsidRDefault="002E4FAD" w:rsidP="004443CD">
            <w:pPr>
              <w:pStyle w:val="Default"/>
              <w:ind w:left="360"/>
              <w:rPr>
                <w:rFonts w:eastAsiaTheme="minorHAnsi"/>
                <w:color w:val="auto"/>
                <w:sz w:val="17"/>
                <w:szCs w:val="17"/>
              </w:rPr>
            </w:pPr>
          </w:p>
          <w:p w14:paraId="3495BC6A" w14:textId="4FC6E371" w:rsidR="002E4FAD" w:rsidRDefault="002E4FAD" w:rsidP="004443CD">
            <w:pPr>
              <w:pStyle w:val="Default"/>
              <w:ind w:left="360"/>
              <w:rPr>
                <w:rFonts w:eastAsiaTheme="minorHAnsi"/>
                <w:color w:val="auto"/>
                <w:sz w:val="17"/>
                <w:szCs w:val="17"/>
              </w:rPr>
            </w:pPr>
          </w:p>
          <w:p w14:paraId="1C10401E" w14:textId="72AD5E4A" w:rsidR="002E4FAD" w:rsidRDefault="002E4FAD" w:rsidP="004443CD">
            <w:pPr>
              <w:pStyle w:val="Default"/>
              <w:ind w:left="360"/>
              <w:rPr>
                <w:rFonts w:eastAsiaTheme="minorHAnsi"/>
                <w:color w:val="auto"/>
                <w:sz w:val="17"/>
                <w:szCs w:val="17"/>
              </w:rPr>
            </w:pPr>
          </w:p>
          <w:p w14:paraId="00072C9B" w14:textId="7C19BAD5" w:rsidR="002E4FAD" w:rsidRDefault="002E4FAD" w:rsidP="004443CD">
            <w:pPr>
              <w:pStyle w:val="Default"/>
              <w:ind w:left="360"/>
              <w:rPr>
                <w:rFonts w:eastAsiaTheme="minorHAnsi"/>
                <w:color w:val="auto"/>
                <w:sz w:val="17"/>
                <w:szCs w:val="17"/>
              </w:rPr>
            </w:pPr>
          </w:p>
          <w:p w14:paraId="0221751E" w14:textId="72BC48DF" w:rsidR="002E4FAD" w:rsidRDefault="002E4FAD" w:rsidP="004443CD">
            <w:pPr>
              <w:pStyle w:val="Default"/>
              <w:ind w:left="360"/>
              <w:rPr>
                <w:rFonts w:eastAsiaTheme="minorHAnsi"/>
                <w:color w:val="auto"/>
                <w:sz w:val="17"/>
                <w:szCs w:val="17"/>
              </w:rPr>
            </w:pPr>
          </w:p>
          <w:p w14:paraId="3C447C10" w14:textId="6E3199BF" w:rsidR="002E4FAD" w:rsidRDefault="002E4FAD" w:rsidP="004443CD">
            <w:pPr>
              <w:pStyle w:val="Default"/>
              <w:ind w:left="360"/>
              <w:rPr>
                <w:rFonts w:eastAsiaTheme="minorHAnsi"/>
                <w:color w:val="auto"/>
                <w:sz w:val="17"/>
                <w:szCs w:val="17"/>
              </w:rPr>
            </w:pPr>
          </w:p>
          <w:p w14:paraId="6A0053F8" w14:textId="77777777" w:rsidR="00373198" w:rsidRDefault="00373198" w:rsidP="002E4FAD">
            <w:pPr>
              <w:pStyle w:val="Default"/>
              <w:rPr>
                <w:rFonts w:eastAsiaTheme="minorHAnsi"/>
                <w:color w:val="auto"/>
                <w:sz w:val="17"/>
                <w:szCs w:val="17"/>
              </w:rPr>
            </w:pPr>
          </w:p>
          <w:p w14:paraId="2702186B" w14:textId="77777777" w:rsidR="00373198" w:rsidRDefault="00373198" w:rsidP="002E4FAD">
            <w:pPr>
              <w:pStyle w:val="Default"/>
              <w:rPr>
                <w:rFonts w:eastAsiaTheme="minorHAnsi"/>
                <w:color w:val="auto"/>
                <w:sz w:val="17"/>
                <w:szCs w:val="17"/>
              </w:rPr>
            </w:pPr>
          </w:p>
          <w:p w14:paraId="7FE433D6" w14:textId="235C4CFC" w:rsidR="002E4FAD" w:rsidRPr="00373198" w:rsidRDefault="002E4FAD" w:rsidP="002E4FAD">
            <w:pPr>
              <w:pStyle w:val="Default"/>
              <w:rPr>
                <w:rFonts w:eastAsiaTheme="minorHAnsi"/>
                <w:b/>
                <w:color w:val="auto"/>
                <w:sz w:val="18"/>
                <w:szCs w:val="18"/>
                <w:u w:val="single"/>
              </w:rPr>
            </w:pPr>
            <w:r w:rsidRPr="00373198">
              <w:rPr>
                <w:rFonts w:eastAsiaTheme="minorHAnsi"/>
                <w:b/>
                <w:color w:val="auto"/>
                <w:sz w:val="18"/>
                <w:szCs w:val="18"/>
                <w:u w:val="single"/>
              </w:rPr>
              <w:t>Comment 2.</w:t>
            </w:r>
          </w:p>
          <w:p w14:paraId="2BCFE6AA" w14:textId="6EAFED86" w:rsidR="00373198" w:rsidRDefault="00D84C92" w:rsidP="002E4FAD">
            <w:pPr>
              <w:pStyle w:val="Default"/>
              <w:rPr>
                <w:rFonts w:eastAsiaTheme="minorHAnsi"/>
                <w:color w:val="auto"/>
                <w:sz w:val="17"/>
                <w:szCs w:val="17"/>
              </w:rPr>
            </w:pPr>
            <w:r w:rsidRPr="00D84C92">
              <w:rPr>
                <w:rFonts w:eastAsiaTheme="minorHAnsi"/>
                <w:color w:val="auto"/>
                <w:sz w:val="17"/>
                <w:szCs w:val="17"/>
              </w:rPr>
              <w:t xml:space="preserve">Existing condition of 2.25 GPM: Commission staff cannot locate a citation for this assumption. Section 1.5.1 notes a study "A comprehensive Energy Audit performed by Blackstone Research Corp., Inc. in 2016 (Attachment 3)" but this study was not uploaded along with the workpaper. Commission staff will review this document once it </w:t>
            </w:r>
            <w:r w:rsidRPr="00D84C92">
              <w:rPr>
                <w:rFonts w:eastAsiaTheme="minorHAnsi"/>
                <w:color w:val="auto"/>
                <w:sz w:val="17"/>
                <w:szCs w:val="17"/>
              </w:rPr>
              <w:lastRenderedPageBreak/>
              <w:t xml:space="preserve">is uploaded and make a determination if additional research is required to support the existing conditions baseline. </w:t>
            </w:r>
          </w:p>
          <w:p w14:paraId="32BE4937" w14:textId="77777777" w:rsidR="00373198" w:rsidRDefault="00373198" w:rsidP="002E4FAD">
            <w:pPr>
              <w:pStyle w:val="Default"/>
              <w:rPr>
                <w:rFonts w:eastAsiaTheme="minorHAnsi"/>
                <w:color w:val="auto"/>
                <w:sz w:val="17"/>
                <w:szCs w:val="17"/>
              </w:rPr>
            </w:pPr>
          </w:p>
          <w:p w14:paraId="7E655BF3" w14:textId="6A1495A8" w:rsidR="002E4FAD" w:rsidRPr="00373198" w:rsidRDefault="002E4FAD" w:rsidP="002E4FAD">
            <w:pPr>
              <w:pStyle w:val="Default"/>
              <w:rPr>
                <w:rFonts w:eastAsiaTheme="minorHAnsi"/>
                <w:b/>
                <w:color w:val="auto"/>
                <w:sz w:val="18"/>
                <w:szCs w:val="18"/>
                <w:u w:val="single"/>
              </w:rPr>
            </w:pPr>
            <w:r w:rsidRPr="00373198">
              <w:rPr>
                <w:rFonts w:eastAsiaTheme="minorHAnsi"/>
                <w:b/>
                <w:color w:val="auto"/>
                <w:sz w:val="18"/>
                <w:szCs w:val="18"/>
                <w:u w:val="single"/>
              </w:rPr>
              <w:t>Comment 3.</w:t>
            </w:r>
          </w:p>
          <w:p w14:paraId="76D14650" w14:textId="724FE732" w:rsidR="00D84C92" w:rsidRDefault="00D84C92" w:rsidP="00373198">
            <w:pPr>
              <w:pStyle w:val="Default"/>
              <w:rPr>
                <w:rFonts w:eastAsiaTheme="minorHAnsi"/>
                <w:color w:val="auto"/>
                <w:sz w:val="17"/>
                <w:szCs w:val="17"/>
              </w:rPr>
            </w:pPr>
            <w:r w:rsidRPr="00D84C92">
              <w:rPr>
                <w:rFonts w:eastAsiaTheme="minorHAnsi"/>
                <w:color w:val="auto"/>
                <w:sz w:val="17"/>
                <w:szCs w:val="17"/>
              </w:rPr>
              <w:t xml:space="preserve">If ISP exceeds code, then ISP shall be the 2nd baseline for AR measures and the baseline for NR measures. Workpaper assumes Title 20 code requirements for maximum flow. However, ISP may be showerheads that exceed have lower flow ratings than the maximum allowed by Title 20. ISP research is required to support using code minimum performance. </w:t>
            </w:r>
          </w:p>
          <w:p w14:paraId="277E56AE" w14:textId="16EAA8A6" w:rsidR="00373041" w:rsidRDefault="00373041" w:rsidP="004443CD">
            <w:pPr>
              <w:pStyle w:val="Default"/>
              <w:ind w:left="360"/>
              <w:rPr>
                <w:rFonts w:eastAsiaTheme="minorHAnsi"/>
                <w:color w:val="auto"/>
                <w:sz w:val="17"/>
                <w:szCs w:val="17"/>
              </w:rPr>
            </w:pPr>
          </w:p>
          <w:p w14:paraId="4354AC6A" w14:textId="0093ED2E" w:rsidR="002E4FAD" w:rsidRDefault="002E4FAD" w:rsidP="004443CD">
            <w:pPr>
              <w:pStyle w:val="Default"/>
              <w:ind w:left="360"/>
              <w:rPr>
                <w:rFonts w:eastAsiaTheme="minorHAnsi"/>
                <w:color w:val="auto"/>
                <w:sz w:val="17"/>
                <w:szCs w:val="17"/>
              </w:rPr>
            </w:pPr>
          </w:p>
          <w:p w14:paraId="45FEB1C9" w14:textId="3AD9CC2F" w:rsidR="002E4FAD" w:rsidRDefault="002E4FAD" w:rsidP="004443CD">
            <w:pPr>
              <w:pStyle w:val="Default"/>
              <w:ind w:left="360"/>
              <w:rPr>
                <w:rFonts w:eastAsiaTheme="minorHAnsi"/>
                <w:color w:val="auto"/>
                <w:sz w:val="17"/>
                <w:szCs w:val="17"/>
              </w:rPr>
            </w:pPr>
          </w:p>
          <w:p w14:paraId="507AF0F4" w14:textId="00DBC312" w:rsidR="002E4FAD" w:rsidRDefault="002E4FAD" w:rsidP="004443CD">
            <w:pPr>
              <w:pStyle w:val="Default"/>
              <w:ind w:left="360"/>
              <w:rPr>
                <w:rFonts w:eastAsiaTheme="minorHAnsi"/>
                <w:color w:val="auto"/>
                <w:sz w:val="17"/>
                <w:szCs w:val="17"/>
              </w:rPr>
            </w:pPr>
          </w:p>
          <w:p w14:paraId="09D7482F" w14:textId="74DF62EF" w:rsidR="002E4FAD" w:rsidRDefault="002E4FAD" w:rsidP="004443CD">
            <w:pPr>
              <w:pStyle w:val="Default"/>
              <w:ind w:left="360"/>
              <w:rPr>
                <w:rFonts w:eastAsiaTheme="minorHAnsi"/>
                <w:color w:val="auto"/>
                <w:sz w:val="17"/>
                <w:szCs w:val="17"/>
              </w:rPr>
            </w:pPr>
          </w:p>
          <w:p w14:paraId="38E35AB1" w14:textId="7CB90D8B" w:rsidR="002E4FAD" w:rsidRDefault="002E4FAD" w:rsidP="004443CD">
            <w:pPr>
              <w:pStyle w:val="Default"/>
              <w:ind w:left="360"/>
              <w:rPr>
                <w:rFonts w:eastAsiaTheme="minorHAnsi"/>
                <w:color w:val="auto"/>
                <w:sz w:val="17"/>
                <w:szCs w:val="17"/>
              </w:rPr>
            </w:pPr>
          </w:p>
          <w:p w14:paraId="624981B5" w14:textId="406B27E1" w:rsidR="002E4FAD" w:rsidRDefault="002E4FAD" w:rsidP="004443CD">
            <w:pPr>
              <w:pStyle w:val="Default"/>
              <w:ind w:left="360"/>
              <w:rPr>
                <w:rFonts w:eastAsiaTheme="minorHAnsi"/>
                <w:color w:val="auto"/>
                <w:sz w:val="17"/>
                <w:szCs w:val="17"/>
              </w:rPr>
            </w:pPr>
          </w:p>
          <w:p w14:paraId="69E5B036" w14:textId="43FBF895" w:rsidR="002E4FAD" w:rsidRDefault="002E4FAD" w:rsidP="004443CD">
            <w:pPr>
              <w:pStyle w:val="Default"/>
              <w:ind w:left="360"/>
              <w:rPr>
                <w:rFonts w:eastAsiaTheme="minorHAnsi"/>
                <w:color w:val="auto"/>
                <w:sz w:val="17"/>
                <w:szCs w:val="17"/>
              </w:rPr>
            </w:pPr>
          </w:p>
          <w:p w14:paraId="347C47FE" w14:textId="437FA796" w:rsidR="002E4FAD" w:rsidRDefault="002E4FAD" w:rsidP="004443CD">
            <w:pPr>
              <w:pStyle w:val="Default"/>
              <w:ind w:left="360"/>
              <w:rPr>
                <w:rFonts w:eastAsiaTheme="minorHAnsi"/>
                <w:color w:val="auto"/>
                <w:sz w:val="17"/>
                <w:szCs w:val="17"/>
              </w:rPr>
            </w:pPr>
          </w:p>
          <w:p w14:paraId="134D025A" w14:textId="52EB05DC" w:rsidR="002E4FAD" w:rsidRDefault="002E4FAD" w:rsidP="004443CD">
            <w:pPr>
              <w:pStyle w:val="Default"/>
              <w:ind w:left="360"/>
              <w:rPr>
                <w:rFonts w:eastAsiaTheme="minorHAnsi"/>
                <w:color w:val="auto"/>
                <w:sz w:val="17"/>
                <w:szCs w:val="17"/>
              </w:rPr>
            </w:pPr>
          </w:p>
          <w:p w14:paraId="1D4CB5E8" w14:textId="7E0265FE" w:rsidR="002E4FAD" w:rsidRDefault="002E4FAD" w:rsidP="004443CD">
            <w:pPr>
              <w:pStyle w:val="Default"/>
              <w:ind w:left="360"/>
              <w:rPr>
                <w:rFonts w:eastAsiaTheme="minorHAnsi"/>
                <w:color w:val="auto"/>
                <w:sz w:val="17"/>
                <w:szCs w:val="17"/>
              </w:rPr>
            </w:pPr>
          </w:p>
          <w:p w14:paraId="3D0FABE6" w14:textId="4B54AB67" w:rsidR="002E4FAD" w:rsidRDefault="002E4FAD" w:rsidP="004443CD">
            <w:pPr>
              <w:pStyle w:val="Default"/>
              <w:ind w:left="360"/>
              <w:rPr>
                <w:rFonts w:eastAsiaTheme="minorHAnsi"/>
                <w:color w:val="auto"/>
                <w:sz w:val="17"/>
                <w:szCs w:val="17"/>
              </w:rPr>
            </w:pPr>
          </w:p>
          <w:p w14:paraId="0A4067A9" w14:textId="5357F084" w:rsidR="002E4FAD" w:rsidRDefault="002E4FAD" w:rsidP="004443CD">
            <w:pPr>
              <w:pStyle w:val="Default"/>
              <w:ind w:left="360"/>
              <w:rPr>
                <w:rFonts w:eastAsiaTheme="minorHAnsi"/>
                <w:color w:val="auto"/>
                <w:sz w:val="17"/>
                <w:szCs w:val="17"/>
              </w:rPr>
            </w:pPr>
          </w:p>
          <w:p w14:paraId="6FB2E186" w14:textId="4E952C4B" w:rsidR="002E4FAD" w:rsidRDefault="002E4FAD" w:rsidP="00132D33">
            <w:pPr>
              <w:pStyle w:val="Default"/>
              <w:rPr>
                <w:rFonts w:eastAsiaTheme="minorHAnsi"/>
                <w:color w:val="auto"/>
                <w:sz w:val="17"/>
                <w:szCs w:val="17"/>
              </w:rPr>
            </w:pPr>
          </w:p>
          <w:p w14:paraId="09A5DD65" w14:textId="77777777" w:rsidR="00373198" w:rsidRDefault="00373198" w:rsidP="002E4FAD">
            <w:pPr>
              <w:pStyle w:val="Default"/>
              <w:rPr>
                <w:rFonts w:eastAsiaTheme="minorHAnsi"/>
                <w:color w:val="auto"/>
                <w:sz w:val="17"/>
                <w:szCs w:val="17"/>
              </w:rPr>
            </w:pPr>
          </w:p>
          <w:p w14:paraId="383A0C9D" w14:textId="58993C29" w:rsidR="002E4FAD" w:rsidRPr="00373198" w:rsidRDefault="002E4FAD" w:rsidP="002E4FAD">
            <w:pPr>
              <w:pStyle w:val="Default"/>
              <w:rPr>
                <w:rFonts w:eastAsiaTheme="minorHAnsi"/>
                <w:b/>
                <w:color w:val="auto"/>
                <w:sz w:val="18"/>
                <w:szCs w:val="18"/>
                <w:u w:val="single"/>
              </w:rPr>
            </w:pPr>
            <w:r w:rsidRPr="00373198">
              <w:rPr>
                <w:rFonts w:eastAsiaTheme="minorHAnsi"/>
                <w:b/>
                <w:color w:val="auto"/>
                <w:sz w:val="18"/>
                <w:szCs w:val="18"/>
                <w:u w:val="single"/>
              </w:rPr>
              <w:t>Comment 4.</w:t>
            </w:r>
          </w:p>
          <w:p w14:paraId="0CF6A026" w14:textId="77777777" w:rsidR="004443CD" w:rsidRDefault="00373041" w:rsidP="00373198">
            <w:pPr>
              <w:pStyle w:val="Default"/>
              <w:rPr>
                <w:rFonts w:eastAsiaTheme="minorHAnsi"/>
                <w:color w:val="auto"/>
                <w:sz w:val="17"/>
                <w:szCs w:val="17"/>
              </w:rPr>
            </w:pPr>
            <w:r w:rsidRPr="004443CD">
              <w:rPr>
                <w:rFonts w:eastAsiaTheme="minorHAnsi"/>
                <w:color w:val="auto"/>
                <w:sz w:val="17"/>
                <w:szCs w:val="17"/>
              </w:rPr>
              <w:t>Savings assume a 0.77 occupancy fraction for all lodging</w:t>
            </w:r>
            <w:r w:rsidR="004443CD">
              <w:rPr>
                <w:rFonts w:eastAsiaTheme="minorHAnsi"/>
                <w:color w:val="auto"/>
                <w:sz w:val="17"/>
                <w:szCs w:val="17"/>
              </w:rPr>
              <w:t xml:space="preserve"> </w:t>
            </w:r>
            <w:r w:rsidRPr="004443CD">
              <w:rPr>
                <w:rFonts w:eastAsiaTheme="minorHAnsi"/>
                <w:color w:val="auto"/>
                <w:sz w:val="17"/>
                <w:szCs w:val="17"/>
              </w:rPr>
              <w:t xml:space="preserve">establishments, which is based on "Southern California Lodging Forecast, PKF Consulting USA </w:t>
            </w:r>
          </w:p>
          <w:p w14:paraId="528ED865" w14:textId="3384B77E" w:rsidR="004443CD" w:rsidRPr="004443CD" w:rsidRDefault="00B36F35" w:rsidP="00373198">
            <w:pPr>
              <w:rPr>
                <w:rFonts w:eastAsiaTheme="minorHAnsi"/>
                <w:sz w:val="17"/>
                <w:szCs w:val="17"/>
              </w:rPr>
            </w:pPr>
            <w:hyperlink r:id="rId10" w:history="1">
              <w:r w:rsidR="004443CD" w:rsidRPr="00BA37AF">
                <w:rPr>
                  <w:rStyle w:val="Hyperlink"/>
                  <w:rFonts w:eastAsiaTheme="minorHAnsi"/>
                  <w:sz w:val="17"/>
                  <w:szCs w:val="17"/>
                </w:rPr>
                <w:t>https://www.cpp.edu/</w:t>
              </w:r>
            </w:hyperlink>
            <w:r w:rsidR="004443CD">
              <w:rPr>
                <w:rFonts w:eastAsiaTheme="minorHAnsi"/>
                <w:sz w:val="17"/>
                <w:szCs w:val="17"/>
              </w:rPr>
              <w:t>Collins/</w:t>
            </w:r>
          </w:p>
          <w:p w14:paraId="34D00A3B" w14:textId="62BDFDB0" w:rsidR="00373041" w:rsidRDefault="004443CD" w:rsidP="00373198">
            <w:pPr>
              <w:pStyle w:val="Default"/>
              <w:rPr>
                <w:rFonts w:eastAsiaTheme="minorHAnsi"/>
                <w:color w:val="auto"/>
                <w:sz w:val="17"/>
                <w:szCs w:val="17"/>
              </w:rPr>
            </w:pPr>
            <w:r w:rsidRPr="004443CD">
              <w:rPr>
                <w:rFonts w:eastAsiaTheme="minorHAnsi"/>
                <w:color w:val="auto"/>
                <w:sz w:val="17"/>
                <w:szCs w:val="17"/>
              </w:rPr>
              <w:t>Commission staff could not download this document but found similar documents on-line. These references note out that occupancy rates in southern California are at an all-time high and projects next year's values (0.77) to be even higher. Revise occupancy rate to reflect typical occupancy to be expected over the EUL of the measure, which will likely be lower than 0.77.</w:t>
            </w:r>
          </w:p>
          <w:p w14:paraId="2DBA349C" w14:textId="77777777" w:rsidR="004443CD" w:rsidRPr="004443CD" w:rsidRDefault="004443CD" w:rsidP="004443CD">
            <w:pPr>
              <w:pStyle w:val="Default"/>
              <w:ind w:left="360"/>
              <w:rPr>
                <w:rFonts w:eastAsiaTheme="minorHAnsi"/>
                <w:color w:val="auto"/>
                <w:sz w:val="17"/>
                <w:szCs w:val="17"/>
              </w:rPr>
            </w:pPr>
          </w:p>
          <w:p w14:paraId="7F8D9153" w14:textId="5EBB0156" w:rsidR="002E4FAD" w:rsidRPr="00373198" w:rsidRDefault="002E4FAD" w:rsidP="002E4FAD">
            <w:pPr>
              <w:pStyle w:val="Default"/>
              <w:rPr>
                <w:rFonts w:eastAsiaTheme="minorHAnsi"/>
                <w:b/>
                <w:color w:val="auto"/>
                <w:sz w:val="18"/>
                <w:szCs w:val="18"/>
                <w:u w:val="single"/>
              </w:rPr>
            </w:pPr>
            <w:r w:rsidRPr="00373198">
              <w:rPr>
                <w:rFonts w:eastAsiaTheme="minorHAnsi"/>
                <w:b/>
                <w:color w:val="auto"/>
                <w:sz w:val="18"/>
                <w:szCs w:val="18"/>
                <w:u w:val="single"/>
              </w:rPr>
              <w:t>Comment 5.</w:t>
            </w:r>
          </w:p>
          <w:p w14:paraId="09124D53" w14:textId="518CFFA9" w:rsidR="00D84C92" w:rsidRPr="004443CD" w:rsidRDefault="004443CD" w:rsidP="00373198">
            <w:pPr>
              <w:pStyle w:val="Default"/>
              <w:rPr>
                <w:rFonts w:eastAsiaTheme="minorHAnsi"/>
                <w:color w:val="auto"/>
                <w:sz w:val="17"/>
                <w:szCs w:val="17"/>
              </w:rPr>
            </w:pPr>
            <w:r w:rsidRPr="004443CD">
              <w:rPr>
                <w:rFonts w:eastAsiaTheme="minorHAnsi"/>
                <w:color w:val="auto"/>
                <w:sz w:val="17"/>
                <w:szCs w:val="17"/>
              </w:rPr>
              <w:t xml:space="preserve">Workpaper appears to cover schools, but only Motel, Hotel and Com are included in the </w:t>
            </w:r>
            <w:r w:rsidR="00860B34" w:rsidRPr="004443CD">
              <w:rPr>
                <w:rFonts w:eastAsiaTheme="minorHAnsi"/>
                <w:color w:val="auto"/>
                <w:sz w:val="17"/>
                <w:szCs w:val="17"/>
              </w:rPr>
              <w:t>ex-ante</w:t>
            </w:r>
            <w:r w:rsidRPr="004443CD">
              <w:rPr>
                <w:rFonts w:eastAsiaTheme="minorHAnsi"/>
                <w:color w:val="auto"/>
                <w:sz w:val="17"/>
                <w:szCs w:val="17"/>
              </w:rPr>
              <w:t xml:space="preserve"> data. Data for schools appears to be based on a study </w:t>
            </w:r>
            <w:r w:rsidRPr="004443CD">
              <w:rPr>
                <w:rFonts w:eastAsiaTheme="minorHAnsi"/>
                <w:color w:val="auto"/>
                <w:sz w:val="17"/>
                <w:szCs w:val="17"/>
              </w:rPr>
              <w:lastRenderedPageBreak/>
              <w:t xml:space="preserve">of two schools that were year around operation, which may not be typical. Expand the analysis for schools to include specific building types (Primary, Secondary, Community College or University) along with the usage assumptions and sources for each of those building types. Do not use Com as a building type in the </w:t>
            </w:r>
            <w:r w:rsidR="00860B34" w:rsidRPr="004443CD">
              <w:rPr>
                <w:rFonts w:eastAsiaTheme="minorHAnsi"/>
                <w:color w:val="auto"/>
                <w:sz w:val="17"/>
                <w:szCs w:val="17"/>
              </w:rPr>
              <w:t>ex-ante</w:t>
            </w:r>
            <w:r w:rsidRPr="004443CD">
              <w:rPr>
                <w:rFonts w:eastAsiaTheme="minorHAnsi"/>
                <w:color w:val="auto"/>
                <w:sz w:val="17"/>
                <w:szCs w:val="17"/>
              </w:rPr>
              <w:t xml:space="preserve"> data. Identify specific building types as is the case in the submitted data for Hotel and Motel.</w:t>
            </w:r>
          </w:p>
        </w:tc>
        <w:tc>
          <w:tcPr>
            <w:tcW w:w="1926" w:type="pct"/>
          </w:tcPr>
          <w:p w14:paraId="26E794A7" w14:textId="322DBB4F" w:rsidR="00D84C92" w:rsidRPr="00373198" w:rsidRDefault="00D84C92" w:rsidP="00373198">
            <w:pPr>
              <w:pStyle w:val="Default"/>
              <w:rPr>
                <w:rFonts w:eastAsiaTheme="minorHAnsi"/>
                <w:b/>
                <w:color w:val="auto"/>
                <w:sz w:val="18"/>
                <w:szCs w:val="18"/>
                <w:u w:val="single"/>
              </w:rPr>
            </w:pPr>
            <w:r w:rsidRPr="00373198">
              <w:rPr>
                <w:rFonts w:eastAsiaTheme="minorHAnsi"/>
                <w:b/>
                <w:color w:val="auto"/>
                <w:sz w:val="18"/>
                <w:szCs w:val="18"/>
                <w:u w:val="single"/>
              </w:rPr>
              <w:lastRenderedPageBreak/>
              <w:t xml:space="preserve">Response 1: </w:t>
            </w:r>
          </w:p>
          <w:p w14:paraId="7F40369C" w14:textId="284A1C84" w:rsidR="00373041" w:rsidRDefault="00D84C92" w:rsidP="00373041">
            <w:pPr>
              <w:rPr>
                <w:rFonts w:ascii="Calibri" w:eastAsiaTheme="minorHAnsi" w:hAnsi="Calibri" w:cs="Calibri"/>
                <w:sz w:val="17"/>
                <w:szCs w:val="17"/>
              </w:rPr>
            </w:pPr>
            <w:r w:rsidRPr="00D84C92">
              <w:rPr>
                <w:rFonts w:ascii="Calibri" w:eastAsiaTheme="minorHAnsi" w:hAnsi="Calibri" w:cs="Calibri"/>
                <w:sz w:val="17"/>
                <w:szCs w:val="17"/>
              </w:rPr>
              <w:t>From the data collected from the study (#2 below), it was evident that some showerheads in the lodging sectors have high flow rates above 2.5 gpm which had been in code as the maximum showerhead flowrate since 1994. This workpaper covers a LFSH measure that will be implemented through ‘Direct Install’ delivery type in partnership with other POUs such as LADWP or by 3rd party con</w:t>
            </w:r>
            <w:r w:rsidR="0071411B">
              <w:rPr>
                <w:rFonts w:ascii="Calibri" w:eastAsiaTheme="minorHAnsi" w:hAnsi="Calibri" w:cs="Calibri"/>
                <w:sz w:val="17"/>
                <w:szCs w:val="17"/>
              </w:rPr>
              <w:t>tractors. As specified in Page 8</w:t>
            </w:r>
            <w:r w:rsidRPr="00D84C92">
              <w:rPr>
                <w:rFonts w:ascii="Calibri" w:eastAsiaTheme="minorHAnsi" w:hAnsi="Calibri" w:cs="Calibri"/>
                <w:sz w:val="17"/>
                <w:szCs w:val="17"/>
              </w:rPr>
              <w:t xml:space="preserve"> of the workpaper under Program Restriction and Guidelines in Section 1.1, the implementers will market and identify facilities using higher flow showerheads (2.5 gpm or more) and offer the replacement of the showerheads with 1.8 gpm or 1.5 gpm LFSH. This DI approach will ensure the influence of the program. </w:t>
            </w:r>
          </w:p>
          <w:p w14:paraId="1A8EB2FC" w14:textId="446DBBB3" w:rsidR="00D84C92" w:rsidRDefault="00D84C92" w:rsidP="00373041">
            <w:pPr>
              <w:rPr>
                <w:rFonts w:ascii="Calibri" w:eastAsiaTheme="minorHAnsi" w:hAnsi="Calibri" w:cs="Calibri"/>
                <w:sz w:val="17"/>
                <w:szCs w:val="17"/>
              </w:rPr>
            </w:pPr>
            <w:r w:rsidRPr="00D84C92">
              <w:rPr>
                <w:rFonts w:ascii="Calibri" w:eastAsiaTheme="minorHAnsi" w:hAnsi="Calibri" w:cs="Calibri"/>
                <w:sz w:val="17"/>
                <w:szCs w:val="17"/>
              </w:rPr>
              <w:t xml:space="preserve">The Terms and Conditions section </w:t>
            </w:r>
            <w:r w:rsidR="001A3B9E">
              <w:rPr>
                <w:rFonts w:ascii="Calibri" w:eastAsiaTheme="minorHAnsi" w:hAnsi="Calibri" w:cs="Calibri"/>
                <w:sz w:val="17"/>
                <w:szCs w:val="17"/>
              </w:rPr>
              <w:t xml:space="preserve">(Section 1.2) </w:t>
            </w:r>
            <w:r w:rsidRPr="00D84C92">
              <w:rPr>
                <w:rFonts w:ascii="Calibri" w:eastAsiaTheme="minorHAnsi" w:hAnsi="Calibri" w:cs="Calibri"/>
                <w:sz w:val="17"/>
                <w:szCs w:val="17"/>
              </w:rPr>
              <w:t>of the workpaper outlines the following, “the measure is applicable to replacement (Early Retirement) of the existing showerhead of 2.5 gpm flow rate or greater with a low-flow showerhead of 1.8 gpm or lower flow rate. Water heating source fuel must be natural gas”.</w:t>
            </w:r>
          </w:p>
          <w:p w14:paraId="349D89F9" w14:textId="77777777" w:rsidR="00373041" w:rsidRPr="00D84C92" w:rsidRDefault="00373041" w:rsidP="00373041">
            <w:pPr>
              <w:rPr>
                <w:rFonts w:ascii="Calibri" w:eastAsiaTheme="minorHAnsi" w:hAnsi="Calibri" w:cs="Calibri"/>
                <w:sz w:val="17"/>
                <w:szCs w:val="17"/>
              </w:rPr>
            </w:pPr>
          </w:p>
          <w:p w14:paraId="3F365C65" w14:textId="77777777" w:rsidR="00335475" w:rsidRPr="00373198" w:rsidRDefault="00335475" w:rsidP="00373198">
            <w:pPr>
              <w:pStyle w:val="Default"/>
              <w:rPr>
                <w:rFonts w:eastAsiaTheme="minorHAnsi"/>
                <w:b/>
                <w:color w:val="auto"/>
                <w:sz w:val="18"/>
                <w:szCs w:val="18"/>
                <w:u w:val="single"/>
              </w:rPr>
            </w:pPr>
            <w:r w:rsidRPr="00373198">
              <w:rPr>
                <w:rFonts w:eastAsiaTheme="minorHAnsi"/>
                <w:b/>
                <w:color w:val="auto"/>
                <w:sz w:val="18"/>
                <w:szCs w:val="18"/>
                <w:u w:val="single"/>
              </w:rPr>
              <w:t>Response 2</w:t>
            </w:r>
            <w:r w:rsidR="00D84C92" w:rsidRPr="00373198">
              <w:rPr>
                <w:rFonts w:eastAsiaTheme="minorHAnsi"/>
                <w:b/>
                <w:color w:val="auto"/>
                <w:sz w:val="18"/>
                <w:szCs w:val="18"/>
                <w:u w:val="single"/>
              </w:rPr>
              <w:t>:</w:t>
            </w:r>
          </w:p>
          <w:p w14:paraId="4E9A1F35" w14:textId="519B2527" w:rsidR="00396991" w:rsidRDefault="00D84C92" w:rsidP="00373041">
            <w:pPr>
              <w:pStyle w:val="ListParagraph"/>
              <w:ind w:left="0"/>
              <w:rPr>
                <w:rFonts w:ascii="Calibri" w:eastAsiaTheme="minorHAnsi" w:hAnsi="Calibri" w:cs="Calibri"/>
                <w:sz w:val="17"/>
                <w:szCs w:val="17"/>
              </w:rPr>
            </w:pPr>
            <w:r w:rsidRPr="00373041">
              <w:rPr>
                <w:rFonts w:ascii="Calibri" w:eastAsiaTheme="minorHAnsi" w:hAnsi="Calibri" w:cs="Calibri"/>
                <w:sz w:val="17"/>
                <w:szCs w:val="17"/>
              </w:rPr>
              <w:t>The file is attached with this response. SCG will re-submit this file with the revised workpaper. This study audited 5 hotels to collect data related to hot water such as water heater efficiencies and input rates, HW set points, faucet flowrates in guestrooms and public restrooms, showerhead flowrates, hot and cold</w:t>
            </w:r>
            <w:r w:rsidR="00373041" w:rsidRPr="00373041">
              <w:rPr>
                <w:rFonts w:ascii="Calibri" w:eastAsiaTheme="minorHAnsi" w:hAnsi="Calibri" w:cs="Calibri"/>
                <w:sz w:val="17"/>
                <w:szCs w:val="17"/>
              </w:rPr>
              <w:t xml:space="preserve"> </w:t>
            </w:r>
            <w:r w:rsidRPr="00373041">
              <w:rPr>
                <w:rFonts w:ascii="Calibri" w:eastAsiaTheme="minorHAnsi" w:hAnsi="Calibri" w:cs="Calibri"/>
                <w:sz w:val="17"/>
                <w:szCs w:val="17"/>
              </w:rPr>
              <w:t xml:space="preserve">water temperatures, monitoring of hot and </w:t>
            </w:r>
            <w:r w:rsidR="00373041">
              <w:rPr>
                <w:rFonts w:ascii="Calibri" w:eastAsiaTheme="minorHAnsi" w:hAnsi="Calibri" w:cs="Calibri"/>
                <w:sz w:val="17"/>
                <w:szCs w:val="17"/>
              </w:rPr>
              <w:t>cold flows,</w:t>
            </w:r>
            <w:r w:rsidRPr="00373041">
              <w:rPr>
                <w:rFonts w:ascii="Calibri" w:eastAsiaTheme="minorHAnsi" w:hAnsi="Calibri" w:cs="Calibri"/>
                <w:sz w:val="17"/>
                <w:szCs w:val="17"/>
              </w:rPr>
              <w:t xml:space="preserve"> etc.</w:t>
            </w:r>
            <w:r w:rsidR="00396991">
              <w:rPr>
                <w:rFonts w:ascii="Calibri" w:eastAsiaTheme="minorHAnsi" w:hAnsi="Calibri" w:cs="Calibri"/>
                <w:sz w:val="17"/>
                <w:szCs w:val="17"/>
              </w:rPr>
              <w:t xml:space="preserve"> </w:t>
            </w:r>
            <w:r w:rsidR="00396991" w:rsidRPr="00396991">
              <w:rPr>
                <w:rFonts w:ascii="Calibri" w:eastAsiaTheme="minorHAnsi" w:hAnsi="Calibri" w:cs="Calibri"/>
                <w:i/>
                <w:sz w:val="17"/>
                <w:szCs w:val="17"/>
              </w:rPr>
              <w:t>(See Attachment C)</w:t>
            </w:r>
          </w:p>
          <w:p w14:paraId="2962E791" w14:textId="78FCB2EB" w:rsidR="00373041" w:rsidRDefault="00373041" w:rsidP="00373041">
            <w:pPr>
              <w:pStyle w:val="ListParagraph"/>
              <w:ind w:left="0"/>
              <w:rPr>
                <w:rFonts w:ascii="Calibri" w:eastAsiaTheme="minorHAnsi" w:hAnsi="Calibri" w:cs="Calibri"/>
                <w:sz w:val="17"/>
                <w:szCs w:val="17"/>
              </w:rPr>
            </w:pPr>
          </w:p>
          <w:p w14:paraId="1168DAAF" w14:textId="0F4917AC" w:rsidR="002E4FAD" w:rsidRDefault="002E4FAD" w:rsidP="00373041">
            <w:pPr>
              <w:pStyle w:val="ListParagraph"/>
              <w:ind w:left="0"/>
              <w:rPr>
                <w:rFonts w:ascii="Calibri" w:eastAsiaTheme="minorHAnsi" w:hAnsi="Calibri" w:cs="Calibri"/>
                <w:sz w:val="17"/>
                <w:szCs w:val="17"/>
              </w:rPr>
            </w:pPr>
          </w:p>
          <w:p w14:paraId="021DEAB2" w14:textId="4C6157A4" w:rsidR="002E4FAD" w:rsidRDefault="002E4FAD" w:rsidP="00373041">
            <w:pPr>
              <w:pStyle w:val="ListParagraph"/>
              <w:ind w:left="0"/>
              <w:rPr>
                <w:rFonts w:ascii="Calibri" w:eastAsiaTheme="minorHAnsi" w:hAnsi="Calibri" w:cs="Calibri"/>
                <w:sz w:val="17"/>
                <w:szCs w:val="17"/>
              </w:rPr>
            </w:pPr>
          </w:p>
          <w:p w14:paraId="4D6C0246" w14:textId="64612FFC" w:rsidR="002E4FAD" w:rsidRDefault="002E4FAD" w:rsidP="00373041">
            <w:pPr>
              <w:pStyle w:val="ListParagraph"/>
              <w:ind w:left="0"/>
              <w:rPr>
                <w:rFonts w:ascii="Calibri" w:eastAsiaTheme="minorHAnsi" w:hAnsi="Calibri" w:cs="Calibri"/>
                <w:sz w:val="17"/>
                <w:szCs w:val="17"/>
              </w:rPr>
            </w:pPr>
          </w:p>
          <w:p w14:paraId="7F7AC643" w14:textId="6885DF9A" w:rsidR="002E4FAD" w:rsidRDefault="002E4FAD" w:rsidP="00373041">
            <w:pPr>
              <w:pStyle w:val="ListParagraph"/>
              <w:ind w:left="0"/>
              <w:rPr>
                <w:rFonts w:ascii="Calibri" w:eastAsiaTheme="minorHAnsi" w:hAnsi="Calibri" w:cs="Calibri"/>
                <w:sz w:val="17"/>
                <w:szCs w:val="17"/>
              </w:rPr>
            </w:pPr>
          </w:p>
          <w:p w14:paraId="46653411" w14:textId="62D3737B" w:rsidR="002E4FAD" w:rsidRDefault="002E4FAD" w:rsidP="00373041">
            <w:pPr>
              <w:pStyle w:val="ListParagraph"/>
              <w:ind w:left="0"/>
              <w:rPr>
                <w:rFonts w:ascii="Calibri" w:eastAsiaTheme="minorHAnsi" w:hAnsi="Calibri" w:cs="Calibri"/>
                <w:sz w:val="17"/>
                <w:szCs w:val="17"/>
              </w:rPr>
            </w:pPr>
          </w:p>
          <w:p w14:paraId="73700603" w14:textId="77777777" w:rsidR="00373198" w:rsidRDefault="00373198" w:rsidP="00373041">
            <w:pPr>
              <w:rPr>
                <w:rFonts w:ascii="Calibri" w:eastAsiaTheme="minorHAnsi" w:hAnsi="Calibri" w:cs="Calibri"/>
                <w:sz w:val="17"/>
                <w:szCs w:val="17"/>
              </w:rPr>
            </w:pPr>
          </w:p>
          <w:p w14:paraId="41209E65" w14:textId="22AA1EE5" w:rsidR="00373041" w:rsidRPr="00373198" w:rsidRDefault="00373041" w:rsidP="00373198">
            <w:pPr>
              <w:pStyle w:val="Default"/>
              <w:rPr>
                <w:rFonts w:eastAsiaTheme="minorHAnsi"/>
                <w:b/>
                <w:color w:val="auto"/>
                <w:sz w:val="18"/>
                <w:szCs w:val="18"/>
                <w:u w:val="single"/>
              </w:rPr>
            </w:pPr>
            <w:r w:rsidRPr="00373198">
              <w:rPr>
                <w:rFonts w:eastAsiaTheme="minorHAnsi"/>
                <w:b/>
                <w:color w:val="auto"/>
                <w:sz w:val="18"/>
                <w:szCs w:val="18"/>
                <w:u w:val="single"/>
              </w:rPr>
              <w:t>Response 3:</w:t>
            </w:r>
          </w:p>
          <w:p w14:paraId="45C81E0E" w14:textId="77777777" w:rsidR="00373041" w:rsidRPr="00373041" w:rsidRDefault="00373041" w:rsidP="00373041">
            <w:pPr>
              <w:pStyle w:val="Default"/>
              <w:rPr>
                <w:rFonts w:eastAsiaTheme="minorHAnsi"/>
                <w:color w:val="auto"/>
                <w:sz w:val="17"/>
                <w:szCs w:val="17"/>
              </w:rPr>
            </w:pPr>
            <w:r w:rsidRPr="00373041">
              <w:rPr>
                <w:rFonts w:eastAsiaTheme="minorHAnsi"/>
                <w:color w:val="auto"/>
                <w:sz w:val="17"/>
                <w:szCs w:val="17"/>
              </w:rPr>
              <w:t xml:space="preserve">The 1st baseline uses 2.25 gpm which can be found as the pre-existing baseline from SCG’s residential showerhead workpaper. Survey of hotel water fixtures mentioned above (#2) resulted in the average flowrates of showerheads of 2.48 gpm. This workpaper adopted the lower flowrate (2.25 gpm) as the pre-existing baseline. </w:t>
            </w:r>
          </w:p>
          <w:p w14:paraId="2935E597" w14:textId="77777777" w:rsidR="00373041" w:rsidRPr="00373041" w:rsidRDefault="00373041" w:rsidP="00373041">
            <w:pPr>
              <w:pStyle w:val="Default"/>
              <w:rPr>
                <w:rFonts w:eastAsiaTheme="minorHAnsi"/>
                <w:color w:val="auto"/>
                <w:sz w:val="17"/>
                <w:szCs w:val="17"/>
              </w:rPr>
            </w:pPr>
            <w:r w:rsidRPr="00373041">
              <w:rPr>
                <w:rFonts w:eastAsiaTheme="minorHAnsi"/>
                <w:color w:val="auto"/>
                <w:sz w:val="17"/>
                <w:szCs w:val="17"/>
              </w:rPr>
              <w:t xml:space="preserve">The 2nd baseline uses 1.8 gpm which will become the code requirement in July 2018 while the current code requirement is 2.0 gpm. AR measure uses the dual baseline savings, and the NR measure uses a single baseline savings with 1.8. </w:t>
            </w:r>
          </w:p>
          <w:p w14:paraId="13B597EB" w14:textId="77777777" w:rsidR="00373041" w:rsidRPr="00373041" w:rsidRDefault="00373041" w:rsidP="00373041">
            <w:pPr>
              <w:pStyle w:val="Default"/>
              <w:rPr>
                <w:rFonts w:eastAsiaTheme="minorHAnsi"/>
                <w:color w:val="auto"/>
                <w:sz w:val="17"/>
                <w:szCs w:val="17"/>
              </w:rPr>
            </w:pPr>
            <w:r w:rsidRPr="00373041">
              <w:rPr>
                <w:rFonts w:eastAsiaTheme="minorHAnsi"/>
                <w:color w:val="auto"/>
                <w:sz w:val="17"/>
                <w:szCs w:val="17"/>
              </w:rPr>
              <w:t xml:space="preserve">For the case of a 1.8 gpm measure with AR application type (direct install), the second baseline savings would be 0 therms because the measure flowrate is the same as the code requirement. For the case of a 1.5 gpm measure, there would be savings from both baseline periods. </w:t>
            </w:r>
          </w:p>
          <w:p w14:paraId="56FBC216" w14:textId="3891BF7B" w:rsidR="00373041" w:rsidRPr="00373041" w:rsidRDefault="00373041" w:rsidP="00373041">
            <w:pPr>
              <w:rPr>
                <w:rFonts w:ascii="Calibri" w:eastAsiaTheme="minorHAnsi" w:hAnsi="Calibri" w:cs="Calibri"/>
                <w:sz w:val="17"/>
                <w:szCs w:val="17"/>
              </w:rPr>
            </w:pPr>
            <w:r w:rsidRPr="00373041">
              <w:rPr>
                <w:rFonts w:ascii="Calibri" w:eastAsiaTheme="minorHAnsi" w:hAnsi="Calibri" w:cs="Calibri"/>
                <w:sz w:val="17"/>
                <w:szCs w:val="17"/>
              </w:rPr>
              <w:t>From the hotel surveys mentioned above (#2), the average flowrate of 2.5 gpm meets the previous standard that was in place for the last 22 years. A discussion with or guidance from the EAR team on ISP research to support using code minimum as the baseline will be valuable.</w:t>
            </w:r>
          </w:p>
          <w:p w14:paraId="5CDE7BA8" w14:textId="269FD60E" w:rsidR="00373041" w:rsidRDefault="00373041" w:rsidP="00D84C92">
            <w:pPr>
              <w:pStyle w:val="ListParagraph"/>
              <w:ind w:left="360"/>
              <w:rPr>
                <w:rFonts w:ascii="Calibri" w:eastAsiaTheme="minorHAnsi" w:hAnsi="Calibri" w:cs="Calibri"/>
                <w:sz w:val="17"/>
                <w:szCs w:val="17"/>
              </w:rPr>
            </w:pPr>
          </w:p>
          <w:p w14:paraId="5CE3A6BC" w14:textId="5D0E1266" w:rsidR="004443CD" w:rsidRPr="00373198" w:rsidRDefault="004443CD" w:rsidP="00373198">
            <w:pPr>
              <w:pStyle w:val="Default"/>
              <w:rPr>
                <w:rFonts w:eastAsiaTheme="minorHAnsi"/>
                <w:b/>
                <w:color w:val="auto"/>
                <w:sz w:val="18"/>
                <w:szCs w:val="18"/>
                <w:u w:val="single"/>
              </w:rPr>
            </w:pPr>
            <w:r w:rsidRPr="00373198">
              <w:rPr>
                <w:rFonts w:eastAsiaTheme="minorHAnsi"/>
                <w:b/>
                <w:color w:val="auto"/>
                <w:sz w:val="18"/>
                <w:szCs w:val="18"/>
                <w:u w:val="single"/>
              </w:rPr>
              <w:t>Response 4:</w:t>
            </w:r>
          </w:p>
          <w:p w14:paraId="0B0021D6" w14:textId="0FC54BCE" w:rsidR="002E4FAD" w:rsidRDefault="004443CD" w:rsidP="004443CD">
            <w:pPr>
              <w:pStyle w:val="ListParagraph"/>
              <w:ind w:left="0"/>
              <w:rPr>
                <w:rFonts w:ascii="Calibri" w:eastAsiaTheme="minorHAnsi" w:hAnsi="Calibri" w:cs="Calibri"/>
                <w:sz w:val="17"/>
                <w:szCs w:val="17"/>
              </w:rPr>
            </w:pPr>
            <w:r w:rsidRPr="004443CD">
              <w:rPr>
                <w:rFonts w:ascii="Calibri" w:eastAsiaTheme="minorHAnsi" w:hAnsi="Calibri" w:cs="Calibri"/>
                <w:sz w:val="17"/>
                <w:szCs w:val="17"/>
              </w:rPr>
              <w:t xml:space="preserve">The correct link to the document is </w:t>
            </w:r>
            <w:hyperlink r:id="rId11" w:history="1">
              <w:r w:rsidRPr="00AE1D50">
                <w:rPr>
                  <w:rStyle w:val="Hyperlink"/>
                  <w:rFonts w:ascii="Calibri" w:eastAsiaTheme="minorHAnsi" w:hAnsi="Calibri" w:cs="Calibri"/>
                  <w:sz w:val="17"/>
                  <w:szCs w:val="17"/>
                </w:rPr>
                <w:t>https://www.cpp.edu/~collins/partners/outlook-conference/documents/PKFConsulting.pdf</w:t>
              </w:r>
            </w:hyperlink>
            <w:r w:rsidRPr="004443CD">
              <w:rPr>
                <w:rFonts w:ascii="Calibri" w:eastAsiaTheme="minorHAnsi" w:hAnsi="Calibri" w:cs="Calibri"/>
                <w:sz w:val="17"/>
                <w:szCs w:val="17"/>
              </w:rPr>
              <w:t xml:space="preserve">. </w:t>
            </w:r>
          </w:p>
          <w:p w14:paraId="75FB8A97" w14:textId="77777777" w:rsidR="00BB718B" w:rsidRDefault="004443CD" w:rsidP="004443CD">
            <w:pPr>
              <w:pStyle w:val="ListParagraph"/>
              <w:ind w:left="0"/>
              <w:rPr>
                <w:rFonts w:ascii="Calibri" w:eastAsiaTheme="minorHAnsi" w:hAnsi="Calibri" w:cs="Calibri"/>
                <w:sz w:val="17"/>
                <w:szCs w:val="17"/>
              </w:rPr>
            </w:pPr>
            <w:r w:rsidRPr="004443CD">
              <w:rPr>
                <w:rFonts w:ascii="Calibri" w:eastAsiaTheme="minorHAnsi" w:hAnsi="Calibri" w:cs="Calibri"/>
                <w:sz w:val="17"/>
                <w:szCs w:val="17"/>
              </w:rPr>
              <w:t>This link is still valid, and the file is attached with this document. Please see slides 15~23. It will also be attached to the revised workpaper.</w:t>
            </w:r>
            <w:r w:rsidR="004A7A40">
              <w:rPr>
                <w:rFonts w:ascii="Calibri" w:eastAsiaTheme="minorHAnsi" w:hAnsi="Calibri" w:cs="Calibri"/>
                <w:sz w:val="17"/>
                <w:szCs w:val="17"/>
              </w:rPr>
              <w:t xml:space="preserve"> </w:t>
            </w:r>
          </w:p>
          <w:p w14:paraId="6B22276D" w14:textId="77777777" w:rsidR="00BB718B" w:rsidRDefault="00BB718B" w:rsidP="004443CD">
            <w:pPr>
              <w:pStyle w:val="ListParagraph"/>
              <w:ind w:left="0"/>
              <w:rPr>
                <w:rFonts w:ascii="Calibri" w:eastAsiaTheme="minorHAnsi" w:hAnsi="Calibri" w:cs="Calibri"/>
                <w:sz w:val="17"/>
                <w:szCs w:val="17"/>
              </w:rPr>
            </w:pPr>
          </w:p>
          <w:p w14:paraId="1C369FD4" w14:textId="6B2B93E3" w:rsidR="004443CD" w:rsidRPr="00373041" w:rsidRDefault="00B86C15" w:rsidP="004443CD">
            <w:pPr>
              <w:pStyle w:val="ListParagraph"/>
              <w:ind w:left="0"/>
              <w:rPr>
                <w:rFonts w:ascii="Calibri" w:eastAsiaTheme="minorHAnsi" w:hAnsi="Calibri" w:cs="Calibri"/>
                <w:sz w:val="17"/>
                <w:szCs w:val="17"/>
              </w:rPr>
            </w:pPr>
            <w:r>
              <w:rPr>
                <w:rFonts w:ascii="Calibri" w:eastAsiaTheme="minorHAnsi" w:hAnsi="Calibri" w:cs="Calibri"/>
                <w:sz w:val="17"/>
                <w:szCs w:val="17"/>
              </w:rPr>
              <w:t>Instead of using a</w:t>
            </w:r>
            <w:r w:rsidR="00BB718B">
              <w:rPr>
                <w:rFonts w:ascii="Calibri" w:eastAsiaTheme="minorHAnsi" w:hAnsi="Calibri" w:cs="Calibri"/>
                <w:sz w:val="17"/>
                <w:szCs w:val="17"/>
              </w:rPr>
              <w:t xml:space="preserve"> weighted average of </w:t>
            </w:r>
            <w:r w:rsidR="004A7A40">
              <w:rPr>
                <w:rFonts w:ascii="Calibri" w:eastAsiaTheme="minorHAnsi" w:hAnsi="Calibri" w:cs="Calibri"/>
                <w:sz w:val="17"/>
                <w:szCs w:val="17"/>
              </w:rPr>
              <w:t>77</w:t>
            </w:r>
            <w:r w:rsidR="00BB718B">
              <w:rPr>
                <w:rFonts w:ascii="Calibri" w:eastAsiaTheme="minorHAnsi" w:hAnsi="Calibri" w:cs="Calibri"/>
                <w:sz w:val="17"/>
                <w:szCs w:val="17"/>
              </w:rPr>
              <w:t>.2%</w:t>
            </w:r>
            <w:r w:rsidR="004A7A40">
              <w:rPr>
                <w:rFonts w:ascii="Calibri" w:eastAsiaTheme="minorHAnsi" w:hAnsi="Calibri" w:cs="Calibri"/>
                <w:sz w:val="17"/>
                <w:szCs w:val="17"/>
              </w:rPr>
              <w:t xml:space="preserve"> </w:t>
            </w:r>
            <w:r w:rsidR="00BB718B">
              <w:rPr>
                <w:rFonts w:ascii="Calibri" w:eastAsiaTheme="minorHAnsi" w:hAnsi="Calibri" w:cs="Calibri"/>
                <w:sz w:val="17"/>
                <w:szCs w:val="17"/>
              </w:rPr>
              <w:t>from</w:t>
            </w:r>
            <w:r w:rsidR="004A7A40">
              <w:rPr>
                <w:rFonts w:ascii="Calibri" w:eastAsiaTheme="minorHAnsi" w:hAnsi="Calibri" w:cs="Calibri"/>
                <w:sz w:val="17"/>
                <w:szCs w:val="17"/>
              </w:rPr>
              <w:t xml:space="preserve"> the year 201</w:t>
            </w:r>
            <w:r>
              <w:rPr>
                <w:rFonts w:ascii="Calibri" w:eastAsiaTheme="minorHAnsi" w:hAnsi="Calibri" w:cs="Calibri"/>
                <w:sz w:val="17"/>
                <w:szCs w:val="17"/>
              </w:rPr>
              <w:t>4</w:t>
            </w:r>
            <w:r w:rsidR="00AE1D50">
              <w:rPr>
                <w:rFonts w:ascii="Calibri" w:eastAsiaTheme="minorHAnsi" w:hAnsi="Calibri" w:cs="Calibri"/>
                <w:sz w:val="17"/>
                <w:szCs w:val="17"/>
              </w:rPr>
              <w:t>,</w:t>
            </w:r>
            <w:r>
              <w:rPr>
                <w:rFonts w:ascii="Calibri" w:eastAsiaTheme="minorHAnsi" w:hAnsi="Calibri" w:cs="Calibri"/>
                <w:sz w:val="17"/>
                <w:szCs w:val="17"/>
              </w:rPr>
              <w:t xml:space="preserve"> which could signify an all-time high</w:t>
            </w:r>
            <w:r w:rsidR="004A7A40">
              <w:rPr>
                <w:rFonts w:ascii="Calibri" w:eastAsiaTheme="minorHAnsi" w:hAnsi="Calibri" w:cs="Calibri"/>
                <w:sz w:val="17"/>
                <w:szCs w:val="17"/>
              </w:rPr>
              <w:t>, a weighted average across the eva</w:t>
            </w:r>
            <w:r w:rsidR="00D37FCC">
              <w:rPr>
                <w:rFonts w:ascii="Calibri" w:eastAsiaTheme="minorHAnsi" w:hAnsi="Calibri" w:cs="Calibri"/>
                <w:sz w:val="17"/>
                <w:szCs w:val="17"/>
              </w:rPr>
              <w:t>luated years of 2010-2014, 73.17</w:t>
            </w:r>
            <w:r w:rsidR="004A7A40">
              <w:rPr>
                <w:rFonts w:ascii="Calibri" w:eastAsiaTheme="minorHAnsi" w:hAnsi="Calibri" w:cs="Calibri"/>
                <w:sz w:val="17"/>
                <w:szCs w:val="17"/>
              </w:rPr>
              <w:t xml:space="preserve">%, was used. This value encompasses the occupancy rates for all SoCal Counties evaluated within the study and will </w:t>
            </w:r>
            <w:r w:rsidR="00AE1D50">
              <w:rPr>
                <w:rFonts w:ascii="Calibri" w:eastAsiaTheme="minorHAnsi" w:hAnsi="Calibri" w:cs="Calibri"/>
                <w:sz w:val="17"/>
                <w:szCs w:val="17"/>
              </w:rPr>
              <w:t xml:space="preserve">also </w:t>
            </w:r>
            <w:r w:rsidR="004A7A40">
              <w:rPr>
                <w:rFonts w:ascii="Calibri" w:eastAsiaTheme="minorHAnsi" w:hAnsi="Calibri" w:cs="Calibri"/>
                <w:sz w:val="17"/>
                <w:szCs w:val="17"/>
              </w:rPr>
              <w:t>account for the possible peak in the market that Southern California could be experiencing.</w:t>
            </w:r>
          </w:p>
          <w:p w14:paraId="2A133615" w14:textId="75FF1480" w:rsidR="002E4FAD" w:rsidRPr="004A7A40" w:rsidRDefault="002E4FAD" w:rsidP="004A7A40">
            <w:pPr>
              <w:rPr>
                <w:rFonts w:ascii="Calibri" w:eastAsiaTheme="minorHAnsi" w:hAnsi="Calibri" w:cs="Calibri"/>
                <w:sz w:val="17"/>
                <w:szCs w:val="17"/>
              </w:rPr>
            </w:pPr>
          </w:p>
          <w:p w14:paraId="351F5782" w14:textId="4C497CB9" w:rsidR="002E4FAD" w:rsidRDefault="002E4FAD" w:rsidP="00D84C92">
            <w:pPr>
              <w:pStyle w:val="ListParagraph"/>
              <w:ind w:left="360"/>
              <w:rPr>
                <w:rFonts w:ascii="Calibri" w:eastAsiaTheme="minorHAnsi" w:hAnsi="Calibri" w:cs="Calibri"/>
                <w:sz w:val="17"/>
                <w:szCs w:val="17"/>
              </w:rPr>
            </w:pPr>
          </w:p>
          <w:p w14:paraId="089D1455" w14:textId="50DF248E" w:rsidR="002E4FAD" w:rsidRDefault="002E4FAD" w:rsidP="004443CD">
            <w:pPr>
              <w:pStyle w:val="ListParagraph"/>
              <w:ind w:left="0"/>
              <w:rPr>
                <w:rFonts w:ascii="Calibri" w:eastAsiaTheme="minorHAnsi" w:hAnsi="Calibri" w:cs="Calibri"/>
                <w:sz w:val="17"/>
                <w:szCs w:val="17"/>
              </w:rPr>
            </w:pPr>
          </w:p>
          <w:p w14:paraId="6EC02377" w14:textId="2D9001AD" w:rsidR="004443CD" w:rsidRPr="00373198" w:rsidRDefault="004443CD" w:rsidP="00373198">
            <w:pPr>
              <w:pStyle w:val="Default"/>
              <w:rPr>
                <w:rFonts w:eastAsiaTheme="minorHAnsi"/>
                <w:b/>
                <w:color w:val="auto"/>
                <w:sz w:val="18"/>
                <w:szCs w:val="18"/>
                <w:u w:val="single"/>
              </w:rPr>
            </w:pPr>
            <w:r w:rsidRPr="00373198">
              <w:rPr>
                <w:rFonts w:eastAsiaTheme="minorHAnsi"/>
                <w:b/>
                <w:color w:val="auto"/>
                <w:sz w:val="18"/>
                <w:szCs w:val="18"/>
                <w:u w:val="single"/>
              </w:rPr>
              <w:t>Response 5:</w:t>
            </w:r>
          </w:p>
          <w:p w14:paraId="24781B4A" w14:textId="2EB009EB" w:rsidR="004443CD" w:rsidRPr="004443CD" w:rsidRDefault="004443CD" w:rsidP="004443CD">
            <w:pPr>
              <w:pStyle w:val="ListParagraph"/>
              <w:ind w:left="0"/>
              <w:rPr>
                <w:rFonts w:ascii="Calibri" w:eastAsiaTheme="minorHAnsi" w:hAnsi="Calibri" w:cs="Calibri"/>
                <w:sz w:val="17"/>
                <w:szCs w:val="17"/>
              </w:rPr>
            </w:pPr>
            <w:r w:rsidRPr="004443CD">
              <w:rPr>
                <w:rFonts w:ascii="Calibri" w:eastAsiaTheme="minorHAnsi" w:hAnsi="Calibri" w:cs="Calibri"/>
                <w:sz w:val="17"/>
                <w:szCs w:val="17"/>
              </w:rPr>
              <w:t>In Table 13 of the workpaper and in the calculation worksheet “Showerhead cal</w:t>
            </w:r>
            <w:r w:rsidR="0096537A">
              <w:rPr>
                <w:rFonts w:ascii="Calibri" w:eastAsiaTheme="minorHAnsi" w:hAnsi="Calibri" w:cs="Calibri"/>
                <w:sz w:val="17"/>
                <w:szCs w:val="17"/>
              </w:rPr>
              <w:t>c</w:t>
            </w:r>
            <w:r w:rsidRPr="004443CD">
              <w:rPr>
                <w:rFonts w:ascii="Calibri" w:eastAsiaTheme="minorHAnsi" w:hAnsi="Calibri" w:cs="Calibri"/>
                <w:sz w:val="17"/>
                <w:szCs w:val="17"/>
              </w:rPr>
              <w:t xml:space="preserve">s” tab (cell D49), 264-days is used as the school operation days per year. However, it turns out that the number of operation days doesn’t affect </w:t>
            </w:r>
            <w:r w:rsidRPr="004443CD">
              <w:rPr>
                <w:rFonts w:ascii="Calibri" w:eastAsiaTheme="minorHAnsi" w:hAnsi="Calibri" w:cs="Calibri"/>
                <w:sz w:val="17"/>
                <w:szCs w:val="17"/>
              </w:rPr>
              <w:lastRenderedPageBreak/>
              <w:t>the savings after all because the annual operation minutes will remain the same. SCG will revise calculations and clarify how assumptions are used in the analysis.</w:t>
            </w:r>
          </w:p>
          <w:p w14:paraId="2EBBAAE5" w14:textId="77777777" w:rsidR="004443CD" w:rsidRPr="004443CD" w:rsidRDefault="004443CD" w:rsidP="004443CD">
            <w:pPr>
              <w:pStyle w:val="ListParagraph"/>
              <w:ind w:left="0"/>
              <w:rPr>
                <w:rFonts w:ascii="Calibri" w:eastAsiaTheme="minorHAnsi" w:hAnsi="Calibri" w:cs="Calibri"/>
                <w:sz w:val="17"/>
                <w:szCs w:val="17"/>
              </w:rPr>
            </w:pPr>
            <w:r w:rsidRPr="004443CD">
              <w:rPr>
                <w:rFonts w:ascii="Calibri" w:eastAsiaTheme="minorHAnsi" w:hAnsi="Calibri" w:cs="Calibri"/>
                <w:sz w:val="17"/>
                <w:szCs w:val="17"/>
              </w:rPr>
              <w:t>While the shower facility might be present in various type of buildings such as fitness centers, hospitals, nursing home, schools, municipal buildings, and even in some office buildings, the most of showerheads would be found and frequently used in the lodging sectors. The availability of data on shower usage in non-residential buildings is limited as seen in the analysis of school building type which included data from only two schools. The therms savings for schools are estimated to be much smaller than the savings for hotels and motels due to the lower frequency of use.</w:t>
            </w:r>
          </w:p>
          <w:p w14:paraId="43B5DDE7" w14:textId="094EA2BC" w:rsidR="004443CD" w:rsidRPr="00373041" w:rsidRDefault="004443CD" w:rsidP="00F614E2">
            <w:pPr>
              <w:pStyle w:val="ListParagraph"/>
              <w:ind w:left="0"/>
              <w:rPr>
                <w:rFonts w:ascii="Calibri" w:eastAsiaTheme="minorHAnsi" w:hAnsi="Calibri" w:cs="Calibri"/>
                <w:sz w:val="17"/>
                <w:szCs w:val="17"/>
              </w:rPr>
            </w:pPr>
            <w:r w:rsidRPr="004443CD">
              <w:rPr>
                <w:rFonts w:ascii="Calibri" w:eastAsiaTheme="minorHAnsi" w:hAnsi="Calibri" w:cs="Calibri"/>
                <w:sz w:val="17"/>
                <w:szCs w:val="17"/>
              </w:rPr>
              <w:t xml:space="preserve">SCG understands the rationale behind the EAR comment regarding the applicable building types. However, SCG would like to discuss with the EAR team on possibility of offering the LFSH </w:t>
            </w:r>
            <w:r w:rsidR="00F614E2">
              <w:rPr>
                <w:rFonts w:ascii="Calibri" w:eastAsiaTheme="minorHAnsi" w:hAnsi="Calibri" w:cs="Calibri"/>
                <w:sz w:val="17"/>
                <w:szCs w:val="17"/>
              </w:rPr>
              <w:t xml:space="preserve">DI </w:t>
            </w:r>
            <w:r w:rsidRPr="004443CD">
              <w:rPr>
                <w:rFonts w:ascii="Calibri" w:eastAsiaTheme="minorHAnsi" w:hAnsi="Calibri" w:cs="Calibri"/>
                <w:sz w:val="17"/>
                <w:szCs w:val="17"/>
              </w:rPr>
              <w:t xml:space="preserve">measure in all non-residential buildings to replace the existing showerheads of 2.5 gpm or higher flowrate under AR </w:t>
            </w:r>
            <w:r w:rsidR="00F614E2">
              <w:rPr>
                <w:rFonts w:ascii="Calibri" w:eastAsiaTheme="minorHAnsi" w:hAnsi="Calibri" w:cs="Calibri"/>
                <w:sz w:val="17"/>
                <w:szCs w:val="17"/>
              </w:rPr>
              <w:t xml:space="preserve">through </w:t>
            </w:r>
            <w:r w:rsidRPr="004443CD">
              <w:rPr>
                <w:rFonts w:ascii="Calibri" w:eastAsiaTheme="minorHAnsi" w:hAnsi="Calibri" w:cs="Calibri"/>
                <w:sz w:val="17"/>
                <w:szCs w:val="17"/>
              </w:rPr>
              <w:t>direct install.</w:t>
            </w:r>
          </w:p>
        </w:tc>
      </w:tr>
      <w:tr w:rsidR="00335475" w:rsidRPr="00500C4E" w14:paraId="19496626" w14:textId="77777777" w:rsidTr="00860B34">
        <w:trPr>
          <w:trHeight w:val="20"/>
        </w:trPr>
        <w:tc>
          <w:tcPr>
            <w:tcW w:w="280" w:type="pct"/>
          </w:tcPr>
          <w:p w14:paraId="56B83326" w14:textId="77777777" w:rsidR="00335475" w:rsidRPr="00EE4120" w:rsidRDefault="00335475" w:rsidP="00335475">
            <w:pPr>
              <w:rPr>
                <w:color w:val="FF0000"/>
              </w:rPr>
            </w:pPr>
            <w:r w:rsidRPr="00EE4120">
              <w:rPr>
                <w:color w:val="FF0000"/>
              </w:rPr>
              <w:lastRenderedPageBreak/>
              <w:t>0</w:t>
            </w:r>
          </w:p>
        </w:tc>
        <w:tc>
          <w:tcPr>
            <w:tcW w:w="351" w:type="pct"/>
          </w:tcPr>
          <w:p w14:paraId="738F23E0" w14:textId="77777777" w:rsidR="00335475" w:rsidRPr="00EE4120" w:rsidRDefault="00335475" w:rsidP="00335475">
            <w:pPr>
              <w:autoSpaceDE w:val="0"/>
              <w:autoSpaceDN w:val="0"/>
              <w:adjustRightInd w:val="0"/>
              <w:rPr>
                <w:color w:val="FF0000"/>
                <w:szCs w:val="20"/>
              </w:rPr>
            </w:pPr>
            <w:r w:rsidRPr="00EE4120">
              <w:rPr>
                <w:color w:val="FF0000"/>
                <w:szCs w:val="20"/>
              </w:rPr>
              <w:t>Cal TF</w:t>
            </w:r>
          </w:p>
        </w:tc>
        <w:tc>
          <w:tcPr>
            <w:tcW w:w="547" w:type="pct"/>
          </w:tcPr>
          <w:p w14:paraId="556037DE" w14:textId="0B4C757C" w:rsidR="00335475" w:rsidRPr="00EE4120" w:rsidRDefault="00335475" w:rsidP="00335475">
            <w:pPr>
              <w:autoSpaceDE w:val="0"/>
              <w:autoSpaceDN w:val="0"/>
              <w:adjustRightInd w:val="0"/>
              <w:rPr>
                <w:color w:val="FF0000"/>
                <w:szCs w:val="20"/>
              </w:rPr>
            </w:pPr>
          </w:p>
        </w:tc>
        <w:tc>
          <w:tcPr>
            <w:tcW w:w="406" w:type="pct"/>
          </w:tcPr>
          <w:p w14:paraId="674C2446" w14:textId="15F9E489" w:rsidR="00335475" w:rsidRPr="00EE4120" w:rsidRDefault="00335475" w:rsidP="00335475">
            <w:pPr>
              <w:rPr>
                <w:color w:val="FF0000"/>
                <w:szCs w:val="20"/>
              </w:rPr>
            </w:pPr>
          </w:p>
        </w:tc>
        <w:tc>
          <w:tcPr>
            <w:tcW w:w="1488" w:type="pct"/>
          </w:tcPr>
          <w:p w14:paraId="6F188F75" w14:textId="77777777" w:rsidR="00335475" w:rsidRPr="00F25B36" w:rsidRDefault="00335475" w:rsidP="00335475">
            <w:pPr>
              <w:pStyle w:val="ListParagraph"/>
              <w:numPr>
                <w:ilvl w:val="0"/>
                <w:numId w:val="24"/>
              </w:numPr>
              <w:rPr>
                <w:bCs/>
                <w:color w:val="FF0000"/>
                <w:szCs w:val="20"/>
              </w:rPr>
            </w:pPr>
            <w:r w:rsidRPr="00F25B36">
              <w:rPr>
                <w:bCs/>
                <w:color w:val="FF0000"/>
                <w:szCs w:val="20"/>
              </w:rPr>
              <w:t>Comment 1</w:t>
            </w:r>
          </w:p>
          <w:p w14:paraId="1C446947" w14:textId="77777777" w:rsidR="00335475" w:rsidRPr="00F25B36" w:rsidRDefault="00335475" w:rsidP="00335475">
            <w:pPr>
              <w:pStyle w:val="ListParagraph"/>
              <w:numPr>
                <w:ilvl w:val="0"/>
                <w:numId w:val="24"/>
              </w:numPr>
              <w:rPr>
                <w:bCs/>
                <w:color w:val="FF0000"/>
                <w:szCs w:val="20"/>
              </w:rPr>
            </w:pPr>
            <w:r w:rsidRPr="00F25B36">
              <w:rPr>
                <w:bCs/>
                <w:color w:val="FF0000"/>
                <w:szCs w:val="20"/>
              </w:rPr>
              <w:t>Comment 2</w:t>
            </w:r>
          </w:p>
        </w:tc>
        <w:tc>
          <w:tcPr>
            <w:tcW w:w="1926" w:type="pct"/>
          </w:tcPr>
          <w:p w14:paraId="07878052" w14:textId="77777777" w:rsidR="00335475" w:rsidRDefault="00335475" w:rsidP="00335475">
            <w:pPr>
              <w:pStyle w:val="ListParagraph"/>
              <w:numPr>
                <w:ilvl w:val="0"/>
                <w:numId w:val="24"/>
              </w:numPr>
              <w:rPr>
                <w:bCs/>
                <w:color w:val="FF0000"/>
                <w:szCs w:val="20"/>
              </w:rPr>
            </w:pPr>
            <w:r>
              <w:rPr>
                <w:bCs/>
                <w:color w:val="FF0000"/>
                <w:szCs w:val="20"/>
              </w:rPr>
              <w:t>Response 1</w:t>
            </w:r>
          </w:p>
          <w:p w14:paraId="74526DC0" w14:textId="77777777" w:rsidR="00335475" w:rsidRPr="00F25B36" w:rsidRDefault="00335475" w:rsidP="00335475">
            <w:pPr>
              <w:pStyle w:val="ListParagraph"/>
              <w:numPr>
                <w:ilvl w:val="0"/>
                <w:numId w:val="24"/>
              </w:numPr>
              <w:rPr>
                <w:bCs/>
                <w:color w:val="FF0000"/>
                <w:szCs w:val="20"/>
              </w:rPr>
            </w:pPr>
            <w:r>
              <w:rPr>
                <w:bCs/>
                <w:color w:val="FF0000"/>
                <w:szCs w:val="20"/>
              </w:rPr>
              <w:t>Response 2</w:t>
            </w:r>
          </w:p>
        </w:tc>
      </w:tr>
    </w:tbl>
    <w:p w14:paraId="3D79ADB1" w14:textId="77777777" w:rsidR="00335475" w:rsidRDefault="00335475" w:rsidP="00335475">
      <w:pPr>
        <w:spacing w:line="276" w:lineRule="auto"/>
        <w:rPr>
          <w:sz w:val="20"/>
          <w:szCs w:val="20"/>
        </w:rPr>
      </w:pPr>
      <w:r>
        <w:rPr>
          <w:sz w:val="20"/>
          <w:szCs w:val="20"/>
        </w:rPr>
        <w:t xml:space="preserve">Cal TF website: </w:t>
      </w:r>
      <w:hyperlink r:id="rId12" w:history="1">
        <w:r w:rsidRPr="007911DF">
          <w:rPr>
            <w:rStyle w:val="Hyperlink"/>
            <w:sz w:val="20"/>
            <w:szCs w:val="20"/>
          </w:rPr>
          <w:t>http://www.caltf.org/</w:t>
        </w:r>
      </w:hyperlink>
      <w:r>
        <w:rPr>
          <w:sz w:val="20"/>
          <w:szCs w:val="20"/>
        </w:rPr>
        <w:t xml:space="preserve"> </w:t>
      </w:r>
    </w:p>
    <w:p w14:paraId="000921B1" w14:textId="77777777" w:rsidR="00335475" w:rsidRDefault="00335475" w:rsidP="00335475">
      <w:pPr>
        <w:spacing w:line="276" w:lineRule="auto"/>
        <w:rPr>
          <w:rFonts w:cs="Arial"/>
          <w:b/>
          <w:bCs/>
          <w:smallCaps/>
          <w:kern w:val="32"/>
          <w:sz w:val="36"/>
          <w:szCs w:val="20"/>
        </w:rPr>
      </w:pPr>
      <w:r w:rsidRPr="00BA5FE4">
        <w:rPr>
          <w:color w:val="FF0000"/>
          <w:sz w:val="20"/>
          <w:szCs w:val="20"/>
        </w:rPr>
        <w:t xml:space="preserve">The Cal TF approved the version </w:t>
      </w:r>
      <w:r w:rsidRPr="008877AF">
        <w:rPr>
          <w:color w:val="FF0000"/>
          <w:sz w:val="20"/>
          <w:szCs w:val="20"/>
        </w:rPr>
        <w:t xml:space="preserve">X </w:t>
      </w:r>
      <w:r w:rsidRPr="00BA5FE4">
        <w:rPr>
          <w:color w:val="FF0000"/>
          <w:sz w:val="20"/>
          <w:szCs w:val="20"/>
        </w:rPr>
        <w:t xml:space="preserve">of this </w:t>
      </w:r>
      <w:r w:rsidRPr="00523597">
        <w:rPr>
          <w:color w:val="FF0000"/>
          <w:sz w:val="20"/>
          <w:szCs w:val="20"/>
        </w:rPr>
        <w:t xml:space="preserve">workpaper found under the “Approved Measures” section of the website, </w:t>
      </w:r>
      <w:hyperlink r:id="rId13" w:history="1">
        <w:r w:rsidRPr="00523597">
          <w:rPr>
            <w:rStyle w:val="Hyperlink"/>
            <w:color w:val="FF0000"/>
            <w:sz w:val="20"/>
            <w:szCs w:val="20"/>
          </w:rPr>
          <w:t>http://www.caltf.org/approved-measures/</w:t>
        </w:r>
      </w:hyperlink>
      <w:r w:rsidRPr="00BA5FE4">
        <w:rPr>
          <w:color w:val="FF0000"/>
          <w:szCs w:val="20"/>
        </w:rPr>
        <w:t xml:space="preserve"> </w:t>
      </w:r>
      <w:r>
        <w:rPr>
          <w:szCs w:val="20"/>
        </w:rPr>
        <w:br w:type="page"/>
      </w:r>
    </w:p>
    <w:p w14:paraId="7D56D114" w14:textId="6D18EE06" w:rsidR="005E489F" w:rsidRDefault="005E489F" w:rsidP="005E489F"/>
    <w:sdt>
      <w:sdtPr>
        <w:rPr>
          <w:rFonts w:asciiTheme="minorHAnsi" w:eastAsia="Times New Roman" w:hAnsiTheme="minorHAnsi" w:cs="Times New Roman"/>
          <w:b w:val="0"/>
          <w:bCs w:val="0"/>
          <w:color w:val="auto"/>
          <w:sz w:val="22"/>
          <w:szCs w:val="24"/>
          <w:lang w:eastAsia="en-US"/>
        </w:rPr>
        <w:id w:val="-741415114"/>
        <w:docPartObj>
          <w:docPartGallery w:val="Table of Contents"/>
          <w:docPartUnique/>
        </w:docPartObj>
      </w:sdtPr>
      <w:sdtEndPr>
        <w:rPr>
          <w:noProof/>
        </w:rPr>
      </w:sdtEndPr>
      <w:sdtContent>
        <w:p w14:paraId="7D56D115" w14:textId="77777777" w:rsidR="007338FA" w:rsidRPr="00AE1D50" w:rsidRDefault="00E84CAC">
          <w:pPr>
            <w:pStyle w:val="TOCHeading"/>
            <w:rPr>
              <w:rFonts w:asciiTheme="minorHAnsi" w:hAnsiTheme="minorHAnsi" w:cstheme="minorHAnsi"/>
            </w:rPr>
          </w:pPr>
          <w:r w:rsidRPr="00AE1D50">
            <w:rPr>
              <w:rFonts w:asciiTheme="minorHAnsi" w:hAnsiTheme="minorHAnsi" w:cstheme="minorHAnsi"/>
            </w:rPr>
            <w:t xml:space="preserve">Table of </w:t>
          </w:r>
          <w:r w:rsidR="007338FA" w:rsidRPr="00AE1D50">
            <w:rPr>
              <w:rFonts w:asciiTheme="minorHAnsi" w:hAnsiTheme="minorHAnsi" w:cstheme="minorHAnsi"/>
            </w:rPr>
            <w:t>Contents</w:t>
          </w:r>
        </w:p>
        <w:p w14:paraId="65A49E50" w14:textId="16F6F399" w:rsidR="00860B34" w:rsidRPr="00AE1D50" w:rsidRDefault="007338FA">
          <w:pPr>
            <w:pStyle w:val="TOC1"/>
            <w:tabs>
              <w:tab w:val="right" w:leader="dot" w:pos="9350"/>
            </w:tabs>
            <w:rPr>
              <w:rFonts w:asciiTheme="minorHAnsi" w:eastAsiaTheme="minorEastAsia" w:hAnsiTheme="minorHAnsi" w:cstheme="minorHAnsi"/>
              <w:noProof/>
              <w:sz w:val="22"/>
              <w:szCs w:val="22"/>
            </w:rPr>
          </w:pPr>
          <w:r w:rsidRPr="00AE1D50">
            <w:rPr>
              <w:rFonts w:asciiTheme="minorHAnsi" w:hAnsiTheme="minorHAnsi" w:cstheme="minorHAnsi"/>
            </w:rPr>
            <w:fldChar w:fldCharType="begin"/>
          </w:r>
          <w:r w:rsidRPr="00AE1D50">
            <w:rPr>
              <w:rFonts w:asciiTheme="minorHAnsi" w:hAnsiTheme="minorHAnsi" w:cstheme="minorHAnsi"/>
            </w:rPr>
            <w:instrText xml:space="preserve"> TOC \o "1-3" \h \z \u </w:instrText>
          </w:r>
          <w:r w:rsidRPr="00AE1D50">
            <w:rPr>
              <w:rFonts w:asciiTheme="minorHAnsi" w:hAnsiTheme="minorHAnsi" w:cstheme="minorHAnsi"/>
            </w:rPr>
            <w:fldChar w:fldCharType="separate"/>
          </w:r>
          <w:hyperlink w:anchor="_Toc502148133" w:history="1">
            <w:r w:rsidR="00860B34" w:rsidRPr="00AE1D50">
              <w:rPr>
                <w:rStyle w:val="Hyperlink"/>
                <w:rFonts w:asciiTheme="minorHAnsi" w:hAnsiTheme="minorHAnsi" w:cstheme="minorHAnsi"/>
                <w:noProof/>
                <w:sz w:val="22"/>
                <w:szCs w:val="22"/>
              </w:rPr>
              <w:t>At-a-Glance Summary</w:t>
            </w:r>
            <w:r w:rsidR="00860B34" w:rsidRPr="00AE1D50">
              <w:rPr>
                <w:rFonts w:asciiTheme="minorHAnsi" w:hAnsiTheme="minorHAnsi" w:cstheme="minorHAnsi"/>
                <w:noProof/>
                <w:webHidden/>
                <w:sz w:val="22"/>
                <w:szCs w:val="22"/>
              </w:rPr>
              <w:tab/>
            </w:r>
            <w:r w:rsidR="00860B34" w:rsidRPr="00AE1D50">
              <w:rPr>
                <w:rFonts w:asciiTheme="minorHAnsi" w:hAnsiTheme="minorHAnsi" w:cstheme="minorHAnsi"/>
                <w:noProof/>
                <w:webHidden/>
                <w:sz w:val="22"/>
                <w:szCs w:val="22"/>
              </w:rPr>
              <w:fldChar w:fldCharType="begin"/>
            </w:r>
            <w:r w:rsidR="00860B34" w:rsidRPr="00AE1D50">
              <w:rPr>
                <w:rFonts w:asciiTheme="minorHAnsi" w:hAnsiTheme="minorHAnsi" w:cstheme="minorHAnsi"/>
                <w:noProof/>
                <w:webHidden/>
                <w:sz w:val="22"/>
                <w:szCs w:val="22"/>
              </w:rPr>
              <w:instrText xml:space="preserve"> PAGEREF _Toc502148133 \h </w:instrText>
            </w:r>
            <w:r w:rsidR="00860B34" w:rsidRPr="00AE1D50">
              <w:rPr>
                <w:rFonts w:asciiTheme="minorHAnsi" w:hAnsiTheme="minorHAnsi" w:cstheme="minorHAnsi"/>
                <w:noProof/>
                <w:webHidden/>
                <w:sz w:val="22"/>
                <w:szCs w:val="22"/>
              </w:rPr>
            </w:r>
            <w:r w:rsidR="00860B34" w:rsidRPr="00AE1D50">
              <w:rPr>
                <w:rFonts w:asciiTheme="minorHAnsi" w:hAnsiTheme="minorHAnsi" w:cstheme="minorHAnsi"/>
                <w:noProof/>
                <w:webHidden/>
                <w:sz w:val="22"/>
                <w:szCs w:val="22"/>
              </w:rPr>
              <w:fldChar w:fldCharType="separate"/>
            </w:r>
            <w:r w:rsidR="00860B34" w:rsidRPr="00AE1D50">
              <w:rPr>
                <w:rFonts w:asciiTheme="minorHAnsi" w:hAnsiTheme="minorHAnsi" w:cstheme="minorHAnsi"/>
                <w:noProof/>
                <w:webHidden/>
                <w:sz w:val="22"/>
                <w:szCs w:val="22"/>
              </w:rPr>
              <w:t>2</w:t>
            </w:r>
            <w:r w:rsidR="00860B34" w:rsidRPr="00AE1D50">
              <w:rPr>
                <w:rFonts w:asciiTheme="minorHAnsi" w:hAnsiTheme="minorHAnsi" w:cstheme="minorHAnsi"/>
                <w:noProof/>
                <w:webHidden/>
                <w:sz w:val="22"/>
                <w:szCs w:val="22"/>
              </w:rPr>
              <w:fldChar w:fldCharType="end"/>
            </w:r>
          </w:hyperlink>
        </w:p>
        <w:p w14:paraId="775A406C" w14:textId="24C3D926" w:rsidR="00860B34" w:rsidRPr="00AE1D50" w:rsidRDefault="00B36F35">
          <w:pPr>
            <w:pStyle w:val="TOC1"/>
            <w:tabs>
              <w:tab w:val="right" w:leader="dot" w:pos="9350"/>
            </w:tabs>
            <w:rPr>
              <w:rFonts w:asciiTheme="minorHAnsi" w:eastAsiaTheme="minorEastAsia" w:hAnsiTheme="minorHAnsi" w:cstheme="minorHAnsi"/>
              <w:noProof/>
              <w:sz w:val="22"/>
              <w:szCs w:val="22"/>
            </w:rPr>
          </w:pPr>
          <w:hyperlink w:anchor="_Toc502148134" w:history="1">
            <w:r w:rsidR="00860B34" w:rsidRPr="00AE1D50">
              <w:rPr>
                <w:rStyle w:val="Hyperlink"/>
                <w:rFonts w:asciiTheme="minorHAnsi" w:hAnsiTheme="minorHAnsi" w:cstheme="minorHAnsi"/>
                <w:noProof/>
                <w:sz w:val="22"/>
                <w:szCs w:val="22"/>
              </w:rPr>
              <w:t>Revision History</w:t>
            </w:r>
            <w:r w:rsidR="00860B34" w:rsidRPr="00AE1D50">
              <w:rPr>
                <w:rFonts w:asciiTheme="minorHAnsi" w:hAnsiTheme="minorHAnsi" w:cstheme="minorHAnsi"/>
                <w:noProof/>
                <w:webHidden/>
                <w:sz w:val="22"/>
                <w:szCs w:val="22"/>
              </w:rPr>
              <w:tab/>
            </w:r>
            <w:r w:rsidR="00860B34" w:rsidRPr="00AE1D50">
              <w:rPr>
                <w:rFonts w:asciiTheme="minorHAnsi" w:hAnsiTheme="minorHAnsi" w:cstheme="minorHAnsi"/>
                <w:noProof/>
                <w:webHidden/>
                <w:sz w:val="22"/>
                <w:szCs w:val="22"/>
              </w:rPr>
              <w:fldChar w:fldCharType="begin"/>
            </w:r>
            <w:r w:rsidR="00860B34" w:rsidRPr="00AE1D50">
              <w:rPr>
                <w:rFonts w:asciiTheme="minorHAnsi" w:hAnsiTheme="minorHAnsi" w:cstheme="minorHAnsi"/>
                <w:noProof/>
                <w:webHidden/>
                <w:sz w:val="22"/>
                <w:szCs w:val="22"/>
              </w:rPr>
              <w:instrText xml:space="preserve"> PAGEREF _Toc502148134 \h </w:instrText>
            </w:r>
            <w:r w:rsidR="00860B34" w:rsidRPr="00AE1D50">
              <w:rPr>
                <w:rFonts w:asciiTheme="minorHAnsi" w:hAnsiTheme="minorHAnsi" w:cstheme="minorHAnsi"/>
                <w:noProof/>
                <w:webHidden/>
                <w:sz w:val="22"/>
                <w:szCs w:val="22"/>
              </w:rPr>
            </w:r>
            <w:r w:rsidR="00860B34" w:rsidRPr="00AE1D50">
              <w:rPr>
                <w:rFonts w:asciiTheme="minorHAnsi" w:hAnsiTheme="minorHAnsi" w:cstheme="minorHAnsi"/>
                <w:noProof/>
                <w:webHidden/>
                <w:sz w:val="22"/>
                <w:szCs w:val="22"/>
              </w:rPr>
              <w:fldChar w:fldCharType="separate"/>
            </w:r>
            <w:r w:rsidR="00860B34" w:rsidRPr="00AE1D50">
              <w:rPr>
                <w:rFonts w:asciiTheme="minorHAnsi" w:hAnsiTheme="minorHAnsi" w:cstheme="minorHAnsi"/>
                <w:noProof/>
                <w:webHidden/>
                <w:sz w:val="22"/>
                <w:szCs w:val="22"/>
              </w:rPr>
              <w:t>3</w:t>
            </w:r>
            <w:r w:rsidR="00860B34" w:rsidRPr="00AE1D50">
              <w:rPr>
                <w:rFonts w:asciiTheme="minorHAnsi" w:hAnsiTheme="minorHAnsi" w:cstheme="minorHAnsi"/>
                <w:noProof/>
                <w:webHidden/>
                <w:sz w:val="22"/>
                <w:szCs w:val="22"/>
              </w:rPr>
              <w:fldChar w:fldCharType="end"/>
            </w:r>
          </w:hyperlink>
        </w:p>
        <w:p w14:paraId="5C665583" w14:textId="6A217606" w:rsidR="00860B34" w:rsidRPr="00AE1D50" w:rsidRDefault="00B36F35">
          <w:pPr>
            <w:pStyle w:val="TOC1"/>
            <w:tabs>
              <w:tab w:val="right" w:leader="dot" w:pos="9350"/>
            </w:tabs>
            <w:rPr>
              <w:rFonts w:asciiTheme="minorHAnsi" w:eastAsiaTheme="minorEastAsia" w:hAnsiTheme="minorHAnsi" w:cstheme="minorHAnsi"/>
              <w:noProof/>
              <w:sz w:val="22"/>
              <w:szCs w:val="22"/>
            </w:rPr>
          </w:pPr>
          <w:hyperlink w:anchor="_Toc502148135" w:history="1">
            <w:r w:rsidR="00860B34" w:rsidRPr="00AE1D50">
              <w:rPr>
                <w:rStyle w:val="Hyperlink"/>
                <w:rFonts w:asciiTheme="minorHAnsi" w:hAnsiTheme="minorHAnsi" w:cstheme="minorHAnsi"/>
                <w:noProof/>
                <w:sz w:val="22"/>
                <w:szCs w:val="22"/>
              </w:rPr>
              <w:t>Commission Staff and Cal TF Comments</w:t>
            </w:r>
            <w:r w:rsidR="00860B34" w:rsidRPr="00AE1D50">
              <w:rPr>
                <w:rFonts w:asciiTheme="minorHAnsi" w:hAnsiTheme="minorHAnsi" w:cstheme="minorHAnsi"/>
                <w:noProof/>
                <w:webHidden/>
                <w:sz w:val="22"/>
                <w:szCs w:val="22"/>
              </w:rPr>
              <w:tab/>
            </w:r>
            <w:r w:rsidR="00860B34" w:rsidRPr="00AE1D50">
              <w:rPr>
                <w:rFonts w:asciiTheme="minorHAnsi" w:hAnsiTheme="minorHAnsi" w:cstheme="minorHAnsi"/>
                <w:noProof/>
                <w:webHidden/>
                <w:sz w:val="22"/>
                <w:szCs w:val="22"/>
              </w:rPr>
              <w:fldChar w:fldCharType="begin"/>
            </w:r>
            <w:r w:rsidR="00860B34" w:rsidRPr="00AE1D50">
              <w:rPr>
                <w:rFonts w:asciiTheme="minorHAnsi" w:hAnsiTheme="minorHAnsi" w:cstheme="minorHAnsi"/>
                <w:noProof/>
                <w:webHidden/>
                <w:sz w:val="22"/>
                <w:szCs w:val="22"/>
              </w:rPr>
              <w:instrText xml:space="preserve"> PAGEREF _Toc502148135 \h </w:instrText>
            </w:r>
            <w:r w:rsidR="00860B34" w:rsidRPr="00AE1D50">
              <w:rPr>
                <w:rFonts w:asciiTheme="minorHAnsi" w:hAnsiTheme="minorHAnsi" w:cstheme="minorHAnsi"/>
                <w:noProof/>
                <w:webHidden/>
                <w:sz w:val="22"/>
                <w:szCs w:val="22"/>
              </w:rPr>
            </w:r>
            <w:r w:rsidR="00860B34" w:rsidRPr="00AE1D50">
              <w:rPr>
                <w:rFonts w:asciiTheme="minorHAnsi" w:hAnsiTheme="minorHAnsi" w:cstheme="minorHAnsi"/>
                <w:noProof/>
                <w:webHidden/>
                <w:sz w:val="22"/>
                <w:szCs w:val="22"/>
              </w:rPr>
              <w:fldChar w:fldCharType="separate"/>
            </w:r>
            <w:r w:rsidR="00860B34" w:rsidRPr="00AE1D50">
              <w:rPr>
                <w:rFonts w:asciiTheme="minorHAnsi" w:hAnsiTheme="minorHAnsi" w:cstheme="minorHAnsi"/>
                <w:noProof/>
                <w:webHidden/>
                <w:sz w:val="22"/>
                <w:szCs w:val="22"/>
              </w:rPr>
              <w:t>3</w:t>
            </w:r>
            <w:r w:rsidR="00860B34" w:rsidRPr="00AE1D50">
              <w:rPr>
                <w:rFonts w:asciiTheme="minorHAnsi" w:hAnsiTheme="minorHAnsi" w:cstheme="minorHAnsi"/>
                <w:noProof/>
                <w:webHidden/>
                <w:sz w:val="22"/>
                <w:szCs w:val="22"/>
              </w:rPr>
              <w:fldChar w:fldCharType="end"/>
            </w:r>
          </w:hyperlink>
        </w:p>
        <w:p w14:paraId="5CEB5A2E" w14:textId="4775895D" w:rsidR="00860B34" w:rsidRPr="00AE1D50" w:rsidRDefault="00B36F35">
          <w:pPr>
            <w:pStyle w:val="TOC1"/>
            <w:tabs>
              <w:tab w:val="right" w:leader="dot" w:pos="9350"/>
            </w:tabs>
            <w:rPr>
              <w:rFonts w:asciiTheme="minorHAnsi" w:eastAsiaTheme="minorEastAsia" w:hAnsiTheme="minorHAnsi" w:cstheme="minorHAnsi"/>
              <w:noProof/>
              <w:sz w:val="22"/>
              <w:szCs w:val="22"/>
            </w:rPr>
          </w:pPr>
          <w:hyperlink w:anchor="_Toc502148136" w:history="1">
            <w:r w:rsidR="00860B34" w:rsidRPr="00AE1D50">
              <w:rPr>
                <w:rStyle w:val="Hyperlink"/>
                <w:rFonts w:asciiTheme="minorHAnsi" w:hAnsiTheme="minorHAnsi" w:cstheme="minorHAnsi"/>
                <w:noProof/>
                <w:sz w:val="22"/>
                <w:szCs w:val="22"/>
              </w:rPr>
              <w:t>Section 1. General Measure &amp; Baseline Data</w:t>
            </w:r>
            <w:r w:rsidR="00860B34" w:rsidRPr="00AE1D50">
              <w:rPr>
                <w:rFonts w:asciiTheme="minorHAnsi" w:hAnsiTheme="minorHAnsi" w:cstheme="minorHAnsi"/>
                <w:noProof/>
                <w:webHidden/>
                <w:sz w:val="22"/>
                <w:szCs w:val="22"/>
              </w:rPr>
              <w:tab/>
            </w:r>
            <w:r w:rsidR="00860B34" w:rsidRPr="00AE1D50">
              <w:rPr>
                <w:rFonts w:asciiTheme="minorHAnsi" w:hAnsiTheme="minorHAnsi" w:cstheme="minorHAnsi"/>
                <w:noProof/>
                <w:webHidden/>
                <w:sz w:val="22"/>
                <w:szCs w:val="22"/>
              </w:rPr>
              <w:fldChar w:fldCharType="begin"/>
            </w:r>
            <w:r w:rsidR="00860B34" w:rsidRPr="00AE1D50">
              <w:rPr>
                <w:rFonts w:asciiTheme="minorHAnsi" w:hAnsiTheme="minorHAnsi" w:cstheme="minorHAnsi"/>
                <w:noProof/>
                <w:webHidden/>
                <w:sz w:val="22"/>
                <w:szCs w:val="22"/>
              </w:rPr>
              <w:instrText xml:space="preserve"> PAGEREF _Toc502148136 \h </w:instrText>
            </w:r>
            <w:r w:rsidR="00860B34" w:rsidRPr="00AE1D50">
              <w:rPr>
                <w:rFonts w:asciiTheme="minorHAnsi" w:hAnsiTheme="minorHAnsi" w:cstheme="minorHAnsi"/>
                <w:noProof/>
                <w:webHidden/>
                <w:sz w:val="22"/>
                <w:szCs w:val="22"/>
              </w:rPr>
            </w:r>
            <w:r w:rsidR="00860B34" w:rsidRPr="00AE1D50">
              <w:rPr>
                <w:rFonts w:asciiTheme="minorHAnsi" w:hAnsiTheme="minorHAnsi" w:cstheme="minorHAnsi"/>
                <w:noProof/>
                <w:webHidden/>
                <w:sz w:val="22"/>
                <w:szCs w:val="22"/>
              </w:rPr>
              <w:fldChar w:fldCharType="separate"/>
            </w:r>
            <w:r w:rsidR="00860B34" w:rsidRPr="00AE1D50">
              <w:rPr>
                <w:rFonts w:asciiTheme="minorHAnsi" w:hAnsiTheme="minorHAnsi" w:cstheme="minorHAnsi"/>
                <w:noProof/>
                <w:webHidden/>
                <w:sz w:val="22"/>
                <w:szCs w:val="22"/>
              </w:rPr>
              <w:t>8</w:t>
            </w:r>
            <w:r w:rsidR="00860B34" w:rsidRPr="00AE1D50">
              <w:rPr>
                <w:rFonts w:asciiTheme="minorHAnsi" w:hAnsiTheme="minorHAnsi" w:cstheme="minorHAnsi"/>
                <w:noProof/>
                <w:webHidden/>
                <w:sz w:val="22"/>
                <w:szCs w:val="22"/>
              </w:rPr>
              <w:fldChar w:fldCharType="end"/>
            </w:r>
          </w:hyperlink>
        </w:p>
        <w:p w14:paraId="4BEF7D83" w14:textId="002E5D14" w:rsidR="00860B34" w:rsidRPr="00AE1D50" w:rsidRDefault="00B36F35">
          <w:pPr>
            <w:pStyle w:val="TOC2"/>
            <w:tabs>
              <w:tab w:val="right" w:leader="dot" w:pos="9350"/>
            </w:tabs>
            <w:rPr>
              <w:rFonts w:asciiTheme="minorHAnsi" w:eastAsiaTheme="minorEastAsia" w:hAnsiTheme="minorHAnsi" w:cstheme="minorHAnsi"/>
              <w:noProof/>
              <w:sz w:val="22"/>
              <w:szCs w:val="22"/>
            </w:rPr>
          </w:pPr>
          <w:hyperlink w:anchor="_Toc502148137" w:history="1">
            <w:r w:rsidR="00860B34" w:rsidRPr="00AE1D50">
              <w:rPr>
                <w:rStyle w:val="Hyperlink"/>
                <w:rFonts w:asciiTheme="minorHAnsi" w:hAnsiTheme="minorHAnsi" w:cstheme="minorHAnsi"/>
                <w:noProof/>
                <w:sz w:val="22"/>
                <w:szCs w:val="22"/>
              </w:rPr>
              <w:t>1.1 Measure Description &amp; Background</w:t>
            </w:r>
            <w:r w:rsidR="00860B34" w:rsidRPr="00AE1D50">
              <w:rPr>
                <w:rFonts w:asciiTheme="minorHAnsi" w:hAnsiTheme="minorHAnsi" w:cstheme="minorHAnsi"/>
                <w:noProof/>
                <w:webHidden/>
                <w:sz w:val="22"/>
                <w:szCs w:val="22"/>
              </w:rPr>
              <w:tab/>
            </w:r>
            <w:r w:rsidR="00860B34" w:rsidRPr="00AE1D50">
              <w:rPr>
                <w:rFonts w:asciiTheme="minorHAnsi" w:hAnsiTheme="minorHAnsi" w:cstheme="minorHAnsi"/>
                <w:noProof/>
                <w:webHidden/>
                <w:sz w:val="22"/>
                <w:szCs w:val="22"/>
              </w:rPr>
              <w:fldChar w:fldCharType="begin"/>
            </w:r>
            <w:r w:rsidR="00860B34" w:rsidRPr="00AE1D50">
              <w:rPr>
                <w:rFonts w:asciiTheme="minorHAnsi" w:hAnsiTheme="minorHAnsi" w:cstheme="minorHAnsi"/>
                <w:noProof/>
                <w:webHidden/>
                <w:sz w:val="22"/>
                <w:szCs w:val="22"/>
              </w:rPr>
              <w:instrText xml:space="preserve"> PAGEREF _Toc502148137 \h </w:instrText>
            </w:r>
            <w:r w:rsidR="00860B34" w:rsidRPr="00AE1D50">
              <w:rPr>
                <w:rFonts w:asciiTheme="minorHAnsi" w:hAnsiTheme="minorHAnsi" w:cstheme="minorHAnsi"/>
                <w:noProof/>
                <w:webHidden/>
                <w:sz w:val="22"/>
                <w:szCs w:val="22"/>
              </w:rPr>
            </w:r>
            <w:r w:rsidR="00860B34" w:rsidRPr="00AE1D50">
              <w:rPr>
                <w:rFonts w:asciiTheme="minorHAnsi" w:hAnsiTheme="minorHAnsi" w:cstheme="minorHAnsi"/>
                <w:noProof/>
                <w:webHidden/>
                <w:sz w:val="22"/>
                <w:szCs w:val="22"/>
              </w:rPr>
              <w:fldChar w:fldCharType="separate"/>
            </w:r>
            <w:r w:rsidR="00860B34" w:rsidRPr="00AE1D50">
              <w:rPr>
                <w:rFonts w:asciiTheme="minorHAnsi" w:hAnsiTheme="minorHAnsi" w:cstheme="minorHAnsi"/>
                <w:noProof/>
                <w:webHidden/>
                <w:sz w:val="22"/>
                <w:szCs w:val="22"/>
              </w:rPr>
              <w:t>8</w:t>
            </w:r>
            <w:r w:rsidR="00860B34" w:rsidRPr="00AE1D50">
              <w:rPr>
                <w:rFonts w:asciiTheme="minorHAnsi" w:hAnsiTheme="minorHAnsi" w:cstheme="minorHAnsi"/>
                <w:noProof/>
                <w:webHidden/>
                <w:sz w:val="22"/>
                <w:szCs w:val="22"/>
              </w:rPr>
              <w:fldChar w:fldCharType="end"/>
            </w:r>
          </w:hyperlink>
        </w:p>
        <w:p w14:paraId="3DAEEC86" w14:textId="65120E16" w:rsidR="00860B34" w:rsidRPr="00AE1D50" w:rsidRDefault="00B36F35">
          <w:pPr>
            <w:pStyle w:val="TOC2"/>
            <w:tabs>
              <w:tab w:val="right" w:leader="dot" w:pos="9350"/>
            </w:tabs>
            <w:rPr>
              <w:rFonts w:asciiTheme="minorHAnsi" w:eastAsiaTheme="minorEastAsia" w:hAnsiTheme="minorHAnsi" w:cstheme="minorHAnsi"/>
              <w:noProof/>
              <w:sz w:val="22"/>
              <w:szCs w:val="22"/>
            </w:rPr>
          </w:pPr>
          <w:hyperlink w:anchor="_Toc502148138" w:history="1">
            <w:r w:rsidR="00860B34" w:rsidRPr="00AE1D50">
              <w:rPr>
                <w:rStyle w:val="Hyperlink"/>
                <w:rFonts w:asciiTheme="minorHAnsi" w:hAnsiTheme="minorHAnsi" w:cstheme="minorHAnsi"/>
                <w:noProof/>
                <w:sz w:val="22"/>
                <w:szCs w:val="22"/>
              </w:rPr>
              <w:t>1.2 Technical Description</w:t>
            </w:r>
            <w:r w:rsidR="00860B34" w:rsidRPr="00AE1D50">
              <w:rPr>
                <w:rFonts w:asciiTheme="minorHAnsi" w:hAnsiTheme="minorHAnsi" w:cstheme="minorHAnsi"/>
                <w:noProof/>
                <w:webHidden/>
                <w:sz w:val="22"/>
                <w:szCs w:val="22"/>
              </w:rPr>
              <w:tab/>
            </w:r>
            <w:r w:rsidR="00860B34" w:rsidRPr="00AE1D50">
              <w:rPr>
                <w:rFonts w:asciiTheme="minorHAnsi" w:hAnsiTheme="minorHAnsi" w:cstheme="minorHAnsi"/>
                <w:noProof/>
                <w:webHidden/>
                <w:sz w:val="22"/>
                <w:szCs w:val="22"/>
              </w:rPr>
              <w:fldChar w:fldCharType="begin"/>
            </w:r>
            <w:r w:rsidR="00860B34" w:rsidRPr="00AE1D50">
              <w:rPr>
                <w:rFonts w:asciiTheme="minorHAnsi" w:hAnsiTheme="minorHAnsi" w:cstheme="minorHAnsi"/>
                <w:noProof/>
                <w:webHidden/>
                <w:sz w:val="22"/>
                <w:szCs w:val="22"/>
              </w:rPr>
              <w:instrText xml:space="preserve"> PAGEREF _Toc502148138 \h </w:instrText>
            </w:r>
            <w:r w:rsidR="00860B34" w:rsidRPr="00AE1D50">
              <w:rPr>
                <w:rFonts w:asciiTheme="minorHAnsi" w:hAnsiTheme="minorHAnsi" w:cstheme="minorHAnsi"/>
                <w:noProof/>
                <w:webHidden/>
                <w:sz w:val="22"/>
                <w:szCs w:val="22"/>
              </w:rPr>
            </w:r>
            <w:r w:rsidR="00860B34" w:rsidRPr="00AE1D50">
              <w:rPr>
                <w:rFonts w:asciiTheme="minorHAnsi" w:hAnsiTheme="minorHAnsi" w:cstheme="minorHAnsi"/>
                <w:noProof/>
                <w:webHidden/>
                <w:sz w:val="22"/>
                <w:szCs w:val="22"/>
              </w:rPr>
              <w:fldChar w:fldCharType="separate"/>
            </w:r>
            <w:r w:rsidR="00860B34" w:rsidRPr="00AE1D50">
              <w:rPr>
                <w:rFonts w:asciiTheme="minorHAnsi" w:hAnsiTheme="minorHAnsi" w:cstheme="minorHAnsi"/>
                <w:noProof/>
                <w:webHidden/>
                <w:sz w:val="22"/>
                <w:szCs w:val="22"/>
              </w:rPr>
              <w:t>8</w:t>
            </w:r>
            <w:r w:rsidR="00860B34" w:rsidRPr="00AE1D50">
              <w:rPr>
                <w:rFonts w:asciiTheme="minorHAnsi" w:hAnsiTheme="minorHAnsi" w:cstheme="minorHAnsi"/>
                <w:noProof/>
                <w:webHidden/>
                <w:sz w:val="22"/>
                <w:szCs w:val="22"/>
              </w:rPr>
              <w:fldChar w:fldCharType="end"/>
            </w:r>
          </w:hyperlink>
        </w:p>
        <w:p w14:paraId="7AB493AA" w14:textId="41BD4AF2" w:rsidR="00860B34" w:rsidRPr="00AE1D50" w:rsidRDefault="00B36F35">
          <w:pPr>
            <w:pStyle w:val="TOC2"/>
            <w:tabs>
              <w:tab w:val="right" w:leader="dot" w:pos="9350"/>
            </w:tabs>
            <w:rPr>
              <w:rFonts w:asciiTheme="minorHAnsi" w:eastAsiaTheme="minorEastAsia" w:hAnsiTheme="minorHAnsi" w:cstheme="minorHAnsi"/>
              <w:noProof/>
              <w:sz w:val="22"/>
              <w:szCs w:val="22"/>
            </w:rPr>
          </w:pPr>
          <w:hyperlink w:anchor="_Toc502148139" w:history="1">
            <w:r w:rsidR="00860B34" w:rsidRPr="00AE1D50">
              <w:rPr>
                <w:rStyle w:val="Hyperlink"/>
                <w:rFonts w:asciiTheme="minorHAnsi" w:hAnsiTheme="minorHAnsi" w:cstheme="minorHAnsi"/>
                <w:noProof/>
                <w:sz w:val="22"/>
                <w:szCs w:val="22"/>
              </w:rPr>
              <w:t>1.3 Installation Types and Delivery Mechanisms</w:t>
            </w:r>
            <w:r w:rsidR="00860B34" w:rsidRPr="00AE1D50">
              <w:rPr>
                <w:rFonts w:asciiTheme="minorHAnsi" w:hAnsiTheme="minorHAnsi" w:cstheme="minorHAnsi"/>
                <w:noProof/>
                <w:webHidden/>
                <w:sz w:val="22"/>
                <w:szCs w:val="22"/>
              </w:rPr>
              <w:tab/>
            </w:r>
            <w:r w:rsidR="00860B34" w:rsidRPr="00AE1D50">
              <w:rPr>
                <w:rFonts w:asciiTheme="minorHAnsi" w:hAnsiTheme="minorHAnsi" w:cstheme="minorHAnsi"/>
                <w:noProof/>
                <w:webHidden/>
                <w:sz w:val="22"/>
                <w:szCs w:val="22"/>
              </w:rPr>
              <w:fldChar w:fldCharType="begin"/>
            </w:r>
            <w:r w:rsidR="00860B34" w:rsidRPr="00AE1D50">
              <w:rPr>
                <w:rFonts w:asciiTheme="minorHAnsi" w:hAnsiTheme="minorHAnsi" w:cstheme="minorHAnsi"/>
                <w:noProof/>
                <w:webHidden/>
                <w:sz w:val="22"/>
                <w:szCs w:val="22"/>
              </w:rPr>
              <w:instrText xml:space="preserve"> PAGEREF _Toc502148139 \h </w:instrText>
            </w:r>
            <w:r w:rsidR="00860B34" w:rsidRPr="00AE1D50">
              <w:rPr>
                <w:rFonts w:asciiTheme="minorHAnsi" w:hAnsiTheme="minorHAnsi" w:cstheme="minorHAnsi"/>
                <w:noProof/>
                <w:webHidden/>
                <w:sz w:val="22"/>
                <w:szCs w:val="22"/>
              </w:rPr>
            </w:r>
            <w:r w:rsidR="00860B34" w:rsidRPr="00AE1D50">
              <w:rPr>
                <w:rFonts w:asciiTheme="minorHAnsi" w:hAnsiTheme="minorHAnsi" w:cstheme="minorHAnsi"/>
                <w:noProof/>
                <w:webHidden/>
                <w:sz w:val="22"/>
                <w:szCs w:val="22"/>
              </w:rPr>
              <w:fldChar w:fldCharType="separate"/>
            </w:r>
            <w:r w:rsidR="00860B34" w:rsidRPr="00AE1D50">
              <w:rPr>
                <w:rFonts w:asciiTheme="minorHAnsi" w:hAnsiTheme="minorHAnsi" w:cstheme="minorHAnsi"/>
                <w:noProof/>
                <w:webHidden/>
                <w:sz w:val="22"/>
                <w:szCs w:val="22"/>
              </w:rPr>
              <w:t>9</w:t>
            </w:r>
            <w:r w:rsidR="00860B34" w:rsidRPr="00AE1D50">
              <w:rPr>
                <w:rFonts w:asciiTheme="minorHAnsi" w:hAnsiTheme="minorHAnsi" w:cstheme="minorHAnsi"/>
                <w:noProof/>
                <w:webHidden/>
                <w:sz w:val="22"/>
                <w:szCs w:val="22"/>
              </w:rPr>
              <w:fldChar w:fldCharType="end"/>
            </w:r>
          </w:hyperlink>
        </w:p>
        <w:p w14:paraId="7C91C96E" w14:textId="124F2BB6" w:rsidR="00860B34" w:rsidRPr="00AE1D50" w:rsidRDefault="00B36F35">
          <w:pPr>
            <w:pStyle w:val="TOC2"/>
            <w:tabs>
              <w:tab w:val="right" w:leader="dot" w:pos="9350"/>
            </w:tabs>
            <w:rPr>
              <w:rFonts w:asciiTheme="minorHAnsi" w:eastAsiaTheme="minorEastAsia" w:hAnsiTheme="minorHAnsi" w:cstheme="minorHAnsi"/>
              <w:noProof/>
              <w:sz w:val="22"/>
              <w:szCs w:val="22"/>
            </w:rPr>
          </w:pPr>
          <w:hyperlink w:anchor="_Toc502148140" w:history="1">
            <w:r w:rsidR="00860B34" w:rsidRPr="00AE1D50">
              <w:rPr>
                <w:rStyle w:val="Hyperlink"/>
                <w:rFonts w:asciiTheme="minorHAnsi" w:hAnsiTheme="minorHAnsi" w:cstheme="minorHAnsi"/>
                <w:noProof/>
                <w:sz w:val="22"/>
                <w:szCs w:val="22"/>
              </w:rPr>
              <w:t>1.4 Measure Parameters</w:t>
            </w:r>
            <w:r w:rsidR="00860B34" w:rsidRPr="00AE1D50">
              <w:rPr>
                <w:rFonts w:asciiTheme="minorHAnsi" w:hAnsiTheme="minorHAnsi" w:cstheme="minorHAnsi"/>
                <w:noProof/>
                <w:webHidden/>
                <w:sz w:val="22"/>
                <w:szCs w:val="22"/>
              </w:rPr>
              <w:tab/>
            </w:r>
            <w:r w:rsidR="00860B34" w:rsidRPr="00AE1D50">
              <w:rPr>
                <w:rFonts w:asciiTheme="minorHAnsi" w:hAnsiTheme="minorHAnsi" w:cstheme="minorHAnsi"/>
                <w:noProof/>
                <w:webHidden/>
                <w:sz w:val="22"/>
                <w:szCs w:val="22"/>
              </w:rPr>
              <w:fldChar w:fldCharType="begin"/>
            </w:r>
            <w:r w:rsidR="00860B34" w:rsidRPr="00AE1D50">
              <w:rPr>
                <w:rFonts w:asciiTheme="minorHAnsi" w:hAnsiTheme="minorHAnsi" w:cstheme="minorHAnsi"/>
                <w:noProof/>
                <w:webHidden/>
                <w:sz w:val="22"/>
                <w:szCs w:val="22"/>
              </w:rPr>
              <w:instrText xml:space="preserve"> PAGEREF _Toc502148140 \h </w:instrText>
            </w:r>
            <w:r w:rsidR="00860B34" w:rsidRPr="00AE1D50">
              <w:rPr>
                <w:rFonts w:asciiTheme="minorHAnsi" w:hAnsiTheme="minorHAnsi" w:cstheme="minorHAnsi"/>
                <w:noProof/>
                <w:webHidden/>
                <w:sz w:val="22"/>
                <w:szCs w:val="22"/>
              </w:rPr>
            </w:r>
            <w:r w:rsidR="00860B34" w:rsidRPr="00AE1D50">
              <w:rPr>
                <w:rFonts w:asciiTheme="minorHAnsi" w:hAnsiTheme="minorHAnsi" w:cstheme="minorHAnsi"/>
                <w:noProof/>
                <w:webHidden/>
                <w:sz w:val="22"/>
                <w:szCs w:val="22"/>
              </w:rPr>
              <w:fldChar w:fldCharType="separate"/>
            </w:r>
            <w:r w:rsidR="00860B34" w:rsidRPr="00AE1D50">
              <w:rPr>
                <w:rFonts w:asciiTheme="minorHAnsi" w:hAnsiTheme="minorHAnsi" w:cstheme="minorHAnsi"/>
                <w:noProof/>
                <w:webHidden/>
                <w:sz w:val="22"/>
                <w:szCs w:val="22"/>
              </w:rPr>
              <w:t>9</w:t>
            </w:r>
            <w:r w:rsidR="00860B34" w:rsidRPr="00AE1D50">
              <w:rPr>
                <w:rFonts w:asciiTheme="minorHAnsi" w:hAnsiTheme="minorHAnsi" w:cstheme="minorHAnsi"/>
                <w:noProof/>
                <w:webHidden/>
                <w:sz w:val="22"/>
                <w:szCs w:val="22"/>
              </w:rPr>
              <w:fldChar w:fldCharType="end"/>
            </w:r>
          </w:hyperlink>
        </w:p>
        <w:p w14:paraId="7FE977B8" w14:textId="5AA1F103" w:rsidR="00860B34" w:rsidRPr="00AE1D50" w:rsidRDefault="00B36F35">
          <w:pPr>
            <w:pStyle w:val="TOC3"/>
            <w:tabs>
              <w:tab w:val="right" w:leader="dot" w:pos="9350"/>
            </w:tabs>
            <w:rPr>
              <w:rFonts w:eastAsiaTheme="minorEastAsia" w:cstheme="minorHAnsi"/>
              <w:noProof/>
              <w:szCs w:val="22"/>
            </w:rPr>
          </w:pPr>
          <w:hyperlink w:anchor="_Toc502148141" w:history="1">
            <w:r w:rsidR="00860B34" w:rsidRPr="00AE1D50">
              <w:rPr>
                <w:rStyle w:val="Hyperlink"/>
                <w:rFonts w:cstheme="minorHAnsi"/>
                <w:noProof/>
                <w:szCs w:val="22"/>
              </w:rPr>
              <w:t>1.4.1 DEER Data</w:t>
            </w:r>
            <w:r w:rsidR="00860B34" w:rsidRPr="00AE1D50">
              <w:rPr>
                <w:rFonts w:cstheme="minorHAnsi"/>
                <w:noProof/>
                <w:webHidden/>
                <w:szCs w:val="22"/>
              </w:rPr>
              <w:tab/>
            </w:r>
            <w:r w:rsidR="00860B34" w:rsidRPr="00AE1D50">
              <w:rPr>
                <w:rFonts w:cstheme="minorHAnsi"/>
                <w:noProof/>
                <w:webHidden/>
                <w:szCs w:val="22"/>
              </w:rPr>
              <w:fldChar w:fldCharType="begin"/>
            </w:r>
            <w:r w:rsidR="00860B34" w:rsidRPr="00AE1D50">
              <w:rPr>
                <w:rFonts w:cstheme="minorHAnsi"/>
                <w:noProof/>
                <w:webHidden/>
                <w:szCs w:val="22"/>
              </w:rPr>
              <w:instrText xml:space="preserve"> PAGEREF _Toc502148141 \h </w:instrText>
            </w:r>
            <w:r w:rsidR="00860B34" w:rsidRPr="00AE1D50">
              <w:rPr>
                <w:rFonts w:cstheme="minorHAnsi"/>
                <w:noProof/>
                <w:webHidden/>
                <w:szCs w:val="22"/>
              </w:rPr>
            </w:r>
            <w:r w:rsidR="00860B34" w:rsidRPr="00AE1D50">
              <w:rPr>
                <w:rFonts w:cstheme="minorHAnsi"/>
                <w:noProof/>
                <w:webHidden/>
                <w:szCs w:val="22"/>
              </w:rPr>
              <w:fldChar w:fldCharType="separate"/>
            </w:r>
            <w:r w:rsidR="00860B34" w:rsidRPr="00AE1D50">
              <w:rPr>
                <w:rFonts w:cstheme="minorHAnsi"/>
                <w:noProof/>
                <w:webHidden/>
                <w:szCs w:val="22"/>
              </w:rPr>
              <w:t>9</w:t>
            </w:r>
            <w:r w:rsidR="00860B34" w:rsidRPr="00AE1D50">
              <w:rPr>
                <w:rFonts w:cstheme="minorHAnsi"/>
                <w:noProof/>
                <w:webHidden/>
                <w:szCs w:val="22"/>
              </w:rPr>
              <w:fldChar w:fldCharType="end"/>
            </w:r>
          </w:hyperlink>
        </w:p>
        <w:p w14:paraId="3AA2CA4D" w14:textId="4AE987DB" w:rsidR="00860B34" w:rsidRPr="00AE1D50" w:rsidRDefault="00B36F35">
          <w:pPr>
            <w:pStyle w:val="TOC3"/>
            <w:tabs>
              <w:tab w:val="right" w:leader="dot" w:pos="9350"/>
            </w:tabs>
            <w:rPr>
              <w:rFonts w:eastAsiaTheme="minorEastAsia" w:cstheme="minorHAnsi"/>
              <w:noProof/>
              <w:szCs w:val="22"/>
            </w:rPr>
          </w:pPr>
          <w:hyperlink w:anchor="_Toc502148142" w:history="1">
            <w:r w:rsidR="00860B34" w:rsidRPr="00AE1D50">
              <w:rPr>
                <w:rStyle w:val="Hyperlink"/>
                <w:rFonts w:cstheme="minorHAnsi"/>
                <w:noProof/>
                <w:szCs w:val="22"/>
              </w:rPr>
              <w:t>1.4.2 Codes and Standards Analysis</w:t>
            </w:r>
            <w:r w:rsidR="00860B34" w:rsidRPr="00AE1D50">
              <w:rPr>
                <w:rFonts w:cstheme="minorHAnsi"/>
                <w:noProof/>
                <w:webHidden/>
                <w:szCs w:val="22"/>
              </w:rPr>
              <w:tab/>
            </w:r>
            <w:r w:rsidR="00860B34" w:rsidRPr="00AE1D50">
              <w:rPr>
                <w:rFonts w:cstheme="minorHAnsi"/>
                <w:noProof/>
                <w:webHidden/>
                <w:szCs w:val="22"/>
              </w:rPr>
              <w:fldChar w:fldCharType="begin"/>
            </w:r>
            <w:r w:rsidR="00860B34" w:rsidRPr="00AE1D50">
              <w:rPr>
                <w:rFonts w:cstheme="minorHAnsi"/>
                <w:noProof/>
                <w:webHidden/>
                <w:szCs w:val="22"/>
              </w:rPr>
              <w:instrText xml:space="preserve"> PAGEREF _Toc502148142 \h </w:instrText>
            </w:r>
            <w:r w:rsidR="00860B34" w:rsidRPr="00AE1D50">
              <w:rPr>
                <w:rFonts w:cstheme="minorHAnsi"/>
                <w:noProof/>
                <w:webHidden/>
                <w:szCs w:val="22"/>
              </w:rPr>
            </w:r>
            <w:r w:rsidR="00860B34" w:rsidRPr="00AE1D50">
              <w:rPr>
                <w:rFonts w:cstheme="minorHAnsi"/>
                <w:noProof/>
                <w:webHidden/>
                <w:szCs w:val="22"/>
              </w:rPr>
              <w:fldChar w:fldCharType="separate"/>
            </w:r>
            <w:r w:rsidR="00860B34" w:rsidRPr="00AE1D50">
              <w:rPr>
                <w:rFonts w:cstheme="minorHAnsi"/>
                <w:noProof/>
                <w:webHidden/>
                <w:szCs w:val="22"/>
              </w:rPr>
              <w:t>11</w:t>
            </w:r>
            <w:r w:rsidR="00860B34" w:rsidRPr="00AE1D50">
              <w:rPr>
                <w:rFonts w:cstheme="minorHAnsi"/>
                <w:noProof/>
                <w:webHidden/>
                <w:szCs w:val="22"/>
              </w:rPr>
              <w:fldChar w:fldCharType="end"/>
            </w:r>
          </w:hyperlink>
        </w:p>
        <w:p w14:paraId="1237BA93" w14:textId="2C510190" w:rsidR="00860B34" w:rsidRPr="00AE1D50" w:rsidRDefault="00B36F35">
          <w:pPr>
            <w:pStyle w:val="TOC2"/>
            <w:tabs>
              <w:tab w:val="right" w:leader="dot" w:pos="9350"/>
            </w:tabs>
            <w:rPr>
              <w:rFonts w:asciiTheme="minorHAnsi" w:eastAsiaTheme="minorEastAsia" w:hAnsiTheme="minorHAnsi" w:cstheme="minorHAnsi"/>
              <w:noProof/>
              <w:sz w:val="22"/>
              <w:szCs w:val="22"/>
            </w:rPr>
          </w:pPr>
          <w:hyperlink w:anchor="_Toc502148143" w:history="1">
            <w:r w:rsidR="00860B34" w:rsidRPr="00AE1D50">
              <w:rPr>
                <w:rStyle w:val="Hyperlink"/>
                <w:rFonts w:asciiTheme="minorHAnsi" w:hAnsiTheme="minorHAnsi" w:cstheme="minorHAnsi"/>
                <w:noProof/>
                <w:sz w:val="22"/>
                <w:szCs w:val="22"/>
              </w:rPr>
              <w:t>1.5 EM&amp;V, Market Potential, and Other Studies – Base Case and Measure Case Information</w:t>
            </w:r>
            <w:r w:rsidR="00860B34" w:rsidRPr="00AE1D50">
              <w:rPr>
                <w:rFonts w:asciiTheme="minorHAnsi" w:hAnsiTheme="minorHAnsi" w:cstheme="minorHAnsi"/>
                <w:noProof/>
                <w:webHidden/>
                <w:sz w:val="22"/>
                <w:szCs w:val="22"/>
              </w:rPr>
              <w:tab/>
            </w:r>
            <w:r w:rsidR="00860B34" w:rsidRPr="00AE1D50">
              <w:rPr>
                <w:rFonts w:asciiTheme="minorHAnsi" w:hAnsiTheme="minorHAnsi" w:cstheme="minorHAnsi"/>
                <w:noProof/>
                <w:webHidden/>
                <w:sz w:val="22"/>
                <w:szCs w:val="22"/>
              </w:rPr>
              <w:fldChar w:fldCharType="begin"/>
            </w:r>
            <w:r w:rsidR="00860B34" w:rsidRPr="00AE1D50">
              <w:rPr>
                <w:rFonts w:asciiTheme="minorHAnsi" w:hAnsiTheme="minorHAnsi" w:cstheme="minorHAnsi"/>
                <w:noProof/>
                <w:webHidden/>
                <w:sz w:val="22"/>
                <w:szCs w:val="22"/>
              </w:rPr>
              <w:instrText xml:space="preserve"> PAGEREF _Toc502148143 \h </w:instrText>
            </w:r>
            <w:r w:rsidR="00860B34" w:rsidRPr="00AE1D50">
              <w:rPr>
                <w:rFonts w:asciiTheme="minorHAnsi" w:hAnsiTheme="minorHAnsi" w:cstheme="minorHAnsi"/>
                <w:noProof/>
                <w:webHidden/>
                <w:sz w:val="22"/>
                <w:szCs w:val="22"/>
              </w:rPr>
            </w:r>
            <w:r w:rsidR="00860B34" w:rsidRPr="00AE1D50">
              <w:rPr>
                <w:rFonts w:asciiTheme="minorHAnsi" w:hAnsiTheme="minorHAnsi" w:cstheme="minorHAnsi"/>
                <w:noProof/>
                <w:webHidden/>
                <w:sz w:val="22"/>
                <w:szCs w:val="22"/>
              </w:rPr>
              <w:fldChar w:fldCharType="separate"/>
            </w:r>
            <w:r w:rsidR="00860B34" w:rsidRPr="00AE1D50">
              <w:rPr>
                <w:rFonts w:asciiTheme="minorHAnsi" w:hAnsiTheme="minorHAnsi" w:cstheme="minorHAnsi"/>
                <w:noProof/>
                <w:webHidden/>
                <w:sz w:val="22"/>
                <w:szCs w:val="22"/>
              </w:rPr>
              <w:t>12</w:t>
            </w:r>
            <w:r w:rsidR="00860B34" w:rsidRPr="00AE1D50">
              <w:rPr>
                <w:rFonts w:asciiTheme="minorHAnsi" w:hAnsiTheme="minorHAnsi" w:cstheme="minorHAnsi"/>
                <w:noProof/>
                <w:webHidden/>
                <w:sz w:val="22"/>
                <w:szCs w:val="22"/>
              </w:rPr>
              <w:fldChar w:fldCharType="end"/>
            </w:r>
          </w:hyperlink>
        </w:p>
        <w:p w14:paraId="7EFD61A1" w14:textId="40FD299C" w:rsidR="00860B34" w:rsidRPr="00AE1D50" w:rsidRDefault="00B36F35">
          <w:pPr>
            <w:pStyle w:val="TOC3"/>
            <w:tabs>
              <w:tab w:val="right" w:leader="dot" w:pos="9350"/>
            </w:tabs>
            <w:rPr>
              <w:rFonts w:eastAsiaTheme="minorEastAsia" w:cstheme="minorHAnsi"/>
              <w:noProof/>
              <w:szCs w:val="22"/>
            </w:rPr>
          </w:pPr>
          <w:hyperlink w:anchor="_Toc502148144" w:history="1">
            <w:r w:rsidR="00860B34" w:rsidRPr="00AE1D50">
              <w:rPr>
                <w:rStyle w:val="Hyperlink"/>
                <w:rFonts w:cstheme="minorHAnsi"/>
                <w:noProof/>
                <w:szCs w:val="22"/>
              </w:rPr>
              <w:t>1.5.1 Study Title: Savings Calculations for Commercial Showerheads</w:t>
            </w:r>
            <w:r w:rsidR="00860B34" w:rsidRPr="00AE1D50">
              <w:rPr>
                <w:rFonts w:cstheme="minorHAnsi"/>
                <w:noProof/>
                <w:webHidden/>
                <w:szCs w:val="22"/>
              </w:rPr>
              <w:tab/>
            </w:r>
            <w:r w:rsidR="00860B34" w:rsidRPr="00AE1D50">
              <w:rPr>
                <w:rFonts w:cstheme="minorHAnsi"/>
                <w:noProof/>
                <w:webHidden/>
                <w:szCs w:val="22"/>
              </w:rPr>
              <w:fldChar w:fldCharType="begin"/>
            </w:r>
            <w:r w:rsidR="00860B34" w:rsidRPr="00AE1D50">
              <w:rPr>
                <w:rFonts w:cstheme="minorHAnsi"/>
                <w:noProof/>
                <w:webHidden/>
                <w:szCs w:val="22"/>
              </w:rPr>
              <w:instrText xml:space="preserve"> PAGEREF _Toc502148144 \h </w:instrText>
            </w:r>
            <w:r w:rsidR="00860B34" w:rsidRPr="00AE1D50">
              <w:rPr>
                <w:rFonts w:cstheme="minorHAnsi"/>
                <w:noProof/>
                <w:webHidden/>
                <w:szCs w:val="22"/>
              </w:rPr>
            </w:r>
            <w:r w:rsidR="00860B34" w:rsidRPr="00AE1D50">
              <w:rPr>
                <w:rFonts w:cstheme="minorHAnsi"/>
                <w:noProof/>
                <w:webHidden/>
                <w:szCs w:val="22"/>
              </w:rPr>
              <w:fldChar w:fldCharType="separate"/>
            </w:r>
            <w:r w:rsidR="00860B34" w:rsidRPr="00AE1D50">
              <w:rPr>
                <w:rFonts w:cstheme="minorHAnsi"/>
                <w:noProof/>
                <w:webHidden/>
                <w:szCs w:val="22"/>
              </w:rPr>
              <w:t>12</w:t>
            </w:r>
            <w:r w:rsidR="00860B34" w:rsidRPr="00AE1D50">
              <w:rPr>
                <w:rFonts w:cstheme="minorHAnsi"/>
                <w:noProof/>
                <w:webHidden/>
                <w:szCs w:val="22"/>
              </w:rPr>
              <w:fldChar w:fldCharType="end"/>
            </w:r>
          </w:hyperlink>
        </w:p>
        <w:p w14:paraId="59976196" w14:textId="1BFCDA50" w:rsidR="00860B34" w:rsidRPr="00AE1D50" w:rsidRDefault="00B36F35">
          <w:pPr>
            <w:pStyle w:val="TOC3"/>
            <w:tabs>
              <w:tab w:val="right" w:leader="dot" w:pos="9350"/>
            </w:tabs>
            <w:rPr>
              <w:rFonts w:eastAsiaTheme="minorEastAsia" w:cstheme="minorHAnsi"/>
              <w:noProof/>
              <w:szCs w:val="22"/>
            </w:rPr>
          </w:pPr>
          <w:hyperlink w:anchor="_Toc502148145" w:history="1">
            <w:r w:rsidR="00860B34" w:rsidRPr="00AE1D50">
              <w:rPr>
                <w:rStyle w:val="Hyperlink"/>
                <w:rFonts w:cstheme="minorHAnsi"/>
                <w:noProof/>
                <w:szCs w:val="22"/>
              </w:rPr>
              <w:t>1.5.2 Field Study: Hot Water Survey in Hotels and Motels in SoCal</w:t>
            </w:r>
            <w:r w:rsidR="00860B34" w:rsidRPr="00AE1D50">
              <w:rPr>
                <w:rFonts w:cstheme="minorHAnsi"/>
                <w:noProof/>
                <w:webHidden/>
                <w:szCs w:val="22"/>
              </w:rPr>
              <w:tab/>
            </w:r>
            <w:r w:rsidR="00860B34" w:rsidRPr="00AE1D50">
              <w:rPr>
                <w:rFonts w:cstheme="minorHAnsi"/>
                <w:noProof/>
                <w:webHidden/>
                <w:szCs w:val="22"/>
              </w:rPr>
              <w:fldChar w:fldCharType="begin"/>
            </w:r>
            <w:r w:rsidR="00860B34" w:rsidRPr="00AE1D50">
              <w:rPr>
                <w:rFonts w:cstheme="minorHAnsi"/>
                <w:noProof/>
                <w:webHidden/>
                <w:szCs w:val="22"/>
              </w:rPr>
              <w:instrText xml:space="preserve"> PAGEREF _Toc502148145 \h </w:instrText>
            </w:r>
            <w:r w:rsidR="00860B34" w:rsidRPr="00AE1D50">
              <w:rPr>
                <w:rFonts w:cstheme="minorHAnsi"/>
                <w:noProof/>
                <w:webHidden/>
                <w:szCs w:val="22"/>
              </w:rPr>
            </w:r>
            <w:r w:rsidR="00860B34" w:rsidRPr="00AE1D50">
              <w:rPr>
                <w:rFonts w:cstheme="minorHAnsi"/>
                <w:noProof/>
                <w:webHidden/>
                <w:szCs w:val="22"/>
              </w:rPr>
              <w:fldChar w:fldCharType="separate"/>
            </w:r>
            <w:r w:rsidR="00860B34" w:rsidRPr="00AE1D50">
              <w:rPr>
                <w:rFonts w:cstheme="minorHAnsi"/>
                <w:noProof/>
                <w:webHidden/>
                <w:szCs w:val="22"/>
              </w:rPr>
              <w:t>12</w:t>
            </w:r>
            <w:r w:rsidR="00860B34" w:rsidRPr="00AE1D50">
              <w:rPr>
                <w:rFonts w:cstheme="minorHAnsi"/>
                <w:noProof/>
                <w:webHidden/>
                <w:szCs w:val="22"/>
              </w:rPr>
              <w:fldChar w:fldCharType="end"/>
            </w:r>
          </w:hyperlink>
        </w:p>
        <w:p w14:paraId="1F879A53" w14:textId="28433A44" w:rsidR="00860B34" w:rsidRPr="00AE1D50" w:rsidRDefault="00B36F35">
          <w:pPr>
            <w:pStyle w:val="TOC2"/>
            <w:tabs>
              <w:tab w:val="right" w:leader="dot" w:pos="9350"/>
            </w:tabs>
            <w:rPr>
              <w:rFonts w:asciiTheme="minorHAnsi" w:eastAsiaTheme="minorEastAsia" w:hAnsiTheme="minorHAnsi" w:cstheme="minorHAnsi"/>
              <w:noProof/>
              <w:sz w:val="22"/>
              <w:szCs w:val="22"/>
            </w:rPr>
          </w:pPr>
          <w:hyperlink w:anchor="_Toc502148146" w:history="1">
            <w:r w:rsidR="00860B34" w:rsidRPr="00AE1D50">
              <w:rPr>
                <w:rStyle w:val="Hyperlink"/>
                <w:rFonts w:asciiTheme="minorHAnsi" w:hAnsiTheme="minorHAnsi" w:cstheme="minorHAnsi"/>
                <w:noProof/>
                <w:sz w:val="22"/>
                <w:szCs w:val="22"/>
              </w:rPr>
              <w:t>1.6 Data Quality and Future Data Needs</w:t>
            </w:r>
            <w:r w:rsidR="00860B34" w:rsidRPr="00AE1D50">
              <w:rPr>
                <w:rFonts w:asciiTheme="minorHAnsi" w:hAnsiTheme="minorHAnsi" w:cstheme="minorHAnsi"/>
                <w:noProof/>
                <w:webHidden/>
                <w:sz w:val="22"/>
                <w:szCs w:val="22"/>
              </w:rPr>
              <w:tab/>
            </w:r>
            <w:r w:rsidR="00860B34" w:rsidRPr="00AE1D50">
              <w:rPr>
                <w:rFonts w:asciiTheme="minorHAnsi" w:hAnsiTheme="minorHAnsi" w:cstheme="minorHAnsi"/>
                <w:noProof/>
                <w:webHidden/>
                <w:sz w:val="22"/>
                <w:szCs w:val="22"/>
              </w:rPr>
              <w:fldChar w:fldCharType="begin"/>
            </w:r>
            <w:r w:rsidR="00860B34" w:rsidRPr="00AE1D50">
              <w:rPr>
                <w:rFonts w:asciiTheme="minorHAnsi" w:hAnsiTheme="minorHAnsi" w:cstheme="minorHAnsi"/>
                <w:noProof/>
                <w:webHidden/>
                <w:sz w:val="22"/>
                <w:szCs w:val="22"/>
              </w:rPr>
              <w:instrText xml:space="preserve"> PAGEREF _Toc502148146 \h </w:instrText>
            </w:r>
            <w:r w:rsidR="00860B34" w:rsidRPr="00AE1D50">
              <w:rPr>
                <w:rFonts w:asciiTheme="minorHAnsi" w:hAnsiTheme="minorHAnsi" w:cstheme="minorHAnsi"/>
                <w:noProof/>
                <w:webHidden/>
                <w:sz w:val="22"/>
                <w:szCs w:val="22"/>
              </w:rPr>
            </w:r>
            <w:r w:rsidR="00860B34" w:rsidRPr="00AE1D50">
              <w:rPr>
                <w:rFonts w:asciiTheme="minorHAnsi" w:hAnsiTheme="minorHAnsi" w:cstheme="minorHAnsi"/>
                <w:noProof/>
                <w:webHidden/>
                <w:sz w:val="22"/>
                <w:szCs w:val="22"/>
              </w:rPr>
              <w:fldChar w:fldCharType="separate"/>
            </w:r>
            <w:r w:rsidR="00860B34" w:rsidRPr="00AE1D50">
              <w:rPr>
                <w:rFonts w:asciiTheme="minorHAnsi" w:hAnsiTheme="minorHAnsi" w:cstheme="minorHAnsi"/>
                <w:noProof/>
                <w:webHidden/>
                <w:sz w:val="22"/>
                <w:szCs w:val="22"/>
              </w:rPr>
              <w:t>12</w:t>
            </w:r>
            <w:r w:rsidR="00860B34" w:rsidRPr="00AE1D50">
              <w:rPr>
                <w:rFonts w:asciiTheme="minorHAnsi" w:hAnsiTheme="minorHAnsi" w:cstheme="minorHAnsi"/>
                <w:noProof/>
                <w:webHidden/>
                <w:sz w:val="22"/>
                <w:szCs w:val="22"/>
              </w:rPr>
              <w:fldChar w:fldCharType="end"/>
            </w:r>
          </w:hyperlink>
        </w:p>
        <w:p w14:paraId="30382C08" w14:textId="6A7A1EA6" w:rsidR="00860B34" w:rsidRPr="00AE1D50" w:rsidRDefault="00B36F35">
          <w:pPr>
            <w:pStyle w:val="TOC1"/>
            <w:tabs>
              <w:tab w:val="right" w:leader="dot" w:pos="9350"/>
            </w:tabs>
            <w:rPr>
              <w:rFonts w:asciiTheme="minorHAnsi" w:eastAsiaTheme="minorEastAsia" w:hAnsiTheme="minorHAnsi" w:cstheme="minorHAnsi"/>
              <w:noProof/>
              <w:sz w:val="22"/>
              <w:szCs w:val="22"/>
            </w:rPr>
          </w:pPr>
          <w:hyperlink w:anchor="_Toc502148147" w:history="1">
            <w:r w:rsidR="00860B34" w:rsidRPr="00AE1D50">
              <w:rPr>
                <w:rStyle w:val="Hyperlink"/>
                <w:rFonts w:asciiTheme="minorHAnsi" w:hAnsiTheme="minorHAnsi" w:cstheme="minorHAnsi"/>
                <w:noProof/>
                <w:sz w:val="22"/>
                <w:szCs w:val="22"/>
              </w:rPr>
              <w:t>Section 2. Calculation Methodology</w:t>
            </w:r>
            <w:r w:rsidR="00860B34" w:rsidRPr="00AE1D50">
              <w:rPr>
                <w:rFonts w:asciiTheme="minorHAnsi" w:hAnsiTheme="minorHAnsi" w:cstheme="minorHAnsi"/>
                <w:noProof/>
                <w:webHidden/>
                <w:sz w:val="22"/>
                <w:szCs w:val="22"/>
              </w:rPr>
              <w:tab/>
            </w:r>
            <w:r w:rsidR="00860B34" w:rsidRPr="00AE1D50">
              <w:rPr>
                <w:rFonts w:asciiTheme="minorHAnsi" w:hAnsiTheme="minorHAnsi" w:cstheme="minorHAnsi"/>
                <w:noProof/>
                <w:webHidden/>
                <w:sz w:val="22"/>
                <w:szCs w:val="22"/>
              </w:rPr>
              <w:fldChar w:fldCharType="begin"/>
            </w:r>
            <w:r w:rsidR="00860B34" w:rsidRPr="00AE1D50">
              <w:rPr>
                <w:rFonts w:asciiTheme="minorHAnsi" w:hAnsiTheme="minorHAnsi" w:cstheme="minorHAnsi"/>
                <w:noProof/>
                <w:webHidden/>
                <w:sz w:val="22"/>
                <w:szCs w:val="22"/>
              </w:rPr>
              <w:instrText xml:space="preserve"> PAGEREF _Toc502148147 \h </w:instrText>
            </w:r>
            <w:r w:rsidR="00860B34" w:rsidRPr="00AE1D50">
              <w:rPr>
                <w:rFonts w:asciiTheme="minorHAnsi" w:hAnsiTheme="minorHAnsi" w:cstheme="minorHAnsi"/>
                <w:noProof/>
                <w:webHidden/>
                <w:sz w:val="22"/>
                <w:szCs w:val="22"/>
              </w:rPr>
            </w:r>
            <w:r w:rsidR="00860B34" w:rsidRPr="00AE1D50">
              <w:rPr>
                <w:rFonts w:asciiTheme="minorHAnsi" w:hAnsiTheme="minorHAnsi" w:cstheme="minorHAnsi"/>
                <w:noProof/>
                <w:webHidden/>
                <w:sz w:val="22"/>
                <w:szCs w:val="22"/>
              </w:rPr>
              <w:fldChar w:fldCharType="separate"/>
            </w:r>
            <w:r w:rsidR="00860B34" w:rsidRPr="00AE1D50">
              <w:rPr>
                <w:rFonts w:asciiTheme="minorHAnsi" w:hAnsiTheme="minorHAnsi" w:cstheme="minorHAnsi"/>
                <w:noProof/>
                <w:webHidden/>
                <w:sz w:val="22"/>
                <w:szCs w:val="22"/>
              </w:rPr>
              <w:t>13</w:t>
            </w:r>
            <w:r w:rsidR="00860B34" w:rsidRPr="00AE1D50">
              <w:rPr>
                <w:rFonts w:asciiTheme="minorHAnsi" w:hAnsiTheme="minorHAnsi" w:cstheme="minorHAnsi"/>
                <w:noProof/>
                <w:webHidden/>
                <w:sz w:val="22"/>
                <w:szCs w:val="22"/>
              </w:rPr>
              <w:fldChar w:fldCharType="end"/>
            </w:r>
          </w:hyperlink>
        </w:p>
        <w:p w14:paraId="75FE0C7D" w14:textId="33F4BA59" w:rsidR="00860B34" w:rsidRPr="00AE1D50" w:rsidRDefault="00B36F35">
          <w:pPr>
            <w:pStyle w:val="TOC2"/>
            <w:tabs>
              <w:tab w:val="right" w:leader="dot" w:pos="9350"/>
            </w:tabs>
            <w:rPr>
              <w:rFonts w:asciiTheme="minorHAnsi" w:eastAsiaTheme="minorEastAsia" w:hAnsiTheme="minorHAnsi" w:cstheme="minorHAnsi"/>
              <w:noProof/>
              <w:sz w:val="22"/>
              <w:szCs w:val="22"/>
            </w:rPr>
          </w:pPr>
          <w:hyperlink w:anchor="_Toc502148148" w:history="1">
            <w:r w:rsidR="00860B34" w:rsidRPr="00AE1D50">
              <w:rPr>
                <w:rStyle w:val="Hyperlink"/>
                <w:rFonts w:asciiTheme="minorHAnsi" w:hAnsiTheme="minorHAnsi" w:cstheme="minorHAnsi"/>
                <w:noProof/>
                <w:sz w:val="22"/>
                <w:szCs w:val="22"/>
              </w:rPr>
              <w:t>2.1</w:t>
            </w:r>
            <w:r w:rsidR="00041ED2">
              <w:rPr>
                <w:rStyle w:val="Hyperlink"/>
                <w:rFonts w:asciiTheme="minorHAnsi" w:hAnsiTheme="minorHAnsi" w:cstheme="minorHAnsi"/>
                <w:noProof/>
                <w:sz w:val="22"/>
                <w:szCs w:val="22"/>
              </w:rPr>
              <w:t xml:space="preserve">      </w:t>
            </w:r>
            <w:r w:rsidR="00860B34" w:rsidRPr="00AE1D50">
              <w:rPr>
                <w:rStyle w:val="Hyperlink"/>
                <w:rFonts w:asciiTheme="minorHAnsi" w:hAnsiTheme="minorHAnsi" w:cstheme="minorHAnsi"/>
                <w:noProof/>
                <w:sz w:val="22"/>
                <w:szCs w:val="22"/>
              </w:rPr>
              <w:t xml:space="preserve"> Data and Assumptions, Conversion factors</w:t>
            </w:r>
            <w:r w:rsidR="00860B34" w:rsidRPr="00AE1D50">
              <w:rPr>
                <w:rFonts w:asciiTheme="minorHAnsi" w:hAnsiTheme="minorHAnsi" w:cstheme="minorHAnsi"/>
                <w:noProof/>
                <w:webHidden/>
                <w:sz w:val="22"/>
                <w:szCs w:val="22"/>
              </w:rPr>
              <w:tab/>
            </w:r>
            <w:r w:rsidR="00860B34" w:rsidRPr="00AE1D50">
              <w:rPr>
                <w:rFonts w:asciiTheme="minorHAnsi" w:hAnsiTheme="minorHAnsi" w:cstheme="minorHAnsi"/>
                <w:noProof/>
                <w:webHidden/>
                <w:sz w:val="22"/>
                <w:szCs w:val="22"/>
              </w:rPr>
              <w:fldChar w:fldCharType="begin"/>
            </w:r>
            <w:r w:rsidR="00860B34" w:rsidRPr="00AE1D50">
              <w:rPr>
                <w:rFonts w:asciiTheme="minorHAnsi" w:hAnsiTheme="minorHAnsi" w:cstheme="minorHAnsi"/>
                <w:noProof/>
                <w:webHidden/>
                <w:sz w:val="22"/>
                <w:szCs w:val="22"/>
              </w:rPr>
              <w:instrText xml:space="preserve"> PAGEREF _Toc502148148 \h </w:instrText>
            </w:r>
            <w:r w:rsidR="00860B34" w:rsidRPr="00AE1D50">
              <w:rPr>
                <w:rFonts w:asciiTheme="minorHAnsi" w:hAnsiTheme="minorHAnsi" w:cstheme="minorHAnsi"/>
                <w:noProof/>
                <w:webHidden/>
                <w:sz w:val="22"/>
                <w:szCs w:val="22"/>
              </w:rPr>
            </w:r>
            <w:r w:rsidR="00860B34" w:rsidRPr="00AE1D50">
              <w:rPr>
                <w:rFonts w:asciiTheme="minorHAnsi" w:hAnsiTheme="minorHAnsi" w:cstheme="minorHAnsi"/>
                <w:noProof/>
                <w:webHidden/>
                <w:sz w:val="22"/>
                <w:szCs w:val="22"/>
              </w:rPr>
              <w:fldChar w:fldCharType="separate"/>
            </w:r>
            <w:r w:rsidR="00860B34" w:rsidRPr="00AE1D50">
              <w:rPr>
                <w:rFonts w:asciiTheme="minorHAnsi" w:hAnsiTheme="minorHAnsi" w:cstheme="minorHAnsi"/>
                <w:noProof/>
                <w:webHidden/>
                <w:sz w:val="22"/>
                <w:szCs w:val="22"/>
              </w:rPr>
              <w:t>13</w:t>
            </w:r>
            <w:r w:rsidR="00860B34" w:rsidRPr="00AE1D50">
              <w:rPr>
                <w:rFonts w:asciiTheme="minorHAnsi" w:hAnsiTheme="minorHAnsi" w:cstheme="minorHAnsi"/>
                <w:noProof/>
                <w:webHidden/>
                <w:sz w:val="22"/>
                <w:szCs w:val="22"/>
              </w:rPr>
              <w:fldChar w:fldCharType="end"/>
            </w:r>
          </w:hyperlink>
        </w:p>
        <w:p w14:paraId="2E321298" w14:textId="0C83B312" w:rsidR="00860B34" w:rsidRPr="00AE1D50" w:rsidRDefault="00B36F35">
          <w:pPr>
            <w:pStyle w:val="TOC2"/>
            <w:tabs>
              <w:tab w:val="left" w:pos="880"/>
              <w:tab w:val="right" w:leader="dot" w:pos="9350"/>
            </w:tabs>
            <w:rPr>
              <w:rFonts w:asciiTheme="minorHAnsi" w:eastAsiaTheme="minorEastAsia" w:hAnsiTheme="minorHAnsi" w:cstheme="minorHAnsi"/>
              <w:noProof/>
              <w:sz w:val="22"/>
              <w:szCs w:val="22"/>
            </w:rPr>
          </w:pPr>
          <w:hyperlink w:anchor="_Toc502148149" w:history="1">
            <w:r w:rsidR="00860B34" w:rsidRPr="00AE1D50">
              <w:rPr>
                <w:rStyle w:val="Hyperlink"/>
                <w:rFonts w:asciiTheme="minorHAnsi" w:hAnsiTheme="minorHAnsi" w:cstheme="minorHAnsi"/>
                <w:noProof/>
                <w:sz w:val="22"/>
                <w:szCs w:val="22"/>
              </w:rPr>
              <w:t>2.2</w:t>
            </w:r>
            <w:r w:rsidR="00860B34" w:rsidRPr="00AE1D50">
              <w:rPr>
                <w:rFonts w:asciiTheme="minorHAnsi" w:eastAsiaTheme="minorEastAsia" w:hAnsiTheme="minorHAnsi" w:cstheme="minorHAnsi"/>
                <w:noProof/>
                <w:sz w:val="22"/>
                <w:szCs w:val="22"/>
              </w:rPr>
              <w:tab/>
            </w:r>
            <w:r w:rsidR="00860B34" w:rsidRPr="00AE1D50">
              <w:rPr>
                <w:rStyle w:val="Hyperlink"/>
                <w:rFonts w:asciiTheme="minorHAnsi" w:hAnsiTheme="minorHAnsi" w:cstheme="minorHAnsi"/>
                <w:noProof/>
                <w:sz w:val="22"/>
                <w:szCs w:val="22"/>
              </w:rPr>
              <w:t>Water Consumption Calculations:</w:t>
            </w:r>
            <w:r w:rsidR="00860B34" w:rsidRPr="00AE1D50">
              <w:rPr>
                <w:rFonts w:asciiTheme="minorHAnsi" w:hAnsiTheme="minorHAnsi" w:cstheme="minorHAnsi"/>
                <w:noProof/>
                <w:webHidden/>
                <w:sz w:val="22"/>
                <w:szCs w:val="22"/>
              </w:rPr>
              <w:tab/>
            </w:r>
            <w:r w:rsidR="00860B34" w:rsidRPr="00AE1D50">
              <w:rPr>
                <w:rFonts w:asciiTheme="minorHAnsi" w:hAnsiTheme="minorHAnsi" w:cstheme="minorHAnsi"/>
                <w:noProof/>
                <w:webHidden/>
                <w:sz w:val="22"/>
                <w:szCs w:val="22"/>
              </w:rPr>
              <w:fldChar w:fldCharType="begin"/>
            </w:r>
            <w:r w:rsidR="00860B34" w:rsidRPr="00AE1D50">
              <w:rPr>
                <w:rFonts w:asciiTheme="minorHAnsi" w:hAnsiTheme="minorHAnsi" w:cstheme="minorHAnsi"/>
                <w:noProof/>
                <w:webHidden/>
                <w:sz w:val="22"/>
                <w:szCs w:val="22"/>
              </w:rPr>
              <w:instrText xml:space="preserve"> PAGEREF _Toc502148149 \h </w:instrText>
            </w:r>
            <w:r w:rsidR="00860B34" w:rsidRPr="00AE1D50">
              <w:rPr>
                <w:rFonts w:asciiTheme="minorHAnsi" w:hAnsiTheme="minorHAnsi" w:cstheme="minorHAnsi"/>
                <w:noProof/>
                <w:webHidden/>
                <w:sz w:val="22"/>
                <w:szCs w:val="22"/>
              </w:rPr>
            </w:r>
            <w:r w:rsidR="00860B34" w:rsidRPr="00AE1D50">
              <w:rPr>
                <w:rFonts w:asciiTheme="minorHAnsi" w:hAnsiTheme="minorHAnsi" w:cstheme="minorHAnsi"/>
                <w:noProof/>
                <w:webHidden/>
                <w:sz w:val="22"/>
                <w:szCs w:val="22"/>
              </w:rPr>
              <w:fldChar w:fldCharType="separate"/>
            </w:r>
            <w:r w:rsidR="00860B34" w:rsidRPr="00AE1D50">
              <w:rPr>
                <w:rFonts w:asciiTheme="minorHAnsi" w:hAnsiTheme="minorHAnsi" w:cstheme="minorHAnsi"/>
                <w:noProof/>
                <w:webHidden/>
                <w:sz w:val="22"/>
                <w:szCs w:val="22"/>
              </w:rPr>
              <w:t>15</w:t>
            </w:r>
            <w:r w:rsidR="00860B34" w:rsidRPr="00AE1D50">
              <w:rPr>
                <w:rFonts w:asciiTheme="minorHAnsi" w:hAnsiTheme="minorHAnsi" w:cstheme="minorHAnsi"/>
                <w:noProof/>
                <w:webHidden/>
                <w:sz w:val="22"/>
                <w:szCs w:val="22"/>
              </w:rPr>
              <w:fldChar w:fldCharType="end"/>
            </w:r>
          </w:hyperlink>
        </w:p>
        <w:p w14:paraId="52001C5F" w14:textId="09216022" w:rsidR="00860B34" w:rsidRPr="00AE1D50" w:rsidRDefault="00B36F35">
          <w:pPr>
            <w:pStyle w:val="TOC2"/>
            <w:tabs>
              <w:tab w:val="left" w:pos="880"/>
              <w:tab w:val="right" w:leader="dot" w:pos="9350"/>
            </w:tabs>
            <w:rPr>
              <w:rFonts w:asciiTheme="minorHAnsi" w:eastAsiaTheme="minorEastAsia" w:hAnsiTheme="minorHAnsi" w:cstheme="minorHAnsi"/>
              <w:noProof/>
              <w:sz w:val="22"/>
              <w:szCs w:val="22"/>
            </w:rPr>
          </w:pPr>
          <w:hyperlink w:anchor="_Toc502148150" w:history="1">
            <w:r w:rsidR="00860B34" w:rsidRPr="00AE1D50">
              <w:rPr>
                <w:rStyle w:val="Hyperlink"/>
                <w:rFonts w:asciiTheme="minorHAnsi" w:hAnsiTheme="minorHAnsi" w:cstheme="minorHAnsi"/>
                <w:noProof/>
                <w:sz w:val="22"/>
                <w:szCs w:val="22"/>
              </w:rPr>
              <w:t>2.3</w:t>
            </w:r>
            <w:r w:rsidR="00860B34" w:rsidRPr="00AE1D50">
              <w:rPr>
                <w:rFonts w:asciiTheme="minorHAnsi" w:eastAsiaTheme="minorEastAsia" w:hAnsiTheme="minorHAnsi" w:cstheme="minorHAnsi"/>
                <w:noProof/>
                <w:sz w:val="22"/>
                <w:szCs w:val="22"/>
              </w:rPr>
              <w:tab/>
            </w:r>
            <w:r w:rsidR="00860B34" w:rsidRPr="00AE1D50">
              <w:rPr>
                <w:rStyle w:val="Hyperlink"/>
                <w:rFonts w:asciiTheme="minorHAnsi" w:hAnsiTheme="minorHAnsi" w:cstheme="minorHAnsi"/>
                <w:noProof/>
                <w:sz w:val="22"/>
                <w:szCs w:val="22"/>
              </w:rPr>
              <w:t>Energy Savings calculations:</w:t>
            </w:r>
            <w:r w:rsidR="00860B34" w:rsidRPr="00AE1D50">
              <w:rPr>
                <w:rFonts w:asciiTheme="minorHAnsi" w:hAnsiTheme="minorHAnsi" w:cstheme="minorHAnsi"/>
                <w:noProof/>
                <w:webHidden/>
                <w:sz w:val="22"/>
                <w:szCs w:val="22"/>
              </w:rPr>
              <w:tab/>
            </w:r>
            <w:r w:rsidR="00860B34" w:rsidRPr="00AE1D50">
              <w:rPr>
                <w:rFonts w:asciiTheme="minorHAnsi" w:hAnsiTheme="minorHAnsi" w:cstheme="minorHAnsi"/>
                <w:noProof/>
                <w:webHidden/>
                <w:sz w:val="22"/>
                <w:szCs w:val="22"/>
              </w:rPr>
              <w:fldChar w:fldCharType="begin"/>
            </w:r>
            <w:r w:rsidR="00860B34" w:rsidRPr="00AE1D50">
              <w:rPr>
                <w:rFonts w:asciiTheme="minorHAnsi" w:hAnsiTheme="minorHAnsi" w:cstheme="minorHAnsi"/>
                <w:noProof/>
                <w:webHidden/>
                <w:sz w:val="22"/>
                <w:szCs w:val="22"/>
              </w:rPr>
              <w:instrText xml:space="preserve"> PAGEREF _Toc502148150 \h </w:instrText>
            </w:r>
            <w:r w:rsidR="00860B34" w:rsidRPr="00AE1D50">
              <w:rPr>
                <w:rFonts w:asciiTheme="minorHAnsi" w:hAnsiTheme="minorHAnsi" w:cstheme="minorHAnsi"/>
                <w:noProof/>
                <w:webHidden/>
                <w:sz w:val="22"/>
                <w:szCs w:val="22"/>
              </w:rPr>
            </w:r>
            <w:r w:rsidR="00860B34" w:rsidRPr="00AE1D50">
              <w:rPr>
                <w:rFonts w:asciiTheme="minorHAnsi" w:hAnsiTheme="minorHAnsi" w:cstheme="minorHAnsi"/>
                <w:noProof/>
                <w:webHidden/>
                <w:sz w:val="22"/>
                <w:szCs w:val="22"/>
              </w:rPr>
              <w:fldChar w:fldCharType="separate"/>
            </w:r>
            <w:r w:rsidR="00860B34" w:rsidRPr="00AE1D50">
              <w:rPr>
                <w:rFonts w:asciiTheme="minorHAnsi" w:hAnsiTheme="minorHAnsi" w:cstheme="minorHAnsi"/>
                <w:noProof/>
                <w:webHidden/>
                <w:sz w:val="22"/>
                <w:szCs w:val="22"/>
              </w:rPr>
              <w:t>18</w:t>
            </w:r>
            <w:r w:rsidR="00860B34" w:rsidRPr="00AE1D50">
              <w:rPr>
                <w:rFonts w:asciiTheme="minorHAnsi" w:hAnsiTheme="minorHAnsi" w:cstheme="minorHAnsi"/>
                <w:noProof/>
                <w:webHidden/>
                <w:sz w:val="22"/>
                <w:szCs w:val="22"/>
              </w:rPr>
              <w:fldChar w:fldCharType="end"/>
            </w:r>
          </w:hyperlink>
        </w:p>
        <w:p w14:paraId="694D4977" w14:textId="03C5CCED" w:rsidR="00860B34" w:rsidRPr="00AE1D50" w:rsidRDefault="00B36F35">
          <w:pPr>
            <w:pStyle w:val="TOC2"/>
            <w:tabs>
              <w:tab w:val="left" w:pos="880"/>
              <w:tab w:val="right" w:leader="dot" w:pos="9350"/>
            </w:tabs>
            <w:rPr>
              <w:rFonts w:asciiTheme="minorHAnsi" w:eastAsiaTheme="minorEastAsia" w:hAnsiTheme="minorHAnsi" w:cstheme="minorHAnsi"/>
              <w:noProof/>
              <w:sz w:val="22"/>
              <w:szCs w:val="22"/>
            </w:rPr>
          </w:pPr>
          <w:hyperlink w:anchor="_Toc502148151" w:history="1">
            <w:r w:rsidR="00860B34" w:rsidRPr="00AE1D50">
              <w:rPr>
                <w:rStyle w:val="Hyperlink"/>
                <w:rFonts w:asciiTheme="minorHAnsi" w:hAnsiTheme="minorHAnsi" w:cstheme="minorHAnsi"/>
                <w:noProof/>
                <w:sz w:val="22"/>
                <w:szCs w:val="22"/>
              </w:rPr>
              <w:t>2.4</w:t>
            </w:r>
            <w:r w:rsidR="00860B34" w:rsidRPr="00AE1D50">
              <w:rPr>
                <w:rFonts w:asciiTheme="minorHAnsi" w:eastAsiaTheme="minorEastAsia" w:hAnsiTheme="minorHAnsi" w:cstheme="minorHAnsi"/>
                <w:noProof/>
                <w:sz w:val="22"/>
                <w:szCs w:val="22"/>
              </w:rPr>
              <w:tab/>
            </w:r>
            <w:r w:rsidR="00860B34" w:rsidRPr="00AE1D50">
              <w:rPr>
                <w:rStyle w:val="Hyperlink"/>
                <w:rFonts w:asciiTheme="minorHAnsi" w:hAnsiTheme="minorHAnsi" w:cstheme="minorHAnsi"/>
                <w:noProof/>
                <w:sz w:val="22"/>
                <w:szCs w:val="22"/>
              </w:rPr>
              <w:t>Commercial Building occupancy classifications</w:t>
            </w:r>
            <w:r w:rsidR="00860B34" w:rsidRPr="00AE1D50">
              <w:rPr>
                <w:rFonts w:asciiTheme="minorHAnsi" w:hAnsiTheme="minorHAnsi" w:cstheme="minorHAnsi"/>
                <w:noProof/>
                <w:webHidden/>
                <w:sz w:val="22"/>
                <w:szCs w:val="22"/>
              </w:rPr>
              <w:tab/>
            </w:r>
            <w:r w:rsidR="00860B34" w:rsidRPr="00AE1D50">
              <w:rPr>
                <w:rFonts w:asciiTheme="minorHAnsi" w:hAnsiTheme="minorHAnsi" w:cstheme="minorHAnsi"/>
                <w:noProof/>
                <w:webHidden/>
                <w:sz w:val="22"/>
                <w:szCs w:val="22"/>
              </w:rPr>
              <w:fldChar w:fldCharType="begin"/>
            </w:r>
            <w:r w:rsidR="00860B34" w:rsidRPr="00AE1D50">
              <w:rPr>
                <w:rFonts w:asciiTheme="minorHAnsi" w:hAnsiTheme="minorHAnsi" w:cstheme="minorHAnsi"/>
                <w:noProof/>
                <w:webHidden/>
                <w:sz w:val="22"/>
                <w:szCs w:val="22"/>
              </w:rPr>
              <w:instrText xml:space="preserve"> PAGEREF _Toc502148151 \h </w:instrText>
            </w:r>
            <w:r w:rsidR="00860B34" w:rsidRPr="00AE1D50">
              <w:rPr>
                <w:rFonts w:asciiTheme="minorHAnsi" w:hAnsiTheme="minorHAnsi" w:cstheme="minorHAnsi"/>
                <w:noProof/>
                <w:webHidden/>
                <w:sz w:val="22"/>
                <w:szCs w:val="22"/>
              </w:rPr>
            </w:r>
            <w:r w:rsidR="00860B34" w:rsidRPr="00AE1D50">
              <w:rPr>
                <w:rFonts w:asciiTheme="minorHAnsi" w:hAnsiTheme="minorHAnsi" w:cstheme="minorHAnsi"/>
                <w:noProof/>
                <w:webHidden/>
                <w:sz w:val="22"/>
                <w:szCs w:val="22"/>
              </w:rPr>
              <w:fldChar w:fldCharType="separate"/>
            </w:r>
            <w:r w:rsidR="00860B34" w:rsidRPr="00AE1D50">
              <w:rPr>
                <w:rFonts w:asciiTheme="minorHAnsi" w:hAnsiTheme="minorHAnsi" w:cstheme="minorHAnsi"/>
                <w:noProof/>
                <w:webHidden/>
                <w:sz w:val="22"/>
                <w:szCs w:val="22"/>
              </w:rPr>
              <w:t>19</w:t>
            </w:r>
            <w:r w:rsidR="00860B34" w:rsidRPr="00AE1D50">
              <w:rPr>
                <w:rFonts w:asciiTheme="minorHAnsi" w:hAnsiTheme="minorHAnsi" w:cstheme="minorHAnsi"/>
                <w:noProof/>
                <w:webHidden/>
                <w:sz w:val="22"/>
                <w:szCs w:val="22"/>
              </w:rPr>
              <w:fldChar w:fldCharType="end"/>
            </w:r>
          </w:hyperlink>
        </w:p>
        <w:p w14:paraId="55085C15" w14:textId="1E3AD76B" w:rsidR="00860B34" w:rsidRPr="00AE1D50" w:rsidRDefault="00B36F35">
          <w:pPr>
            <w:pStyle w:val="TOC1"/>
            <w:tabs>
              <w:tab w:val="right" w:leader="dot" w:pos="9350"/>
            </w:tabs>
            <w:rPr>
              <w:rFonts w:asciiTheme="minorHAnsi" w:eastAsiaTheme="minorEastAsia" w:hAnsiTheme="minorHAnsi" w:cstheme="minorHAnsi"/>
              <w:noProof/>
              <w:sz w:val="22"/>
              <w:szCs w:val="22"/>
            </w:rPr>
          </w:pPr>
          <w:hyperlink w:anchor="_Toc502148152" w:history="1">
            <w:r w:rsidR="00860B34" w:rsidRPr="00AE1D50">
              <w:rPr>
                <w:rStyle w:val="Hyperlink"/>
                <w:rFonts w:asciiTheme="minorHAnsi" w:hAnsiTheme="minorHAnsi" w:cstheme="minorHAnsi"/>
                <w:noProof/>
                <w:sz w:val="22"/>
                <w:szCs w:val="22"/>
              </w:rPr>
              <w:t>Section 3. Load Shapes</w:t>
            </w:r>
            <w:r w:rsidR="00860B34" w:rsidRPr="00AE1D50">
              <w:rPr>
                <w:rFonts w:asciiTheme="minorHAnsi" w:hAnsiTheme="minorHAnsi" w:cstheme="minorHAnsi"/>
                <w:noProof/>
                <w:webHidden/>
                <w:sz w:val="22"/>
                <w:szCs w:val="22"/>
              </w:rPr>
              <w:tab/>
            </w:r>
            <w:r w:rsidR="00860B34" w:rsidRPr="00AE1D50">
              <w:rPr>
                <w:rFonts w:asciiTheme="minorHAnsi" w:hAnsiTheme="minorHAnsi" w:cstheme="minorHAnsi"/>
                <w:noProof/>
                <w:webHidden/>
                <w:sz w:val="22"/>
                <w:szCs w:val="22"/>
              </w:rPr>
              <w:fldChar w:fldCharType="begin"/>
            </w:r>
            <w:r w:rsidR="00860B34" w:rsidRPr="00AE1D50">
              <w:rPr>
                <w:rFonts w:asciiTheme="minorHAnsi" w:hAnsiTheme="minorHAnsi" w:cstheme="minorHAnsi"/>
                <w:noProof/>
                <w:webHidden/>
                <w:sz w:val="22"/>
                <w:szCs w:val="22"/>
              </w:rPr>
              <w:instrText xml:space="preserve"> PAGEREF _Toc502148152 \h </w:instrText>
            </w:r>
            <w:r w:rsidR="00860B34" w:rsidRPr="00AE1D50">
              <w:rPr>
                <w:rFonts w:asciiTheme="minorHAnsi" w:hAnsiTheme="minorHAnsi" w:cstheme="minorHAnsi"/>
                <w:noProof/>
                <w:webHidden/>
                <w:sz w:val="22"/>
                <w:szCs w:val="22"/>
              </w:rPr>
            </w:r>
            <w:r w:rsidR="00860B34" w:rsidRPr="00AE1D50">
              <w:rPr>
                <w:rFonts w:asciiTheme="minorHAnsi" w:hAnsiTheme="minorHAnsi" w:cstheme="minorHAnsi"/>
                <w:noProof/>
                <w:webHidden/>
                <w:sz w:val="22"/>
                <w:szCs w:val="22"/>
              </w:rPr>
              <w:fldChar w:fldCharType="separate"/>
            </w:r>
            <w:r w:rsidR="00860B34" w:rsidRPr="00AE1D50">
              <w:rPr>
                <w:rFonts w:asciiTheme="minorHAnsi" w:hAnsiTheme="minorHAnsi" w:cstheme="minorHAnsi"/>
                <w:noProof/>
                <w:webHidden/>
                <w:sz w:val="22"/>
                <w:szCs w:val="22"/>
              </w:rPr>
              <w:t>19</w:t>
            </w:r>
            <w:r w:rsidR="00860B34" w:rsidRPr="00AE1D50">
              <w:rPr>
                <w:rFonts w:asciiTheme="minorHAnsi" w:hAnsiTheme="minorHAnsi" w:cstheme="minorHAnsi"/>
                <w:noProof/>
                <w:webHidden/>
                <w:sz w:val="22"/>
                <w:szCs w:val="22"/>
              </w:rPr>
              <w:fldChar w:fldCharType="end"/>
            </w:r>
          </w:hyperlink>
        </w:p>
        <w:p w14:paraId="3CC16327" w14:textId="7388E1E2" w:rsidR="00860B34" w:rsidRPr="00AE1D50" w:rsidRDefault="00B36F35">
          <w:pPr>
            <w:pStyle w:val="TOC1"/>
            <w:tabs>
              <w:tab w:val="right" w:leader="dot" w:pos="9350"/>
            </w:tabs>
            <w:rPr>
              <w:rFonts w:asciiTheme="minorHAnsi" w:eastAsiaTheme="minorEastAsia" w:hAnsiTheme="minorHAnsi" w:cstheme="minorHAnsi"/>
              <w:noProof/>
              <w:sz w:val="22"/>
              <w:szCs w:val="22"/>
            </w:rPr>
          </w:pPr>
          <w:hyperlink w:anchor="_Toc502148153" w:history="1">
            <w:r w:rsidR="00860B34" w:rsidRPr="00AE1D50">
              <w:rPr>
                <w:rStyle w:val="Hyperlink"/>
                <w:rFonts w:asciiTheme="minorHAnsi" w:hAnsiTheme="minorHAnsi" w:cstheme="minorHAnsi"/>
                <w:noProof/>
                <w:sz w:val="22"/>
                <w:szCs w:val="22"/>
              </w:rPr>
              <w:t>Section 4. Costs</w:t>
            </w:r>
            <w:r w:rsidR="00860B34" w:rsidRPr="00AE1D50">
              <w:rPr>
                <w:rFonts w:asciiTheme="minorHAnsi" w:hAnsiTheme="minorHAnsi" w:cstheme="minorHAnsi"/>
                <w:noProof/>
                <w:webHidden/>
                <w:sz w:val="22"/>
                <w:szCs w:val="22"/>
              </w:rPr>
              <w:tab/>
            </w:r>
            <w:r w:rsidR="00860B34" w:rsidRPr="00AE1D50">
              <w:rPr>
                <w:rFonts w:asciiTheme="minorHAnsi" w:hAnsiTheme="minorHAnsi" w:cstheme="minorHAnsi"/>
                <w:noProof/>
                <w:webHidden/>
                <w:sz w:val="22"/>
                <w:szCs w:val="22"/>
              </w:rPr>
              <w:fldChar w:fldCharType="begin"/>
            </w:r>
            <w:r w:rsidR="00860B34" w:rsidRPr="00AE1D50">
              <w:rPr>
                <w:rFonts w:asciiTheme="minorHAnsi" w:hAnsiTheme="minorHAnsi" w:cstheme="minorHAnsi"/>
                <w:noProof/>
                <w:webHidden/>
                <w:sz w:val="22"/>
                <w:szCs w:val="22"/>
              </w:rPr>
              <w:instrText xml:space="preserve"> PAGEREF _Toc502148153 \h </w:instrText>
            </w:r>
            <w:r w:rsidR="00860B34" w:rsidRPr="00AE1D50">
              <w:rPr>
                <w:rFonts w:asciiTheme="minorHAnsi" w:hAnsiTheme="minorHAnsi" w:cstheme="minorHAnsi"/>
                <w:noProof/>
                <w:webHidden/>
                <w:sz w:val="22"/>
                <w:szCs w:val="22"/>
              </w:rPr>
            </w:r>
            <w:r w:rsidR="00860B34" w:rsidRPr="00AE1D50">
              <w:rPr>
                <w:rFonts w:asciiTheme="minorHAnsi" w:hAnsiTheme="minorHAnsi" w:cstheme="minorHAnsi"/>
                <w:noProof/>
                <w:webHidden/>
                <w:sz w:val="22"/>
                <w:szCs w:val="22"/>
              </w:rPr>
              <w:fldChar w:fldCharType="separate"/>
            </w:r>
            <w:r w:rsidR="00860B34" w:rsidRPr="00AE1D50">
              <w:rPr>
                <w:rFonts w:asciiTheme="minorHAnsi" w:hAnsiTheme="minorHAnsi" w:cstheme="minorHAnsi"/>
                <w:noProof/>
                <w:webHidden/>
                <w:sz w:val="22"/>
                <w:szCs w:val="22"/>
              </w:rPr>
              <w:t>20</w:t>
            </w:r>
            <w:r w:rsidR="00860B34" w:rsidRPr="00AE1D50">
              <w:rPr>
                <w:rFonts w:asciiTheme="minorHAnsi" w:hAnsiTheme="minorHAnsi" w:cstheme="minorHAnsi"/>
                <w:noProof/>
                <w:webHidden/>
                <w:sz w:val="22"/>
                <w:szCs w:val="22"/>
              </w:rPr>
              <w:fldChar w:fldCharType="end"/>
            </w:r>
          </w:hyperlink>
        </w:p>
        <w:p w14:paraId="62059A9E" w14:textId="3430CE69" w:rsidR="00860B34" w:rsidRPr="00AE1D50" w:rsidRDefault="00B36F35">
          <w:pPr>
            <w:pStyle w:val="TOC2"/>
            <w:tabs>
              <w:tab w:val="left" w:pos="880"/>
              <w:tab w:val="right" w:leader="dot" w:pos="9350"/>
            </w:tabs>
            <w:rPr>
              <w:rFonts w:asciiTheme="minorHAnsi" w:eastAsiaTheme="minorEastAsia" w:hAnsiTheme="minorHAnsi" w:cstheme="minorHAnsi"/>
              <w:noProof/>
              <w:sz w:val="22"/>
              <w:szCs w:val="22"/>
            </w:rPr>
          </w:pPr>
          <w:hyperlink w:anchor="_Toc502148154" w:history="1">
            <w:r w:rsidR="00860B34" w:rsidRPr="00AE1D50">
              <w:rPr>
                <w:rStyle w:val="Hyperlink"/>
                <w:rFonts w:asciiTheme="minorHAnsi" w:hAnsiTheme="minorHAnsi" w:cstheme="minorHAnsi"/>
                <w:noProof/>
                <w:sz w:val="22"/>
                <w:szCs w:val="22"/>
              </w:rPr>
              <w:t>4.1</w:t>
            </w:r>
            <w:r w:rsidR="00860B34" w:rsidRPr="00AE1D50">
              <w:rPr>
                <w:rFonts w:asciiTheme="minorHAnsi" w:eastAsiaTheme="minorEastAsia" w:hAnsiTheme="minorHAnsi" w:cstheme="minorHAnsi"/>
                <w:noProof/>
                <w:sz w:val="22"/>
                <w:szCs w:val="22"/>
              </w:rPr>
              <w:tab/>
            </w:r>
            <w:r w:rsidR="00860B34" w:rsidRPr="00AE1D50">
              <w:rPr>
                <w:rStyle w:val="Hyperlink"/>
                <w:rFonts w:asciiTheme="minorHAnsi" w:hAnsiTheme="minorHAnsi" w:cstheme="minorHAnsi"/>
                <w:noProof/>
                <w:sz w:val="22"/>
                <w:szCs w:val="22"/>
              </w:rPr>
              <w:t>Base Case Cost</w:t>
            </w:r>
            <w:r w:rsidR="00860B34" w:rsidRPr="00AE1D50">
              <w:rPr>
                <w:rFonts w:asciiTheme="minorHAnsi" w:hAnsiTheme="minorHAnsi" w:cstheme="minorHAnsi"/>
                <w:noProof/>
                <w:webHidden/>
                <w:sz w:val="22"/>
                <w:szCs w:val="22"/>
              </w:rPr>
              <w:tab/>
            </w:r>
            <w:r w:rsidR="00860B34" w:rsidRPr="00AE1D50">
              <w:rPr>
                <w:rFonts w:asciiTheme="minorHAnsi" w:hAnsiTheme="minorHAnsi" w:cstheme="minorHAnsi"/>
                <w:noProof/>
                <w:webHidden/>
                <w:sz w:val="22"/>
                <w:szCs w:val="22"/>
              </w:rPr>
              <w:fldChar w:fldCharType="begin"/>
            </w:r>
            <w:r w:rsidR="00860B34" w:rsidRPr="00AE1D50">
              <w:rPr>
                <w:rFonts w:asciiTheme="minorHAnsi" w:hAnsiTheme="minorHAnsi" w:cstheme="minorHAnsi"/>
                <w:noProof/>
                <w:webHidden/>
                <w:sz w:val="22"/>
                <w:szCs w:val="22"/>
              </w:rPr>
              <w:instrText xml:space="preserve"> PAGEREF _Toc502148154 \h </w:instrText>
            </w:r>
            <w:r w:rsidR="00860B34" w:rsidRPr="00AE1D50">
              <w:rPr>
                <w:rFonts w:asciiTheme="minorHAnsi" w:hAnsiTheme="minorHAnsi" w:cstheme="minorHAnsi"/>
                <w:noProof/>
                <w:webHidden/>
                <w:sz w:val="22"/>
                <w:szCs w:val="22"/>
              </w:rPr>
            </w:r>
            <w:r w:rsidR="00860B34" w:rsidRPr="00AE1D50">
              <w:rPr>
                <w:rFonts w:asciiTheme="minorHAnsi" w:hAnsiTheme="minorHAnsi" w:cstheme="minorHAnsi"/>
                <w:noProof/>
                <w:webHidden/>
                <w:sz w:val="22"/>
                <w:szCs w:val="22"/>
              </w:rPr>
              <w:fldChar w:fldCharType="separate"/>
            </w:r>
            <w:r w:rsidR="00860B34" w:rsidRPr="00AE1D50">
              <w:rPr>
                <w:rFonts w:asciiTheme="minorHAnsi" w:hAnsiTheme="minorHAnsi" w:cstheme="minorHAnsi"/>
                <w:noProof/>
                <w:webHidden/>
                <w:sz w:val="22"/>
                <w:szCs w:val="22"/>
              </w:rPr>
              <w:t>20</w:t>
            </w:r>
            <w:r w:rsidR="00860B34" w:rsidRPr="00AE1D50">
              <w:rPr>
                <w:rFonts w:asciiTheme="minorHAnsi" w:hAnsiTheme="minorHAnsi" w:cstheme="minorHAnsi"/>
                <w:noProof/>
                <w:webHidden/>
                <w:sz w:val="22"/>
                <w:szCs w:val="22"/>
              </w:rPr>
              <w:fldChar w:fldCharType="end"/>
            </w:r>
          </w:hyperlink>
        </w:p>
        <w:p w14:paraId="0C099C3C" w14:textId="6E8EDBAD" w:rsidR="00860B34" w:rsidRPr="00AE1D50" w:rsidRDefault="00B36F35">
          <w:pPr>
            <w:pStyle w:val="TOC2"/>
            <w:tabs>
              <w:tab w:val="left" w:pos="880"/>
              <w:tab w:val="right" w:leader="dot" w:pos="9350"/>
            </w:tabs>
            <w:rPr>
              <w:rFonts w:asciiTheme="minorHAnsi" w:eastAsiaTheme="minorEastAsia" w:hAnsiTheme="minorHAnsi" w:cstheme="minorHAnsi"/>
              <w:noProof/>
              <w:sz w:val="22"/>
              <w:szCs w:val="22"/>
            </w:rPr>
          </w:pPr>
          <w:hyperlink w:anchor="_Toc502148155" w:history="1">
            <w:r w:rsidR="00860B34" w:rsidRPr="00AE1D50">
              <w:rPr>
                <w:rStyle w:val="Hyperlink"/>
                <w:rFonts w:asciiTheme="minorHAnsi" w:hAnsiTheme="minorHAnsi" w:cstheme="minorHAnsi"/>
                <w:noProof/>
                <w:sz w:val="22"/>
                <w:szCs w:val="22"/>
              </w:rPr>
              <w:t>4.2</w:t>
            </w:r>
            <w:r w:rsidR="00860B34" w:rsidRPr="00AE1D50">
              <w:rPr>
                <w:rFonts w:asciiTheme="minorHAnsi" w:eastAsiaTheme="minorEastAsia" w:hAnsiTheme="minorHAnsi" w:cstheme="minorHAnsi"/>
                <w:noProof/>
                <w:sz w:val="22"/>
                <w:szCs w:val="22"/>
              </w:rPr>
              <w:tab/>
            </w:r>
            <w:r w:rsidR="00860B34" w:rsidRPr="00AE1D50">
              <w:rPr>
                <w:rStyle w:val="Hyperlink"/>
                <w:rFonts w:asciiTheme="minorHAnsi" w:hAnsiTheme="minorHAnsi" w:cstheme="minorHAnsi"/>
                <w:noProof/>
                <w:sz w:val="22"/>
                <w:szCs w:val="22"/>
              </w:rPr>
              <w:t>Gross Measure Cost</w:t>
            </w:r>
            <w:r w:rsidR="00860B34" w:rsidRPr="00AE1D50">
              <w:rPr>
                <w:rFonts w:asciiTheme="minorHAnsi" w:hAnsiTheme="minorHAnsi" w:cstheme="minorHAnsi"/>
                <w:noProof/>
                <w:webHidden/>
                <w:sz w:val="22"/>
                <w:szCs w:val="22"/>
              </w:rPr>
              <w:tab/>
            </w:r>
            <w:r w:rsidR="00860B34" w:rsidRPr="00AE1D50">
              <w:rPr>
                <w:rFonts w:asciiTheme="minorHAnsi" w:hAnsiTheme="minorHAnsi" w:cstheme="minorHAnsi"/>
                <w:noProof/>
                <w:webHidden/>
                <w:sz w:val="22"/>
                <w:szCs w:val="22"/>
              </w:rPr>
              <w:fldChar w:fldCharType="begin"/>
            </w:r>
            <w:r w:rsidR="00860B34" w:rsidRPr="00AE1D50">
              <w:rPr>
                <w:rFonts w:asciiTheme="minorHAnsi" w:hAnsiTheme="minorHAnsi" w:cstheme="minorHAnsi"/>
                <w:noProof/>
                <w:webHidden/>
                <w:sz w:val="22"/>
                <w:szCs w:val="22"/>
              </w:rPr>
              <w:instrText xml:space="preserve"> PAGEREF _Toc502148155 \h </w:instrText>
            </w:r>
            <w:r w:rsidR="00860B34" w:rsidRPr="00AE1D50">
              <w:rPr>
                <w:rFonts w:asciiTheme="minorHAnsi" w:hAnsiTheme="minorHAnsi" w:cstheme="minorHAnsi"/>
                <w:noProof/>
                <w:webHidden/>
                <w:sz w:val="22"/>
                <w:szCs w:val="22"/>
              </w:rPr>
            </w:r>
            <w:r w:rsidR="00860B34" w:rsidRPr="00AE1D50">
              <w:rPr>
                <w:rFonts w:asciiTheme="minorHAnsi" w:hAnsiTheme="minorHAnsi" w:cstheme="minorHAnsi"/>
                <w:noProof/>
                <w:webHidden/>
                <w:sz w:val="22"/>
                <w:szCs w:val="22"/>
              </w:rPr>
              <w:fldChar w:fldCharType="separate"/>
            </w:r>
            <w:r w:rsidR="00860B34" w:rsidRPr="00AE1D50">
              <w:rPr>
                <w:rFonts w:asciiTheme="minorHAnsi" w:hAnsiTheme="minorHAnsi" w:cstheme="minorHAnsi"/>
                <w:noProof/>
                <w:webHidden/>
                <w:sz w:val="22"/>
                <w:szCs w:val="22"/>
              </w:rPr>
              <w:t>20</w:t>
            </w:r>
            <w:r w:rsidR="00860B34" w:rsidRPr="00AE1D50">
              <w:rPr>
                <w:rFonts w:asciiTheme="minorHAnsi" w:hAnsiTheme="minorHAnsi" w:cstheme="minorHAnsi"/>
                <w:noProof/>
                <w:webHidden/>
                <w:sz w:val="22"/>
                <w:szCs w:val="22"/>
              </w:rPr>
              <w:fldChar w:fldCharType="end"/>
            </w:r>
          </w:hyperlink>
        </w:p>
        <w:p w14:paraId="67BB4E6F" w14:textId="4C6F6981" w:rsidR="00860B34" w:rsidRPr="00AE1D50" w:rsidRDefault="00B36F35">
          <w:pPr>
            <w:pStyle w:val="TOC2"/>
            <w:tabs>
              <w:tab w:val="left" w:pos="880"/>
              <w:tab w:val="right" w:leader="dot" w:pos="9350"/>
            </w:tabs>
            <w:rPr>
              <w:rFonts w:asciiTheme="minorHAnsi" w:eastAsiaTheme="minorEastAsia" w:hAnsiTheme="minorHAnsi" w:cstheme="minorHAnsi"/>
              <w:noProof/>
              <w:sz w:val="22"/>
              <w:szCs w:val="22"/>
            </w:rPr>
          </w:pPr>
          <w:hyperlink w:anchor="_Toc502148156" w:history="1">
            <w:r w:rsidR="00860B34" w:rsidRPr="00AE1D50">
              <w:rPr>
                <w:rStyle w:val="Hyperlink"/>
                <w:rFonts w:asciiTheme="minorHAnsi" w:hAnsiTheme="minorHAnsi" w:cstheme="minorHAnsi"/>
                <w:noProof/>
                <w:sz w:val="22"/>
                <w:szCs w:val="22"/>
              </w:rPr>
              <w:t>4.3</w:t>
            </w:r>
            <w:r w:rsidR="00860B34" w:rsidRPr="00AE1D50">
              <w:rPr>
                <w:rFonts w:asciiTheme="minorHAnsi" w:eastAsiaTheme="minorEastAsia" w:hAnsiTheme="minorHAnsi" w:cstheme="minorHAnsi"/>
                <w:noProof/>
                <w:sz w:val="22"/>
                <w:szCs w:val="22"/>
              </w:rPr>
              <w:tab/>
            </w:r>
            <w:r w:rsidR="00860B34" w:rsidRPr="00AE1D50">
              <w:rPr>
                <w:rStyle w:val="Hyperlink"/>
                <w:rFonts w:asciiTheme="minorHAnsi" w:hAnsiTheme="minorHAnsi" w:cstheme="minorHAnsi"/>
                <w:noProof/>
                <w:sz w:val="22"/>
                <w:szCs w:val="22"/>
              </w:rPr>
              <w:t>Full and Incremental Measure Cost</w:t>
            </w:r>
            <w:r w:rsidR="00860B34" w:rsidRPr="00AE1D50">
              <w:rPr>
                <w:rFonts w:asciiTheme="minorHAnsi" w:hAnsiTheme="minorHAnsi" w:cstheme="minorHAnsi"/>
                <w:noProof/>
                <w:webHidden/>
                <w:sz w:val="22"/>
                <w:szCs w:val="22"/>
              </w:rPr>
              <w:tab/>
            </w:r>
            <w:r w:rsidR="00860B34" w:rsidRPr="00AE1D50">
              <w:rPr>
                <w:rFonts w:asciiTheme="minorHAnsi" w:hAnsiTheme="minorHAnsi" w:cstheme="minorHAnsi"/>
                <w:noProof/>
                <w:webHidden/>
                <w:sz w:val="22"/>
                <w:szCs w:val="22"/>
              </w:rPr>
              <w:fldChar w:fldCharType="begin"/>
            </w:r>
            <w:r w:rsidR="00860B34" w:rsidRPr="00AE1D50">
              <w:rPr>
                <w:rFonts w:asciiTheme="minorHAnsi" w:hAnsiTheme="minorHAnsi" w:cstheme="minorHAnsi"/>
                <w:noProof/>
                <w:webHidden/>
                <w:sz w:val="22"/>
                <w:szCs w:val="22"/>
              </w:rPr>
              <w:instrText xml:space="preserve"> PAGEREF _Toc502148156 \h </w:instrText>
            </w:r>
            <w:r w:rsidR="00860B34" w:rsidRPr="00AE1D50">
              <w:rPr>
                <w:rFonts w:asciiTheme="minorHAnsi" w:hAnsiTheme="minorHAnsi" w:cstheme="minorHAnsi"/>
                <w:noProof/>
                <w:webHidden/>
                <w:sz w:val="22"/>
                <w:szCs w:val="22"/>
              </w:rPr>
            </w:r>
            <w:r w:rsidR="00860B34" w:rsidRPr="00AE1D50">
              <w:rPr>
                <w:rFonts w:asciiTheme="minorHAnsi" w:hAnsiTheme="minorHAnsi" w:cstheme="minorHAnsi"/>
                <w:noProof/>
                <w:webHidden/>
                <w:sz w:val="22"/>
                <w:szCs w:val="22"/>
              </w:rPr>
              <w:fldChar w:fldCharType="separate"/>
            </w:r>
            <w:r w:rsidR="00860B34" w:rsidRPr="00AE1D50">
              <w:rPr>
                <w:rFonts w:asciiTheme="minorHAnsi" w:hAnsiTheme="minorHAnsi" w:cstheme="minorHAnsi"/>
                <w:noProof/>
                <w:webHidden/>
                <w:sz w:val="22"/>
                <w:szCs w:val="22"/>
              </w:rPr>
              <w:t>20</w:t>
            </w:r>
            <w:r w:rsidR="00860B34" w:rsidRPr="00AE1D50">
              <w:rPr>
                <w:rFonts w:asciiTheme="minorHAnsi" w:hAnsiTheme="minorHAnsi" w:cstheme="minorHAnsi"/>
                <w:noProof/>
                <w:webHidden/>
                <w:sz w:val="22"/>
                <w:szCs w:val="22"/>
              </w:rPr>
              <w:fldChar w:fldCharType="end"/>
            </w:r>
          </w:hyperlink>
        </w:p>
        <w:p w14:paraId="17BCF1B6" w14:textId="47385234" w:rsidR="00860B34" w:rsidRPr="00AE1D50" w:rsidRDefault="00B36F35">
          <w:pPr>
            <w:pStyle w:val="TOC1"/>
            <w:tabs>
              <w:tab w:val="right" w:leader="dot" w:pos="9350"/>
            </w:tabs>
            <w:rPr>
              <w:rFonts w:asciiTheme="minorHAnsi" w:eastAsiaTheme="minorEastAsia" w:hAnsiTheme="minorHAnsi" w:cstheme="minorHAnsi"/>
              <w:noProof/>
              <w:sz w:val="22"/>
              <w:szCs w:val="22"/>
            </w:rPr>
          </w:pPr>
          <w:hyperlink w:anchor="_Toc502148157" w:history="1">
            <w:r w:rsidR="00860B34" w:rsidRPr="00AE1D50">
              <w:rPr>
                <w:rStyle w:val="Hyperlink"/>
                <w:rFonts w:asciiTheme="minorHAnsi" w:hAnsiTheme="minorHAnsi" w:cstheme="minorHAnsi"/>
                <w:noProof/>
                <w:sz w:val="22"/>
                <w:szCs w:val="22"/>
              </w:rPr>
              <w:t>Attachments</w:t>
            </w:r>
            <w:r w:rsidR="00860B34" w:rsidRPr="00AE1D50">
              <w:rPr>
                <w:rFonts w:asciiTheme="minorHAnsi" w:hAnsiTheme="minorHAnsi" w:cstheme="minorHAnsi"/>
                <w:noProof/>
                <w:webHidden/>
                <w:sz w:val="22"/>
                <w:szCs w:val="22"/>
              </w:rPr>
              <w:tab/>
            </w:r>
            <w:r w:rsidR="00860B34" w:rsidRPr="00AE1D50">
              <w:rPr>
                <w:rFonts w:asciiTheme="minorHAnsi" w:hAnsiTheme="minorHAnsi" w:cstheme="minorHAnsi"/>
                <w:noProof/>
                <w:webHidden/>
                <w:sz w:val="22"/>
                <w:szCs w:val="22"/>
              </w:rPr>
              <w:fldChar w:fldCharType="begin"/>
            </w:r>
            <w:r w:rsidR="00860B34" w:rsidRPr="00AE1D50">
              <w:rPr>
                <w:rFonts w:asciiTheme="minorHAnsi" w:hAnsiTheme="minorHAnsi" w:cstheme="minorHAnsi"/>
                <w:noProof/>
                <w:webHidden/>
                <w:sz w:val="22"/>
                <w:szCs w:val="22"/>
              </w:rPr>
              <w:instrText xml:space="preserve"> PAGEREF _Toc502148157 \h </w:instrText>
            </w:r>
            <w:r w:rsidR="00860B34" w:rsidRPr="00AE1D50">
              <w:rPr>
                <w:rFonts w:asciiTheme="minorHAnsi" w:hAnsiTheme="minorHAnsi" w:cstheme="minorHAnsi"/>
                <w:noProof/>
                <w:webHidden/>
                <w:sz w:val="22"/>
                <w:szCs w:val="22"/>
              </w:rPr>
            </w:r>
            <w:r w:rsidR="00860B34" w:rsidRPr="00AE1D50">
              <w:rPr>
                <w:rFonts w:asciiTheme="minorHAnsi" w:hAnsiTheme="minorHAnsi" w:cstheme="minorHAnsi"/>
                <w:noProof/>
                <w:webHidden/>
                <w:sz w:val="22"/>
                <w:szCs w:val="22"/>
              </w:rPr>
              <w:fldChar w:fldCharType="separate"/>
            </w:r>
            <w:r w:rsidR="00860B34" w:rsidRPr="00AE1D50">
              <w:rPr>
                <w:rFonts w:asciiTheme="minorHAnsi" w:hAnsiTheme="minorHAnsi" w:cstheme="minorHAnsi"/>
                <w:noProof/>
                <w:webHidden/>
                <w:sz w:val="22"/>
                <w:szCs w:val="22"/>
              </w:rPr>
              <w:t>21</w:t>
            </w:r>
            <w:r w:rsidR="00860B34" w:rsidRPr="00AE1D50">
              <w:rPr>
                <w:rFonts w:asciiTheme="minorHAnsi" w:hAnsiTheme="minorHAnsi" w:cstheme="minorHAnsi"/>
                <w:noProof/>
                <w:webHidden/>
                <w:sz w:val="22"/>
                <w:szCs w:val="22"/>
              </w:rPr>
              <w:fldChar w:fldCharType="end"/>
            </w:r>
          </w:hyperlink>
        </w:p>
        <w:p w14:paraId="4691907C" w14:textId="484980B3" w:rsidR="00860B34" w:rsidRPr="00AE1D50" w:rsidRDefault="00B36F35">
          <w:pPr>
            <w:pStyle w:val="TOC1"/>
            <w:tabs>
              <w:tab w:val="right" w:leader="dot" w:pos="9350"/>
            </w:tabs>
            <w:rPr>
              <w:rFonts w:asciiTheme="minorHAnsi" w:eastAsiaTheme="minorEastAsia" w:hAnsiTheme="minorHAnsi" w:cstheme="minorHAnsi"/>
              <w:noProof/>
              <w:sz w:val="22"/>
              <w:szCs w:val="22"/>
            </w:rPr>
          </w:pPr>
          <w:hyperlink w:anchor="_Toc502148158" w:history="1">
            <w:r w:rsidR="00860B34" w:rsidRPr="00AE1D50">
              <w:rPr>
                <w:rStyle w:val="Hyperlink"/>
                <w:rFonts w:asciiTheme="minorHAnsi" w:hAnsiTheme="minorHAnsi" w:cstheme="minorHAnsi"/>
                <w:noProof/>
                <w:sz w:val="22"/>
                <w:szCs w:val="22"/>
              </w:rPr>
              <w:t>References</w:t>
            </w:r>
            <w:r w:rsidR="00860B34" w:rsidRPr="00AE1D50">
              <w:rPr>
                <w:rFonts w:asciiTheme="minorHAnsi" w:hAnsiTheme="minorHAnsi" w:cstheme="minorHAnsi"/>
                <w:noProof/>
                <w:webHidden/>
                <w:sz w:val="22"/>
                <w:szCs w:val="22"/>
              </w:rPr>
              <w:tab/>
            </w:r>
            <w:r w:rsidR="00860B34" w:rsidRPr="00AE1D50">
              <w:rPr>
                <w:rFonts w:asciiTheme="minorHAnsi" w:hAnsiTheme="minorHAnsi" w:cstheme="minorHAnsi"/>
                <w:noProof/>
                <w:webHidden/>
                <w:sz w:val="22"/>
                <w:szCs w:val="22"/>
              </w:rPr>
              <w:fldChar w:fldCharType="begin"/>
            </w:r>
            <w:r w:rsidR="00860B34" w:rsidRPr="00AE1D50">
              <w:rPr>
                <w:rFonts w:asciiTheme="minorHAnsi" w:hAnsiTheme="minorHAnsi" w:cstheme="minorHAnsi"/>
                <w:noProof/>
                <w:webHidden/>
                <w:sz w:val="22"/>
                <w:szCs w:val="22"/>
              </w:rPr>
              <w:instrText xml:space="preserve"> PAGEREF _Toc502148158 \h </w:instrText>
            </w:r>
            <w:r w:rsidR="00860B34" w:rsidRPr="00AE1D50">
              <w:rPr>
                <w:rFonts w:asciiTheme="minorHAnsi" w:hAnsiTheme="minorHAnsi" w:cstheme="minorHAnsi"/>
                <w:noProof/>
                <w:webHidden/>
                <w:sz w:val="22"/>
                <w:szCs w:val="22"/>
              </w:rPr>
            </w:r>
            <w:r w:rsidR="00860B34" w:rsidRPr="00AE1D50">
              <w:rPr>
                <w:rFonts w:asciiTheme="minorHAnsi" w:hAnsiTheme="minorHAnsi" w:cstheme="minorHAnsi"/>
                <w:noProof/>
                <w:webHidden/>
                <w:sz w:val="22"/>
                <w:szCs w:val="22"/>
              </w:rPr>
              <w:fldChar w:fldCharType="separate"/>
            </w:r>
            <w:r w:rsidR="00860B34" w:rsidRPr="00AE1D50">
              <w:rPr>
                <w:rFonts w:asciiTheme="minorHAnsi" w:hAnsiTheme="minorHAnsi" w:cstheme="minorHAnsi"/>
                <w:noProof/>
                <w:webHidden/>
                <w:sz w:val="22"/>
                <w:szCs w:val="22"/>
              </w:rPr>
              <w:t>22</w:t>
            </w:r>
            <w:r w:rsidR="00860B34" w:rsidRPr="00AE1D50">
              <w:rPr>
                <w:rFonts w:asciiTheme="minorHAnsi" w:hAnsiTheme="minorHAnsi" w:cstheme="minorHAnsi"/>
                <w:noProof/>
                <w:webHidden/>
                <w:sz w:val="22"/>
                <w:szCs w:val="22"/>
              </w:rPr>
              <w:fldChar w:fldCharType="end"/>
            </w:r>
          </w:hyperlink>
        </w:p>
        <w:p w14:paraId="7D56D131" w14:textId="7069321F" w:rsidR="007338FA" w:rsidRDefault="007338FA">
          <w:r w:rsidRPr="00AE1D50">
            <w:rPr>
              <w:rFonts w:cstheme="minorHAnsi"/>
              <w:b/>
              <w:bCs/>
              <w:noProof/>
            </w:rPr>
            <w:fldChar w:fldCharType="end"/>
          </w:r>
        </w:p>
      </w:sdtContent>
    </w:sdt>
    <w:p w14:paraId="7D56D132" w14:textId="77777777" w:rsidR="00524BA4" w:rsidRPr="00524BA4" w:rsidRDefault="00CD4C30">
      <w:pPr>
        <w:pStyle w:val="TableofFigures"/>
        <w:tabs>
          <w:tab w:val="right" w:leader="dot" w:pos="9350"/>
        </w:tabs>
        <w:rPr>
          <w:rFonts w:cstheme="minorHAnsi"/>
          <w:b/>
          <w:bCs/>
          <w:smallCaps/>
          <w:sz w:val="28"/>
          <w:szCs w:val="28"/>
        </w:rPr>
      </w:pPr>
      <w:r>
        <w:rPr>
          <w:rFonts w:cstheme="minorHAnsi"/>
        </w:rPr>
        <w:br w:type="page"/>
      </w:r>
      <w:r w:rsidR="00D26116" w:rsidRPr="00524BA4">
        <w:rPr>
          <w:rFonts w:cstheme="minorHAnsi"/>
          <w:b/>
          <w:bCs/>
          <w:smallCaps/>
          <w:sz w:val="28"/>
          <w:szCs w:val="28"/>
        </w:rPr>
        <w:lastRenderedPageBreak/>
        <w:t xml:space="preserve"> </w:t>
      </w:r>
      <w:r w:rsidR="000552DC" w:rsidRPr="00524BA4">
        <w:rPr>
          <w:rFonts w:cstheme="minorHAnsi"/>
          <w:b/>
          <w:bCs/>
          <w:smallCaps/>
          <w:sz w:val="28"/>
          <w:szCs w:val="28"/>
        </w:rPr>
        <w:t>List of Figures</w:t>
      </w:r>
    </w:p>
    <w:p w14:paraId="5F2A22C6" w14:textId="1511B52C" w:rsidR="0071411B" w:rsidRDefault="00703478">
      <w:pPr>
        <w:pStyle w:val="TableofFigures"/>
        <w:tabs>
          <w:tab w:val="right" w:leader="dot" w:pos="9350"/>
        </w:tabs>
        <w:rPr>
          <w:rFonts w:eastAsiaTheme="minorEastAsia" w:cstheme="minorBidi"/>
          <w:noProof/>
          <w:szCs w:val="22"/>
        </w:rPr>
      </w:pPr>
      <w:r>
        <w:rPr>
          <w:rFonts w:cstheme="minorHAnsi"/>
          <w:b/>
          <w:bCs/>
          <w:smallCaps/>
        </w:rPr>
        <w:fldChar w:fldCharType="begin"/>
      </w:r>
      <w:r>
        <w:rPr>
          <w:rFonts w:cstheme="minorHAnsi"/>
          <w:b/>
          <w:bCs/>
          <w:smallCaps/>
        </w:rPr>
        <w:instrText xml:space="preserve"> TOC \h \z \c "Figure" </w:instrText>
      </w:r>
      <w:r>
        <w:rPr>
          <w:rFonts w:cstheme="minorHAnsi"/>
          <w:b/>
          <w:bCs/>
          <w:smallCaps/>
        </w:rPr>
        <w:fldChar w:fldCharType="separate"/>
      </w:r>
      <w:hyperlink w:anchor="_Toc501451160" w:history="1">
        <w:r w:rsidR="0071411B" w:rsidRPr="00625D94">
          <w:rPr>
            <w:rStyle w:val="Hyperlink"/>
            <w:noProof/>
          </w:rPr>
          <w:t xml:space="preserve">Figure 1: </w:t>
        </w:r>
        <w:r w:rsidR="00E64AD2">
          <w:rPr>
            <w:rStyle w:val="Hyperlink"/>
            <w:noProof/>
          </w:rPr>
          <w:t>Title 20 Standards for Showerheads</w:t>
        </w:r>
        <w:r w:rsidR="0071411B">
          <w:rPr>
            <w:noProof/>
            <w:webHidden/>
          </w:rPr>
          <w:tab/>
        </w:r>
        <w:r w:rsidR="00860B34">
          <w:rPr>
            <w:noProof/>
            <w:webHidden/>
          </w:rPr>
          <w:t>11</w:t>
        </w:r>
      </w:hyperlink>
    </w:p>
    <w:p w14:paraId="7AD6F6BE" w14:textId="01BBC1E8" w:rsidR="0071411B" w:rsidRDefault="00B36F35">
      <w:pPr>
        <w:pStyle w:val="TableofFigures"/>
        <w:tabs>
          <w:tab w:val="right" w:leader="dot" w:pos="9350"/>
        </w:tabs>
        <w:rPr>
          <w:rFonts w:eastAsiaTheme="minorEastAsia" w:cstheme="minorBidi"/>
          <w:noProof/>
          <w:szCs w:val="22"/>
        </w:rPr>
      </w:pPr>
      <w:hyperlink w:anchor="_Toc501451162" w:history="1">
        <w:r w:rsidR="00E64AD2">
          <w:rPr>
            <w:rStyle w:val="Hyperlink"/>
            <w:noProof/>
          </w:rPr>
          <w:t>Figure 2</w:t>
        </w:r>
        <w:r w:rsidR="0071411B" w:rsidRPr="00625D94">
          <w:rPr>
            <w:rStyle w:val="Hyperlink"/>
            <w:noProof/>
          </w:rPr>
          <w:t>: Service Water Heating, from ASHRAE application handbook</w:t>
        </w:r>
        <w:r w:rsidR="0071411B">
          <w:rPr>
            <w:noProof/>
            <w:webHidden/>
          </w:rPr>
          <w:tab/>
        </w:r>
        <w:r w:rsidR="00860B34">
          <w:rPr>
            <w:noProof/>
            <w:webHidden/>
          </w:rPr>
          <w:t>19</w:t>
        </w:r>
      </w:hyperlink>
    </w:p>
    <w:p w14:paraId="7D56D136" w14:textId="3D541EB0" w:rsidR="00F66806" w:rsidRDefault="00703478" w:rsidP="00D26116">
      <w:pPr>
        <w:pStyle w:val="Heading1"/>
        <w:spacing w:line="360" w:lineRule="auto"/>
        <w:rPr>
          <w:rFonts w:cstheme="minorHAnsi"/>
          <w:b w:val="0"/>
          <w:bCs w:val="0"/>
          <w:smallCaps w:val="0"/>
        </w:rPr>
      </w:pPr>
      <w:r>
        <w:rPr>
          <w:rFonts w:cstheme="minorHAnsi"/>
          <w:b w:val="0"/>
          <w:bCs w:val="0"/>
          <w:smallCaps w:val="0"/>
        </w:rPr>
        <w:fldChar w:fldCharType="end"/>
      </w:r>
    </w:p>
    <w:p w14:paraId="7D56D137" w14:textId="77777777" w:rsidR="00524BA4" w:rsidRPr="00524BA4" w:rsidRDefault="00F66806">
      <w:pPr>
        <w:pStyle w:val="TableofFigures"/>
        <w:tabs>
          <w:tab w:val="right" w:leader="dot" w:pos="9350"/>
        </w:tabs>
        <w:rPr>
          <w:rFonts w:cstheme="minorHAnsi"/>
          <w:b/>
          <w:bCs/>
          <w:smallCaps/>
          <w:sz w:val="28"/>
          <w:szCs w:val="28"/>
        </w:rPr>
      </w:pPr>
      <w:r w:rsidRPr="00524BA4">
        <w:rPr>
          <w:rFonts w:cstheme="minorHAnsi"/>
          <w:b/>
          <w:bCs/>
          <w:smallCaps/>
          <w:sz w:val="28"/>
          <w:szCs w:val="28"/>
        </w:rPr>
        <w:t>List of Tables</w:t>
      </w:r>
    </w:p>
    <w:p w14:paraId="37D71BC7" w14:textId="149138B7" w:rsidR="0071411B" w:rsidRDefault="00F66806">
      <w:pPr>
        <w:pStyle w:val="TableofFigures"/>
        <w:tabs>
          <w:tab w:val="right" w:leader="dot" w:pos="9350"/>
        </w:tabs>
        <w:rPr>
          <w:rFonts w:eastAsiaTheme="minorEastAsia" w:cstheme="minorBidi"/>
          <w:noProof/>
          <w:szCs w:val="22"/>
        </w:rPr>
      </w:pPr>
      <w:r>
        <w:rPr>
          <w:rFonts w:cstheme="minorHAnsi"/>
          <w:b/>
          <w:bCs/>
          <w:smallCaps/>
        </w:rPr>
        <w:fldChar w:fldCharType="begin"/>
      </w:r>
      <w:r>
        <w:rPr>
          <w:rFonts w:cstheme="minorHAnsi"/>
          <w:b/>
          <w:bCs/>
          <w:smallCaps/>
        </w:rPr>
        <w:instrText xml:space="preserve"> TOC \h \z \c "Table" </w:instrText>
      </w:r>
      <w:r>
        <w:rPr>
          <w:rFonts w:cstheme="minorHAnsi"/>
          <w:b/>
          <w:bCs/>
          <w:smallCaps/>
        </w:rPr>
        <w:fldChar w:fldCharType="separate"/>
      </w:r>
      <w:hyperlink w:anchor="_Toc501451169" w:history="1">
        <w:r w:rsidR="0071411B" w:rsidRPr="00BC269C">
          <w:rPr>
            <w:rStyle w:val="Hyperlink"/>
            <w:noProof/>
          </w:rPr>
          <w:t>Table 1: Base, Standard, and Measure Cases</w:t>
        </w:r>
        <w:r w:rsidR="0071411B">
          <w:rPr>
            <w:noProof/>
            <w:webHidden/>
          </w:rPr>
          <w:tab/>
        </w:r>
        <w:r w:rsidR="00860B34">
          <w:rPr>
            <w:noProof/>
            <w:webHidden/>
          </w:rPr>
          <w:t>9</w:t>
        </w:r>
      </w:hyperlink>
    </w:p>
    <w:p w14:paraId="52518459" w14:textId="354C437D" w:rsidR="0071411B" w:rsidRDefault="00B36F35">
      <w:pPr>
        <w:pStyle w:val="TableofFigures"/>
        <w:tabs>
          <w:tab w:val="right" w:leader="dot" w:pos="9350"/>
        </w:tabs>
        <w:rPr>
          <w:rFonts w:eastAsiaTheme="minorEastAsia" w:cstheme="minorBidi"/>
          <w:noProof/>
          <w:szCs w:val="22"/>
        </w:rPr>
      </w:pPr>
      <w:hyperlink w:anchor="_Toc501451170" w:history="1">
        <w:r w:rsidR="0071411B" w:rsidRPr="00BC269C">
          <w:rPr>
            <w:rStyle w:val="Hyperlink"/>
            <w:noProof/>
          </w:rPr>
          <w:t>Table 2: Measures and Codes</w:t>
        </w:r>
        <w:r w:rsidR="0071411B">
          <w:rPr>
            <w:noProof/>
            <w:webHidden/>
          </w:rPr>
          <w:tab/>
        </w:r>
        <w:r w:rsidR="00860B34">
          <w:rPr>
            <w:noProof/>
            <w:webHidden/>
          </w:rPr>
          <w:t>9</w:t>
        </w:r>
      </w:hyperlink>
    </w:p>
    <w:p w14:paraId="1C4F291E" w14:textId="00A3861D" w:rsidR="0071411B" w:rsidRDefault="00B36F35">
      <w:pPr>
        <w:pStyle w:val="TableofFigures"/>
        <w:tabs>
          <w:tab w:val="right" w:leader="dot" w:pos="9350"/>
        </w:tabs>
        <w:rPr>
          <w:rFonts w:eastAsiaTheme="minorEastAsia" w:cstheme="minorBidi"/>
          <w:noProof/>
          <w:szCs w:val="22"/>
        </w:rPr>
      </w:pPr>
      <w:hyperlink w:anchor="_Toc501451171" w:history="1">
        <w:r w:rsidR="0071411B" w:rsidRPr="00BC269C">
          <w:rPr>
            <w:rStyle w:val="Hyperlink"/>
            <w:noProof/>
          </w:rPr>
          <w:t>Table 3: Installation Type Descriptions</w:t>
        </w:r>
        <w:r w:rsidR="0071411B">
          <w:rPr>
            <w:noProof/>
            <w:webHidden/>
          </w:rPr>
          <w:tab/>
        </w:r>
        <w:r w:rsidR="0071411B">
          <w:rPr>
            <w:noProof/>
            <w:webHidden/>
          </w:rPr>
          <w:fldChar w:fldCharType="begin"/>
        </w:r>
        <w:r w:rsidR="0071411B">
          <w:rPr>
            <w:noProof/>
            <w:webHidden/>
          </w:rPr>
          <w:instrText xml:space="preserve"> PAGEREF _Toc501451171 \h </w:instrText>
        </w:r>
        <w:r w:rsidR="0071411B">
          <w:rPr>
            <w:noProof/>
            <w:webHidden/>
          </w:rPr>
        </w:r>
        <w:r w:rsidR="0071411B">
          <w:rPr>
            <w:noProof/>
            <w:webHidden/>
          </w:rPr>
          <w:fldChar w:fldCharType="separate"/>
        </w:r>
        <w:r w:rsidR="0071411B">
          <w:rPr>
            <w:noProof/>
            <w:webHidden/>
          </w:rPr>
          <w:t>9</w:t>
        </w:r>
        <w:r w:rsidR="0071411B">
          <w:rPr>
            <w:noProof/>
            <w:webHidden/>
          </w:rPr>
          <w:fldChar w:fldCharType="end"/>
        </w:r>
      </w:hyperlink>
    </w:p>
    <w:p w14:paraId="44A7BC34" w14:textId="10129F0A" w:rsidR="0071411B" w:rsidRDefault="00B36F35">
      <w:pPr>
        <w:pStyle w:val="TableofFigures"/>
        <w:tabs>
          <w:tab w:val="right" w:leader="dot" w:pos="9350"/>
        </w:tabs>
        <w:rPr>
          <w:rFonts w:eastAsiaTheme="minorEastAsia" w:cstheme="minorBidi"/>
          <w:noProof/>
          <w:szCs w:val="22"/>
        </w:rPr>
      </w:pPr>
      <w:hyperlink w:anchor="_Toc501451173" w:history="1">
        <w:r w:rsidR="0071411B" w:rsidRPr="00BC269C">
          <w:rPr>
            <w:rStyle w:val="Hyperlink"/>
            <w:noProof/>
          </w:rPr>
          <w:t xml:space="preserve">Table </w:t>
        </w:r>
        <w:r w:rsidR="000149A3">
          <w:rPr>
            <w:rStyle w:val="Hyperlink"/>
            <w:noProof/>
          </w:rPr>
          <w:t>4</w:t>
        </w:r>
        <w:r w:rsidR="0071411B" w:rsidRPr="00BC269C">
          <w:rPr>
            <w:rStyle w:val="Hyperlink"/>
            <w:noProof/>
          </w:rPr>
          <w:t>: Incentive Method Descriptions</w:t>
        </w:r>
        <w:r w:rsidR="0071411B">
          <w:rPr>
            <w:noProof/>
            <w:webHidden/>
          </w:rPr>
          <w:tab/>
        </w:r>
        <w:r w:rsidR="0071411B">
          <w:rPr>
            <w:noProof/>
            <w:webHidden/>
          </w:rPr>
          <w:fldChar w:fldCharType="begin"/>
        </w:r>
        <w:r w:rsidR="0071411B">
          <w:rPr>
            <w:noProof/>
            <w:webHidden/>
          </w:rPr>
          <w:instrText xml:space="preserve"> PAGEREF _Toc501451173 \h </w:instrText>
        </w:r>
        <w:r w:rsidR="0071411B">
          <w:rPr>
            <w:noProof/>
            <w:webHidden/>
          </w:rPr>
        </w:r>
        <w:r w:rsidR="0071411B">
          <w:rPr>
            <w:noProof/>
            <w:webHidden/>
          </w:rPr>
          <w:fldChar w:fldCharType="separate"/>
        </w:r>
        <w:r w:rsidR="0071411B">
          <w:rPr>
            <w:noProof/>
            <w:webHidden/>
          </w:rPr>
          <w:t>9</w:t>
        </w:r>
        <w:r w:rsidR="0071411B">
          <w:rPr>
            <w:noProof/>
            <w:webHidden/>
          </w:rPr>
          <w:fldChar w:fldCharType="end"/>
        </w:r>
      </w:hyperlink>
    </w:p>
    <w:p w14:paraId="71EBFDD7" w14:textId="1F193CD1" w:rsidR="0071411B" w:rsidRDefault="00B36F35">
      <w:pPr>
        <w:pStyle w:val="TableofFigures"/>
        <w:tabs>
          <w:tab w:val="right" w:leader="dot" w:pos="9350"/>
        </w:tabs>
        <w:rPr>
          <w:rFonts w:eastAsiaTheme="minorEastAsia" w:cstheme="minorBidi"/>
          <w:noProof/>
          <w:szCs w:val="22"/>
        </w:rPr>
      </w:pPr>
      <w:hyperlink w:anchor="_Toc501451174" w:history="1">
        <w:r w:rsidR="000149A3">
          <w:rPr>
            <w:rStyle w:val="Hyperlink"/>
            <w:noProof/>
          </w:rPr>
          <w:t>Table 5</w:t>
        </w:r>
        <w:r w:rsidR="0071411B" w:rsidRPr="00BC269C">
          <w:rPr>
            <w:rStyle w:val="Hyperlink"/>
            <w:noProof/>
          </w:rPr>
          <w:t>: DEER Difference Summary</w:t>
        </w:r>
        <w:r w:rsidR="0071411B">
          <w:rPr>
            <w:noProof/>
            <w:webHidden/>
          </w:rPr>
          <w:tab/>
        </w:r>
        <w:r w:rsidR="0071411B">
          <w:rPr>
            <w:noProof/>
            <w:webHidden/>
          </w:rPr>
          <w:fldChar w:fldCharType="begin"/>
        </w:r>
        <w:r w:rsidR="0071411B">
          <w:rPr>
            <w:noProof/>
            <w:webHidden/>
          </w:rPr>
          <w:instrText xml:space="preserve"> PAGEREF _Toc501451174 \h </w:instrText>
        </w:r>
        <w:r w:rsidR="0071411B">
          <w:rPr>
            <w:noProof/>
            <w:webHidden/>
          </w:rPr>
        </w:r>
        <w:r w:rsidR="0071411B">
          <w:rPr>
            <w:noProof/>
            <w:webHidden/>
          </w:rPr>
          <w:fldChar w:fldCharType="separate"/>
        </w:r>
        <w:r w:rsidR="0071411B">
          <w:rPr>
            <w:noProof/>
            <w:webHidden/>
          </w:rPr>
          <w:t>9</w:t>
        </w:r>
        <w:r w:rsidR="0071411B">
          <w:rPr>
            <w:noProof/>
            <w:webHidden/>
          </w:rPr>
          <w:fldChar w:fldCharType="end"/>
        </w:r>
      </w:hyperlink>
    </w:p>
    <w:p w14:paraId="057610FA" w14:textId="20AB69EA" w:rsidR="0071411B" w:rsidRDefault="00B36F35">
      <w:pPr>
        <w:pStyle w:val="TableofFigures"/>
        <w:tabs>
          <w:tab w:val="right" w:leader="dot" w:pos="9350"/>
        </w:tabs>
        <w:rPr>
          <w:rFonts w:eastAsiaTheme="minorEastAsia" w:cstheme="minorBidi"/>
          <w:noProof/>
          <w:szCs w:val="22"/>
        </w:rPr>
      </w:pPr>
      <w:hyperlink w:anchor="_Toc501451175" w:history="1">
        <w:r w:rsidR="0071411B" w:rsidRPr="00BC269C">
          <w:rPr>
            <w:rStyle w:val="Hyperlink"/>
            <w:noProof/>
          </w:rPr>
          <w:t xml:space="preserve">Table </w:t>
        </w:r>
        <w:r w:rsidR="000149A3">
          <w:rPr>
            <w:rStyle w:val="Hyperlink"/>
            <w:noProof/>
          </w:rPr>
          <w:t>6</w:t>
        </w:r>
        <w:r w:rsidR="0071411B" w:rsidRPr="00BC269C">
          <w:rPr>
            <w:rStyle w:val="Hyperlink"/>
            <w:noProof/>
          </w:rPr>
          <w:t>: NTGR</w:t>
        </w:r>
        <w:r w:rsidR="0071411B">
          <w:rPr>
            <w:noProof/>
            <w:webHidden/>
          </w:rPr>
          <w:tab/>
        </w:r>
        <w:r w:rsidR="0071411B">
          <w:rPr>
            <w:noProof/>
            <w:webHidden/>
          </w:rPr>
          <w:fldChar w:fldCharType="begin"/>
        </w:r>
        <w:r w:rsidR="0071411B">
          <w:rPr>
            <w:noProof/>
            <w:webHidden/>
          </w:rPr>
          <w:instrText xml:space="preserve"> PAGEREF _Toc501451175 \h </w:instrText>
        </w:r>
        <w:r w:rsidR="0071411B">
          <w:rPr>
            <w:noProof/>
            <w:webHidden/>
          </w:rPr>
        </w:r>
        <w:r w:rsidR="0071411B">
          <w:rPr>
            <w:noProof/>
            <w:webHidden/>
          </w:rPr>
          <w:fldChar w:fldCharType="separate"/>
        </w:r>
        <w:r w:rsidR="0071411B">
          <w:rPr>
            <w:noProof/>
            <w:webHidden/>
          </w:rPr>
          <w:t>10</w:t>
        </w:r>
        <w:r w:rsidR="0071411B">
          <w:rPr>
            <w:noProof/>
            <w:webHidden/>
          </w:rPr>
          <w:fldChar w:fldCharType="end"/>
        </w:r>
      </w:hyperlink>
    </w:p>
    <w:p w14:paraId="1D7601A4" w14:textId="0ED48F7E" w:rsidR="0071411B" w:rsidRDefault="00B36F35">
      <w:pPr>
        <w:pStyle w:val="TableofFigures"/>
        <w:tabs>
          <w:tab w:val="right" w:leader="dot" w:pos="9350"/>
        </w:tabs>
        <w:rPr>
          <w:rFonts w:eastAsiaTheme="minorEastAsia" w:cstheme="minorBidi"/>
          <w:noProof/>
          <w:szCs w:val="22"/>
        </w:rPr>
      </w:pPr>
      <w:hyperlink w:anchor="_Toc501451176" w:history="1">
        <w:r w:rsidR="0071411B" w:rsidRPr="00BC269C">
          <w:rPr>
            <w:rStyle w:val="Hyperlink"/>
            <w:noProof/>
          </w:rPr>
          <w:t xml:space="preserve">Table </w:t>
        </w:r>
        <w:r w:rsidR="000149A3">
          <w:rPr>
            <w:rStyle w:val="Hyperlink"/>
            <w:noProof/>
          </w:rPr>
          <w:t>7</w:t>
        </w:r>
        <w:r w:rsidR="0071411B" w:rsidRPr="00BC269C">
          <w:rPr>
            <w:rStyle w:val="Hyperlink"/>
            <w:noProof/>
          </w:rPr>
          <w:t>: GSIA</w:t>
        </w:r>
        <w:r w:rsidR="0071411B">
          <w:rPr>
            <w:noProof/>
            <w:webHidden/>
          </w:rPr>
          <w:tab/>
        </w:r>
        <w:r w:rsidR="0071411B">
          <w:rPr>
            <w:noProof/>
            <w:webHidden/>
          </w:rPr>
          <w:fldChar w:fldCharType="begin"/>
        </w:r>
        <w:r w:rsidR="0071411B">
          <w:rPr>
            <w:noProof/>
            <w:webHidden/>
          </w:rPr>
          <w:instrText xml:space="preserve"> PAGEREF _Toc501451176 \h </w:instrText>
        </w:r>
        <w:r w:rsidR="0071411B">
          <w:rPr>
            <w:noProof/>
            <w:webHidden/>
          </w:rPr>
        </w:r>
        <w:r w:rsidR="0071411B">
          <w:rPr>
            <w:noProof/>
            <w:webHidden/>
          </w:rPr>
          <w:fldChar w:fldCharType="separate"/>
        </w:r>
        <w:r w:rsidR="0071411B">
          <w:rPr>
            <w:noProof/>
            <w:webHidden/>
          </w:rPr>
          <w:t>10</w:t>
        </w:r>
        <w:r w:rsidR="0071411B">
          <w:rPr>
            <w:noProof/>
            <w:webHidden/>
          </w:rPr>
          <w:fldChar w:fldCharType="end"/>
        </w:r>
      </w:hyperlink>
    </w:p>
    <w:p w14:paraId="5329BA9B" w14:textId="705D84A0" w:rsidR="0071411B" w:rsidRDefault="00B36F35">
      <w:pPr>
        <w:pStyle w:val="TableofFigures"/>
        <w:tabs>
          <w:tab w:val="right" w:leader="dot" w:pos="9350"/>
        </w:tabs>
        <w:rPr>
          <w:rFonts w:eastAsiaTheme="minorEastAsia" w:cstheme="minorBidi"/>
          <w:noProof/>
          <w:szCs w:val="22"/>
        </w:rPr>
      </w:pPr>
      <w:hyperlink w:anchor="_Toc501451177" w:history="1">
        <w:r w:rsidR="0071411B" w:rsidRPr="00BC269C">
          <w:rPr>
            <w:rStyle w:val="Hyperlink"/>
            <w:noProof/>
          </w:rPr>
          <w:t xml:space="preserve">Table </w:t>
        </w:r>
        <w:r w:rsidR="000149A3">
          <w:rPr>
            <w:rStyle w:val="Hyperlink"/>
            <w:noProof/>
          </w:rPr>
          <w:t>8</w:t>
        </w:r>
        <w:r w:rsidR="0071411B" w:rsidRPr="00BC269C">
          <w:rPr>
            <w:rStyle w:val="Hyperlink"/>
            <w:noProof/>
          </w:rPr>
          <w:t>: EUL</w:t>
        </w:r>
        <w:r w:rsidR="0071411B">
          <w:rPr>
            <w:noProof/>
            <w:webHidden/>
          </w:rPr>
          <w:tab/>
        </w:r>
        <w:r w:rsidR="0071411B">
          <w:rPr>
            <w:noProof/>
            <w:webHidden/>
          </w:rPr>
          <w:fldChar w:fldCharType="begin"/>
        </w:r>
        <w:r w:rsidR="0071411B">
          <w:rPr>
            <w:noProof/>
            <w:webHidden/>
          </w:rPr>
          <w:instrText xml:space="preserve"> PAGEREF _Toc501451177 \h </w:instrText>
        </w:r>
        <w:r w:rsidR="0071411B">
          <w:rPr>
            <w:noProof/>
            <w:webHidden/>
          </w:rPr>
        </w:r>
        <w:r w:rsidR="0071411B">
          <w:rPr>
            <w:noProof/>
            <w:webHidden/>
          </w:rPr>
          <w:fldChar w:fldCharType="separate"/>
        </w:r>
        <w:r w:rsidR="0071411B">
          <w:rPr>
            <w:noProof/>
            <w:webHidden/>
          </w:rPr>
          <w:t>10</w:t>
        </w:r>
        <w:r w:rsidR="0071411B">
          <w:rPr>
            <w:noProof/>
            <w:webHidden/>
          </w:rPr>
          <w:fldChar w:fldCharType="end"/>
        </w:r>
      </w:hyperlink>
    </w:p>
    <w:p w14:paraId="02E8B7D6" w14:textId="0C548C23" w:rsidR="0071411B" w:rsidRDefault="00B36F35">
      <w:pPr>
        <w:pStyle w:val="TableofFigures"/>
        <w:tabs>
          <w:tab w:val="right" w:leader="dot" w:pos="9350"/>
        </w:tabs>
        <w:rPr>
          <w:rFonts w:eastAsiaTheme="minorEastAsia" w:cstheme="minorBidi"/>
          <w:noProof/>
          <w:szCs w:val="22"/>
        </w:rPr>
      </w:pPr>
      <w:hyperlink w:anchor="_Toc501451178" w:history="1">
        <w:r w:rsidR="0071411B" w:rsidRPr="00BC269C">
          <w:rPr>
            <w:rStyle w:val="Hyperlink"/>
            <w:noProof/>
          </w:rPr>
          <w:t xml:space="preserve">Table </w:t>
        </w:r>
        <w:r w:rsidR="000149A3">
          <w:rPr>
            <w:rStyle w:val="Hyperlink"/>
            <w:noProof/>
          </w:rPr>
          <w:t>9</w:t>
        </w:r>
        <w:r w:rsidR="0071411B" w:rsidRPr="00BC269C">
          <w:rPr>
            <w:rStyle w:val="Hyperlink"/>
            <w:noProof/>
          </w:rPr>
          <w:t>: Code Summary</w:t>
        </w:r>
        <w:r w:rsidR="0071411B">
          <w:rPr>
            <w:noProof/>
            <w:webHidden/>
          </w:rPr>
          <w:tab/>
        </w:r>
        <w:r w:rsidR="0071411B">
          <w:rPr>
            <w:noProof/>
            <w:webHidden/>
          </w:rPr>
          <w:fldChar w:fldCharType="begin"/>
        </w:r>
        <w:r w:rsidR="0071411B">
          <w:rPr>
            <w:noProof/>
            <w:webHidden/>
          </w:rPr>
          <w:instrText xml:space="preserve"> PAGEREF _Toc501451178 \h </w:instrText>
        </w:r>
        <w:r w:rsidR="0071411B">
          <w:rPr>
            <w:noProof/>
            <w:webHidden/>
          </w:rPr>
        </w:r>
        <w:r w:rsidR="0071411B">
          <w:rPr>
            <w:noProof/>
            <w:webHidden/>
          </w:rPr>
          <w:fldChar w:fldCharType="separate"/>
        </w:r>
        <w:r w:rsidR="0071411B">
          <w:rPr>
            <w:noProof/>
            <w:webHidden/>
          </w:rPr>
          <w:t>11</w:t>
        </w:r>
        <w:r w:rsidR="0071411B">
          <w:rPr>
            <w:noProof/>
            <w:webHidden/>
          </w:rPr>
          <w:fldChar w:fldCharType="end"/>
        </w:r>
      </w:hyperlink>
    </w:p>
    <w:p w14:paraId="34E132F5" w14:textId="263224A7" w:rsidR="0071411B" w:rsidRDefault="00B36F35">
      <w:pPr>
        <w:pStyle w:val="TableofFigures"/>
        <w:tabs>
          <w:tab w:val="right" w:leader="dot" w:pos="9350"/>
        </w:tabs>
        <w:rPr>
          <w:rFonts w:eastAsiaTheme="minorEastAsia" w:cstheme="minorBidi"/>
          <w:noProof/>
          <w:szCs w:val="22"/>
        </w:rPr>
      </w:pPr>
      <w:hyperlink w:anchor="_Toc501451179" w:history="1">
        <w:r w:rsidR="0071411B" w:rsidRPr="00BC269C">
          <w:rPr>
            <w:rStyle w:val="Hyperlink"/>
            <w:noProof/>
          </w:rPr>
          <w:t>Table 1</w:t>
        </w:r>
        <w:r w:rsidR="000149A3">
          <w:rPr>
            <w:rStyle w:val="Hyperlink"/>
            <w:noProof/>
          </w:rPr>
          <w:t>0</w:t>
        </w:r>
        <w:r w:rsidR="0071411B" w:rsidRPr="00BC269C">
          <w:rPr>
            <w:rStyle w:val="Hyperlink"/>
            <w:noProof/>
          </w:rPr>
          <w:t>: Data and Assumptions, &amp; Conversion Factors</w:t>
        </w:r>
        <w:r w:rsidR="0071411B">
          <w:rPr>
            <w:noProof/>
            <w:webHidden/>
          </w:rPr>
          <w:tab/>
        </w:r>
        <w:r w:rsidR="0071411B">
          <w:rPr>
            <w:noProof/>
            <w:webHidden/>
          </w:rPr>
          <w:fldChar w:fldCharType="begin"/>
        </w:r>
        <w:r w:rsidR="0071411B">
          <w:rPr>
            <w:noProof/>
            <w:webHidden/>
          </w:rPr>
          <w:instrText xml:space="preserve"> PAGEREF _Toc501451179 \h </w:instrText>
        </w:r>
        <w:r w:rsidR="0071411B">
          <w:rPr>
            <w:noProof/>
            <w:webHidden/>
          </w:rPr>
        </w:r>
        <w:r w:rsidR="0071411B">
          <w:rPr>
            <w:noProof/>
            <w:webHidden/>
          </w:rPr>
          <w:fldChar w:fldCharType="separate"/>
        </w:r>
        <w:r w:rsidR="0071411B">
          <w:rPr>
            <w:noProof/>
            <w:webHidden/>
          </w:rPr>
          <w:t>1</w:t>
        </w:r>
        <w:r w:rsidR="0071411B">
          <w:rPr>
            <w:noProof/>
            <w:webHidden/>
          </w:rPr>
          <w:fldChar w:fldCharType="end"/>
        </w:r>
      </w:hyperlink>
      <w:r w:rsidR="00860B34">
        <w:rPr>
          <w:noProof/>
        </w:rPr>
        <w:t>3</w:t>
      </w:r>
    </w:p>
    <w:p w14:paraId="3E6CACE9" w14:textId="4C44A5DD" w:rsidR="0071411B" w:rsidRDefault="00B36F35">
      <w:pPr>
        <w:pStyle w:val="TableofFigures"/>
        <w:tabs>
          <w:tab w:val="right" w:leader="dot" w:pos="9350"/>
        </w:tabs>
        <w:rPr>
          <w:rFonts w:eastAsiaTheme="minorEastAsia" w:cstheme="minorBidi"/>
          <w:noProof/>
          <w:szCs w:val="22"/>
        </w:rPr>
      </w:pPr>
      <w:hyperlink w:anchor="_Toc501451180" w:history="1">
        <w:r w:rsidR="0071411B" w:rsidRPr="00BC269C">
          <w:rPr>
            <w:rStyle w:val="Hyperlink"/>
            <w:noProof/>
          </w:rPr>
          <w:t>Table 1</w:t>
        </w:r>
        <w:r w:rsidR="000149A3">
          <w:rPr>
            <w:rStyle w:val="Hyperlink"/>
            <w:noProof/>
          </w:rPr>
          <w:t>1</w:t>
        </w:r>
        <w:r w:rsidR="0071411B" w:rsidRPr="00BC269C">
          <w:rPr>
            <w:rStyle w:val="Hyperlink"/>
            <w:noProof/>
          </w:rPr>
          <w:t>: Data and Assumptions for Lodging</w:t>
        </w:r>
        <w:r w:rsidR="0071411B">
          <w:rPr>
            <w:noProof/>
            <w:webHidden/>
          </w:rPr>
          <w:tab/>
        </w:r>
        <w:r w:rsidR="0071411B">
          <w:rPr>
            <w:noProof/>
            <w:webHidden/>
          </w:rPr>
          <w:fldChar w:fldCharType="begin"/>
        </w:r>
        <w:r w:rsidR="0071411B">
          <w:rPr>
            <w:noProof/>
            <w:webHidden/>
          </w:rPr>
          <w:instrText xml:space="preserve"> PAGEREF _Toc501451180 \h </w:instrText>
        </w:r>
        <w:r w:rsidR="0071411B">
          <w:rPr>
            <w:noProof/>
            <w:webHidden/>
          </w:rPr>
        </w:r>
        <w:r w:rsidR="0071411B">
          <w:rPr>
            <w:noProof/>
            <w:webHidden/>
          </w:rPr>
          <w:fldChar w:fldCharType="separate"/>
        </w:r>
        <w:r w:rsidR="0071411B">
          <w:rPr>
            <w:noProof/>
            <w:webHidden/>
          </w:rPr>
          <w:t>1</w:t>
        </w:r>
        <w:r w:rsidR="0071411B">
          <w:rPr>
            <w:noProof/>
            <w:webHidden/>
          </w:rPr>
          <w:fldChar w:fldCharType="end"/>
        </w:r>
      </w:hyperlink>
      <w:r w:rsidR="00860B34">
        <w:rPr>
          <w:noProof/>
        </w:rPr>
        <w:t>4</w:t>
      </w:r>
    </w:p>
    <w:p w14:paraId="6A323132" w14:textId="7C86E4FF" w:rsidR="0071411B" w:rsidRDefault="00B36F35">
      <w:pPr>
        <w:pStyle w:val="TableofFigures"/>
        <w:tabs>
          <w:tab w:val="right" w:leader="dot" w:pos="9350"/>
        </w:tabs>
        <w:rPr>
          <w:rFonts w:eastAsiaTheme="minorEastAsia" w:cstheme="minorBidi"/>
          <w:noProof/>
          <w:szCs w:val="22"/>
        </w:rPr>
      </w:pPr>
      <w:hyperlink w:anchor="_Toc501451181" w:history="1">
        <w:r w:rsidR="0071411B" w:rsidRPr="00BC269C">
          <w:rPr>
            <w:rStyle w:val="Hyperlink"/>
            <w:noProof/>
          </w:rPr>
          <w:t>Table 1</w:t>
        </w:r>
        <w:r w:rsidR="000149A3">
          <w:rPr>
            <w:rStyle w:val="Hyperlink"/>
            <w:noProof/>
          </w:rPr>
          <w:t>2</w:t>
        </w:r>
        <w:r w:rsidR="0071411B" w:rsidRPr="00BC269C">
          <w:rPr>
            <w:rStyle w:val="Hyperlink"/>
            <w:noProof/>
          </w:rPr>
          <w:t>: Data and Assumptions for Schools</w:t>
        </w:r>
        <w:r w:rsidR="0071411B">
          <w:rPr>
            <w:noProof/>
            <w:webHidden/>
          </w:rPr>
          <w:tab/>
        </w:r>
        <w:r w:rsidR="0071411B">
          <w:rPr>
            <w:noProof/>
            <w:webHidden/>
          </w:rPr>
          <w:fldChar w:fldCharType="begin"/>
        </w:r>
        <w:r w:rsidR="0071411B">
          <w:rPr>
            <w:noProof/>
            <w:webHidden/>
          </w:rPr>
          <w:instrText xml:space="preserve"> PAGEREF _Toc501451181 \h </w:instrText>
        </w:r>
        <w:r w:rsidR="0071411B">
          <w:rPr>
            <w:noProof/>
            <w:webHidden/>
          </w:rPr>
        </w:r>
        <w:r w:rsidR="0071411B">
          <w:rPr>
            <w:noProof/>
            <w:webHidden/>
          </w:rPr>
          <w:fldChar w:fldCharType="separate"/>
        </w:r>
        <w:r w:rsidR="0071411B">
          <w:rPr>
            <w:noProof/>
            <w:webHidden/>
          </w:rPr>
          <w:t>1</w:t>
        </w:r>
        <w:r w:rsidR="0071411B">
          <w:rPr>
            <w:noProof/>
            <w:webHidden/>
          </w:rPr>
          <w:fldChar w:fldCharType="end"/>
        </w:r>
      </w:hyperlink>
      <w:r w:rsidR="00860B34">
        <w:rPr>
          <w:noProof/>
        </w:rPr>
        <w:t>5</w:t>
      </w:r>
    </w:p>
    <w:p w14:paraId="2296411A" w14:textId="0CCBAD59" w:rsidR="0071411B" w:rsidRDefault="00B36F35">
      <w:pPr>
        <w:pStyle w:val="TableofFigures"/>
        <w:tabs>
          <w:tab w:val="right" w:leader="dot" w:pos="9350"/>
        </w:tabs>
        <w:rPr>
          <w:rFonts w:eastAsiaTheme="minorEastAsia" w:cstheme="minorBidi"/>
          <w:noProof/>
          <w:szCs w:val="22"/>
        </w:rPr>
      </w:pPr>
      <w:hyperlink w:anchor="_Toc501451182" w:history="1">
        <w:r w:rsidR="0071411B" w:rsidRPr="00BC269C">
          <w:rPr>
            <w:rStyle w:val="Hyperlink"/>
            <w:noProof/>
          </w:rPr>
          <w:t>Table 1</w:t>
        </w:r>
        <w:r w:rsidR="000149A3">
          <w:rPr>
            <w:rStyle w:val="Hyperlink"/>
            <w:noProof/>
          </w:rPr>
          <w:t>3</w:t>
        </w:r>
        <w:r w:rsidR="0071411B" w:rsidRPr="00BC269C">
          <w:rPr>
            <w:rStyle w:val="Hyperlink"/>
            <w:noProof/>
          </w:rPr>
          <w:t>: Annual Water Con</w:t>
        </w:r>
        <w:r w:rsidR="00BF6988">
          <w:rPr>
            <w:rStyle w:val="Hyperlink"/>
            <w:noProof/>
          </w:rPr>
          <w:t>sumption Per Shower:</w:t>
        </w:r>
        <w:r w:rsidR="0071411B">
          <w:rPr>
            <w:noProof/>
            <w:webHidden/>
          </w:rPr>
          <w:tab/>
        </w:r>
        <w:r w:rsidR="0071411B">
          <w:rPr>
            <w:noProof/>
            <w:webHidden/>
          </w:rPr>
          <w:fldChar w:fldCharType="begin"/>
        </w:r>
        <w:r w:rsidR="0071411B">
          <w:rPr>
            <w:noProof/>
            <w:webHidden/>
          </w:rPr>
          <w:instrText xml:space="preserve"> PAGEREF _Toc501451182 \h </w:instrText>
        </w:r>
        <w:r w:rsidR="0071411B">
          <w:rPr>
            <w:noProof/>
            <w:webHidden/>
          </w:rPr>
        </w:r>
        <w:r w:rsidR="0071411B">
          <w:rPr>
            <w:noProof/>
            <w:webHidden/>
          </w:rPr>
          <w:fldChar w:fldCharType="separate"/>
        </w:r>
        <w:r w:rsidR="0071411B">
          <w:rPr>
            <w:noProof/>
            <w:webHidden/>
          </w:rPr>
          <w:t>1</w:t>
        </w:r>
        <w:r w:rsidR="0071411B">
          <w:rPr>
            <w:noProof/>
            <w:webHidden/>
          </w:rPr>
          <w:fldChar w:fldCharType="end"/>
        </w:r>
      </w:hyperlink>
      <w:r w:rsidR="00860B34">
        <w:rPr>
          <w:noProof/>
        </w:rPr>
        <w:t>7</w:t>
      </w:r>
    </w:p>
    <w:p w14:paraId="794C5889" w14:textId="40A0FC96" w:rsidR="0071411B" w:rsidRDefault="00B36F35">
      <w:pPr>
        <w:pStyle w:val="TableofFigures"/>
        <w:tabs>
          <w:tab w:val="right" w:leader="dot" w:pos="9350"/>
        </w:tabs>
        <w:rPr>
          <w:rFonts w:eastAsiaTheme="minorEastAsia" w:cstheme="minorBidi"/>
          <w:noProof/>
          <w:szCs w:val="22"/>
        </w:rPr>
      </w:pPr>
      <w:hyperlink w:anchor="_Toc501451183" w:history="1">
        <w:r w:rsidR="0071411B" w:rsidRPr="00BC269C">
          <w:rPr>
            <w:rStyle w:val="Hyperlink"/>
            <w:noProof/>
          </w:rPr>
          <w:t>Table 1</w:t>
        </w:r>
        <w:r w:rsidR="000149A3">
          <w:rPr>
            <w:rStyle w:val="Hyperlink"/>
            <w:noProof/>
          </w:rPr>
          <w:t>4</w:t>
        </w:r>
        <w:r w:rsidR="0071411B" w:rsidRPr="00BC269C">
          <w:rPr>
            <w:rStyle w:val="Hyperlink"/>
            <w:noProof/>
          </w:rPr>
          <w:t xml:space="preserve"> : Annual Water Savings by Using Low Flow Showerheads (</w:t>
        </w:r>
        <w:r w:rsidR="00BF6988">
          <w:rPr>
            <w:rStyle w:val="Hyperlink"/>
            <w:noProof/>
          </w:rPr>
          <w:t>2.25 GPM Baseline</w:t>
        </w:r>
        <w:r w:rsidR="0071411B" w:rsidRPr="00BC269C">
          <w:rPr>
            <w:rStyle w:val="Hyperlink"/>
            <w:noProof/>
          </w:rPr>
          <w:t>)</w:t>
        </w:r>
        <w:r w:rsidR="0071411B">
          <w:rPr>
            <w:noProof/>
            <w:webHidden/>
          </w:rPr>
          <w:tab/>
        </w:r>
        <w:r w:rsidR="0071411B">
          <w:rPr>
            <w:noProof/>
            <w:webHidden/>
          </w:rPr>
          <w:fldChar w:fldCharType="begin"/>
        </w:r>
        <w:r w:rsidR="0071411B">
          <w:rPr>
            <w:noProof/>
            <w:webHidden/>
          </w:rPr>
          <w:instrText xml:space="preserve"> PAGEREF _Toc501451183 \h </w:instrText>
        </w:r>
        <w:r w:rsidR="0071411B">
          <w:rPr>
            <w:noProof/>
            <w:webHidden/>
          </w:rPr>
        </w:r>
        <w:r w:rsidR="0071411B">
          <w:rPr>
            <w:noProof/>
            <w:webHidden/>
          </w:rPr>
          <w:fldChar w:fldCharType="separate"/>
        </w:r>
        <w:r w:rsidR="0071411B">
          <w:rPr>
            <w:noProof/>
            <w:webHidden/>
          </w:rPr>
          <w:t>1</w:t>
        </w:r>
        <w:r w:rsidR="0071411B">
          <w:rPr>
            <w:noProof/>
            <w:webHidden/>
          </w:rPr>
          <w:fldChar w:fldCharType="end"/>
        </w:r>
      </w:hyperlink>
      <w:r w:rsidR="00860B34">
        <w:rPr>
          <w:noProof/>
        </w:rPr>
        <w:t>7</w:t>
      </w:r>
    </w:p>
    <w:p w14:paraId="00ED74A9" w14:textId="734B4EC4" w:rsidR="0071411B" w:rsidRDefault="00B36F35">
      <w:pPr>
        <w:pStyle w:val="TableofFigures"/>
        <w:tabs>
          <w:tab w:val="right" w:leader="dot" w:pos="9350"/>
        </w:tabs>
        <w:rPr>
          <w:rFonts w:eastAsiaTheme="minorEastAsia" w:cstheme="minorBidi"/>
          <w:noProof/>
          <w:szCs w:val="22"/>
        </w:rPr>
      </w:pPr>
      <w:hyperlink w:anchor="_Toc501451184" w:history="1">
        <w:r w:rsidR="00CA52AE">
          <w:rPr>
            <w:rStyle w:val="Hyperlink"/>
            <w:noProof/>
          </w:rPr>
          <w:t>Table 1</w:t>
        </w:r>
        <w:r w:rsidR="000149A3">
          <w:rPr>
            <w:rStyle w:val="Hyperlink"/>
            <w:noProof/>
          </w:rPr>
          <w:t>5</w:t>
        </w:r>
        <w:r w:rsidR="00CA52AE">
          <w:rPr>
            <w:rStyle w:val="Hyperlink"/>
            <w:noProof/>
          </w:rPr>
          <w:t xml:space="preserve">: Energy Savings </w:t>
        </w:r>
        <w:r w:rsidR="0071411B" w:rsidRPr="00BC269C">
          <w:rPr>
            <w:rStyle w:val="Hyperlink"/>
            <w:noProof/>
          </w:rPr>
          <w:t>(1st Baseline @ 2.25 gpm and LFSH of 1.5 gpm)</w:t>
        </w:r>
        <w:r w:rsidR="0071411B">
          <w:rPr>
            <w:noProof/>
            <w:webHidden/>
          </w:rPr>
          <w:tab/>
        </w:r>
        <w:r w:rsidR="0071411B">
          <w:rPr>
            <w:noProof/>
            <w:webHidden/>
          </w:rPr>
          <w:fldChar w:fldCharType="begin"/>
        </w:r>
        <w:r w:rsidR="0071411B">
          <w:rPr>
            <w:noProof/>
            <w:webHidden/>
          </w:rPr>
          <w:instrText xml:space="preserve"> PAGEREF _Toc501451184 \h </w:instrText>
        </w:r>
        <w:r w:rsidR="0071411B">
          <w:rPr>
            <w:noProof/>
            <w:webHidden/>
          </w:rPr>
        </w:r>
        <w:r w:rsidR="0071411B">
          <w:rPr>
            <w:noProof/>
            <w:webHidden/>
          </w:rPr>
          <w:fldChar w:fldCharType="separate"/>
        </w:r>
        <w:r w:rsidR="0071411B">
          <w:rPr>
            <w:noProof/>
            <w:webHidden/>
          </w:rPr>
          <w:t>1</w:t>
        </w:r>
        <w:r w:rsidR="0071411B">
          <w:rPr>
            <w:noProof/>
            <w:webHidden/>
          </w:rPr>
          <w:fldChar w:fldCharType="end"/>
        </w:r>
      </w:hyperlink>
      <w:r w:rsidR="00860B34">
        <w:rPr>
          <w:noProof/>
        </w:rPr>
        <w:t>8</w:t>
      </w:r>
    </w:p>
    <w:p w14:paraId="30A138A9" w14:textId="46519321" w:rsidR="0071411B" w:rsidRDefault="00B36F35">
      <w:pPr>
        <w:pStyle w:val="TableofFigures"/>
        <w:tabs>
          <w:tab w:val="right" w:leader="dot" w:pos="9350"/>
        </w:tabs>
        <w:rPr>
          <w:rFonts w:eastAsiaTheme="minorEastAsia" w:cstheme="minorBidi"/>
          <w:noProof/>
          <w:szCs w:val="22"/>
        </w:rPr>
      </w:pPr>
      <w:hyperlink w:anchor="_Toc501451185" w:history="1">
        <w:r w:rsidR="0071411B" w:rsidRPr="00BC269C">
          <w:rPr>
            <w:rStyle w:val="Hyperlink"/>
            <w:noProof/>
          </w:rPr>
          <w:t>Table 1</w:t>
        </w:r>
        <w:r w:rsidR="000149A3">
          <w:rPr>
            <w:rStyle w:val="Hyperlink"/>
            <w:noProof/>
          </w:rPr>
          <w:t>6</w:t>
        </w:r>
        <w:r w:rsidR="0071411B" w:rsidRPr="00BC269C">
          <w:rPr>
            <w:rStyle w:val="Hyperlink"/>
            <w:noProof/>
          </w:rPr>
          <w:t>: Full and Incremental Measure Cost Equations</w:t>
        </w:r>
        <w:r w:rsidR="0071411B">
          <w:rPr>
            <w:noProof/>
            <w:webHidden/>
          </w:rPr>
          <w:tab/>
        </w:r>
        <w:r w:rsidR="0071411B">
          <w:rPr>
            <w:noProof/>
            <w:webHidden/>
          </w:rPr>
          <w:fldChar w:fldCharType="begin"/>
        </w:r>
        <w:r w:rsidR="0071411B">
          <w:rPr>
            <w:noProof/>
            <w:webHidden/>
          </w:rPr>
          <w:instrText xml:space="preserve"> PAGEREF _Toc501451185 \h </w:instrText>
        </w:r>
        <w:r w:rsidR="0071411B">
          <w:rPr>
            <w:noProof/>
            <w:webHidden/>
          </w:rPr>
        </w:r>
        <w:r w:rsidR="0071411B">
          <w:rPr>
            <w:noProof/>
            <w:webHidden/>
          </w:rPr>
          <w:fldChar w:fldCharType="separate"/>
        </w:r>
        <w:r w:rsidR="0071411B">
          <w:rPr>
            <w:noProof/>
            <w:webHidden/>
          </w:rPr>
          <w:t>2</w:t>
        </w:r>
        <w:r w:rsidR="0071411B">
          <w:rPr>
            <w:noProof/>
            <w:webHidden/>
          </w:rPr>
          <w:fldChar w:fldCharType="end"/>
        </w:r>
      </w:hyperlink>
      <w:r w:rsidR="00860B34">
        <w:rPr>
          <w:noProof/>
        </w:rPr>
        <w:t>0</w:t>
      </w:r>
    </w:p>
    <w:p w14:paraId="340766E4" w14:textId="0C1B847F" w:rsidR="0071411B" w:rsidRDefault="00B36F35">
      <w:pPr>
        <w:pStyle w:val="TableofFigures"/>
        <w:tabs>
          <w:tab w:val="right" w:leader="dot" w:pos="9350"/>
        </w:tabs>
        <w:rPr>
          <w:rFonts w:eastAsiaTheme="minorEastAsia" w:cstheme="minorBidi"/>
          <w:noProof/>
          <w:szCs w:val="22"/>
        </w:rPr>
      </w:pPr>
      <w:hyperlink w:anchor="_Toc501451186" w:history="1">
        <w:r w:rsidR="0071411B" w:rsidRPr="00BC269C">
          <w:rPr>
            <w:rStyle w:val="Hyperlink"/>
            <w:noProof/>
          </w:rPr>
          <w:t>Table 1</w:t>
        </w:r>
        <w:r w:rsidR="000149A3">
          <w:rPr>
            <w:rStyle w:val="Hyperlink"/>
            <w:noProof/>
          </w:rPr>
          <w:t>7</w:t>
        </w:r>
        <w:r w:rsidR="0071411B" w:rsidRPr="00BC269C">
          <w:rPr>
            <w:rStyle w:val="Hyperlink"/>
            <w:noProof/>
          </w:rPr>
          <w:t>: Full and Incremental Costs</w:t>
        </w:r>
        <w:r w:rsidR="0071411B">
          <w:rPr>
            <w:noProof/>
            <w:webHidden/>
          </w:rPr>
          <w:tab/>
        </w:r>
        <w:r w:rsidR="0071411B">
          <w:rPr>
            <w:noProof/>
            <w:webHidden/>
          </w:rPr>
          <w:fldChar w:fldCharType="begin"/>
        </w:r>
        <w:r w:rsidR="0071411B">
          <w:rPr>
            <w:noProof/>
            <w:webHidden/>
          </w:rPr>
          <w:instrText xml:space="preserve"> PAGEREF _Toc501451186 \h </w:instrText>
        </w:r>
        <w:r w:rsidR="0071411B">
          <w:rPr>
            <w:noProof/>
            <w:webHidden/>
          </w:rPr>
        </w:r>
        <w:r w:rsidR="0071411B">
          <w:rPr>
            <w:noProof/>
            <w:webHidden/>
          </w:rPr>
          <w:fldChar w:fldCharType="separate"/>
        </w:r>
        <w:r w:rsidR="0071411B">
          <w:rPr>
            <w:noProof/>
            <w:webHidden/>
          </w:rPr>
          <w:t>2</w:t>
        </w:r>
        <w:r w:rsidR="0071411B">
          <w:rPr>
            <w:noProof/>
            <w:webHidden/>
          </w:rPr>
          <w:fldChar w:fldCharType="end"/>
        </w:r>
      </w:hyperlink>
      <w:r w:rsidR="00860B34">
        <w:rPr>
          <w:noProof/>
        </w:rPr>
        <w:t>0</w:t>
      </w:r>
    </w:p>
    <w:p w14:paraId="7D56D14A" w14:textId="4A6FA343" w:rsidR="00D26116" w:rsidRDefault="00F66806" w:rsidP="00D26116">
      <w:pPr>
        <w:pStyle w:val="Heading1"/>
        <w:spacing w:line="360" w:lineRule="auto"/>
        <w:rPr>
          <w:rFonts w:cstheme="minorHAnsi"/>
          <w:b w:val="0"/>
          <w:bCs w:val="0"/>
          <w:smallCaps w:val="0"/>
        </w:rPr>
      </w:pPr>
      <w:r>
        <w:rPr>
          <w:rFonts w:cstheme="minorHAnsi"/>
          <w:b w:val="0"/>
          <w:bCs w:val="0"/>
          <w:smallCaps w:val="0"/>
        </w:rPr>
        <w:fldChar w:fldCharType="end"/>
      </w:r>
    </w:p>
    <w:p w14:paraId="7D56D14B" w14:textId="77777777" w:rsidR="00CD4C30" w:rsidRDefault="00CD4C30" w:rsidP="00CD4C30">
      <w:pPr>
        <w:spacing w:after="200" w:line="276" w:lineRule="auto"/>
        <w:rPr>
          <w:rFonts w:cstheme="minorHAnsi"/>
          <w:b/>
          <w:bCs/>
          <w:smallCaps/>
          <w:kern w:val="32"/>
          <w:sz w:val="36"/>
          <w:szCs w:val="32"/>
        </w:rPr>
      </w:pPr>
    </w:p>
    <w:p w14:paraId="7D56D14C" w14:textId="77777777" w:rsidR="00CD4C30" w:rsidRDefault="00CD4C30">
      <w:pPr>
        <w:spacing w:after="200" w:line="276" w:lineRule="auto"/>
        <w:rPr>
          <w:rFonts w:cstheme="minorHAnsi"/>
          <w:b/>
          <w:bCs/>
          <w:smallCaps/>
          <w:kern w:val="32"/>
          <w:sz w:val="36"/>
          <w:szCs w:val="32"/>
        </w:rPr>
      </w:pPr>
      <w:r>
        <w:rPr>
          <w:rFonts w:cstheme="minorHAnsi"/>
        </w:rPr>
        <w:br w:type="page"/>
      </w:r>
    </w:p>
    <w:p w14:paraId="7D56D14D" w14:textId="77777777" w:rsidR="00E16609" w:rsidRPr="00500C4E" w:rsidRDefault="00E16609" w:rsidP="00E16609">
      <w:pPr>
        <w:pStyle w:val="Heading1"/>
        <w:rPr>
          <w:rFonts w:cstheme="minorHAnsi"/>
        </w:rPr>
      </w:pPr>
      <w:bookmarkStart w:id="11" w:name="_Toc502148136"/>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bookmarkEnd w:id="11"/>
    </w:p>
    <w:p w14:paraId="7D56D14E" w14:textId="77777777" w:rsidR="00E16609" w:rsidRPr="00500C4E" w:rsidRDefault="00824F1C" w:rsidP="00697868">
      <w:pPr>
        <w:pStyle w:val="Heading2"/>
        <w:rPr>
          <w:rFonts w:asciiTheme="minorHAnsi" w:hAnsiTheme="minorHAnsi"/>
        </w:rPr>
      </w:pPr>
      <w:bookmarkStart w:id="12" w:name="_Toc502148137"/>
      <w:bookmarkStart w:id="13"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bookmarkEnd w:id="12"/>
      <w:r w:rsidR="00E16609" w:rsidRPr="00500C4E">
        <w:rPr>
          <w:rFonts w:asciiTheme="minorHAnsi" w:hAnsiTheme="minorHAnsi"/>
        </w:rPr>
        <w:t xml:space="preserve"> </w:t>
      </w:r>
      <w:bookmarkEnd w:id="13"/>
    </w:p>
    <w:p w14:paraId="19F9C798" w14:textId="6AF3D731" w:rsidR="005F58AD" w:rsidRDefault="001B262A" w:rsidP="002C7975">
      <w:pPr>
        <w:rPr>
          <w:szCs w:val="22"/>
        </w:rPr>
      </w:pPr>
      <w:r w:rsidRPr="00FE0ED1">
        <w:rPr>
          <w:szCs w:val="22"/>
        </w:rPr>
        <w:t xml:space="preserve">This workpaper provides an opportunity for energy savings by installing low-flow </w:t>
      </w:r>
      <w:r w:rsidR="00351841" w:rsidRPr="00FE0ED1">
        <w:rPr>
          <w:szCs w:val="22"/>
        </w:rPr>
        <w:t>showerheads in commercial buildings</w:t>
      </w:r>
      <w:r w:rsidR="00EF1F78">
        <w:rPr>
          <w:szCs w:val="22"/>
        </w:rPr>
        <w:t>. This w</w:t>
      </w:r>
      <w:r w:rsidRPr="00FE0ED1">
        <w:rPr>
          <w:szCs w:val="22"/>
        </w:rPr>
        <w:t xml:space="preserve">orkpaper details the energy </w:t>
      </w:r>
      <w:r w:rsidR="002C7975" w:rsidRPr="00FE0ED1">
        <w:rPr>
          <w:szCs w:val="22"/>
        </w:rPr>
        <w:t xml:space="preserve">savings </w:t>
      </w:r>
      <w:r w:rsidR="002C7975">
        <w:rPr>
          <w:szCs w:val="22"/>
        </w:rPr>
        <w:t xml:space="preserve">and other measure </w:t>
      </w:r>
      <w:r w:rsidR="005E489F">
        <w:rPr>
          <w:szCs w:val="22"/>
        </w:rPr>
        <w:t>parameters</w:t>
      </w:r>
      <w:r w:rsidR="002C7975">
        <w:rPr>
          <w:szCs w:val="22"/>
        </w:rPr>
        <w:t xml:space="preserve"> for </w:t>
      </w:r>
      <w:r w:rsidR="002C7975" w:rsidRPr="00FE0ED1">
        <w:rPr>
          <w:szCs w:val="22"/>
        </w:rPr>
        <w:t xml:space="preserve">the installation of low flow showerheads </w:t>
      </w:r>
      <w:r w:rsidR="002C7975">
        <w:rPr>
          <w:szCs w:val="22"/>
        </w:rPr>
        <w:t>rated at 1.5</w:t>
      </w:r>
      <w:r w:rsidR="002C7975" w:rsidRPr="00FE0ED1">
        <w:rPr>
          <w:szCs w:val="22"/>
        </w:rPr>
        <w:t xml:space="preserve"> GPM</w:t>
      </w:r>
      <w:r w:rsidR="002C7975">
        <w:rPr>
          <w:szCs w:val="22"/>
        </w:rPr>
        <w:t xml:space="preserve"> and 1.8 GPM.</w:t>
      </w:r>
      <w:r w:rsidR="002C7975" w:rsidRPr="00FE0ED1">
        <w:rPr>
          <w:szCs w:val="22"/>
        </w:rPr>
        <w:t xml:space="preserve"> </w:t>
      </w:r>
    </w:p>
    <w:p w14:paraId="5B672C81" w14:textId="51DFB2B5" w:rsidR="00C77447" w:rsidRPr="005F58AD" w:rsidRDefault="005F58AD" w:rsidP="005F58AD">
      <w:pPr>
        <w:pStyle w:val="Heading2"/>
        <w:rPr>
          <w:rFonts w:asciiTheme="minorHAnsi" w:hAnsiTheme="minorHAnsi"/>
        </w:rPr>
      </w:pPr>
      <w:bookmarkStart w:id="14" w:name="_Toc502148138"/>
      <w:r>
        <w:rPr>
          <w:rFonts w:asciiTheme="minorHAnsi" w:hAnsiTheme="minorHAnsi"/>
        </w:rPr>
        <w:t>1.2</w:t>
      </w:r>
      <w:r w:rsidRPr="00500C4E">
        <w:rPr>
          <w:rFonts w:asciiTheme="minorHAnsi" w:hAnsiTheme="minorHAnsi"/>
        </w:rPr>
        <w:t xml:space="preserve"> </w:t>
      </w:r>
      <w:r>
        <w:rPr>
          <w:rFonts w:asciiTheme="minorHAnsi" w:hAnsiTheme="minorHAnsi"/>
        </w:rPr>
        <w:t>Technical Description</w:t>
      </w:r>
      <w:bookmarkEnd w:id="14"/>
      <w:r w:rsidRPr="00500C4E">
        <w:rPr>
          <w:rFonts w:asciiTheme="minorHAnsi" w:hAnsiTheme="minorHAnsi"/>
        </w:rPr>
        <w:t xml:space="preserve"> </w:t>
      </w:r>
    </w:p>
    <w:p w14:paraId="7D56D150" w14:textId="7565BF42" w:rsidR="002B46ED" w:rsidRPr="00C77447" w:rsidRDefault="002B46ED" w:rsidP="00C77447">
      <w:pPr>
        <w:rPr>
          <w:b/>
        </w:rPr>
      </w:pPr>
      <w:r w:rsidRPr="00C77447">
        <w:rPr>
          <w:b/>
        </w:rPr>
        <w:t>Low-Flow Showerhead</w:t>
      </w:r>
    </w:p>
    <w:p w14:paraId="16C64F54" w14:textId="77777777" w:rsidR="007D7350" w:rsidRDefault="007D7350" w:rsidP="007D7350">
      <w:pPr>
        <w:pStyle w:val="Reminders"/>
        <w:ind w:left="720"/>
        <w:rPr>
          <w:rFonts w:cstheme="minorHAnsi"/>
          <w:i w:val="0"/>
          <w:szCs w:val="22"/>
        </w:rPr>
      </w:pPr>
      <w:r w:rsidRPr="00801960">
        <w:rPr>
          <w:rFonts w:asciiTheme="minorHAnsi" w:hAnsiTheme="minorHAnsi" w:cstheme="minorHAnsi"/>
          <w:i w:val="0"/>
          <w:color w:val="auto"/>
          <w:szCs w:val="22"/>
        </w:rPr>
        <w:t>Installation of low-flow showerheads in commercial facilities reduce</w:t>
      </w:r>
      <w:r>
        <w:rPr>
          <w:rFonts w:asciiTheme="minorHAnsi" w:hAnsiTheme="minorHAnsi" w:cstheme="minorHAnsi"/>
          <w:i w:val="0"/>
          <w:color w:val="auto"/>
          <w:szCs w:val="22"/>
        </w:rPr>
        <w:t>s</w:t>
      </w:r>
      <w:r w:rsidRPr="00801960">
        <w:rPr>
          <w:rFonts w:asciiTheme="minorHAnsi" w:hAnsiTheme="minorHAnsi" w:cstheme="minorHAnsi"/>
          <w:i w:val="0"/>
          <w:color w:val="auto"/>
          <w:szCs w:val="22"/>
        </w:rPr>
        <w:t xml:space="preserve"> water consumption and save</w:t>
      </w:r>
      <w:r>
        <w:rPr>
          <w:rFonts w:asciiTheme="minorHAnsi" w:hAnsiTheme="minorHAnsi" w:cstheme="minorHAnsi"/>
          <w:i w:val="0"/>
          <w:color w:val="auto"/>
          <w:szCs w:val="22"/>
        </w:rPr>
        <w:t>s</w:t>
      </w:r>
      <w:r w:rsidRPr="00801960">
        <w:rPr>
          <w:rFonts w:asciiTheme="minorHAnsi" w:hAnsiTheme="minorHAnsi" w:cstheme="minorHAnsi"/>
          <w:i w:val="0"/>
          <w:color w:val="auto"/>
          <w:szCs w:val="22"/>
        </w:rPr>
        <w:t xml:space="preserve"> energy associated with water heating. Studies have shown that there are many </w:t>
      </w:r>
      <w:r>
        <w:rPr>
          <w:rFonts w:asciiTheme="minorHAnsi" w:hAnsiTheme="minorHAnsi" w:cstheme="minorHAnsi"/>
          <w:i w:val="0"/>
          <w:color w:val="auto"/>
          <w:szCs w:val="22"/>
        </w:rPr>
        <w:t>commercial buildings</w:t>
      </w:r>
      <w:r w:rsidRPr="00801960">
        <w:rPr>
          <w:rFonts w:asciiTheme="minorHAnsi" w:hAnsiTheme="minorHAnsi" w:cstheme="minorHAnsi"/>
          <w:i w:val="0"/>
          <w:color w:val="auto"/>
          <w:szCs w:val="22"/>
        </w:rPr>
        <w:t xml:space="preserve"> in Southern California that can benefit from replacing their existing water fixtures, and specifically, showerheads into low flow fixtures. The economics from such improvement</w:t>
      </w:r>
      <w:r>
        <w:rPr>
          <w:rFonts w:asciiTheme="minorHAnsi" w:hAnsiTheme="minorHAnsi" w:cstheme="minorHAnsi"/>
          <w:i w:val="0"/>
          <w:color w:val="auto"/>
          <w:szCs w:val="22"/>
        </w:rPr>
        <w:t>s</w:t>
      </w:r>
      <w:r w:rsidRPr="00801960">
        <w:rPr>
          <w:rFonts w:asciiTheme="minorHAnsi" w:hAnsiTheme="minorHAnsi" w:cstheme="minorHAnsi"/>
          <w:i w:val="0"/>
          <w:color w:val="auto"/>
          <w:szCs w:val="22"/>
        </w:rPr>
        <w:t xml:space="preserve"> </w:t>
      </w:r>
      <w:r>
        <w:rPr>
          <w:rFonts w:asciiTheme="minorHAnsi" w:hAnsiTheme="minorHAnsi" w:cstheme="minorHAnsi"/>
          <w:i w:val="0"/>
          <w:color w:val="auto"/>
          <w:szCs w:val="22"/>
        </w:rPr>
        <w:t>are</w:t>
      </w:r>
      <w:r w:rsidRPr="00801960">
        <w:rPr>
          <w:rFonts w:asciiTheme="minorHAnsi" w:hAnsiTheme="minorHAnsi" w:cstheme="minorHAnsi"/>
          <w:i w:val="0"/>
          <w:color w:val="auto"/>
          <w:szCs w:val="22"/>
        </w:rPr>
        <w:t xml:space="preserve"> very cost effective.</w:t>
      </w:r>
    </w:p>
    <w:p w14:paraId="1B9512D2" w14:textId="77777777" w:rsidR="007D7350" w:rsidRDefault="007D7350" w:rsidP="002B46ED">
      <w:pPr>
        <w:ind w:left="720"/>
        <w:rPr>
          <w:szCs w:val="22"/>
        </w:rPr>
      </w:pPr>
    </w:p>
    <w:p w14:paraId="5DFA856D" w14:textId="4CB724C2" w:rsidR="007D7350" w:rsidRDefault="002C7975" w:rsidP="007D7350">
      <w:pPr>
        <w:ind w:left="720"/>
        <w:rPr>
          <w:szCs w:val="22"/>
        </w:rPr>
      </w:pPr>
      <w:r w:rsidRPr="00FE0ED1">
        <w:rPr>
          <w:szCs w:val="22"/>
        </w:rPr>
        <w:t>By reducing the flow rate</w:t>
      </w:r>
      <w:r w:rsidR="007D7350">
        <w:rPr>
          <w:szCs w:val="22"/>
        </w:rPr>
        <w:t>,</w:t>
      </w:r>
      <w:r w:rsidRPr="00FE0ED1">
        <w:rPr>
          <w:szCs w:val="22"/>
        </w:rPr>
        <w:t xml:space="preserve"> this device will reduce the amount of water consumed.  As a result, the water heater energy load will decrease, thus yielding energy </w:t>
      </w:r>
      <w:r>
        <w:rPr>
          <w:szCs w:val="22"/>
        </w:rPr>
        <w:t>and water savings.</w:t>
      </w:r>
      <w:r w:rsidRPr="00FE0ED1">
        <w:rPr>
          <w:szCs w:val="22"/>
        </w:rPr>
        <w:t xml:space="preserve"> </w:t>
      </w:r>
      <w:r>
        <w:rPr>
          <w:szCs w:val="22"/>
        </w:rPr>
        <w:t>An existing baseline flowrate of 2.25 GPM is used for the energy savings estimate during the first baseline peri</w:t>
      </w:r>
      <w:r w:rsidR="00524BA4">
        <w:rPr>
          <w:szCs w:val="22"/>
        </w:rPr>
        <w:t>od.  The code required baseline</w:t>
      </w:r>
      <w:r>
        <w:rPr>
          <w:szCs w:val="22"/>
        </w:rPr>
        <w:t xml:space="preserve"> flow</w:t>
      </w:r>
      <w:r w:rsidR="005E489F">
        <w:rPr>
          <w:szCs w:val="22"/>
        </w:rPr>
        <w:t xml:space="preserve"> </w:t>
      </w:r>
      <w:r>
        <w:rPr>
          <w:szCs w:val="22"/>
        </w:rPr>
        <w:t>rate of 1.8 GPM for the second baseline is used to estimate the energy savings in the second baseline period</w:t>
      </w:r>
      <w:r w:rsidR="004010B0">
        <w:rPr>
          <w:szCs w:val="22"/>
        </w:rPr>
        <w:t>.</w:t>
      </w:r>
      <w:r w:rsidR="002B46ED" w:rsidRPr="00FE0ED1">
        <w:rPr>
          <w:szCs w:val="22"/>
        </w:rPr>
        <w:t xml:space="preserve"> </w:t>
      </w:r>
    </w:p>
    <w:p w14:paraId="73CD3075" w14:textId="1611A5FF" w:rsidR="00C77447" w:rsidRPr="00FE0ED1" w:rsidRDefault="00C77447" w:rsidP="007D7350">
      <w:pPr>
        <w:ind w:left="720"/>
        <w:rPr>
          <w:szCs w:val="22"/>
        </w:rPr>
      </w:pPr>
    </w:p>
    <w:p w14:paraId="7D56D152" w14:textId="77777777" w:rsidR="001B262A" w:rsidRPr="00C77447" w:rsidRDefault="001B262A" w:rsidP="00C77447">
      <w:pPr>
        <w:rPr>
          <w:b/>
        </w:rPr>
      </w:pPr>
      <w:r w:rsidRPr="00C77447">
        <w:rPr>
          <w:b/>
        </w:rPr>
        <w:t>Program Restrictions and Guidelines</w:t>
      </w:r>
    </w:p>
    <w:p w14:paraId="7D56D153" w14:textId="77777777" w:rsidR="001B262A" w:rsidRPr="00705044" w:rsidRDefault="001B262A" w:rsidP="00DF751A">
      <w:pPr>
        <w:pStyle w:val="PR2"/>
        <w:ind w:left="432"/>
        <w:rPr>
          <w:rFonts w:asciiTheme="minorHAnsi" w:hAnsiTheme="minorHAnsi"/>
          <w:b/>
          <w:i/>
          <w:sz w:val="22"/>
          <w:szCs w:val="22"/>
        </w:rPr>
      </w:pPr>
      <w:r w:rsidRPr="00705044">
        <w:rPr>
          <w:rFonts w:asciiTheme="minorHAnsi" w:hAnsiTheme="minorHAnsi"/>
          <w:b/>
          <w:i/>
          <w:sz w:val="22"/>
          <w:szCs w:val="22"/>
        </w:rPr>
        <w:t>Terms and Conditions</w:t>
      </w:r>
    </w:p>
    <w:p w14:paraId="46CBA29B" w14:textId="139F93E3" w:rsidR="002261E8" w:rsidRDefault="002261E8" w:rsidP="00C77447">
      <w:pPr>
        <w:pStyle w:val="ListParagraph"/>
        <w:numPr>
          <w:ilvl w:val="0"/>
          <w:numId w:val="21"/>
        </w:numPr>
        <w:rPr>
          <w:szCs w:val="22"/>
        </w:rPr>
      </w:pPr>
      <w:r>
        <w:rPr>
          <w:szCs w:val="22"/>
        </w:rPr>
        <w:t xml:space="preserve">This workpaper includes only a Direct Install </w:t>
      </w:r>
      <w:r w:rsidR="000149A3">
        <w:rPr>
          <w:szCs w:val="22"/>
        </w:rPr>
        <w:t>delivery</w:t>
      </w:r>
      <w:r>
        <w:rPr>
          <w:szCs w:val="22"/>
        </w:rPr>
        <w:t xml:space="preserve"> method.</w:t>
      </w:r>
      <w:r w:rsidR="004145FA">
        <w:rPr>
          <w:szCs w:val="22"/>
        </w:rPr>
        <w:t xml:space="preserve"> All implementers of this measure will market and identify commercial facilities utilizing higher flow showerheads (&gt;2.5 gpm) and offer to replace with high efficiency low flow showerheads (&lt;1.8 gpm).</w:t>
      </w:r>
    </w:p>
    <w:p w14:paraId="7D56D154" w14:textId="5C31CC51" w:rsidR="001B262A" w:rsidRPr="00C77447" w:rsidRDefault="001B262A" w:rsidP="00C77447">
      <w:pPr>
        <w:pStyle w:val="ListParagraph"/>
        <w:numPr>
          <w:ilvl w:val="0"/>
          <w:numId w:val="21"/>
        </w:numPr>
        <w:rPr>
          <w:szCs w:val="22"/>
        </w:rPr>
      </w:pPr>
      <w:r w:rsidRPr="00C77447">
        <w:rPr>
          <w:szCs w:val="22"/>
        </w:rPr>
        <w:t xml:space="preserve">Make and model number must be included with a copy of the </w:t>
      </w:r>
      <w:r w:rsidR="000149A3">
        <w:rPr>
          <w:szCs w:val="22"/>
        </w:rPr>
        <w:t>invoice</w:t>
      </w:r>
      <w:r w:rsidR="002C7975" w:rsidRPr="00C77447">
        <w:rPr>
          <w:szCs w:val="22"/>
        </w:rPr>
        <w:t>.</w:t>
      </w:r>
    </w:p>
    <w:p w14:paraId="6A1C8CAF" w14:textId="77777777" w:rsidR="000149A3" w:rsidRDefault="002C7975" w:rsidP="002261E8">
      <w:pPr>
        <w:pStyle w:val="ListParagraph"/>
        <w:numPr>
          <w:ilvl w:val="0"/>
          <w:numId w:val="21"/>
        </w:numPr>
        <w:rPr>
          <w:szCs w:val="22"/>
        </w:rPr>
      </w:pPr>
      <w:r w:rsidRPr="00C77447">
        <w:rPr>
          <w:szCs w:val="22"/>
        </w:rPr>
        <w:t>The measure is applicable to replacement (Early Ret</w:t>
      </w:r>
      <w:r w:rsidR="007B557D" w:rsidRPr="00C77447">
        <w:rPr>
          <w:szCs w:val="22"/>
        </w:rPr>
        <w:t>irement) of the existing showerhead</w:t>
      </w:r>
      <w:r w:rsidRPr="00C77447">
        <w:rPr>
          <w:szCs w:val="22"/>
        </w:rPr>
        <w:t xml:space="preserve"> </w:t>
      </w:r>
      <w:r w:rsidR="007B557D" w:rsidRPr="00C77447">
        <w:rPr>
          <w:szCs w:val="22"/>
        </w:rPr>
        <w:t xml:space="preserve">of 2.5 gpm </w:t>
      </w:r>
      <w:r w:rsidRPr="00C77447">
        <w:rPr>
          <w:szCs w:val="22"/>
        </w:rPr>
        <w:t xml:space="preserve">flow rate or greater with </w:t>
      </w:r>
      <w:r w:rsidR="007B557D" w:rsidRPr="00C77447">
        <w:rPr>
          <w:szCs w:val="22"/>
        </w:rPr>
        <w:t xml:space="preserve">a </w:t>
      </w:r>
      <w:r w:rsidRPr="00C77447">
        <w:rPr>
          <w:szCs w:val="22"/>
        </w:rPr>
        <w:t>low-flow showerhead of 1.8 gpm or lower flow rate.</w:t>
      </w:r>
      <w:r w:rsidR="002261E8">
        <w:rPr>
          <w:szCs w:val="22"/>
        </w:rPr>
        <w:t xml:space="preserve"> </w:t>
      </w:r>
    </w:p>
    <w:p w14:paraId="7D56D155" w14:textId="75AC328F" w:rsidR="001B262A" w:rsidRPr="002261E8" w:rsidRDefault="001B262A" w:rsidP="002261E8">
      <w:pPr>
        <w:pStyle w:val="ListParagraph"/>
        <w:numPr>
          <w:ilvl w:val="0"/>
          <w:numId w:val="21"/>
        </w:numPr>
        <w:rPr>
          <w:szCs w:val="22"/>
        </w:rPr>
      </w:pPr>
      <w:r w:rsidRPr="002261E8">
        <w:rPr>
          <w:szCs w:val="22"/>
        </w:rPr>
        <w:t>Water heating source</w:t>
      </w:r>
      <w:r w:rsidR="000E3597" w:rsidRPr="002261E8">
        <w:rPr>
          <w:szCs w:val="22"/>
        </w:rPr>
        <w:t xml:space="preserve"> fuel</w:t>
      </w:r>
      <w:r w:rsidRPr="002261E8">
        <w:rPr>
          <w:szCs w:val="22"/>
        </w:rPr>
        <w:t xml:space="preserve"> must </w:t>
      </w:r>
      <w:r w:rsidR="002C7975" w:rsidRPr="002261E8">
        <w:rPr>
          <w:szCs w:val="22"/>
        </w:rPr>
        <w:t xml:space="preserve">be </w:t>
      </w:r>
      <w:r w:rsidRPr="002261E8">
        <w:rPr>
          <w:szCs w:val="22"/>
        </w:rPr>
        <w:t>natural gas.</w:t>
      </w:r>
    </w:p>
    <w:p w14:paraId="7D56D156" w14:textId="4DAAE816" w:rsidR="001B262A" w:rsidRDefault="001B262A" w:rsidP="00C77447">
      <w:pPr>
        <w:pStyle w:val="ListParagraph"/>
        <w:numPr>
          <w:ilvl w:val="0"/>
          <w:numId w:val="21"/>
        </w:numPr>
        <w:rPr>
          <w:szCs w:val="22"/>
        </w:rPr>
      </w:pPr>
      <w:r w:rsidRPr="00C77447">
        <w:rPr>
          <w:szCs w:val="22"/>
        </w:rPr>
        <w:t>Low-flow showerhead shall meet the requirements of test procedure ANSI/ASME A112.18.1-2000, Section 5.5</w:t>
      </w:r>
    </w:p>
    <w:p w14:paraId="30966CB5" w14:textId="77777777" w:rsidR="00200F21" w:rsidRPr="00200F21" w:rsidRDefault="00200F21" w:rsidP="00200F21">
      <w:pPr>
        <w:rPr>
          <w:szCs w:val="22"/>
        </w:rPr>
      </w:pPr>
    </w:p>
    <w:p w14:paraId="38BEB82C" w14:textId="77777777" w:rsidR="00DF751A" w:rsidRDefault="001B262A" w:rsidP="00DF751A">
      <w:pPr>
        <w:rPr>
          <w:b/>
        </w:rPr>
      </w:pPr>
      <w:r w:rsidRPr="00C77447">
        <w:rPr>
          <w:b/>
        </w:rPr>
        <w:t>Market Applicability</w:t>
      </w:r>
    </w:p>
    <w:p w14:paraId="66233C93" w14:textId="17C4ACF9" w:rsidR="007D7350" w:rsidRPr="007D7350" w:rsidRDefault="007D7350" w:rsidP="00DF751A">
      <w:pPr>
        <w:pStyle w:val="ListParagraph"/>
        <w:numPr>
          <w:ilvl w:val="0"/>
          <w:numId w:val="27"/>
        </w:numPr>
        <w:rPr>
          <w:b/>
        </w:rPr>
      </w:pPr>
      <w:r>
        <w:t>The measures defined in this workpaper are applicable to existing buildings only. Newly constructed buildings, additions to existing buildings, and alterations to existing buildings are excluded.</w:t>
      </w:r>
    </w:p>
    <w:p w14:paraId="7D56D158" w14:textId="3061EDAD" w:rsidR="001B262A" w:rsidRPr="00DF751A" w:rsidRDefault="00DF751A" w:rsidP="00DF751A">
      <w:pPr>
        <w:pStyle w:val="ListParagraph"/>
        <w:numPr>
          <w:ilvl w:val="0"/>
          <w:numId w:val="27"/>
        </w:numPr>
        <w:rPr>
          <w:b/>
        </w:rPr>
      </w:pPr>
      <w:r>
        <w:rPr>
          <w:szCs w:val="22"/>
        </w:rPr>
        <w:t>Gas savings</w:t>
      </w:r>
      <w:r w:rsidR="007D7350">
        <w:rPr>
          <w:szCs w:val="22"/>
        </w:rPr>
        <w:t xml:space="preserve"> from the</w:t>
      </w:r>
      <w:r w:rsidR="002261E8">
        <w:rPr>
          <w:szCs w:val="22"/>
        </w:rPr>
        <w:t>se</w:t>
      </w:r>
      <w:r>
        <w:rPr>
          <w:szCs w:val="22"/>
        </w:rPr>
        <w:t xml:space="preserve"> m</w:t>
      </w:r>
      <w:r w:rsidR="002C7975" w:rsidRPr="00DF751A">
        <w:rPr>
          <w:szCs w:val="22"/>
        </w:rPr>
        <w:t xml:space="preserve">easures </w:t>
      </w:r>
      <w:r>
        <w:rPr>
          <w:szCs w:val="22"/>
        </w:rPr>
        <w:t>will apply to both lodging building types (Hotel/Motel), as well as all other commercial building types.</w:t>
      </w:r>
      <w:r w:rsidR="002C7975" w:rsidRPr="00DF751A">
        <w:rPr>
          <w:szCs w:val="22"/>
        </w:rPr>
        <w:t xml:space="preserve"> </w:t>
      </w:r>
      <w:r>
        <w:rPr>
          <w:szCs w:val="22"/>
        </w:rPr>
        <w:t xml:space="preserve">The COM building type designation </w:t>
      </w:r>
      <w:r w:rsidR="007D7350">
        <w:rPr>
          <w:szCs w:val="22"/>
        </w:rPr>
        <w:t>will i</w:t>
      </w:r>
      <w:r w:rsidR="00065302" w:rsidRPr="00DF751A">
        <w:rPr>
          <w:szCs w:val="22"/>
        </w:rPr>
        <w:t>nclud</w:t>
      </w:r>
      <w:r w:rsidR="007D7350">
        <w:rPr>
          <w:szCs w:val="22"/>
        </w:rPr>
        <w:t>e,</w:t>
      </w:r>
      <w:r w:rsidR="00065302" w:rsidRPr="00DF751A">
        <w:rPr>
          <w:szCs w:val="22"/>
        </w:rPr>
        <w:t xml:space="preserve"> but</w:t>
      </w:r>
      <w:r w:rsidR="007D7350">
        <w:rPr>
          <w:szCs w:val="22"/>
        </w:rPr>
        <w:t xml:space="preserve"> is</w:t>
      </w:r>
      <w:r w:rsidR="00065302" w:rsidRPr="00DF751A">
        <w:rPr>
          <w:szCs w:val="22"/>
        </w:rPr>
        <w:t xml:space="preserve"> not limited to</w:t>
      </w:r>
      <w:r w:rsidR="007D7350">
        <w:rPr>
          <w:szCs w:val="22"/>
        </w:rPr>
        <w:t>,</w:t>
      </w:r>
      <w:r w:rsidR="002C7975" w:rsidRPr="00DF751A">
        <w:rPr>
          <w:szCs w:val="22"/>
        </w:rPr>
        <w:t xml:space="preserve"> </w:t>
      </w:r>
      <w:r w:rsidR="007D7350">
        <w:rPr>
          <w:szCs w:val="22"/>
        </w:rPr>
        <w:t>e</w:t>
      </w:r>
      <w:r>
        <w:rPr>
          <w:szCs w:val="22"/>
        </w:rPr>
        <w:t>ducational facilities (University, Public/Private Schools), healthcare facilities, small/large office buildings</w:t>
      </w:r>
      <w:r w:rsidR="008F7F24">
        <w:rPr>
          <w:szCs w:val="22"/>
        </w:rPr>
        <w:t>, fitness centers, and municipal facilities (Recreation centers, parks)</w:t>
      </w:r>
      <w:r>
        <w:rPr>
          <w:szCs w:val="22"/>
        </w:rPr>
        <w:t xml:space="preserve">. </w:t>
      </w:r>
    </w:p>
    <w:p w14:paraId="7D56D159" w14:textId="77777777" w:rsidR="001D3223" w:rsidRPr="00800706" w:rsidRDefault="001D3223" w:rsidP="001D3223">
      <w:pPr>
        <w:pStyle w:val="Reminders"/>
        <w:tabs>
          <w:tab w:val="num" w:pos="360"/>
        </w:tabs>
        <w:rPr>
          <w:rFonts w:asciiTheme="minorHAnsi" w:hAnsiTheme="minorHAnsi" w:cstheme="minorHAnsi"/>
          <w:i w:val="0"/>
          <w:szCs w:val="22"/>
        </w:rPr>
      </w:pPr>
    </w:p>
    <w:p w14:paraId="7D56D15A" w14:textId="77777777" w:rsidR="00F171E1" w:rsidRPr="000552DC" w:rsidRDefault="000552DC" w:rsidP="000552DC">
      <w:pPr>
        <w:pStyle w:val="Caption"/>
        <w:keepNext/>
      </w:pPr>
      <w:bookmarkStart w:id="15" w:name="_Toc501451169"/>
      <w:r>
        <w:lastRenderedPageBreak/>
        <w:t xml:space="preserve">Table </w:t>
      </w:r>
      <w:fldSimple w:instr=" SEQ Table \* ARABIC ">
        <w:r w:rsidR="00121E2E">
          <w:rPr>
            <w:noProof/>
          </w:rPr>
          <w:t>1</w:t>
        </w:r>
      </w:fldSimple>
      <w:r>
        <w:t>: Base,</w:t>
      </w:r>
      <w:r w:rsidRPr="000552DC">
        <w:t xml:space="preserve"> Standard, and Measure Cases</w:t>
      </w:r>
      <w:bookmarkEnd w:id="15"/>
    </w:p>
    <w:tbl>
      <w:tblPr>
        <w:tblStyle w:val="TableGrid1"/>
        <w:tblW w:w="5000" w:type="pct"/>
        <w:tblLook w:val="04A0" w:firstRow="1" w:lastRow="0" w:firstColumn="1" w:lastColumn="0" w:noHBand="0" w:noVBand="1"/>
      </w:tblPr>
      <w:tblGrid>
        <w:gridCol w:w="2809"/>
        <w:gridCol w:w="6541"/>
      </w:tblGrid>
      <w:tr w:rsidR="005720F2" w:rsidRPr="00800706" w14:paraId="7D56D15D" w14:textId="77777777" w:rsidTr="00920905">
        <w:trPr>
          <w:trHeight w:val="20"/>
        </w:trPr>
        <w:tc>
          <w:tcPr>
            <w:tcW w:w="1502" w:type="pct"/>
            <w:shd w:val="clear" w:color="auto" w:fill="D9D9D9" w:themeFill="background1" w:themeFillShade="D9"/>
          </w:tcPr>
          <w:p w14:paraId="7D56D15B"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7D56D15C"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CE6453" w:rsidRPr="00CE6453" w14:paraId="7D56D160" w14:textId="77777777" w:rsidTr="00920905">
        <w:trPr>
          <w:trHeight w:val="20"/>
        </w:trPr>
        <w:tc>
          <w:tcPr>
            <w:tcW w:w="1502" w:type="pct"/>
          </w:tcPr>
          <w:p w14:paraId="7D56D15E" w14:textId="77777777" w:rsidR="00DA6A1C" w:rsidRPr="00CE6453" w:rsidRDefault="00DA6A1C" w:rsidP="00920905">
            <w:pPr>
              <w:pStyle w:val="Reminders"/>
              <w:tabs>
                <w:tab w:val="num" w:pos="360"/>
              </w:tabs>
              <w:spacing w:before="0" w:after="0"/>
              <w:rPr>
                <w:rFonts w:asciiTheme="minorHAnsi" w:hAnsiTheme="minorHAnsi" w:cs="Arial"/>
                <w:i w:val="0"/>
                <w:color w:val="auto"/>
                <w:szCs w:val="20"/>
              </w:rPr>
            </w:pPr>
            <w:r w:rsidRPr="00CE6453">
              <w:rPr>
                <w:rFonts w:asciiTheme="minorHAnsi" w:hAnsiTheme="minorHAnsi" w:cs="Arial"/>
                <w:i w:val="0"/>
                <w:color w:val="auto"/>
                <w:szCs w:val="20"/>
              </w:rPr>
              <w:t>Measure</w:t>
            </w:r>
          </w:p>
        </w:tc>
        <w:tc>
          <w:tcPr>
            <w:tcW w:w="3498" w:type="pct"/>
          </w:tcPr>
          <w:p w14:paraId="7D56D15F" w14:textId="4D617937" w:rsidR="00DA6A1C" w:rsidRPr="00CE6453" w:rsidRDefault="002C7975" w:rsidP="00920905">
            <w:pPr>
              <w:rPr>
                <w:szCs w:val="20"/>
              </w:rPr>
            </w:pPr>
            <w:r>
              <w:rPr>
                <w:szCs w:val="20"/>
              </w:rPr>
              <w:t>1.8</w:t>
            </w:r>
            <w:r w:rsidR="009D6A26">
              <w:rPr>
                <w:szCs w:val="20"/>
              </w:rPr>
              <w:t xml:space="preserve"> and 1.5 GPM flow rate </w:t>
            </w:r>
          </w:p>
        </w:tc>
      </w:tr>
      <w:tr w:rsidR="00CE6453" w:rsidRPr="00CE6453" w14:paraId="7D56D163" w14:textId="77777777" w:rsidTr="00920905">
        <w:trPr>
          <w:trHeight w:val="20"/>
        </w:trPr>
        <w:tc>
          <w:tcPr>
            <w:tcW w:w="1502" w:type="pct"/>
          </w:tcPr>
          <w:p w14:paraId="7D56D161" w14:textId="77777777" w:rsidR="00D85F09" w:rsidRPr="00CE6453" w:rsidRDefault="00786E92" w:rsidP="00920905">
            <w:pPr>
              <w:pStyle w:val="Reminders"/>
              <w:tabs>
                <w:tab w:val="num" w:pos="360"/>
              </w:tabs>
              <w:spacing w:before="0" w:after="0"/>
              <w:rPr>
                <w:rFonts w:asciiTheme="minorHAnsi" w:hAnsiTheme="minorHAnsi" w:cstheme="minorHAnsi"/>
                <w:i w:val="0"/>
                <w:color w:val="auto"/>
                <w:szCs w:val="22"/>
              </w:rPr>
            </w:pPr>
            <w:r w:rsidRPr="00CE6453">
              <w:rPr>
                <w:rFonts w:asciiTheme="minorHAnsi" w:hAnsiTheme="minorHAnsi" w:cs="Arial"/>
                <w:i w:val="0"/>
                <w:color w:val="auto"/>
                <w:szCs w:val="20"/>
              </w:rPr>
              <w:t>Existing Condition</w:t>
            </w:r>
          </w:p>
        </w:tc>
        <w:tc>
          <w:tcPr>
            <w:tcW w:w="3498" w:type="pct"/>
          </w:tcPr>
          <w:p w14:paraId="7D56D162" w14:textId="77777777" w:rsidR="00D85F09" w:rsidRPr="00CE6453" w:rsidRDefault="005B6D83" w:rsidP="00920905">
            <w:pPr>
              <w:rPr>
                <w:i/>
                <w:szCs w:val="20"/>
              </w:rPr>
            </w:pPr>
            <w:r w:rsidRPr="00CE6453">
              <w:rPr>
                <w:szCs w:val="20"/>
              </w:rPr>
              <w:t xml:space="preserve">2.25 GPM flow rate </w:t>
            </w:r>
          </w:p>
        </w:tc>
      </w:tr>
      <w:tr w:rsidR="0062242A" w:rsidRPr="00CE6453" w14:paraId="7D56D166" w14:textId="77777777" w:rsidTr="006F21E8">
        <w:trPr>
          <w:trHeight w:val="20"/>
        </w:trPr>
        <w:tc>
          <w:tcPr>
            <w:tcW w:w="1502" w:type="pct"/>
          </w:tcPr>
          <w:p w14:paraId="7D56D164" w14:textId="77777777" w:rsidR="0062242A" w:rsidRPr="00CE6453" w:rsidRDefault="0062242A" w:rsidP="0062242A">
            <w:pPr>
              <w:pStyle w:val="Reminders"/>
              <w:tabs>
                <w:tab w:val="num" w:pos="360"/>
              </w:tabs>
              <w:spacing w:before="0" w:after="0"/>
              <w:rPr>
                <w:rFonts w:asciiTheme="minorHAnsi" w:hAnsiTheme="minorHAnsi" w:cs="Arial"/>
                <w:i w:val="0"/>
                <w:color w:val="auto"/>
                <w:szCs w:val="20"/>
              </w:rPr>
            </w:pPr>
            <w:r w:rsidRPr="00CE6453">
              <w:rPr>
                <w:rFonts w:asciiTheme="minorHAnsi" w:hAnsiTheme="minorHAnsi" w:cs="Arial"/>
                <w:i w:val="0"/>
                <w:color w:val="auto"/>
                <w:szCs w:val="20"/>
              </w:rPr>
              <w:t>Code/Standard</w:t>
            </w:r>
          </w:p>
        </w:tc>
        <w:tc>
          <w:tcPr>
            <w:tcW w:w="3498" w:type="pct"/>
          </w:tcPr>
          <w:p w14:paraId="7D56D165" w14:textId="472E0E98" w:rsidR="0062242A" w:rsidRPr="00CE6453" w:rsidRDefault="0062242A" w:rsidP="0062242A">
            <w:pPr>
              <w:rPr>
                <w:szCs w:val="20"/>
              </w:rPr>
            </w:pPr>
            <w:r w:rsidRPr="00CE6453">
              <w:rPr>
                <w:szCs w:val="20"/>
              </w:rPr>
              <w:t>2.0 GPM flow rate or lower (2016), 1.8 GPM flow rate or lower (2018)</w:t>
            </w:r>
          </w:p>
        </w:tc>
      </w:tr>
      <w:tr w:rsidR="00D85F09" w:rsidRPr="00800706" w14:paraId="7D56D169" w14:textId="77777777" w:rsidTr="00920905">
        <w:trPr>
          <w:trHeight w:val="20"/>
        </w:trPr>
        <w:tc>
          <w:tcPr>
            <w:tcW w:w="1502" w:type="pct"/>
          </w:tcPr>
          <w:p w14:paraId="7D56D167" w14:textId="77777777"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7D56D168" w14:textId="77777777" w:rsidR="00D85F09" w:rsidRPr="00920905" w:rsidRDefault="00DA6A1C" w:rsidP="00920905">
            <w:pPr>
              <w:rPr>
                <w:i/>
                <w:szCs w:val="20"/>
              </w:rPr>
            </w:pPr>
            <w:r w:rsidRPr="009D6A26">
              <w:rPr>
                <w:szCs w:val="20"/>
              </w:rPr>
              <w:t>N/A</w:t>
            </w:r>
          </w:p>
        </w:tc>
      </w:tr>
    </w:tbl>
    <w:p w14:paraId="7D56D16A" w14:textId="77777777" w:rsidR="00D85F09" w:rsidRPr="00800706" w:rsidRDefault="00D85F09" w:rsidP="00920905">
      <w:pPr>
        <w:pStyle w:val="NoSpacing"/>
      </w:pPr>
    </w:p>
    <w:p w14:paraId="7D56D16B" w14:textId="77777777" w:rsidR="00AC5309" w:rsidRPr="000552DC" w:rsidRDefault="000552DC" w:rsidP="000552DC">
      <w:pPr>
        <w:pStyle w:val="Caption"/>
        <w:keepNext/>
      </w:pPr>
      <w:bookmarkStart w:id="16" w:name="_Toc501451170"/>
      <w:r>
        <w:t xml:space="preserve">Table </w:t>
      </w:r>
      <w:fldSimple w:instr=" SEQ Table \* ARABIC ">
        <w:r w:rsidR="00121E2E">
          <w:rPr>
            <w:noProof/>
          </w:rPr>
          <w:t>2</w:t>
        </w:r>
      </w:fldSimple>
      <w:r>
        <w:t>: Measures and Codes</w:t>
      </w:r>
      <w:bookmarkEnd w:id="16"/>
    </w:p>
    <w:tbl>
      <w:tblPr>
        <w:tblStyle w:val="TableGrid1"/>
        <w:tblW w:w="5000" w:type="pct"/>
        <w:tblLook w:val="04A0" w:firstRow="1" w:lastRow="0" w:firstColumn="1" w:lastColumn="0" w:noHBand="0" w:noVBand="1"/>
      </w:tblPr>
      <w:tblGrid>
        <w:gridCol w:w="1450"/>
        <w:gridCol w:w="792"/>
        <w:gridCol w:w="1055"/>
        <w:gridCol w:w="1184"/>
        <w:gridCol w:w="4869"/>
      </w:tblGrid>
      <w:tr w:rsidR="003A3170" w:rsidRPr="00800706" w14:paraId="7D56D16E" w14:textId="77777777" w:rsidTr="009D6A26">
        <w:tc>
          <w:tcPr>
            <w:tcW w:w="2364" w:type="pct"/>
            <w:gridSpan w:val="4"/>
            <w:shd w:val="clear" w:color="auto" w:fill="D9D9D9" w:themeFill="background1" w:themeFillShade="D9"/>
          </w:tcPr>
          <w:p w14:paraId="7D56D16C" w14:textId="77777777" w:rsidR="003A3170" w:rsidRPr="00920905" w:rsidRDefault="003A3170" w:rsidP="005729C8">
            <w:pPr>
              <w:rPr>
                <w:rFonts w:cstheme="minorHAnsi"/>
                <w:b/>
                <w:szCs w:val="20"/>
              </w:rPr>
            </w:pPr>
            <w:r w:rsidRPr="00920905">
              <w:rPr>
                <w:rFonts w:cstheme="minorHAnsi"/>
                <w:b/>
                <w:szCs w:val="20"/>
              </w:rPr>
              <w:t>Measure Codes</w:t>
            </w:r>
          </w:p>
        </w:tc>
        <w:tc>
          <w:tcPr>
            <w:tcW w:w="2636" w:type="pct"/>
            <w:vMerge w:val="restart"/>
            <w:shd w:val="clear" w:color="auto" w:fill="D9D9D9" w:themeFill="background1" w:themeFillShade="D9"/>
          </w:tcPr>
          <w:p w14:paraId="7D56D16D"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7D56D174" w14:textId="77777777" w:rsidTr="009D6A26">
        <w:tc>
          <w:tcPr>
            <w:tcW w:w="808" w:type="pct"/>
            <w:shd w:val="clear" w:color="auto" w:fill="F2F2F2" w:themeFill="background1" w:themeFillShade="F2"/>
          </w:tcPr>
          <w:p w14:paraId="7D56D16F" w14:textId="77777777" w:rsidR="003A3170" w:rsidRPr="00800706" w:rsidRDefault="003A3170" w:rsidP="00397406">
            <w:pPr>
              <w:rPr>
                <w:rFonts w:cstheme="minorHAnsi"/>
                <w:szCs w:val="20"/>
              </w:rPr>
            </w:pPr>
            <w:r w:rsidRPr="00800706">
              <w:rPr>
                <w:rFonts w:cstheme="minorHAnsi"/>
                <w:szCs w:val="20"/>
              </w:rPr>
              <w:t>SCG</w:t>
            </w:r>
          </w:p>
        </w:tc>
        <w:tc>
          <w:tcPr>
            <w:tcW w:w="293" w:type="pct"/>
            <w:shd w:val="clear" w:color="auto" w:fill="F2F2F2" w:themeFill="background1" w:themeFillShade="F2"/>
          </w:tcPr>
          <w:p w14:paraId="7D56D170" w14:textId="77777777" w:rsidR="003A3170" w:rsidRPr="00800706" w:rsidRDefault="003A3170" w:rsidP="00397406">
            <w:pPr>
              <w:rPr>
                <w:rFonts w:cstheme="minorHAnsi"/>
                <w:szCs w:val="20"/>
              </w:rPr>
            </w:pPr>
            <w:r w:rsidRPr="00800706">
              <w:rPr>
                <w:rFonts w:cstheme="minorHAnsi"/>
                <w:szCs w:val="20"/>
              </w:rPr>
              <w:t>SDG&amp;E</w:t>
            </w:r>
          </w:p>
        </w:tc>
        <w:tc>
          <w:tcPr>
            <w:tcW w:w="597" w:type="pct"/>
            <w:shd w:val="clear" w:color="auto" w:fill="F2F2F2" w:themeFill="background1" w:themeFillShade="F2"/>
          </w:tcPr>
          <w:p w14:paraId="7D56D171" w14:textId="77777777" w:rsidR="003A3170" w:rsidRPr="00800706" w:rsidRDefault="003A3170" w:rsidP="00C959CA">
            <w:pPr>
              <w:rPr>
                <w:rFonts w:cstheme="minorHAnsi"/>
                <w:szCs w:val="20"/>
              </w:rPr>
            </w:pPr>
            <w:r w:rsidRPr="00800706">
              <w:rPr>
                <w:rFonts w:cstheme="minorHAnsi"/>
                <w:szCs w:val="20"/>
              </w:rPr>
              <w:t>SCE</w:t>
            </w:r>
          </w:p>
        </w:tc>
        <w:tc>
          <w:tcPr>
            <w:tcW w:w="665" w:type="pct"/>
            <w:shd w:val="clear" w:color="auto" w:fill="F2F2F2" w:themeFill="background1" w:themeFillShade="F2"/>
          </w:tcPr>
          <w:p w14:paraId="7D56D172" w14:textId="77777777" w:rsidR="003A3170" w:rsidRPr="00800706" w:rsidRDefault="003A3170" w:rsidP="00D835EF">
            <w:pPr>
              <w:rPr>
                <w:rFonts w:cstheme="minorHAnsi"/>
                <w:szCs w:val="20"/>
              </w:rPr>
            </w:pPr>
            <w:r w:rsidRPr="00800706">
              <w:rPr>
                <w:rFonts w:cstheme="minorHAnsi"/>
                <w:szCs w:val="20"/>
              </w:rPr>
              <w:t>PG&amp;E</w:t>
            </w:r>
          </w:p>
        </w:tc>
        <w:tc>
          <w:tcPr>
            <w:tcW w:w="2636" w:type="pct"/>
            <w:vMerge/>
          </w:tcPr>
          <w:p w14:paraId="7D56D173" w14:textId="77777777" w:rsidR="003A3170" w:rsidRPr="00800706" w:rsidRDefault="003A3170" w:rsidP="005729C8">
            <w:pPr>
              <w:rPr>
                <w:rFonts w:cstheme="minorHAnsi"/>
                <w:szCs w:val="20"/>
              </w:rPr>
            </w:pPr>
          </w:p>
        </w:tc>
      </w:tr>
      <w:tr w:rsidR="00244A83" w:rsidRPr="002E5766" w14:paraId="7D56D17A" w14:textId="77777777" w:rsidTr="009D6A26">
        <w:trPr>
          <w:trHeight w:val="243"/>
        </w:trPr>
        <w:tc>
          <w:tcPr>
            <w:tcW w:w="808" w:type="pct"/>
          </w:tcPr>
          <w:p w14:paraId="7D56D175" w14:textId="77777777" w:rsidR="00244A83" w:rsidRPr="00B15BA2" w:rsidRDefault="00B15BA2" w:rsidP="00397406">
            <w:pPr>
              <w:rPr>
                <w:rFonts w:cstheme="minorHAnsi"/>
                <w:sz w:val="18"/>
                <w:szCs w:val="18"/>
                <w:highlight w:val="yellow"/>
              </w:rPr>
            </w:pPr>
            <w:r w:rsidRPr="00B15BA2">
              <w:rPr>
                <w:rFonts w:cstheme="minorHAnsi"/>
                <w:sz w:val="18"/>
                <w:szCs w:val="18"/>
              </w:rPr>
              <w:t>Commercial 1.5 GPM LFSH</w:t>
            </w:r>
          </w:p>
        </w:tc>
        <w:tc>
          <w:tcPr>
            <w:tcW w:w="293" w:type="pct"/>
          </w:tcPr>
          <w:p w14:paraId="7D56D176" w14:textId="77777777" w:rsidR="00244A83" w:rsidRPr="002E5766" w:rsidRDefault="00244A83" w:rsidP="00397406">
            <w:pPr>
              <w:rPr>
                <w:rFonts w:cstheme="minorHAnsi"/>
                <w:szCs w:val="20"/>
                <w:highlight w:val="yellow"/>
              </w:rPr>
            </w:pPr>
          </w:p>
        </w:tc>
        <w:tc>
          <w:tcPr>
            <w:tcW w:w="597" w:type="pct"/>
          </w:tcPr>
          <w:p w14:paraId="7D56D177" w14:textId="77777777" w:rsidR="00244A83" w:rsidRPr="002E5766" w:rsidRDefault="00244A83" w:rsidP="00397406">
            <w:pPr>
              <w:rPr>
                <w:rFonts w:cstheme="minorHAnsi"/>
                <w:szCs w:val="20"/>
                <w:highlight w:val="yellow"/>
              </w:rPr>
            </w:pPr>
          </w:p>
        </w:tc>
        <w:tc>
          <w:tcPr>
            <w:tcW w:w="665" w:type="pct"/>
          </w:tcPr>
          <w:p w14:paraId="7D56D178" w14:textId="77777777" w:rsidR="00244A83" w:rsidRPr="002E5766" w:rsidRDefault="00244A83" w:rsidP="005729C8">
            <w:pPr>
              <w:rPr>
                <w:rFonts w:cstheme="minorHAnsi"/>
                <w:szCs w:val="20"/>
                <w:highlight w:val="yellow"/>
              </w:rPr>
            </w:pPr>
          </w:p>
        </w:tc>
        <w:tc>
          <w:tcPr>
            <w:tcW w:w="2636" w:type="pct"/>
          </w:tcPr>
          <w:p w14:paraId="7D56D179" w14:textId="77777777" w:rsidR="00244A83" w:rsidRPr="002E5766" w:rsidRDefault="00244A83" w:rsidP="005729C8">
            <w:pPr>
              <w:rPr>
                <w:highlight w:val="yellow"/>
              </w:rPr>
            </w:pPr>
            <w:r w:rsidRPr="002E5766">
              <w:t>1.5 GPM Low Flow Showerhead for Commercial Facilities</w:t>
            </w:r>
          </w:p>
        </w:tc>
      </w:tr>
      <w:tr w:rsidR="002C7975" w:rsidRPr="002E5766" w14:paraId="7D56D180" w14:textId="77777777" w:rsidTr="009D6A26">
        <w:trPr>
          <w:trHeight w:val="243"/>
        </w:trPr>
        <w:tc>
          <w:tcPr>
            <w:tcW w:w="808" w:type="pct"/>
          </w:tcPr>
          <w:p w14:paraId="7D56D17B" w14:textId="77777777" w:rsidR="002C7975" w:rsidRPr="00B15BA2" w:rsidRDefault="00B15BA2" w:rsidP="00B15BA2">
            <w:pPr>
              <w:rPr>
                <w:rFonts w:cstheme="minorHAnsi"/>
                <w:sz w:val="18"/>
                <w:szCs w:val="18"/>
                <w:highlight w:val="yellow"/>
              </w:rPr>
            </w:pPr>
            <w:r w:rsidRPr="00B15BA2">
              <w:rPr>
                <w:rFonts w:cstheme="minorHAnsi"/>
                <w:sz w:val="18"/>
                <w:szCs w:val="18"/>
              </w:rPr>
              <w:t>Commercial 1.8 GPM LFSH</w:t>
            </w:r>
          </w:p>
        </w:tc>
        <w:tc>
          <w:tcPr>
            <w:tcW w:w="293" w:type="pct"/>
          </w:tcPr>
          <w:p w14:paraId="7D56D17C" w14:textId="77777777" w:rsidR="002C7975" w:rsidRPr="002E5766" w:rsidRDefault="002C7975" w:rsidP="00397406">
            <w:pPr>
              <w:rPr>
                <w:rFonts w:cstheme="minorHAnsi"/>
                <w:szCs w:val="20"/>
                <w:highlight w:val="yellow"/>
              </w:rPr>
            </w:pPr>
          </w:p>
        </w:tc>
        <w:tc>
          <w:tcPr>
            <w:tcW w:w="597" w:type="pct"/>
          </w:tcPr>
          <w:p w14:paraId="7D56D17D" w14:textId="77777777" w:rsidR="002C7975" w:rsidRPr="002E5766" w:rsidRDefault="002C7975" w:rsidP="00397406">
            <w:pPr>
              <w:rPr>
                <w:rFonts w:cstheme="minorHAnsi"/>
                <w:szCs w:val="20"/>
                <w:highlight w:val="yellow"/>
              </w:rPr>
            </w:pPr>
          </w:p>
        </w:tc>
        <w:tc>
          <w:tcPr>
            <w:tcW w:w="665" w:type="pct"/>
          </w:tcPr>
          <w:p w14:paraId="7D56D17E" w14:textId="77777777" w:rsidR="002C7975" w:rsidRPr="002E5766" w:rsidRDefault="002C7975" w:rsidP="005729C8">
            <w:pPr>
              <w:rPr>
                <w:rFonts w:cstheme="minorHAnsi"/>
                <w:szCs w:val="20"/>
                <w:highlight w:val="yellow"/>
              </w:rPr>
            </w:pPr>
          </w:p>
        </w:tc>
        <w:tc>
          <w:tcPr>
            <w:tcW w:w="2636" w:type="pct"/>
          </w:tcPr>
          <w:p w14:paraId="7D56D17F" w14:textId="77777777" w:rsidR="002C7975" w:rsidRPr="002E5766" w:rsidRDefault="002C7975" w:rsidP="005729C8">
            <w:r w:rsidRPr="002E5766">
              <w:t>1.8 GPM Low Flow Showerhead for Commercial Facilities</w:t>
            </w:r>
          </w:p>
        </w:tc>
      </w:tr>
    </w:tbl>
    <w:p w14:paraId="7D56D183" w14:textId="6526E4D0" w:rsidR="00697868" w:rsidRPr="00500C4E" w:rsidRDefault="005F58AD" w:rsidP="00697868">
      <w:pPr>
        <w:pStyle w:val="Heading2"/>
        <w:rPr>
          <w:rFonts w:asciiTheme="minorHAnsi" w:hAnsiTheme="minorHAnsi"/>
        </w:rPr>
      </w:pPr>
      <w:bookmarkStart w:id="17" w:name="_Toc502148139"/>
      <w:r>
        <w:rPr>
          <w:rFonts w:asciiTheme="minorHAnsi" w:hAnsiTheme="minorHAnsi"/>
        </w:rPr>
        <w:t>1.3</w:t>
      </w:r>
      <w:r w:rsidR="00697868" w:rsidRPr="00500C4E">
        <w:rPr>
          <w:rFonts w:asciiTheme="minorHAnsi" w:hAnsiTheme="minorHAnsi"/>
        </w:rPr>
        <w:t xml:space="preserve">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00697868" w:rsidRPr="00500C4E">
        <w:rPr>
          <w:rFonts w:asciiTheme="minorHAnsi" w:hAnsiTheme="minorHAnsi"/>
        </w:rPr>
        <w:t xml:space="preserve"> </w:t>
      </w:r>
      <w:r w:rsidR="00B4065F" w:rsidRPr="00500C4E">
        <w:rPr>
          <w:rFonts w:asciiTheme="minorHAnsi" w:hAnsiTheme="minorHAnsi"/>
        </w:rPr>
        <w:t>Mechanisms</w:t>
      </w:r>
      <w:bookmarkEnd w:id="17"/>
    </w:p>
    <w:p w14:paraId="7D56D184" w14:textId="54BABF1F" w:rsidR="0064729D" w:rsidRPr="002E5766" w:rsidRDefault="0053402D"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The installation type that is applicable for this measure is Early </w:t>
      </w:r>
      <w:r w:rsidR="00784F28" w:rsidRPr="002E5766">
        <w:rPr>
          <w:rFonts w:asciiTheme="minorHAnsi" w:hAnsiTheme="minorHAnsi" w:cstheme="minorHAnsi"/>
          <w:i w:val="0"/>
          <w:color w:val="auto"/>
          <w:szCs w:val="22"/>
        </w:rPr>
        <w:t>Retirement (ER)</w:t>
      </w:r>
      <w:r>
        <w:rPr>
          <w:rFonts w:asciiTheme="minorHAnsi" w:hAnsiTheme="minorHAnsi" w:cstheme="minorHAnsi"/>
          <w:i w:val="0"/>
          <w:color w:val="auto"/>
          <w:szCs w:val="22"/>
        </w:rPr>
        <w:t>.</w:t>
      </w:r>
    </w:p>
    <w:p w14:paraId="7D56D185" w14:textId="77777777" w:rsidR="00784F28" w:rsidRPr="00500C4E" w:rsidRDefault="00784F28" w:rsidP="00697868">
      <w:pPr>
        <w:pStyle w:val="Reminders"/>
        <w:tabs>
          <w:tab w:val="num" w:pos="360"/>
        </w:tabs>
        <w:rPr>
          <w:rFonts w:asciiTheme="minorHAnsi" w:hAnsiTheme="minorHAnsi" w:cstheme="minorHAnsi"/>
          <w:i w:val="0"/>
          <w:szCs w:val="22"/>
        </w:rPr>
      </w:pPr>
    </w:p>
    <w:p w14:paraId="7D56D186" w14:textId="77777777" w:rsidR="001B2301" w:rsidRPr="000552DC" w:rsidRDefault="000552DC" w:rsidP="000552DC">
      <w:pPr>
        <w:pStyle w:val="Caption"/>
        <w:keepNext/>
      </w:pPr>
      <w:bookmarkStart w:id="18" w:name="_Toc501451171"/>
      <w:r>
        <w:t xml:space="preserve">Table </w:t>
      </w:r>
      <w:fldSimple w:instr=" SEQ Table \* ARABIC ">
        <w:r w:rsidR="00121E2E">
          <w:rPr>
            <w:noProof/>
          </w:rPr>
          <w:t>3</w:t>
        </w:r>
      </w:fldSimple>
      <w:r>
        <w:t>:</w:t>
      </w:r>
      <w:r w:rsidRPr="000552DC">
        <w:t xml:space="preserve"> Installation Type Descriptions</w:t>
      </w:r>
      <w:bookmarkEnd w:id="18"/>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7D56D18A" w14:textId="77777777" w:rsidTr="00920905">
        <w:trPr>
          <w:trHeight w:val="20"/>
        </w:trPr>
        <w:tc>
          <w:tcPr>
            <w:tcW w:w="1778" w:type="pct"/>
            <w:vMerge w:val="restart"/>
            <w:shd w:val="clear" w:color="auto" w:fill="D9D9D9" w:themeFill="background1" w:themeFillShade="D9"/>
          </w:tcPr>
          <w:p w14:paraId="7D56D187"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7D56D188"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7D56D189" w14:textId="77777777" w:rsidR="006F1B21" w:rsidRPr="00920905" w:rsidRDefault="006F1B21" w:rsidP="001B2301">
            <w:pPr>
              <w:rPr>
                <w:b/>
                <w:sz w:val="18"/>
                <w:szCs w:val="18"/>
              </w:rPr>
            </w:pPr>
            <w:r w:rsidRPr="00920905">
              <w:rPr>
                <w:b/>
                <w:sz w:val="18"/>
                <w:szCs w:val="18"/>
              </w:rPr>
              <w:t>Life</w:t>
            </w:r>
          </w:p>
        </w:tc>
      </w:tr>
      <w:tr w:rsidR="006F1B21" w:rsidRPr="00500C4E" w14:paraId="7D56D190" w14:textId="77777777" w:rsidTr="006F1B21">
        <w:trPr>
          <w:trHeight w:val="20"/>
        </w:trPr>
        <w:tc>
          <w:tcPr>
            <w:tcW w:w="1778" w:type="pct"/>
            <w:vMerge/>
            <w:shd w:val="clear" w:color="auto" w:fill="D9D9D9" w:themeFill="background1" w:themeFillShade="D9"/>
          </w:tcPr>
          <w:p w14:paraId="7D56D18B" w14:textId="77777777" w:rsidR="006F1B21" w:rsidRPr="00500C4E" w:rsidRDefault="006F1B21" w:rsidP="001B2301">
            <w:pPr>
              <w:rPr>
                <w:sz w:val="18"/>
                <w:szCs w:val="18"/>
              </w:rPr>
            </w:pPr>
          </w:p>
        </w:tc>
        <w:tc>
          <w:tcPr>
            <w:tcW w:w="1107" w:type="pct"/>
            <w:shd w:val="clear" w:color="auto" w:fill="F2F2F2" w:themeFill="background1" w:themeFillShade="F2"/>
          </w:tcPr>
          <w:p w14:paraId="7D56D18C"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7D56D18D"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7D56D18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7D56D18F"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2E5766" w14:paraId="7D56D1A2" w14:textId="77777777" w:rsidTr="006F1B21">
        <w:trPr>
          <w:trHeight w:val="20"/>
        </w:trPr>
        <w:tc>
          <w:tcPr>
            <w:tcW w:w="1778" w:type="pct"/>
          </w:tcPr>
          <w:p w14:paraId="7D56D19D" w14:textId="77777777" w:rsidR="006F1B21" w:rsidRPr="002E5766" w:rsidRDefault="006F1B21">
            <w:pPr>
              <w:rPr>
                <w:sz w:val="18"/>
                <w:szCs w:val="18"/>
              </w:rPr>
            </w:pPr>
            <w:r w:rsidRPr="002E5766">
              <w:rPr>
                <w:sz w:val="18"/>
                <w:szCs w:val="18"/>
              </w:rPr>
              <w:t>Early Replacement (ER)</w:t>
            </w:r>
          </w:p>
        </w:tc>
        <w:tc>
          <w:tcPr>
            <w:tcW w:w="1107" w:type="pct"/>
          </w:tcPr>
          <w:p w14:paraId="7D56D19E" w14:textId="77777777" w:rsidR="002C7975" w:rsidRPr="002E5766" w:rsidRDefault="006F1B21" w:rsidP="002C7975">
            <w:pPr>
              <w:rPr>
                <w:sz w:val="18"/>
                <w:szCs w:val="18"/>
              </w:rPr>
            </w:pPr>
            <w:r w:rsidRPr="002E5766">
              <w:rPr>
                <w:sz w:val="18"/>
                <w:szCs w:val="18"/>
              </w:rPr>
              <w:t>Above Customer Existing</w:t>
            </w:r>
            <w:r w:rsidR="002C7975" w:rsidRPr="002E5766">
              <w:rPr>
                <w:sz w:val="18"/>
                <w:szCs w:val="18"/>
              </w:rPr>
              <w:t xml:space="preserve"> 2.25 GPM</w:t>
            </w:r>
          </w:p>
        </w:tc>
        <w:tc>
          <w:tcPr>
            <w:tcW w:w="1108" w:type="pct"/>
          </w:tcPr>
          <w:p w14:paraId="7D56D19F" w14:textId="77777777" w:rsidR="002C7975" w:rsidRPr="002E5766" w:rsidRDefault="006F1B21" w:rsidP="001B2301">
            <w:pPr>
              <w:rPr>
                <w:sz w:val="18"/>
                <w:szCs w:val="18"/>
              </w:rPr>
            </w:pPr>
            <w:r w:rsidRPr="002E5766">
              <w:rPr>
                <w:sz w:val="18"/>
                <w:szCs w:val="18"/>
              </w:rPr>
              <w:t>Above Code or Standard</w:t>
            </w:r>
            <w:r w:rsidR="002C7975" w:rsidRPr="002E5766">
              <w:rPr>
                <w:sz w:val="18"/>
                <w:szCs w:val="18"/>
              </w:rPr>
              <w:t xml:space="preserve"> 1.8 GPM </w:t>
            </w:r>
          </w:p>
        </w:tc>
        <w:tc>
          <w:tcPr>
            <w:tcW w:w="481" w:type="pct"/>
          </w:tcPr>
          <w:p w14:paraId="7D56D1A0" w14:textId="77777777" w:rsidR="006F1B21" w:rsidRPr="002E5766" w:rsidRDefault="006F1B21" w:rsidP="001B2301">
            <w:pPr>
              <w:rPr>
                <w:sz w:val="18"/>
                <w:szCs w:val="18"/>
              </w:rPr>
            </w:pPr>
            <w:r w:rsidRPr="002E5766">
              <w:rPr>
                <w:sz w:val="18"/>
                <w:szCs w:val="18"/>
              </w:rPr>
              <w:t>RUL</w:t>
            </w:r>
          </w:p>
        </w:tc>
        <w:tc>
          <w:tcPr>
            <w:tcW w:w="526" w:type="pct"/>
          </w:tcPr>
          <w:p w14:paraId="7D56D1A1" w14:textId="77777777" w:rsidR="006F1B21" w:rsidRPr="002E5766" w:rsidRDefault="006F1B21" w:rsidP="001B2301">
            <w:pPr>
              <w:rPr>
                <w:sz w:val="18"/>
                <w:szCs w:val="18"/>
              </w:rPr>
            </w:pPr>
            <w:r w:rsidRPr="002E5766">
              <w:rPr>
                <w:sz w:val="18"/>
                <w:szCs w:val="18"/>
              </w:rPr>
              <w:t>EUL-RUL</w:t>
            </w:r>
          </w:p>
        </w:tc>
      </w:tr>
    </w:tbl>
    <w:p w14:paraId="7D56D1A3" w14:textId="77777777" w:rsidR="001B2301" w:rsidRDefault="001B2301" w:rsidP="00697868">
      <w:pPr>
        <w:pStyle w:val="Reminders"/>
        <w:tabs>
          <w:tab w:val="num" w:pos="360"/>
        </w:tabs>
        <w:rPr>
          <w:rFonts w:asciiTheme="minorHAnsi" w:hAnsiTheme="minorHAnsi" w:cstheme="minorHAnsi"/>
          <w:i w:val="0"/>
          <w:szCs w:val="22"/>
        </w:rPr>
      </w:pPr>
    </w:p>
    <w:p w14:paraId="7D56D1A4" w14:textId="77777777" w:rsidR="00C05AAF" w:rsidRPr="002E5766" w:rsidRDefault="00C05AAF" w:rsidP="00920905">
      <w:pPr>
        <w:pStyle w:val="NoSpacing"/>
      </w:pPr>
      <w:r w:rsidRPr="002E5766">
        <w:t>A delivery mechanism</w:t>
      </w:r>
      <w:r w:rsidR="00350BF1" w:rsidRPr="002E5766">
        <w:t xml:space="preserve"> is a delivery method paired with an incentive method. Delivery mechanisms are</w:t>
      </w:r>
      <w:r w:rsidRPr="002E5766">
        <w:t xml:space="preserve"> </w:t>
      </w:r>
      <w:r w:rsidR="00350BF1" w:rsidRPr="002E5766">
        <w:t>used</w:t>
      </w:r>
      <w:r w:rsidR="00DB44E9" w:rsidRPr="002E5766">
        <w:t xml:space="preserve"> by</w:t>
      </w:r>
      <w:r w:rsidR="00AA16C0" w:rsidRPr="002E5766">
        <w:t xml:space="preserve"> program</w:t>
      </w:r>
      <w:r w:rsidR="00DB44E9" w:rsidRPr="002E5766">
        <w:t>s</w:t>
      </w:r>
      <w:r w:rsidR="00AA16C0" w:rsidRPr="002E5766">
        <w:t xml:space="preserve"> to obtain program participation and energy savings.</w:t>
      </w:r>
    </w:p>
    <w:p w14:paraId="7D56D1AD" w14:textId="0677E191" w:rsidR="001B2301" w:rsidRPr="002E5766" w:rsidRDefault="001B2301" w:rsidP="00920905"/>
    <w:p w14:paraId="7D56D1AE" w14:textId="638A2FD4" w:rsidR="00AA16C0" w:rsidRPr="002E5766" w:rsidRDefault="000552DC" w:rsidP="000552DC">
      <w:pPr>
        <w:pStyle w:val="Caption"/>
        <w:keepNext/>
      </w:pPr>
      <w:bookmarkStart w:id="19" w:name="_Toc501451173"/>
      <w:r w:rsidRPr="002E5766">
        <w:t xml:space="preserve">Table </w:t>
      </w:r>
      <w:r w:rsidR="000149A3">
        <w:t>4</w:t>
      </w:r>
      <w:r w:rsidRPr="002E5766">
        <w:t>: Incentive Method Descriptions</w:t>
      </w:r>
      <w:bookmarkEnd w:id="19"/>
    </w:p>
    <w:tbl>
      <w:tblPr>
        <w:tblStyle w:val="TableGrid1"/>
        <w:tblW w:w="5000" w:type="pct"/>
        <w:tblLook w:val="04A0" w:firstRow="1" w:lastRow="0" w:firstColumn="1" w:lastColumn="0" w:noHBand="0" w:noVBand="1"/>
      </w:tblPr>
      <w:tblGrid>
        <w:gridCol w:w="2425"/>
        <w:gridCol w:w="6925"/>
      </w:tblGrid>
      <w:tr w:rsidR="001B2301" w:rsidRPr="002E5766" w14:paraId="7D56D1B1" w14:textId="77777777" w:rsidTr="00920905">
        <w:tc>
          <w:tcPr>
            <w:tcW w:w="1297" w:type="pct"/>
            <w:shd w:val="clear" w:color="auto" w:fill="D9D9D9" w:themeFill="background1" w:themeFillShade="D9"/>
          </w:tcPr>
          <w:p w14:paraId="7D56D1AF" w14:textId="77777777" w:rsidR="001B2301" w:rsidRPr="002E5766" w:rsidRDefault="001B2301" w:rsidP="001B2301">
            <w:pPr>
              <w:rPr>
                <w:b/>
                <w:sz w:val="18"/>
                <w:szCs w:val="18"/>
              </w:rPr>
            </w:pPr>
            <w:r w:rsidRPr="002E5766">
              <w:rPr>
                <w:b/>
                <w:sz w:val="18"/>
                <w:szCs w:val="18"/>
              </w:rPr>
              <w:t>Incentive Method</w:t>
            </w:r>
          </w:p>
        </w:tc>
        <w:tc>
          <w:tcPr>
            <w:tcW w:w="3703" w:type="pct"/>
            <w:shd w:val="clear" w:color="auto" w:fill="D9D9D9" w:themeFill="background1" w:themeFillShade="D9"/>
          </w:tcPr>
          <w:p w14:paraId="7D56D1B0" w14:textId="77777777" w:rsidR="001B2301" w:rsidRPr="002E5766" w:rsidRDefault="001B2301" w:rsidP="001B2301">
            <w:pPr>
              <w:rPr>
                <w:b/>
                <w:sz w:val="18"/>
                <w:szCs w:val="18"/>
              </w:rPr>
            </w:pPr>
            <w:r w:rsidRPr="002E5766">
              <w:rPr>
                <w:b/>
                <w:sz w:val="18"/>
                <w:szCs w:val="18"/>
              </w:rPr>
              <w:t>Description</w:t>
            </w:r>
          </w:p>
        </w:tc>
      </w:tr>
      <w:tr w:rsidR="001B2301" w:rsidRPr="002E5766" w14:paraId="7D56D1B7" w14:textId="77777777" w:rsidTr="000E3597">
        <w:tc>
          <w:tcPr>
            <w:tcW w:w="1297" w:type="pct"/>
            <w:shd w:val="clear" w:color="auto" w:fill="auto"/>
          </w:tcPr>
          <w:p w14:paraId="7D56D1B5" w14:textId="77777777" w:rsidR="001B2301" w:rsidRPr="002E5766" w:rsidRDefault="003B428A" w:rsidP="00920905">
            <w:pPr>
              <w:autoSpaceDE w:val="0"/>
              <w:autoSpaceDN w:val="0"/>
              <w:adjustRightInd w:val="0"/>
              <w:spacing w:line="240" w:lineRule="atLeast"/>
              <w:rPr>
                <w:sz w:val="18"/>
                <w:szCs w:val="18"/>
              </w:rPr>
            </w:pPr>
            <w:r w:rsidRPr="002E5766">
              <w:rPr>
                <w:rFonts w:cs="Helv"/>
                <w:sz w:val="18"/>
                <w:szCs w:val="18"/>
              </w:rPr>
              <w:t>Direct Install (PreRebDI)</w:t>
            </w:r>
          </w:p>
        </w:tc>
        <w:tc>
          <w:tcPr>
            <w:tcW w:w="3703" w:type="pct"/>
            <w:shd w:val="clear" w:color="auto" w:fill="auto"/>
          </w:tcPr>
          <w:p w14:paraId="7D56D1B6" w14:textId="77777777" w:rsidR="001B2301" w:rsidRPr="002E5766" w:rsidRDefault="000E3597" w:rsidP="00920905">
            <w:pPr>
              <w:autoSpaceDE w:val="0"/>
              <w:autoSpaceDN w:val="0"/>
              <w:adjustRightInd w:val="0"/>
              <w:rPr>
                <w:sz w:val="18"/>
                <w:szCs w:val="18"/>
              </w:rPr>
            </w:pPr>
            <w:r>
              <w:rPr>
                <w:rFonts w:cs="Helv"/>
                <w:sz w:val="18"/>
                <w:szCs w:val="18"/>
              </w:rPr>
              <w:t>Direct install prescriptive rebate</w:t>
            </w:r>
          </w:p>
        </w:tc>
      </w:tr>
    </w:tbl>
    <w:p w14:paraId="7D56D1B8" w14:textId="5212BB9F" w:rsidR="001B2301" w:rsidRDefault="001B2301"/>
    <w:p w14:paraId="7D56D1B9" w14:textId="7989A2A2" w:rsidR="00E16609" w:rsidRPr="00500C4E" w:rsidRDefault="00824F1C" w:rsidP="00824F1C">
      <w:pPr>
        <w:pStyle w:val="Heading2"/>
        <w:rPr>
          <w:rFonts w:asciiTheme="minorHAnsi" w:hAnsiTheme="minorHAnsi" w:cstheme="minorHAnsi"/>
        </w:rPr>
      </w:pPr>
      <w:bookmarkStart w:id="20" w:name="_Toc214003084"/>
      <w:bookmarkStart w:id="21" w:name="_Toc502148140"/>
      <w:r w:rsidRPr="00500C4E">
        <w:rPr>
          <w:rFonts w:asciiTheme="minorHAnsi" w:hAnsiTheme="minorHAnsi" w:cstheme="minorHAnsi"/>
        </w:rPr>
        <w:t>1.</w:t>
      </w:r>
      <w:r w:rsidR="005F58AD">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20"/>
      <w:r w:rsidR="00F810DD">
        <w:rPr>
          <w:rFonts w:asciiTheme="minorHAnsi" w:hAnsiTheme="minorHAnsi" w:cstheme="minorHAnsi"/>
        </w:rPr>
        <w:t>Parameters</w:t>
      </w:r>
      <w:bookmarkEnd w:id="21"/>
    </w:p>
    <w:p w14:paraId="7D56D1BA" w14:textId="71E7D48C" w:rsidR="00F06CCF" w:rsidRDefault="005F58AD" w:rsidP="00F06CCF">
      <w:pPr>
        <w:pStyle w:val="Heading3"/>
        <w:rPr>
          <w:rFonts w:asciiTheme="minorHAnsi" w:hAnsiTheme="minorHAnsi"/>
        </w:rPr>
      </w:pPr>
      <w:bookmarkStart w:id="22" w:name="_Toc502148141"/>
      <w:r>
        <w:rPr>
          <w:rFonts w:asciiTheme="minorHAnsi" w:hAnsiTheme="minorHAnsi"/>
        </w:rPr>
        <w:t>1.4</w:t>
      </w:r>
      <w:r w:rsidR="00F06CCF" w:rsidRPr="00500C4E">
        <w:rPr>
          <w:rFonts w:asciiTheme="minorHAnsi" w:hAnsiTheme="minorHAnsi"/>
        </w:rPr>
        <w:t xml:space="preserve">.1 DEER </w:t>
      </w:r>
      <w:r w:rsidR="00D86A9D">
        <w:rPr>
          <w:rFonts w:asciiTheme="minorHAnsi" w:hAnsiTheme="minorHAnsi"/>
        </w:rPr>
        <w:t>Data</w:t>
      </w:r>
      <w:bookmarkEnd w:id="22"/>
    </w:p>
    <w:p w14:paraId="7D56D1BB" w14:textId="73DB3D53" w:rsidR="00DA6A1C" w:rsidRPr="00FE0ED1" w:rsidRDefault="002C7975" w:rsidP="00DA6A1C">
      <w:pPr>
        <w:rPr>
          <w:szCs w:val="22"/>
        </w:rPr>
      </w:pPr>
      <w:r w:rsidRPr="00FE0ED1">
        <w:rPr>
          <w:szCs w:val="22"/>
        </w:rPr>
        <w:t>There are currently no DEER measures applicable for low-flow showerheads</w:t>
      </w:r>
      <w:r w:rsidRPr="00FE0ED1">
        <w:rPr>
          <w:szCs w:val="22"/>
        </w:rPr>
        <w:fldChar w:fldCharType="begin"/>
      </w:r>
      <w:r w:rsidRPr="00FE0ED1">
        <w:rPr>
          <w:szCs w:val="22"/>
        </w:rPr>
        <w:instrText xml:space="preserve"> XE "showerheads" </w:instrText>
      </w:r>
      <w:r w:rsidRPr="00FE0ED1">
        <w:rPr>
          <w:szCs w:val="22"/>
        </w:rPr>
        <w:fldChar w:fldCharType="end"/>
      </w:r>
      <w:r w:rsidRPr="00FE0ED1">
        <w:rPr>
          <w:szCs w:val="22"/>
        </w:rPr>
        <w:t xml:space="preserve"> </w:t>
      </w:r>
      <w:r>
        <w:rPr>
          <w:szCs w:val="22"/>
        </w:rPr>
        <w:t>in commercial building</w:t>
      </w:r>
      <w:r w:rsidR="008F7F24">
        <w:rPr>
          <w:szCs w:val="22"/>
        </w:rPr>
        <w:t>s</w:t>
      </w:r>
      <w:r w:rsidRPr="00FE0ED1">
        <w:rPr>
          <w:szCs w:val="22"/>
        </w:rPr>
        <w:t>. Energy savings will vary with each flowrate</w:t>
      </w:r>
      <w:r>
        <w:rPr>
          <w:szCs w:val="22"/>
        </w:rPr>
        <w:t xml:space="preserve"> of showerhead installed</w:t>
      </w:r>
      <w:r w:rsidRPr="00FE0ED1">
        <w:rPr>
          <w:szCs w:val="22"/>
        </w:rPr>
        <w:t>.</w:t>
      </w:r>
    </w:p>
    <w:p w14:paraId="2BD707CF" w14:textId="77777777" w:rsidR="007D5276" w:rsidRDefault="007D5276" w:rsidP="000552DC">
      <w:pPr>
        <w:pStyle w:val="Caption"/>
        <w:keepNext/>
        <w:jc w:val="center"/>
      </w:pPr>
      <w:bookmarkStart w:id="23" w:name="_Toc385592671"/>
      <w:bookmarkStart w:id="24" w:name="_Toc501451174"/>
      <w:bookmarkStart w:id="25" w:name="_Toc214003087"/>
    </w:p>
    <w:p w14:paraId="7D56D1BD" w14:textId="7B06B464" w:rsidR="00E326BA" w:rsidRPr="000552DC" w:rsidRDefault="000552DC" w:rsidP="007D5276">
      <w:pPr>
        <w:pStyle w:val="Caption"/>
        <w:keepNext/>
      </w:pPr>
      <w:r>
        <w:t xml:space="preserve">Table </w:t>
      </w:r>
      <w:r w:rsidR="000149A3">
        <w:t>5</w:t>
      </w:r>
      <w:r>
        <w:t>:</w:t>
      </w:r>
      <w:r w:rsidRPr="000552DC">
        <w:t xml:space="preserve"> DEER Difference Summary</w:t>
      </w:r>
      <w:bookmarkEnd w:id="23"/>
      <w:bookmarkEnd w:id="24"/>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7D56D1C0" w14:textId="77777777" w:rsidTr="00920905">
        <w:trPr>
          <w:trHeight w:val="20"/>
        </w:trPr>
        <w:tc>
          <w:tcPr>
            <w:tcW w:w="1548" w:type="pct"/>
            <w:shd w:val="clear" w:color="auto" w:fill="D9D9D9" w:themeFill="background1" w:themeFillShade="D9"/>
          </w:tcPr>
          <w:p w14:paraId="7D56D1BE"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7D56D1BF"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2E5766" w14:paraId="7D56D1C3" w14:textId="77777777" w:rsidTr="00920905">
        <w:trPr>
          <w:trHeight w:val="20"/>
        </w:trPr>
        <w:tc>
          <w:tcPr>
            <w:tcW w:w="1548" w:type="pct"/>
          </w:tcPr>
          <w:p w14:paraId="7D56D1C1" w14:textId="77777777" w:rsidR="00E326BA" w:rsidRPr="002E5766" w:rsidRDefault="00E326BA" w:rsidP="00920905">
            <w:pPr>
              <w:rPr>
                <w:rFonts w:cs="Arial"/>
                <w:szCs w:val="20"/>
              </w:rPr>
            </w:pPr>
            <w:r w:rsidRPr="002E5766">
              <w:rPr>
                <w:rFonts w:cs="Arial"/>
                <w:szCs w:val="20"/>
              </w:rPr>
              <w:t>Modified DEER methodology</w:t>
            </w:r>
          </w:p>
        </w:tc>
        <w:tc>
          <w:tcPr>
            <w:tcW w:w="3452" w:type="pct"/>
          </w:tcPr>
          <w:p w14:paraId="7D56D1C2" w14:textId="77777777" w:rsidR="00CD1195" w:rsidRPr="002E5766" w:rsidRDefault="00A07A43" w:rsidP="00920905">
            <w:pPr>
              <w:rPr>
                <w:rFonts w:cs="Arial"/>
                <w:szCs w:val="20"/>
              </w:rPr>
            </w:pPr>
            <w:r w:rsidRPr="002E5766">
              <w:rPr>
                <w:rFonts w:cs="Arial"/>
                <w:szCs w:val="20"/>
              </w:rPr>
              <w:t>No</w:t>
            </w:r>
          </w:p>
        </w:tc>
      </w:tr>
      <w:tr w:rsidR="00726AD5" w:rsidRPr="002E5766" w14:paraId="7D56D1C6" w14:textId="77777777" w:rsidTr="00920905">
        <w:trPr>
          <w:trHeight w:val="20"/>
        </w:trPr>
        <w:tc>
          <w:tcPr>
            <w:tcW w:w="1548" w:type="pct"/>
          </w:tcPr>
          <w:p w14:paraId="7D56D1C4" w14:textId="77777777" w:rsidR="00E326BA" w:rsidRPr="002E5766" w:rsidRDefault="00E326BA" w:rsidP="00920905">
            <w:pPr>
              <w:rPr>
                <w:rFonts w:cs="Arial"/>
                <w:szCs w:val="20"/>
              </w:rPr>
            </w:pPr>
            <w:r w:rsidRPr="002E5766">
              <w:rPr>
                <w:rFonts w:cs="Arial"/>
                <w:szCs w:val="20"/>
              </w:rPr>
              <w:t>Scaled DEER measure</w:t>
            </w:r>
          </w:p>
        </w:tc>
        <w:tc>
          <w:tcPr>
            <w:tcW w:w="3452" w:type="pct"/>
          </w:tcPr>
          <w:p w14:paraId="7D56D1C5" w14:textId="77777777" w:rsidR="00E326BA" w:rsidRPr="002E5766" w:rsidRDefault="00E326BA" w:rsidP="00920905">
            <w:pPr>
              <w:rPr>
                <w:rFonts w:cs="Arial"/>
                <w:szCs w:val="20"/>
              </w:rPr>
            </w:pPr>
            <w:r w:rsidRPr="002E5766">
              <w:rPr>
                <w:rFonts w:cs="Arial"/>
                <w:szCs w:val="20"/>
              </w:rPr>
              <w:t>No</w:t>
            </w:r>
          </w:p>
        </w:tc>
      </w:tr>
      <w:tr w:rsidR="00726AD5" w:rsidRPr="002E5766" w14:paraId="7D56D1C9" w14:textId="77777777" w:rsidTr="00920905">
        <w:trPr>
          <w:trHeight w:val="20"/>
        </w:trPr>
        <w:tc>
          <w:tcPr>
            <w:tcW w:w="1548" w:type="pct"/>
          </w:tcPr>
          <w:p w14:paraId="7D56D1C7" w14:textId="77777777" w:rsidR="00E326BA" w:rsidRPr="002E5766" w:rsidRDefault="00E326BA" w:rsidP="00920905">
            <w:pPr>
              <w:rPr>
                <w:rFonts w:cs="Arial"/>
                <w:szCs w:val="20"/>
              </w:rPr>
            </w:pPr>
            <w:r w:rsidRPr="002E5766">
              <w:rPr>
                <w:rFonts w:cs="Arial"/>
                <w:szCs w:val="20"/>
              </w:rPr>
              <w:t xml:space="preserve">DEER </w:t>
            </w:r>
            <w:r w:rsidR="009D10A4" w:rsidRPr="002E5766">
              <w:rPr>
                <w:rFonts w:cs="Arial"/>
                <w:szCs w:val="20"/>
              </w:rPr>
              <w:t>B</w:t>
            </w:r>
            <w:r w:rsidRPr="002E5766">
              <w:rPr>
                <w:rFonts w:cs="Arial"/>
                <w:szCs w:val="20"/>
              </w:rPr>
              <w:t xml:space="preserve">ase </w:t>
            </w:r>
            <w:r w:rsidR="009D10A4" w:rsidRPr="002E5766">
              <w:rPr>
                <w:rFonts w:cs="Arial"/>
                <w:szCs w:val="20"/>
              </w:rPr>
              <w:t>C</w:t>
            </w:r>
            <w:r w:rsidRPr="002E5766">
              <w:rPr>
                <w:rFonts w:cs="Arial"/>
                <w:szCs w:val="20"/>
              </w:rPr>
              <w:t>ase</w:t>
            </w:r>
          </w:p>
        </w:tc>
        <w:tc>
          <w:tcPr>
            <w:tcW w:w="3452" w:type="pct"/>
          </w:tcPr>
          <w:p w14:paraId="7D56D1C8" w14:textId="77777777" w:rsidR="00E326BA" w:rsidRPr="002E5766" w:rsidRDefault="00D80CFF" w:rsidP="00920905">
            <w:pPr>
              <w:rPr>
                <w:rFonts w:cs="Arial"/>
                <w:szCs w:val="20"/>
              </w:rPr>
            </w:pPr>
            <w:r w:rsidRPr="002E5766">
              <w:rPr>
                <w:rFonts w:cs="Arial"/>
                <w:szCs w:val="20"/>
              </w:rPr>
              <w:t>No</w:t>
            </w:r>
          </w:p>
        </w:tc>
      </w:tr>
      <w:tr w:rsidR="00726AD5" w:rsidRPr="002E5766" w14:paraId="7D56D1CC" w14:textId="77777777" w:rsidTr="00920905">
        <w:trPr>
          <w:trHeight w:val="20"/>
        </w:trPr>
        <w:tc>
          <w:tcPr>
            <w:tcW w:w="1548" w:type="pct"/>
          </w:tcPr>
          <w:p w14:paraId="7D56D1CA" w14:textId="77777777" w:rsidR="00E326BA" w:rsidRPr="002E5766" w:rsidRDefault="00E326BA" w:rsidP="00920905">
            <w:pPr>
              <w:rPr>
                <w:rFonts w:cs="Arial"/>
                <w:szCs w:val="20"/>
              </w:rPr>
            </w:pPr>
            <w:r w:rsidRPr="002E5766">
              <w:rPr>
                <w:rFonts w:cs="Arial"/>
                <w:szCs w:val="20"/>
              </w:rPr>
              <w:t xml:space="preserve">DEER </w:t>
            </w:r>
            <w:r w:rsidR="009D10A4" w:rsidRPr="002E5766">
              <w:rPr>
                <w:rFonts w:cs="Arial"/>
                <w:szCs w:val="20"/>
              </w:rPr>
              <w:t>M</w:t>
            </w:r>
            <w:r w:rsidRPr="002E5766">
              <w:rPr>
                <w:rFonts w:cs="Arial"/>
                <w:szCs w:val="20"/>
              </w:rPr>
              <w:t xml:space="preserve">easure </w:t>
            </w:r>
            <w:r w:rsidR="009D10A4" w:rsidRPr="002E5766">
              <w:rPr>
                <w:rFonts w:cs="Arial"/>
                <w:szCs w:val="20"/>
              </w:rPr>
              <w:t>C</w:t>
            </w:r>
            <w:r w:rsidRPr="002E5766">
              <w:rPr>
                <w:rFonts w:cs="Arial"/>
                <w:szCs w:val="20"/>
              </w:rPr>
              <w:t>ase</w:t>
            </w:r>
          </w:p>
        </w:tc>
        <w:tc>
          <w:tcPr>
            <w:tcW w:w="3452" w:type="pct"/>
          </w:tcPr>
          <w:p w14:paraId="7D56D1CB" w14:textId="77777777" w:rsidR="00E326BA" w:rsidRPr="002E5766" w:rsidRDefault="00E326BA" w:rsidP="00920905">
            <w:pPr>
              <w:rPr>
                <w:rFonts w:cs="Arial"/>
                <w:szCs w:val="20"/>
              </w:rPr>
            </w:pPr>
            <w:r w:rsidRPr="002E5766">
              <w:rPr>
                <w:rFonts w:cs="Arial"/>
                <w:szCs w:val="20"/>
              </w:rPr>
              <w:t>No</w:t>
            </w:r>
          </w:p>
        </w:tc>
      </w:tr>
      <w:tr w:rsidR="00726AD5" w:rsidRPr="002E5766" w14:paraId="7D56D1CF" w14:textId="77777777" w:rsidTr="00920905">
        <w:trPr>
          <w:trHeight w:val="20"/>
        </w:trPr>
        <w:tc>
          <w:tcPr>
            <w:tcW w:w="1548" w:type="pct"/>
          </w:tcPr>
          <w:p w14:paraId="7D56D1CD" w14:textId="77777777" w:rsidR="00E326BA" w:rsidRPr="002E5766" w:rsidRDefault="00E326BA" w:rsidP="00920905">
            <w:pPr>
              <w:rPr>
                <w:rFonts w:cs="Arial"/>
                <w:szCs w:val="20"/>
              </w:rPr>
            </w:pPr>
            <w:r w:rsidRPr="002E5766">
              <w:rPr>
                <w:rFonts w:cs="Arial"/>
                <w:szCs w:val="20"/>
              </w:rPr>
              <w:t xml:space="preserve">DEER </w:t>
            </w:r>
            <w:r w:rsidR="009D10A4" w:rsidRPr="002E5766">
              <w:rPr>
                <w:rFonts w:cs="Arial"/>
                <w:szCs w:val="20"/>
              </w:rPr>
              <w:t>B</w:t>
            </w:r>
            <w:r w:rsidRPr="002E5766">
              <w:rPr>
                <w:rFonts w:cs="Arial"/>
                <w:szCs w:val="20"/>
              </w:rPr>
              <w:t xml:space="preserve">uilding </w:t>
            </w:r>
            <w:r w:rsidR="009D10A4" w:rsidRPr="002E5766">
              <w:rPr>
                <w:rFonts w:cs="Arial"/>
                <w:szCs w:val="20"/>
              </w:rPr>
              <w:t>T</w:t>
            </w:r>
            <w:r w:rsidRPr="002E5766">
              <w:rPr>
                <w:rFonts w:cs="Arial"/>
                <w:szCs w:val="20"/>
              </w:rPr>
              <w:t>ypes</w:t>
            </w:r>
          </w:p>
        </w:tc>
        <w:tc>
          <w:tcPr>
            <w:tcW w:w="3452" w:type="pct"/>
          </w:tcPr>
          <w:p w14:paraId="7D56D1CE" w14:textId="77777777" w:rsidR="00E326BA" w:rsidRPr="002E5766" w:rsidRDefault="00D80CFF" w:rsidP="00920905">
            <w:pPr>
              <w:rPr>
                <w:rFonts w:cs="Arial"/>
                <w:szCs w:val="20"/>
              </w:rPr>
            </w:pPr>
            <w:r w:rsidRPr="002E5766">
              <w:rPr>
                <w:rFonts w:cs="Arial"/>
                <w:szCs w:val="20"/>
              </w:rPr>
              <w:t>No</w:t>
            </w:r>
          </w:p>
        </w:tc>
      </w:tr>
      <w:tr w:rsidR="00726AD5" w:rsidRPr="002E5766" w14:paraId="7D56D1D2" w14:textId="77777777" w:rsidTr="00920905">
        <w:trPr>
          <w:trHeight w:val="20"/>
        </w:trPr>
        <w:tc>
          <w:tcPr>
            <w:tcW w:w="1548" w:type="pct"/>
          </w:tcPr>
          <w:p w14:paraId="7D56D1D0" w14:textId="77777777" w:rsidR="00E326BA" w:rsidRPr="002E5766" w:rsidRDefault="00E326BA" w:rsidP="00920905">
            <w:pPr>
              <w:rPr>
                <w:rFonts w:cs="Arial"/>
                <w:szCs w:val="20"/>
              </w:rPr>
            </w:pPr>
            <w:r w:rsidRPr="002E5766">
              <w:rPr>
                <w:rFonts w:cs="Arial"/>
                <w:szCs w:val="20"/>
              </w:rPr>
              <w:t xml:space="preserve">DEER </w:t>
            </w:r>
            <w:r w:rsidR="009D10A4" w:rsidRPr="002E5766">
              <w:rPr>
                <w:rFonts w:cs="Arial"/>
                <w:szCs w:val="20"/>
              </w:rPr>
              <w:t>O</w:t>
            </w:r>
            <w:r w:rsidRPr="002E5766">
              <w:rPr>
                <w:rFonts w:cs="Arial"/>
                <w:szCs w:val="20"/>
              </w:rPr>
              <w:t xml:space="preserve">perating </w:t>
            </w:r>
            <w:r w:rsidR="009D10A4" w:rsidRPr="002E5766">
              <w:rPr>
                <w:rFonts w:cs="Arial"/>
                <w:szCs w:val="20"/>
              </w:rPr>
              <w:t>H</w:t>
            </w:r>
            <w:r w:rsidRPr="002E5766">
              <w:rPr>
                <w:rFonts w:cs="Arial"/>
                <w:szCs w:val="20"/>
              </w:rPr>
              <w:t>ours</w:t>
            </w:r>
          </w:p>
        </w:tc>
        <w:tc>
          <w:tcPr>
            <w:tcW w:w="3452" w:type="pct"/>
          </w:tcPr>
          <w:p w14:paraId="7D56D1D1" w14:textId="77777777" w:rsidR="00E326BA" w:rsidRPr="002E5766" w:rsidRDefault="00CD1195" w:rsidP="00920905">
            <w:pPr>
              <w:rPr>
                <w:rFonts w:cs="Arial"/>
                <w:szCs w:val="20"/>
              </w:rPr>
            </w:pPr>
            <w:r w:rsidRPr="002E5766">
              <w:rPr>
                <w:rFonts w:cs="Arial"/>
                <w:szCs w:val="20"/>
              </w:rPr>
              <w:t>No</w:t>
            </w:r>
          </w:p>
        </w:tc>
      </w:tr>
      <w:tr w:rsidR="00726AD5" w:rsidRPr="002E5766" w14:paraId="7D56D1D5" w14:textId="77777777" w:rsidTr="00920905">
        <w:trPr>
          <w:trHeight w:val="20"/>
        </w:trPr>
        <w:tc>
          <w:tcPr>
            <w:tcW w:w="1548" w:type="pct"/>
          </w:tcPr>
          <w:p w14:paraId="7D56D1D3" w14:textId="77777777" w:rsidR="00505CEC" w:rsidRPr="002E5766" w:rsidRDefault="00505CEC" w:rsidP="00920905">
            <w:pPr>
              <w:rPr>
                <w:rFonts w:cs="Arial"/>
                <w:szCs w:val="20"/>
              </w:rPr>
            </w:pPr>
            <w:r w:rsidRPr="002E5766">
              <w:rPr>
                <w:rFonts w:cs="Arial"/>
                <w:szCs w:val="20"/>
              </w:rPr>
              <w:t xml:space="preserve">DEER </w:t>
            </w:r>
            <w:r w:rsidR="009D10A4" w:rsidRPr="002E5766">
              <w:rPr>
                <w:rFonts w:cs="Arial"/>
                <w:szCs w:val="20"/>
              </w:rPr>
              <w:t>eQUEST P</w:t>
            </w:r>
            <w:r w:rsidRPr="002E5766">
              <w:rPr>
                <w:rFonts w:cs="Arial"/>
                <w:szCs w:val="20"/>
              </w:rPr>
              <w:t>rototype</w:t>
            </w:r>
            <w:r w:rsidR="009D10A4" w:rsidRPr="002E5766">
              <w:rPr>
                <w:rFonts w:cs="Arial"/>
                <w:szCs w:val="20"/>
              </w:rPr>
              <w:t>s</w:t>
            </w:r>
          </w:p>
        </w:tc>
        <w:tc>
          <w:tcPr>
            <w:tcW w:w="3452" w:type="pct"/>
          </w:tcPr>
          <w:p w14:paraId="7D56D1D4" w14:textId="77777777" w:rsidR="00505CEC" w:rsidRPr="002E5766" w:rsidDel="00505CEC" w:rsidRDefault="00505CEC" w:rsidP="00920905">
            <w:pPr>
              <w:rPr>
                <w:rFonts w:cs="Arial"/>
                <w:szCs w:val="20"/>
              </w:rPr>
            </w:pPr>
            <w:r w:rsidRPr="002E5766">
              <w:rPr>
                <w:rFonts w:cs="Arial"/>
                <w:szCs w:val="20"/>
              </w:rPr>
              <w:t>No</w:t>
            </w:r>
          </w:p>
        </w:tc>
      </w:tr>
      <w:tr w:rsidR="00D86A9D" w:rsidRPr="002E5766" w14:paraId="7D56D1D8" w14:textId="77777777" w:rsidTr="00920905">
        <w:trPr>
          <w:trHeight w:val="20"/>
        </w:trPr>
        <w:tc>
          <w:tcPr>
            <w:tcW w:w="1548" w:type="pct"/>
          </w:tcPr>
          <w:p w14:paraId="7D56D1D6" w14:textId="77777777" w:rsidR="00D86A9D" w:rsidRPr="002E5766" w:rsidRDefault="00D86A9D" w:rsidP="00175D14">
            <w:pPr>
              <w:rPr>
                <w:rFonts w:cs="Arial"/>
                <w:szCs w:val="20"/>
              </w:rPr>
            </w:pPr>
            <w:r w:rsidRPr="002E5766">
              <w:rPr>
                <w:rFonts w:cs="Arial"/>
                <w:szCs w:val="20"/>
              </w:rPr>
              <w:lastRenderedPageBreak/>
              <w:t>DEER Version</w:t>
            </w:r>
          </w:p>
        </w:tc>
        <w:tc>
          <w:tcPr>
            <w:tcW w:w="3452" w:type="pct"/>
          </w:tcPr>
          <w:p w14:paraId="7D56D1D7" w14:textId="77777777" w:rsidR="00D86A9D" w:rsidRPr="002E5766" w:rsidRDefault="002C7975" w:rsidP="00175D14">
            <w:pPr>
              <w:rPr>
                <w:rFonts w:cs="Arial"/>
                <w:szCs w:val="20"/>
              </w:rPr>
            </w:pPr>
            <w:r w:rsidRPr="002E5766">
              <w:rPr>
                <w:rFonts w:cstheme="minorHAnsi"/>
                <w:szCs w:val="20"/>
              </w:rPr>
              <w:t>No</w:t>
            </w:r>
          </w:p>
        </w:tc>
      </w:tr>
      <w:tr w:rsidR="00726AD5" w:rsidRPr="00500C4E" w14:paraId="7D56D1DB" w14:textId="77777777" w:rsidTr="00920905">
        <w:trPr>
          <w:trHeight w:val="20"/>
        </w:trPr>
        <w:tc>
          <w:tcPr>
            <w:tcW w:w="1548" w:type="pct"/>
          </w:tcPr>
          <w:p w14:paraId="7D56D1D9" w14:textId="77777777" w:rsidR="00E326BA" w:rsidRPr="002E5766" w:rsidRDefault="00E326BA" w:rsidP="00920905">
            <w:pPr>
              <w:rPr>
                <w:rFonts w:cs="Arial"/>
                <w:szCs w:val="20"/>
              </w:rPr>
            </w:pPr>
            <w:r w:rsidRPr="002E5766">
              <w:rPr>
                <w:rFonts w:cs="Arial"/>
                <w:szCs w:val="20"/>
              </w:rPr>
              <w:t>Reason for Deviation from DEER</w:t>
            </w:r>
          </w:p>
        </w:tc>
        <w:tc>
          <w:tcPr>
            <w:tcW w:w="3452" w:type="pct"/>
          </w:tcPr>
          <w:p w14:paraId="7D56D1DA" w14:textId="77777777" w:rsidR="00E326BA" w:rsidRPr="002E5766" w:rsidRDefault="00CD1195" w:rsidP="00920905">
            <w:pPr>
              <w:rPr>
                <w:rFonts w:cs="Arial"/>
                <w:szCs w:val="20"/>
              </w:rPr>
            </w:pPr>
            <w:r w:rsidRPr="002E5766">
              <w:rPr>
                <w:rFonts w:cs="Arial"/>
                <w:szCs w:val="20"/>
              </w:rPr>
              <w:t>DEER does not contain this type of measure for the commercial sector</w:t>
            </w:r>
          </w:p>
        </w:tc>
      </w:tr>
      <w:tr w:rsidR="002E5766" w:rsidRPr="002E5766" w14:paraId="7D56D1DE" w14:textId="77777777" w:rsidTr="00920905">
        <w:trPr>
          <w:trHeight w:val="20"/>
        </w:trPr>
        <w:tc>
          <w:tcPr>
            <w:tcW w:w="1548" w:type="pct"/>
          </w:tcPr>
          <w:p w14:paraId="7D56D1DC" w14:textId="77777777" w:rsidR="00E326BA" w:rsidRPr="002E5766" w:rsidRDefault="00E326BA" w:rsidP="00920905">
            <w:pPr>
              <w:rPr>
                <w:rFonts w:cs="Arial"/>
                <w:szCs w:val="20"/>
              </w:rPr>
            </w:pPr>
            <w:r w:rsidRPr="002E5766">
              <w:rPr>
                <w:rFonts w:cs="Arial"/>
                <w:szCs w:val="20"/>
              </w:rPr>
              <w:t xml:space="preserve">DEER </w:t>
            </w:r>
            <w:r w:rsidR="009D10A4" w:rsidRPr="002E5766">
              <w:rPr>
                <w:rFonts w:cs="Arial"/>
                <w:szCs w:val="20"/>
              </w:rPr>
              <w:t xml:space="preserve">Measure </w:t>
            </w:r>
            <w:r w:rsidRPr="002E5766">
              <w:rPr>
                <w:rFonts w:cs="Arial"/>
                <w:szCs w:val="20"/>
              </w:rPr>
              <w:t>ID</w:t>
            </w:r>
            <w:r w:rsidR="009D10A4" w:rsidRPr="002E5766">
              <w:rPr>
                <w:rFonts w:cs="Arial"/>
                <w:szCs w:val="20"/>
              </w:rPr>
              <w:t>s</w:t>
            </w:r>
            <w:r w:rsidR="007A5F52" w:rsidRPr="002E5766">
              <w:rPr>
                <w:rFonts w:cs="Arial"/>
                <w:szCs w:val="20"/>
              </w:rPr>
              <w:t xml:space="preserve"> Used</w:t>
            </w:r>
          </w:p>
        </w:tc>
        <w:tc>
          <w:tcPr>
            <w:tcW w:w="3452" w:type="pct"/>
          </w:tcPr>
          <w:p w14:paraId="7D56D1DD" w14:textId="77777777" w:rsidR="00E326BA" w:rsidRPr="002E5766" w:rsidRDefault="00CD1195" w:rsidP="00CD1195">
            <w:pPr>
              <w:rPr>
                <w:rFonts w:cs="Arial"/>
                <w:szCs w:val="20"/>
              </w:rPr>
            </w:pPr>
            <w:r w:rsidRPr="002E5766">
              <w:rPr>
                <w:rFonts w:cs="Arial"/>
                <w:szCs w:val="20"/>
              </w:rPr>
              <w:t>N/A</w:t>
            </w:r>
          </w:p>
        </w:tc>
      </w:tr>
    </w:tbl>
    <w:p w14:paraId="32DB2CE7" w14:textId="77777777" w:rsidR="00200F21" w:rsidRDefault="00200F21" w:rsidP="00DE32FD">
      <w:pPr>
        <w:pStyle w:val="Reminders"/>
        <w:rPr>
          <w:rFonts w:asciiTheme="minorHAnsi" w:hAnsiTheme="minorHAnsi" w:cstheme="minorHAnsi"/>
          <w:b/>
          <w:i w:val="0"/>
          <w:color w:val="auto"/>
          <w:szCs w:val="22"/>
        </w:rPr>
      </w:pPr>
    </w:p>
    <w:p w14:paraId="7D56D1E0" w14:textId="6A1E98DC" w:rsidR="00472250" w:rsidRPr="00500C4E" w:rsidRDefault="00472250" w:rsidP="00DE32FD">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7D56D1E1" w14:textId="77777777"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7D56D1E2" w14:textId="77777777" w:rsidR="000552DC" w:rsidRPr="00920905" w:rsidRDefault="000552DC" w:rsidP="00920905">
      <w:pPr>
        <w:pStyle w:val="NoSpacing"/>
      </w:pPr>
    </w:p>
    <w:p w14:paraId="7D56D1E3" w14:textId="5131A89C" w:rsidR="000552DC" w:rsidRDefault="000552DC" w:rsidP="000552DC">
      <w:pPr>
        <w:pStyle w:val="Caption"/>
        <w:keepNext/>
      </w:pPr>
      <w:bookmarkStart w:id="26" w:name="_Toc501451175"/>
      <w:r>
        <w:t xml:space="preserve">Table </w:t>
      </w:r>
      <w:r w:rsidR="000149A3">
        <w:t>6</w:t>
      </w:r>
      <w:r>
        <w:t>: NTGR</w:t>
      </w:r>
      <w:bookmarkEnd w:id="26"/>
    </w:p>
    <w:tbl>
      <w:tblPr>
        <w:tblStyle w:val="TableGrid1"/>
        <w:tblW w:w="5000" w:type="pct"/>
        <w:tblLayout w:type="fixed"/>
        <w:tblLook w:val="01E0" w:firstRow="1" w:lastRow="1" w:firstColumn="1" w:lastColumn="1" w:noHBand="0" w:noVBand="0"/>
      </w:tblPr>
      <w:tblGrid>
        <w:gridCol w:w="1599"/>
        <w:gridCol w:w="3867"/>
        <w:gridCol w:w="879"/>
        <w:gridCol w:w="1030"/>
        <w:gridCol w:w="1171"/>
        <w:gridCol w:w="804"/>
      </w:tblGrid>
      <w:tr w:rsidR="005F69D5" w:rsidRPr="00500C4E" w14:paraId="7D56D1EA" w14:textId="77777777" w:rsidTr="0005472B">
        <w:tc>
          <w:tcPr>
            <w:tcW w:w="855" w:type="pct"/>
            <w:shd w:val="clear" w:color="auto" w:fill="D9D9D9" w:themeFill="background1" w:themeFillShade="D9"/>
          </w:tcPr>
          <w:p w14:paraId="7D56D1E4" w14:textId="777777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68" w:type="pct"/>
            <w:shd w:val="clear" w:color="auto" w:fill="D9D9D9" w:themeFill="background1" w:themeFillShade="D9"/>
          </w:tcPr>
          <w:p w14:paraId="7D56D1E5" w14:textId="77777777" w:rsidR="000968C6" w:rsidRPr="00920905" w:rsidRDefault="005F69D5">
            <w:pPr>
              <w:rPr>
                <w:rFonts w:cstheme="minorHAnsi"/>
                <w:b/>
                <w:szCs w:val="20"/>
              </w:rPr>
            </w:pPr>
            <w:r>
              <w:rPr>
                <w:rFonts w:cstheme="minorHAnsi"/>
                <w:b/>
                <w:szCs w:val="20"/>
              </w:rPr>
              <w:t>Description</w:t>
            </w:r>
          </w:p>
        </w:tc>
        <w:tc>
          <w:tcPr>
            <w:tcW w:w="470" w:type="pct"/>
            <w:shd w:val="clear" w:color="auto" w:fill="D9D9D9" w:themeFill="background1" w:themeFillShade="D9"/>
          </w:tcPr>
          <w:p w14:paraId="7D56D1E6" w14:textId="77777777" w:rsidR="000968C6" w:rsidRPr="00920905" w:rsidRDefault="000968C6" w:rsidP="005729C8">
            <w:pPr>
              <w:rPr>
                <w:rFonts w:cstheme="minorHAnsi"/>
                <w:b/>
                <w:szCs w:val="20"/>
              </w:rPr>
            </w:pPr>
            <w:r w:rsidRPr="00920905">
              <w:rPr>
                <w:rFonts w:cstheme="minorHAnsi"/>
                <w:b/>
                <w:szCs w:val="20"/>
              </w:rPr>
              <w:t>Sector</w:t>
            </w:r>
          </w:p>
        </w:tc>
        <w:tc>
          <w:tcPr>
            <w:tcW w:w="551" w:type="pct"/>
            <w:shd w:val="clear" w:color="auto" w:fill="D9D9D9" w:themeFill="background1" w:themeFillShade="D9"/>
          </w:tcPr>
          <w:p w14:paraId="7D56D1E7" w14:textId="77777777" w:rsidR="000968C6" w:rsidRPr="00920905" w:rsidRDefault="00FB2590" w:rsidP="005729C8">
            <w:pPr>
              <w:rPr>
                <w:rFonts w:cstheme="minorHAnsi"/>
                <w:b/>
                <w:szCs w:val="20"/>
              </w:rPr>
            </w:pPr>
            <w:r w:rsidRPr="00920905">
              <w:rPr>
                <w:rFonts w:cstheme="minorHAnsi"/>
                <w:b/>
                <w:szCs w:val="20"/>
              </w:rPr>
              <w:t>BldgType</w:t>
            </w:r>
          </w:p>
        </w:tc>
        <w:tc>
          <w:tcPr>
            <w:tcW w:w="626" w:type="pct"/>
            <w:shd w:val="clear" w:color="auto" w:fill="D9D9D9" w:themeFill="background1" w:themeFillShade="D9"/>
          </w:tcPr>
          <w:p w14:paraId="7D56D1E8"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7D56D1E9"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2E5766" w:rsidRPr="002E5766" w14:paraId="7D56D1F2" w14:textId="77777777" w:rsidTr="0005472B">
        <w:tc>
          <w:tcPr>
            <w:tcW w:w="855" w:type="pct"/>
          </w:tcPr>
          <w:p w14:paraId="7D56D1EB" w14:textId="77777777" w:rsidR="00CC70AC" w:rsidRPr="002E5766" w:rsidRDefault="00CC70AC" w:rsidP="00377652">
            <w:pPr>
              <w:rPr>
                <w:szCs w:val="20"/>
              </w:rPr>
            </w:pPr>
            <w:r w:rsidRPr="002E5766">
              <w:rPr>
                <w:szCs w:val="20"/>
              </w:rPr>
              <w:t>All-Default&lt;=2yrs</w:t>
            </w:r>
          </w:p>
        </w:tc>
        <w:tc>
          <w:tcPr>
            <w:tcW w:w="2068" w:type="pct"/>
          </w:tcPr>
          <w:p w14:paraId="7D56D1EC" w14:textId="77777777" w:rsidR="00CC70AC" w:rsidRPr="002E5766" w:rsidRDefault="00CC70AC" w:rsidP="00377652">
            <w:pPr>
              <w:rPr>
                <w:szCs w:val="20"/>
              </w:rPr>
            </w:pPr>
            <w:r w:rsidRPr="002E5766">
              <w:rPr>
                <w:szCs w:val="20"/>
              </w:rPr>
              <w:t>All other EEM with no evaluated NTGR; new technology in program for 2 or fewer years</w:t>
            </w:r>
          </w:p>
        </w:tc>
        <w:tc>
          <w:tcPr>
            <w:tcW w:w="470" w:type="pct"/>
          </w:tcPr>
          <w:p w14:paraId="7D56D1ED" w14:textId="77777777" w:rsidR="00CC70AC" w:rsidRPr="002E5766" w:rsidRDefault="009E6BAB" w:rsidP="00377652">
            <w:pPr>
              <w:rPr>
                <w:szCs w:val="20"/>
              </w:rPr>
            </w:pPr>
            <w:r w:rsidRPr="002E5766">
              <w:rPr>
                <w:szCs w:val="20"/>
              </w:rPr>
              <w:t>Any</w:t>
            </w:r>
          </w:p>
        </w:tc>
        <w:tc>
          <w:tcPr>
            <w:tcW w:w="551" w:type="pct"/>
          </w:tcPr>
          <w:p w14:paraId="7D56D1EE" w14:textId="77777777" w:rsidR="00CC70AC" w:rsidRPr="002E5766" w:rsidRDefault="00CC70AC" w:rsidP="00377652">
            <w:pPr>
              <w:rPr>
                <w:szCs w:val="20"/>
              </w:rPr>
            </w:pPr>
            <w:r w:rsidRPr="002E5766">
              <w:rPr>
                <w:szCs w:val="20"/>
              </w:rPr>
              <w:t>Any</w:t>
            </w:r>
          </w:p>
        </w:tc>
        <w:tc>
          <w:tcPr>
            <w:tcW w:w="626" w:type="pct"/>
          </w:tcPr>
          <w:p w14:paraId="7D56D1EF" w14:textId="77777777" w:rsidR="00CC70AC" w:rsidRPr="002E5766" w:rsidRDefault="00CC70AC" w:rsidP="00377652">
            <w:pPr>
              <w:rPr>
                <w:szCs w:val="20"/>
              </w:rPr>
            </w:pPr>
            <w:r w:rsidRPr="002E5766">
              <w:rPr>
                <w:szCs w:val="20"/>
              </w:rPr>
              <w:t>Any</w:t>
            </w:r>
          </w:p>
        </w:tc>
        <w:tc>
          <w:tcPr>
            <w:tcW w:w="430" w:type="pct"/>
          </w:tcPr>
          <w:p w14:paraId="7D56D1F0" w14:textId="77777777" w:rsidR="00CC70AC" w:rsidRPr="002E5766" w:rsidRDefault="00CC70AC" w:rsidP="00377652">
            <w:pPr>
              <w:rPr>
                <w:szCs w:val="20"/>
              </w:rPr>
            </w:pPr>
            <w:r w:rsidRPr="002E5766">
              <w:rPr>
                <w:szCs w:val="20"/>
              </w:rPr>
              <w:t>0.7</w:t>
            </w:r>
          </w:p>
          <w:p w14:paraId="7D56D1F1" w14:textId="77777777" w:rsidR="00CC70AC" w:rsidRPr="002E5766" w:rsidRDefault="00CC70AC" w:rsidP="00377652">
            <w:pPr>
              <w:rPr>
                <w:szCs w:val="20"/>
              </w:rPr>
            </w:pPr>
          </w:p>
        </w:tc>
      </w:tr>
    </w:tbl>
    <w:p w14:paraId="7D56D1F3" w14:textId="77777777" w:rsidR="00C018E0" w:rsidRPr="00920905" w:rsidRDefault="00C018E0" w:rsidP="000968C6">
      <w:pPr>
        <w:pStyle w:val="Reminders"/>
        <w:rPr>
          <w:rFonts w:asciiTheme="minorHAnsi" w:hAnsiTheme="minorHAnsi" w:cstheme="minorHAnsi"/>
          <w:i w:val="0"/>
          <w:szCs w:val="22"/>
        </w:rPr>
      </w:pPr>
    </w:p>
    <w:p w14:paraId="7D56D1F4" w14:textId="77777777" w:rsidR="003003EC" w:rsidRPr="00500C4E" w:rsidRDefault="003003EC" w:rsidP="0015718D">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7D56D1F5"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D56D1F6" w14:textId="77777777" w:rsidR="003003EC" w:rsidRPr="00500C4E" w:rsidRDefault="003003EC" w:rsidP="000968C6">
      <w:pPr>
        <w:pStyle w:val="Reminders"/>
        <w:rPr>
          <w:rFonts w:asciiTheme="minorHAnsi" w:hAnsiTheme="minorHAnsi" w:cstheme="minorHAnsi"/>
          <w:i w:val="0"/>
          <w:color w:val="auto"/>
          <w:szCs w:val="22"/>
        </w:rPr>
      </w:pPr>
    </w:p>
    <w:p w14:paraId="7D56D1F7" w14:textId="77777777" w:rsidR="000968C6" w:rsidRPr="00500C4E" w:rsidRDefault="000968C6" w:rsidP="0015718D">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5A4F7F2B" w14:textId="2A1BC899" w:rsidR="000149A3"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r w:rsidR="000149A3">
        <w:t xml:space="preserve"> </w:t>
      </w:r>
      <w:r w:rsidR="00F6006C">
        <w:t>Though t</w:t>
      </w:r>
      <w:r w:rsidR="000149A3">
        <w:t>he removal of installed low flow devices may resu</w:t>
      </w:r>
      <w:r w:rsidR="00F6006C">
        <w:t>lt in a lower installation rate, future studies</w:t>
      </w:r>
      <w:r w:rsidR="000149A3">
        <w:t xml:space="preserve"> of the participant’s persistent use of low flow showerheads</w:t>
      </w:r>
      <w:r w:rsidR="00F6006C">
        <w:t xml:space="preserve"> is needed and</w:t>
      </w:r>
      <w:r w:rsidR="000149A3">
        <w:t xml:space="preserve"> may result in a more accurate value for IR.</w:t>
      </w:r>
    </w:p>
    <w:p w14:paraId="7D56D1F9" w14:textId="77777777" w:rsidR="00FE0ED1" w:rsidRPr="00920905" w:rsidRDefault="00FE0ED1" w:rsidP="00920905">
      <w:pPr>
        <w:pStyle w:val="NoSpacing"/>
      </w:pPr>
    </w:p>
    <w:p w14:paraId="7D56D1FA" w14:textId="762DF038" w:rsidR="000552DC" w:rsidRDefault="000552DC" w:rsidP="000552DC">
      <w:pPr>
        <w:pStyle w:val="Caption"/>
        <w:keepNext/>
      </w:pPr>
      <w:bookmarkStart w:id="27" w:name="_Toc501451176"/>
      <w:r>
        <w:t xml:space="preserve">Table </w:t>
      </w:r>
      <w:r w:rsidR="000149A3">
        <w:t>7</w:t>
      </w:r>
      <w:r>
        <w:t>: GSIA</w:t>
      </w:r>
      <w:bookmarkEnd w:id="27"/>
    </w:p>
    <w:tbl>
      <w:tblPr>
        <w:tblStyle w:val="TableGrid1"/>
        <w:tblW w:w="5000" w:type="pct"/>
        <w:tblLook w:val="01E0" w:firstRow="1" w:lastRow="1" w:firstColumn="1" w:lastColumn="1" w:noHBand="0" w:noVBand="0"/>
      </w:tblPr>
      <w:tblGrid>
        <w:gridCol w:w="1352"/>
        <w:gridCol w:w="2627"/>
        <w:gridCol w:w="1287"/>
        <w:gridCol w:w="1604"/>
        <w:gridCol w:w="1296"/>
        <w:gridCol w:w="1184"/>
      </w:tblGrid>
      <w:tr w:rsidR="006B4A48" w:rsidRPr="0087393E" w14:paraId="7D56D201" w14:textId="77777777" w:rsidTr="000552DC">
        <w:tc>
          <w:tcPr>
            <w:tcW w:w="723" w:type="pct"/>
            <w:shd w:val="clear" w:color="auto" w:fill="D9D9D9" w:themeFill="background1" w:themeFillShade="D9"/>
          </w:tcPr>
          <w:p w14:paraId="7D56D1FB"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5" w:type="pct"/>
            <w:shd w:val="clear" w:color="auto" w:fill="D9D9D9" w:themeFill="background1" w:themeFillShade="D9"/>
          </w:tcPr>
          <w:p w14:paraId="7D56D1FC"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7D56D1FD"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7D56D1FE"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7D56D1FF"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D56D200" w14:textId="77777777" w:rsidR="006B4A48" w:rsidRPr="00920905" w:rsidRDefault="00FB2590" w:rsidP="005729C8">
            <w:pPr>
              <w:rPr>
                <w:rFonts w:cstheme="minorHAnsi"/>
                <w:b/>
                <w:szCs w:val="20"/>
              </w:rPr>
            </w:pPr>
            <w:r w:rsidRPr="00920905">
              <w:rPr>
                <w:rFonts w:cstheme="minorHAnsi"/>
                <w:b/>
                <w:szCs w:val="20"/>
              </w:rPr>
              <w:t>GSIAValue</w:t>
            </w:r>
          </w:p>
        </w:tc>
      </w:tr>
      <w:tr w:rsidR="002E5766" w:rsidRPr="002E5766" w14:paraId="7D56D208" w14:textId="77777777" w:rsidTr="000552DC">
        <w:tc>
          <w:tcPr>
            <w:tcW w:w="723" w:type="pct"/>
          </w:tcPr>
          <w:p w14:paraId="7D56D202" w14:textId="77777777" w:rsidR="002F4E34" w:rsidRPr="002E5766" w:rsidRDefault="002F4E34" w:rsidP="005729C8">
            <w:pPr>
              <w:rPr>
                <w:szCs w:val="20"/>
              </w:rPr>
            </w:pPr>
            <w:r w:rsidRPr="002E5766">
              <w:rPr>
                <w:szCs w:val="20"/>
              </w:rPr>
              <w:t>Def-GSIA</w:t>
            </w:r>
          </w:p>
        </w:tc>
        <w:tc>
          <w:tcPr>
            <w:tcW w:w="1405" w:type="pct"/>
          </w:tcPr>
          <w:p w14:paraId="7D56D203" w14:textId="77777777" w:rsidR="002F4E34" w:rsidRPr="002E5766" w:rsidRDefault="002F4E34" w:rsidP="005729C8">
            <w:pPr>
              <w:rPr>
                <w:szCs w:val="20"/>
              </w:rPr>
            </w:pPr>
            <w:r w:rsidRPr="002E5766">
              <w:rPr>
                <w:szCs w:val="20"/>
              </w:rPr>
              <w:t>Default GSIA values</w:t>
            </w:r>
          </w:p>
        </w:tc>
        <w:tc>
          <w:tcPr>
            <w:tcW w:w="688" w:type="pct"/>
          </w:tcPr>
          <w:p w14:paraId="7D56D204" w14:textId="77777777" w:rsidR="002F4E34" w:rsidRPr="002E5766" w:rsidRDefault="002F4E34" w:rsidP="005729C8">
            <w:pPr>
              <w:rPr>
                <w:szCs w:val="20"/>
              </w:rPr>
            </w:pPr>
            <w:r w:rsidRPr="002E5766">
              <w:rPr>
                <w:szCs w:val="20"/>
              </w:rPr>
              <w:t>Any</w:t>
            </w:r>
          </w:p>
        </w:tc>
        <w:tc>
          <w:tcPr>
            <w:tcW w:w="858" w:type="pct"/>
          </w:tcPr>
          <w:p w14:paraId="7D56D205" w14:textId="77777777" w:rsidR="002F4E34" w:rsidRPr="002E5766" w:rsidRDefault="002F4E34" w:rsidP="005729C8">
            <w:pPr>
              <w:rPr>
                <w:szCs w:val="20"/>
              </w:rPr>
            </w:pPr>
            <w:r w:rsidRPr="002E5766">
              <w:rPr>
                <w:szCs w:val="20"/>
              </w:rPr>
              <w:t>Any</w:t>
            </w:r>
          </w:p>
        </w:tc>
        <w:tc>
          <w:tcPr>
            <w:tcW w:w="693" w:type="pct"/>
          </w:tcPr>
          <w:p w14:paraId="7D56D206" w14:textId="77777777" w:rsidR="002F4E34" w:rsidRPr="002E5766" w:rsidRDefault="002F4E34" w:rsidP="005729C8">
            <w:pPr>
              <w:rPr>
                <w:szCs w:val="20"/>
              </w:rPr>
            </w:pPr>
            <w:r w:rsidRPr="002E5766">
              <w:rPr>
                <w:szCs w:val="20"/>
              </w:rPr>
              <w:t>Any</w:t>
            </w:r>
          </w:p>
        </w:tc>
        <w:tc>
          <w:tcPr>
            <w:tcW w:w="634" w:type="pct"/>
          </w:tcPr>
          <w:p w14:paraId="7D56D207" w14:textId="77777777" w:rsidR="002F4E34" w:rsidRPr="002E5766" w:rsidRDefault="002F4E34" w:rsidP="005729C8">
            <w:pPr>
              <w:rPr>
                <w:szCs w:val="20"/>
              </w:rPr>
            </w:pPr>
            <w:r w:rsidRPr="002E5766">
              <w:rPr>
                <w:szCs w:val="20"/>
              </w:rPr>
              <w:t>1</w:t>
            </w:r>
          </w:p>
        </w:tc>
      </w:tr>
    </w:tbl>
    <w:p w14:paraId="7D56D209" w14:textId="77777777" w:rsidR="006B4A48" w:rsidRPr="00B05647" w:rsidRDefault="006B4A48" w:rsidP="000968C6">
      <w:pPr>
        <w:pStyle w:val="Reminders"/>
        <w:rPr>
          <w:rFonts w:asciiTheme="minorHAnsi" w:hAnsiTheme="minorHAnsi" w:cstheme="minorHAnsi"/>
          <w:b/>
          <w:i w:val="0"/>
          <w:color w:val="auto"/>
          <w:szCs w:val="22"/>
        </w:rPr>
      </w:pPr>
    </w:p>
    <w:p w14:paraId="7D56D20A" w14:textId="77777777" w:rsidR="00F216BF" w:rsidRPr="0015718D" w:rsidRDefault="008B1357" w:rsidP="0015718D">
      <w:pPr>
        <w:rPr>
          <w:rFonts w:cstheme="minorHAnsi"/>
          <w:b/>
          <w:szCs w:val="22"/>
        </w:rPr>
      </w:pPr>
      <w:r w:rsidRPr="0015718D">
        <w:rPr>
          <w:rFonts w:cstheme="minorHAnsi"/>
          <w:b/>
          <w:szCs w:val="22"/>
        </w:rPr>
        <w:t>Effective</w:t>
      </w:r>
      <w:r w:rsidR="00CE4386" w:rsidRPr="0015718D">
        <w:rPr>
          <w:rFonts w:cstheme="minorHAnsi"/>
          <w:b/>
          <w:szCs w:val="22"/>
        </w:rPr>
        <w:t xml:space="preserve"> and Remaining</w:t>
      </w:r>
      <w:r w:rsidRPr="0015718D">
        <w:rPr>
          <w:rFonts w:cstheme="minorHAnsi"/>
          <w:b/>
          <w:szCs w:val="22"/>
        </w:rPr>
        <w:t xml:space="preserve"> Useful Life</w:t>
      </w:r>
    </w:p>
    <w:p w14:paraId="7D56D20B" w14:textId="1FE14603" w:rsidR="00972464" w:rsidRPr="00525C85" w:rsidRDefault="00F216BF" w:rsidP="00796DD0">
      <w:pPr>
        <w:pStyle w:val="Reminder"/>
        <w:rPr>
          <w:rFonts w:asciiTheme="minorHAnsi" w:hAnsiTheme="minorHAnsi"/>
          <w:i w:val="0"/>
          <w:color w:val="auto"/>
        </w:rPr>
      </w:pPr>
      <w:r w:rsidRPr="00885811">
        <w:rPr>
          <w:rFonts w:asciiTheme="minorHAnsi" w:hAnsiTheme="minorHAnsi" w:cstheme="minorHAnsi"/>
          <w:i w:val="0"/>
          <w:color w:val="auto"/>
          <w:szCs w:val="22"/>
        </w:rPr>
        <w:t xml:space="preserve">The low-flow showerhead has </w:t>
      </w:r>
      <w:r w:rsidR="00885811" w:rsidRPr="00885811">
        <w:rPr>
          <w:rFonts w:asciiTheme="minorHAnsi" w:hAnsiTheme="minorHAnsi" w:cstheme="minorHAnsi"/>
          <w:i w:val="0"/>
          <w:color w:val="auto"/>
          <w:szCs w:val="22"/>
        </w:rPr>
        <w:t>a</w:t>
      </w:r>
      <w:r w:rsidR="008F7F24">
        <w:rPr>
          <w:rFonts w:asciiTheme="minorHAnsi" w:hAnsiTheme="minorHAnsi" w:cstheme="minorHAnsi"/>
          <w:i w:val="0"/>
          <w:color w:val="auto"/>
          <w:szCs w:val="22"/>
        </w:rPr>
        <w:t>n</w:t>
      </w:r>
      <w:r w:rsidRPr="00885811">
        <w:rPr>
          <w:rFonts w:asciiTheme="minorHAnsi" w:hAnsiTheme="minorHAnsi" w:cstheme="minorHAnsi"/>
          <w:i w:val="0"/>
          <w:color w:val="auto"/>
          <w:szCs w:val="22"/>
        </w:rPr>
        <w:t xml:space="preserve"> </w:t>
      </w:r>
      <w:r w:rsidR="008F7F24">
        <w:rPr>
          <w:rFonts w:asciiTheme="minorHAnsi" w:hAnsiTheme="minorHAnsi" w:cstheme="minorHAnsi"/>
          <w:i w:val="0"/>
          <w:color w:val="auto"/>
          <w:szCs w:val="22"/>
        </w:rPr>
        <w:t>existing useful life</w:t>
      </w:r>
      <w:r w:rsidRPr="00885811">
        <w:rPr>
          <w:rFonts w:asciiTheme="minorHAnsi" w:hAnsiTheme="minorHAnsi" w:cstheme="minorHAnsi"/>
          <w:i w:val="0"/>
          <w:color w:val="auto"/>
          <w:szCs w:val="22"/>
        </w:rPr>
        <w:t xml:space="preserve"> of</w:t>
      </w:r>
      <w:r w:rsidR="00796DD0" w:rsidRPr="00885811">
        <w:rPr>
          <w:rFonts w:asciiTheme="minorHAnsi" w:hAnsiTheme="minorHAnsi" w:cstheme="minorHAnsi"/>
          <w:i w:val="0"/>
          <w:color w:val="auto"/>
          <w:szCs w:val="22"/>
        </w:rPr>
        <w:t xml:space="preserve"> 10 years and </w:t>
      </w:r>
      <w:r w:rsidR="008F7F24">
        <w:rPr>
          <w:rFonts w:asciiTheme="minorHAnsi" w:hAnsiTheme="minorHAnsi" w:cstheme="minorHAnsi"/>
          <w:i w:val="0"/>
          <w:color w:val="auto"/>
          <w:szCs w:val="22"/>
        </w:rPr>
        <w:t>a remaining useful life</w:t>
      </w:r>
      <w:r w:rsidR="00796DD0" w:rsidRPr="00885811">
        <w:rPr>
          <w:rFonts w:asciiTheme="minorHAnsi" w:hAnsiTheme="minorHAnsi" w:cstheme="minorHAnsi"/>
          <w:i w:val="0"/>
          <w:color w:val="auto"/>
          <w:szCs w:val="22"/>
        </w:rPr>
        <w:t xml:space="preserve"> of 3.3 years. </w:t>
      </w:r>
      <w:r w:rsidR="006A6D15" w:rsidRPr="00885811">
        <w:rPr>
          <w:rFonts w:asciiTheme="minorHAnsi" w:hAnsiTheme="minorHAnsi"/>
          <w:i w:val="0"/>
          <w:color w:val="auto"/>
        </w:rPr>
        <w:t xml:space="preserve">The EUL and RUL values were </w:t>
      </w:r>
      <w:r w:rsidR="006A6D15" w:rsidRPr="00796DD0">
        <w:rPr>
          <w:rFonts w:asciiTheme="minorHAnsi" w:hAnsiTheme="minorHAnsi"/>
          <w:i w:val="0"/>
          <w:color w:val="auto"/>
        </w:rPr>
        <w:t xml:space="preserve">obtained </w:t>
      </w:r>
      <w:r w:rsidR="00BC6524" w:rsidRPr="00796DD0">
        <w:rPr>
          <w:rFonts w:asciiTheme="minorHAnsi" w:hAnsiTheme="minorHAnsi"/>
          <w:i w:val="0"/>
          <w:color w:val="auto"/>
        </w:rPr>
        <w:t>using the DEER READI tool</w:t>
      </w:r>
      <w:r w:rsidR="00796DD0">
        <w:rPr>
          <w:rFonts w:asciiTheme="minorHAnsi" w:hAnsiTheme="minorHAnsi"/>
          <w:i w:val="0"/>
          <w:color w:val="auto"/>
        </w:rPr>
        <w:t xml:space="preserve"> (WtrHt-WH-Shrhd)</w:t>
      </w:r>
      <w:r w:rsidR="00FC2C4B">
        <w:rPr>
          <w:rFonts w:asciiTheme="minorHAnsi" w:hAnsiTheme="minorHAnsi"/>
          <w:i w:val="0"/>
          <w:color w:val="auto"/>
        </w:rPr>
        <w:t>, with t</w:t>
      </w:r>
      <w:r w:rsidR="00525C85" w:rsidRPr="00525C85">
        <w:rPr>
          <w:rFonts w:asciiTheme="minorHAnsi" w:hAnsiTheme="minorHAnsi"/>
          <w:i w:val="0"/>
          <w:color w:val="auto"/>
        </w:rPr>
        <w:t xml:space="preserve">he </w:t>
      </w:r>
      <w:r w:rsidR="008F7F24">
        <w:rPr>
          <w:rFonts w:asciiTheme="minorHAnsi" w:hAnsiTheme="minorHAnsi"/>
          <w:i w:val="0"/>
          <w:color w:val="auto"/>
        </w:rPr>
        <w:t>RUL equaling</w:t>
      </w:r>
      <w:r w:rsidR="00525C85" w:rsidRPr="00525C85">
        <w:rPr>
          <w:rFonts w:asciiTheme="minorHAnsi" w:hAnsiTheme="minorHAnsi"/>
          <w:i w:val="0"/>
          <w:color w:val="auto"/>
        </w:rPr>
        <w:t xml:space="preserve"> 1/3 of </w:t>
      </w:r>
      <w:r w:rsidR="008F7F24">
        <w:rPr>
          <w:rFonts w:asciiTheme="minorHAnsi" w:hAnsiTheme="minorHAnsi"/>
          <w:i w:val="0"/>
          <w:color w:val="auto"/>
        </w:rPr>
        <w:t xml:space="preserve">the </w:t>
      </w:r>
      <w:r w:rsidR="00525C85" w:rsidRPr="00525C85">
        <w:rPr>
          <w:rFonts w:asciiTheme="minorHAnsi" w:hAnsiTheme="minorHAnsi"/>
          <w:i w:val="0"/>
          <w:color w:val="auto"/>
        </w:rPr>
        <w:t>EUL</w:t>
      </w:r>
      <w:r w:rsidR="00525C85">
        <w:rPr>
          <w:rFonts w:asciiTheme="minorHAnsi" w:hAnsiTheme="minorHAnsi"/>
          <w:i w:val="0"/>
          <w:color w:val="auto"/>
        </w:rPr>
        <w:t>.</w:t>
      </w:r>
    </w:p>
    <w:p w14:paraId="7D56D20C" w14:textId="77777777" w:rsidR="00972464" w:rsidRDefault="00972464" w:rsidP="00796DD0">
      <w:pPr>
        <w:pStyle w:val="Reminder"/>
        <w:rPr>
          <w:i w:val="0"/>
          <w:color w:val="auto"/>
        </w:rPr>
      </w:pPr>
    </w:p>
    <w:p w14:paraId="7D56D20F" w14:textId="79D2A32D" w:rsidR="00796DD0" w:rsidRPr="0023615A" w:rsidRDefault="00297EB2" w:rsidP="0023615A">
      <w:pPr>
        <w:pStyle w:val="Reminder"/>
        <w:rPr>
          <w:rFonts w:asciiTheme="minorHAnsi" w:hAnsiTheme="minorHAnsi" w:cstheme="minorHAnsi"/>
          <w:i w:val="0"/>
          <w:color w:val="auto"/>
        </w:rPr>
      </w:pPr>
      <w:r w:rsidRPr="00885811">
        <w:rPr>
          <w:rFonts w:asciiTheme="minorHAnsi" w:hAnsiTheme="minorHAnsi"/>
          <w:i w:val="0"/>
          <w:color w:val="auto"/>
        </w:rPr>
        <w:t xml:space="preserve">Though </w:t>
      </w:r>
      <w:r w:rsidR="00DF6729">
        <w:rPr>
          <w:rFonts w:asciiTheme="minorHAnsi" w:hAnsiTheme="minorHAnsi"/>
          <w:i w:val="0"/>
          <w:color w:val="auto"/>
        </w:rPr>
        <w:t>the EUL/RUL is</w:t>
      </w:r>
      <w:r w:rsidRPr="00885811">
        <w:rPr>
          <w:rFonts w:asciiTheme="minorHAnsi" w:hAnsiTheme="minorHAnsi"/>
          <w:i w:val="0"/>
          <w:color w:val="auto"/>
        </w:rPr>
        <w:t xml:space="preserve"> listed in DEER for the residential sector, showerheads are subject to very similar conditions in the commercial sector, regardless of flow rate. Thus, it is expected that all low flow showerheads </w:t>
      </w:r>
      <w:r w:rsidR="008F7F24">
        <w:rPr>
          <w:rFonts w:asciiTheme="minorHAnsi" w:hAnsiTheme="minorHAnsi"/>
          <w:i w:val="0"/>
          <w:color w:val="auto"/>
        </w:rPr>
        <w:t xml:space="preserve">will </w:t>
      </w:r>
      <w:r w:rsidRPr="00885811">
        <w:rPr>
          <w:rFonts w:asciiTheme="minorHAnsi" w:hAnsiTheme="minorHAnsi"/>
          <w:i w:val="0"/>
          <w:color w:val="auto"/>
        </w:rPr>
        <w:t>ha</w:t>
      </w:r>
      <w:r w:rsidR="0023615A">
        <w:rPr>
          <w:rFonts w:asciiTheme="minorHAnsi" w:hAnsiTheme="minorHAnsi"/>
          <w:i w:val="0"/>
          <w:color w:val="auto"/>
        </w:rPr>
        <w:t xml:space="preserve">ve approximately the same EUL. </w:t>
      </w:r>
      <w:r w:rsidR="006A6D15" w:rsidRPr="0023615A">
        <w:rPr>
          <w:rFonts w:asciiTheme="minorHAnsi" w:hAnsiTheme="minorHAnsi" w:cstheme="minorHAnsi"/>
          <w:i w:val="0"/>
          <w:color w:val="auto"/>
        </w:rPr>
        <w:t>The relevant EUL and RUL values for the measures in this work paper are below.</w:t>
      </w:r>
    </w:p>
    <w:p w14:paraId="7D56D210" w14:textId="77777777" w:rsidR="002C6E9C" w:rsidRPr="00920905" w:rsidRDefault="002C6E9C" w:rsidP="00920905">
      <w:pPr>
        <w:pStyle w:val="NoSpacing"/>
      </w:pPr>
    </w:p>
    <w:p w14:paraId="7D56D211" w14:textId="39F73019" w:rsidR="000552DC" w:rsidRDefault="000552DC" w:rsidP="000552DC">
      <w:pPr>
        <w:pStyle w:val="Caption"/>
        <w:keepNext/>
      </w:pPr>
      <w:bookmarkStart w:id="28" w:name="_Toc501451177"/>
      <w:r>
        <w:t xml:space="preserve">Table </w:t>
      </w:r>
      <w:r w:rsidR="000149A3">
        <w:t>8</w:t>
      </w:r>
      <w:r>
        <w:t>: EUL</w:t>
      </w:r>
      <w:bookmarkEnd w:id="28"/>
    </w:p>
    <w:tbl>
      <w:tblPr>
        <w:tblStyle w:val="TableGrid1"/>
        <w:tblW w:w="5000" w:type="pct"/>
        <w:tblLook w:val="04A0" w:firstRow="1" w:lastRow="0" w:firstColumn="1" w:lastColumn="0" w:noHBand="0" w:noVBand="1"/>
      </w:tblPr>
      <w:tblGrid>
        <w:gridCol w:w="1542"/>
        <w:gridCol w:w="2236"/>
        <w:gridCol w:w="1333"/>
        <w:gridCol w:w="1270"/>
        <w:gridCol w:w="1518"/>
        <w:gridCol w:w="1451"/>
      </w:tblGrid>
      <w:tr w:rsidR="008B1357" w:rsidRPr="00500C4E" w14:paraId="7D56D218" w14:textId="77777777" w:rsidTr="00E64AD2">
        <w:tc>
          <w:tcPr>
            <w:tcW w:w="824" w:type="pct"/>
            <w:shd w:val="clear" w:color="auto" w:fill="D9D9D9" w:themeFill="background1" w:themeFillShade="D9"/>
          </w:tcPr>
          <w:p w14:paraId="7D56D212" w14:textId="77777777" w:rsidR="008B1357" w:rsidRPr="00920905" w:rsidRDefault="008B1357" w:rsidP="00BA2E7E">
            <w:pPr>
              <w:rPr>
                <w:rFonts w:cstheme="minorHAnsi"/>
                <w:b/>
                <w:szCs w:val="20"/>
              </w:rPr>
            </w:pPr>
            <w:r w:rsidRPr="00920905">
              <w:rPr>
                <w:rFonts w:cstheme="minorHAnsi"/>
                <w:b/>
                <w:szCs w:val="20"/>
              </w:rPr>
              <w:t>EUL ID</w:t>
            </w:r>
          </w:p>
        </w:tc>
        <w:tc>
          <w:tcPr>
            <w:tcW w:w="1195" w:type="pct"/>
            <w:shd w:val="clear" w:color="auto" w:fill="D9D9D9" w:themeFill="background1" w:themeFillShade="D9"/>
          </w:tcPr>
          <w:p w14:paraId="7D56D213" w14:textId="77777777" w:rsidR="008B1357" w:rsidRPr="00920905" w:rsidRDefault="008B1357" w:rsidP="00BA2E7E">
            <w:pPr>
              <w:rPr>
                <w:rFonts w:cstheme="minorHAnsi"/>
                <w:b/>
                <w:szCs w:val="20"/>
              </w:rPr>
            </w:pPr>
            <w:r w:rsidRPr="00920905">
              <w:rPr>
                <w:rFonts w:cstheme="minorHAnsi"/>
                <w:b/>
                <w:szCs w:val="20"/>
              </w:rPr>
              <w:t>Description</w:t>
            </w:r>
          </w:p>
        </w:tc>
        <w:tc>
          <w:tcPr>
            <w:tcW w:w="713" w:type="pct"/>
            <w:shd w:val="clear" w:color="auto" w:fill="D9D9D9" w:themeFill="background1" w:themeFillShade="D9"/>
          </w:tcPr>
          <w:p w14:paraId="7D56D214"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7D56D215" w14:textId="77777777" w:rsidR="008B1357" w:rsidRPr="00920905" w:rsidRDefault="00BA2E7E" w:rsidP="00BA2E7E">
            <w:pPr>
              <w:rPr>
                <w:rFonts w:cstheme="minorHAnsi"/>
                <w:b/>
                <w:szCs w:val="20"/>
              </w:rPr>
            </w:pPr>
            <w:r w:rsidRPr="00920905">
              <w:rPr>
                <w:rFonts w:cstheme="minorHAnsi"/>
                <w:b/>
                <w:szCs w:val="20"/>
              </w:rPr>
              <w:t>UseCategory</w:t>
            </w:r>
          </w:p>
        </w:tc>
        <w:tc>
          <w:tcPr>
            <w:tcW w:w="812" w:type="pct"/>
            <w:shd w:val="clear" w:color="auto" w:fill="D9D9D9" w:themeFill="background1" w:themeFillShade="D9"/>
          </w:tcPr>
          <w:p w14:paraId="7D56D216"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7D56D217"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2E5766" w14:paraId="7D56D21F" w14:textId="77777777" w:rsidTr="00E64AD2">
        <w:trPr>
          <w:trHeight w:val="243"/>
        </w:trPr>
        <w:tc>
          <w:tcPr>
            <w:tcW w:w="824" w:type="pct"/>
          </w:tcPr>
          <w:p w14:paraId="7D56D219" w14:textId="77777777" w:rsidR="00BA2E7E" w:rsidRPr="002E5766" w:rsidRDefault="00211045" w:rsidP="00BA2E7E">
            <w:pPr>
              <w:rPr>
                <w:szCs w:val="20"/>
              </w:rPr>
            </w:pPr>
            <w:r w:rsidRPr="002E5766">
              <w:rPr>
                <w:szCs w:val="20"/>
              </w:rPr>
              <w:t>WtrHt-</w:t>
            </w:r>
            <w:r w:rsidR="00796DD0" w:rsidRPr="002E5766">
              <w:rPr>
                <w:szCs w:val="20"/>
              </w:rPr>
              <w:t>WH-</w:t>
            </w:r>
            <w:r w:rsidRPr="002E5766">
              <w:rPr>
                <w:szCs w:val="20"/>
              </w:rPr>
              <w:t>Shrhd</w:t>
            </w:r>
          </w:p>
        </w:tc>
        <w:tc>
          <w:tcPr>
            <w:tcW w:w="1195" w:type="pct"/>
          </w:tcPr>
          <w:p w14:paraId="7D56D21A" w14:textId="77777777" w:rsidR="00BA2E7E" w:rsidRPr="002E5766" w:rsidRDefault="00211045" w:rsidP="00BA2E7E">
            <w:pPr>
              <w:rPr>
                <w:szCs w:val="20"/>
              </w:rPr>
            </w:pPr>
            <w:r w:rsidRPr="002E5766">
              <w:rPr>
                <w:szCs w:val="20"/>
              </w:rPr>
              <w:t>Low-Flow Showerhead</w:t>
            </w:r>
          </w:p>
        </w:tc>
        <w:tc>
          <w:tcPr>
            <w:tcW w:w="713" w:type="pct"/>
          </w:tcPr>
          <w:p w14:paraId="7D56D21B" w14:textId="77777777" w:rsidR="00BA2E7E" w:rsidRPr="002E5766" w:rsidRDefault="00BA2E7E" w:rsidP="00BA2E7E">
            <w:pPr>
              <w:rPr>
                <w:szCs w:val="20"/>
              </w:rPr>
            </w:pPr>
            <w:r w:rsidRPr="002E5766">
              <w:rPr>
                <w:szCs w:val="20"/>
              </w:rPr>
              <w:t>Com</w:t>
            </w:r>
            <w:r w:rsidR="005E7146" w:rsidRPr="002E5766">
              <w:rPr>
                <w:szCs w:val="20"/>
              </w:rPr>
              <w:t xml:space="preserve"> ”Res”</w:t>
            </w:r>
          </w:p>
        </w:tc>
        <w:tc>
          <w:tcPr>
            <w:tcW w:w="679" w:type="pct"/>
          </w:tcPr>
          <w:p w14:paraId="7D56D21C" w14:textId="77777777" w:rsidR="00BA2E7E" w:rsidRPr="002E5766" w:rsidRDefault="00211045" w:rsidP="00BA2E7E">
            <w:pPr>
              <w:rPr>
                <w:szCs w:val="20"/>
              </w:rPr>
            </w:pPr>
            <w:r w:rsidRPr="002E5766">
              <w:rPr>
                <w:szCs w:val="20"/>
              </w:rPr>
              <w:t>SHW</w:t>
            </w:r>
          </w:p>
        </w:tc>
        <w:tc>
          <w:tcPr>
            <w:tcW w:w="812" w:type="pct"/>
          </w:tcPr>
          <w:p w14:paraId="7D56D21D" w14:textId="77777777" w:rsidR="00BA2E7E" w:rsidRPr="002E5766" w:rsidRDefault="00211045" w:rsidP="00BA2E7E">
            <w:pPr>
              <w:rPr>
                <w:szCs w:val="20"/>
              </w:rPr>
            </w:pPr>
            <w:r w:rsidRPr="002E5766">
              <w:rPr>
                <w:szCs w:val="20"/>
              </w:rPr>
              <w:t>10</w:t>
            </w:r>
          </w:p>
        </w:tc>
        <w:tc>
          <w:tcPr>
            <w:tcW w:w="776" w:type="pct"/>
          </w:tcPr>
          <w:p w14:paraId="7D56D21E" w14:textId="77777777" w:rsidR="00BA2E7E" w:rsidRPr="002E5766" w:rsidRDefault="00211045" w:rsidP="00BA2E7E">
            <w:pPr>
              <w:rPr>
                <w:szCs w:val="20"/>
              </w:rPr>
            </w:pPr>
            <w:r w:rsidRPr="002E5766">
              <w:rPr>
                <w:szCs w:val="20"/>
              </w:rPr>
              <w:t>3.3</w:t>
            </w:r>
          </w:p>
        </w:tc>
      </w:tr>
    </w:tbl>
    <w:p w14:paraId="7D56D220" w14:textId="4C26DA05" w:rsidR="00E16609" w:rsidRDefault="005F58AD" w:rsidP="00F06CCF">
      <w:pPr>
        <w:pStyle w:val="Heading3"/>
        <w:rPr>
          <w:rFonts w:asciiTheme="minorHAnsi" w:hAnsiTheme="minorHAnsi"/>
        </w:rPr>
      </w:pPr>
      <w:bookmarkStart w:id="29" w:name="_Toc502148142"/>
      <w:r>
        <w:rPr>
          <w:rFonts w:asciiTheme="minorHAnsi" w:hAnsiTheme="minorHAnsi"/>
        </w:rPr>
        <w:lastRenderedPageBreak/>
        <w:t>1.4</w:t>
      </w:r>
      <w:r w:rsidR="00F06CCF" w:rsidRPr="00500C4E">
        <w:rPr>
          <w:rFonts w:asciiTheme="minorHAnsi" w:hAnsiTheme="minorHAnsi"/>
        </w:rPr>
        <w:t>.2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Analysis</w:t>
      </w:r>
      <w:bookmarkEnd w:id="29"/>
      <w:r w:rsidR="00E16609" w:rsidRPr="00500C4E">
        <w:rPr>
          <w:rFonts w:asciiTheme="minorHAnsi" w:hAnsiTheme="minorHAnsi"/>
        </w:rPr>
        <w:t xml:space="preserve"> </w:t>
      </w:r>
      <w:bookmarkEnd w:id="25"/>
    </w:p>
    <w:p w14:paraId="6CED3F25" w14:textId="77777777" w:rsidR="00B55637" w:rsidRDefault="00595EBC" w:rsidP="004E5A74">
      <w:pPr>
        <w:pStyle w:val="NoSpacing"/>
      </w:pPr>
      <w:r w:rsidRPr="00B03CF9">
        <w:rPr>
          <w:i/>
        </w:rPr>
        <w:t>Title 20:</w:t>
      </w:r>
      <w:r w:rsidRPr="00B03CF9">
        <w:t xml:space="preserve"> Title 20 of the California Energy Regulations states that the flow rate of a showerhead shall not be greater than 2.0 GPM at 80 psi if they are sold or manufactured for sale in California prior to July 1, 2018, and 1.8 GPM at 80 psi for after July 1, 2018. </w:t>
      </w:r>
    </w:p>
    <w:p w14:paraId="42D1B7C8" w14:textId="77777777" w:rsidR="00B55637" w:rsidRDefault="00B55637" w:rsidP="004E5A74">
      <w:pPr>
        <w:pStyle w:val="NoSpacing"/>
      </w:pPr>
    </w:p>
    <w:p w14:paraId="21AEB4E2" w14:textId="32449B57" w:rsidR="00B55637" w:rsidRPr="000552DC" w:rsidRDefault="00B55637" w:rsidP="00B55637">
      <w:pPr>
        <w:pStyle w:val="Caption"/>
        <w:keepNext/>
      </w:pPr>
      <w:bookmarkStart w:id="30" w:name="_Toc501451178"/>
      <w:r>
        <w:t xml:space="preserve">Table </w:t>
      </w:r>
      <w:r w:rsidR="000149A3">
        <w:t>9</w:t>
      </w:r>
      <w:r>
        <w:t>:</w:t>
      </w:r>
      <w:r w:rsidRPr="000552DC">
        <w:t xml:space="preserve"> Code Summary</w:t>
      </w:r>
      <w:bookmarkEnd w:id="30"/>
    </w:p>
    <w:tbl>
      <w:tblPr>
        <w:tblStyle w:val="TableGrid1"/>
        <w:tblW w:w="5000" w:type="pct"/>
        <w:tblLook w:val="04A0" w:firstRow="1" w:lastRow="0" w:firstColumn="1" w:lastColumn="0" w:noHBand="0" w:noVBand="1"/>
      </w:tblPr>
      <w:tblGrid>
        <w:gridCol w:w="2160"/>
        <w:gridCol w:w="4856"/>
        <w:gridCol w:w="2334"/>
      </w:tblGrid>
      <w:tr w:rsidR="00B55637" w:rsidRPr="00500C4E" w14:paraId="551414E4" w14:textId="77777777" w:rsidTr="00B55637">
        <w:tc>
          <w:tcPr>
            <w:tcW w:w="1155" w:type="pct"/>
            <w:shd w:val="clear" w:color="auto" w:fill="D9D9D9" w:themeFill="background1" w:themeFillShade="D9"/>
          </w:tcPr>
          <w:p w14:paraId="465E0071" w14:textId="77777777" w:rsidR="00B55637" w:rsidRPr="00920905" w:rsidRDefault="00B55637" w:rsidP="00E90883">
            <w:pPr>
              <w:rPr>
                <w:rFonts w:cstheme="minorHAnsi"/>
                <w:b/>
                <w:szCs w:val="20"/>
              </w:rPr>
            </w:pPr>
            <w:r w:rsidRPr="00920905">
              <w:rPr>
                <w:rFonts w:cstheme="minorHAnsi"/>
                <w:b/>
                <w:szCs w:val="20"/>
              </w:rPr>
              <w:t>Code</w:t>
            </w:r>
          </w:p>
        </w:tc>
        <w:tc>
          <w:tcPr>
            <w:tcW w:w="2597" w:type="pct"/>
            <w:shd w:val="clear" w:color="auto" w:fill="D9D9D9" w:themeFill="background1" w:themeFillShade="D9"/>
          </w:tcPr>
          <w:p w14:paraId="1F43CDB0" w14:textId="77777777" w:rsidR="00B55637" w:rsidRPr="00920905" w:rsidRDefault="00B55637" w:rsidP="00E90883">
            <w:pPr>
              <w:rPr>
                <w:rFonts w:cstheme="minorHAnsi"/>
                <w:b/>
                <w:szCs w:val="20"/>
              </w:rPr>
            </w:pPr>
            <w:r>
              <w:rPr>
                <w:rFonts w:cstheme="minorHAnsi"/>
                <w:b/>
                <w:szCs w:val="20"/>
              </w:rPr>
              <w:t>R</w:t>
            </w:r>
            <w:r w:rsidRPr="00920905">
              <w:rPr>
                <w:rFonts w:cstheme="minorHAnsi"/>
                <w:b/>
                <w:szCs w:val="20"/>
              </w:rPr>
              <w:t>eference</w:t>
            </w:r>
          </w:p>
        </w:tc>
        <w:tc>
          <w:tcPr>
            <w:tcW w:w="1249" w:type="pct"/>
            <w:shd w:val="clear" w:color="auto" w:fill="D9D9D9" w:themeFill="background1" w:themeFillShade="D9"/>
          </w:tcPr>
          <w:p w14:paraId="07369C3A" w14:textId="77777777" w:rsidR="00B55637" w:rsidRPr="00920905" w:rsidRDefault="00B55637" w:rsidP="00E90883">
            <w:pPr>
              <w:rPr>
                <w:rFonts w:cstheme="minorHAnsi"/>
                <w:b/>
                <w:szCs w:val="20"/>
              </w:rPr>
            </w:pPr>
            <w:r w:rsidRPr="00920905">
              <w:rPr>
                <w:rFonts w:cstheme="minorHAnsi"/>
                <w:b/>
                <w:szCs w:val="20"/>
              </w:rPr>
              <w:t>Effective Date</w:t>
            </w:r>
            <w:r>
              <w:rPr>
                <w:rFonts w:cstheme="minorHAnsi"/>
                <w:b/>
                <w:szCs w:val="20"/>
              </w:rPr>
              <w:t>s</w:t>
            </w:r>
          </w:p>
        </w:tc>
      </w:tr>
      <w:tr w:rsidR="00B55637" w:rsidRPr="002E5766" w14:paraId="7DAFC014" w14:textId="77777777" w:rsidTr="00B55637">
        <w:trPr>
          <w:trHeight w:val="243"/>
        </w:trPr>
        <w:tc>
          <w:tcPr>
            <w:tcW w:w="1155" w:type="pct"/>
          </w:tcPr>
          <w:p w14:paraId="7E725507" w14:textId="77777777" w:rsidR="00B55637" w:rsidRPr="002E5766" w:rsidRDefault="00B55637" w:rsidP="00E90883">
            <w:pPr>
              <w:rPr>
                <w:rFonts w:cstheme="minorHAnsi"/>
                <w:szCs w:val="20"/>
              </w:rPr>
            </w:pPr>
            <w:r w:rsidRPr="002E5766">
              <w:rPr>
                <w:rFonts w:cstheme="minorHAnsi"/>
                <w:szCs w:val="20"/>
              </w:rPr>
              <w:t>Title 20 (2016)</w:t>
            </w:r>
          </w:p>
        </w:tc>
        <w:tc>
          <w:tcPr>
            <w:tcW w:w="2597" w:type="pct"/>
          </w:tcPr>
          <w:p w14:paraId="0334E475" w14:textId="77777777" w:rsidR="00B55637" w:rsidRPr="002E5766" w:rsidRDefault="00B55637" w:rsidP="00E90883">
            <w:pPr>
              <w:rPr>
                <w:rFonts w:cstheme="minorHAnsi"/>
                <w:szCs w:val="20"/>
              </w:rPr>
            </w:pPr>
            <w:r w:rsidRPr="002E5766">
              <w:rPr>
                <w:rFonts w:cstheme="minorHAnsi"/>
                <w:szCs w:val="20"/>
              </w:rPr>
              <w:t>Section 1605.3 (Table H-5). Plumbing Fittings</w:t>
            </w:r>
          </w:p>
        </w:tc>
        <w:tc>
          <w:tcPr>
            <w:tcW w:w="1249" w:type="pct"/>
          </w:tcPr>
          <w:p w14:paraId="1F2D1A2C" w14:textId="77777777" w:rsidR="00B55637" w:rsidRPr="002E5766" w:rsidRDefault="00B55637" w:rsidP="00E90883">
            <w:pPr>
              <w:rPr>
                <w:rFonts w:cstheme="minorHAnsi"/>
                <w:szCs w:val="20"/>
              </w:rPr>
            </w:pPr>
            <w:r w:rsidRPr="002E5766">
              <w:rPr>
                <w:rFonts w:cstheme="minorHAnsi"/>
                <w:szCs w:val="20"/>
              </w:rPr>
              <w:t>July 1, 2016 (current)</w:t>
            </w:r>
          </w:p>
          <w:p w14:paraId="2051D046" w14:textId="77777777" w:rsidR="00B55637" w:rsidRPr="002E5766" w:rsidRDefault="00B55637" w:rsidP="00E90883">
            <w:pPr>
              <w:rPr>
                <w:rFonts w:cstheme="minorHAnsi"/>
                <w:szCs w:val="20"/>
              </w:rPr>
            </w:pPr>
            <w:r w:rsidRPr="002E5766">
              <w:rPr>
                <w:rFonts w:cstheme="minorHAnsi"/>
                <w:szCs w:val="20"/>
              </w:rPr>
              <w:t>July 1, 2018 (upcoming)</w:t>
            </w:r>
          </w:p>
        </w:tc>
      </w:tr>
    </w:tbl>
    <w:p w14:paraId="6B0C05B7" w14:textId="6281858A" w:rsidR="00B55637" w:rsidRDefault="00B55637" w:rsidP="004E5A74">
      <w:pPr>
        <w:pStyle w:val="NoSpacing"/>
      </w:pPr>
    </w:p>
    <w:p w14:paraId="7D56D223" w14:textId="34047B6B" w:rsidR="00406F27" w:rsidRDefault="00B55637" w:rsidP="004E5A74">
      <w:pPr>
        <w:pStyle w:val="NoSpacing"/>
      </w:pPr>
      <w:r>
        <w:t>Th</w:t>
      </w:r>
      <w:r w:rsidR="00C27C21">
        <w:t>is</w:t>
      </w:r>
      <w:r>
        <w:t xml:space="preserve"> workpaper only include</w:t>
      </w:r>
      <w:r w:rsidR="00C27C21">
        <w:t>s</w:t>
      </w:r>
      <w:r>
        <w:t xml:space="preserve"> the </w:t>
      </w:r>
      <w:r w:rsidR="00595EBC" w:rsidRPr="00B03CF9">
        <w:t>Early Retirement (ER)</w:t>
      </w:r>
      <w:r>
        <w:t xml:space="preserve"> installation type</w:t>
      </w:r>
      <w:r w:rsidR="003D1D24">
        <w:t xml:space="preserve"> which </w:t>
      </w:r>
      <w:r w:rsidR="00595EBC" w:rsidRPr="00B03CF9">
        <w:t xml:space="preserve">have dual baselines.  </w:t>
      </w:r>
      <w:r w:rsidR="00E90883">
        <w:t>The two baselines are defined below:</w:t>
      </w:r>
    </w:p>
    <w:p w14:paraId="52F1E25C" w14:textId="6D6663E0" w:rsidR="004E5A74" w:rsidRDefault="004E5A74" w:rsidP="004E5A74">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8005"/>
      </w:tblGrid>
      <w:tr w:rsidR="004E5A74" w14:paraId="6D4D1C98" w14:textId="77777777" w:rsidTr="00B55637">
        <w:tc>
          <w:tcPr>
            <w:tcW w:w="1345" w:type="dxa"/>
          </w:tcPr>
          <w:p w14:paraId="7C8BBD1B" w14:textId="4E9C5E38" w:rsidR="004E5A74" w:rsidRDefault="004E5A74" w:rsidP="00E90883">
            <w:pPr>
              <w:pStyle w:val="NoSpacing"/>
              <w:jc w:val="right"/>
            </w:pPr>
            <w:r>
              <w:t>1</w:t>
            </w:r>
            <w:r w:rsidRPr="004E5A74">
              <w:rPr>
                <w:vertAlign w:val="superscript"/>
              </w:rPr>
              <w:t>st</w:t>
            </w:r>
            <w:r>
              <w:t xml:space="preserve"> Baseline:</w:t>
            </w:r>
          </w:p>
        </w:tc>
        <w:tc>
          <w:tcPr>
            <w:tcW w:w="8005" w:type="dxa"/>
          </w:tcPr>
          <w:p w14:paraId="17E2A7D4" w14:textId="5F4A8208" w:rsidR="004E5A74" w:rsidRDefault="00B55637" w:rsidP="004E5A74">
            <w:pPr>
              <w:pStyle w:val="NoSpacing"/>
            </w:pPr>
            <w:r>
              <w:t>The first baseline is evalu</w:t>
            </w:r>
            <w:r w:rsidR="001E27A7">
              <w:t>ated using existing condition</w:t>
            </w:r>
            <w:r w:rsidR="00E90883">
              <w:t>s</w:t>
            </w:r>
            <w:r w:rsidR="001E27A7">
              <w:t xml:space="preserve">, </w:t>
            </w:r>
            <w:r>
              <w:t>which was found to be 2.25</w:t>
            </w:r>
            <w:r w:rsidR="00E90883">
              <w:t xml:space="preserve"> </w:t>
            </w:r>
            <w:r>
              <w:t>GPM through the SCG’s field survey (Section 1.5.2)</w:t>
            </w:r>
            <w:r w:rsidR="003D1D24">
              <w:t>. This b</w:t>
            </w:r>
            <w:r>
              <w:t>aseline is evaluated over RUL period.</w:t>
            </w:r>
          </w:p>
        </w:tc>
      </w:tr>
      <w:tr w:rsidR="004E5A74" w14:paraId="35DC4A26" w14:textId="77777777" w:rsidTr="00B55637">
        <w:tc>
          <w:tcPr>
            <w:tcW w:w="1345" w:type="dxa"/>
          </w:tcPr>
          <w:p w14:paraId="424EF658" w14:textId="2EE176E3" w:rsidR="004E5A74" w:rsidRDefault="004E5A74" w:rsidP="00E90883">
            <w:pPr>
              <w:pStyle w:val="NoSpacing"/>
              <w:jc w:val="right"/>
            </w:pPr>
            <w:r>
              <w:t>2</w:t>
            </w:r>
            <w:r w:rsidRPr="004E5A74">
              <w:rPr>
                <w:vertAlign w:val="superscript"/>
              </w:rPr>
              <w:t>nd</w:t>
            </w:r>
            <w:r>
              <w:t xml:space="preserve"> Baseline:</w:t>
            </w:r>
          </w:p>
        </w:tc>
        <w:tc>
          <w:tcPr>
            <w:tcW w:w="8005" w:type="dxa"/>
          </w:tcPr>
          <w:p w14:paraId="6BA99002" w14:textId="59A43CC9" w:rsidR="00B55637" w:rsidRDefault="00B55637" w:rsidP="00B55637">
            <w:pPr>
              <w:pStyle w:val="NoSpacing"/>
            </w:pPr>
            <w:r>
              <w:t>The second baseline is evaluated using the 2018 code baseline</w:t>
            </w:r>
            <w:r w:rsidR="001E27A7">
              <w:t>.</w:t>
            </w:r>
            <w:r w:rsidR="00E90883">
              <w:t xml:space="preserve"> </w:t>
            </w:r>
            <w:r>
              <w:t>The current code requirement is 2.0 GPM,</w:t>
            </w:r>
            <w:r w:rsidR="00E64AD2">
              <w:t xml:space="preserve"> which will last until June 30</w:t>
            </w:r>
            <w:r w:rsidR="00E64AD2" w:rsidRPr="00E64AD2">
              <w:rPr>
                <w:vertAlign w:val="superscript"/>
              </w:rPr>
              <w:t>th</w:t>
            </w:r>
            <w:r w:rsidR="00E64AD2">
              <w:t>, 2018. A code update will reduce</w:t>
            </w:r>
            <w:r>
              <w:t xml:space="preserve"> the </w:t>
            </w:r>
            <w:r w:rsidRPr="00B03CF9">
              <w:t xml:space="preserve">flow rate </w:t>
            </w:r>
            <w:r>
              <w:t>to</w:t>
            </w:r>
            <w:r w:rsidRPr="00B03CF9">
              <w:t xml:space="preserve"> 1.8 GPM at </w:t>
            </w:r>
            <w:r>
              <w:t>80 PSI</w:t>
            </w:r>
            <w:r w:rsidR="00E64AD2">
              <w:t xml:space="preserve"> for all showerheads manufactured on or after July 1</w:t>
            </w:r>
            <w:r w:rsidR="00E64AD2" w:rsidRPr="00E64AD2">
              <w:rPr>
                <w:vertAlign w:val="superscript"/>
              </w:rPr>
              <w:t>st</w:t>
            </w:r>
            <w:r w:rsidR="00E64AD2">
              <w:t>, 2018</w:t>
            </w:r>
            <w:r>
              <w:t>.</w:t>
            </w:r>
            <w:r w:rsidR="008F7F24">
              <w:t xml:space="preserve"> The 2</w:t>
            </w:r>
            <w:r w:rsidR="008F7F24" w:rsidRPr="008F7F24">
              <w:rPr>
                <w:vertAlign w:val="superscript"/>
              </w:rPr>
              <w:t>nd</w:t>
            </w:r>
            <w:r w:rsidR="008F7F24">
              <w:t xml:space="preserve"> baseline savings will be calculated using the reduced flow rate of 1.8 gpm for the EUL-RUL period.</w:t>
            </w:r>
          </w:p>
          <w:p w14:paraId="6A4D6303" w14:textId="77777777" w:rsidR="004E5A74" w:rsidRDefault="004E5A74" w:rsidP="004E5A74">
            <w:pPr>
              <w:pStyle w:val="NoSpacing"/>
            </w:pPr>
          </w:p>
        </w:tc>
      </w:tr>
    </w:tbl>
    <w:p w14:paraId="7D56D23D" w14:textId="70460E4F" w:rsidR="00784F28" w:rsidRDefault="00DB23A4" w:rsidP="00200F21">
      <w:bookmarkStart w:id="31" w:name="_Toc304800207"/>
      <w:bookmarkStart w:id="32" w:name="_Toc324318343"/>
      <w:bookmarkStart w:id="33" w:name="_Toc324340487"/>
      <w:bookmarkStart w:id="34" w:name="_Toc383441992"/>
      <w:bookmarkStart w:id="35" w:name="_Toc214003090"/>
      <w:r>
        <w:rPr>
          <w:noProof/>
        </w:rPr>
        <w:drawing>
          <wp:inline distT="0" distB="0" distL="0" distR="0" wp14:anchorId="7D56D44E" wp14:editId="61A44F0F">
            <wp:extent cx="5941247" cy="3582365"/>
            <wp:effectExtent l="19050" t="19050" r="21590" b="18415"/>
            <wp:docPr id="1" name="Picture 1" descr="cid:image002.png@01D235CA.4D94F7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235CA.4D94F7C0"/>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5943600" cy="3583784"/>
                    </a:xfrm>
                    <a:prstGeom prst="rect">
                      <a:avLst/>
                    </a:prstGeom>
                    <a:noFill/>
                    <a:ln>
                      <a:solidFill>
                        <a:schemeClr val="tx1"/>
                      </a:solidFill>
                    </a:ln>
                  </pic:spPr>
                </pic:pic>
              </a:graphicData>
            </a:graphic>
          </wp:inline>
        </w:drawing>
      </w:r>
    </w:p>
    <w:p w14:paraId="7D56D240" w14:textId="1731836C" w:rsidR="00703478" w:rsidRPr="00200F21" w:rsidRDefault="00703478" w:rsidP="00200F21">
      <w:pPr>
        <w:pStyle w:val="Caption"/>
        <w:jc w:val="center"/>
        <w:rPr>
          <w:rFonts w:cstheme="minorHAnsi"/>
        </w:rPr>
      </w:pPr>
      <w:bookmarkStart w:id="36" w:name="_Toc501451161"/>
      <w:r>
        <w:t xml:space="preserve">Figure </w:t>
      </w:r>
      <w:r w:rsidR="00E64AD2">
        <w:t>1</w:t>
      </w:r>
      <w:r>
        <w:t xml:space="preserve">: </w:t>
      </w:r>
      <w:r w:rsidR="00E64AD2">
        <w:t xml:space="preserve">Title 20 </w:t>
      </w:r>
      <w:r>
        <w:t>Standards for Showerheads</w:t>
      </w:r>
      <w:bookmarkEnd w:id="36"/>
    </w:p>
    <w:p w14:paraId="7D56D241" w14:textId="20669CF3" w:rsidR="00572D2F" w:rsidRDefault="00572D2F" w:rsidP="00920905">
      <w:pPr>
        <w:pStyle w:val="Heading2"/>
        <w:rPr>
          <w:rFonts w:asciiTheme="minorHAnsi" w:hAnsiTheme="minorHAnsi" w:cstheme="minorHAnsi"/>
        </w:rPr>
      </w:pPr>
      <w:bookmarkStart w:id="37" w:name="_Toc502148143"/>
      <w:r w:rsidRPr="00920905">
        <w:rPr>
          <w:rFonts w:asciiTheme="minorHAnsi" w:hAnsiTheme="minorHAnsi" w:cstheme="minorHAnsi"/>
        </w:rPr>
        <w:lastRenderedPageBreak/>
        <w:t>1.</w:t>
      </w:r>
      <w:r w:rsidR="005F58AD">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31"/>
      <w:bookmarkEnd w:id="32"/>
      <w:bookmarkEnd w:id="33"/>
      <w:bookmarkEnd w:id="34"/>
      <w:bookmarkEnd w:id="37"/>
    </w:p>
    <w:p w14:paraId="7D56D242" w14:textId="14E2ADAE" w:rsidR="008503D1" w:rsidRPr="00FE0ED1" w:rsidRDefault="008503D1" w:rsidP="008503D1">
      <w:pPr>
        <w:autoSpaceDE w:val="0"/>
        <w:autoSpaceDN w:val="0"/>
        <w:adjustRightInd w:val="0"/>
      </w:pPr>
      <w:r w:rsidRPr="00FE0ED1">
        <w:t>Although showers may be present in some offices, manuf</w:t>
      </w:r>
      <w:r w:rsidR="007720FB">
        <w:t>acturing buildings, etc.</w:t>
      </w:r>
      <w:r w:rsidRPr="00FE0ED1">
        <w:t xml:space="preserve">, </w:t>
      </w:r>
      <w:r w:rsidR="0003248C">
        <w:t>this workpaper defines methodology that calculates</w:t>
      </w:r>
      <w:r w:rsidRPr="00FE0ED1">
        <w:t xml:space="preserve"> water</w:t>
      </w:r>
      <w:r w:rsidR="0003248C">
        <w:t xml:space="preserve"> and energy savings</w:t>
      </w:r>
      <w:r w:rsidRPr="00FE0ED1">
        <w:t xml:space="preserve"> </w:t>
      </w:r>
      <w:r w:rsidR="0003248C">
        <w:t>in</w:t>
      </w:r>
      <w:r w:rsidRPr="00FE0ED1">
        <w:t xml:space="preserve"> hotels and schools</w:t>
      </w:r>
      <w:r w:rsidR="0003248C">
        <w:t xml:space="preserve"> only</w:t>
      </w:r>
      <w:r w:rsidRPr="00FE0ED1">
        <w:t>.</w:t>
      </w:r>
      <w:r w:rsidR="005E3CA2">
        <w:t xml:space="preserve"> The workpaper uses the calculated savings for educational facilities as a placeholder for all COM building types.</w:t>
      </w:r>
    </w:p>
    <w:p w14:paraId="7D56D244" w14:textId="5FC43439" w:rsidR="00F45582" w:rsidRDefault="00572D2F" w:rsidP="00ED35E8">
      <w:pPr>
        <w:pStyle w:val="Heading3"/>
        <w:rPr>
          <w:rFonts w:asciiTheme="minorHAnsi" w:hAnsiTheme="minorHAnsi"/>
        </w:rPr>
      </w:pPr>
      <w:bookmarkStart w:id="38" w:name="_Toc502148144"/>
      <w:r w:rsidRPr="00920905">
        <w:rPr>
          <w:rFonts w:asciiTheme="minorHAnsi" w:hAnsiTheme="minorHAnsi"/>
        </w:rPr>
        <w:t>1.</w:t>
      </w:r>
      <w:r w:rsidR="005F58AD">
        <w:rPr>
          <w:rFonts w:asciiTheme="minorHAnsi" w:hAnsiTheme="minorHAnsi"/>
        </w:rPr>
        <w:t>5</w:t>
      </w:r>
      <w:r w:rsidR="00A4411F" w:rsidRPr="00920905">
        <w:rPr>
          <w:rFonts w:asciiTheme="minorHAnsi" w:hAnsiTheme="minorHAnsi"/>
        </w:rPr>
        <w:t>.1</w:t>
      </w:r>
      <w:r w:rsidR="00F45582">
        <w:rPr>
          <w:rFonts w:asciiTheme="minorHAnsi" w:hAnsiTheme="minorHAnsi"/>
        </w:rPr>
        <w:t xml:space="preserve"> Study Title: Savings Calculations for Commercial Showerheads</w:t>
      </w:r>
      <w:bookmarkEnd w:id="38"/>
    </w:p>
    <w:p w14:paraId="7D56D245" w14:textId="7BD7A501" w:rsidR="00F45582" w:rsidRDefault="00F45582" w:rsidP="00ED35E8">
      <w:r>
        <w:t xml:space="preserve">A study prepared by CLEAResult in </w:t>
      </w:r>
      <w:r w:rsidR="00C36F1A">
        <w:t>March</w:t>
      </w:r>
      <w:r>
        <w:t xml:space="preserve"> 2016</w:t>
      </w:r>
      <w:r w:rsidR="0075066F">
        <w:t xml:space="preserve"> </w:t>
      </w:r>
      <w:r w:rsidR="0075066F" w:rsidRPr="0075066F">
        <w:rPr>
          <w:i/>
        </w:rPr>
        <w:t>(Attachment</w:t>
      </w:r>
      <w:r w:rsidR="005C50BE">
        <w:rPr>
          <w:i/>
        </w:rPr>
        <w:t>s</w:t>
      </w:r>
      <w:r w:rsidR="009627ED">
        <w:rPr>
          <w:i/>
        </w:rPr>
        <w:t xml:space="preserve"> </w:t>
      </w:r>
      <w:r w:rsidR="004E3442">
        <w:rPr>
          <w:i/>
        </w:rPr>
        <w:t>A</w:t>
      </w:r>
      <w:r w:rsidR="0075066F" w:rsidRPr="0075066F">
        <w:rPr>
          <w:i/>
        </w:rPr>
        <w:t>)</w:t>
      </w:r>
    </w:p>
    <w:p w14:paraId="7D56D246" w14:textId="77777777" w:rsidR="00F45582" w:rsidRDefault="00F45582" w:rsidP="00A07A43">
      <w:pPr>
        <w:ind w:left="720"/>
      </w:pPr>
    </w:p>
    <w:p w14:paraId="7D56D247" w14:textId="77777777" w:rsidR="00F45582" w:rsidRDefault="00F45582" w:rsidP="00ED35E8">
      <w:r>
        <w:t>M</w:t>
      </w:r>
      <w:r w:rsidRPr="00F45582">
        <w:t>ultiple studies were reviewed to find data that was utilized to determine baseline consumption of water and natural gas in</w:t>
      </w:r>
      <w:r w:rsidR="00FE616C">
        <w:t xml:space="preserve"> applications using hot water for</w:t>
      </w:r>
      <w:r w:rsidRPr="00F45582">
        <w:t xml:space="preserve"> showers</w:t>
      </w:r>
      <w:r w:rsidR="00FE616C">
        <w:t xml:space="preserve"> in commercial buildings</w:t>
      </w:r>
      <w:r>
        <w:t>.</w:t>
      </w:r>
      <w:r w:rsidR="00FE616C">
        <w:t xml:space="preserve"> </w:t>
      </w:r>
      <w:r w:rsidR="00D10BA0">
        <w:t>Lodging</w:t>
      </w:r>
      <w:r w:rsidR="00FE616C">
        <w:t xml:space="preserve"> and schools from the commercial sector were selected in this study.</w:t>
      </w:r>
    </w:p>
    <w:p w14:paraId="7D56D248" w14:textId="77777777" w:rsidR="00FE616C" w:rsidRDefault="00FE616C" w:rsidP="00A07A43">
      <w:pPr>
        <w:ind w:left="720"/>
      </w:pPr>
    </w:p>
    <w:p w14:paraId="7D56D249" w14:textId="77777777" w:rsidR="00FE616C" w:rsidRDefault="00FE616C" w:rsidP="00ED35E8">
      <w:r>
        <w:t>The study provided the information and data used in the development of this workpaper.</w:t>
      </w:r>
    </w:p>
    <w:p w14:paraId="7D56D24A" w14:textId="01836639" w:rsidR="00FE616C" w:rsidRDefault="00ED35E8" w:rsidP="00ED35E8">
      <w:pPr>
        <w:pStyle w:val="Heading3"/>
        <w:rPr>
          <w:rFonts w:asciiTheme="minorHAnsi" w:hAnsiTheme="minorHAnsi"/>
        </w:rPr>
      </w:pPr>
      <w:bookmarkStart w:id="39" w:name="_Toc502148145"/>
      <w:r w:rsidRPr="00920905">
        <w:rPr>
          <w:rFonts w:asciiTheme="minorHAnsi" w:hAnsiTheme="minorHAnsi"/>
        </w:rPr>
        <w:t>1.</w:t>
      </w:r>
      <w:r w:rsidR="005F58AD">
        <w:rPr>
          <w:rFonts w:asciiTheme="minorHAnsi" w:hAnsiTheme="minorHAnsi"/>
        </w:rPr>
        <w:t>5</w:t>
      </w:r>
      <w:r w:rsidR="0071411B">
        <w:rPr>
          <w:rFonts w:asciiTheme="minorHAnsi" w:hAnsiTheme="minorHAnsi"/>
        </w:rPr>
        <w:t>.2 Field Study</w:t>
      </w:r>
      <w:r>
        <w:rPr>
          <w:rFonts w:asciiTheme="minorHAnsi" w:hAnsiTheme="minorHAnsi"/>
        </w:rPr>
        <w:t>:</w:t>
      </w:r>
      <w:r w:rsidR="00FE616C">
        <w:rPr>
          <w:rFonts w:asciiTheme="minorHAnsi" w:hAnsiTheme="minorHAnsi"/>
        </w:rPr>
        <w:t xml:space="preserve"> </w:t>
      </w:r>
      <w:r w:rsidR="00CB415E">
        <w:rPr>
          <w:rFonts w:asciiTheme="minorHAnsi" w:hAnsiTheme="minorHAnsi"/>
        </w:rPr>
        <w:t>Hot Water Survey</w:t>
      </w:r>
      <w:r w:rsidR="009E6BAB" w:rsidRPr="009E6BAB">
        <w:rPr>
          <w:rFonts w:asciiTheme="minorHAnsi" w:hAnsiTheme="minorHAnsi"/>
        </w:rPr>
        <w:t xml:space="preserve"> in </w:t>
      </w:r>
      <w:r w:rsidR="00255114">
        <w:rPr>
          <w:rFonts w:asciiTheme="minorHAnsi" w:hAnsiTheme="minorHAnsi"/>
        </w:rPr>
        <w:t>Hotels</w:t>
      </w:r>
      <w:r w:rsidR="009E6BAB" w:rsidRPr="009E6BAB">
        <w:rPr>
          <w:rFonts w:asciiTheme="minorHAnsi" w:hAnsiTheme="minorHAnsi"/>
        </w:rPr>
        <w:t xml:space="preserve"> </w:t>
      </w:r>
      <w:r w:rsidR="00255114">
        <w:rPr>
          <w:rFonts w:asciiTheme="minorHAnsi" w:hAnsiTheme="minorHAnsi"/>
        </w:rPr>
        <w:t>and Motels</w:t>
      </w:r>
      <w:r w:rsidR="00222695">
        <w:rPr>
          <w:rFonts w:asciiTheme="minorHAnsi" w:hAnsiTheme="minorHAnsi"/>
        </w:rPr>
        <w:t xml:space="preserve"> in SoCal</w:t>
      </w:r>
      <w:bookmarkEnd w:id="39"/>
    </w:p>
    <w:p w14:paraId="7D56D24B" w14:textId="71B50680" w:rsidR="006809D6" w:rsidRDefault="00007B10" w:rsidP="00ED35E8">
      <w:r>
        <w:t>A</w:t>
      </w:r>
      <w:r w:rsidR="00B42211">
        <w:t>n a</w:t>
      </w:r>
      <w:r w:rsidRPr="00007B10">
        <w:t>udit</w:t>
      </w:r>
      <w:r>
        <w:t xml:space="preserve"> performed by Blacksto</w:t>
      </w:r>
      <w:r w:rsidR="0075066F">
        <w:t xml:space="preserve">ne Research Corp., Inc. in 2016 </w:t>
      </w:r>
      <w:bookmarkStart w:id="40" w:name="_Hlk501367715"/>
      <w:r w:rsidR="0075066F" w:rsidRPr="0075066F">
        <w:rPr>
          <w:i/>
        </w:rPr>
        <w:t xml:space="preserve">(Attachment </w:t>
      </w:r>
      <w:r w:rsidR="007E1F65">
        <w:rPr>
          <w:i/>
        </w:rPr>
        <w:t>C</w:t>
      </w:r>
      <w:r w:rsidR="0075066F" w:rsidRPr="0075066F">
        <w:rPr>
          <w:i/>
        </w:rPr>
        <w:t>)</w:t>
      </w:r>
      <w:bookmarkEnd w:id="40"/>
    </w:p>
    <w:p w14:paraId="7D56D24C" w14:textId="77777777" w:rsidR="00007B10" w:rsidRPr="006809D6" w:rsidRDefault="00007B10" w:rsidP="00FE0ED1">
      <w:pPr>
        <w:ind w:left="720"/>
      </w:pPr>
    </w:p>
    <w:p w14:paraId="0C7FA8E2" w14:textId="2283102E" w:rsidR="00DF6A5D" w:rsidRDefault="00DF6A5D" w:rsidP="00DF6A5D">
      <w:r>
        <w:t>This study audited 5 hotels to collect data related to hot water such as water heater efficiencies and input rates, HW set points, faucet flowrates in guestrooms and public</w:t>
      </w:r>
    </w:p>
    <w:p w14:paraId="7D56D24F" w14:textId="4D10F831" w:rsidR="00007B10" w:rsidRPr="00F45582" w:rsidRDefault="00DF6A5D" w:rsidP="00ED35E8">
      <w:r>
        <w:t>restrooms, showerhead flowrates, hot and cold-water temp</w:t>
      </w:r>
      <w:r w:rsidR="00403079">
        <w:t xml:space="preserve">eratures, monitoring of hot and </w:t>
      </w:r>
      <w:r>
        <w:t>cold flows, etc.</w:t>
      </w:r>
      <w:r w:rsidR="00403079" w:rsidRPr="00403079">
        <w:rPr>
          <w:szCs w:val="22"/>
        </w:rPr>
        <w:t xml:space="preserve"> </w:t>
      </w:r>
      <w:r w:rsidR="00403079">
        <w:rPr>
          <w:szCs w:val="22"/>
        </w:rPr>
        <w:t>The analysis of the data resulted in an average flowrate</w:t>
      </w:r>
      <w:r w:rsidR="00F762FC">
        <w:rPr>
          <w:szCs w:val="22"/>
        </w:rPr>
        <w:t xml:space="preserve"> for guestroom showerheads at</w:t>
      </w:r>
      <w:r w:rsidR="00403079">
        <w:rPr>
          <w:szCs w:val="22"/>
        </w:rPr>
        <w:t xml:space="preserve"> 2.48 gpm. This workpaper adopted the lower flowrate (2.25 gpm) as the pre-existing baseline</w:t>
      </w:r>
      <w:r w:rsidR="00007B10" w:rsidRPr="00007B10">
        <w:t>.</w:t>
      </w:r>
      <w:r w:rsidR="00ED35E8">
        <w:t xml:space="preserve"> </w:t>
      </w:r>
      <w:r w:rsidR="00007B10">
        <w:t>The same bas</w:t>
      </w:r>
      <w:r w:rsidR="00F762FC">
        <w:t xml:space="preserve">eline estimate was used in the </w:t>
      </w:r>
      <w:r w:rsidR="00007B10">
        <w:t>wat</w:t>
      </w:r>
      <w:r w:rsidR="00D4017D">
        <w:t>er and gas savings calculation</w:t>
      </w:r>
      <w:r w:rsidR="00F762FC">
        <w:t xml:space="preserve"> for schools</w:t>
      </w:r>
      <w:r w:rsidR="00D4017D">
        <w:t>.</w:t>
      </w:r>
    </w:p>
    <w:p w14:paraId="7D56D250" w14:textId="13660B5C" w:rsidR="009844A1" w:rsidRDefault="005F58AD" w:rsidP="009844A1">
      <w:pPr>
        <w:pStyle w:val="Heading2"/>
        <w:rPr>
          <w:rFonts w:asciiTheme="minorHAnsi" w:hAnsiTheme="minorHAnsi" w:cstheme="minorHAnsi"/>
        </w:rPr>
      </w:pPr>
      <w:bookmarkStart w:id="41" w:name="_Toc502148146"/>
      <w:r>
        <w:rPr>
          <w:rFonts w:asciiTheme="minorHAnsi" w:hAnsiTheme="minorHAnsi" w:cstheme="minorHAnsi"/>
        </w:rPr>
        <w:t>1.6</w:t>
      </w:r>
      <w:r w:rsidR="009844A1" w:rsidRPr="009844A1">
        <w:rPr>
          <w:rFonts w:asciiTheme="minorHAnsi" w:hAnsiTheme="minorHAnsi" w:cstheme="minorHAnsi"/>
        </w:rPr>
        <w:t xml:space="preserve"> Data </w:t>
      </w:r>
      <w:r w:rsidR="00602F18">
        <w:rPr>
          <w:rFonts w:asciiTheme="minorHAnsi" w:hAnsiTheme="minorHAnsi" w:cstheme="minorHAnsi"/>
        </w:rPr>
        <w:t>Quality and Future Data Needs</w:t>
      </w:r>
      <w:bookmarkEnd w:id="41"/>
    </w:p>
    <w:p w14:paraId="7D56D251" w14:textId="106541C5" w:rsidR="008557D6" w:rsidRPr="00FE66F1" w:rsidRDefault="0003248C" w:rsidP="00FE66F1">
      <w:r>
        <w:t>The savings calculations in this workpaper utilized ex ante data for only hotels and schools. Due to lack of data, the savings</w:t>
      </w:r>
      <w:r w:rsidR="00C27C21">
        <w:t xml:space="preserve"> for educational facilities will applied to all commercial building types. </w:t>
      </w:r>
      <w:r w:rsidR="004C6844">
        <w:t>Further</w:t>
      </w:r>
      <w:r w:rsidR="008557D6">
        <w:t xml:space="preserve"> test</w:t>
      </w:r>
      <w:r w:rsidR="004C6844">
        <w:t>ing</w:t>
      </w:r>
      <w:r w:rsidR="008557D6">
        <w:t xml:space="preserve"> data </w:t>
      </w:r>
      <w:r w:rsidR="004C6844">
        <w:t>(several lodging facilities and different</w:t>
      </w:r>
      <w:r w:rsidR="00F762FC">
        <w:t xml:space="preserve"> commercial building categories</w:t>
      </w:r>
      <w:r w:rsidR="004C6844">
        <w:t>) in-addition to</w:t>
      </w:r>
      <w:r w:rsidR="008557D6">
        <w:t xml:space="preserve"> an M&amp;V plan may help in the verification of savings</w:t>
      </w:r>
      <w:r w:rsidR="00C27C21">
        <w:t xml:space="preserve"> for a more specific subset of commercial building types</w:t>
      </w:r>
      <w:r w:rsidR="008557D6">
        <w:t>. The</w:t>
      </w:r>
      <w:r w:rsidR="00FE66F1" w:rsidRPr="00FE66F1">
        <w:t xml:space="preserve"> </w:t>
      </w:r>
      <w:r w:rsidR="008557D6">
        <w:t>p</w:t>
      </w:r>
      <w:r w:rsidR="00FE66F1" w:rsidRPr="00FE66F1">
        <w:t>lan can vary in depth and scope, but</w:t>
      </w:r>
      <w:r w:rsidR="008557D6">
        <w:t xml:space="preserve"> ma</w:t>
      </w:r>
      <w:r w:rsidR="00C27C21">
        <w:t xml:space="preserve">y include spot measurements, </w:t>
      </w:r>
      <w:r w:rsidR="00FE66F1" w:rsidRPr="00FE66F1">
        <w:t>monitoring</w:t>
      </w:r>
      <w:r w:rsidR="008557D6">
        <w:t xml:space="preserve"> of fixtures use</w:t>
      </w:r>
      <w:r w:rsidR="00FE66F1" w:rsidRPr="00FE66F1">
        <w:t>, and/or utility bill analysis.</w:t>
      </w:r>
    </w:p>
    <w:p w14:paraId="7D56D252" w14:textId="77777777" w:rsidR="00977454" w:rsidRDefault="00977454">
      <w:pPr>
        <w:spacing w:after="200" w:line="276" w:lineRule="auto"/>
        <w:rPr>
          <w:rFonts w:cstheme="minorHAnsi"/>
          <w:b/>
          <w:bCs/>
          <w:smallCaps/>
          <w:kern w:val="32"/>
          <w:sz w:val="36"/>
          <w:szCs w:val="32"/>
        </w:rPr>
      </w:pPr>
      <w:r>
        <w:rPr>
          <w:rFonts w:cstheme="minorHAnsi"/>
        </w:rPr>
        <w:br w:type="page"/>
      </w:r>
    </w:p>
    <w:p w14:paraId="7D56D253" w14:textId="77777777" w:rsidR="00E16609" w:rsidRDefault="00E16609" w:rsidP="002564B0">
      <w:pPr>
        <w:pStyle w:val="Heading1"/>
        <w:rPr>
          <w:rFonts w:cstheme="minorHAnsi"/>
        </w:rPr>
      </w:pPr>
      <w:bookmarkStart w:id="42" w:name="_Toc502148147"/>
      <w:r w:rsidRPr="00500C4E">
        <w:rPr>
          <w:rFonts w:cstheme="minorHAnsi"/>
        </w:rPr>
        <w:lastRenderedPageBreak/>
        <w:t>Section 2</w:t>
      </w:r>
      <w:r w:rsidR="00317970">
        <w:rPr>
          <w:rFonts w:cstheme="minorHAnsi"/>
        </w:rPr>
        <w:t>.</w:t>
      </w:r>
      <w:r w:rsidR="002564B0">
        <w:rPr>
          <w:rFonts w:cstheme="minorHAnsi"/>
        </w:rPr>
        <w:t xml:space="preserve"> </w:t>
      </w:r>
      <w:r w:rsidRPr="00500C4E">
        <w:rPr>
          <w:rFonts w:cstheme="minorHAnsi"/>
        </w:rPr>
        <w:t>Calculation</w:t>
      </w:r>
      <w:bookmarkEnd w:id="35"/>
      <w:r w:rsidR="00755A45" w:rsidRPr="00500C4E">
        <w:rPr>
          <w:rFonts w:cstheme="minorHAnsi"/>
        </w:rPr>
        <w:t xml:space="preserve"> Methodology</w:t>
      </w:r>
      <w:bookmarkEnd w:id="42"/>
    </w:p>
    <w:p w14:paraId="7D56D254" w14:textId="77777777" w:rsidR="008D0B8C" w:rsidRPr="008D0B8C" w:rsidRDefault="008D0B8C" w:rsidP="008D0B8C">
      <w:r>
        <w:t>Multiple studies were reviewed to find data that was utilized to determine baseline consumption of water and natural gas in applications using hot water in showers.</w:t>
      </w:r>
    </w:p>
    <w:p w14:paraId="7D56D255" w14:textId="77777777" w:rsidR="008000F7" w:rsidRPr="0014332F" w:rsidRDefault="0014332F" w:rsidP="0014332F">
      <w:pPr>
        <w:pStyle w:val="Heading2"/>
        <w:rPr>
          <w:rFonts w:asciiTheme="minorHAnsi" w:hAnsiTheme="minorHAnsi" w:cstheme="minorHAnsi"/>
        </w:rPr>
      </w:pPr>
      <w:bookmarkStart w:id="43" w:name="_Toc442427774"/>
      <w:bookmarkStart w:id="44" w:name="_Toc502148148"/>
      <w:r>
        <w:rPr>
          <w:rFonts w:asciiTheme="minorHAnsi" w:hAnsiTheme="minorHAnsi" w:cstheme="minorHAnsi"/>
        </w:rPr>
        <w:t xml:space="preserve">2.1 </w:t>
      </w:r>
      <w:r w:rsidR="008000F7" w:rsidRPr="0014332F">
        <w:rPr>
          <w:rFonts w:asciiTheme="minorHAnsi" w:hAnsiTheme="minorHAnsi" w:cstheme="minorHAnsi"/>
        </w:rPr>
        <w:t>Data and Assumptions, Conversion factors</w:t>
      </w:r>
      <w:bookmarkEnd w:id="43"/>
      <w:bookmarkEnd w:id="44"/>
    </w:p>
    <w:p w14:paraId="7D56D256" w14:textId="45E85849" w:rsidR="008000F7" w:rsidRDefault="00F66806" w:rsidP="008000F7">
      <w:r>
        <w:t>Table 1</w:t>
      </w:r>
      <w:r w:rsidR="000149A3">
        <w:t>0</w:t>
      </w:r>
      <w:r w:rsidR="008000F7" w:rsidRPr="00B03CF9">
        <w:t xml:space="preserve"> below, lists the data, assumptions and conversion factors used in the calculations for this workpaper.  The </w:t>
      </w:r>
      <w:r>
        <w:t>results in water and energy savings</w:t>
      </w:r>
      <w:r w:rsidR="008000F7" w:rsidRPr="00B03CF9">
        <w:t xml:space="preserve"> are listed in </w:t>
      </w:r>
      <w:r w:rsidR="000B40BB">
        <w:t>Table 14</w:t>
      </w:r>
      <w:r w:rsidR="007D11A0">
        <w:t xml:space="preserve"> and Table-1</w:t>
      </w:r>
      <w:r w:rsidR="000B40BB">
        <w:t>5</w:t>
      </w:r>
      <w:r w:rsidR="007D11A0">
        <w:t>, respectively</w:t>
      </w:r>
      <w:r w:rsidR="0004050F">
        <w:t>.  For details on the calculations, please refer to the</w:t>
      </w:r>
      <w:r w:rsidR="00715888">
        <w:t xml:space="preserve"> CLEAResult </w:t>
      </w:r>
      <w:r>
        <w:t>report and</w:t>
      </w:r>
      <w:r w:rsidR="00132D33">
        <w:t xml:space="preserve"> </w:t>
      </w:r>
      <w:r>
        <w:t xml:space="preserve">calculations in </w:t>
      </w:r>
      <w:r w:rsidR="004E3442" w:rsidRPr="0075066F">
        <w:rPr>
          <w:i/>
        </w:rPr>
        <w:t>Attachment</w:t>
      </w:r>
      <w:r w:rsidR="005E3CA2">
        <w:rPr>
          <w:i/>
        </w:rPr>
        <w:t>s A &amp; B</w:t>
      </w:r>
      <w:r w:rsidR="000D1B44">
        <w:t xml:space="preserve">.  </w:t>
      </w:r>
      <w:r w:rsidR="00C1425B" w:rsidRPr="00C1425B">
        <w:t xml:space="preserve">The water and gas consumption calculations for this measure were developed based on standard engineering methodologies. Data from water conservation programs, published studies, and assumptions provided in </w:t>
      </w:r>
      <w:r w:rsidR="00D86F09" w:rsidRPr="00D86F09">
        <w:t>technical references</w:t>
      </w:r>
      <w:r w:rsidR="008C133A">
        <w:t xml:space="preserve"> </w:t>
      </w:r>
      <w:r w:rsidR="00C1425B" w:rsidRPr="00C1425B">
        <w:t>were utilized to calculate the average consumption of water per shower per year.</w:t>
      </w:r>
    </w:p>
    <w:p w14:paraId="7D56D257" w14:textId="77777777" w:rsidR="000552DC" w:rsidRPr="00B03CF9" w:rsidRDefault="000552DC" w:rsidP="008000F7"/>
    <w:p w14:paraId="7D56D258" w14:textId="5D0799C8" w:rsidR="0057166C" w:rsidRPr="000552DC" w:rsidRDefault="000552DC" w:rsidP="000552DC">
      <w:pPr>
        <w:pStyle w:val="Caption"/>
        <w:rPr>
          <w:rFonts w:ascii="Times New Roman" w:hAnsi="Times New Roman"/>
          <w:sz w:val="24"/>
        </w:rPr>
      </w:pPr>
      <w:bookmarkStart w:id="45" w:name="_Toc501451179"/>
      <w:r>
        <w:t xml:space="preserve">Table </w:t>
      </w:r>
      <w:r w:rsidR="000149A3">
        <w:t>10</w:t>
      </w:r>
      <w:r>
        <w:t xml:space="preserve">: </w:t>
      </w:r>
      <w:r w:rsidRPr="000552DC">
        <w:t>Data and Assumptions, &amp; Conversion Factors</w:t>
      </w:r>
      <w:bookmarkEnd w:id="45"/>
    </w:p>
    <w:tbl>
      <w:tblPr>
        <w:tblpPr w:leftFromText="180" w:rightFromText="180" w:vertAnchor="text" w:horzAnchor="margin" w:tblpY="108"/>
        <w:tblW w:w="9786" w:type="dxa"/>
        <w:tblLook w:val="0000" w:firstRow="0" w:lastRow="0" w:firstColumn="0" w:lastColumn="0" w:noHBand="0" w:noVBand="0"/>
      </w:tblPr>
      <w:tblGrid>
        <w:gridCol w:w="1858"/>
        <w:gridCol w:w="4694"/>
        <w:gridCol w:w="951"/>
        <w:gridCol w:w="2283"/>
      </w:tblGrid>
      <w:tr w:rsidR="0057166C" w14:paraId="7D56D25D" w14:textId="77777777" w:rsidTr="00434C3D">
        <w:trPr>
          <w:trHeight w:val="442"/>
        </w:trPr>
        <w:tc>
          <w:tcPr>
            <w:tcW w:w="1858" w:type="dxa"/>
            <w:tcBorders>
              <w:top w:val="single" w:sz="18" w:space="0" w:color="auto"/>
              <w:left w:val="single" w:sz="18" w:space="0" w:color="auto"/>
              <w:bottom w:val="single" w:sz="18" w:space="0" w:color="auto"/>
              <w:right w:val="single" w:sz="6" w:space="0" w:color="auto"/>
            </w:tcBorders>
            <w:shd w:val="clear" w:color="auto" w:fill="auto"/>
            <w:vAlign w:val="center"/>
          </w:tcPr>
          <w:p w14:paraId="7D56D259" w14:textId="77777777" w:rsidR="0057166C" w:rsidRDefault="0057166C" w:rsidP="00434C3D">
            <w:pPr>
              <w:jc w:val="center"/>
              <w:rPr>
                <w:rFonts w:cs="Arial"/>
                <w:b/>
                <w:bCs/>
              </w:rPr>
            </w:pPr>
            <w:r>
              <w:rPr>
                <w:rFonts w:cs="Arial"/>
                <w:b/>
                <w:bCs/>
              </w:rPr>
              <w:t>Constant</w:t>
            </w:r>
          </w:p>
        </w:tc>
        <w:tc>
          <w:tcPr>
            <w:tcW w:w="4694" w:type="dxa"/>
            <w:tcBorders>
              <w:top w:val="single" w:sz="18" w:space="0" w:color="auto"/>
              <w:left w:val="single" w:sz="6" w:space="0" w:color="auto"/>
              <w:bottom w:val="single" w:sz="18" w:space="0" w:color="auto"/>
              <w:right w:val="single" w:sz="6" w:space="0" w:color="auto"/>
            </w:tcBorders>
            <w:shd w:val="clear" w:color="auto" w:fill="auto"/>
            <w:vAlign w:val="center"/>
          </w:tcPr>
          <w:p w14:paraId="7D56D25A" w14:textId="77777777" w:rsidR="0057166C" w:rsidRDefault="0057166C" w:rsidP="00434C3D">
            <w:pPr>
              <w:jc w:val="center"/>
              <w:rPr>
                <w:rFonts w:cs="Arial"/>
                <w:b/>
                <w:bCs/>
              </w:rPr>
            </w:pPr>
            <w:r>
              <w:rPr>
                <w:rFonts w:cs="Arial"/>
                <w:b/>
                <w:bCs/>
              </w:rPr>
              <w:t>Description</w:t>
            </w:r>
          </w:p>
        </w:tc>
        <w:tc>
          <w:tcPr>
            <w:tcW w:w="951" w:type="dxa"/>
            <w:tcBorders>
              <w:top w:val="single" w:sz="18" w:space="0" w:color="auto"/>
              <w:left w:val="single" w:sz="6" w:space="0" w:color="auto"/>
              <w:bottom w:val="single" w:sz="18" w:space="0" w:color="auto"/>
              <w:right w:val="single" w:sz="6" w:space="0" w:color="auto"/>
            </w:tcBorders>
            <w:shd w:val="clear" w:color="auto" w:fill="auto"/>
            <w:vAlign w:val="center"/>
          </w:tcPr>
          <w:p w14:paraId="7D56D25B" w14:textId="77777777" w:rsidR="0057166C" w:rsidRDefault="0057166C" w:rsidP="00434C3D">
            <w:pPr>
              <w:jc w:val="center"/>
              <w:rPr>
                <w:rFonts w:cs="Arial"/>
                <w:b/>
                <w:bCs/>
              </w:rPr>
            </w:pPr>
            <w:r>
              <w:rPr>
                <w:rFonts w:cs="Arial"/>
                <w:b/>
                <w:bCs/>
              </w:rPr>
              <w:t>Value</w:t>
            </w:r>
          </w:p>
        </w:tc>
        <w:tc>
          <w:tcPr>
            <w:tcW w:w="2283" w:type="dxa"/>
            <w:tcBorders>
              <w:top w:val="single" w:sz="18" w:space="0" w:color="auto"/>
              <w:left w:val="single" w:sz="6" w:space="0" w:color="auto"/>
              <w:bottom w:val="single" w:sz="18" w:space="0" w:color="auto"/>
              <w:right w:val="single" w:sz="18" w:space="0" w:color="auto"/>
            </w:tcBorders>
            <w:shd w:val="clear" w:color="auto" w:fill="auto"/>
            <w:vAlign w:val="center"/>
          </w:tcPr>
          <w:p w14:paraId="7D56D25C" w14:textId="77777777" w:rsidR="0057166C" w:rsidRDefault="0057166C" w:rsidP="00434C3D">
            <w:pPr>
              <w:jc w:val="center"/>
              <w:rPr>
                <w:rFonts w:cs="Arial"/>
                <w:b/>
                <w:bCs/>
              </w:rPr>
            </w:pPr>
            <w:r>
              <w:rPr>
                <w:rFonts w:cs="Arial"/>
                <w:b/>
                <w:bCs/>
              </w:rPr>
              <w:t>Units</w:t>
            </w:r>
          </w:p>
        </w:tc>
      </w:tr>
      <w:tr w:rsidR="00A438D1" w14:paraId="7D56D262" w14:textId="77777777" w:rsidTr="00434C3D">
        <w:trPr>
          <w:trHeight w:val="516"/>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D56D25E" w14:textId="77777777" w:rsidR="00A438D1" w:rsidRDefault="00A438D1" w:rsidP="00A438D1">
            <w:pPr>
              <w:jc w:val="center"/>
              <w:rPr>
                <w:rFonts w:cs="Arial"/>
              </w:rPr>
            </w:pPr>
            <w:r>
              <w:rPr>
                <w:rFonts w:cs="Arial"/>
              </w:rPr>
              <w:t>V̇</w:t>
            </w:r>
            <w:r>
              <w:rPr>
                <w:rFonts w:cs="Arial"/>
                <w:vertAlign w:val="subscript"/>
              </w:rPr>
              <w:t>base existing</w:t>
            </w:r>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7D56D25F" w14:textId="77777777" w:rsidR="00A438D1" w:rsidRPr="00A438D1" w:rsidRDefault="00A438D1" w:rsidP="0073170E">
            <w:pPr>
              <w:jc w:val="center"/>
              <w:rPr>
                <w:rFonts w:cs="Arial"/>
              </w:rPr>
            </w:pPr>
            <w:r>
              <w:rPr>
                <w:rFonts w:cs="Arial"/>
              </w:rPr>
              <w:t xml:space="preserve">Existing showerhead water flow, </w:t>
            </w:r>
            <w:r w:rsidRPr="00A438D1">
              <w:rPr>
                <w:rFonts w:cs="Arial"/>
                <w:i/>
              </w:rPr>
              <w:t xml:space="preserve">from </w:t>
            </w:r>
            <w:r w:rsidR="00A36F12" w:rsidRPr="00A36F12">
              <w:rPr>
                <w:rFonts w:cs="Arial"/>
                <w:i/>
                <w:sz w:val="20"/>
                <w:szCs w:val="20"/>
              </w:rPr>
              <w:t xml:space="preserve">2013 SCG Low-Flow Showerheads Work Paper </w:t>
            </w:r>
            <w:r w:rsidR="00A36F12">
              <w:rPr>
                <w:rFonts w:cs="Arial"/>
                <w:i/>
                <w:sz w:val="20"/>
                <w:szCs w:val="20"/>
              </w:rPr>
              <w:t xml:space="preserve">and </w:t>
            </w:r>
            <w:r w:rsidRPr="00A36F12">
              <w:rPr>
                <w:rFonts w:cs="Arial"/>
                <w:i/>
                <w:sz w:val="20"/>
                <w:szCs w:val="20"/>
              </w:rPr>
              <w:t>field study at 5 hotels in SoCal</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7D56D260" w14:textId="77777777" w:rsidR="00A438D1" w:rsidRDefault="00A438D1" w:rsidP="00434C3D">
            <w:pPr>
              <w:jc w:val="center"/>
              <w:rPr>
                <w:rFonts w:cs="Arial"/>
              </w:rPr>
            </w:pPr>
            <w:r>
              <w:rPr>
                <w:rFonts w:cs="Arial"/>
              </w:rPr>
              <w:t>2.25</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7D56D261" w14:textId="77777777" w:rsidR="00A438D1" w:rsidRDefault="00A438D1" w:rsidP="00434C3D">
            <w:pPr>
              <w:jc w:val="center"/>
              <w:rPr>
                <w:rFonts w:cs="Arial"/>
              </w:rPr>
            </w:pPr>
            <w:r>
              <w:rPr>
                <w:rFonts w:cs="Arial"/>
              </w:rPr>
              <w:t>GPM</w:t>
            </w:r>
          </w:p>
        </w:tc>
      </w:tr>
      <w:tr w:rsidR="0057166C" w14:paraId="7D56D267" w14:textId="77777777" w:rsidTr="00434C3D">
        <w:trPr>
          <w:trHeight w:val="516"/>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D56D263" w14:textId="77777777" w:rsidR="0057166C" w:rsidRDefault="0057166C" w:rsidP="00434C3D">
            <w:pPr>
              <w:jc w:val="center"/>
              <w:rPr>
                <w:rFonts w:cs="Arial"/>
              </w:rPr>
            </w:pPr>
            <w:r>
              <w:rPr>
                <w:rFonts w:cs="Arial"/>
              </w:rPr>
              <w:t>V̇</w:t>
            </w:r>
            <w:r>
              <w:rPr>
                <w:rFonts w:cs="Arial"/>
                <w:vertAlign w:val="subscript"/>
              </w:rPr>
              <w:t>base Code</w:t>
            </w:r>
            <w:r w:rsidR="00A438D1">
              <w:rPr>
                <w:rFonts w:cs="Arial"/>
                <w:vertAlign w:val="subscript"/>
              </w:rPr>
              <w:t xml:space="preserve"> 2016</w:t>
            </w:r>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7D56D264" w14:textId="03774A82" w:rsidR="0057166C" w:rsidRDefault="00A438D1" w:rsidP="0073170E">
            <w:pPr>
              <w:jc w:val="center"/>
              <w:rPr>
                <w:rFonts w:cs="Arial"/>
              </w:rPr>
            </w:pPr>
            <w:r>
              <w:rPr>
                <w:rFonts w:cs="Arial"/>
              </w:rPr>
              <w:t>B</w:t>
            </w:r>
            <w:r w:rsidR="0057166C">
              <w:rPr>
                <w:rFonts w:cs="Arial"/>
              </w:rPr>
              <w:t xml:space="preserve">aseline showerhead water flow, </w:t>
            </w:r>
            <w:r>
              <w:rPr>
                <w:rFonts w:cs="Arial"/>
              </w:rPr>
              <w:t xml:space="preserve">2016 </w:t>
            </w:r>
            <w:r w:rsidR="0057166C">
              <w:rPr>
                <w:rFonts w:cs="Arial"/>
              </w:rPr>
              <w:t xml:space="preserve">code </w:t>
            </w:r>
            <w:r w:rsidR="00C36F1A">
              <w:rPr>
                <w:rFonts w:cs="Arial"/>
              </w:rPr>
              <w:t>requirement (</w:t>
            </w:r>
            <w:r w:rsidR="0057166C">
              <w:rPr>
                <w:rFonts w:cs="Arial"/>
              </w:rPr>
              <w:t>volumetric flow rate)</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7D56D265" w14:textId="77777777" w:rsidR="0057166C" w:rsidRPr="002A2ACE" w:rsidRDefault="0057166C" w:rsidP="00434C3D">
            <w:pPr>
              <w:jc w:val="center"/>
              <w:rPr>
                <w:rFonts w:cs="Arial"/>
                <w:color w:val="FF0000"/>
              </w:rPr>
            </w:pPr>
            <w:r>
              <w:rPr>
                <w:rFonts w:cs="Arial"/>
              </w:rPr>
              <w:t>2.0</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7D56D266" w14:textId="77777777" w:rsidR="0057166C" w:rsidRDefault="0057166C" w:rsidP="00434C3D">
            <w:pPr>
              <w:jc w:val="center"/>
              <w:rPr>
                <w:rFonts w:cs="Arial"/>
              </w:rPr>
            </w:pPr>
            <w:r>
              <w:rPr>
                <w:rFonts w:cs="Arial"/>
              </w:rPr>
              <w:t>GPM</w:t>
            </w:r>
          </w:p>
        </w:tc>
      </w:tr>
      <w:tr w:rsidR="00A438D1" w14:paraId="7D56D26C" w14:textId="77777777" w:rsidTr="00434C3D">
        <w:trPr>
          <w:trHeight w:val="529"/>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D56D268" w14:textId="77777777" w:rsidR="00A438D1" w:rsidRDefault="00A438D1" w:rsidP="00A438D1">
            <w:pPr>
              <w:jc w:val="center"/>
              <w:rPr>
                <w:rFonts w:cs="Arial"/>
              </w:rPr>
            </w:pPr>
            <w:r>
              <w:rPr>
                <w:rFonts w:cs="Arial"/>
              </w:rPr>
              <w:t>V̇</w:t>
            </w:r>
            <w:r>
              <w:rPr>
                <w:rFonts w:cs="Arial"/>
                <w:vertAlign w:val="subscript"/>
              </w:rPr>
              <w:t>base Code 2018</w:t>
            </w:r>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7D56D269" w14:textId="3864916F" w:rsidR="00A438D1" w:rsidRDefault="00A438D1" w:rsidP="00A438D1">
            <w:pPr>
              <w:jc w:val="center"/>
              <w:rPr>
                <w:rFonts w:cs="Arial"/>
              </w:rPr>
            </w:pPr>
            <w:r>
              <w:rPr>
                <w:rFonts w:cs="Arial"/>
              </w:rPr>
              <w:t xml:space="preserve">Baseline showerhead water flow, 2018 code </w:t>
            </w:r>
            <w:r w:rsidR="00C36F1A">
              <w:rPr>
                <w:rFonts w:cs="Arial"/>
              </w:rPr>
              <w:t>requirement (</w:t>
            </w:r>
            <w:r>
              <w:rPr>
                <w:rFonts w:cs="Arial"/>
              </w:rPr>
              <w:t>volumetric flow rate)</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7D56D26A" w14:textId="77777777" w:rsidR="00A438D1" w:rsidRPr="002A2ACE" w:rsidRDefault="00A438D1" w:rsidP="00A438D1">
            <w:pPr>
              <w:jc w:val="center"/>
              <w:rPr>
                <w:rFonts w:cs="Arial"/>
                <w:color w:val="FF0000"/>
              </w:rPr>
            </w:pPr>
            <w:r>
              <w:rPr>
                <w:rFonts w:cs="Arial"/>
              </w:rPr>
              <w:t>1.8</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7D56D26B" w14:textId="77777777" w:rsidR="00A438D1" w:rsidRDefault="00A438D1" w:rsidP="00A438D1">
            <w:pPr>
              <w:jc w:val="center"/>
              <w:rPr>
                <w:rFonts w:cs="Arial"/>
              </w:rPr>
            </w:pPr>
            <w:r>
              <w:rPr>
                <w:rFonts w:cs="Arial"/>
              </w:rPr>
              <w:t>GPM</w:t>
            </w:r>
          </w:p>
        </w:tc>
      </w:tr>
      <w:tr w:rsidR="00A438D1" w14:paraId="7D56D271" w14:textId="77777777" w:rsidTr="00434C3D">
        <w:trPr>
          <w:trHeight w:val="529"/>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D56D26D" w14:textId="77777777" w:rsidR="00A438D1" w:rsidRPr="00B77854" w:rsidRDefault="00A438D1" w:rsidP="00A438D1">
            <w:pPr>
              <w:jc w:val="center"/>
              <w:rPr>
                <w:rFonts w:cs="Arial"/>
              </w:rPr>
            </w:pPr>
            <w:r>
              <w:rPr>
                <w:rFonts w:cs="Arial"/>
              </w:rPr>
              <w:t>V̇</w:t>
            </w:r>
            <w:r>
              <w:rPr>
                <w:rFonts w:cs="Arial"/>
                <w:vertAlign w:val="subscript"/>
              </w:rPr>
              <w:t>post Avg</w:t>
            </w:r>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7D56D26E" w14:textId="77777777" w:rsidR="00A438D1" w:rsidRPr="00EB16C3" w:rsidRDefault="00A438D1" w:rsidP="00A438D1">
            <w:pPr>
              <w:jc w:val="center"/>
              <w:rPr>
                <w:rFonts w:cs="Arial"/>
              </w:rPr>
            </w:pPr>
            <w:r w:rsidRPr="00F1165B">
              <w:rPr>
                <w:rFonts w:cs="Arial"/>
              </w:rPr>
              <w:t>Post Flow Rate (FP)</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7D56D26F" w14:textId="77777777" w:rsidR="00A438D1" w:rsidRDefault="00A438D1" w:rsidP="00A438D1">
            <w:pPr>
              <w:jc w:val="center"/>
              <w:rPr>
                <w:rFonts w:cs="Arial"/>
              </w:rPr>
            </w:pPr>
            <w:r>
              <w:rPr>
                <w:rFonts w:cs="Arial"/>
              </w:rPr>
              <w:t>1.5</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7D56D270" w14:textId="77777777" w:rsidR="00A438D1" w:rsidRDefault="00A438D1" w:rsidP="00A438D1">
            <w:pPr>
              <w:jc w:val="center"/>
              <w:rPr>
                <w:rFonts w:cs="Arial"/>
              </w:rPr>
            </w:pPr>
            <w:r>
              <w:rPr>
                <w:rFonts w:cs="Arial"/>
              </w:rPr>
              <w:t>GPM</w:t>
            </w:r>
          </w:p>
        </w:tc>
      </w:tr>
      <w:tr w:rsidR="00A438D1" w14:paraId="7D56D276" w14:textId="77777777" w:rsidTr="00434C3D">
        <w:trPr>
          <w:trHeight w:val="529"/>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D56D272" w14:textId="77777777" w:rsidR="00A438D1" w:rsidRPr="00B77854" w:rsidRDefault="00A438D1" w:rsidP="00A438D1">
            <w:pPr>
              <w:jc w:val="center"/>
              <w:rPr>
                <w:rFonts w:cs="Arial"/>
              </w:rPr>
            </w:pPr>
            <w:r w:rsidRPr="00B77854">
              <w:rPr>
                <w:rFonts w:cs="Arial"/>
              </w:rPr>
              <w:t>T</w:t>
            </w:r>
            <w:r w:rsidRPr="00B77854">
              <w:rPr>
                <w:rFonts w:cs="Arial"/>
                <w:vertAlign w:val="subscript"/>
              </w:rPr>
              <w:t xml:space="preserve">out, </w:t>
            </w:r>
            <w:r w:rsidRPr="00F521DF">
              <w:rPr>
                <w:rFonts w:cs="Arial"/>
                <w:vertAlign w:val="subscript"/>
              </w:rPr>
              <w:t>tempered</w:t>
            </w:r>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7D56D273" w14:textId="77777777" w:rsidR="00A438D1" w:rsidRDefault="00A438D1" w:rsidP="00A438D1">
            <w:pPr>
              <w:jc w:val="center"/>
              <w:rPr>
                <w:rFonts w:cs="Arial"/>
              </w:rPr>
            </w:pPr>
            <w:r w:rsidRPr="00EB16C3">
              <w:rPr>
                <w:rFonts w:cs="Arial"/>
              </w:rPr>
              <w:t>Mixed Water Temperature (TH)</w:t>
            </w:r>
            <w:r>
              <w:rPr>
                <w:rFonts w:cs="Arial"/>
              </w:rPr>
              <w:t>,</w:t>
            </w:r>
            <w:r>
              <w:t xml:space="preserve"> </w:t>
            </w:r>
            <w:r w:rsidRPr="00E66456">
              <w:rPr>
                <w:i/>
              </w:rPr>
              <w:t xml:space="preserve">from the </w:t>
            </w:r>
            <w:r w:rsidRPr="00E66456">
              <w:rPr>
                <w:rFonts w:cs="Arial"/>
                <w:i/>
              </w:rPr>
              <w:t>2013/14 Work Paper Disposition</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7D56D274" w14:textId="77777777" w:rsidR="00A438D1" w:rsidRPr="002A2ACE" w:rsidRDefault="00A438D1" w:rsidP="00A438D1">
            <w:pPr>
              <w:jc w:val="center"/>
              <w:rPr>
                <w:rFonts w:cs="Arial"/>
                <w:color w:val="FF0000"/>
              </w:rPr>
            </w:pPr>
            <w:r>
              <w:rPr>
                <w:rFonts w:cs="Arial"/>
              </w:rPr>
              <w:t>104</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7D56D275" w14:textId="77777777" w:rsidR="00A438D1" w:rsidRDefault="00A438D1" w:rsidP="00A438D1">
            <w:pPr>
              <w:jc w:val="center"/>
              <w:rPr>
                <w:rFonts w:cs="Arial"/>
              </w:rPr>
            </w:pPr>
            <w:r>
              <w:rPr>
                <w:rFonts w:cs="Arial"/>
              </w:rPr>
              <w:t>ºF</w:t>
            </w:r>
          </w:p>
        </w:tc>
      </w:tr>
      <w:tr w:rsidR="00A438D1" w14:paraId="7D56D27B" w14:textId="77777777" w:rsidTr="00F40609">
        <w:trPr>
          <w:trHeight w:val="585"/>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D56D277" w14:textId="77777777" w:rsidR="00A438D1" w:rsidRDefault="00A438D1" w:rsidP="00A438D1">
            <w:pPr>
              <w:jc w:val="center"/>
              <w:rPr>
                <w:rFonts w:cs="Arial"/>
              </w:rPr>
            </w:pPr>
            <w:r w:rsidRPr="00B77854">
              <w:rPr>
                <w:rFonts w:cs="Arial"/>
              </w:rPr>
              <w:t>T</w:t>
            </w:r>
            <w:r>
              <w:rPr>
                <w:rFonts w:cs="Arial"/>
                <w:vertAlign w:val="subscript"/>
              </w:rPr>
              <w:t>in, cold</w:t>
            </w:r>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7D56D278" w14:textId="77777777" w:rsidR="00A438D1" w:rsidRDefault="00A438D1" w:rsidP="00A438D1">
            <w:pPr>
              <w:jc w:val="center"/>
              <w:rPr>
                <w:rFonts w:cs="Arial"/>
              </w:rPr>
            </w:pPr>
            <w:r w:rsidRPr="0057166C">
              <w:rPr>
                <w:rFonts w:cs="Arial"/>
              </w:rPr>
              <w:t>Supply Water Temperature (T</w:t>
            </w:r>
            <w:r w:rsidRPr="00004618">
              <w:rPr>
                <w:rFonts w:cs="Arial"/>
                <w:i/>
                <w:vertAlign w:val="subscript"/>
              </w:rPr>
              <w:t>supply</w:t>
            </w:r>
            <w:r w:rsidRPr="0057166C">
              <w:rPr>
                <w:rFonts w:cs="Arial"/>
              </w:rPr>
              <w:t>)</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7D56D279" w14:textId="77777777" w:rsidR="00A438D1" w:rsidRDefault="00A438D1" w:rsidP="00A438D1">
            <w:pPr>
              <w:jc w:val="center"/>
              <w:rPr>
                <w:rFonts w:cs="Arial"/>
              </w:rPr>
            </w:pPr>
            <w:r>
              <w:rPr>
                <w:rFonts w:cs="Arial"/>
              </w:rPr>
              <w:t>63</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7D56D27A" w14:textId="77777777" w:rsidR="00A438D1" w:rsidRDefault="00A438D1" w:rsidP="00A438D1">
            <w:pPr>
              <w:jc w:val="center"/>
              <w:rPr>
                <w:rFonts w:cs="Arial"/>
              </w:rPr>
            </w:pPr>
            <w:r>
              <w:rPr>
                <w:rFonts w:cs="Arial"/>
              </w:rPr>
              <w:t>ºF</w:t>
            </w:r>
          </w:p>
        </w:tc>
      </w:tr>
      <w:tr w:rsidR="00A438D1" w14:paraId="7D56D280" w14:textId="77777777" w:rsidTr="00F40609">
        <w:trPr>
          <w:trHeight w:val="522"/>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D56D27C" w14:textId="77777777" w:rsidR="00A438D1" w:rsidRDefault="00A438D1" w:rsidP="00A438D1">
            <w:pPr>
              <w:jc w:val="center"/>
              <w:rPr>
                <w:rFonts w:cs="Arial"/>
              </w:rPr>
            </w:pPr>
            <w:r w:rsidRPr="00322BEC">
              <w:rPr>
                <w:i/>
                <w:szCs w:val="22"/>
              </w:rPr>
              <w:t>ρ</w:t>
            </w:r>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7D56D27D" w14:textId="77777777" w:rsidR="00A438D1" w:rsidRDefault="00A438D1" w:rsidP="00A438D1">
            <w:pPr>
              <w:jc w:val="center"/>
              <w:rPr>
                <w:rFonts w:cs="Arial"/>
              </w:rPr>
            </w:pPr>
            <w:r>
              <w:rPr>
                <w:rFonts w:cs="Arial"/>
              </w:rPr>
              <w:t xml:space="preserve">Density of water at 60 </w:t>
            </w:r>
            <w:r>
              <w:t>º</w:t>
            </w:r>
            <w:r>
              <w:rPr>
                <w:rFonts w:cs="Arial"/>
              </w:rPr>
              <w:t>F</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7D56D27E" w14:textId="77777777" w:rsidR="00A438D1" w:rsidRDefault="00A438D1" w:rsidP="00A438D1">
            <w:pPr>
              <w:jc w:val="center"/>
              <w:rPr>
                <w:rFonts w:cs="Arial"/>
              </w:rPr>
            </w:pPr>
            <w:r w:rsidRPr="00452B07">
              <w:rPr>
                <w:rFonts w:cs="Arial"/>
                <w:color w:val="800000"/>
              </w:rPr>
              <w:t xml:space="preserve"> </w:t>
            </w:r>
            <w:r>
              <w:rPr>
                <w:rFonts w:cs="Arial"/>
              </w:rPr>
              <w:t>62.37</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7D56D27F" w14:textId="77777777" w:rsidR="00A438D1" w:rsidRDefault="00A438D1" w:rsidP="00A438D1">
            <w:pPr>
              <w:jc w:val="center"/>
              <w:rPr>
                <w:rFonts w:cs="Arial"/>
              </w:rPr>
            </w:pPr>
            <w:r>
              <w:rPr>
                <w:rFonts w:cs="Arial"/>
              </w:rPr>
              <w:t xml:space="preserve"> lbm / ft</w:t>
            </w:r>
            <w:r>
              <w:rPr>
                <w:rFonts w:cs="Arial"/>
                <w:vertAlign w:val="superscript"/>
              </w:rPr>
              <w:t>3</w:t>
            </w:r>
          </w:p>
        </w:tc>
      </w:tr>
      <w:tr w:rsidR="00A438D1" w14:paraId="7D56D285" w14:textId="77777777" w:rsidTr="00F40609">
        <w:trPr>
          <w:trHeight w:val="522"/>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D56D281" w14:textId="77777777" w:rsidR="00A438D1" w:rsidRDefault="00A438D1" w:rsidP="00A438D1">
            <w:pPr>
              <w:jc w:val="center"/>
              <w:rPr>
                <w:rFonts w:cs="Arial"/>
              </w:rPr>
            </w:pPr>
            <w:r>
              <w:rPr>
                <w:rFonts w:cs="Arial"/>
              </w:rPr>
              <w:t>C</w:t>
            </w:r>
            <w:r>
              <w:rPr>
                <w:rFonts w:cs="Arial"/>
                <w:vertAlign w:val="subscript"/>
              </w:rPr>
              <w:t>volume</w:t>
            </w:r>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7D56D282" w14:textId="77777777" w:rsidR="00A438D1" w:rsidRDefault="00A438D1" w:rsidP="00A438D1">
            <w:pPr>
              <w:jc w:val="center"/>
              <w:rPr>
                <w:rFonts w:cs="Arial"/>
              </w:rPr>
            </w:pPr>
            <w:r>
              <w:rPr>
                <w:rFonts w:cs="Arial"/>
              </w:rPr>
              <w:t>V</w:t>
            </w:r>
            <w:r w:rsidRPr="00171274">
              <w:rPr>
                <w:rFonts w:cs="Arial"/>
              </w:rPr>
              <w:t>olumetric conversion constant</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7D56D283" w14:textId="77777777" w:rsidR="00A438D1" w:rsidRDefault="00A438D1" w:rsidP="00A438D1">
            <w:pPr>
              <w:jc w:val="center"/>
              <w:rPr>
                <w:rFonts w:cs="Arial"/>
              </w:rPr>
            </w:pPr>
            <w:r>
              <w:rPr>
                <w:rFonts w:cs="Arial"/>
              </w:rPr>
              <w:t>7.481</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7D56D284" w14:textId="77777777" w:rsidR="00A438D1" w:rsidRDefault="00A438D1" w:rsidP="00A438D1">
            <w:pPr>
              <w:jc w:val="center"/>
              <w:rPr>
                <w:rFonts w:cs="Arial"/>
              </w:rPr>
            </w:pPr>
            <w:r>
              <w:rPr>
                <w:rFonts w:cs="Arial"/>
              </w:rPr>
              <w:t>gal / ft</w:t>
            </w:r>
            <w:r>
              <w:rPr>
                <w:rFonts w:cs="Arial"/>
                <w:vertAlign w:val="superscript"/>
              </w:rPr>
              <w:t>3</w:t>
            </w:r>
          </w:p>
        </w:tc>
      </w:tr>
      <w:tr w:rsidR="00A438D1" w14:paraId="7D56D28A" w14:textId="77777777" w:rsidTr="00F40609">
        <w:trPr>
          <w:trHeight w:val="531"/>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D56D286" w14:textId="77777777" w:rsidR="00A438D1" w:rsidRDefault="00A438D1" w:rsidP="00A438D1">
            <w:pPr>
              <w:jc w:val="center"/>
              <w:rPr>
                <w:rFonts w:cs="Arial"/>
              </w:rPr>
            </w:pPr>
            <w:r>
              <w:rPr>
                <w:rFonts w:cs="Arial"/>
              </w:rPr>
              <w:t>C</w:t>
            </w:r>
            <w:r w:rsidRPr="00171274">
              <w:rPr>
                <w:rFonts w:cs="Arial"/>
                <w:vertAlign w:val="subscript"/>
              </w:rPr>
              <w:t>mass</w:t>
            </w:r>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7D56D287" w14:textId="77777777" w:rsidR="00A438D1" w:rsidRPr="00171274" w:rsidRDefault="00A438D1" w:rsidP="00A438D1">
            <w:pPr>
              <w:jc w:val="center"/>
              <w:rPr>
                <w:rFonts w:cs="Arial"/>
              </w:rPr>
            </w:pPr>
            <w:r>
              <w:rPr>
                <w:rFonts w:cs="Arial"/>
              </w:rPr>
              <w:t>Mass conversion factor</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7D56D288" w14:textId="77777777" w:rsidR="00A438D1" w:rsidRDefault="00A438D1" w:rsidP="00A438D1">
            <w:pPr>
              <w:jc w:val="center"/>
              <w:rPr>
                <w:rFonts w:cs="Arial"/>
              </w:rPr>
            </w:pPr>
            <w:r>
              <w:rPr>
                <w:rFonts w:cs="Arial"/>
              </w:rPr>
              <w:t>8.33</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7D56D289" w14:textId="77777777" w:rsidR="00A438D1" w:rsidRDefault="00A438D1" w:rsidP="00A438D1">
            <w:pPr>
              <w:jc w:val="center"/>
              <w:rPr>
                <w:rFonts w:cs="Arial"/>
              </w:rPr>
            </w:pPr>
            <w:r>
              <w:rPr>
                <w:rFonts w:cs="Arial"/>
              </w:rPr>
              <w:t>lb / gallon</w:t>
            </w:r>
          </w:p>
        </w:tc>
      </w:tr>
      <w:tr w:rsidR="00A438D1" w14:paraId="7D56D28F" w14:textId="77777777" w:rsidTr="00F40609">
        <w:trPr>
          <w:trHeight w:val="522"/>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D56D28B" w14:textId="77777777" w:rsidR="00A438D1" w:rsidRDefault="00B36F35" w:rsidP="00A438D1">
            <w:pPr>
              <w:jc w:val="center"/>
              <w:rPr>
                <w:rFonts w:cs="Arial"/>
              </w:rPr>
            </w:pPr>
            <m:oMathPara>
              <m:oMath>
                <m:sSub>
                  <m:sSubPr>
                    <m:ctrlPr>
                      <w:rPr>
                        <w:rFonts w:ascii="Cambria Math" w:hAnsi="Cambria Math"/>
                        <w:i/>
                        <w:sz w:val="24"/>
                      </w:rPr>
                    </m:ctrlPr>
                  </m:sSubPr>
                  <m:e>
                    <m:r>
                      <w:rPr>
                        <w:rFonts w:ascii="Cambria Math" w:hAnsi="Cambria Math"/>
                        <w:sz w:val="24"/>
                      </w:rPr>
                      <m:t>C</m:t>
                    </m:r>
                  </m:e>
                  <m:sub>
                    <m:r>
                      <w:rPr>
                        <w:rFonts w:ascii="Cambria Math" w:hAnsi="Cambria Math"/>
                        <w:sz w:val="24"/>
                      </w:rPr>
                      <m:t>p</m:t>
                    </m:r>
                  </m:sub>
                </m:sSub>
              </m:oMath>
            </m:oMathPara>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7D56D28C" w14:textId="77777777" w:rsidR="00A438D1" w:rsidRDefault="00A438D1" w:rsidP="00A438D1">
            <w:pPr>
              <w:jc w:val="center"/>
              <w:rPr>
                <w:rFonts w:cs="Arial"/>
              </w:rPr>
            </w:pPr>
            <w:r w:rsidRPr="0057166C">
              <w:rPr>
                <w:rFonts w:cs="Arial"/>
              </w:rPr>
              <w:t>Specific Heat of Water (C</w:t>
            </w:r>
            <w:r w:rsidRPr="00004618">
              <w:rPr>
                <w:rFonts w:cs="Arial"/>
                <w:vertAlign w:val="subscript"/>
              </w:rPr>
              <w:t>p</w:t>
            </w:r>
            <w:r w:rsidRPr="0057166C">
              <w:rPr>
                <w:rFonts w:cs="Arial"/>
              </w:rPr>
              <w:t>)</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7D56D28D" w14:textId="77777777" w:rsidR="00A438D1" w:rsidRDefault="00A438D1" w:rsidP="00A438D1">
            <w:pPr>
              <w:jc w:val="center"/>
              <w:rPr>
                <w:rFonts w:cs="Arial"/>
              </w:rPr>
            </w:pPr>
            <w:r>
              <w:rPr>
                <w:rFonts w:cs="Arial"/>
              </w:rPr>
              <w:t>1.0</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7D56D28E" w14:textId="77777777" w:rsidR="00A438D1" w:rsidRDefault="00A438D1" w:rsidP="00A438D1">
            <w:pPr>
              <w:jc w:val="center"/>
              <w:rPr>
                <w:rFonts w:cs="Arial"/>
              </w:rPr>
            </w:pPr>
            <w:r>
              <w:rPr>
                <w:rFonts w:cs="Arial"/>
              </w:rPr>
              <w:t>BTU/lb°</w:t>
            </w:r>
            <w:r w:rsidRPr="0057166C">
              <w:rPr>
                <w:rFonts w:cs="Arial"/>
              </w:rPr>
              <w:t>F</w:t>
            </w:r>
          </w:p>
        </w:tc>
      </w:tr>
      <w:tr w:rsidR="00A438D1" w14:paraId="7D56D294" w14:textId="77777777" w:rsidTr="00434C3D">
        <w:trPr>
          <w:trHeight w:val="614"/>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D56D290" w14:textId="77777777" w:rsidR="00A438D1" w:rsidRDefault="00A438D1" w:rsidP="00A438D1">
            <w:pPr>
              <w:jc w:val="center"/>
              <w:rPr>
                <w:rFonts w:cs="Arial"/>
              </w:rPr>
            </w:pPr>
            <w:r>
              <w:rPr>
                <w:rFonts w:cs="Arial"/>
              </w:rPr>
              <w:t>RE</w:t>
            </w:r>
            <w:r>
              <w:rPr>
                <w:rFonts w:cs="Arial"/>
                <w:vertAlign w:val="subscript"/>
              </w:rPr>
              <w:t xml:space="preserve">res,gas </w:t>
            </w:r>
          </w:p>
        </w:tc>
        <w:tc>
          <w:tcPr>
            <w:tcW w:w="4694" w:type="dxa"/>
            <w:tcBorders>
              <w:top w:val="single" w:sz="6" w:space="0" w:color="auto"/>
              <w:left w:val="single" w:sz="6" w:space="0" w:color="auto"/>
              <w:bottom w:val="single" w:sz="6" w:space="0" w:color="auto"/>
              <w:right w:val="single" w:sz="6" w:space="0" w:color="auto"/>
            </w:tcBorders>
            <w:shd w:val="clear" w:color="auto" w:fill="auto"/>
            <w:vAlign w:val="center"/>
          </w:tcPr>
          <w:p w14:paraId="7D56D291" w14:textId="77777777" w:rsidR="00A438D1" w:rsidRDefault="00A438D1" w:rsidP="00A438D1">
            <w:pPr>
              <w:jc w:val="center"/>
              <w:rPr>
                <w:rFonts w:cs="Arial"/>
              </w:rPr>
            </w:pPr>
            <w:r>
              <w:rPr>
                <w:rFonts w:cs="Arial"/>
              </w:rPr>
              <w:t>Recovery Efficiency (</w:t>
            </w:r>
            <w:r w:rsidRPr="00282F5E">
              <w:rPr>
                <w:rFonts w:cs="Arial"/>
                <w:i/>
              </w:rPr>
              <w:t>Title 20 gas-fired water heaters</w:t>
            </w:r>
            <w:r>
              <w:rPr>
                <w:rFonts w:cs="Arial"/>
              </w:rPr>
              <w:t>)</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7D56D292" w14:textId="77777777" w:rsidR="00A438D1" w:rsidRPr="00780D8A" w:rsidRDefault="00A438D1" w:rsidP="00A438D1">
            <w:pPr>
              <w:jc w:val="center"/>
              <w:rPr>
                <w:rFonts w:cs="Arial"/>
              </w:rPr>
            </w:pPr>
            <w:r w:rsidRPr="00780D8A">
              <w:rPr>
                <w:rFonts w:cs="Arial"/>
              </w:rPr>
              <w:t>0.</w:t>
            </w:r>
            <w:r>
              <w:rPr>
                <w:rFonts w:cs="Arial"/>
              </w:rPr>
              <w:t>78</w:t>
            </w:r>
          </w:p>
        </w:tc>
        <w:tc>
          <w:tcPr>
            <w:tcW w:w="2283" w:type="dxa"/>
            <w:tcBorders>
              <w:top w:val="single" w:sz="6" w:space="0" w:color="auto"/>
              <w:left w:val="single" w:sz="6" w:space="0" w:color="auto"/>
              <w:bottom w:val="single" w:sz="6" w:space="0" w:color="auto"/>
              <w:right w:val="single" w:sz="18" w:space="0" w:color="auto"/>
            </w:tcBorders>
            <w:shd w:val="clear" w:color="auto" w:fill="auto"/>
            <w:vAlign w:val="center"/>
          </w:tcPr>
          <w:p w14:paraId="7D56D293" w14:textId="77777777" w:rsidR="00A438D1" w:rsidRDefault="00A438D1" w:rsidP="00A438D1">
            <w:pPr>
              <w:jc w:val="center"/>
              <w:rPr>
                <w:rFonts w:cs="Arial"/>
              </w:rPr>
            </w:pPr>
            <w:r>
              <w:rPr>
                <w:rFonts w:cs="Arial"/>
              </w:rPr>
              <w:t>unitless (heat out / heat in)</w:t>
            </w:r>
          </w:p>
        </w:tc>
      </w:tr>
      <w:tr w:rsidR="00A438D1" w14:paraId="7D56D299" w14:textId="77777777" w:rsidTr="00F40609">
        <w:trPr>
          <w:trHeight w:val="522"/>
        </w:trPr>
        <w:tc>
          <w:tcPr>
            <w:tcW w:w="1858" w:type="dxa"/>
            <w:tcBorders>
              <w:top w:val="single" w:sz="6" w:space="0" w:color="auto"/>
              <w:left w:val="single" w:sz="18" w:space="0" w:color="auto"/>
              <w:bottom w:val="single" w:sz="18" w:space="0" w:color="auto"/>
              <w:right w:val="single" w:sz="6" w:space="0" w:color="auto"/>
            </w:tcBorders>
            <w:shd w:val="clear" w:color="auto" w:fill="auto"/>
            <w:vAlign w:val="center"/>
          </w:tcPr>
          <w:p w14:paraId="7D56D295" w14:textId="77777777" w:rsidR="00A438D1" w:rsidRDefault="00A438D1" w:rsidP="00A438D1">
            <w:pPr>
              <w:jc w:val="center"/>
              <w:rPr>
                <w:rFonts w:cs="Arial"/>
              </w:rPr>
            </w:pPr>
            <w:r>
              <w:rPr>
                <w:rFonts w:cs="Arial"/>
              </w:rPr>
              <w:t>TH</w:t>
            </w:r>
            <w:r>
              <w:rPr>
                <w:rFonts w:cs="Arial"/>
                <w:vertAlign w:val="subscript"/>
              </w:rPr>
              <w:t xml:space="preserve">gas gal </w:t>
            </w:r>
          </w:p>
        </w:tc>
        <w:tc>
          <w:tcPr>
            <w:tcW w:w="4694" w:type="dxa"/>
            <w:tcBorders>
              <w:top w:val="single" w:sz="6" w:space="0" w:color="auto"/>
              <w:left w:val="single" w:sz="6" w:space="0" w:color="auto"/>
              <w:bottom w:val="single" w:sz="18" w:space="0" w:color="auto"/>
              <w:right w:val="single" w:sz="6" w:space="0" w:color="auto"/>
            </w:tcBorders>
            <w:shd w:val="clear" w:color="auto" w:fill="auto"/>
            <w:vAlign w:val="center"/>
          </w:tcPr>
          <w:p w14:paraId="7D56D296" w14:textId="77777777" w:rsidR="00A438D1" w:rsidRDefault="00A438D1" w:rsidP="00A438D1">
            <w:pPr>
              <w:jc w:val="center"/>
              <w:rPr>
                <w:rFonts w:cs="Arial"/>
              </w:rPr>
            </w:pPr>
            <w:r>
              <w:rPr>
                <w:rFonts w:cs="Arial"/>
              </w:rPr>
              <w:t>Base Case</w:t>
            </w:r>
            <w:r w:rsidRPr="00EB16C3">
              <w:rPr>
                <w:rFonts w:cs="Arial"/>
              </w:rPr>
              <w:t xml:space="preserve"> Therms/Gallon Consumed</w:t>
            </w:r>
          </w:p>
        </w:tc>
        <w:tc>
          <w:tcPr>
            <w:tcW w:w="951" w:type="dxa"/>
            <w:tcBorders>
              <w:top w:val="single" w:sz="6" w:space="0" w:color="auto"/>
              <w:left w:val="single" w:sz="6" w:space="0" w:color="auto"/>
              <w:bottom w:val="single" w:sz="18" w:space="0" w:color="auto"/>
              <w:right w:val="single" w:sz="6" w:space="0" w:color="auto"/>
            </w:tcBorders>
            <w:shd w:val="clear" w:color="auto" w:fill="auto"/>
            <w:vAlign w:val="center"/>
          </w:tcPr>
          <w:p w14:paraId="7D56D297" w14:textId="77777777" w:rsidR="00A438D1" w:rsidRPr="00780D8A" w:rsidRDefault="00A438D1" w:rsidP="00A438D1">
            <w:pPr>
              <w:jc w:val="center"/>
              <w:rPr>
                <w:rFonts w:cs="Arial"/>
              </w:rPr>
            </w:pPr>
            <w:r w:rsidRPr="00780D8A">
              <w:rPr>
                <w:rFonts w:cs="Arial"/>
              </w:rPr>
              <w:t>0.</w:t>
            </w:r>
            <w:r>
              <w:rPr>
                <w:rFonts w:cs="Arial"/>
              </w:rPr>
              <w:t>00435</w:t>
            </w:r>
          </w:p>
        </w:tc>
        <w:tc>
          <w:tcPr>
            <w:tcW w:w="2283" w:type="dxa"/>
            <w:tcBorders>
              <w:top w:val="single" w:sz="6" w:space="0" w:color="auto"/>
              <w:left w:val="single" w:sz="6" w:space="0" w:color="auto"/>
              <w:bottom w:val="single" w:sz="18" w:space="0" w:color="auto"/>
              <w:right w:val="single" w:sz="18" w:space="0" w:color="auto"/>
            </w:tcBorders>
            <w:shd w:val="clear" w:color="auto" w:fill="auto"/>
            <w:vAlign w:val="center"/>
          </w:tcPr>
          <w:p w14:paraId="7D56D298" w14:textId="77777777" w:rsidR="00A438D1" w:rsidRDefault="00A438D1" w:rsidP="00A438D1">
            <w:pPr>
              <w:jc w:val="center"/>
              <w:rPr>
                <w:rFonts w:cs="Arial"/>
              </w:rPr>
            </w:pPr>
            <w:r>
              <w:rPr>
                <w:rFonts w:cs="Arial"/>
              </w:rPr>
              <w:t>Therm/Gallon</w:t>
            </w:r>
          </w:p>
        </w:tc>
      </w:tr>
    </w:tbl>
    <w:p w14:paraId="7D56D29A" w14:textId="77777777" w:rsidR="008000F7" w:rsidRDefault="008000F7" w:rsidP="00F40609">
      <w:pPr>
        <w:pStyle w:val="Table"/>
        <w:numPr>
          <w:ilvl w:val="0"/>
          <w:numId w:val="0"/>
        </w:numPr>
        <w:rPr>
          <w:sz w:val="24"/>
        </w:rPr>
      </w:pPr>
    </w:p>
    <w:p w14:paraId="7D56D29B" w14:textId="55E48FCE" w:rsidR="008C133A" w:rsidRPr="00FF6FAA" w:rsidRDefault="000149A3" w:rsidP="00F40609">
      <w:pPr>
        <w:pStyle w:val="Table"/>
        <w:numPr>
          <w:ilvl w:val="0"/>
          <w:numId w:val="0"/>
        </w:numPr>
        <w:rPr>
          <w:rFonts w:asciiTheme="minorHAnsi" w:eastAsia="Times New Roman" w:hAnsiTheme="minorHAnsi"/>
          <w:b w:val="0"/>
          <w:szCs w:val="24"/>
        </w:rPr>
      </w:pPr>
      <w:r>
        <w:rPr>
          <w:rFonts w:asciiTheme="minorHAnsi" w:eastAsia="Times New Roman" w:hAnsiTheme="minorHAnsi"/>
          <w:b w:val="0"/>
          <w:szCs w:val="24"/>
        </w:rPr>
        <w:lastRenderedPageBreak/>
        <w:t>Tables 11</w:t>
      </w:r>
      <w:r w:rsidR="00B702D6">
        <w:rPr>
          <w:rFonts w:asciiTheme="minorHAnsi" w:eastAsia="Times New Roman" w:hAnsiTheme="minorHAnsi"/>
          <w:b w:val="0"/>
          <w:szCs w:val="24"/>
        </w:rPr>
        <w:t xml:space="preserve"> and 1</w:t>
      </w:r>
      <w:r>
        <w:rPr>
          <w:rFonts w:asciiTheme="minorHAnsi" w:eastAsia="Times New Roman" w:hAnsiTheme="minorHAnsi"/>
          <w:b w:val="0"/>
          <w:szCs w:val="24"/>
        </w:rPr>
        <w:t>2</w:t>
      </w:r>
      <w:r w:rsidR="008C133A" w:rsidRPr="00FF6FAA">
        <w:rPr>
          <w:rFonts w:asciiTheme="minorHAnsi" w:eastAsia="Times New Roman" w:hAnsiTheme="minorHAnsi"/>
          <w:b w:val="0"/>
          <w:szCs w:val="24"/>
        </w:rPr>
        <w:t>, below, define the water and energy variables stated in the calculation formulas for Hotels and Schools.</w:t>
      </w:r>
    </w:p>
    <w:p w14:paraId="7D56D29C" w14:textId="19FC1EE1" w:rsidR="008000F7" w:rsidRDefault="00F66806" w:rsidP="00F66806">
      <w:pPr>
        <w:pStyle w:val="Caption"/>
      </w:pPr>
      <w:bookmarkStart w:id="46" w:name="_Toc442688315"/>
      <w:bookmarkStart w:id="47" w:name="_Toc501451180"/>
      <w:r>
        <w:t>Table</w:t>
      </w:r>
      <w:r w:rsidR="000149A3">
        <w:t xml:space="preserve"> 11</w:t>
      </w:r>
      <w:r>
        <w:t xml:space="preserve">: </w:t>
      </w:r>
      <w:r w:rsidR="008000F7">
        <w:t>Data and Assumptions</w:t>
      </w:r>
      <w:bookmarkEnd w:id="46"/>
      <w:r w:rsidR="00EB16C3">
        <w:t xml:space="preserve"> for </w:t>
      </w:r>
      <w:r w:rsidR="00D10BA0">
        <w:t>Lodging</w:t>
      </w:r>
      <w:bookmarkEnd w:id="47"/>
    </w:p>
    <w:tbl>
      <w:tblPr>
        <w:tblpPr w:leftFromText="180" w:rightFromText="180" w:vertAnchor="text" w:horzAnchor="margin" w:tblpY="108"/>
        <w:tblW w:w="9786" w:type="dxa"/>
        <w:tblLook w:val="0000" w:firstRow="0" w:lastRow="0" w:firstColumn="0" w:lastColumn="0" w:noHBand="0" w:noVBand="0"/>
      </w:tblPr>
      <w:tblGrid>
        <w:gridCol w:w="1858"/>
        <w:gridCol w:w="4478"/>
        <w:gridCol w:w="1218"/>
        <w:gridCol w:w="2232"/>
      </w:tblGrid>
      <w:tr w:rsidR="008000F7" w14:paraId="7D56D2A1" w14:textId="77777777" w:rsidTr="0023327C">
        <w:trPr>
          <w:trHeight w:val="442"/>
        </w:trPr>
        <w:tc>
          <w:tcPr>
            <w:tcW w:w="1858" w:type="dxa"/>
            <w:tcBorders>
              <w:top w:val="single" w:sz="18" w:space="0" w:color="auto"/>
              <w:left w:val="single" w:sz="18" w:space="0" w:color="auto"/>
              <w:bottom w:val="single" w:sz="18" w:space="0" w:color="auto"/>
              <w:right w:val="single" w:sz="6" w:space="0" w:color="auto"/>
            </w:tcBorders>
            <w:shd w:val="clear" w:color="auto" w:fill="auto"/>
            <w:vAlign w:val="center"/>
          </w:tcPr>
          <w:p w14:paraId="7D56D29D" w14:textId="77777777" w:rsidR="008000F7" w:rsidRDefault="008000F7" w:rsidP="008000F7">
            <w:pPr>
              <w:jc w:val="center"/>
              <w:rPr>
                <w:rFonts w:cs="Arial"/>
                <w:b/>
                <w:bCs/>
              </w:rPr>
            </w:pPr>
            <w:r>
              <w:rPr>
                <w:rFonts w:cs="Arial"/>
                <w:b/>
                <w:bCs/>
              </w:rPr>
              <w:t>Constant</w:t>
            </w:r>
          </w:p>
        </w:tc>
        <w:tc>
          <w:tcPr>
            <w:tcW w:w="4566" w:type="dxa"/>
            <w:tcBorders>
              <w:top w:val="single" w:sz="18" w:space="0" w:color="auto"/>
              <w:left w:val="single" w:sz="6" w:space="0" w:color="auto"/>
              <w:bottom w:val="single" w:sz="18" w:space="0" w:color="auto"/>
              <w:right w:val="single" w:sz="6" w:space="0" w:color="auto"/>
            </w:tcBorders>
            <w:shd w:val="clear" w:color="auto" w:fill="auto"/>
            <w:vAlign w:val="center"/>
          </w:tcPr>
          <w:p w14:paraId="7D56D29E" w14:textId="77777777" w:rsidR="008000F7" w:rsidRDefault="008000F7" w:rsidP="008000F7">
            <w:pPr>
              <w:jc w:val="center"/>
              <w:rPr>
                <w:rFonts w:cs="Arial"/>
                <w:b/>
                <w:bCs/>
              </w:rPr>
            </w:pPr>
            <w:r>
              <w:rPr>
                <w:rFonts w:cs="Arial"/>
                <w:b/>
                <w:bCs/>
              </w:rPr>
              <w:t>Description</w:t>
            </w:r>
          </w:p>
        </w:tc>
        <w:tc>
          <w:tcPr>
            <w:tcW w:w="1109" w:type="dxa"/>
            <w:tcBorders>
              <w:top w:val="single" w:sz="18" w:space="0" w:color="auto"/>
              <w:left w:val="single" w:sz="6" w:space="0" w:color="auto"/>
              <w:bottom w:val="single" w:sz="18" w:space="0" w:color="auto"/>
              <w:right w:val="single" w:sz="6" w:space="0" w:color="auto"/>
            </w:tcBorders>
            <w:shd w:val="clear" w:color="auto" w:fill="auto"/>
            <w:vAlign w:val="center"/>
          </w:tcPr>
          <w:p w14:paraId="7D56D29F" w14:textId="77777777" w:rsidR="008000F7" w:rsidRDefault="008000F7" w:rsidP="008000F7">
            <w:pPr>
              <w:jc w:val="center"/>
              <w:rPr>
                <w:rFonts w:cs="Arial"/>
                <w:b/>
                <w:bCs/>
              </w:rPr>
            </w:pPr>
            <w:r>
              <w:rPr>
                <w:rFonts w:cs="Arial"/>
                <w:b/>
                <w:bCs/>
              </w:rPr>
              <w:t>Value</w:t>
            </w:r>
          </w:p>
        </w:tc>
        <w:tc>
          <w:tcPr>
            <w:tcW w:w="2253" w:type="dxa"/>
            <w:tcBorders>
              <w:top w:val="single" w:sz="18" w:space="0" w:color="auto"/>
              <w:left w:val="single" w:sz="6" w:space="0" w:color="auto"/>
              <w:bottom w:val="single" w:sz="18" w:space="0" w:color="auto"/>
              <w:right w:val="single" w:sz="18" w:space="0" w:color="auto"/>
            </w:tcBorders>
            <w:shd w:val="clear" w:color="auto" w:fill="auto"/>
            <w:vAlign w:val="center"/>
          </w:tcPr>
          <w:p w14:paraId="7D56D2A0" w14:textId="77777777" w:rsidR="008000F7" w:rsidRDefault="008000F7" w:rsidP="008000F7">
            <w:pPr>
              <w:jc w:val="center"/>
              <w:rPr>
                <w:rFonts w:cs="Arial"/>
                <w:b/>
                <w:bCs/>
              </w:rPr>
            </w:pPr>
            <w:r>
              <w:rPr>
                <w:rFonts w:cs="Arial"/>
                <w:b/>
                <w:bCs/>
              </w:rPr>
              <w:t>Units</w:t>
            </w:r>
          </w:p>
        </w:tc>
      </w:tr>
      <w:tr w:rsidR="008000F7" w14:paraId="7D56D2A6" w14:textId="77777777" w:rsidTr="0023327C">
        <w:trPr>
          <w:trHeight w:val="516"/>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D56D2A2" w14:textId="77777777" w:rsidR="008000F7" w:rsidRPr="00780D8A" w:rsidRDefault="00482AF4" w:rsidP="008000F7">
            <w:pPr>
              <w:jc w:val="center"/>
              <w:rPr>
                <w:rFonts w:cs="Arial"/>
              </w:rPr>
            </w:pPr>
            <w:r>
              <w:rPr>
                <w:rFonts w:cs="Arial"/>
              </w:rPr>
              <w:t>OccRate</w:t>
            </w:r>
            <w:r w:rsidRPr="00482AF4">
              <w:rPr>
                <w:rFonts w:cs="Arial"/>
                <w:vertAlign w:val="subscript"/>
              </w:rPr>
              <w:t>Regional</w:t>
            </w:r>
          </w:p>
        </w:tc>
        <w:tc>
          <w:tcPr>
            <w:tcW w:w="4566" w:type="dxa"/>
            <w:tcBorders>
              <w:top w:val="single" w:sz="6" w:space="0" w:color="auto"/>
              <w:left w:val="single" w:sz="6" w:space="0" w:color="auto"/>
              <w:bottom w:val="single" w:sz="6" w:space="0" w:color="auto"/>
              <w:right w:val="single" w:sz="6" w:space="0" w:color="auto"/>
            </w:tcBorders>
            <w:shd w:val="clear" w:color="auto" w:fill="auto"/>
            <w:vAlign w:val="center"/>
          </w:tcPr>
          <w:p w14:paraId="7D56D2A3" w14:textId="77777777" w:rsidR="008000F7" w:rsidRPr="00780D8A" w:rsidRDefault="00482AF4" w:rsidP="008000F7">
            <w:pPr>
              <w:jc w:val="center"/>
              <w:rPr>
                <w:rFonts w:cs="Arial"/>
              </w:rPr>
            </w:pPr>
            <w:r w:rsidRPr="00482AF4">
              <w:rPr>
                <w:rFonts w:cs="Arial"/>
              </w:rPr>
              <w:t xml:space="preserve">Regional </w:t>
            </w:r>
            <w:r w:rsidR="00D10BA0">
              <w:rPr>
                <w:rFonts w:cs="Arial"/>
              </w:rPr>
              <w:t>Lodging</w:t>
            </w:r>
            <w:r w:rsidRPr="00482AF4">
              <w:rPr>
                <w:rFonts w:cs="Arial"/>
              </w:rPr>
              <w:t xml:space="preserve"> Occupancy </w:t>
            </w:r>
            <w:r w:rsidRPr="0039659E">
              <w:rPr>
                <w:rFonts w:cs="Arial"/>
              </w:rPr>
              <w:t>Rate</w:t>
            </w:r>
            <w:bookmarkStart w:id="48" w:name="_Ref501613529"/>
            <w:r w:rsidR="00FA14C1" w:rsidRPr="0039659E">
              <w:rPr>
                <w:rStyle w:val="EndnoteReference"/>
                <w:rFonts w:cs="Arial"/>
              </w:rPr>
              <w:endnoteReference w:id="1"/>
            </w:r>
            <w:bookmarkEnd w:id="48"/>
            <w:r w:rsidR="00FA14C1" w:rsidRPr="0039659E">
              <w:rPr>
                <w:rFonts w:cs="Arial"/>
              </w:rPr>
              <w:t>,</w:t>
            </w:r>
            <w:r w:rsidR="00FA14C1">
              <w:rPr>
                <w:rFonts w:cs="Arial"/>
              </w:rPr>
              <w:t xml:space="preserve"> </w:t>
            </w:r>
            <w:r w:rsidR="00FA14C1">
              <w:t xml:space="preserve"> </w:t>
            </w:r>
            <w:r w:rsidR="00FA14C1" w:rsidRPr="00FA14C1">
              <w:rPr>
                <w:rFonts w:cs="Arial"/>
                <w:i/>
              </w:rPr>
              <w:t>Southern California Lodging Forecast</w:t>
            </w:r>
          </w:p>
        </w:tc>
        <w:tc>
          <w:tcPr>
            <w:tcW w:w="1109" w:type="dxa"/>
            <w:tcBorders>
              <w:top w:val="single" w:sz="6" w:space="0" w:color="auto"/>
              <w:left w:val="single" w:sz="6" w:space="0" w:color="auto"/>
              <w:bottom w:val="single" w:sz="6" w:space="0" w:color="auto"/>
              <w:right w:val="single" w:sz="6" w:space="0" w:color="auto"/>
            </w:tcBorders>
            <w:shd w:val="clear" w:color="auto" w:fill="auto"/>
            <w:vAlign w:val="center"/>
          </w:tcPr>
          <w:p w14:paraId="7D56D2A4" w14:textId="3C91241B" w:rsidR="008000F7" w:rsidRDefault="00D37FCC" w:rsidP="008000F7">
            <w:pPr>
              <w:jc w:val="center"/>
              <w:rPr>
                <w:rFonts w:cs="Arial"/>
              </w:rPr>
            </w:pPr>
            <w:r>
              <w:rPr>
                <w:rFonts w:cs="Arial"/>
              </w:rPr>
              <w:t>73.2</w:t>
            </w:r>
            <w:r w:rsidR="00482AF4">
              <w:rPr>
                <w:rFonts w:cs="Arial"/>
              </w:rPr>
              <w:t>%</w:t>
            </w:r>
          </w:p>
        </w:tc>
        <w:tc>
          <w:tcPr>
            <w:tcW w:w="2253" w:type="dxa"/>
            <w:tcBorders>
              <w:top w:val="single" w:sz="6" w:space="0" w:color="auto"/>
              <w:left w:val="single" w:sz="6" w:space="0" w:color="auto"/>
              <w:bottom w:val="single" w:sz="6" w:space="0" w:color="auto"/>
              <w:right w:val="single" w:sz="18" w:space="0" w:color="auto"/>
            </w:tcBorders>
            <w:shd w:val="clear" w:color="auto" w:fill="auto"/>
            <w:vAlign w:val="center"/>
          </w:tcPr>
          <w:p w14:paraId="7D56D2A5" w14:textId="77777777" w:rsidR="008000F7" w:rsidRPr="00780D8A" w:rsidRDefault="008000F7" w:rsidP="008000F7">
            <w:pPr>
              <w:jc w:val="center"/>
              <w:rPr>
                <w:rFonts w:cs="Arial"/>
              </w:rPr>
            </w:pPr>
            <w:r>
              <w:rPr>
                <w:rFonts w:cs="Arial"/>
              </w:rPr>
              <w:t>unitless</w:t>
            </w:r>
          </w:p>
        </w:tc>
      </w:tr>
      <w:tr w:rsidR="008000F7" w14:paraId="7D56D2AB" w14:textId="77777777" w:rsidTr="0023327C">
        <w:trPr>
          <w:trHeight w:val="516"/>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D56D2A7" w14:textId="77777777" w:rsidR="008000F7" w:rsidRDefault="009C0B71" w:rsidP="008000F7">
            <w:pPr>
              <w:jc w:val="center"/>
              <w:rPr>
                <w:rFonts w:cs="Arial"/>
              </w:rPr>
            </w:pPr>
            <w:r>
              <w:rPr>
                <w:rFonts w:cs="Arial"/>
              </w:rPr>
              <w:t>OccPerRoom</w:t>
            </w:r>
            <w:r w:rsidRPr="009C0B71">
              <w:rPr>
                <w:rFonts w:cs="Arial"/>
                <w:vertAlign w:val="subscript"/>
              </w:rPr>
              <w:t>National</w:t>
            </w:r>
          </w:p>
        </w:tc>
        <w:tc>
          <w:tcPr>
            <w:tcW w:w="4566" w:type="dxa"/>
            <w:tcBorders>
              <w:top w:val="single" w:sz="6" w:space="0" w:color="auto"/>
              <w:left w:val="single" w:sz="6" w:space="0" w:color="auto"/>
              <w:bottom w:val="single" w:sz="6" w:space="0" w:color="auto"/>
              <w:right w:val="single" w:sz="6" w:space="0" w:color="auto"/>
            </w:tcBorders>
            <w:shd w:val="clear" w:color="auto" w:fill="auto"/>
            <w:vAlign w:val="center"/>
          </w:tcPr>
          <w:p w14:paraId="7D56D2A8" w14:textId="77777777" w:rsidR="008000F7" w:rsidRPr="00780D8A" w:rsidRDefault="009C0B71" w:rsidP="008000F7">
            <w:pPr>
              <w:jc w:val="center"/>
              <w:rPr>
                <w:rFonts w:cs="Arial"/>
              </w:rPr>
            </w:pPr>
            <w:r w:rsidRPr="009C0B71">
              <w:rPr>
                <w:rFonts w:cs="Arial"/>
              </w:rPr>
              <w:t xml:space="preserve">National </w:t>
            </w:r>
            <w:r w:rsidR="00D10BA0">
              <w:rPr>
                <w:rFonts w:cs="Arial"/>
              </w:rPr>
              <w:t>Lodging</w:t>
            </w:r>
            <w:r w:rsidRPr="009C0B71">
              <w:rPr>
                <w:rFonts w:cs="Arial"/>
              </w:rPr>
              <w:t xml:space="preserve"> Average Number of Guests per Room</w:t>
            </w:r>
          </w:p>
        </w:tc>
        <w:tc>
          <w:tcPr>
            <w:tcW w:w="1109" w:type="dxa"/>
            <w:tcBorders>
              <w:top w:val="single" w:sz="6" w:space="0" w:color="auto"/>
              <w:left w:val="single" w:sz="6" w:space="0" w:color="auto"/>
              <w:bottom w:val="single" w:sz="6" w:space="0" w:color="auto"/>
              <w:right w:val="single" w:sz="6" w:space="0" w:color="auto"/>
            </w:tcBorders>
            <w:shd w:val="clear" w:color="auto" w:fill="auto"/>
            <w:vAlign w:val="center"/>
          </w:tcPr>
          <w:p w14:paraId="7D56D2A9" w14:textId="77777777" w:rsidR="008000F7" w:rsidRDefault="009C0B71" w:rsidP="008000F7">
            <w:pPr>
              <w:jc w:val="center"/>
              <w:rPr>
                <w:rFonts w:cs="Arial"/>
              </w:rPr>
            </w:pPr>
            <w:r>
              <w:rPr>
                <w:rFonts w:cs="Arial"/>
              </w:rPr>
              <w:t>1.4</w:t>
            </w:r>
          </w:p>
        </w:tc>
        <w:tc>
          <w:tcPr>
            <w:tcW w:w="2253" w:type="dxa"/>
            <w:tcBorders>
              <w:top w:val="single" w:sz="6" w:space="0" w:color="auto"/>
              <w:left w:val="single" w:sz="6" w:space="0" w:color="auto"/>
              <w:bottom w:val="single" w:sz="6" w:space="0" w:color="auto"/>
              <w:right w:val="single" w:sz="18" w:space="0" w:color="auto"/>
            </w:tcBorders>
            <w:shd w:val="clear" w:color="auto" w:fill="auto"/>
            <w:vAlign w:val="center"/>
          </w:tcPr>
          <w:p w14:paraId="7D56D2AA" w14:textId="77777777" w:rsidR="008000F7" w:rsidRPr="00780D8A" w:rsidRDefault="008000F7" w:rsidP="008000F7">
            <w:pPr>
              <w:jc w:val="center"/>
              <w:rPr>
                <w:rFonts w:cs="Arial"/>
              </w:rPr>
            </w:pPr>
            <w:r>
              <w:rPr>
                <w:rFonts w:cs="Arial"/>
              </w:rPr>
              <w:t>unitless</w:t>
            </w:r>
          </w:p>
        </w:tc>
      </w:tr>
      <w:tr w:rsidR="008000F7" w14:paraId="7D56D2B0" w14:textId="77777777" w:rsidTr="0023327C">
        <w:trPr>
          <w:trHeight w:val="529"/>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D56D2AC" w14:textId="77777777" w:rsidR="008000F7" w:rsidRDefault="004D4E1A" w:rsidP="008000F7">
            <w:pPr>
              <w:jc w:val="center"/>
              <w:rPr>
                <w:rFonts w:cs="Arial"/>
              </w:rPr>
            </w:pPr>
            <w:r>
              <w:rPr>
                <w:rFonts w:cs="Arial"/>
              </w:rPr>
              <w:t>Days</w:t>
            </w:r>
          </w:p>
        </w:tc>
        <w:tc>
          <w:tcPr>
            <w:tcW w:w="4566" w:type="dxa"/>
            <w:tcBorders>
              <w:top w:val="single" w:sz="6" w:space="0" w:color="auto"/>
              <w:left w:val="single" w:sz="6" w:space="0" w:color="auto"/>
              <w:bottom w:val="single" w:sz="6" w:space="0" w:color="auto"/>
              <w:right w:val="single" w:sz="6" w:space="0" w:color="auto"/>
            </w:tcBorders>
            <w:shd w:val="clear" w:color="auto" w:fill="auto"/>
            <w:vAlign w:val="center"/>
          </w:tcPr>
          <w:p w14:paraId="7D56D2AD" w14:textId="77777777" w:rsidR="008000F7" w:rsidRDefault="00D10BA0" w:rsidP="009C0B71">
            <w:pPr>
              <w:jc w:val="center"/>
              <w:rPr>
                <w:rFonts w:cs="Arial"/>
              </w:rPr>
            </w:pPr>
            <w:r>
              <w:rPr>
                <w:rFonts w:cs="Arial"/>
              </w:rPr>
              <w:t>Lodging</w:t>
            </w:r>
            <w:r w:rsidR="009C0B71">
              <w:rPr>
                <w:rFonts w:cs="Arial"/>
              </w:rPr>
              <w:t xml:space="preserve"> </w:t>
            </w:r>
            <w:r w:rsidR="0014118A">
              <w:rPr>
                <w:rFonts w:cs="Arial"/>
              </w:rPr>
              <w:t xml:space="preserve">/Hospital </w:t>
            </w:r>
            <w:r w:rsidR="009C0B71">
              <w:rPr>
                <w:rFonts w:cs="Arial"/>
              </w:rPr>
              <w:t>o</w:t>
            </w:r>
            <w:r w:rsidR="009C0B71" w:rsidRPr="009C0B71">
              <w:rPr>
                <w:rFonts w:cs="Arial"/>
              </w:rPr>
              <w:t>perating days per year</w:t>
            </w:r>
          </w:p>
        </w:tc>
        <w:tc>
          <w:tcPr>
            <w:tcW w:w="1109" w:type="dxa"/>
            <w:tcBorders>
              <w:top w:val="single" w:sz="6" w:space="0" w:color="auto"/>
              <w:left w:val="single" w:sz="6" w:space="0" w:color="auto"/>
              <w:bottom w:val="single" w:sz="6" w:space="0" w:color="auto"/>
              <w:right w:val="single" w:sz="6" w:space="0" w:color="auto"/>
            </w:tcBorders>
            <w:shd w:val="clear" w:color="auto" w:fill="auto"/>
            <w:vAlign w:val="center"/>
          </w:tcPr>
          <w:p w14:paraId="7D56D2AE" w14:textId="77777777" w:rsidR="008000F7" w:rsidRDefault="00CB415E" w:rsidP="008503D1">
            <w:pPr>
              <w:jc w:val="center"/>
              <w:rPr>
                <w:rFonts w:cs="Arial"/>
              </w:rPr>
            </w:pPr>
            <w:r>
              <w:rPr>
                <w:rFonts w:cs="Arial"/>
              </w:rPr>
              <w:t>365</w:t>
            </w:r>
          </w:p>
        </w:tc>
        <w:tc>
          <w:tcPr>
            <w:tcW w:w="2253" w:type="dxa"/>
            <w:tcBorders>
              <w:top w:val="single" w:sz="6" w:space="0" w:color="auto"/>
              <w:left w:val="single" w:sz="6" w:space="0" w:color="auto"/>
              <w:bottom w:val="single" w:sz="6" w:space="0" w:color="auto"/>
              <w:right w:val="single" w:sz="18" w:space="0" w:color="auto"/>
            </w:tcBorders>
            <w:shd w:val="clear" w:color="auto" w:fill="auto"/>
            <w:vAlign w:val="center"/>
          </w:tcPr>
          <w:p w14:paraId="7D56D2AF" w14:textId="77777777" w:rsidR="008000F7" w:rsidRDefault="009C0B71" w:rsidP="008000F7">
            <w:pPr>
              <w:jc w:val="center"/>
              <w:rPr>
                <w:rFonts w:cs="Arial"/>
              </w:rPr>
            </w:pPr>
            <w:r>
              <w:rPr>
                <w:rFonts w:cs="Arial"/>
              </w:rPr>
              <w:t>days</w:t>
            </w:r>
          </w:p>
        </w:tc>
      </w:tr>
      <w:tr w:rsidR="00C0504C" w14:paraId="7D56D2B3" w14:textId="77777777" w:rsidTr="00C0504C">
        <w:trPr>
          <w:trHeight w:val="639"/>
        </w:trPr>
        <w:tc>
          <w:tcPr>
            <w:tcW w:w="9786" w:type="dxa"/>
            <w:gridSpan w:val="4"/>
            <w:tcBorders>
              <w:top w:val="single" w:sz="6" w:space="0" w:color="auto"/>
              <w:left w:val="single" w:sz="18" w:space="0" w:color="auto"/>
              <w:bottom w:val="single" w:sz="6" w:space="0" w:color="auto"/>
              <w:right w:val="single" w:sz="18" w:space="0" w:color="auto"/>
            </w:tcBorders>
            <w:shd w:val="clear" w:color="auto" w:fill="auto"/>
            <w:vAlign w:val="center"/>
          </w:tcPr>
          <w:p w14:paraId="7D56D2B1" w14:textId="77777777" w:rsidR="00C0504C" w:rsidRPr="00F77944" w:rsidRDefault="00C0504C" w:rsidP="008000F7">
            <w:pPr>
              <w:jc w:val="center"/>
              <w:rPr>
                <w:b/>
              </w:rPr>
            </w:pPr>
            <w:r w:rsidRPr="00F77944">
              <w:rPr>
                <w:b/>
              </w:rPr>
              <w:t>Case 1, Source used:</w:t>
            </w:r>
          </w:p>
          <w:p w14:paraId="7D56D2B2" w14:textId="77777777" w:rsidR="00C0504C" w:rsidRPr="0023327C" w:rsidRDefault="00C0504C" w:rsidP="002F374F">
            <w:pPr>
              <w:jc w:val="center"/>
              <w:rPr>
                <w:rFonts w:cs="Arial"/>
                <w:b/>
                <w:highlight w:val="lightGray"/>
              </w:rPr>
            </w:pPr>
            <w:r w:rsidRPr="00F77944">
              <w:rPr>
                <w:rFonts w:cs="Arial"/>
                <w:b/>
              </w:rPr>
              <w:t>"Commercial and Institutional End Uses of Water".  For the American Water Works Association.  2000</w:t>
            </w:r>
            <w:bookmarkStart w:id="49" w:name="_Ref502146844"/>
            <w:r w:rsidR="00FA14C1" w:rsidRPr="00F77944">
              <w:rPr>
                <w:rStyle w:val="EndnoteReference"/>
                <w:rFonts w:cs="Arial"/>
                <w:b/>
              </w:rPr>
              <w:endnoteReference w:id="2"/>
            </w:r>
            <w:bookmarkEnd w:id="49"/>
            <w:r w:rsidRPr="00F77944">
              <w:rPr>
                <w:rFonts w:cs="Arial"/>
                <w:b/>
              </w:rPr>
              <w:t xml:space="preserve"> </w:t>
            </w:r>
          </w:p>
        </w:tc>
      </w:tr>
      <w:tr w:rsidR="00F1165B" w14:paraId="7D56D2B8" w14:textId="77777777" w:rsidTr="0023327C">
        <w:trPr>
          <w:trHeight w:val="639"/>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D56D2B4" w14:textId="77777777" w:rsidR="00F1165B" w:rsidRDefault="001A7F1C" w:rsidP="00391585">
            <w:pPr>
              <w:jc w:val="center"/>
            </w:pPr>
            <w:r>
              <w:rPr>
                <w:rFonts w:cs="Arial"/>
              </w:rPr>
              <w:t>V</w:t>
            </w:r>
            <w:r>
              <w:rPr>
                <w:rFonts w:cs="Arial"/>
                <w:vertAlign w:val="subscript"/>
              </w:rPr>
              <w:t>volume</w:t>
            </w:r>
          </w:p>
        </w:tc>
        <w:tc>
          <w:tcPr>
            <w:tcW w:w="4566" w:type="dxa"/>
            <w:tcBorders>
              <w:top w:val="single" w:sz="6" w:space="0" w:color="auto"/>
              <w:left w:val="single" w:sz="6" w:space="0" w:color="auto"/>
              <w:bottom w:val="single" w:sz="6" w:space="0" w:color="auto"/>
              <w:right w:val="single" w:sz="6" w:space="0" w:color="auto"/>
            </w:tcBorders>
            <w:shd w:val="clear" w:color="auto" w:fill="auto"/>
            <w:vAlign w:val="center"/>
          </w:tcPr>
          <w:p w14:paraId="7D56D2B5" w14:textId="77777777" w:rsidR="00F1165B" w:rsidRPr="006F2F81" w:rsidRDefault="00747FD7" w:rsidP="00E7021D">
            <w:pPr>
              <w:jc w:val="center"/>
              <w:rPr>
                <w:rFonts w:cs="Arial"/>
              </w:rPr>
            </w:pPr>
            <w:r w:rsidRPr="00747FD7">
              <w:rPr>
                <w:rFonts w:cs="Arial"/>
              </w:rPr>
              <w:t xml:space="preserve">Annual metered shower water consumption </w:t>
            </w:r>
            <w:r w:rsidRPr="00282F5E">
              <w:rPr>
                <w:rFonts w:cs="Arial"/>
                <w:i/>
              </w:rPr>
              <w:t>from five hotels (gallons)</w:t>
            </w:r>
          </w:p>
        </w:tc>
        <w:tc>
          <w:tcPr>
            <w:tcW w:w="1109" w:type="dxa"/>
            <w:tcBorders>
              <w:top w:val="single" w:sz="6" w:space="0" w:color="auto"/>
              <w:left w:val="single" w:sz="6" w:space="0" w:color="auto"/>
              <w:bottom w:val="single" w:sz="6" w:space="0" w:color="auto"/>
              <w:right w:val="single" w:sz="6" w:space="0" w:color="auto"/>
            </w:tcBorders>
            <w:shd w:val="clear" w:color="auto" w:fill="auto"/>
            <w:vAlign w:val="center"/>
          </w:tcPr>
          <w:p w14:paraId="7D56D2B6" w14:textId="23F8F1F0" w:rsidR="00F1165B" w:rsidRDefault="00E7021D" w:rsidP="008000F7">
            <w:pPr>
              <w:jc w:val="center"/>
              <w:rPr>
                <w:rFonts w:cs="Arial"/>
              </w:rPr>
            </w:pPr>
            <w:r>
              <w:rPr>
                <w:rFonts w:cs="Arial"/>
              </w:rPr>
              <w:t>11</w:t>
            </w:r>
            <w:r w:rsidR="00E64AD2">
              <w:rPr>
                <w:rFonts w:cs="Arial"/>
              </w:rPr>
              <w:t>,</w:t>
            </w:r>
            <w:r>
              <w:rPr>
                <w:rFonts w:cs="Arial"/>
              </w:rPr>
              <w:t>731</w:t>
            </w:r>
            <w:r w:rsidR="00E64AD2">
              <w:rPr>
                <w:rFonts w:cs="Arial"/>
              </w:rPr>
              <w:t>,</w:t>
            </w:r>
            <w:r>
              <w:rPr>
                <w:rFonts w:cs="Arial"/>
              </w:rPr>
              <w:t>000</w:t>
            </w:r>
          </w:p>
        </w:tc>
        <w:tc>
          <w:tcPr>
            <w:tcW w:w="2253" w:type="dxa"/>
            <w:tcBorders>
              <w:top w:val="single" w:sz="6" w:space="0" w:color="auto"/>
              <w:left w:val="single" w:sz="6" w:space="0" w:color="auto"/>
              <w:bottom w:val="single" w:sz="6" w:space="0" w:color="auto"/>
              <w:right w:val="single" w:sz="18" w:space="0" w:color="auto"/>
            </w:tcBorders>
            <w:shd w:val="clear" w:color="auto" w:fill="auto"/>
            <w:vAlign w:val="center"/>
          </w:tcPr>
          <w:p w14:paraId="7D56D2B7" w14:textId="77777777" w:rsidR="00F1165B" w:rsidRDefault="00463D86" w:rsidP="00747FD7">
            <w:pPr>
              <w:jc w:val="center"/>
              <w:rPr>
                <w:rFonts w:cs="Arial"/>
              </w:rPr>
            </w:pPr>
            <w:r>
              <w:rPr>
                <w:rFonts w:cs="Arial"/>
              </w:rPr>
              <w:t>Gal</w:t>
            </w:r>
            <w:r w:rsidR="00747FD7">
              <w:rPr>
                <w:rFonts w:cs="Arial"/>
              </w:rPr>
              <w:t xml:space="preserve">lons </w:t>
            </w:r>
            <w:r>
              <w:rPr>
                <w:rFonts w:cs="Arial"/>
              </w:rPr>
              <w:t>/yr</w:t>
            </w:r>
          </w:p>
        </w:tc>
      </w:tr>
      <w:tr w:rsidR="00876F4A" w14:paraId="7D56D2BD" w14:textId="77777777" w:rsidTr="00F40609">
        <w:trPr>
          <w:trHeight w:val="578"/>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D56D2B9" w14:textId="77777777" w:rsidR="00876F4A" w:rsidRDefault="00876F4A" w:rsidP="00747FD7">
            <w:pPr>
              <w:jc w:val="center"/>
              <w:rPr>
                <w:rFonts w:cs="Arial"/>
              </w:rPr>
            </w:pPr>
            <w:r w:rsidRPr="00876F4A">
              <w:rPr>
                <w:rFonts w:cs="Arial"/>
              </w:rPr>
              <w:t>N</w:t>
            </w:r>
            <w:r w:rsidRPr="00876F4A">
              <w:rPr>
                <w:rFonts w:cs="Arial"/>
                <w:vertAlign w:val="subscript"/>
              </w:rPr>
              <w:t>showers</w:t>
            </w:r>
          </w:p>
        </w:tc>
        <w:tc>
          <w:tcPr>
            <w:tcW w:w="4566" w:type="dxa"/>
            <w:tcBorders>
              <w:top w:val="single" w:sz="6" w:space="0" w:color="auto"/>
              <w:left w:val="single" w:sz="6" w:space="0" w:color="auto"/>
              <w:bottom w:val="single" w:sz="6" w:space="0" w:color="auto"/>
              <w:right w:val="single" w:sz="6" w:space="0" w:color="auto"/>
            </w:tcBorders>
            <w:shd w:val="clear" w:color="auto" w:fill="auto"/>
            <w:vAlign w:val="center"/>
          </w:tcPr>
          <w:p w14:paraId="7D56D2BA" w14:textId="77777777" w:rsidR="00876F4A" w:rsidRPr="00463D86" w:rsidRDefault="00876F4A" w:rsidP="00747FD7">
            <w:pPr>
              <w:jc w:val="center"/>
              <w:rPr>
                <w:rFonts w:cs="Arial"/>
              </w:rPr>
            </w:pPr>
            <w:r>
              <w:rPr>
                <w:rFonts w:cs="Arial"/>
              </w:rPr>
              <w:t>Total number of Showers</w:t>
            </w:r>
          </w:p>
        </w:tc>
        <w:tc>
          <w:tcPr>
            <w:tcW w:w="1109" w:type="dxa"/>
            <w:tcBorders>
              <w:top w:val="single" w:sz="6" w:space="0" w:color="auto"/>
              <w:left w:val="single" w:sz="6" w:space="0" w:color="auto"/>
              <w:bottom w:val="single" w:sz="6" w:space="0" w:color="auto"/>
              <w:right w:val="single" w:sz="6" w:space="0" w:color="auto"/>
            </w:tcBorders>
            <w:shd w:val="clear" w:color="auto" w:fill="auto"/>
            <w:vAlign w:val="center"/>
          </w:tcPr>
          <w:p w14:paraId="7D56D2BB" w14:textId="77777777" w:rsidR="00876F4A" w:rsidRDefault="00876F4A" w:rsidP="00747FD7">
            <w:pPr>
              <w:jc w:val="center"/>
              <w:rPr>
                <w:rFonts w:cs="Arial"/>
              </w:rPr>
            </w:pPr>
            <w:r>
              <w:rPr>
                <w:rFonts w:cs="Arial"/>
              </w:rPr>
              <w:t>961</w:t>
            </w:r>
          </w:p>
        </w:tc>
        <w:tc>
          <w:tcPr>
            <w:tcW w:w="2253" w:type="dxa"/>
            <w:tcBorders>
              <w:top w:val="single" w:sz="6" w:space="0" w:color="auto"/>
              <w:left w:val="single" w:sz="6" w:space="0" w:color="auto"/>
              <w:bottom w:val="single" w:sz="6" w:space="0" w:color="auto"/>
              <w:right w:val="single" w:sz="18" w:space="0" w:color="auto"/>
            </w:tcBorders>
            <w:shd w:val="clear" w:color="auto" w:fill="auto"/>
            <w:vAlign w:val="center"/>
          </w:tcPr>
          <w:p w14:paraId="7D56D2BC" w14:textId="77777777" w:rsidR="00876F4A" w:rsidRDefault="00876F4A" w:rsidP="00747FD7">
            <w:pPr>
              <w:jc w:val="center"/>
              <w:rPr>
                <w:rFonts w:cs="Arial"/>
              </w:rPr>
            </w:pPr>
            <w:r>
              <w:rPr>
                <w:rFonts w:cs="Arial"/>
              </w:rPr>
              <w:t>showers</w:t>
            </w:r>
          </w:p>
        </w:tc>
      </w:tr>
      <w:tr w:rsidR="00715795" w14:paraId="7D56D2C2" w14:textId="77777777" w:rsidTr="00F40609">
        <w:trPr>
          <w:trHeight w:val="524"/>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D56D2BE" w14:textId="77777777" w:rsidR="00715795" w:rsidRPr="00780D8A" w:rsidRDefault="00715795" w:rsidP="00715795">
            <w:pPr>
              <w:jc w:val="center"/>
              <w:rPr>
                <w:rFonts w:cs="Arial"/>
              </w:rPr>
            </w:pPr>
            <w:r>
              <w:rPr>
                <w:rFonts w:cs="Arial"/>
              </w:rPr>
              <w:t>OccRate</w:t>
            </w:r>
            <w:r w:rsidR="00610038" w:rsidRPr="00610038">
              <w:rPr>
                <w:rFonts w:cs="Arial"/>
                <w:vertAlign w:val="subscript"/>
              </w:rPr>
              <w:t>wtd</w:t>
            </w:r>
          </w:p>
        </w:tc>
        <w:tc>
          <w:tcPr>
            <w:tcW w:w="4566" w:type="dxa"/>
            <w:tcBorders>
              <w:top w:val="single" w:sz="6" w:space="0" w:color="auto"/>
              <w:left w:val="single" w:sz="6" w:space="0" w:color="auto"/>
              <w:bottom w:val="single" w:sz="6" w:space="0" w:color="auto"/>
              <w:right w:val="single" w:sz="6" w:space="0" w:color="auto"/>
            </w:tcBorders>
            <w:shd w:val="clear" w:color="auto" w:fill="auto"/>
            <w:vAlign w:val="center"/>
          </w:tcPr>
          <w:p w14:paraId="7D56D2BF" w14:textId="77777777" w:rsidR="00715795" w:rsidRDefault="00610038" w:rsidP="00715795">
            <w:pPr>
              <w:jc w:val="center"/>
              <w:rPr>
                <w:rFonts w:cs="Arial"/>
              </w:rPr>
            </w:pPr>
            <w:r>
              <w:rPr>
                <w:rFonts w:cs="Arial"/>
              </w:rPr>
              <w:t>W</w:t>
            </w:r>
            <w:r w:rsidRPr="00610038">
              <w:rPr>
                <w:rFonts w:cs="Arial"/>
              </w:rPr>
              <w:t xml:space="preserve">eighted </w:t>
            </w:r>
            <w:r w:rsidR="00715795" w:rsidRPr="00715795">
              <w:rPr>
                <w:rFonts w:cs="Arial"/>
              </w:rPr>
              <w:t>Occupancy rate during testing</w:t>
            </w:r>
          </w:p>
        </w:tc>
        <w:tc>
          <w:tcPr>
            <w:tcW w:w="1109" w:type="dxa"/>
            <w:tcBorders>
              <w:top w:val="single" w:sz="6" w:space="0" w:color="auto"/>
              <w:left w:val="single" w:sz="6" w:space="0" w:color="auto"/>
              <w:bottom w:val="single" w:sz="6" w:space="0" w:color="auto"/>
              <w:right w:val="single" w:sz="6" w:space="0" w:color="auto"/>
            </w:tcBorders>
            <w:shd w:val="clear" w:color="auto" w:fill="auto"/>
            <w:vAlign w:val="center"/>
          </w:tcPr>
          <w:p w14:paraId="7D56D2C0" w14:textId="77777777" w:rsidR="00715795" w:rsidRDefault="00715795" w:rsidP="00715795">
            <w:pPr>
              <w:jc w:val="center"/>
              <w:rPr>
                <w:rFonts w:cs="Arial"/>
              </w:rPr>
            </w:pPr>
            <w:r>
              <w:rPr>
                <w:rFonts w:cs="Arial"/>
              </w:rPr>
              <w:t>0.82</w:t>
            </w:r>
          </w:p>
        </w:tc>
        <w:tc>
          <w:tcPr>
            <w:tcW w:w="2253" w:type="dxa"/>
            <w:tcBorders>
              <w:top w:val="single" w:sz="6" w:space="0" w:color="auto"/>
              <w:left w:val="single" w:sz="6" w:space="0" w:color="auto"/>
              <w:bottom w:val="single" w:sz="6" w:space="0" w:color="auto"/>
              <w:right w:val="single" w:sz="18" w:space="0" w:color="auto"/>
            </w:tcBorders>
            <w:shd w:val="clear" w:color="auto" w:fill="auto"/>
            <w:vAlign w:val="center"/>
          </w:tcPr>
          <w:p w14:paraId="7D56D2C1" w14:textId="77777777" w:rsidR="00715795" w:rsidRDefault="00715795" w:rsidP="00715795">
            <w:pPr>
              <w:jc w:val="center"/>
              <w:rPr>
                <w:rFonts w:cs="Arial"/>
              </w:rPr>
            </w:pPr>
            <w:r w:rsidRPr="00715795">
              <w:rPr>
                <w:rFonts w:cs="Arial"/>
              </w:rPr>
              <w:t>unitless</w:t>
            </w:r>
          </w:p>
        </w:tc>
      </w:tr>
      <w:tr w:rsidR="00715795" w14:paraId="7D56D2C7" w14:textId="77777777" w:rsidTr="00F40609">
        <w:trPr>
          <w:trHeight w:val="533"/>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D56D2C3" w14:textId="77777777" w:rsidR="00715795" w:rsidRDefault="00715795" w:rsidP="00715795">
            <w:pPr>
              <w:jc w:val="center"/>
              <w:rPr>
                <w:rFonts w:cs="Arial"/>
              </w:rPr>
            </w:pPr>
            <w:r>
              <w:rPr>
                <w:rFonts w:cs="Arial"/>
              </w:rPr>
              <w:t>OccPerRoom</w:t>
            </w:r>
            <w:r w:rsidR="00610038" w:rsidRPr="00610038">
              <w:rPr>
                <w:rFonts w:cs="Arial"/>
                <w:vertAlign w:val="subscript"/>
              </w:rPr>
              <w:t>wtd</w:t>
            </w:r>
          </w:p>
        </w:tc>
        <w:tc>
          <w:tcPr>
            <w:tcW w:w="4566" w:type="dxa"/>
            <w:tcBorders>
              <w:top w:val="single" w:sz="6" w:space="0" w:color="auto"/>
              <w:left w:val="single" w:sz="6" w:space="0" w:color="auto"/>
              <w:bottom w:val="single" w:sz="6" w:space="0" w:color="auto"/>
              <w:right w:val="single" w:sz="6" w:space="0" w:color="auto"/>
            </w:tcBorders>
            <w:shd w:val="clear" w:color="auto" w:fill="auto"/>
            <w:vAlign w:val="center"/>
          </w:tcPr>
          <w:p w14:paraId="7D56D2C4" w14:textId="77777777" w:rsidR="00715795" w:rsidRDefault="00715795" w:rsidP="00715795">
            <w:pPr>
              <w:jc w:val="center"/>
              <w:rPr>
                <w:rFonts w:cs="Arial"/>
              </w:rPr>
            </w:pPr>
            <w:r>
              <w:rPr>
                <w:rFonts w:cs="Arial"/>
              </w:rPr>
              <w:t xml:space="preserve">Average </w:t>
            </w:r>
            <w:r w:rsidRPr="00715795">
              <w:rPr>
                <w:rFonts w:cs="Arial"/>
              </w:rPr>
              <w:t>Occupants Per Room</w:t>
            </w:r>
          </w:p>
        </w:tc>
        <w:tc>
          <w:tcPr>
            <w:tcW w:w="1109" w:type="dxa"/>
            <w:tcBorders>
              <w:top w:val="single" w:sz="6" w:space="0" w:color="auto"/>
              <w:left w:val="single" w:sz="6" w:space="0" w:color="auto"/>
              <w:bottom w:val="single" w:sz="6" w:space="0" w:color="auto"/>
              <w:right w:val="single" w:sz="6" w:space="0" w:color="auto"/>
            </w:tcBorders>
            <w:shd w:val="clear" w:color="auto" w:fill="auto"/>
            <w:vAlign w:val="center"/>
          </w:tcPr>
          <w:p w14:paraId="7D56D2C5" w14:textId="77777777" w:rsidR="00715795" w:rsidRDefault="00715795" w:rsidP="00715795">
            <w:pPr>
              <w:jc w:val="center"/>
              <w:rPr>
                <w:rFonts w:cs="Arial"/>
              </w:rPr>
            </w:pPr>
            <w:r>
              <w:rPr>
                <w:rFonts w:cs="Arial"/>
              </w:rPr>
              <w:t>1.87</w:t>
            </w:r>
          </w:p>
        </w:tc>
        <w:tc>
          <w:tcPr>
            <w:tcW w:w="2253" w:type="dxa"/>
            <w:tcBorders>
              <w:top w:val="single" w:sz="6" w:space="0" w:color="auto"/>
              <w:left w:val="single" w:sz="6" w:space="0" w:color="auto"/>
              <w:bottom w:val="single" w:sz="6" w:space="0" w:color="auto"/>
              <w:right w:val="single" w:sz="18" w:space="0" w:color="auto"/>
            </w:tcBorders>
            <w:shd w:val="clear" w:color="auto" w:fill="auto"/>
            <w:vAlign w:val="center"/>
          </w:tcPr>
          <w:p w14:paraId="7D56D2C6" w14:textId="77777777" w:rsidR="00715795" w:rsidRDefault="00715795" w:rsidP="00715795">
            <w:pPr>
              <w:jc w:val="center"/>
              <w:rPr>
                <w:rFonts w:cs="Arial"/>
              </w:rPr>
            </w:pPr>
            <w:r w:rsidRPr="00715795">
              <w:rPr>
                <w:rFonts w:cs="Arial"/>
              </w:rPr>
              <w:t>unitless</w:t>
            </w:r>
          </w:p>
        </w:tc>
      </w:tr>
      <w:tr w:rsidR="00747FD7" w14:paraId="7D56D2CC" w14:textId="77777777" w:rsidTr="00F40609">
        <w:trPr>
          <w:trHeight w:val="614"/>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D56D2C8" w14:textId="77777777" w:rsidR="00747FD7" w:rsidRDefault="00F521DF" w:rsidP="00747FD7">
            <w:pPr>
              <w:jc w:val="center"/>
            </w:pPr>
            <w:r>
              <w:rPr>
                <w:rFonts w:cs="Arial"/>
              </w:rPr>
              <w:t>W</w:t>
            </w:r>
            <w:r>
              <w:rPr>
                <w:rFonts w:cs="Arial"/>
                <w:vertAlign w:val="subscript"/>
              </w:rPr>
              <w:t>baseline Avg</w:t>
            </w:r>
          </w:p>
        </w:tc>
        <w:tc>
          <w:tcPr>
            <w:tcW w:w="4566" w:type="dxa"/>
            <w:tcBorders>
              <w:top w:val="single" w:sz="6" w:space="0" w:color="auto"/>
              <w:left w:val="single" w:sz="6" w:space="0" w:color="auto"/>
              <w:bottom w:val="single" w:sz="6" w:space="0" w:color="auto"/>
              <w:right w:val="single" w:sz="6" w:space="0" w:color="auto"/>
            </w:tcBorders>
            <w:shd w:val="clear" w:color="auto" w:fill="auto"/>
            <w:vAlign w:val="center"/>
          </w:tcPr>
          <w:p w14:paraId="7D56D2C9" w14:textId="77777777" w:rsidR="00747FD7" w:rsidRPr="006F2F81" w:rsidRDefault="0088119C" w:rsidP="00747FD7">
            <w:pPr>
              <w:jc w:val="center"/>
              <w:rPr>
                <w:rFonts w:cs="Arial"/>
              </w:rPr>
            </w:pPr>
            <w:r>
              <w:rPr>
                <w:rFonts w:cs="Arial"/>
              </w:rPr>
              <w:t>Base Case Water Consumption per Shower</w:t>
            </w:r>
          </w:p>
        </w:tc>
        <w:tc>
          <w:tcPr>
            <w:tcW w:w="1109" w:type="dxa"/>
            <w:tcBorders>
              <w:top w:val="single" w:sz="6" w:space="0" w:color="auto"/>
              <w:left w:val="single" w:sz="6" w:space="0" w:color="auto"/>
              <w:bottom w:val="single" w:sz="6" w:space="0" w:color="auto"/>
              <w:right w:val="single" w:sz="6" w:space="0" w:color="auto"/>
            </w:tcBorders>
            <w:shd w:val="clear" w:color="auto" w:fill="auto"/>
            <w:vAlign w:val="center"/>
          </w:tcPr>
          <w:p w14:paraId="7D56D2CA" w14:textId="77777777" w:rsidR="00747FD7" w:rsidRDefault="0088119C" w:rsidP="00747FD7">
            <w:pPr>
              <w:jc w:val="center"/>
              <w:rPr>
                <w:rFonts w:cs="Arial"/>
              </w:rPr>
            </w:pPr>
            <w:r>
              <w:rPr>
                <w:rFonts w:cs="Arial"/>
              </w:rPr>
              <w:t>12,207</w:t>
            </w:r>
          </w:p>
        </w:tc>
        <w:tc>
          <w:tcPr>
            <w:tcW w:w="2253" w:type="dxa"/>
            <w:tcBorders>
              <w:top w:val="single" w:sz="6" w:space="0" w:color="auto"/>
              <w:left w:val="single" w:sz="6" w:space="0" w:color="auto"/>
              <w:bottom w:val="single" w:sz="6" w:space="0" w:color="auto"/>
              <w:right w:val="single" w:sz="18" w:space="0" w:color="auto"/>
            </w:tcBorders>
            <w:shd w:val="clear" w:color="auto" w:fill="auto"/>
            <w:vAlign w:val="center"/>
          </w:tcPr>
          <w:p w14:paraId="7D56D2CB" w14:textId="77777777" w:rsidR="00747FD7" w:rsidRDefault="00747FD7" w:rsidP="00747FD7">
            <w:pPr>
              <w:jc w:val="center"/>
              <w:rPr>
                <w:rFonts w:cs="Arial"/>
              </w:rPr>
            </w:pPr>
            <w:r>
              <w:rPr>
                <w:rFonts w:cs="Arial"/>
              </w:rPr>
              <w:t>Gal/shower/yr</w:t>
            </w:r>
          </w:p>
        </w:tc>
      </w:tr>
      <w:tr w:rsidR="0088119C" w14:paraId="7D56D2D1" w14:textId="77777777" w:rsidTr="0023327C">
        <w:trPr>
          <w:trHeight w:val="639"/>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D56D2CD" w14:textId="77777777" w:rsidR="0088119C" w:rsidRDefault="0088119C" w:rsidP="006B2E2B">
            <w:pPr>
              <w:jc w:val="center"/>
              <w:rPr>
                <w:rFonts w:cs="Arial"/>
              </w:rPr>
            </w:pPr>
            <w:r>
              <w:rPr>
                <w:rFonts w:cs="Arial"/>
              </w:rPr>
              <w:t>W</w:t>
            </w:r>
            <w:r>
              <w:rPr>
                <w:rFonts w:cs="Arial"/>
                <w:vertAlign w:val="subscript"/>
              </w:rPr>
              <w:t>baseline Avg</w:t>
            </w:r>
          </w:p>
        </w:tc>
        <w:tc>
          <w:tcPr>
            <w:tcW w:w="4566" w:type="dxa"/>
            <w:tcBorders>
              <w:top w:val="single" w:sz="6" w:space="0" w:color="auto"/>
              <w:left w:val="single" w:sz="6" w:space="0" w:color="auto"/>
              <w:bottom w:val="single" w:sz="6" w:space="0" w:color="auto"/>
              <w:right w:val="single" w:sz="6" w:space="0" w:color="auto"/>
            </w:tcBorders>
            <w:shd w:val="clear" w:color="auto" w:fill="auto"/>
            <w:vAlign w:val="center"/>
          </w:tcPr>
          <w:p w14:paraId="7D56D2CE" w14:textId="77777777" w:rsidR="0088119C" w:rsidRPr="00E13A17" w:rsidRDefault="0088119C" w:rsidP="0088119C">
            <w:pPr>
              <w:jc w:val="center"/>
              <w:rPr>
                <w:rFonts w:cs="Arial"/>
              </w:rPr>
            </w:pPr>
            <w:r>
              <w:rPr>
                <w:rFonts w:cs="Arial"/>
              </w:rPr>
              <w:t xml:space="preserve">Base Case </w:t>
            </w:r>
            <w:r w:rsidRPr="0088119C">
              <w:rPr>
                <w:rFonts w:cs="Arial"/>
              </w:rPr>
              <w:t>Consumption</w:t>
            </w:r>
            <w:r>
              <w:rPr>
                <w:rFonts w:cs="Arial"/>
              </w:rPr>
              <w:t xml:space="preserve"> (</w:t>
            </w:r>
            <w:r w:rsidRPr="0088119C">
              <w:rPr>
                <w:rFonts w:cs="Arial"/>
                <w:i/>
              </w:rPr>
              <w:t>Normalized from the National Ave Rate</w:t>
            </w:r>
            <w:r>
              <w:rPr>
                <w:rFonts w:cs="Arial"/>
              </w:rPr>
              <w:t>)</w:t>
            </w:r>
          </w:p>
        </w:tc>
        <w:tc>
          <w:tcPr>
            <w:tcW w:w="1109" w:type="dxa"/>
            <w:tcBorders>
              <w:top w:val="single" w:sz="6" w:space="0" w:color="auto"/>
              <w:left w:val="single" w:sz="6" w:space="0" w:color="auto"/>
              <w:bottom w:val="single" w:sz="6" w:space="0" w:color="auto"/>
              <w:right w:val="single" w:sz="6" w:space="0" w:color="auto"/>
            </w:tcBorders>
            <w:shd w:val="clear" w:color="auto" w:fill="auto"/>
            <w:vAlign w:val="center"/>
          </w:tcPr>
          <w:p w14:paraId="7D56D2CF" w14:textId="58C82DE4" w:rsidR="0088119C" w:rsidRDefault="00D37FCC" w:rsidP="00B944CC">
            <w:pPr>
              <w:jc w:val="center"/>
              <w:rPr>
                <w:rFonts w:cs="Arial"/>
              </w:rPr>
            </w:pPr>
            <w:r>
              <w:rPr>
                <w:rFonts w:cs="Arial"/>
              </w:rPr>
              <w:t>8,131</w:t>
            </w:r>
          </w:p>
        </w:tc>
        <w:tc>
          <w:tcPr>
            <w:tcW w:w="2253" w:type="dxa"/>
            <w:tcBorders>
              <w:top w:val="single" w:sz="6" w:space="0" w:color="auto"/>
              <w:left w:val="single" w:sz="6" w:space="0" w:color="auto"/>
              <w:bottom w:val="single" w:sz="6" w:space="0" w:color="auto"/>
              <w:right w:val="single" w:sz="18" w:space="0" w:color="auto"/>
            </w:tcBorders>
            <w:shd w:val="clear" w:color="auto" w:fill="auto"/>
            <w:vAlign w:val="center"/>
          </w:tcPr>
          <w:p w14:paraId="7D56D2D0" w14:textId="77777777" w:rsidR="0088119C" w:rsidRPr="00E13A17" w:rsidRDefault="0088119C" w:rsidP="008000F7">
            <w:pPr>
              <w:jc w:val="center"/>
              <w:rPr>
                <w:rFonts w:cs="Arial"/>
              </w:rPr>
            </w:pPr>
            <w:r w:rsidRPr="00E13A17">
              <w:rPr>
                <w:rFonts w:cs="Arial"/>
              </w:rPr>
              <w:t>Gal/shower/yr</w:t>
            </w:r>
          </w:p>
        </w:tc>
      </w:tr>
      <w:tr w:rsidR="00377D06" w14:paraId="7D56D2D6" w14:textId="77777777" w:rsidTr="00F40609">
        <w:trPr>
          <w:trHeight w:val="524"/>
        </w:trPr>
        <w:tc>
          <w:tcPr>
            <w:tcW w:w="1858" w:type="dxa"/>
            <w:tcBorders>
              <w:top w:val="single" w:sz="6" w:space="0" w:color="auto"/>
              <w:left w:val="single" w:sz="18" w:space="0" w:color="auto"/>
              <w:bottom w:val="single" w:sz="8" w:space="0" w:color="auto"/>
              <w:right w:val="single" w:sz="6" w:space="0" w:color="auto"/>
            </w:tcBorders>
            <w:shd w:val="clear" w:color="auto" w:fill="auto"/>
            <w:vAlign w:val="center"/>
          </w:tcPr>
          <w:p w14:paraId="7D56D2D2" w14:textId="77777777" w:rsidR="00377D06" w:rsidRPr="00E7021D" w:rsidRDefault="00F36355" w:rsidP="0023327C">
            <w:pPr>
              <w:jc w:val="center"/>
            </w:pPr>
            <w:r>
              <w:rPr>
                <w:rFonts w:cs="Arial"/>
              </w:rPr>
              <w:t>E</w:t>
            </w:r>
            <w:r w:rsidR="0014118A">
              <w:rPr>
                <w:rFonts w:cs="Arial"/>
                <w:vertAlign w:val="subscript"/>
              </w:rPr>
              <w:t>therm baseline</w:t>
            </w:r>
            <w:r w:rsidR="0023327C">
              <w:rPr>
                <w:rFonts w:cs="Arial"/>
                <w:vertAlign w:val="subscript"/>
              </w:rPr>
              <w:t xml:space="preserve"> Avg</w:t>
            </w:r>
          </w:p>
        </w:tc>
        <w:tc>
          <w:tcPr>
            <w:tcW w:w="4566" w:type="dxa"/>
            <w:tcBorders>
              <w:top w:val="single" w:sz="6" w:space="0" w:color="auto"/>
              <w:left w:val="single" w:sz="6" w:space="0" w:color="auto"/>
              <w:bottom w:val="single" w:sz="8" w:space="0" w:color="auto"/>
              <w:right w:val="single" w:sz="6" w:space="0" w:color="auto"/>
            </w:tcBorders>
            <w:shd w:val="clear" w:color="auto" w:fill="auto"/>
            <w:vAlign w:val="center"/>
          </w:tcPr>
          <w:p w14:paraId="7D56D2D3" w14:textId="77777777" w:rsidR="00377D06" w:rsidRPr="00E7021D" w:rsidRDefault="0014118A" w:rsidP="006F2F81">
            <w:pPr>
              <w:jc w:val="center"/>
              <w:rPr>
                <w:rFonts w:cs="Arial"/>
              </w:rPr>
            </w:pPr>
            <w:r>
              <w:rPr>
                <w:rFonts w:cs="Arial"/>
              </w:rPr>
              <w:t>Base</w:t>
            </w:r>
            <w:r w:rsidR="00377D06">
              <w:rPr>
                <w:rFonts w:cs="Arial"/>
              </w:rPr>
              <w:t xml:space="preserve"> Gas </w:t>
            </w:r>
            <w:r w:rsidR="00377D06" w:rsidRPr="00377D06">
              <w:rPr>
                <w:rFonts w:cs="Arial"/>
              </w:rPr>
              <w:t>Consumption Per Shower Per Year,</w:t>
            </w:r>
          </w:p>
        </w:tc>
        <w:tc>
          <w:tcPr>
            <w:tcW w:w="1109" w:type="dxa"/>
            <w:tcBorders>
              <w:top w:val="single" w:sz="6" w:space="0" w:color="auto"/>
              <w:left w:val="single" w:sz="6" w:space="0" w:color="auto"/>
              <w:bottom w:val="single" w:sz="8" w:space="0" w:color="auto"/>
              <w:right w:val="single" w:sz="6" w:space="0" w:color="auto"/>
            </w:tcBorders>
            <w:shd w:val="clear" w:color="auto" w:fill="auto"/>
            <w:vAlign w:val="center"/>
          </w:tcPr>
          <w:p w14:paraId="7D56D2D4" w14:textId="5CE86B0F" w:rsidR="00377D06" w:rsidRDefault="00D37FCC" w:rsidP="00F16AA3">
            <w:pPr>
              <w:jc w:val="center"/>
              <w:rPr>
                <w:rFonts w:cs="Arial"/>
              </w:rPr>
            </w:pPr>
            <w:r>
              <w:rPr>
                <w:rFonts w:cs="Arial"/>
              </w:rPr>
              <w:t>35.38</w:t>
            </w:r>
          </w:p>
        </w:tc>
        <w:tc>
          <w:tcPr>
            <w:tcW w:w="2253" w:type="dxa"/>
            <w:tcBorders>
              <w:top w:val="single" w:sz="6" w:space="0" w:color="auto"/>
              <w:left w:val="single" w:sz="6" w:space="0" w:color="auto"/>
              <w:bottom w:val="single" w:sz="8" w:space="0" w:color="auto"/>
              <w:right w:val="single" w:sz="18" w:space="0" w:color="auto"/>
            </w:tcBorders>
            <w:shd w:val="clear" w:color="auto" w:fill="auto"/>
            <w:vAlign w:val="center"/>
          </w:tcPr>
          <w:p w14:paraId="7D56D2D5" w14:textId="77777777" w:rsidR="00377D06" w:rsidRDefault="00377D06" w:rsidP="008000F7">
            <w:pPr>
              <w:jc w:val="center"/>
              <w:rPr>
                <w:rFonts w:cs="Arial"/>
              </w:rPr>
            </w:pPr>
            <w:r w:rsidRPr="00377D06">
              <w:rPr>
                <w:rFonts w:cs="Arial"/>
              </w:rPr>
              <w:t>Therms / yr</w:t>
            </w:r>
          </w:p>
        </w:tc>
      </w:tr>
      <w:tr w:rsidR="00C0504C" w14:paraId="7D56D2D9" w14:textId="77777777" w:rsidTr="00C0504C">
        <w:trPr>
          <w:trHeight w:val="639"/>
        </w:trPr>
        <w:tc>
          <w:tcPr>
            <w:tcW w:w="9786" w:type="dxa"/>
            <w:gridSpan w:val="4"/>
            <w:tcBorders>
              <w:top w:val="single" w:sz="8" w:space="0" w:color="auto"/>
              <w:left w:val="single" w:sz="18" w:space="0" w:color="auto"/>
              <w:bottom w:val="single" w:sz="6" w:space="0" w:color="auto"/>
              <w:right w:val="single" w:sz="18" w:space="0" w:color="auto"/>
            </w:tcBorders>
            <w:shd w:val="clear" w:color="auto" w:fill="auto"/>
            <w:vAlign w:val="center"/>
          </w:tcPr>
          <w:p w14:paraId="7D56D2D7" w14:textId="77777777" w:rsidR="00C0504C" w:rsidRPr="00F77944" w:rsidRDefault="00C0504C" w:rsidP="008000F7">
            <w:pPr>
              <w:jc w:val="center"/>
              <w:rPr>
                <w:b/>
              </w:rPr>
            </w:pPr>
            <w:r w:rsidRPr="00F77944">
              <w:rPr>
                <w:b/>
              </w:rPr>
              <w:t>Case 2, Source used:</w:t>
            </w:r>
          </w:p>
          <w:p w14:paraId="7D56D2D8" w14:textId="77777777" w:rsidR="00C0504C" w:rsidRPr="0023327C" w:rsidRDefault="00C0504C" w:rsidP="008000F7">
            <w:pPr>
              <w:jc w:val="center"/>
              <w:rPr>
                <w:rFonts w:cs="Arial"/>
                <w:b/>
                <w:highlight w:val="lightGray"/>
              </w:rPr>
            </w:pPr>
            <w:r w:rsidRPr="00F77944">
              <w:rPr>
                <w:rFonts w:cs="Arial"/>
                <w:b/>
              </w:rPr>
              <w:t>The Potential for Urban Water Conservation in California. Pacific Institute., 2003</w:t>
            </w:r>
            <w:bookmarkStart w:id="50" w:name="_Ref501613568"/>
            <w:r w:rsidR="00FA14C1" w:rsidRPr="00F77944">
              <w:rPr>
                <w:rStyle w:val="EndnoteReference"/>
                <w:rFonts w:cs="Arial"/>
                <w:b/>
              </w:rPr>
              <w:endnoteReference w:id="3"/>
            </w:r>
            <w:bookmarkEnd w:id="50"/>
          </w:p>
        </w:tc>
      </w:tr>
      <w:tr w:rsidR="008000F7" w14:paraId="7D56D2DE" w14:textId="77777777" w:rsidTr="0023327C">
        <w:trPr>
          <w:trHeight w:val="639"/>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D56D2DA" w14:textId="77777777" w:rsidR="008000F7" w:rsidRDefault="008000F7" w:rsidP="008000F7">
            <w:pPr>
              <w:jc w:val="center"/>
              <w:rPr>
                <w:rFonts w:cs="Arial"/>
              </w:rPr>
            </w:pPr>
            <w:r>
              <w:t>t</w:t>
            </w:r>
            <w:r>
              <w:rPr>
                <w:vertAlign w:val="subscript"/>
              </w:rPr>
              <w:t>shower</w:t>
            </w:r>
          </w:p>
        </w:tc>
        <w:tc>
          <w:tcPr>
            <w:tcW w:w="4566" w:type="dxa"/>
            <w:tcBorders>
              <w:top w:val="single" w:sz="6" w:space="0" w:color="auto"/>
              <w:left w:val="single" w:sz="6" w:space="0" w:color="auto"/>
              <w:bottom w:val="single" w:sz="6" w:space="0" w:color="auto"/>
              <w:right w:val="single" w:sz="6" w:space="0" w:color="auto"/>
            </w:tcBorders>
            <w:shd w:val="clear" w:color="auto" w:fill="auto"/>
            <w:vAlign w:val="center"/>
          </w:tcPr>
          <w:p w14:paraId="7D56D2DB" w14:textId="6B7F4553" w:rsidR="008000F7" w:rsidRPr="00C55AFC" w:rsidRDefault="006F2F81" w:rsidP="00FE4D6C">
            <w:pPr>
              <w:jc w:val="center"/>
              <w:rPr>
                <w:rFonts w:cs="Arial"/>
              </w:rPr>
            </w:pPr>
            <w:r w:rsidRPr="006F2F81">
              <w:rPr>
                <w:rFonts w:cs="Arial"/>
              </w:rPr>
              <w:t xml:space="preserve">Minutes </w:t>
            </w:r>
            <w:r w:rsidR="00D96884">
              <w:rPr>
                <w:rFonts w:cs="Arial"/>
              </w:rPr>
              <w:t xml:space="preserve">Per </w:t>
            </w:r>
            <w:r>
              <w:rPr>
                <w:rFonts w:cs="Arial"/>
              </w:rPr>
              <w:t>Room Per Day Usage</w:t>
            </w:r>
            <w:r w:rsidR="00FE4D6C">
              <w:rPr>
                <w:rFonts w:cs="Arial"/>
              </w:rPr>
              <w:fldChar w:fldCharType="begin"/>
            </w:r>
            <w:r w:rsidR="00FE4D6C">
              <w:rPr>
                <w:rFonts w:cs="Arial"/>
              </w:rPr>
              <w:instrText xml:space="preserve"> NOTEREF _Ref501613568 \f \h </w:instrText>
            </w:r>
            <w:r w:rsidR="00FE4D6C">
              <w:rPr>
                <w:rFonts w:cs="Arial"/>
              </w:rPr>
            </w:r>
            <w:r w:rsidR="00FE4D6C">
              <w:rPr>
                <w:rFonts w:cs="Arial"/>
              </w:rPr>
              <w:fldChar w:fldCharType="separate"/>
            </w:r>
            <w:r w:rsidR="00FE4D6C" w:rsidRPr="00FE4D6C">
              <w:rPr>
                <w:rStyle w:val="EndnoteReference"/>
              </w:rPr>
              <w:t>iii</w:t>
            </w:r>
            <w:r w:rsidR="00FE4D6C">
              <w:rPr>
                <w:rFonts w:cs="Arial"/>
              </w:rPr>
              <w:fldChar w:fldCharType="end"/>
            </w:r>
            <w:r w:rsidR="00187DDF">
              <w:t xml:space="preserve"> </w:t>
            </w:r>
            <w:r w:rsidR="00187DDF" w:rsidRPr="00187DDF">
              <w:rPr>
                <w:rFonts w:cs="Arial"/>
                <w:i/>
              </w:rPr>
              <w:t xml:space="preserve">from </w:t>
            </w:r>
            <w:r w:rsidR="00E3095E" w:rsidRPr="00E3095E">
              <w:rPr>
                <w:rFonts w:cs="Arial"/>
                <w:i/>
              </w:rPr>
              <w:t>Shower Water Use in the CII Industries (2000)</w:t>
            </w:r>
          </w:p>
        </w:tc>
        <w:tc>
          <w:tcPr>
            <w:tcW w:w="1109" w:type="dxa"/>
            <w:tcBorders>
              <w:top w:val="single" w:sz="6" w:space="0" w:color="auto"/>
              <w:left w:val="single" w:sz="6" w:space="0" w:color="auto"/>
              <w:bottom w:val="single" w:sz="6" w:space="0" w:color="auto"/>
              <w:right w:val="single" w:sz="6" w:space="0" w:color="auto"/>
            </w:tcBorders>
            <w:shd w:val="clear" w:color="auto" w:fill="auto"/>
            <w:vAlign w:val="center"/>
          </w:tcPr>
          <w:p w14:paraId="7D56D2DC" w14:textId="77777777" w:rsidR="008000F7" w:rsidRPr="00190F4A" w:rsidRDefault="00434C3D" w:rsidP="00F16AA3">
            <w:pPr>
              <w:jc w:val="center"/>
              <w:rPr>
                <w:rFonts w:cs="Arial"/>
              </w:rPr>
            </w:pPr>
            <w:r>
              <w:rPr>
                <w:rFonts w:cs="Arial"/>
              </w:rPr>
              <w:t>1</w:t>
            </w:r>
            <w:r w:rsidR="00F16AA3">
              <w:rPr>
                <w:rFonts w:cs="Arial"/>
              </w:rPr>
              <w:t>6.2</w:t>
            </w:r>
          </w:p>
        </w:tc>
        <w:tc>
          <w:tcPr>
            <w:tcW w:w="2253" w:type="dxa"/>
            <w:tcBorders>
              <w:top w:val="single" w:sz="6" w:space="0" w:color="auto"/>
              <w:left w:val="single" w:sz="6" w:space="0" w:color="auto"/>
              <w:bottom w:val="single" w:sz="6" w:space="0" w:color="auto"/>
              <w:right w:val="single" w:sz="18" w:space="0" w:color="auto"/>
            </w:tcBorders>
            <w:shd w:val="clear" w:color="auto" w:fill="auto"/>
            <w:vAlign w:val="center"/>
          </w:tcPr>
          <w:p w14:paraId="7D56D2DD" w14:textId="77777777" w:rsidR="008000F7" w:rsidRDefault="008000F7" w:rsidP="008000F7">
            <w:pPr>
              <w:jc w:val="center"/>
              <w:rPr>
                <w:rFonts w:cs="Arial"/>
              </w:rPr>
            </w:pPr>
            <w:r>
              <w:rPr>
                <w:rFonts w:cs="Arial"/>
              </w:rPr>
              <w:t>minutes / shower</w:t>
            </w:r>
          </w:p>
        </w:tc>
      </w:tr>
      <w:tr w:rsidR="008000F7" w14:paraId="7D56D2E3" w14:textId="77777777" w:rsidTr="00F40609">
        <w:trPr>
          <w:trHeight w:val="515"/>
        </w:trPr>
        <w:tc>
          <w:tcPr>
            <w:tcW w:w="1858" w:type="dxa"/>
            <w:tcBorders>
              <w:top w:val="single" w:sz="6" w:space="0" w:color="auto"/>
              <w:left w:val="single" w:sz="18" w:space="0" w:color="auto"/>
              <w:bottom w:val="single" w:sz="6" w:space="0" w:color="auto"/>
              <w:right w:val="single" w:sz="6" w:space="0" w:color="auto"/>
            </w:tcBorders>
            <w:shd w:val="clear" w:color="auto" w:fill="auto"/>
            <w:vAlign w:val="center"/>
          </w:tcPr>
          <w:p w14:paraId="7D56D2DF" w14:textId="77777777" w:rsidR="008000F7" w:rsidRDefault="00F521DF" w:rsidP="008000F7">
            <w:pPr>
              <w:jc w:val="center"/>
              <w:rPr>
                <w:rFonts w:cs="Arial"/>
              </w:rPr>
            </w:pPr>
            <w:r>
              <w:rPr>
                <w:rFonts w:cs="Arial"/>
              </w:rPr>
              <w:t>W</w:t>
            </w:r>
            <w:r>
              <w:rPr>
                <w:rFonts w:cs="Arial"/>
                <w:vertAlign w:val="subscript"/>
              </w:rPr>
              <w:t>baseline Avg</w:t>
            </w:r>
          </w:p>
        </w:tc>
        <w:tc>
          <w:tcPr>
            <w:tcW w:w="4566" w:type="dxa"/>
            <w:tcBorders>
              <w:top w:val="single" w:sz="6" w:space="0" w:color="auto"/>
              <w:left w:val="single" w:sz="6" w:space="0" w:color="auto"/>
              <w:bottom w:val="single" w:sz="6" w:space="0" w:color="auto"/>
              <w:right w:val="single" w:sz="6" w:space="0" w:color="auto"/>
            </w:tcBorders>
            <w:shd w:val="clear" w:color="auto" w:fill="auto"/>
            <w:vAlign w:val="center"/>
          </w:tcPr>
          <w:p w14:paraId="7D56D2E0" w14:textId="77777777" w:rsidR="008000F7" w:rsidRDefault="00F16AA3" w:rsidP="00187DDF">
            <w:pPr>
              <w:jc w:val="center"/>
              <w:rPr>
                <w:rFonts w:cs="Arial"/>
              </w:rPr>
            </w:pPr>
            <w:r w:rsidRPr="00F16AA3">
              <w:rPr>
                <w:rFonts w:cs="Arial"/>
              </w:rPr>
              <w:t>Base Water Consumption Per Shower Per Year</w:t>
            </w:r>
            <w:r w:rsidR="008000F7">
              <w:rPr>
                <w:rFonts w:cs="Arial"/>
              </w:rPr>
              <w:t xml:space="preserve"> </w:t>
            </w:r>
          </w:p>
        </w:tc>
        <w:tc>
          <w:tcPr>
            <w:tcW w:w="1109" w:type="dxa"/>
            <w:tcBorders>
              <w:top w:val="single" w:sz="6" w:space="0" w:color="auto"/>
              <w:left w:val="single" w:sz="6" w:space="0" w:color="auto"/>
              <w:bottom w:val="single" w:sz="6" w:space="0" w:color="auto"/>
              <w:right w:val="single" w:sz="6" w:space="0" w:color="auto"/>
            </w:tcBorders>
            <w:shd w:val="clear" w:color="auto" w:fill="auto"/>
            <w:vAlign w:val="center"/>
          </w:tcPr>
          <w:p w14:paraId="7D56D2E1" w14:textId="608913F0" w:rsidR="008000F7" w:rsidRDefault="00D37FCC" w:rsidP="00D37FCC">
            <w:pPr>
              <w:jc w:val="center"/>
              <w:rPr>
                <w:rFonts w:cs="Arial"/>
              </w:rPr>
            </w:pPr>
            <w:r>
              <w:rPr>
                <w:rFonts w:cs="Arial"/>
              </w:rPr>
              <w:t>9,734</w:t>
            </w:r>
          </w:p>
        </w:tc>
        <w:tc>
          <w:tcPr>
            <w:tcW w:w="2253" w:type="dxa"/>
            <w:tcBorders>
              <w:top w:val="single" w:sz="6" w:space="0" w:color="auto"/>
              <w:left w:val="single" w:sz="6" w:space="0" w:color="auto"/>
              <w:bottom w:val="single" w:sz="6" w:space="0" w:color="auto"/>
              <w:right w:val="single" w:sz="18" w:space="0" w:color="auto"/>
            </w:tcBorders>
            <w:shd w:val="clear" w:color="auto" w:fill="auto"/>
            <w:vAlign w:val="center"/>
          </w:tcPr>
          <w:p w14:paraId="7D56D2E2" w14:textId="77777777" w:rsidR="008000F7" w:rsidRDefault="00F16AA3" w:rsidP="008000F7">
            <w:pPr>
              <w:jc w:val="center"/>
              <w:rPr>
                <w:rFonts w:cs="Arial"/>
              </w:rPr>
            </w:pPr>
            <w:r>
              <w:rPr>
                <w:rFonts w:cs="Arial"/>
              </w:rPr>
              <w:t>Gallons / yr</w:t>
            </w:r>
          </w:p>
        </w:tc>
      </w:tr>
      <w:tr w:rsidR="008000F7" w14:paraId="7D56D2E8" w14:textId="77777777" w:rsidTr="00F40609">
        <w:trPr>
          <w:trHeight w:val="515"/>
        </w:trPr>
        <w:tc>
          <w:tcPr>
            <w:tcW w:w="1858" w:type="dxa"/>
            <w:tcBorders>
              <w:top w:val="single" w:sz="6" w:space="0" w:color="auto"/>
              <w:left w:val="single" w:sz="18" w:space="0" w:color="auto"/>
              <w:bottom w:val="single" w:sz="18" w:space="0" w:color="auto"/>
              <w:right w:val="single" w:sz="6" w:space="0" w:color="auto"/>
            </w:tcBorders>
            <w:shd w:val="clear" w:color="auto" w:fill="auto"/>
            <w:vAlign w:val="center"/>
          </w:tcPr>
          <w:p w14:paraId="7D56D2E4" w14:textId="77777777" w:rsidR="008000F7" w:rsidRDefault="00F36355" w:rsidP="006E2FF7">
            <w:pPr>
              <w:jc w:val="center"/>
              <w:rPr>
                <w:rFonts w:cs="Arial"/>
              </w:rPr>
            </w:pPr>
            <w:r>
              <w:rPr>
                <w:rFonts w:cs="Arial"/>
              </w:rPr>
              <w:t>E</w:t>
            </w:r>
            <w:r w:rsidR="0014118A">
              <w:rPr>
                <w:rFonts w:cs="Arial"/>
                <w:vertAlign w:val="subscript"/>
              </w:rPr>
              <w:t>therm baseline</w:t>
            </w:r>
            <w:r w:rsidR="006B2E2B">
              <w:rPr>
                <w:rFonts w:cs="Arial"/>
                <w:vertAlign w:val="subscript"/>
              </w:rPr>
              <w:t xml:space="preserve"> Avg</w:t>
            </w:r>
          </w:p>
        </w:tc>
        <w:tc>
          <w:tcPr>
            <w:tcW w:w="4566" w:type="dxa"/>
            <w:tcBorders>
              <w:top w:val="single" w:sz="6" w:space="0" w:color="auto"/>
              <w:left w:val="single" w:sz="6" w:space="0" w:color="auto"/>
              <w:bottom w:val="single" w:sz="18" w:space="0" w:color="auto"/>
              <w:right w:val="single" w:sz="6" w:space="0" w:color="auto"/>
            </w:tcBorders>
            <w:shd w:val="clear" w:color="auto" w:fill="auto"/>
            <w:vAlign w:val="center"/>
          </w:tcPr>
          <w:p w14:paraId="7D56D2E5" w14:textId="77777777" w:rsidR="008000F7" w:rsidRDefault="0014118A" w:rsidP="001A3CBE">
            <w:pPr>
              <w:jc w:val="center"/>
              <w:rPr>
                <w:rFonts w:cs="Arial"/>
              </w:rPr>
            </w:pPr>
            <w:r>
              <w:rPr>
                <w:rFonts w:cs="Arial"/>
              </w:rPr>
              <w:t>Base</w:t>
            </w:r>
            <w:r w:rsidR="00747FD7" w:rsidRPr="00747FD7">
              <w:rPr>
                <w:rFonts w:cs="Arial"/>
              </w:rPr>
              <w:t xml:space="preserve"> Gas Consumption Per Shower Per Year</w:t>
            </w:r>
          </w:p>
        </w:tc>
        <w:tc>
          <w:tcPr>
            <w:tcW w:w="1109" w:type="dxa"/>
            <w:tcBorders>
              <w:top w:val="single" w:sz="6" w:space="0" w:color="auto"/>
              <w:left w:val="single" w:sz="6" w:space="0" w:color="auto"/>
              <w:bottom w:val="single" w:sz="18" w:space="0" w:color="auto"/>
              <w:right w:val="single" w:sz="6" w:space="0" w:color="auto"/>
            </w:tcBorders>
            <w:shd w:val="clear" w:color="auto" w:fill="auto"/>
            <w:vAlign w:val="center"/>
          </w:tcPr>
          <w:p w14:paraId="7D56D2E6" w14:textId="3329A2FA" w:rsidR="008000F7" w:rsidRPr="00780D8A" w:rsidRDefault="003825CC" w:rsidP="006F2F81">
            <w:pPr>
              <w:jc w:val="center"/>
              <w:rPr>
                <w:rFonts w:cs="Arial"/>
              </w:rPr>
            </w:pPr>
            <w:r>
              <w:rPr>
                <w:rFonts w:cs="Arial"/>
              </w:rPr>
              <w:t>42.35</w:t>
            </w:r>
          </w:p>
        </w:tc>
        <w:tc>
          <w:tcPr>
            <w:tcW w:w="2253" w:type="dxa"/>
            <w:tcBorders>
              <w:top w:val="single" w:sz="6" w:space="0" w:color="auto"/>
              <w:left w:val="single" w:sz="6" w:space="0" w:color="auto"/>
              <w:bottom w:val="single" w:sz="18" w:space="0" w:color="auto"/>
              <w:right w:val="single" w:sz="18" w:space="0" w:color="auto"/>
            </w:tcBorders>
            <w:shd w:val="clear" w:color="auto" w:fill="auto"/>
            <w:vAlign w:val="center"/>
          </w:tcPr>
          <w:p w14:paraId="7D56D2E7" w14:textId="77777777" w:rsidR="008000F7" w:rsidRDefault="00747FD7" w:rsidP="008000F7">
            <w:pPr>
              <w:jc w:val="center"/>
              <w:rPr>
                <w:rFonts w:cs="Arial"/>
              </w:rPr>
            </w:pPr>
            <w:r>
              <w:rPr>
                <w:rFonts w:cs="Arial"/>
              </w:rPr>
              <w:t>Therms / yr</w:t>
            </w:r>
          </w:p>
        </w:tc>
      </w:tr>
    </w:tbl>
    <w:p w14:paraId="7D56D2E9" w14:textId="77777777" w:rsidR="00D10BA0" w:rsidRPr="006D332E" w:rsidRDefault="00D10BA0" w:rsidP="00B702D6">
      <w:pPr>
        <w:pStyle w:val="Table"/>
        <w:numPr>
          <w:ilvl w:val="0"/>
          <w:numId w:val="0"/>
        </w:numPr>
        <w:rPr>
          <w:sz w:val="24"/>
        </w:rPr>
      </w:pPr>
    </w:p>
    <w:p w14:paraId="6C92BF1E" w14:textId="77777777" w:rsidR="00C56A4C" w:rsidRDefault="00C56A4C" w:rsidP="00121E2E">
      <w:pPr>
        <w:pStyle w:val="Caption"/>
      </w:pPr>
      <w:bookmarkStart w:id="51" w:name="_Toc501451181"/>
    </w:p>
    <w:p w14:paraId="170002E7" w14:textId="77777777" w:rsidR="00C56A4C" w:rsidRDefault="00C56A4C" w:rsidP="00121E2E">
      <w:pPr>
        <w:pStyle w:val="Caption"/>
      </w:pPr>
    </w:p>
    <w:p w14:paraId="5F900EBC" w14:textId="77777777" w:rsidR="00C56A4C" w:rsidRDefault="00C56A4C" w:rsidP="00121E2E">
      <w:pPr>
        <w:pStyle w:val="Caption"/>
      </w:pPr>
    </w:p>
    <w:p w14:paraId="0C89AB8B" w14:textId="77777777" w:rsidR="00C56A4C" w:rsidRDefault="00C56A4C" w:rsidP="00121E2E">
      <w:pPr>
        <w:pStyle w:val="Caption"/>
      </w:pPr>
    </w:p>
    <w:p w14:paraId="5B9F2C53" w14:textId="77777777" w:rsidR="00C56A4C" w:rsidRDefault="00C56A4C" w:rsidP="00121E2E">
      <w:pPr>
        <w:pStyle w:val="Caption"/>
      </w:pPr>
    </w:p>
    <w:p w14:paraId="1F99D2B8" w14:textId="77777777" w:rsidR="00C56A4C" w:rsidRDefault="00C56A4C" w:rsidP="00121E2E">
      <w:pPr>
        <w:pStyle w:val="Caption"/>
      </w:pPr>
    </w:p>
    <w:p w14:paraId="7D56D2EA" w14:textId="13A26BE6" w:rsidR="00D10BA0" w:rsidRDefault="00121E2E" w:rsidP="00121E2E">
      <w:pPr>
        <w:pStyle w:val="Caption"/>
      </w:pPr>
      <w:r>
        <w:lastRenderedPageBreak/>
        <w:t xml:space="preserve">Table </w:t>
      </w:r>
      <w:fldSimple w:instr=" SEQ Table \* ARABIC ">
        <w:r>
          <w:rPr>
            <w:noProof/>
          </w:rPr>
          <w:t>1</w:t>
        </w:r>
      </w:fldSimple>
      <w:r w:rsidR="000149A3">
        <w:rPr>
          <w:noProof/>
        </w:rPr>
        <w:t>2</w:t>
      </w:r>
      <w:r w:rsidR="00D10BA0">
        <w:t>: Data and Assumptions for Schools</w:t>
      </w:r>
      <w:bookmarkEnd w:id="51"/>
    </w:p>
    <w:tbl>
      <w:tblPr>
        <w:tblpPr w:leftFromText="180" w:rightFromText="180" w:vertAnchor="text" w:horzAnchor="margin" w:tblpY="108"/>
        <w:tblW w:w="9786" w:type="dxa"/>
        <w:tblLook w:val="0000" w:firstRow="0" w:lastRow="0" w:firstColumn="0" w:lastColumn="0" w:noHBand="0" w:noVBand="0"/>
      </w:tblPr>
      <w:tblGrid>
        <w:gridCol w:w="1923"/>
        <w:gridCol w:w="4638"/>
        <w:gridCol w:w="957"/>
        <w:gridCol w:w="2268"/>
      </w:tblGrid>
      <w:tr w:rsidR="00D10BA0" w14:paraId="7D56D2EF" w14:textId="77777777" w:rsidTr="00D10BA0">
        <w:trPr>
          <w:trHeight w:val="442"/>
        </w:trPr>
        <w:tc>
          <w:tcPr>
            <w:tcW w:w="1923" w:type="dxa"/>
            <w:tcBorders>
              <w:top w:val="single" w:sz="18" w:space="0" w:color="auto"/>
              <w:left w:val="single" w:sz="18" w:space="0" w:color="auto"/>
              <w:bottom w:val="single" w:sz="18" w:space="0" w:color="auto"/>
              <w:right w:val="single" w:sz="6" w:space="0" w:color="auto"/>
            </w:tcBorders>
            <w:shd w:val="clear" w:color="auto" w:fill="auto"/>
            <w:vAlign w:val="center"/>
          </w:tcPr>
          <w:p w14:paraId="7D56D2EB" w14:textId="77777777" w:rsidR="00D10BA0" w:rsidRDefault="00D10BA0" w:rsidP="00D10BA0">
            <w:pPr>
              <w:jc w:val="center"/>
              <w:rPr>
                <w:rFonts w:cs="Arial"/>
                <w:b/>
                <w:bCs/>
              </w:rPr>
            </w:pPr>
            <w:r>
              <w:rPr>
                <w:rFonts w:cs="Arial"/>
                <w:b/>
                <w:bCs/>
              </w:rPr>
              <w:t>Constant</w:t>
            </w:r>
          </w:p>
        </w:tc>
        <w:tc>
          <w:tcPr>
            <w:tcW w:w="4638" w:type="dxa"/>
            <w:tcBorders>
              <w:top w:val="single" w:sz="18" w:space="0" w:color="auto"/>
              <w:left w:val="single" w:sz="6" w:space="0" w:color="auto"/>
              <w:bottom w:val="single" w:sz="18" w:space="0" w:color="auto"/>
              <w:right w:val="single" w:sz="6" w:space="0" w:color="auto"/>
            </w:tcBorders>
            <w:shd w:val="clear" w:color="auto" w:fill="auto"/>
            <w:vAlign w:val="center"/>
          </w:tcPr>
          <w:p w14:paraId="7D56D2EC" w14:textId="77777777" w:rsidR="00D10BA0" w:rsidRDefault="00D10BA0" w:rsidP="00D10BA0">
            <w:pPr>
              <w:jc w:val="center"/>
              <w:rPr>
                <w:rFonts w:cs="Arial"/>
                <w:b/>
                <w:bCs/>
              </w:rPr>
            </w:pPr>
            <w:r>
              <w:rPr>
                <w:rFonts w:cs="Arial"/>
                <w:b/>
                <w:bCs/>
              </w:rPr>
              <w:t>Description</w:t>
            </w:r>
          </w:p>
        </w:tc>
        <w:tc>
          <w:tcPr>
            <w:tcW w:w="957" w:type="dxa"/>
            <w:tcBorders>
              <w:top w:val="single" w:sz="18" w:space="0" w:color="auto"/>
              <w:left w:val="single" w:sz="6" w:space="0" w:color="auto"/>
              <w:bottom w:val="single" w:sz="18" w:space="0" w:color="auto"/>
              <w:right w:val="single" w:sz="6" w:space="0" w:color="auto"/>
            </w:tcBorders>
            <w:shd w:val="clear" w:color="auto" w:fill="auto"/>
            <w:vAlign w:val="center"/>
          </w:tcPr>
          <w:p w14:paraId="7D56D2ED" w14:textId="77777777" w:rsidR="00D10BA0" w:rsidRDefault="00D10BA0" w:rsidP="00D10BA0">
            <w:pPr>
              <w:jc w:val="center"/>
              <w:rPr>
                <w:rFonts w:cs="Arial"/>
                <w:b/>
                <w:bCs/>
              </w:rPr>
            </w:pPr>
            <w:r>
              <w:rPr>
                <w:rFonts w:cs="Arial"/>
                <w:b/>
                <w:bCs/>
              </w:rPr>
              <w:t>Value</w:t>
            </w:r>
          </w:p>
        </w:tc>
        <w:tc>
          <w:tcPr>
            <w:tcW w:w="2268" w:type="dxa"/>
            <w:tcBorders>
              <w:top w:val="single" w:sz="18" w:space="0" w:color="auto"/>
              <w:left w:val="single" w:sz="6" w:space="0" w:color="auto"/>
              <w:bottom w:val="single" w:sz="18" w:space="0" w:color="auto"/>
              <w:right w:val="single" w:sz="18" w:space="0" w:color="auto"/>
            </w:tcBorders>
            <w:shd w:val="clear" w:color="auto" w:fill="auto"/>
            <w:vAlign w:val="center"/>
          </w:tcPr>
          <w:p w14:paraId="7D56D2EE" w14:textId="77777777" w:rsidR="00D10BA0" w:rsidRDefault="00D10BA0" w:rsidP="00D10BA0">
            <w:pPr>
              <w:jc w:val="center"/>
              <w:rPr>
                <w:rFonts w:cs="Arial"/>
                <w:b/>
                <w:bCs/>
              </w:rPr>
            </w:pPr>
            <w:r>
              <w:rPr>
                <w:rFonts w:cs="Arial"/>
                <w:b/>
                <w:bCs/>
              </w:rPr>
              <w:t>Units</w:t>
            </w:r>
          </w:p>
        </w:tc>
      </w:tr>
      <w:tr w:rsidR="00D10BA0" w14:paraId="7D56D2F4" w14:textId="77777777" w:rsidTr="00D10BA0">
        <w:trPr>
          <w:trHeight w:val="516"/>
        </w:trPr>
        <w:tc>
          <w:tcPr>
            <w:tcW w:w="1923" w:type="dxa"/>
            <w:tcBorders>
              <w:top w:val="single" w:sz="6" w:space="0" w:color="auto"/>
              <w:left w:val="single" w:sz="18" w:space="0" w:color="auto"/>
              <w:bottom w:val="single" w:sz="6" w:space="0" w:color="auto"/>
              <w:right w:val="single" w:sz="6" w:space="0" w:color="auto"/>
            </w:tcBorders>
            <w:shd w:val="clear" w:color="auto" w:fill="auto"/>
            <w:vAlign w:val="center"/>
          </w:tcPr>
          <w:p w14:paraId="7D56D2F0" w14:textId="77777777" w:rsidR="00D10BA0" w:rsidRPr="00780D8A" w:rsidRDefault="00D10BA0" w:rsidP="00D10BA0">
            <w:pPr>
              <w:jc w:val="center"/>
              <w:rPr>
                <w:rFonts w:cs="Arial"/>
              </w:rPr>
            </w:pPr>
            <w:r>
              <w:rPr>
                <w:rFonts w:cs="Arial"/>
              </w:rPr>
              <w:t>OccRate</w:t>
            </w:r>
            <w:r w:rsidRPr="00482AF4">
              <w:rPr>
                <w:rFonts w:cs="Arial"/>
                <w:vertAlign w:val="subscript"/>
              </w:rPr>
              <w:t>Regional</w:t>
            </w:r>
          </w:p>
        </w:tc>
        <w:tc>
          <w:tcPr>
            <w:tcW w:w="4638" w:type="dxa"/>
            <w:tcBorders>
              <w:top w:val="single" w:sz="6" w:space="0" w:color="auto"/>
              <w:left w:val="single" w:sz="6" w:space="0" w:color="auto"/>
              <w:bottom w:val="single" w:sz="6" w:space="0" w:color="auto"/>
              <w:right w:val="single" w:sz="6" w:space="0" w:color="auto"/>
            </w:tcBorders>
            <w:shd w:val="clear" w:color="auto" w:fill="auto"/>
            <w:vAlign w:val="center"/>
          </w:tcPr>
          <w:p w14:paraId="7D56D2F1" w14:textId="77777777" w:rsidR="00D10BA0" w:rsidRPr="00780D8A" w:rsidRDefault="00D10BA0" w:rsidP="00D10BA0">
            <w:pPr>
              <w:jc w:val="center"/>
              <w:rPr>
                <w:rFonts w:cs="Arial"/>
              </w:rPr>
            </w:pPr>
            <w:r w:rsidRPr="00FA6B15">
              <w:rPr>
                <w:rFonts w:cs="Arial"/>
              </w:rPr>
              <w:t>Total annual metered shower water consumption from two schools (gallons)</w:t>
            </w:r>
            <w:r>
              <w:rPr>
                <w:rFonts w:cs="Arial"/>
              </w:rPr>
              <w:t>,</w:t>
            </w:r>
            <w:r w:rsidRPr="00482AF4">
              <w:rPr>
                <w:rFonts w:cs="Arial"/>
              </w:rPr>
              <w:t xml:space="preserve"> </w:t>
            </w:r>
            <w:r w:rsidRPr="00034926">
              <w:rPr>
                <w:rFonts w:cs="Arial"/>
              </w:rPr>
              <w:t>“</w:t>
            </w:r>
            <w:r w:rsidRPr="00E66456">
              <w:rPr>
                <w:rFonts w:cs="Arial"/>
                <w:i/>
              </w:rPr>
              <w:t>Commercial and Ins</w:t>
            </w:r>
            <w:r>
              <w:rPr>
                <w:rFonts w:cs="Arial"/>
                <w:i/>
              </w:rPr>
              <w:t xml:space="preserve">titutional End Uses of Water". </w:t>
            </w:r>
            <w:r w:rsidRPr="00E66456">
              <w:rPr>
                <w:rFonts w:cs="Arial"/>
                <w:i/>
              </w:rPr>
              <w:t>For the Americ</w:t>
            </w:r>
            <w:r>
              <w:rPr>
                <w:rFonts w:cs="Arial"/>
                <w:i/>
              </w:rPr>
              <w:t>an Water Works Association.</w:t>
            </w:r>
            <w:r w:rsidRPr="00E66456">
              <w:rPr>
                <w:rFonts w:cs="Arial"/>
                <w:i/>
              </w:rPr>
              <w:t xml:space="preserve"> 2000.</w:t>
            </w:r>
          </w:p>
        </w:tc>
        <w:tc>
          <w:tcPr>
            <w:tcW w:w="957" w:type="dxa"/>
            <w:tcBorders>
              <w:top w:val="single" w:sz="6" w:space="0" w:color="auto"/>
              <w:left w:val="single" w:sz="6" w:space="0" w:color="auto"/>
              <w:bottom w:val="single" w:sz="6" w:space="0" w:color="auto"/>
              <w:right w:val="single" w:sz="6" w:space="0" w:color="auto"/>
            </w:tcBorders>
            <w:shd w:val="clear" w:color="auto" w:fill="auto"/>
            <w:vAlign w:val="center"/>
          </w:tcPr>
          <w:p w14:paraId="7D56D2F2" w14:textId="77777777" w:rsidR="00D10BA0" w:rsidRDefault="00D10BA0" w:rsidP="00D10BA0">
            <w:pPr>
              <w:jc w:val="center"/>
              <w:rPr>
                <w:rFonts w:cs="Arial"/>
              </w:rPr>
            </w:pPr>
            <w:r>
              <w:rPr>
                <w:rFonts w:cs="Arial"/>
              </w:rPr>
              <w:t>258,000</w:t>
            </w:r>
          </w:p>
        </w:tc>
        <w:tc>
          <w:tcPr>
            <w:tcW w:w="2268" w:type="dxa"/>
            <w:tcBorders>
              <w:top w:val="single" w:sz="6" w:space="0" w:color="auto"/>
              <w:left w:val="single" w:sz="6" w:space="0" w:color="auto"/>
              <w:bottom w:val="single" w:sz="6" w:space="0" w:color="auto"/>
              <w:right w:val="single" w:sz="18" w:space="0" w:color="auto"/>
            </w:tcBorders>
            <w:shd w:val="clear" w:color="auto" w:fill="auto"/>
            <w:vAlign w:val="center"/>
          </w:tcPr>
          <w:p w14:paraId="7D56D2F3" w14:textId="77777777" w:rsidR="00D10BA0" w:rsidRPr="00780D8A" w:rsidRDefault="00D10BA0" w:rsidP="00D10BA0">
            <w:pPr>
              <w:jc w:val="center"/>
              <w:rPr>
                <w:rFonts w:cs="Arial"/>
              </w:rPr>
            </w:pPr>
            <w:r>
              <w:rPr>
                <w:rFonts w:cs="Arial"/>
              </w:rPr>
              <w:t>Gallons</w:t>
            </w:r>
          </w:p>
        </w:tc>
      </w:tr>
      <w:tr w:rsidR="00D10BA0" w14:paraId="7D56D2F9" w14:textId="77777777" w:rsidTr="00D10BA0">
        <w:trPr>
          <w:trHeight w:val="516"/>
        </w:trPr>
        <w:tc>
          <w:tcPr>
            <w:tcW w:w="1923" w:type="dxa"/>
            <w:tcBorders>
              <w:top w:val="single" w:sz="6" w:space="0" w:color="auto"/>
              <w:left w:val="single" w:sz="18" w:space="0" w:color="auto"/>
              <w:bottom w:val="single" w:sz="6" w:space="0" w:color="auto"/>
              <w:right w:val="single" w:sz="6" w:space="0" w:color="auto"/>
            </w:tcBorders>
            <w:shd w:val="clear" w:color="auto" w:fill="auto"/>
            <w:vAlign w:val="center"/>
          </w:tcPr>
          <w:p w14:paraId="7D56D2F5" w14:textId="77777777" w:rsidR="00D10BA0" w:rsidRDefault="00D10BA0" w:rsidP="00D10BA0">
            <w:pPr>
              <w:jc w:val="center"/>
              <w:rPr>
                <w:rFonts w:cs="Arial"/>
              </w:rPr>
            </w:pPr>
            <w:r>
              <w:rPr>
                <w:rFonts w:cs="Arial"/>
              </w:rPr>
              <w:t>OccPerSchool</w:t>
            </w:r>
            <w:r w:rsidRPr="009C0B71">
              <w:rPr>
                <w:rFonts w:cs="Arial"/>
                <w:vertAlign w:val="subscript"/>
              </w:rPr>
              <w:t>National</w:t>
            </w:r>
          </w:p>
        </w:tc>
        <w:tc>
          <w:tcPr>
            <w:tcW w:w="4638" w:type="dxa"/>
            <w:tcBorders>
              <w:top w:val="single" w:sz="6" w:space="0" w:color="auto"/>
              <w:left w:val="single" w:sz="6" w:space="0" w:color="auto"/>
              <w:bottom w:val="single" w:sz="6" w:space="0" w:color="auto"/>
              <w:right w:val="single" w:sz="6" w:space="0" w:color="auto"/>
            </w:tcBorders>
            <w:shd w:val="clear" w:color="auto" w:fill="auto"/>
            <w:vAlign w:val="center"/>
          </w:tcPr>
          <w:p w14:paraId="7D56D2F6" w14:textId="77777777" w:rsidR="00D10BA0" w:rsidRPr="00780D8A" w:rsidRDefault="00D10BA0" w:rsidP="00D10BA0">
            <w:pPr>
              <w:jc w:val="center"/>
              <w:rPr>
                <w:rFonts w:cs="Arial"/>
              </w:rPr>
            </w:pPr>
            <w:r w:rsidRPr="005D0DFB">
              <w:rPr>
                <w:rFonts w:cs="Arial"/>
              </w:rPr>
              <w:t>Total number of showers</w:t>
            </w:r>
            <w:r>
              <w:t xml:space="preserve"> </w:t>
            </w:r>
            <w:r w:rsidRPr="005D0DFB">
              <w:rPr>
                <w:rFonts w:cs="Arial"/>
              </w:rPr>
              <w:t>from two schools</w:t>
            </w:r>
          </w:p>
        </w:tc>
        <w:tc>
          <w:tcPr>
            <w:tcW w:w="957" w:type="dxa"/>
            <w:tcBorders>
              <w:top w:val="single" w:sz="6" w:space="0" w:color="auto"/>
              <w:left w:val="single" w:sz="6" w:space="0" w:color="auto"/>
              <w:bottom w:val="single" w:sz="6" w:space="0" w:color="auto"/>
              <w:right w:val="single" w:sz="6" w:space="0" w:color="auto"/>
            </w:tcBorders>
            <w:shd w:val="clear" w:color="auto" w:fill="auto"/>
            <w:vAlign w:val="center"/>
          </w:tcPr>
          <w:p w14:paraId="7D56D2F7" w14:textId="77777777" w:rsidR="00D10BA0" w:rsidRDefault="00D10BA0" w:rsidP="00D10BA0">
            <w:pPr>
              <w:jc w:val="center"/>
              <w:rPr>
                <w:rFonts w:cs="Arial"/>
              </w:rPr>
            </w:pPr>
            <w:r>
              <w:rPr>
                <w:rFonts w:cs="Arial"/>
              </w:rPr>
              <w:t>59</w:t>
            </w:r>
          </w:p>
        </w:tc>
        <w:tc>
          <w:tcPr>
            <w:tcW w:w="2268" w:type="dxa"/>
            <w:tcBorders>
              <w:top w:val="single" w:sz="6" w:space="0" w:color="auto"/>
              <w:left w:val="single" w:sz="6" w:space="0" w:color="auto"/>
              <w:bottom w:val="single" w:sz="6" w:space="0" w:color="auto"/>
              <w:right w:val="single" w:sz="18" w:space="0" w:color="auto"/>
            </w:tcBorders>
            <w:shd w:val="clear" w:color="auto" w:fill="auto"/>
            <w:vAlign w:val="center"/>
          </w:tcPr>
          <w:p w14:paraId="7D56D2F8" w14:textId="77777777" w:rsidR="00D10BA0" w:rsidRPr="00780D8A" w:rsidRDefault="00D10BA0" w:rsidP="00D10BA0">
            <w:pPr>
              <w:jc w:val="center"/>
              <w:rPr>
                <w:rFonts w:cs="Arial"/>
              </w:rPr>
            </w:pPr>
            <w:r>
              <w:rPr>
                <w:rFonts w:cs="Arial"/>
              </w:rPr>
              <w:t>unitless</w:t>
            </w:r>
          </w:p>
        </w:tc>
      </w:tr>
      <w:tr w:rsidR="004A43B9" w14:paraId="7D56D2FE" w14:textId="77777777" w:rsidTr="00D10BA0">
        <w:trPr>
          <w:trHeight w:val="551"/>
        </w:trPr>
        <w:tc>
          <w:tcPr>
            <w:tcW w:w="1923" w:type="dxa"/>
            <w:tcBorders>
              <w:top w:val="single" w:sz="6" w:space="0" w:color="auto"/>
              <w:left w:val="single" w:sz="18" w:space="0" w:color="auto"/>
              <w:bottom w:val="single" w:sz="6" w:space="0" w:color="auto"/>
              <w:right w:val="single" w:sz="6" w:space="0" w:color="auto"/>
            </w:tcBorders>
            <w:shd w:val="clear" w:color="auto" w:fill="auto"/>
            <w:vAlign w:val="center"/>
          </w:tcPr>
          <w:p w14:paraId="7D56D2FA" w14:textId="77777777" w:rsidR="004A43B9" w:rsidRDefault="004A43B9" w:rsidP="004A43B9">
            <w:pPr>
              <w:jc w:val="center"/>
              <w:rPr>
                <w:rFonts w:cs="Arial"/>
              </w:rPr>
            </w:pPr>
            <w:r>
              <w:rPr>
                <w:rFonts w:cs="Arial"/>
              </w:rPr>
              <w:t>Days</w:t>
            </w:r>
          </w:p>
        </w:tc>
        <w:tc>
          <w:tcPr>
            <w:tcW w:w="4638" w:type="dxa"/>
            <w:tcBorders>
              <w:top w:val="single" w:sz="6" w:space="0" w:color="auto"/>
              <w:left w:val="single" w:sz="6" w:space="0" w:color="auto"/>
              <w:bottom w:val="single" w:sz="6" w:space="0" w:color="auto"/>
              <w:right w:val="single" w:sz="6" w:space="0" w:color="auto"/>
            </w:tcBorders>
            <w:shd w:val="clear" w:color="auto" w:fill="auto"/>
            <w:vAlign w:val="center"/>
          </w:tcPr>
          <w:p w14:paraId="7D56D2FB" w14:textId="05FC604E" w:rsidR="004A43B9" w:rsidRDefault="004A43B9" w:rsidP="004A43B9">
            <w:pPr>
              <w:jc w:val="center"/>
              <w:rPr>
                <w:rFonts w:cs="Arial"/>
              </w:rPr>
            </w:pPr>
            <w:r>
              <w:rPr>
                <w:rFonts w:cs="Arial"/>
              </w:rPr>
              <w:t>Schools o</w:t>
            </w:r>
            <w:r w:rsidRPr="009C0B71">
              <w:rPr>
                <w:rFonts w:cs="Arial"/>
              </w:rPr>
              <w:t>perating days per year</w:t>
            </w:r>
            <w:r>
              <w:rPr>
                <w:rFonts w:cs="Arial"/>
              </w:rPr>
              <w:t xml:space="preserve">; </w:t>
            </w:r>
            <w:r w:rsidRPr="004A43B9">
              <w:rPr>
                <w:rFonts w:cs="Arial"/>
              </w:rPr>
              <w:t>(55hrs/wk*4</w:t>
            </w:r>
            <w:r w:rsidR="00563258">
              <w:rPr>
                <w:rFonts w:cs="Arial"/>
              </w:rPr>
              <w:t>0</w:t>
            </w:r>
            <w:r w:rsidRPr="004A43B9">
              <w:rPr>
                <w:rFonts w:cs="Arial"/>
              </w:rPr>
              <w:t>wk/yr /10hrs/day)</w:t>
            </w:r>
            <w:r>
              <w:rPr>
                <w:rStyle w:val="EndnoteReference"/>
                <w:rFonts w:cs="Arial"/>
              </w:rPr>
              <w:endnoteReference w:id="4"/>
            </w:r>
          </w:p>
        </w:tc>
        <w:tc>
          <w:tcPr>
            <w:tcW w:w="957" w:type="dxa"/>
            <w:tcBorders>
              <w:top w:val="single" w:sz="6" w:space="0" w:color="auto"/>
              <w:left w:val="single" w:sz="6" w:space="0" w:color="auto"/>
              <w:bottom w:val="single" w:sz="6" w:space="0" w:color="auto"/>
              <w:right w:val="single" w:sz="6" w:space="0" w:color="auto"/>
            </w:tcBorders>
            <w:shd w:val="clear" w:color="auto" w:fill="auto"/>
            <w:vAlign w:val="center"/>
          </w:tcPr>
          <w:p w14:paraId="7D56D2FC" w14:textId="0FE3CEFB" w:rsidR="004A43B9" w:rsidRDefault="004A43B9" w:rsidP="004A43B9">
            <w:pPr>
              <w:jc w:val="center"/>
              <w:rPr>
                <w:rFonts w:cs="Arial"/>
              </w:rPr>
            </w:pPr>
            <w:r>
              <w:rPr>
                <w:rFonts w:cs="Arial"/>
              </w:rPr>
              <w:t>2</w:t>
            </w:r>
            <w:r w:rsidR="00563258">
              <w:rPr>
                <w:rFonts w:cs="Arial"/>
              </w:rPr>
              <w:t>20</w:t>
            </w:r>
          </w:p>
        </w:tc>
        <w:tc>
          <w:tcPr>
            <w:tcW w:w="2268" w:type="dxa"/>
            <w:tcBorders>
              <w:top w:val="single" w:sz="6" w:space="0" w:color="auto"/>
              <w:left w:val="single" w:sz="6" w:space="0" w:color="auto"/>
              <w:bottom w:val="single" w:sz="6" w:space="0" w:color="auto"/>
              <w:right w:val="single" w:sz="18" w:space="0" w:color="auto"/>
            </w:tcBorders>
            <w:shd w:val="clear" w:color="auto" w:fill="auto"/>
            <w:vAlign w:val="center"/>
          </w:tcPr>
          <w:p w14:paraId="7D56D2FD" w14:textId="77777777" w:rsidR="004A43B9" w:rsidRDefault="004A43B9" w:rsidP="004A43B9">
            <w:pPr>
              <w:jc w:val="center"/>
              <w:rPr>
                <w:rFonts w:cs="Arial"/>
              </w:rPr>
            </w:pPr>
            <w:r>
              <w:rPr>
                <w:rFonts w:cs="Arial"/>
              </w:rPr>
              <w:t>days</w:t>
            </w:r>
          </w:p>
        </w:tc>
      </w:tr>
      <w:tr w:rsidR="00D10BA0" w14:paraId="7D56D303" w14:textId="77777777" w:rsidTr="00D10BA0">
        <w:trPr>
          <w:trHeight w:val="551"/>
        </w:trPr>
        <w:tc>
          <w:tcPr>
            <w:tcW w:w="1923" w:type="dxa"/>
            <w:tcBorders>
              <w:top w:val="single" w:sz="6" w:space="0" w:color="auto"/>
              <w:left w:val="single" w:sz="18" w:space="0" w:color="auto"/>
              <w:bottom w:val="single" w:sz="6" w:space="0" w:color="auto"/>
              <w:right w:val="single" w:sz="6" w:space="0" w:color="auto"/>
            </w:tcBorders>
            <w:shd w:val="clear" w:color="auto" w:fill="auto"/>
            <w:vAlign w:val="center"/>
          </w:tcPr>
          <w:p w14:paraId="7D56D2FF" w14:textId="77777777" w:rsidR="00D10BA0" w:rsidRDefault="00D10BA0" w:rsidP="00D10BA0">
            <w:pPr>
              <w:jc w:val="center"/>
              <w:rPr>
                <w:rFonts w:cs="Arial"/>
              </w:rPr>
            </w:pPr>
            <w:r>
              <w:rPr>
                <w:rFonts w:cs="Arial"/>
              </w:rPr>
              <w:t>W</w:t>
            </w:r>
            <w:r>
              <w:rPr>
                <w:rFonts w:cs="Arial"/>
                <w:vertAlign w:val="subscript"/>
              </w:rPr>
              <w:t>baseline Avg</w:t>
            </w:r>
          </w:p>
        </w:tc>
        <w:tc>
          <w:tcPr>
            <w:tcW w:w="4638" w:type="dxa"/>
            <w:tcBorders>
              <w:top w:val="single" w:sz="6" w:space="0" w:color="auto"/>
              <w:left w:val="single" w:sz="6" w:space="0" w:color="auto"/>
              <w:bottom w:val="single" w:sz="6" w:space="0" w:color="auto"/>
              <w:right w:val="single" w:sz="6" w:space="0" w:color="auto"/>
            </w:tcBorders>
            <w:shd w:val="clear" w:color="auto" w:fill="auto"/>
            <w:vAlign w:val="center"/>
          </w:tcPr>
          <w:p w14:paraId="7D56D300" w14:textId="77777777" w:rsidR="00D10BA0" w:rsidRPr="00C55AFC" w:rsidRDefault="00D10BA0" w:rsidP="00D10BA0">
            <w:pPr>
              <w:jc w:val="center"/>
              <w:rPr>
                <w:rFonts w:cs="Arial"/>
              </w:rPr>
            </w:pPr>
            <w:r w:rsidRPr="005D0DFB">
              <w:rPr>
                <w:rFonts w:cs="Arial"/>
              </w:rPr>
              <w:t>Base Water Consumption Per Shower Per Year</w:t>
            </w:r>
          </w:p>
        </w:tc>
        <w:tc>
          <w:tcPr>
            <w:tcW w:w="957" w:type="dxa"/>
            <w:tcBorders>
              <w:top w:val="single" w:sz="6" w:space="0" w:color="auto"/>
              <w:left w:val="single" w:sz="6" w:space="0" w:color="auto"/>
              <w:bottom w:val="single" w:sz="6" w:space="0" w:color="auto"/>
              <w:right w:val="single" w:sz="6" w:space="0" w:color="auto"/>
            </w:tcBorders>
            <w:shd w:val="clear" w:color="auto" w:fill="auto"/>
            <w:vAlign w:val="center"/>
          </w:tcPr>
          <w:p w14:paraId="7D56D301" w14:textId="77777777" w:rsidR="00D10BA0" w:rsidRPr="00190F4A" w:rsidRDefault="00D10BA0" w:rsidP="00D10BA0">
            <w:pPr>
              <w:jc w:val="center"/>
              <w:rPr>
                <w:rFonts w:cs="Arial"/>
              </w:rPr>
            </w:pPr>
            <w:r>
              <w:rPr>
                <w:rFonts w:cs="Arial"/>
              </w:rPr>
              <w:t>4373</w:t>
            </w:r>
          </w:p>
        </w:tc>
        <w:tc>
          <w:tcPr>
            <w:tcW w:w="2268" w:type="dxa"/>
            <w:tcBorders>
              <w:top w:val="single" w:sz="6" w:space="0" w:color="auto"/>
              <w:left w:val="single" w:sz="6" w:space="0" w:color="auto"/>
              <w:bottom w:val="single" w:sz="6" w:space="0" w:color="auto"/>
              <w:right w:val="single" w:sz="18" w:space="0" w:color="auto"/>
            </w:tcBorders>
            <w:shd w:val="clear" w:color="auto" w:fill="auto"/>
            <w:vAlign w:val="center"/>
          </w:tcPr>
          <w:p w14:paraId="7D56D302" w14:textId="77777777" w:rsidR="00D10BA0" w:rsidRDefault="00D10BA0" w:rsidP="00D10BA0">
            <w:pPr>
              <w:jc w:val="center"/>
              <w:rPr>
                <w:rFonts w:cs="Arial"/>
              </w:rPr>
            </w:pPr>
            <w:r>
              <w:rPr>
                <w:rFonts w:cs="Arial"/>
              </w:rPr>
              <w:t>Gallons / shower/ yr</w:t>
            </w:r>
          </w:p>
        </w:tc>
      </w:tr>
      <w:tr w:rsidR="00D10BA0" w14:paraId="7D56D308" w14:textId="77777777" w:rsidTr="00D10BA0">
        <w:trPr>
          <w:trHeight w:val="639"/>
        </w:trPr>
        <w:tc>
          <w:tcPr>
            <w:tcW w:w="1923" w:type="dxa"/>
            <w:tcBorders>
              <w:top w:val="single" w:sz="6" w:space="0" w:color="auto"/>
              <w:left w:val="single" w:sz="18" w:space="0" w:color="auto"/>
              <w:bottom w:val="single" w:sz="6" w:space="0" w:color="auto"/>
              <w:right w:val="single" w:sz="6" w:space="0" w:color="auto"/>
            </w:tcBorders>
            <w:shd w:val="clear" w:color="auto" w:fill="auto"/>
            <w:vAlign w:val="center"/>
          </w:tcPr>
          <w:p w14:paraId="7D56D304" w14:textId="77777777" w:rsidR="00D10BA0" w:rsidRDefault="00D10BA0" w:rsidP="00D10BA0">
            <w:pPr>
              <w:jc w:val="center"/>
            </w:pPr>
            <w:r>
              <w:t>t</w:t>
            </w:r>
            <w:r>
              <w:rPr>
                <w:vertAlign w:val="subscript"/>
              </w:rPr>
              <w:t>shower-yr</w:t>
            </w:r>
          </w:p>
        </w:tc>
        <w:tc>
          <w:tcPr>
            <w:tcW w:w="4638" w:type="dxa"/>
            <w:tcBorders>
              <w:top w:val="single" w:sz="6" w:space="0" w:color="auto"/>
              <w:left w:val="single" w:sz="6" w:space="0" w:color="auto"/>
              <w:bottom w:val="single" w:sz="6" w:space="0" w:color="auto"/>
              <w:right w:val="single" w:sz="6" w:space="0" w:color="auto"/>
            </w:tcBorders>
            <w:shd w:val="clear" w:color="auto" w:fill="auto"/>
            <w:vAlign w:val="center"/>
          </w:tcPr>
          <w:p w14:paraId="7D56D305" w14:textId="77777777" w:rsidR="00D10BA0" w:rsidRPr="00BA606A" w:rsidRDefault="00D10BA0" w:rsidP="00D10BA0">
            <w:pPr>
              <w:jc w:val="center"/>
              <w:rPr>
                <w:rFonts w:cs="Arial"/>
              </w:rPr>
            </w:pPr>
            <w:r w:rsidRPr="00BA606A">
              <w:rPr>
                <w:rFonts w:cs="Arial"/>
              </w:rPr>
              <w:t xml:space="preserve">Annual Shower Utilization (minutes per year), </w:t>
            </w:r>
            <w:r w:rsidRPr="00282F5E">
              <w:rPr>
                <w:rFonts w:cs="Arial"/>
                <w:i/>
              </w:rPr>
              <w:t>from CLEAResult study data</w:t>
            </w:r>
          </w:p>
        </w:tc>
        <w:tc>
          <w:tcPr>
            <w:tcW w:w="957" w:type="dxa"/>
            <w:tcBorders>
              <w:top w:val="single" w:sz="6" w:space="0" w:color="auto"/>
              <w:left w:val="single" w:sz="6" w:space="0" w:color="auto"/>
              <w:bottom w:val="single" w:sz="6" w:space="0" w:color="auto"/>
              <w:right w:val="single" w:sz="6" w:space="0" w:color="auto"/>
            </w:tcBorders>
            <w:shd w:val="clear" w:color="auto" w:fill="auto"/>
            <w:vAlign w:val="center"/>
          </w:tcPr>
          <w:p w14:paraId="7D56D306" w14:textId="77777777" w:rsidR="00D10BA0" w:rsidRPr="00BA606A" w:rsidRDefault="00D10BA0" w:rsidP="00D10BA0">
            <w:pPr>
              <w:jc w:val="center"/>
              <w:rPr>
                <w:rFonts w:cs="Arial"/>
              </w:rPr>
            </w:pPr>
            <w:r>
              <w:rPr>
                <w:rFonts w:cs="Arial"/>
              </w:rPr>
              <w:t>1944</w:t>
            </w:r>
          </w:p>
        </w:tc>
        <w:tc>
          <w:tcPr>
            <w:tcW w:w="2268" w:type="dxa"/>
            <w:tcBorders>
              <w:top w:val="single" w:sz="6" w:space="0" w:color="auto"/>
              <w:left w:val="single" w:sz="6" w:space="0" w:color="auto"/>
              <w:bottom w:val="single" w:sz="6" w:space="0" w:color="auto"/>
              <w:right w:val="single" w:sz="18" w:space="0" w:color="auto"/>
            </w:tcBorders>
            <w:shd w:val="clear" w:color="auto" w:fill="auto"/>
            <w:vAlign w:val="center"/>
          </w:tcPr>
          <w:p w14:paraId="7D56D307" w14:textId="77777777" w:rsidR="00D10BA0" w:rsidRPr="00BA606A" w:rsidRDefault="00D10BA0" w:rsidP="00D10BA0">
            <w:pPr>
              <w:jc w:val="center"/>
              <w:rPr>
                <w:rFonts w:cs="Arial"/>
              </w:rPr>
            </w:pPr>
            <w:r w:rsidRPr="00BA606A">
              <w:rPr>
                <w:rFonts w:cs="Arial"/>
              </w:rPr>
              <w:t>Minutes / yr</w:t>
            </w:r>
          </w:p>
        </w:tc>
      </w:tr>
      <w:tr w:rsidR="00D10BA0" w14:paraId="7D56D30D" w14:textId="77777777" w:rsidTr="00D10BA0">
        <w:trPr>
          <w:trHeight w:val="515"/>
        </w:trPr>
        <w:tc>
          <w:tcPr>
            <w:tcW w:w="1923" w:type="dxa"/>
            <w:tcBorders>
              <w:top w:val="single" w:sz="6" w:space="0" w:color="auto"/>
              <w:left w:val="single" w:sz="18" w:space="0" w:color="auto"/>
              <w:bottom w:val="single" w:sz="18" w:space="0" w:color="auto"/>
              <w:right w:val="single" w:sz="6" w:space="0" w:color="auto"/>
            </w:tcBorders>
            <w:shd w:val="clear" w:color="auto" w:fill="auto"/>
            <w:vAlign w:val="center"/>
          </w:tcPr>
          <w:p w14:paraId="7D56D309" w14:textId="77777777" w:rsidR="00D10BA0" w:rsidRDefault="00D10BA0" w:rsidP="00D10BA0">
            <w:pPr>
              <w:jc w:val="center"/>
              <w:rPr>
                <w:rFonts w:cs="Arial"/>
              </w:rPr>
            </w:pPr>
            <w:r>
              <w:rPr>
                <w:rFonts w:cs="Arial"/>
              </w:rPr>
              <w:t>E</w:t>
            </w:r>
            <w:r w:rsidR="0014118A">
              <w:rPr>
                <w:rFonts w:cs="Arial"/>
                <w:vertAlign w:val="subscript"/>
              </w:rPr>
              <w:t>therm baseline</w:t>
            </w:r>
            <w:r>
              <w:rPr>
                <w:rFonts w:cs="Arial"/>
                <w:vertAlign w:val="subscript"/>
              </w:rPr>
              <w:t xml:space="preserve"> Avg</w:t>
            </w:r>
          </w:p>
        </w:tc>
        <w:tc>
          <w:tcPr>
            <w:tcW w:w="4638" w:type="dxa"/>
            <w:tcBorders>
              <w:top w:val="single" w:sz="6" w:space="0" w:color="auto"/>
              <w:left w:val="single" w:sz="6" w:space="0" w:color="auto"/>
              <w:bottom w:val="single" w:sz="18" w:space="0" w:color="auto"/>
              <w:right w:val="single" w:sz="6" w:space="0" w:color="auto"/>
            </w:tcBorders>
            <w:shd w:val="clear" w:color="auto" w:fill="auto"/>
            <w:vAlign w:val="center"/>
          </w:tcPr>
          <w:p w14:paraId="7D56D30A" w14:textId="77777777" w:rsidR="00D10BA0" w:rsidRPr="00D35D45" w:rsidRDefault="0014118A" w:rsidP="00D10BA0">
            <w:pPr>
              <w:jc w:val="center"/>
              <w:rPr>
                <w:rFonts w:cs="Arial"/>
              </w:rPr>
            </w:pPr>
            <w:r>
              <w:rPr>
                <w:rFonts w:cs="Arial"/>
              </w:rPr>
              <w:t>Base</w:t>
            </w:r>
            <w:r w:rsidR="00D10BA0" w:rsidRPr="00D35D45">
              <w:rPr>
                <w:rFonts w:cs="Arial"/>
              </w:rPr>
              <w:t xml:space="preserve"> Gas Consumption Per Shower Per Year</w:t>
            </w:r>
          </w:p>
        </w:tc>
        <w:tc>
          <w:tcPr>
            <w:tcW w:w="957" w:type="dxa"/>
            <w:tcBorders>
              <w:top w:val="single" w:sz="6" w:space="0" w:color="auto"/>
              <w:left w:val="single" w:sz="6" w:space="0" w:color="auto"/>
              <w:bottom w:val="single" w:sz="18" w:space="0" w:color="auto"/>
              <w:right w:val="single" w:sz="6" w:space="0" w:color="auto"/>
            </w:tcBorders>
            <w:shd w:val="clear" w:color="auto" w:fill="auto"/>
            <w:vAlign w:val="center"/>
          </w:tcPr>
          <w:p w14:paraId="7D56D30B" w14:textId="77777777" w:rsidR="00D10BA0" w:rsidRPr="00D35D45" w:rsidRDefault="0014118A" w:rsidP="00D10BA0">
            <w:pPr>
              <w:jc w:val="center"/>
              <w:rPr>
                <w:rFonts w:cs="Arial"/>
              </w:rPr>
            </w:pPr>
            <w:r>
              <w:rPr>
                <w:rFonts w:cs="Arial"/>
              </w:rPr>
              <w:t>18.73</w:t>
            </w:r>
          </w:p>
        </w:tc>
        <w:tc>
          <w:tcPr>
            <w:tcW w:w="2268" w:type="dxa"/>
            <w:tcBorders>
              <w:top w:val="single" w:sz="6" w:space="0" w:color="auto"/>
              <w:left w:val="single" w:sz="6" w:space="0" w:color="auto"/>
              <w:bottom w:val="single" w:sz="18" w:space="0" w:color="auto"/>
              <w:right w:val="single" w:sz="18" w:space="0" w:color="auto"/>
            </w:tcBorders>
            <w:shd w:val="clear" w:color="auto" w:fill="auto"/>
            <w:vAlign w:val="center"/>
          </w:tcPr>
          <w:p w14:paraId="7D56D30C" w14:textId="77777777" w:rsidR="00D10BA0" w:rsidRPr="00D35D45" w:rsidRDefault="00D10BA0" w:rsidP="00D10BA0">
            <w:pPr>
              <w:jc w:val="center"/>
              <w:rPr>
                <w:rFonts w:cs="Arial"/>
              </w:rPr>
            </w:pPr>
            <w:r w:rsidRPr="00D35D45">
              <w:rPr>
                <w:rFonts w:cs="Arial"/>
              </w:rPr>
              <w:t>Therms / yr</w:t>
            </w:r>
          </w:p>
        </w:tc>
      </w:tr>
    </w:tbl>
    <w:p w14:paraId="7D56D30F" w14:textId="0D0801D1" w:rsidR="008000F7" w:rsidRPr="0014118A" w:rsidRDefault="008000F7" w:rsidP="0014118A">
      <w:pPr>
        <w:spacing w:after="200" w:line="276" w:lineRule="auto"/>
        <w:rPr>
          <w:b/>
          <w:bCs/>
          <w:szCs w:val="3276"/>
        </w:rPr>
      </w:pPr>
    </w:p>
    <w:p w14:paraId="7D56D310" w14:textId="77777777" w:rsidR="006704A5" w:rsidRPr="00715795" w:rsidRDefault="00A94BD5" w:rsidP="00B2280B">
      <w:pPr>
        <w:pStyle w:val="SubsectionStyle"/>
        <w:numPr>
          <w:ilvl w:val="1"/>
          <w:numId w:val="10"/>
        </w:numPr>
        <w:rPr>
          <w:rFonts w:asciiTheme="minorHAnsi" w:hAnsiTheme="minorHAnsi"/>
          <w:sz w:val="28"/>
          <w:szCs w:val="28"/>
        </w:rPr>
      </w:pPr>
      <w:r>
        <w:rPr>
          <w:rFonts w:asciiTheme="minorHAnsi" w:hAnsiTheme="minorHAnsi"/>
          <w:sz w:val="28"/>
          <w:szCs w:val="28"/>
        </w:rPr>
        <w:t xml:space="preserve"> </w:t>
      </w:r>
      <w:bookmarkStart w:id="52" w:name="_Toc502148149"/>
      <w:r w:rsidR="006704A5" w:rsidRPr="00715795">
        <w:rPr>
          <w:rFonts w:asciiTheme="minorHAnsi" w:hAnsiTheme="minorHAnsi"/>
          <w:sz w:val="28"/>
          <w:szCs w:val="28"/>
        </w:rPr>
        <w:t>Water Consumption Calculations:</w:t>
      </w:r>
      <w:bookmarkEnd w:id="52"/>
    </w:p>
    <w:p w14:paraId="7D56D311" w14:textId="77777777" w:rsidR="00845141" w:rsidRPr="00715795" w:rsidRDefault="00D10BA0" w:rsidP="00B2280B">
      <w:pPr>
        <w:pStyle w:val="ListParagraph"/>
        <w:numPr>
          <w:ilvl w:val="0"/>
          <w:numId w:val="9"/>
        </w:numPr>
        <w:rPr>
          <w:sz w:val="24"/>
        </w:rPr>
      </w:pPr>
      <w:r>
        <w:rPr>
          <w:sz w:val="24"/>
        </w:rPr>
        <w:t>Lodging</w:t>
      </w:r>
      <w:r w:rsidR="008D0B8C" w:rsidRPr="00715795">
        <w:rPr>
          <w:sz w:val="24"/>
        </w:rPr>
        <w:t xml:space="preserve"> Savings Calculation_case-1:</w:t>
      </w:r>
    </w:p>
    <w:p w14:paraId="7D56D312" w14:textId="2DE28EED" w:rsidR="008D0B8C" w:rsidRDefault="00CB494E" w:rsidP="006704A5">
      <w:pPr>
        <w:ind w:left="720"/>
      </w:pPr>
      <w:r>
        <w:t>D</w:t>
      </w:r>
      <w:r w:rsidR="008D0B8C">
        <w:t xml:space="preserve">ata </w:t>
      </w:r>
      <w:r>
        <w:t>from the “</w:t>
      </w:r>
      <w:r w:rsidRPr="00D93DC4">
        <w:rPr>
          <w:i/>
        </w:rPr>
        <w:t>Commercial and Institutional End Uses of Water</w:t>
      </w:r>
      <w:r>
        <w:t xml:space="preserve">” </w:t>
      </w:r>
      <w:r w:rsidR="008D0B8C">
        <w:t>were utilized to determine the average water consumption from showers in individual hotel rooms.  Water consumption in five hotels was metered over a short-term period at either a whole-building level or sub-metered by room and then disaggregated to determine consumption at multiple end uses.</w:t>
      </w:r>
      <w:r w:rsidR="008D0B8C" w:rsidRPr="008D0B8C">
        <w:t xml:space="preserve"> </w:t>
      </w:r>
      <w:r w:rsidR="008D0B8C">
        <w:t>The data was extrapolated to show annual end use consumption. For the purpose of these calculations, one shower is assumed to be located in each room.</w:t>
      </w:r>
      <w:r w:rsidR="00845141">
        <w:t xml:space="preserve">  As occupancy rates and occupants per room vary, the data from the study were normalized using the weighted occupancy rate during testing and occupants per room to determine the annual consumption per occupant (</w:t>
      </w:r>
      <w:r w:rsidR="007C481E">
        <w:t>W</w:t>
      </w:r>
      <w:r w:rsidR="00FC1974">
        <w:rPr>
          <w:vertAlign w:val="subscript"/>
        </w:rPr>
        <w:t>o</w:t>
      </w:r>
      <w:r w:rsidR="00845141" w:rsidRPr="00142079">
        <w:rPr>
          <w:vertAlign w:val="subscript"/>
        </w:rPr>
        <w:t>cc</w:t>
      </w:r>
      <w:r w:rsidR="00845141">
        <w:t>).</w:t>
      </w:r>
    </w:p>
    <w:p w14:paraId="7D56D313" w14:textId="77777777" w:rsidR="008E407B" w:rsidRDefault="008E407B" w:rsidP="006704A5">
      <w:pPr>
        <w:ind w:left="720"/>
      </w:pPr>
    </w:p>
    <w:p w14:paraId="7D56D314" w14:textId="77777777" w:rsidR="007E0800" w:rsidRPr="007E0800" w:rsidRDefault="007E0800" w:rsidP="007E0800">
      <w:pPr>
        <w:rPr>
          <w:rFonts w:eastAsiaTheme="minorEastAsia"/>
          <w:sz w:val="20"/>
          <w:szCs w:val="20"/>
        </w:rPr>
      </w:pPr>
      <m:oMathPara>
        <m:oMath>
          <m:r>
            <m:rPr>
              <m:sty m:val="p"/>
            </m:rPr>
            <w:rPr>
              <w:rFonts w:ascii="Cambria Math" w:hAnsi="Cambria Math"/>
              <w:sz w:val="20"/>
              <w:szCs w:val="20"/>
            </w:rPr>
            <m:t xml:space="preserve">Annual Water Consumption Per Occupant= </m:t>
          </m:r>
          <m:f>
            <m:fPr>
              <m:ctrlPr>
                <w:rPr>
                  <w:rFonts w:ascii="Cambria Math" w:hAnsi="Cambria Math"/>
                  <w:sz w:val="20"/>
                  <w:szCs w:val="20"/>
                </w:rPr>
              </m:ctrlPr>
            </m:fPr>
            <m:num>
              <m:sSub>
                <m:sSubPr>
                  <m:ctrlPr>
                    <w:rPr>
                      <w:rFonts w:ascii="Cambria Math" w:eastAsiaTheme="minorEastAsia" w:hAnsi="Cambria Math"/>
                      <w:sz w:val="20"/>
                      <w:szCs w:val="20"/>
                    </w:rPr>
                  </m:ctrlPr>
                </m:sSubPr>
                <m:e>
                  <m:r>
                    <m:rPr>
                      <m:sty m:val="p"/>
                    </m:rPr>
                    <w:rPr>
                      <w:rFonts w:ascii="Cambria Math" w:eastAsiaTheme="minorEastAsia" w:hAnsi="Cambria Math"/>
                      <w:sz w:val="20"/>
                      <w:szCs w:val="20"/>
                    </w:rPr>
                    <m:t>Per Shower Consumption</m:t>
                  </m:r>
                </m:e>
                <m:sub>
                  <m:r>
                    <m:rPr>
                      <m:sty m:val="p"/>
                    </m:rPr>
                    <w:rPr>
                      <w:rFonts w:ascii="Cambria Math" w:eastAsiaTheme="minorEastAsia" w:hAnsi="Cambria Math"/>
                      <w:sz w:val="20"/>
                      <w:szCs w:val="20"/>
                    </w:rPr>
                    <m:t>avg</m:t>
                  </m:r>
                </m:sub>
              </m:sSub>
            </m:num>
            <m:den>
              <m:sSub>
                <m:sSubPr>
                  <m:ctrlPr>
                    <w:rPr>
                      <w:rFonts w:ascii="Cambria Math" w:hAnsi="Cambria Math"/>
                      <w:sz w:val="20"/>
                      <w:szCs w:val="20"/>
                    </w:rPr>
                  </m:ctrlPr>
                </m:sSubPr>
                <m:e>
                  <m:r>
                    <m:rPr>
                      <m:sty m:val="p"/>
                    </m:rPr>
                    <w:rPr>
                      <w:rFonts w:ascii="Cambria Math" w:hAnsi="Cambria Math"/>
                      <w:sz w:val="20"/>
                      <w:szCs w:val="20"/>
                    </w:rPr>
                    <m:t>OccRate</m:t>
                  </m:r>
                </m:e>
                <m:sub>
                  <m:r>
                    <m:rPr>
                      <m:sty m:val="p"/>
                    </m:rPr>
                    <w:rPr>
                      <w:rFonts w:ascii="Cambria Math" w:hAnsi="Cambria Math"/>
                      <w:sz w:val="20"/>
                      <w:szCs w:val="20"/>
                    </w:rPr>
                    <m:t>wtd</m:t>
                  </m:r>
                </m:sub>
              </m:sSub>
              <m:r>
                <m:rPr>
                  <m:sty m:val="p"/>
                </m:rPr>
                <w:rPr>
                  <w:rFonts w:ascii="Cambria Math" w:hAnsi="Cambria Math"/>
                  <w:sz w:val="20"/>
                  <w:szCs w:val="20"/>
                </w:rPr>
                <m:t xml:space="preserve"> ×O</m:t>
              </m:r>
              <m:sSub>
                <m:sSubPr>
                  <m:ctrlPr>
                    <w:rPr>
                      <w:rFonts w:ascii="Cambria Math" w:hAnsi="Cambria Math"/>
                      <w:sz w:val="20"/>
                      <w:szCs w:val="20"/>
                    </w:rPr>
                  </m:ctrlPr>
                </m:sSubPr>
                <m:e>
                  <m:r>
                    <m:rPr>
                      <m:sty m:val="p"/>
                    </m:rPr>
                    <w:rPr>
                      <w:rFonts w:ascii="Cambria Math" w:hAnsi="Cambria Math"/>
                      <w:sz w:val="20"/>
                      <w:szCs w:val="20"/>
                    </w:rPr>
                    <m:t>ccPerRoom</m:t>
                  </m:r>
                </m:e>
                <m:sub>
                  <m:r>
                    <m:rPr>
                      <m:sty m:val="p"/>
                    </m:rPr>
                    <w:rPr>
                      <w:rFonts w:ascii="Cambria Math" w:hAnsi="Cambria Math"/>
                      <w:sz w:val="20"/>
                      <w:szCs w:val="20"/>
                    </w:rPr>
                    <m:t>wtd</m:t>
                  </m:r>
                </m:sub>
              </m:sSub>
            </m:den>
          </m:f>
        </m:oMath>
      </m:oMathPara>
    </w:p>
    <w:p w14:paraId="7D56D315" w14:textId="77777777" w:rsidR="007E0800" w:rsidRDefault="007E0800" w:rsidP="00123F19">
      <w:pPr>
        <w:rPr>
          <w:szCs w:val="22"/>
        </w:rPr>
      </w:pPr>
    </w:p>
    <w:p w14:paraId="7D56D316" w14:textId="49659C61" w:rsidR="00276615" w:rsidRPr="00A438D1" w:rsidRDefault="00B36F35" w:rsidP="00276615">
      <w:pPr>
        <w:rPr>
          <w:rFonts w:ascii="Cambria Math" w:hAnsi="Cambria Math"/>
          <w:i/>
          <w:sz w:val="20"/>
          <w:szCs w:val="20"/>
        </w:rPr>
      </w:pPr>
      <m:oMathPara>
        <m:oMath>
          <m:f>
            <m:fPr>
              <m:ctrlPr>
                <w:rPr>
                  <w:rFonts w:ascii="Cambria Math" w:hAnsi="Cambria Math"/>
                  <w:i/>
                  <w:sz w:val="20"/>
                  <w:szCs w:val="20"/>
                </w:rPr>
              </m:ctrlPr>
            </m:fPr>
            <m:num>
              <m:r>
                <w:rPr>
                  <w:rFonts w:ascii="Cambria Math" w:hAnsi="Cambria Math"/>
                  <w:sz w:val="20"/>
                  <w:szCs w:val="20"/>
                </w:rPr>
                <m:t>12,207 Gallons</m:t>
              </m:r>
            </m:num>
            <m:den>
              <m:r>
                <w:rPr>
                  <w:rFonts w:ascii="Cambria Math" w:hAnsi="Cambria Math"/>
                  <w:sz w:val="20"/>
                  <w:szCs w:val="20"/>
                </w:rPr>
                <m:t>0.823×1.87</m:t>
              </m:r>
              <m:f>
                <m:fPr>
                  <m:ctrlPr>
                    <w:rPr>
                      <w:rFonts w:ascii="Cambria Math" w:hAnsi="Cambria Math"/>
                      <w:i/>
                      <w:sz w:val="20"/>
                      <w:szCs w:val="20"/>
                    </w:rPr>
                  </m:ctrlPr>
                </m:fPr>
                <m:num>
                  <m:r>
                    <w:rPr>
                      <w:rFonts w:ascii="Cambria Math" w:hAnsi="Cambria Math"/>
                      <w:sz w:val="20"/>
                      <w:szCs w:val="20"/>
                    </w:rPr>
                    <m:t>Occupant</m:t>
                  </m:r>
                </m:num>
                <m:den>
                  <m:r>
                    <w:rPr>
                      <w:rFonts w:ascii="Cambria Math" w:hAnsi="Cambria Math"/>
                      <w:sz w:val="20"/>
                      <w:szCs w:val="20"/>
                    </w:rPr>
                    <m:t>Room</m:t>
                  </m:r>
                </m:den>
              </m:f>
            </m:den>
          </m:f>
          <m:r>
            <w:rPr>
              <w:rFonts w:ascii="Cambria Math" w:hAnsi="Cambria Math"/>
              <w:sz w:val="20"/>
              <w:szCs w:val="20"/>
            </w:rPr>
            <m:t xml:space="preserve">= 7,938 </m:t>
          </m:r>
          <m:f>
            <m:fPr>
              <m:ctrlPr>
                <w:rPr>
                  <w:rFonts w:ascii="Cambria Math" w:hAnsi="Cambria Math"/>
                  <w:i/>
                  <w:sz w:val="20"/>
                  <w:szCs w:val="20"/>
                </w:rPr>
              </m:ctrlPr>
            </m:fPr>
            <m:num>
              <m:r>
                <w:rPr>
                  <w:rFonts w:ascii="Cambria Math" w:hAnsi="Cambria Math"/>
                  <w:sz w:val="20"/>
                  <w:szCs w:val="20"/>
                </w:rPr>
                <m:t>Gallons</m:t>
              </m:r>
            </m:num>
            <m:den>
              <m:r>
                <w:rPr>
                  <w:rFonts w:ascii="Cambria Math" w:hAnsi="Cambria Math"/>
                  <w:sz w:val="20"/>
                  <w:szCs w:val="20"/>
                </w:rPr>
                <m:t>Occupant</m:t>
              </m:r>
            </m:den>
          </m:f>
        </m:oMath>
      </m:oMathPara>
    </w:p>
    <w:p w14:paraId="7D56D317" w14:textId="77777777" w:rsidR="008E407B" w:rsidRDefault="008E407B" w:rsidP="00123F19">
      <w:pPr>
        <w:rPr>
          <w:szCs w:val="22"/>
        </w:rPr>
      </w:pPr>
    </w:p>
    <w:p w14:paraId="7D56D318" w14:textId="77777777" w:rsidR="00B702D6" w:rsidRDefault="00B702D6" w:rsidP="00123F19">
      <w:pPr>
        <w:rPr>
          <w:szCs w:val="22"/>
        </w:rPr>
      </w:pPr>
    </w:p>
    <w:p w14:paraId="52DEE14B" w14:textId="7F7B3EE9" w:rsidR="00817D27" w:rsidRDefault="00845141" w:rsidP="00DD5CCC">
      <w:pPr>
        <w:ind w:left="720"/>
      </w:pPr>
      <w:r w:rsidRPr="005E3CA2">
        <w:t xml:space="preserve">Additional data </w:t>
      </w:r>
      <w:r w:rsidR="00A36F12" w:rsidRPr="005E3CA2">
        <w:t>(</w:t>
      </w:r>
      <w:r w:rsidR="00A36F12" w:rsidRPr="005E3CA2">
        <w:rPr>
          <w:i/>
        </w:rPr>
        <w:t>shown in Table-</w:t>
      </w:r>
      <w:r w:rsidR="000149A3">
        <w:rPr>
          <w:i/>
        </w:rPr>
        <w:t>11</w:t>
      </w:r>
      <w:r w:rsidR="00A36F12" w:rsidRPr="005E3CA2">
        <w:t xml:space="preserve">) </w:t>
      </w:r>
      <w:r w:rsidR="00C27C21" w:rsidRPr="005E3CA2">
        <w:t>was</w:t>
      </w:r>
      <w:r w:rsidRPr="005E3CA2">
        <w:t xml:space="preserve"> utilized to account for regional average of occupancy rate and national average of occupants per room to find the annual a</w:t>
      </w:r>
      <w:r w:rsidR="00E4794D" w:rsidRPr="005E3CA2">
        <w:t xml:space="preserve">verage consumption per shower. A </w:t>
      </w:r>
      <w:r w:rsidR="00B54704" w:rsidRPr="005E3CA2">
        <w:t xml:space="preserve">study </w:t>
      </w:r>
      <w:r w:rsidR="00E4794D" w:rsidRPr="005E3CA2">
        <w:t>by PKF Consulting</w:t>
      </w:r>
      <w:r w:rsidR="00200F21" w:rsidRPr="005E3CA2">
        <w:t xml:space="preserve"> </w:t>
      </w:r>
      <w:r w:rsidR="00B54704" w:rsidRPr="005E3CA2">
        <w:t>done on October 13, 2015</w:t>
      </w:r>
      <w:r w:rsidR="00C27C21" w:rsidRPr="005E3CA2">
        <w:t xml:space="preserve"> (</w:t>
      </w:r>
      <w:r w:rsidR="00C27C21" w:rsidRPr="005E3CA2">
        <w:rPr>
          <w:i/>
        </w:rPr>
        <w:t>Attachment E</w:t>
      </w:r>
      <w:r w:rsidR="00C27C21" w:rsidRPr="005E3CA2">
        <w:t>),</w:t>
      </w:r>
      <w:r w:rsidR="00B54704" w:rsidRPr="005E3CA2">
        <w:t xml:space="preserve"> </w:t>
      </w:r>
      <w:r w:rsidR="006B0C83" w:rsidRPr="005E3CA2">
        <w:t>evaluated the</w:t>
      </w:r>
      <w:r w:rsidR="00E4794D" w:rsidRPr="005E3CA2">
        <w:t xml:space="preserve"> </w:t>
      </w:r>
      <w:r w:rsidR="006B0C83" w:rsidRPr="005E3CA2">
        <w:t>Southern California</w:t>
      </w:r>
      <w:r w:rsidR="00E4794D" w:rsidRPr="005E3CA2">
        <w:t xml:space="preserve"> lodging</w:t>
      </w:r>
      <w:r w:rsidR="00B54704" w:rsidRPr="005E3CA2">
        <w:t xml:space="preserve"> industry </w:t>
      </w:r>
      <w:r w:rsidR="006B0C83" w:rsidRPr="005E3CA2">
        <w:t xml:space="preserve">for the years from 2010-2015 and forecasted occupancy rates for the year 2016. </w:t>
      </w:r>
      <w:r w:rsidR="00DD5CCC" w:rsidRPr="005E3CA2">
        <w:t xml:space="preserve">The study shows that </w:t>
      </w:r>
      <w:r w:rsidR="006B0C83" w:rsidRPr="005E3CA2">
        <w:t>Los A</w:t>
      </w:r>
      <w:r w:rsidR="00DD5CCC" w:rsidRPr="005E3CA2">
        <w:t xml:space="preserve">ngeles County </w:t>
      </w:r>
      <w:r w:rsidR="00FB3718" w:rsidRPr="005E3CA2">
        <w:t xml:space="preserve">represents 42% of the total market evaluated within the study and </w:t>
      </w:r>
      <w:r w:rsidR="00DD5CCC" w:rsidRPr="005E3CA2">
        <w:t xml:space="preserve">had an 80.0% occupancy rate in 2013, then 81.2% and </w:t>
      </w:r>
      <w:r w:rsidR="00DD5CCC" w:rsidRPr="005E3CA2">
        <w:lastRenderedPageBreak/>
        <w:t>81.6% for 2014 and 2015</w:t>
      </w:r>
      <w:r w:rsidR="00200F21" w:rsidRPr="005E3CA2">
        <w:t>,</w:t>
      </w:r>
      <w:r w:rsidR="00DD5CCC" w:rsidRPr="005E3CA2">
        <w:t xml:space="preserve"> respectively. </w:t>
      </w:r>
      <w:r w:rsidR="00817D27" w:rsidRPr="005E3CA2">
        <w:t xml:space="preserve">This shows that the occupancy rate is slightly rising over the years and </w:t>
      </w:r>
      <w:r w:rsidR="00200F21" w:rsidRPr="005E3CA2">
        <w:t>has been for all evaluated years.</w:t>
      </w:r>
      <w:r w:rsidR="00A50CF1" w:rsidRPr="005E3CA2">
        <w:t xml:space="preserve"> The </w:t>
      </w:r>
      <w:r w:rsidR="005E3CA2">
        <w:t xml:space="preserve">forecasted </w:t>
      </w:r>
      <w:r w:rsidR="00A50CF1" w:rsidRPr="005E3CA2">
        <w:t>occupancy rate</w:t>
      </w:r>
      <w:r w:rsidR="00200F21" w:rsidRPr="005E3CA2">
        <w:t xml:space="preserve"> </w:t>
      </w:r>
      <w:r w:rsidR="00817D27" w:rsidRPr="005E3CA2">
        <w:t xml:space="preserve">was projected to </w:t>
      </w:r>
      <w:r w:rsidR="00C27C21" w:rsidRPr="005E3CA2">
        <w:t>slightly drop by 0.1% in 2016</w:t>
      </w:r>
      <w:r w:rsidR="00817D27" w:rsidRPr="005E3CA2">
        <w:t xml:space="preserve">. </w:t>
      </w:r>
      <w:r w:rsidR="00C27C21" w:rsidRPr="005E3CA2">
        <w:t xml:space="preserve">This projection of a slight drop may be an indication that occupancy rates will be begin to </w:t>
      </w:r>
      <w:r w:rsidR="005E3CA2">
        <w:t>decrease</w:t>
      </w:r>
      <w:r w:rsidR="00C27C21" w:rsidRPr="005E3CA2">
        <w:t xml:space="preserve"> as historical data shows that fluctuation in lodging occupancy rates occur over time. Due to the possibility that </w:t>
      </w:r>
      <w:r w:rsidR="00FB3718" w:rsidRPr="005E3CA2">
        <w:t xml:space="preserve">the market is on the rise and rates may be at its peak, a weighted average </w:t>
      </w:r>
      <w:r w:rsidR="005E3CA2">
        <w:t xml:space="preserve">for occupancy rate </w:t>
      </w:r>
      <w:r w:rsidR="00FB3718" w:rsidRPr="005E3CA2">
        <w:t xml:space="preserve">over </w:t>
      </w:r>
      <w:r w:rsidR="005E3CA2">
        <w:t>the five</w:t>
      </w:r>
      <w:r w:rsidR="00FB3718" w:rsidRPr="005E3CA2">
        <w:t xml:space="preserve"> years of data provided by PKF was calculated. This average rate </w:t>
      </w:r>
      <w:r w:rsidR="005E3CA2">
        <w:t>was</w:t>
      </w:r>
      <w:r w:rsidR="00FB3718" w:rsidRPr="005E3CA2">
        <w:t xml:space="preserve"> foun</w:t>
      </w:r>
      <w:r w:rsidR="003825CC">
        <w:t>d to be 73.17</w:t>
      </w:r>
      <w:r w:rsidR="00FB3718" w:rsidRPr="005E3CA2">
        <w:t>%</w:t>
      </w:r>
      <w:r w:rsidR="005E3CA2">
        <w:t>,</w:t>
      </w:r>
      <w:r w:rsidR="00FB3718" w:rsidRPr="005E3CA2">
        <w:t xml:space="preserve"> which covers the following Southern California counties or areas; Los Angeles, San Diego, Orange County, Santa Barbara, Ventura, Coachella Valley, the Inland Empire, San Luis Obispo, and Southern California Coastal areas. </w:t>
      </w:r>
      <w:r w:rsidR="00817D27" w:rsidRPr="005E3CA2">
        <w:t xml:space="preserve">For the purposes of the calculations within this workpaper, the </w:t>
      </w:r>
      <w:r w:rsidR="003825CC">
        <w:t>weighted average of 73.17</w:t>
      </w:r>
      <w:r w:rsidR="00FB3718" w:rsidRPr="005E3CA2">
        <w:t>%</w:t>
      </w:r>
      <w:r w:rsidR="00817D27" w:rsidRPr="005E3CA2">
        <w:t xml:space="preserve"> occupancy rate was used to calculate all </w:t>
      </w:r>
      <w:r w:rsidR="00FB3718" w:rsidRPr="005E3CA2">
        <w:t xml:space="preserve">lodging related </w:t>
      </w:r>
      <w:r w:rsidR="00817D27" w:rsidRPr="005E3CA2">
        <w:t>wat</w:t>
      </w:r>
      <w:r w:rsidR="00A50CF1" w:rsidRPr="005E3CA2">
        <w:t>er and gas savings. The</w:t>
      </w:r>
      <w:r w:rsidR="00FB3718" w:rsidRPr="005E3CA2">
        <w:t>se</w:t>
      </w:r>
      <w:r w:rsidR="00A50CF1" w:rsidRPr="005E3CA2">
        <w:t xml:space="preserve"> calculations can be found in </w:t>
      </w:r>
      <w:r w:rsidR="00A50CF1" w:rsidRPr="005E3CA2">
        <w:rPr>
          <w:i/>
        </w:rPr>
        <w:t>Attachment B</w:t>
      </w:r>
      <w:r w:rsidR="00A50CF1" w:rsidRPr="005E3CA2">
        <w:t>.</w:t>
      </w:r>
      <w:r w:rsidR="00A50CF1">
        <w:t xml:space="preserve"> </w:t>
      </w:r>
    </w:p>
    <w:p w14:paraId="121F742A" w14:textId="77777777" w:rsidR="00817D27" w:rsidRDefault="00817D27" w:rsidP="00DD5CCC">
      <w:pPr>
        <w:ind w:left="720"/>
      </w:pPr>
    </w:p>
    <w:p w14:paraId="7D56D319" w14:textId="7CD1A7CE" w:rsidR="00845141" w:rsidRDefault="00845141" w:rsidP="00DD5CCC">
      <w:pPr>
        <w:ind w:left="720"/>
      </w:pPr>
      <w:r>
        <w:t>The formula below is used to calculate the normalized annual consumption per shower (</w:t>
      </w:r>
      <w:r w:rsidR="00FB5BF8">
        <w:t>W</w:t>
      </w:r>
      <w:r w:rsidR="00750337">
        <w:rPr>
          <w:vertAlign w:val="subscript"/>
        </w:rPr>
        <w:t>baseline</w:t>
      </w:r>
      <w:r>
        <w:t>), assuming the number of showers identified in the study equal the number of rooms.</w:t>
      </w:r>
    </w:p>
    <w:p w14:paraId="7D56D31A" w14:textId="77777777" w:rsidR="00845141" w:rsidRPr="007E0800" w:rsidRDefault="00845141" w:rsidP="00123F19">
      <w:pPr>
        <w:rPr>
          <w:szCs w:val="22"/>
        </w:rPr>
      </w:pPr>
    </w:p>
    <w:p w14:paraId="7D56D31B" w14:textId="42C3A8BC" w:rsidR="007E0800" w:rsidRPr="00E85644" w:rsidRDefault="00B36F35" w:rsidP="007E0800">
      <w:pPr>
        <w:jc w:val="cente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W</m:t>
              </m:r>
            </m:e>
            <m:sub>
              <m:r>
                <m:rPr>
                  <m:sty m:val="p"/>
                </m:rPr>
                <w:rPr>
                  <w:rFonts w:ascii="Cambria Math" w:hAnsi="Cambria Math"/>
                  <w:sz w:val="20"/>
                  <w:szCs w:val="20"/>
                </w:rPr>
                <m:t>baseline1</m:t>
              </m:r>
            </m:sub>
          </m:sSub>
          <m:r>
            <m:rPr>
              <m:sty m:val="p"/>
            </m:rPr>
            <w:rPr>
              <w:rFonts w:ascii="Cambria Math" w:hAnsi="Cambria Math"/>
              <w:sz w:val="20"/>
              <w:szCs w:val="20"/>
            </w:rPr>
            <m:t>=Annual Consumption Per Occupant ×</m:t>
          </m:r>
          <m:sSub>
            <m:sSubPr>
              <m:ctrlPr>
                <w:rPr>
                  <w:rFonts w:ascii="Cambria Math" w:hAnsi="Cambria Math"/>
                  <w:sz w:val="20"/>
                  <w:szCs w:val="20"/>
                </w:rPr>
              </m:ctrlPr>
            </m:sSubPr>
            <m:e>
              <m:r>
                <m:rPr>
                  <m:sty m:val="p"/>
                </m:rPr>
                <w:rPr>
                  <w:rFonts w:ascii="Cambria Math" w:hAnsi="Cambria Math"/>
                  <w:sz w:val="20"/>
                  <w:szCs w:val="20"/>
                </w:rPr>
                <m:t>OccRate</m:t>
              </m:r>
            </m:e>
            <m:sub>
              <m:r>
                <m:rPr>
                  <m:sty m:val="p"/>
                </m:rPr>
                <w:rPr>
                  <w:rFonts w:ascii="Cambria Math" w:hAnsi="Cambria Math"/>
                  <w:sz w:val="20"/>
                  <w:szCs w:val="20"/>
                </w:rPr>
                <m:t>Region</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OccPerRoom</m:t>
              </m:r>
            </m:e>
            <m:sub>
              <m:r>
                <m:rPr>
                  <m:sty m:val="p"/>
                </m:rPr>
                <w:rPr>
                  <w:rFonts w:ascii="Cambria Math" w:hAnsi="Cambria Math"/>
                  <w:sz w:val="20"/>
                  <w:szCs w:val="20"/>
                </w:rPr>
                <m:t>National</m:t>
              </m:r>
            </m:sub>
          </m:sSub>
        </m:oMath>
      </m:oMathPara>
    </w:p>
    <w:p w14:paraId="7D56D31C" w14:textId="77777777" w:rsidR="00E85644" w:rsidRPr="00E85644" w:rsidRDefault="00E85644" w:rsidP="007E0800">
      <w:pPr>
        <w:jc w:val="center"/>
        <w:rPr>
          <w:sz w:val="20"/>
          <w:szCs w:val="20"/>
        </w:rPr>
      </w:pPr>
    </w:p>
    <w:p w14:paraId="7D56D31D" w14:textId="12CCBE44" w:rsidR="00276615" w:rsidRPr="00EF3723" w:rsidRDefault="007961FC" w:rsidP="00276615">
      <w:pPr>
        <w:jc w:val="center"/>
        <w:rPr>
          <w:rFonts w:ascii="Cambria Math" w:hAnsi="Cambria Math"/>
          <w:i/>
          <w:sz w:val="20"/>
          <w:szCs w:val="20"/>
        </w:rPr>
      </w:pPr>
      <m:oMathPara>
        <m:oMath>
          <m:r>
            <w:rPr>
              <w:rFonts w:ascii="Cambria Math" w:hAnsi="Cambria Math"/>
              <w:sz w:val="20"/>
              <w:szCs w:val="20"/>
            </w:rPr>
            <m:t xml:space="preserve">7,938 </m:t>
          </m:r>
          <m:f>
            <m:fPr>
              <m:ctrlPr>
                <w:rPr>
                  <w:rFonts w:ascii="Cambria Math" w:hAnsi="Cambria Math"/>
                  <w:i/>
                  <w:sz w:val="20"/>
                  <w:szCs w:val="20"/>
                </w:rPr>
              </m:ctrlPr>
            </m:fPr>
            <m:num>
              <m:r>
                <w:rPr>
                  <w:rFonts w:ascii="Cambria Math" w:hAnsi="Cambria Math"/>
                  <w:sz w:val="20"/>
                  <w:szCs w:val="20"/>
                </w:rPr>
                <m:t>Gallons</m:t>
              </m:r>
            </m:num>
            <m:den>
              <m:r>
                <w:rPr>
                  <w:rFonts w:ascii="Cambria Math" w:hAnsi="Cambria Math"/>
                  <w:sz w:val="20"/>
                  <w:szCs w:val="20"/>
                </w:rPr>
                <m:t>Occupant</m:t>
              </m:r>
            </m:den>
          </m:f>
          <m:r>
            <w:rPr>
              <w:rFonts w:ascii="Cambria Math" w:hAnsi="Cambria Math"/>
              <w:sz w:val="20"/>
              <w:szCs w:val="20"/>
            </w:rPr>
            <m:t>×73.17%×1.4</m:t>
          </m:r>
          <m:f>
            <m:fPr>
              <m:ctrlPr>
                <w:rPr>
                  <w:rFonts w:ascii="Cambria Math" w:hAnsi="Cambria Math"/>
                  <w:i/>
                  <w:sz w:val="20"/>
                  <w:szCs w:val="20"/>
                </w:rPr>
              </m:ctrlPr>
            </m:fPr>
            <m:num>
              <m:r>
                <w:rPr>
                  <w:rFonts w:ascii="Cambria Math" w:hAnsi="Cambria Math"/>
                  <w:sz w:val="20"/>
                  <w:szCs w:val="20"/>
                </w:rPr>
                <m:t>Occupant</m:t>
              </m:r>
            </m:num>
            <m:den>
              <m:r>
                <w:rPr>
                  <w:rFonts w:ascii="Cambria Math" w:hAnsi="Cambria Math"/>
                  <w:sz w:val="20"/>
                  <w:szCs w:val="20"/>
                </w:rPr>
                <m:t>Room</m:t>
              </m:r>
            </m:den>
          </m:f>
          <m:r>
            <w:rPr>
              <w:rFonts w:ascii="Cambria Math" w:hAnsi="Cambria Math"/>
              <w:sz w:val="20"/>
              <w:szCs w:val="20"/>
            </w:rPr>
            <m:t xml:space="preserve">=8,131 </m:t>
          </m:r>
          <m:f>
            <m:fPr>
              <m:ctrlPr>
                <w:rPr>
                  <w:rFonts w:ascii="Cambria Math" w:hAnsi="Cambria Math"/>
                  <w:i/>
                  <w:sz w:val="20"/>
                  <w:szCs w:val="20"/>
                </w:rPr>
              </m:ctrlPr>
            </m:fPr>
            <m:num>
              <m:r>
                <w:rPr>
                  <w:rFonts w:ascii="Cambria Math" w:hAnsi="Cambria Math"/>
                  <w:sz w:val="20"/>
                  <w:szCs w:val="20"/>
                </w:rPr>
                <m:t>Gallons</m:t>
              </m:r>
            </m:num>
            <m:den>
              <m:r>
                <w:rPr>
                  <w:rFonts w:ascii="Cambria Math" w:hAnsi="Cambria Math"/>
                  <w:sz w:val="20"/>
                  <w:szCs w:val="20"/>
                </w:rPr>
                <m:t>Shower•Year</m:t>
              </m:r>
            </m:den>
          </m:f>
          <m:r>
            <w:rPr>
              <w:rFonts w:ascii="Cambria Math" w:hAnsi="Cambria Math"/>
              <w:sz w:val="20"/>
              <w:szCs w:val="20"/>
            </w:rPr>
            <m:t xml:space="preserve"> </m:t>
          </m:r>
        </m:oMath>
      </m:oMathPara>
    </w:p>
    <w:p w14:paraId="7D56D31E" w14:textId="77777777" w:rsidR="00E85644" w:rsidRPr="007E0800" w:rsidRDefault="00E85644" w:rsidP="007E0800">
      <w:pPr>
        <w:jc w:val="center"/>
        <w:rPr>
          <w:sz w:val="20"/>
          <w:szCs w:val="20"/>
        </w:rPr>
      </w:pPr>
    </w:p>
    <w:p w14:paraId="7D56D31F" w14:textId="22AB1764" w:rsidR="00222695" w:rsidRDefault="006572FF" w:rsidP="00FE5D92">
      <w:pPr>
        <w:ind w:left="720"/>
        <w:rPr>
          <w:szCs w:val="22"/>
        </w:rPr>
      </w:pPr>
      <w:bookmarkStart w:id="53" w:name="_Hlk501370627"/>
      <w:r>
        <w:rPr>
          <w:szCs w:val="22"/>
        </w:rPr>
        <w:t xml:space="preserve">The </w:t>
      </w:r>
      <w:r w:rsidR="00B06BD9">
        <w:rPr>
          <w:szCs w:val="22"/>
        </w:rPr>
        <w:t>post-retrofit</w:t>
      </w:r>
      <w:r>
        <w:rPr>
          <w:szCs w:val="22"/>
        </w:rPr>
        <w:t xml:space="preserve"> annual consumption </w:t>
      </w:r>
      <w:r w:rsidR="00FE5D92">
        <w:rPr>
          <w:szCs w:val="22"/>
        </w:rPr>
        <w:t xml:space="preserve">per shower </w:t>
      </w:r>
      <w:r>
        <w:rPr>
          <w:szCs w:val="22"/>
        </w:rPr>
        <w:t>(W</w:t>
      </w:r>
      <w:r>
        <w:rPr>
          <w:vertAlign w:val="subscript"/>
        </w:rPr>
        <w:t>post1</w:t>
      </w:r>
      <w:r>
        <w:rPr>
          <w:szCs w:val="22"/>
        </w:rPr>
        <w:t xml:space="preserve">) was calculated using the </w:t>
      </w:r>
      <w:r w:rsidR="00C54F62" w:rsidRPr="00C54F62">
        <w:rPr>
          <w:szCs w:val="22"/>
        </w:rPr>
        <w:t xml:space="preserve">post </w:t>
      </w:r>
      <w:r w:rsidR="006F34F2">
        <w:rPr>
          <w:szCs w:val="22"/>
        </w:rPr>
        <w:t>and</w:t>
      </w:r>
      <w:r w:rsidR="00C54F62" w:rsidRPr="00C54F62">
        <w:rPr>
          <w:szCs w:val="22"/>
        </w:rPr>
        <w:t xml:space="preserve"> existing flow rates</w:t>
      </w:r>
      <w:r>
        <w:rPr>
          <w:szCs w:val="22"/>
        </w:rPr>
        <w:t>:</w:t>
      </w:r>
    </w:p>
    <w:p w14:paraId="18AD2448" w14:textId="77777777" w:rsidR="005E3CA2" w:rsidRDefault="005E3CA2" w:rsidP="00FE5D92">
      <w:pPr>
        <w:ind w:left="720"/>
        <w:rPr>
          <w:szCs w:val="22"/>
        </w:rPr>
      </w:pPr>
    </w:p>
    <w:p w14:paraId="50EFDAE9" w14:textId="6E3663CF" w:rsidR="006572FF" w:rsidRPr="00EF3723" w:rsidRDefault="003825CC" w:rsidP="006572FF">
      <w:pPr>
        <w:jc w:val="center"/>
        <w:rPr>
          <w:rFonts w:ascii="Cambria Math" w:hAnsi="Cambria Math"/>
          <w:i/>
          <w:sz w:val="20"/>
          <w:szCs w:val="20"/>
        </w:rPr>
      </w:pPr>
      <m:oMathPara>
        <m:oMath>
          <m:r>
            <w:rPr>
              <w:rFonts w:ascii="Cambria Math" w:hAnsi="Cambria Math"/>
              <w:sz w:val="20"/>
              <w:szCs w:val="20"/>
            </w:rPr>
            <m:t xml:space="preserve">8,131 </m:t>
          </m:r>
          <m:f>
            <m:fPr>
              <m:ctrlPr>
                <w:rPr>
                  <w:rFonts w:ascii="Cambria Math" w:hAnsi="Cambria Math"/>
                  <w:i/>
                  <w:sz w:val="20"/>
                  <w:szCs w:val="20"/>
                </w:rPr>
              </m:ctrlPr>
            </m:fPr>
            <m:num>
              <m:r>
                <w:rPr>
                  <w:rFonts w:ascii="Cambria Math" w:hAnsi="Cambria Math"/>
                  <w:sz w:val="20"/>
                  <w:szCs w:val="20"/>
                </w:rPr>
                <m:t>Gallons</m:t>
              </m:r>
            </m:num>
            <m:den>
              <m:r>
                <w:rPr>
                  <w:rFonts w:ascii="Cambria Math" w:hAnsi="Cambria Math"/>
                  <w:sz w:val="20"/>
                  <w:szCs w:val="20"/>
                </w:rPr>
                <m:t>Shower•Year</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1.5 gpm post flowrate</m:t>
              </m:r>
            </m:num>
            <m:den>
              <m:r>
                <w:rPr>
                  <w:rFonts w:ascii="Cambria Math" w:hAnsi="Cambria Math"/>
                  <w:sz w:val="20"/>
                  <w:szCs w:val="20"/>
                </w:rPr>
                <m:t>2.25 gpm existing flowrate</m:t>
              </m:r>
            </m:den>
          </m:f>
          <m:r>
            <w:rPr>
              <w:rFonts w:ascii="Cambria Math" w:hAnsi="Cambria Math"/>
              <w:sz w:val="20"/>
              <w:szCs w:val="20"/>
            </w:rPr>
            <m:t xml:space="preserve">= 5,420 </m:t>
          </m:r>
          <m:f>
            <m:fPr>
              <m:ctrlPr>
                <w:rPr>
                  <w:rFonts w:ascii="Cambria Math" w:hAnsi="Cambria Math"/>
                  <w:i/>
                  <w:sz w:val="20"/>
                  <w:szCs w:val="20"/>
                </w:rPr>
              </m:ctrlPr>
            </m:fPr>
            <m:num>
              <m:r>
                <w:rPr>
                  <w:rFonts w:ascii="Cambria Math" w:hAnsi="Cambria Math"/>
                  <w:sz w:val="20"/>
                  <w:szCs w:val="20"/>
                </w:rPr>
                <m:t>Gallons</m:t>
              </m:r>
            </m:num>
            <m:den>
              <m:r>
                <w:rPr>
                  <w:rFonts w:ascii="Cambria Math" w:hAnsi="Cambria Math"/>
                  <w:sz w:val="20"/>
                  <w:szCs w:val="20"/>
                </w:rPr>
                <m:t>Shower•Year</m:t>
              </m:r>
            </m:den>
          </m:f>
        </m:oMath>
      </m:oMathPara>
    </w:p>
    <w:bookmarkEnd w:id="53"/>
    <w:p w14:paraId="16E30B06" w14:textId="77777777" w:rsidR="00FB5BF8" w:rsidRDefault="00FB5BF8" w:rsidP="00123F19">
      <w:pPr>
        <w:rPr>
          <w:szCs w:val="22"/>
        </w:rPr>
      </w:pPr>
    </w:p>
    <w:p w14:paraId="7D56D320" w14:textId="77777777" w:rsidR="00845141" w:rsidRPr="00715795" w:rsidRDefault="00D10BA0" w:rsidP="00B2280B">
      <w:pPr>
        <w:pStyle w:val="ListParagraph"/>
        <w:numPr>
          <w:ilvl w:val="0"/>
          <w:numId w:val="9"/>
        </w:numPr>
        <w:rPr>
          <w:sz w:val="24"/>
        </w:rPr>
      </w:pPr>
      <w:r>
        <w:rPr>
          <w:sz w:val="24"/>
        </w:rPr>
        <w:t>Lodging</w:t>
      </w:r>
      <w:r w:rsidR="00845141" w:rsidRPr="00715795">
        <w:rPr>
          <w:sz w:val="24"/>
        </w:rPr>
        <w:t xml:space="preserve"> Savings Calculation_case-2:</w:t>
      </w:r>
    </w:p>
    <w:p w14:paraId="7D56D321" w14:textId="77777777" w:rsidR="00845141" w:rsidRDefault="00845141" w:rsidP="006704A5">
      <w:pPr>
        <w:ind w:left="720"/>
      </w:pPr>
      <w:r>
        <w:t xml:space="preserve">Additional data </w:t>
      </w:r>
      <w:r w:rsidR="00D93DC4">
        <w:t>(</w:t>
      </w:r>
      <w:r w:rsidR="00D93DC4" w:rsidRPr="00D93DC4">
        <w:rPr>
          <w:i/>
        </w:rPr>
        <w:t>from the Potential for Urban Water Conservation in California</w:t>
      </w:r>
      <w:r w:rsidR="00D93DC4">
        <w:t>)</w:t>
      </w:r>
      <w:r w:rsidR="00D93DC4" w:rsidRPr="00D93DC4">
        <w:t xml:space="preserve"> </w:t>
      </w:r>
      <w:r>
        <w:t>were available allowing for an alternate calculation of water consumption utilizing typical lengths of showers and the above occupancy data.  Using an average shower time (t) of 16.2 minutes per occupant per day, the following calculation is used to calculate annual water consumption:</w:t>
      </w:r>
    </w:p>
    <w:p w14:paraId="7D56D322" w14:textId="77777777" w:rsidR="007E0800" w:rsidRDefault="007E0800" w:rsidP="00123F19">
      <w:pPr>
        <w:rPr>
          <w:szCs w:val="22"/>
        </w:rPr>
      </w:pPr>
    </w:p>
    <w:p w14:paraId="7D56D323" w14:textId="5C7F98B9" w:rsidR="00EF3723" w:rsidRPr="00EF3723" w:rsidRDefault="00B36F35" w:rsidP="00EF3723">
      <w:pPr>
        <w:rPr>
          <w:rFonts w:ascii="Cambria Math" w:hAnsi="Cambria Math"/>
          <w:i/>
          <w:sz w:val="20"/>
          <w:szCs w:val="20"/>
        </w:rPr>
      </w:pPr>
      <m:oMathPara>
        <m:oMath>
          <m:sSub>
            <m:sSubPr>
              <m:ctrlPr>
                <w:rPr>
                  <w:rFonts w:ascii="Cambria Math" w:hAnsi="Cambria Math"/>
                  <w:i/>
                  <w:sz w:val="20"/>
                  <w:szCs w:val="20"/>
                </w:rPr>
              </m:ctrlPr>
            </m:sSubPr>
            <m:e>
              <m:r>
                <w:rPr>
                  <w:rFonts w:ascii="Cambria Math" w:hAnsi="Cambria Math"/>
                  <w:sz w:val="20"/>
                  <w:szCs w:val="20"/>
                </w:rPr>
                <m:t>W</m:t>
              </m:r>
            </m:e>
            <m:sub>
              <m:r>
                <w:rPr>
                  <w:rFonts w:ascii="Cambria Math" w:hAnsi="Cambria Math"/>
                  <w:sz w:val="20"/>
                  <w:szCs w:val="20"/>
                </w:rPr>
                <m:t>baseline2</m:t>
              </m:r>
            </m:sub>
          </m:sSub>
          <m:r>
            <w:rPr>
              <w:rFonts w:ascii="Cambria Math" w:hAnsi="Cambria Math"/>
              <w:sz w:val="20"/>
              <w:szCs w:val="20"/>
            </w:rPr>
            <m:t>=t×</m:t>
          </m:r>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Base existing</m:t>
              </m:r>
            </m:sub>
          </m:sSub>
          <m:r>
            <w:rPr>
              <w:rFonts w:ascii="Cambria Math" w:hAnsi="Cambria Math"/>
              <w:sz w:val="20"/>
              <w:szCs w:val="20"/>
            </w:rPr>
            <m:t>×365×</m:t>
          </m:r>
          <m:sSub>
            <m:sSubPr>
              <m:ctrlPr>
                <w:rPr>
                  <w:rFonts w:ascii="Cambria Math" w:hAnsi="Cambria Math"/>
                  <w:i/>
                  <w:sz w:val="20"/>
                  <w:szCs w:val="20"/>
                </w:rPr>
              </m:ctrlPr>
            </m:sSubPr>
            <m:e>
              <m:r>
                <w:rPr>
                  <w:rFonts w:ascii="Cambria Math" w:hAnsi="Cambria Math"/>
                  <w:sz w:val="20"/>
                  <w:szCs w:val="20"/>
                </w:rPr>
                <m:t>OccRate</m:t>
              </m:r>
            </m:e>
            <m:sub>
              <m:r>
                <w:rPr>
                  <w:rFonts w:ascii="Cambria Math" w:hAnsi="Cambria Math"/>
                  <w:sz w:val="20"/>
                  <w:szCs w:val="20"/>
                </w:rPr>
                <m:t>Region</m:t>
              </m:r>
            </m:sub>
          </m:sSub>
        </m:oMath>
      </m:oMathPara>
    </w:p>
    <w:p w14:paraId="7D56D324" w14:textId="77777777" w:rsidR="00102B5D" w:rsidRPr="00102B5D" w:rsidRDefault="00102B5D" w:rsidP="007E0800">
      <w:pPr>
        <w:rPr>
          <w:rFonts w:eastAsiaTheme="minorEastAsia"/>
          <w:sz w:val="20"/>
          <w:szCs w:val="20"/>
        </w:rPr>
      </w:pPr>
    </w:p>
    <w:p w14:paraId="7D56D325" w14:textId="51D8422B" w:rsidR="00102B5D" w:rsidRPr="00A438D1" w:rsidRDefault="00A438D1" w:rsidP="00102B5D">
      <w:pPr>
        <w:rPr>
          <w:rFonts w:ascii="Cambria Math" w:hAnsi="Cambria Math"/>
          <w:i/>
          <w:sz w:val="20"/>
          <w:szCs w:val="20"/>
        </w:rPr>
      </w:pPr>
      <m:oMathPara>
        <m:oMath>
          <m:r>
            <w:rPr>
              <w:rFonts w:ascii="Cambria Math" w:hAnsi="Cambria Math"/>
              <w:sz w:val="20"/>
              <w:szCs w:val="20"/>
            </w:rPr>
            <m:t xml:space="preserve">16.2 </m:t>
          </m:r>
          <m:f>
            <m:fPr>
              <m:ctrlPr>
                <w:rPr>
                  <w:rFonts w:ascii="Cambria Math" w:hAnsi="Cambria Math"/>
                  <w:i/>
                  <w:sz w:val="20"/>
                  <w:szCs w:val="20"/>
                </w:rPr>
              </m:ctrlPr>
            </m:fPr>
            <m:num>
              <m:r>
                <w:rPr>
                  <w:rFonts w:ascii="Cambria Math" w:hAnsi="Cambria Math"/>
                  <w:sz w:val="20"/>
                  <w:szCs w:val="20"/>
                </w:rPr>
                <m:t>Minutes</m:t>
              </m:r>
            </m:num>
            <m:den>
              <m:r>
                <w:rPr>
                  <w:rFonts w:ascii="Cambria Math" w:hAnsi="Cambria Math"/>
                  <w:sz w:val="20"/>
                  <w:szCs w:val="20"/>
                </w:rPr>
                <m:t>Room (shower)×Day</m:t>
              </m:r>
            </m:den>
          </m:f>
          <m:r>
            <w:rPr>
              <w:rFonts w:ascii="Cambria Math" w:hAnsi="Cambria Math"/>
              <w:sz w:val="20"/>
              <w:szCs w:val="20"/>
            </w:rPr>
            <m:t>×2.25</m:t>
          </m:r>
          <m:f>
            <m:fPr>
              <m:ctrlPr>
                <w:rPr>
                  <w:rFonts w:ascii="Cambria Math" w:hAnsi="Cambria Math"/>
                  <w:i/>
                  <w:sz w:val="20"/>
                  <w:szCs w:val="20"/>
                </w:rPr>
              </m:ctrlPr>
            </m:fPr>
            <m:num>
              <m:r>
                <w:rPr>
                  <w:rFonts w:ascii="Cambria Math" w:hAnsi="Cambria Math"/>
                  <w:sz w:val="20"/>
                  <w:szCs w:val="20"/>
                </w:rPr>
                <m:t>Gallons</m:t>
              </m:r>
            </m:num>
            <m:den>
              <m:r>
                <w:rPr>
                  <w:rFonts w:ascii="Cambria Math" w:hAnsi="Cambria Math"/>
                  <w:sz w:val="20"/>
                  <w:szCs w:val="20"/>
                </w:rPr>
                <m:t>Minute</m:t>
              </m:r>
            </m:den>
          </m:f>
          <m:r>
            <w:rPr>
              <w:rFonts w:ascii="Cambria Math" w:hAnsi="Cambria Math"/>
              <w:sz w:val="20"/>
              <w:szCs w:val="20"/>
            </w:rPr>
            <m:t xml:space="preserve"> ×365</m:t>
          </m:r>
          <m:f>
            <m:fPr>
              <m:ctrlPr>
                <w:rPr>
                  <w:rFonts w:ascii="Cambria Math" w:hAnsi="Cambria Math"/>
                  <w:i/>
                  <w:sz w:val="20"/>
                  <w:szCs w:val="20"/>
                </w:rPr>
              </m:ctrlPr>
            </m:fPr>
            <m:num>
              <m:r>
                <w:rPr>
                  <w:rFonts w:ascii="Cambria Math" w:hAnsi="Cambria Math"/>
                  <w:sz w:val="20"/>
                  <w:szCs w:val="20"/>
                </w:rPr>
                <m:t>Day</m:t>
              </m:r>
            </m:num>
            <m:den>
              <m:r>
                <w:rPr>
                  <w:rFonts w:ascii="Cambria Math" w:hAnsi="Cambria Math"/>
                  <w:sz w:val="20"/>
                  <w:szCs w:val="20"/>
                </w:rPr>
                <m:t>Year</m:t>
              </m:r>
            </m:den>
          </m:f>
          <m:r>
            <w:rPr>
              <w:rFonts w:ascii="Cambria Math" w:hAnsi="Cambria Math"/>
              <w:sz w:val="20"/>
              <w:szCs w:val="20"/>
            </w:rPr>
            <m:t xml:space="preserve">×73.17%= 9,734 </m:t>
          </m:r>
          <m:f>
            <m:fPr>
              <m:ctrlPr>
                <w:rPr>
                  <w:rFonts w:ascii="Cambria Math" w:hAnsi="Cambria Math"/>
                  <w:i/>
                  <w:sz w:val="20"/>
                  <w:szCs w:val="20"/>
                </w:rPr>
              </m:ctrlPr>
            </m:fPr>
            <m:num>
              <m:r>
                <w:rPr>
                  <w:rFonts w:ascii="Cambria Math" w:hAnsi="Cambria Math"/>
                  <w:sz w:val="20"/>
                  <w:szCs w:val="20"/>
                </w:rPr>
                <m:t>Gallons</m:t>
              </m:r>
            </m:num>
            <m:den>
              <m:r>
                <w:rPr>
                  <w:rFonts w:ascii="Cambria Math" w:hAnsi="Cambria Math"/>
                  <w:sz w:val="20"/>
                  <w:szCs w:val="20"/>
                </w:rPr>
                <m:t>Shower•Year</m:t>
              </m:r>
            </m:den>
          </m:f>
        </m:oMath>
      </m:oMathPara>
    </w:p>
    <w:p w14:paraId="7D56D326" w14:textId="5AD70F0C" w:rsidR="003A3919" w:rsidRDefault="003A3919" w:rsidP="00123F19">
      <w:pPr>
        <w:rPr>
          <w:sz w:val="20"/>
          <w:szCs w:val="20"/>
        </w:rPr>
      </w:pPr>
    </w:p>
    <w:p w14:paraId="30CB7C0A" w14:textId="518109AF" w:rsidR="00FE5D92" w:rsidRDefault="00FE5D92" w:rsidP="00FE5D92">
      <w:pPr>
        <w:ind w:left="720"/>
        <w:rPr>
          <w:szCs w:val="22"/>
        </w:rPr>
      </w:pPr>
      <w:r>
        <w:rPr>
          <w:szCs w:val="22"/>
        </w:rPr>
        <w:t xml:space="preserve">The </w:t>
      </w:r>
      <w:r w:rsidR="00B06BD9">
        <w:rPr>
          <w:szCs w:val="22"/>
        </w:rPr>
        <w:t xml:space="preserve">post-retrofit </w:t>
      </w:r>
      <w:r>
        <w:rPr>
          <w:szCs w:val="22"/>
        </w:rPr>
        <w:t>annual consumption per shower (W</w:t>
      </w:r>
      <w:r>
        <w:rPr>
          <w:vertAlign w:val="subscript"/>
        </w:rPr>
        <w:t>post2</w:t>
      </w:r>
      <w:r>
        <w:rPr>
          <w:szCs w:val="22"/>
        </w:rPr>
        <w:t xml:space="preserve">) was calculated </w:t>
      </w:r>
      <w:r w:rsidR="00B06BD9">
        <w:rPr>
          <w:szCs w:val="22"/>
        </w:rPr>
        <w:t>using the post</w:t>
      </w:r>
      <w:r>
        <w:rPr>
          <w:szCs w:val="22"/>
        </w:rPr>
        <w:t xml:space="preserve"> </w:t>
      </w:r>
      <w:r w:rsidR="006F34F2">
        <w:rPr>
          <w:szCs w:val="22"/>
        </w:rPr>
        <w:t>and</w:t>
      </w:r>
      <w:r w:rsidR="00B06BD9">
        <w:rPr>
          <w:szCs w:val="22"/>
        </w:rPr>
        <w:t xml:space="preserve"> existing</w:t>
      </w:r>
      <w:r>
        <w:rPr>
          <w:szCs w:val="22"/>
        </w:rPr>
        <w:t xml:space="preserve"> flow rates:</w:t>
      </w:r>
    </w:p>
    <w:p w14:paraId="5E5D672C" w14:textId="77777777" w:rsidR="005E3CA2" w:rsidRDefault="005E3CA2" w:rsidP="00FE5D92">
      <w:pPr>
        <w:ind w:left="720"/>
        <w:rPr>
          <w:szCs w:val="22"/>
        </w:rPr>
      </w:pPr>
    </w:p>
    <w:p w14:paraId="2BAB2DBC" w14:textId="090E1363" w:rsidR="00FE5D92" w:rsidRPr="00EF3723" w:rsidRDefault="00CD1A98" w:rsidP="00FE5D92">
      <w:pPr>
        <w:jc w:val="center"/>
        <w:rPr>
          <w:rFonts w:ascii="Cambria Math" w:hAnsi="Cambria Math"/>
          <w:i/>
          <w:sz w:val="20"/>
          <w:szCs w:val="20"/>
        </w:rPr>
      </w:pPr>
      <m:oMathPara>
        <m:oMath>
          <m:r>
            <w:rPr>
              <w:rFonts w:ascii="Cambria Math" w:hAnsi="Cambria Math"/>
              <w:sz w:val="20"/>
              <w:szCs w:val="20"/>
            </w:rPr>
            <m:t xml:space="preserve">9,734 </m:t>
          </m:r>
          <m:f>
            <m:fPr>
              <m:ctrlPr>
                <w:rPr>
                  <w:rFonts w:ascii="Cambria Math" w:hAnsi="Cambria Math"/>
                  <w:i/>
                  <w:sz w:val="20"/>
                  <w:szCs w:val="20"/>
                </w:rPr>
              </m:ctrlPr>
            </m:fPr>
            <m:num>
              <m:r>
                <w:rPr>
                  <w:rFonts w:ascii="Cambria Math" w:hAnsi="Cambria Math"/>
                  <w:sz w:val="20"/>
                  <w:szCs w:val="20"/>
                </w:rPr>
                <m:t>Gallons</m:t>
              </m:r>
            </m:num>
            <m:den>
              <m:r>
                <w:rPr>
                  <w:rFonts w:ascii="Cambria Math" w:hAnsi="Cambria Math"/>
                  <w:sz w:val="20"/>
                  <w:szCs w:val="20"/>
                </w:rPr>
                <m:t>Shower</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1.5 gpm post flowrate</m:t>
              </m:r>
            </m:num>
            <m:den>
              <m:r>
                <w:rPr>
                  <w:rFonts w:ascii="Cambria Math" w:hAnsi="Cambria Math"/>
                  <w:sz w:val="20"/>
                  <w:szCs w:val="20"/>
                </w:rPr>
                <m:t>2.25 gpm existing flowrate</m:t>
              </m:r>
            </m:den>
          </m:f>
          <m:r>
            <w:rPr>
              <w:rFonts w:ascii="Cambria Math" w:hAnsi="Cambria Math"/>
              <w:sz w:val="20"/>
              <w:szCs w:val="20"/>
            </w:rPr>
            <m:t xml:space="preserve">= 6,489 </m:t>
          </m:r>
          <m:f>
            <m:fPr>
              <m:ctrlPr>
                <w:rPr>
                  <w:rFonts w:ascii="Cambria Math" w:hAnsi="Cambria Math"/>
                  <w:i/>
                  <w:sz w:val="20"/>
                  <w:szCs w:val="20"/>
                </w:rPr>
              </m:ctrlPr>
            </m:fPr>
            <m:num>
              <m:r>
                <w:rPr>
                  <w:rFonts w:ascii="Cambria Math" w:hAnsi="Cambria Math"/>
                  <w:sz w:val="20"/>
                  <w:szCs w:val="20"/>
                </w:rPr>
                <m:t>Gallons</m:t>
              </m:r>
            </m:num>
            <m:den>
              <m:r>
                <w:rPr>
                  <w:rFonts w:ascii="Cambria Math" w:hAnsi="Cambria Math"/>
                  <w:sz w:val="20"/>
                  <w:szCs w:val="20"/>
                </w:rPr>
                <m:t>Shower</m:t>
              </m:r>
            </m:den>
          </m:f>
        </m:oMath>
      </m:oMathPara>
    </w:p>
    <w:p w14:paraId="7E16387E" w14:textId="777323FE" w:rsidR="003940C1" w:rsidRDefault="003940C1" w:rsidP="00123F19">
      <w:pPr>
        <w:rPr>
          <w:sz w:val="20"/>
          <w:szCs w:val="20"/>
        </w:rPr>
      </w:pPr>
    </w:p>
    <w:p w14:paraId="5D832682" w14:textId="0590F7E8" w:rsidR="003940C1" w:rsidRPr="007D5276" w:rsidRDefault="003B023A" w:rsidP="007D5276">
      <w:r w:rsidRPr="00B0164D">
        <w:t>The</w:t>
      </w:r>
      <w:r w:rsidR="003940C1" w:rsidRPr="00B0164D">
        <w:t xml:space="preserve"> annual consumption </w:t>
      </w:r>
      <w:r w:rsidRPr="00B0164D">
        <w:t>f</w:t>
      </w:r>
      <w:r w:rsidR="00A201E5" w:rsidRPr="00B0164D">
        <w:t xml:space="preserve">or existing and </w:t>
      </w:r>
      <w:r w:rsidR="007D5276">
        <w:t>measure case</w:t>
      </w:r>
      <w:r w:rsidR="00A201E5" w:rsidRPr="00B0164D">
        <w:t xml:space="preserve"> showerhead</w:t>
      </w:r>
      <w:r w:rsidR="007D5276">
        <w:t>s for both lodging calculation methodologies</w:t>
      </w:r>
      <w:r w:rsidR="00A201E5" w:rsidRPr="00B0164D">
        <w:t xml:space="preserve"> </w:t>
      </w:r>
      <w:r w:rsidRPr="00B0164D">
        <w:t>were then averaged</w:t>
      </w:r>
      <w:r w:rsidR="007D5276">
        <w:t xml:space="preserve"> and are presented in </w:t>
      </w:r>
      <w:r w:rsidR="007D5276" w:rsidRPr="007D5276">
        <w:rPr>
          <w:i/>
        </w:rPr>
        <w:t>Table-</w:t>
      </w:r>
      <w:r w:rsidR="000149A3">
        <w:rPr>
          <w:i/>
        </w:rPr>
        <w:t>13</w:t>
      </w:r>
      <w:r w:rsidR="007D5276">
        <w:t>.</w:t>
      </w:r>
    </w:p>
    <w:p w14:paraId="4E8D5880" w14:textId="77777777" w:rsidR="003940C1" w:rsidRPr="007E0800" w:rsidRDefault="003940C1" w:rsidP="00123F19">
      <w:pPr>
        <w:rPr>
          <w:sz w:val="20"/>
          <w:szCs w:val="20"/>
        </w:rPr>
      </w:pPr>
    </w:p>
    <w:p w14:paraId="7D56D328" w14:textId="77777777" w:rsidR="006704A5" w:rsidRPr="00715795" w:rsidRDefault="00262432" w:rsidP="00B2280B">
      <w:pPr>
        <w:pStyle w:val="ListParagraph"/>
        <w:numPr>
          <w:ilvl w:val="0"/>
          <w:numId w:val="9"/>
        </w:numPr>
        <w:rPr>
          <w:sz w:val="24"/>
        </w:rPr>
      </w:pPr>
      <w:r w:rsidRPr="00715795">
        <w:rPr>
          <w:sz w:val="24"/>
        </w:rPr>
        <w:lastRenderedPageBreak/>
        <w:t xml:space="preserve">Schools </w:t>
      </w:r>
      <w:r w:rsidR="006704A5" w:rsidRPr="00715795">
        <w:rPr>
          <w:sz w:val="24"/>
        </w:rPr>
        <w:t xml:space="preserve">Savings </w:t>
      </w:r>
      <w:r w:rsidRPr="00715795">
        <w:rPr>
          <w:sz w:val="24"/>
        </w:rPr>
        <w:t>Calculation:</w:t>
      </w:r>
      <w:r w:rsidR="008A0A70" w:rsidRPr="008A0A70">
        <w:rPr>
          <w:rFonts w:cs="Arial"/>
        </w:rPr>
        <w:t xml:space="preserve"> </w:t>
      </w:r>
    </w:p>
    <w:p w14:paraId="7D56D329" w14:textId="27744F29" w:rsidR="007E0800" w:rsidRDefault="00262432" w:rsidP="000F64F0">
      <w:pPr>
        <w:ind w:left="720"/>
      </w:pPr>
      <w:r>
        <w:t xml:space="preserve">Data </w:t>
      </w:r>
      <w:r w:rsidR="00D93DC4">
        <w:t xml:space="preserve">from </w:t>
      </w:r>
      <w:r w:rsidR="00D93DC4" w:rsidRPr="00D93DC4">
        <w:rPr>
          <w:i/>
        </w:rPr>
        <w:t>Table-</w:t>
      </w:r>
      <w:r w:rsidR="000149A3">
        <w:rPr>
          <w:i/>
        </w:rPr>
        <w:t>13</w:t>
      </w:r>
      <w:r w:rsidR="00D93DC4">
        <w:t xml:space="preserve"> </w:t>
      </w:r>
      <w:r w:rsidR="007D5276">
        <w:t>was</w:t>
      </w:r>
      <w:r>
        <w:t xml:space="preserve"> utilized to determine the annual average water consumption from showers in schools.  Water consumption was logged and</w:t>
      </w:r>
      <w:r w:rsidR="005E3CA2">
        <w:t xml:space="preserve"> utility billing information</w:t>
      </w:r>
      <w:r>
        <w:t xml:space="preserve"> wer</w:t>
      </w:r>
      <w:r w:rsidR="005E3CA2">
        <w:t>e reviewed for four schools.</w:t>
      </w:r>
      <w:r w:rsidR="00EA4799">
        <w:t xml:space="preserve"> </w:t>
      </w:r>
      <w:r w:rsidR="005E3CA2">
        <w:fldChar w:fldCharType="begin"/>
      </w:r>
      <w:r w:rsidR="005E3CA2">
        <w:instrText xml:space="preserve"> NOTEREF _Ref502146844 \f \h </w:instrText>
      </w:r>
      <w:r w:rsidR="005E3CA2">
        <w:fldChar w:fldCharType="separate"/>
      </w:r>
      <w:r w:rsidR="005E3CA2" w:rsidRPr="005E3CA2">
        <w:rPr>
          <w:rStyle w:val="EndnoteReference"/>
        </w:rPr>
        <w:t>ii</w:t>
      </w:r>
      <w:r w:rsidR="005E3CA2">
        <w:fldChar w:fldCharType="end"/>
      </w:r>
      <w:r>
        <w:t xml:space="preserve"> </w:t>
      </w:r>
    </w:p>
    <w:p w14:paraId="7D56D32A" w14:textId="77777777" w:rsidR="006D69D9" w:rsidRDefault="006D69D9" w:rsidP="000F64F0">
      <w:pPr>
        <w:ind w:left="720"/>
      </w:pPr>
    </w:p>
    <w:p w14:paraId="7D56D32B" w14:textId="77777777" w:rsidR="006D69D9" w:rsidRDefault="006D69D9" w:rsidP="000F64F0">
      <w:pPr>
        <w:ind w:left="720"/>
      </w:pPr>
      <w:r>
        <w:t xml:space="preserve">The average </w:t>
      </w:r>
      <w:r w:rsidR="00F40609">
        <w:t xml:space="preserve">base case </w:t>
      </w:r>
      <w:r>
        <w:t>water consumption for individual showers was calculated as</w:t>
      </w:r>
      <w:r w:rsidR="00F40609">
        <w:t>:</w:t>
      </w:r>
    </w:p>
    <w:p w14:paraId="7D56D32C" w14:textId="77777777" w:rsidR="006D69D9" w:rsidRDefault="006D69D9" w:rsidP="000F64F0">
      <w:pPr>
        <w:ind w:left="720"/>
        <w:rPr>
          <w:szCs w:val="22"/>
        </w:rPr>
      </w:pPr>
    </w:p>
    <w:p w14:paraId="7D56D32E" w14:textId="0C79CB98" w:rsidR="00E3095E" w:rsidRPr="006F34F2" w:rsidRDefault="00B36F35" w:rsidP="006F34F2">
      <w:pPr>
        <w:rPr>
          <w:i/>
        </w:rPr>
      </w:pPr>
      <m:oMathPara>
        <m:oMath>
          <m:f>
            <m:fPr>
              <m:ctrlPr>
                <w:rPr>
                  <w:rFonts w:ascii="Cambria Math" w:hAnsi="Cambria Math"/>
                  <w:i/>
                </w:rPr>
              </m:ctrlPr>
            </m:fPr>
            <m:num>
              <m:r>
                <w:rPr>
                  <w:rFonts w:ascii="Cambria Math" w:hAnsi="Cambria Math"/>
                </w:rPr>
                <m:t>258,000 Gallons</m:t>
              </m:r>
            </m:num>
            <m:den>
              <m:r>
                <w:rPr>
                  <w:rFonts w:ascii="Cambria Math" w:hAnsi="Cambria Math"/>
                </w:rPr>
                <m:t>59 Showers</m:t>
              </m:r>
            </m:den>
          </m:f>
          <m:r>
            <w:rPr>
              <w:rFonts w:ascii="Cambria Math" w:hAnsi="Cambria Math"/>
            </w:rPr>
            <m:t>= 4,373</m:t>
          </m:r>
          <m:f>
            <m:fPr>
              <m:ctrlPr>
                <w:rPr>
                  <w:rFonts w:ascii="Cambria Math" w:hAnsi="Cambria Math"/>
                  <w:i/>
                </w:rPr>
              </m:ctrlPr>
            </m:fPr>
            <m:num>
              <m:r>
                <w:rPr>
                  <w:rFonts w:ascii="Cambria Math" w:hAnsi="Cambria Math"/>
                </w:rPr>
                <m:t>Gallons</m:t>
              </m:r>
            </m:num>
            <m:den>
              <m:r>
                <w:rPr>
                  <w:rFonts w:ascii="Cambria Math" w:hAnsi="Cambria Math"/>
                </w:rPr>
                <m:t>Year</m:t>
              </m:r>
            </m:den>
          </m:f>
        </m:oMath>
      </m:oMathPara>
    </w:p>
    <w:p w14:paraId="7EF46A22" w14:textId="77777777" w:rsidR="006F34F2" w:rsidRPr="006F34F2" w:rsidRDefault="006F34F2" w:rsidP="006F34F2">
      <w:pPr>
        <w:rPr>
          <w:i/>
        </w:rPr>
      </w:pPr>
    </w:p>
    <w:p w14:paraId="477AFC4D" w14:textId="77777777" w:rsidR="006F34F2" w:rsidRDefault="006F34F2" w:rsidP="006F34F2">
      <w:pPr>
        <w:ind w:left="720"/>
        <w:rPr>
          <w:szCs w:val="22"/>
        </w:rPr>
      </w:pPr>
      <w:r>
        <w:rPr>
          <w:szCs w:val="22"/>
        </w:rPr>
        <w:t>The post-retrofit annual consumption per shower (W</w:t>
      </w:r>
      <w:r>
        <w:rPr>
          <w:vertAlign w:val="subscript"/>
        </w:rPr>
        <w:t>post2</w:t>
      </w:r>
      <w:r>
        <w:rPr>
          <w:szCs w:val="22"/>
        </w:rPr>
        <w:t>) was calculated using the post and existing flow rates:</w:t>
      </w:r>
    </w:p>
    <w:p w14:paraId="542DF727" w14:textId="6AE05D28" w:rsidR="006F34F2" w:rsidRPr="00EF3723" w:rsidRDefault="006F34F2" w:rsidP="006F34F2">
      <w:pPr>
        <w:jc w:val="center"/>
        <w:rPr>
          <w:rFonts w:ascii="Cambria Math" w:hAnsi="Cambria Math"/>
          <w:i/>
          <w:sz w:val="20"/>
          <w:szCs w:val="20"/>
        </w:rPr>
      </w:pPr>
      <m:oMathPara>
        <m:oMath>
          <m:r>
            <w:rPr>
              <w:rFonts w:ascii="Cambria Math" w:hAnsi="Cambria Math"/>
              <w:sz w:val="20"/>
              <w:szCs w:val="20"/>
            </w:rPr>
            <m:t xml:space="preserve">4,373 </m:t>
          </m:r>
          <m:f>
            <m:fPr>
              <m:ctrlPr>
                <w:rPr>
                  <w:rFonts w:ascii="Cambria Math" w:hAnsi="Cambria Math"/>
                  <w:i/>
                  <w:sz w:val="20"/>
                  <w:szCs w:val="20"/>
                </w:rPr>
              </m:ctrlPr>
            </m:fPr>
            <m:num>
              <m:r>
                <w:rPr>
                  <w:rFonts w:ascii="Cambria Math" w:hAnsi="Cambria Math"/>
                  <w:sz w:val="20"/>
                  <w:szCs w:val="20"/>
                </w:rPr>
                <m:t>Gallons</m:t>
              </m:r>
            </m:num>
            <m:den>
              <m:r>
                <w:rPr>
                  <w:rFonts w:ascii="Cambria Math" w:hAnsi="Cambria Math"/>
                  <w:sz w:val="20"/>
                  <w:szCs w:val="20"/>
                </w:rPr>
                <m:t>Shower</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1.5 gpm post flowrate</m:t>
              </m:r>
            </m:num>
            <m:den>
              <m:r>
                <w:rPr>
                  <w:rFonts w:ascii="Cambria Math" w:hAnsi="Cambria Math"/>
                  <w:sz w:val="20"/>
                  <w:szCs w:val="20"/>
                </w:rPr>
                <m:t>2.25 gpm existing flowrate</m:t>
              </m:r>
            </m:den>
          </m:f>
          <m:r>
            <w:rPr>
              <w:rFonts w:ascii="Cambria Math" w:hAnsi="Cambria Math"/>
              <w:sz w:val="20"/>
              <w:szCs w:val="20"/>
            </w:rPr>
            <m:t xml:space="preserve">= 2,915 </m:t>
          </m:r>
          <m:f>
            <m:fPr>
              <m:ctrlPr>
                <w:rPr>
                  <w:rFonts w:ascii="Cambria Math" w:hAnsi="Cambria Math"/>
                  <w:i/>
                  <w:sz w:val="20"/>
                  <w:szCs w:val="20"/>
                </w:rPr>
              </m:ctrlPr>
            </m:fPr>
            <m:num>
              <m:r>
                <w:rPr>
                  <w:rFonts w:ascii="Cambria Math" w:hAnsi="Cambria Math"/>
                  <w:sz w:val="20"/>
                  <w:szCs w:val="20"/>
                </w:rPr>
                <m:t>Gallons</m:t>
              </m:r>
            </m:num>
            <m:den>
              <m:r>
                <w:rPr>
                  <w:rFonts w:ascii="Cambria Math" w:hAnsi="Cambria Math"/>
                  <w:sz w:val="20"/>
                  <w:szCs w:val="20"/>
                </w:rPr>
                <m:t>Shower</m:t>
              </m:r>
            </m:den>
          </m:f>
        </m:oMath>
      </m:oMathPara>
    </w:p>
    <w:p w14:paraId="6164D410" w14:textId="1ACEE913" w:rsidR="006F34F2" w:rsidRDefault="006F34F2" w:rsidP="0014118A">
      <w:pPr>
        <w:spacing w:after="200" w:line="276" w:lineRule="auto"/>
        <w:rPr>
          <w:rFonts w:cstheme="minorHAnsi"/>
        </w:rPr>
      </w:pPr>
    </w:p>
    <w:p w14:paraId="7D56D32F" w14:textId="63819598" w:rsidR="0014118A" w:rsidRDefault="0014118A" w:rsidP="0014118A">
      <w:pPr>
        <w:spacing w:after="200" w:line="276" w:lineRule="auto"/>
        <w:rPr>
          <w:rFonts w:cstheme="minorHAnsi"/>
        </w:rPr>
      </w:pPr>
      <w:r>
        <w:rPr>
          <w:rFonts w:cstheme="minorHAnsi"/>
        </w:rPr>
        <w:t>Summary of the wate</w:t>
      </w:r>
      <w:r w:rsidR="00B702D6">
        <w:rPr>
          <w:rFonts w:cstheme="minorHAnsi"/>
        </w:rPr>
        <w:t xml:space="preserve">r savings are given in Tables </w:t>
      </w:r>
      <w:r w:rsidR="000149A3">
        <w:rPr>
          <w:rFonts w:cstheme="minorHAnsi"/>
        </w:rPr>
        <w:t>13</w:t>
      </w:r>
      <w:r w:rsidR="00B702D6">
        <w:rPr>
          <w:rFonts w:cstheme="minorHAnsi"/>
        </w:rPr>
        <w:t xml:space="preserve"> &amp; </w:t>
      </w:r>
      <w:r w:rsidR="000149A3">
        <w:rPr>
          <w:rFonts w:cstheme="minorHAnsi"/>
        </w:rPr>
        <w:t>14</w:t>
      </w:r>
      <w:r>
        <w:rPr>
          <w:rFonts w:cstheme="minorHAnsi"/>
        </w:rPr>
        <w:t xml:space="preserve"> and</w:t>
      </w:r>
      <w:r w:rsidR="005E3CA2">
        <w:rPr>
          <w:rFonts w:cstheme="minorHAnsi"/>
        </w:rPr>
        <w:t xml:space="preserve"> more details of the calculations can be found in </w:t>
      </w:r>
      <w:r w:rsidR="005E3CA2">
        <w:rPr>
          <w:rFonts w:cstheme="minorHAnsi"/>
          <w:i/>
        </w:rPr>
        <w:t>Attachment B</w:t>
      </w:r>
      <w:r w:rsidR="005E3CA2">
        <w:rPr>
          <w:rFonts w:cstheme="minorHAnsi"/>
        </w:rPr>
        <w:t>.</w:t>
      </w:r>
    </w:p>
    <w:p w14:paraId="7D56D330" w14:textId="6D6E93FC" w:rsidR="00D96884" w:rsidRDefault="0014118A" w:rsidP="005F5A81">
      <w:pPr>
        <w:spacing w:after="200" w:line="276" w:lineRule="auto"/>
        <w:rPr>
          <w:rFonts w:cstheme="minorHAnsi"/>
        </w:rPr>
      </w:pPr>
      <w:r w:rsidRPr="002B4550">
        <w:rPr>
          <w:rFonts w:cstheme="minorHAnsi"/>
        </w:rPr>
        <w:t>The saving</w:t>
      </w:r>
      <w:r w:rsidR="005E3CA2">
        <w:rPr>
          <w:rFonts w:cstheme="minorHAnsi"/>
        </w:rPr>
        <w:t>s</w:t>
      </w:r>
      <w:r w:rsidRPr="002B4550">
        <w:rPr>
          <w:rFonts w:cstheme="minorHAnsi"/>
        </w:rPr>
        <w:t xml:space="preserve"> for Early Retirement (ER) measures will have dual baselines, denoted as first and second baselines. The first baseline savings utilize</w:t>
      </w:r>
      <w:r w:rsidR="00DE66BF">
        <w:rPr>
          <w:rFonts w:cstheme="minorHAnsi"/>
        </w:rPr>
        <w:t>s</w:t>
      </w:r>
      <w:r w:rsidRPr="002B4550">
        <w:rPr>
          <w:rFonts w:cstheme="minorHAnsi"/>
        </w:rPr>
        <w:t xml:space="preserve"> a 2.25 GPM flow rate while the second baseline utilize</w:t>
      </w:r>
      <w:r w:rsidR="00EA4799">
        <w:rPr>
          <w:rFonts w:cstheme="minorHAnsi"/>
        </w:rPr>
        <w:t>s</w:t>
      </w:r>
      <w:r w:rsidRPr="002B4550">
        <w:rPr>
          <w:rFonts w:cstheme="minorHAnsi"/>
        </w:rPr>
        <w:t xml:space="preserve"> </w:t>
      </w:r>
      <w:r>
        <w:rPr>
          <w:rFonts w:cstheme="minorHAnsi"/>
        </w:rPr>
        <w:t xml:space="preserve">the </w:t>
      </w:r>
      <w:r w:rsidR="00EA4799">
        <w:rPr>
          <w:rFonts w:cstheme="minorHAnsi"/>
        </w:rPr>
        <w:t xml:space="preserve">2018 </w:t>
      </w:r>
      <w:r>
        <w:rPr>
          <w:rFonts w:cstheme="minorHAnsi"/>
        </w:rPr>
        <w:t xml:space="preserve">code </w:t>
      </w:r>
      <w:r w:rsidRPr="002B4550">
        <w:rPr>
          <w:rFonts w:cstheme="minorHAnsi"/>
        </w:rPr>
        <w:t xml:space="preserve">flow rate of </w:t>
      </w:r>
      <w:r w:rsidR="00EA4799">
        <w:rPr>
          <w:rFonts w:cstheme="minorHAnsi"/>
        </w:rPr>
        <w:t>1.8 GPM.</w:t>
      </w:r>
    </w:p>
    <w:p w14:paraId="7D56D331" w14:textId="2DBC11C9" w:rsidR="00C562ED" w:rsidRPr="00AB1B92" w:rsidRDefault="0014118A" w:rsidP="0014118A">
      <w:pPr>
        <w:pStyle w:val="Caption"/>
        <w:rPr>
          <w:szCs w:val="22"/>
        </w:rPr>
      </w:pPr>
      <w:bookmarkStart w:id="54" w:name="_Toc442688319"/>
      <w:bookmarkStart w:id="55" w:name="_Toc501451182"/>
      <w:r>
        <w:t xml:space="preserve">Table </w:t>
      </w:r>
      <w:r w:rsidR="000149A3">
        <w:t>13</w:t>
      </w:r>
      <w:r w:rsidR="00C562ED" w:rsidRPr="00AB1B92">
        <w:rPr>
          <w:szCs w:val="22"/>
        </w:rPr>
        <w:t>: Annual Water Consumption Per Sh</w:t>
      </w:r>
      <w:r w:rsidR="008C6851">
        <w:rPr>
          <w:szCs w:val="22"/>
        </w:rPr>
        <w:t>owerhead</w:t>
      </w:r>
      <w:r w:rsidR="00C562ED" w:rsidRPr="00AB1B92">
        <w:rPr>
          <w:szCs w:val="22"/>
        </w:rPr>
        <w:t xml:space="preserve">: </w:t>
      </w:r>
      <w:bookmarkEnd w:id="54"/>
      <w:bookmarkEnd w:id="55"/>
    </w:p>
    <w:tbl>
      <w:tblPr>
        <w:tblStyle w:val="TableContemporary"/>
        <w:tblpPr w:leftFromText="180" w:rightFromText="180" w:vertAnchor="text" w:horzAnchor="margin" w:tblpY="129"/>
        <w:tblW w:w="4897" w:type="pct"/>
        <w:tblLook w:val="01E0" w:firstRow="1" w:lastRow="1" w:firstColumn="1" w:lastColumn="1" w:noHBand="0" w:noVBand="0"/>
      </w:tblPr>
      <w:tblGrid>
        <w:gridCol w:w="4329"/>
        <w:gridCol w:w="2374"/>
        <w:gridCol w:w="2464"/>
      </w:tblGrid>
      <w:tr w:rsidR="00121E2E" w:rsidRPr="00AB1B92" w14:paraId="7D56D335" w14:textId="77777777" w:rsidTr="00121E2E">
        <w:trPr>
          <w:cnfStyle w:val="100000000000" w:firstRow="1" w:lastRow="0" w:firstColumn="0" w:lastColumn="0" w:oddVBand="0" w:evenVBand="0" w:oddHBand="0" w:evenHBand="0" w:firstRowFirstColumn="0" w:firstRowLastColumn="0" w:lastRowFirstColumn="0" w:lastRowLastColumn="0"/>
          <w:trHeight w:hRule="exact" w:val="288"/>
        </w:trPr>
        <w:tc>
          <w:tcPr>
            <w:tcW w:w="2361" w:type="pct"/>
          </w:tcPr>
          <w:p w14:paraId="7D56D332" w14:textId="2B1EA2D5" w:rsidR="00121E2E" w:rsidRPr="00AB1B92" w:rsidRDefault="00121E2E" w:rsidP="00E04259">
            <w:pPr>
              <w:jc w:val="center"/>
              <w:rPr>
                <w:rFonts w:cs="Arial"/>
                <w:sz w:val="22"/>
                <w:szCs w:val="22"/>
              </w:rPr>
            </w:pPr>
            <w:r w:rsidRPr="00AB1B92">
              <w:rPr>
                <w:rFonts w:cs="Arial"/>
                <w:sz w:val="22"/>
                <w:szCs w:val="22"/>
              </w:rPr>
              <w:t>Showerhead</w:t>
            </w:r>
            <w:r w:rsidR="00E04259">
              <w:rPr>
                <w:rFonts w:cs="Arial"/>
                <w:sz w:val="22"/>
                <w:szCs w:val="22"/>
              </w:rPr>
              <w:t xml:space="preserve"> Type</w:t>
            </w:r>
          </w:p>
        </w:tc>
        <w:tc>
          <w:tcPr>
            <w:tcW w:w="1295" w:type="pct"/>
          </w:tcPr>
          <w:p w14:paraId="7D56D333" w14:textId="6D8388BB" w:rsidR="00121E2E" w:rsidRPr="00AB1B92" w:rsidRDefault="00121E2E" w:rsidP="00E04259">
            <w:pPr>
              <w:jc w:val="center"/>
              <w:rPr>
                <w:rFonts w:cs="Arial"/>
                <w:sz w:val="22"/>
                <w:szCs w:val="22"/>
              </w:rPr>
            </w:pPr>
            <w:r w:rsidRPr="00AB1B92">
              <w:rPr>
                <w:rFonts w:cs="Arial"/>
                <w:sz w:val="22"/>
                <w:szCs w:val="22"/>
              </w:rPr>
              <w:t>Lodging</w:t>
            </w:r>
          </w:p>
        </w:tc>
        <w:tc>
          <w:tcPr>
            <w:tcW w:w="1344" w:type="pct"/>
          </w:tcPr>
          <w:p w14:paraId="7D56D334" w14:textId="695B41E3" w:rsidR="00121E2E" w:rsidRPr="00AB1B92" w:rsidRDefault="00121E2E" w:rsidP="00E04259">
            <w:pPr>
              <w:jc w:val="center"/>
              <w:rPr>
                <w:rFonts w:cs="Arial"/>
                <w:sz w:val="22"/>
                <w:szCs w:val="22"/>
              </w:rPr>
            </w:pPr>
            <w:r w:rsidRPr="00AB1B92">
              <w:rPr>
                <w:rFonts w:cs="Arial"/>
                <w:sz w:val="22"/>
                <w:szCs w:val="22"/>
              </w:rPr>
              <w:t>Schools</w:t>
            </w:r>
          </w:p>
        </w:tc>
      </w:tr>
      <w:tr w:rsidR="00121E2E" w:rsidRPr="00AB1B92" w14:paraId="7D56D33A" w14:textId="77777777" w:rsidTr="00121E2E">
        <w:trPr>
          <w:cnfStyle w:val="000000100000" w:firstRow="0" w:lastRow="0" w:firstColumn="0" w:lastColumn="0" w:oddVBand="0" w:evenVBand="0" w:oddHBand="1" w:evenHBand="0" w:firstRowFirstColumn="0" w:firstRowLastColumn="0" w:lastRowFirstColumn="0" w:lastRowLastColumn="0"/>
          <w:trHeight w:hRule="exact" w:val="288"/>
        </w:trPr>
        <w:tc>
          <w:tcPr>
            <w:tcW w:w="2361" w:type="pct"/>
          </w:tcPr>
          <w:p w14:paraId="7D56D336" w14:textId="77777777" w:rsidR="00121E2E" w:rsidRPr="00AB1B92" w:rsidRDefault="00121E2E" w:rsidP="00121E2E">
            <w:pPr>
              <w:rPr>
                <w:rFonts w:cs="Arial"/>
                <w:b/>
                <w:sz w:val="22"/>
                <w:szCs w:val="22"/>
              </w:rPr>
            </w:pPr>
            <w:r w:rsidRPr="00AB1B92">
              <w:rPr>
                <w:rFonts w:cs="Arial"/>
                <w:b/>
                <w:sz w:val="22"/>
                <w:szCs w:val="22"/>
              </w:rPr>
              <w:t>2.25 GPM Showerhead</w:t>
            </w:r>
          </w:p>
        </w:tc>
        <w:tc>
          <w:tcPr>
            <w:tcW w:w="1295" w:type="pct"/>
          </w:tcPr>
          <w:p w14:paraId="7D56D337" w14:textId="312645FF" w:rsidR="00121E2E" w:rsidRPr="00AB1B92" w:rsidRDefault="00CD1A98" w:rsidP="00121E2E">
            <w:pPr>
              <w:jc w:val="center"/>
              <w:rPr>
                <w:rFonts w:cs="Arial"/>
                <w:b/>
                <w:sz w:val="22"/>
                <w:szCs w:val="22"/>
              </w:rPr>
            </w:pPr>
            <w:r>
              <w:rPr>
                <w:rFonts w:cs="Arial"/>
                <w:b/>
                <w:sz w:val="22"/>
                <w:szCs w:val="22"/>
              </w:rPr>
              <w:t>8,932</w:t>
            </w:r>
          </w:p>
        </w:tc>
        <w:tc>
          <w:tcPr>
            <w:tcW w:w="1344" w:type="pct"/>
          </w:tcPr>
          <w:p w14:paraId="7D56D338" w14:textId="1D3AC010" w:rsidR="00121E2E" w:rsidRPr="00AB1B92" w:rsidRDefault="00121E2E" w:rsidP="00121E2E">
            <w:pPr>
              <w:jc w:val="center"/>
              <w:rPr>
                <w:rFonts w:cs="Arial"/>
                <w:b/>
                <w:sz w:val="22"/>
                <w:szCs w:val="22"/>
              </w:rPr>
            </w:pPr>
            <w:r w:rsidRPr="00AB1B92">
              <w:rPr>
                <w:rFonts w:cs="Arial"/>
                <w:b/>
                <w:sz w:val="22"/>
                <w:szCs w:val="22"/>
              </w:rPr>
              <w:t>4</w:t>
            </w:r>
            <w:r w:rsidR="00123DBA">
              <w:rPr>
                <w:rFonts w:cs="Arial"/>
                <w:b/>
                <w:sz w:val="22"/>
                <w:szCs w:val="22"/>
              </w:rPr>
              <w:t>,</w:t>
            </w:r>
            <w:r w:rsidRPr="00AB1B92">
              <w:rPr>
                <w:rFonts w:cs="Arial"/>
                <w:b/>
                <w:sz w:val="22"/>
                <w:szCs w:val="22"/>
              </w:rPr>
              <w:t>373</w:t>
            </w:r>
          </w:p>
          <w:p w14:paraId="7D56D339" w14:textId="77777777" w:rsidR="00121E2E" w:rsidRPr="00AB1B92" w:rsidRDefault="00121E2E" w:rsidP="00121E2E">
            <w:pPr>
              <w:jc w:val="center"/>
              <w:rPr>
                <w:rFonts w:cs="Arial"/>
                <w:b/>
                <w:sz w:val="22"/>
                <w:szCs w:val="22"/>
              </w:rPr>
            </w:pPr>
          </w:p>
        </w:tc>
      </w:tr>
      <w:tr w:rsidR="00121E2E" w:rsidRPr="00AB1B92" w14:paraId="7D56D33F" w14:textId="77777777" w:rsidTr="00121E2E">
        <w:trPr>
          <w:cnfStyle w:val="000000010000" w:firstRow="0" w:lastRow="0" w:firstColumn="0" w:lastColumn="0" w:oddVBand="0" w:evenVBand="0" w:oddHBand="0" w:evenHBand="1" w:firstRowFirstColumn="0" w:firstRowLastColumn="0" w:lastRowFirstColumn="0" w:lastRowLastColumn="0"/>
          <w:trHeight w:hRule="exact" w:val="288"/>
        </w:trPr>
        <w:tc>
          <w:tcPr>
            <w:tcW w:w="2361" w:type="pct"/>
          </w:tcPr>
          <w:p w14:paraId="7D56D33B" w14:textId="77777777" w:rsidR="00121E2E" w:rsidRPr="00AB1B92" w:rsidRDefault="00121E2E" w:rsidP="00121E2E">
            <w:pPr>
              <w:rPr>
                <w:rFonts w:cs="Arial"/>
                <w:b/>
                <w:sz w:val="22"/>
                <w:szCs w:val="22"/>
              </w:rPr>
            </w:pPr>
            <w:r w:rsidRPr="00AB1B92">
              <w:rPr>
                <w:rFonts w:cs="Arial"/>
                <w:b/>
                <w:sz w:val="22"/>
                <w:szCs w:val="22"/>
              </w:rPr>
              <w:t>1.5 GPM Showerhead</w:t>
            </w:r>
          </w:p>
        </w:tc>
        <w:tc>
          <w:tcPr>
            <w:tcW w:w="1295" w:type="pct"/>
          </w:tcPr>
          <w:p w14:paraId="7D56D33C" w14:textId="4994098C" w:rsidR="00121E2E" w:rsidRPr="00AB1B92" w:rsidRDefault="00CD1A98" w:rsidP="00123DBA">
            <w:pPr>
              <w:jc w:val="center"/>
              <w:rPr>
                <w:rFonts w:cs="Arial"/>
                <w:b/>
                <w:sz w:val="22"/>
                <w:szCs w:val="22"/>
              </w:rPr>
            </w:pPr>
            <w:r>
              <w:rPr>
                <w:rFonts w:cs="Arial"/>
                <w:b/>
                <w:sz w:val="22"/>
                <w:szCs w:val="22"/>
              </w:rPr>
              <w:t>5,955</w:t>
            </w:r>
          </w:p>
        </w:tc>
        <w:tc>
          <w:tcPr>
            <w:tcW w:w="1344" w:type="pct"/>
          </w:tcPr>
          <w:p w14:paraId="7D56D33D" w14:textId="6548FCE9" w:rsidR="00121E2E" w:rsidRPr="00AB1B92" w:rsidRDefault="00121E2E" w:rsidP="00121E2E">
            <w:pPr>
              <w:jc w:val="center"/>
              <w:rPr>
                <w:rFonts w:cs="Arial"/>
                <w:b/>
                <w:sz w:val="22"/>
                <w:szCs w:val="22"/>
              </w:rPr>
            </w:pPr>
            <w:r w:rsidRPr="00AB1B92">
              <w:rPr>
                <w:rFonts w:cs="Arial"/>
                <w:b/>
                <w:sz w:val="22"/>
                <w:szCs w:val="22"/>
              </w:rPr>
              <w:t>2</w:t>
            </w:r>
            <w:r w:rsidR="00123DBA">
              <w:rPr>
                <w:rFonts w:cs="Arial"/>
                <w:b/>
                <w:sz w:val="22"/>
                <w:szCs w:val="22"/>
              </w:rPr>
              <w:t>,</w:t>
            </w:r>
            <w:r w:rsidRPr="00AB1B92">
              <w:rPr>
                <w:rFonts w:cs="Arial"/>
                <w:b/>
                <w:sz w:val="22"/>
                <w:szCs w:val="22"/>
              </w:rPr>
              <w:t>915</w:t>
            </w:r>
          </w:p>
          <w:p w14:paraId="7D56D33E" w14:textId="77777777" w:rsidR="00121E2E" w:rsidRPr="00AB1B92" w:rsidRDefault="00121E2E" w:rsidP="00121E2E">
            <w:pPr>
              <w:jc w:val="center"/>
              <w:rPr>
                <w:rFonts w:cs="Arial"/>
                <w:b/>
                <w:sz w:val="22"/>
                <w:szCs w:val="22"/>
              </w:rPr>
            </w:pPr>
          </w:p>
        </w:tc>
      </w:tr>
      <w:tr w:rsidR="00121E2E" w:rsidRPr="00AB1B92" w14:paraId="7D56D343" w14:textId="77777777" w:rsidTr="00121E2E">
        <w:trPr>
          <w:cnfStyle w:val="000000100000" w:firstRow="0" w:lastRow="0" w:firstColumn="0" w:lastColumn="0" w:oddVBand="0" w:evenVBand="0" w:oddHBand="1" w:evenHBand="0" w:firstRowFirstColumn="0" w:firstRowLastColumn="0" w:lastRowFirstColumn="0" w:lastRowLastColumn="0"/>
          <w:trHeight w:hRule="exact" w:val="288"/>
        </w:trPr>
        <w:tc>
          <w:tcPr>
            <w:tcW w:w="2361" w:type="pct"/>
          </w:tcPr>
          <w:p w14:paraId="7D56D340" w14:textId="77777777" w:rsidR="00121E2E" w:rsidRPr="00AB1B92" w:rsidRDefault="00121E2E" w:rsidP="00121E2E">
            <w:pPr>
              <w:rPr>
                <w:rFonts w:cs="Arial"/>
                <w:b/>
                <w:sz w:val="22"/>
                <w:szCs w:val="22"/>
              </w:rPr>
            </w:pPr>
            <w:r w:rsidRPr="00AB1B92">
              <w:rPr>
                <w:rFonts w:cs="Arial"/>
                <w:b/>
                <w:sz w:val="22"/>
                <w:szCs w:val="22"/>
              </w:rPr>
              <w:t>1.8 GPM Showerhead</w:t>
            </w:r>
          </w:p>
        </w:tc>
        <w:tc>
          <w:tcPr>
            <w:tcW w:w="1295" w:type="pct"/>
          </w:tcPr>
          <w:p w14:paraId="7D56D341" w14:textId="24220C41" w:rsidR="00121E2E" w:rsidRPr="00AB1B92" w:rsidRDefault="00CD1A98" w:rsidP="00121E2E">
            <w:pPr>
              <w:jc w:val="center"/>
              <w:rPr>
                <w:rFonts w:cs="Arial"/>
                <w:b/>
                <w:sz w:val="22"/>
                <w:szCs w:val="22"/>
              </w:rPr>
            </w:pPr>
            <w:r>
              <w:rPr>
                <w:rFonts w:cs="Arial"/>
                <w:b/>
                <w:sz w:val="22"/>
                <w:szCs w:val="22"/>
              </w:rPr>
              <w:t>7,146</w:t>
            </w:r>
          </w:p>
        </w:tc>
        <w:tc>
          <w:tcPr>
            <w:tcW w:w="1344" w:type="pct"/>
          </w:tcPr>
          <w:p w14:paraId="7D56D342" w14:textId="7446E47C" w:rsidR="00121E2E" w:rsidRPr="00AB1B92" w:rsidRDefault="00121E2E" w:rsidP="00121E2E">
            <w:pPr>
              <w:jc w:val="center"/>
              <w:rPr>
                <w:rFonts w:cs="Arial"/>
                <w:b/>
                <w:sz w:val="22"/>
                <w:szCs w:val="22"/>
              </w:rPr>
            </w:pPr>
            <w:r w:rsidRPr="00AB1B92">
              <w:rPr>
                <w:rFonts w:cs="Arial"/>
                <w:b/>
                <w:sz w:val="22"/>
                <w:szCs w:val="22"/>
              </w:rPr>
              <w:t>3</w:t>
            </w:r>
            <w:r w:rsidR="00123DBA">
              <w:rPr>
                <w:rFonts w:cs="Arial"/>
                <w:b/>
                <w:sz w:val="22"/>
                <w:szCs w:val="22"/>
              </w:rPr>
              <w:t>,</w:t>
            </w:r>
            <w:r w:rsidRPr="00AB1B92">
              <w:rPr>
                <w:rFonts w:cs="Arial"/>
                <w:b/>
                <w:sz w:val="22"/>
                <w:szCs w:val="22"/>
              </w:rPr>
              <w:t>498</w:t>
            </w:r>
          </w:p>
        </w:tc>
      </w:tr>
      <w:tr w:rsidR="00AB1B92" w:rsidRPr="00AB1B92" w14:paraId="7D56D348" w14:textId="77777777" w:rsidTr="00AB1B92">
        <w:trPr>
          <w:cnfStyle w:val="000000010000" w:firstRow="0" w:lastRow="0" w:firstColumn="0" w:lastColumn="0" w:oddVBand="0" w:evenVBand="0" w:oddHBand="0" w:evenHBand="1" w:firstRowFirstColumn="0" w:firstRowLastColumn="0" w:lastRowFirstColumn="0" w:lastRowLastColumn="0"/>
          <w:trHeight w:hRule="exact" w:val="288"/>
        </w:trPr>
        <w:tc>
          <w:tcPr>
            <w:tcW w:w="5000" w:type="pct"/>
            <w:gridSpan w:val="3"/>
          </w:tcPr>
          <w:p w14:paraId="7D56D344" w14:textId="77777777" w:rsidR="00AB1B92" w:rsidRPr="00AB1B92" w:rsidRDefault="00AB1B92" w:rsidP="00AB1B92">
            <w:pPr>
              <w:pStyle w:val="Caption"/>
              <w:keepNext/>
              <w:jc w:val="right"/>
              <w:rPr>
                <w:rFonts w:asciiTheme="minorHAnsi" w:hAnsiTheme="minorHAnsi"/>
                <w:sz w:val="22"/>
                <w:szCs w:val="22"/>
              </w:rPr>
            </w:pPr>
            <w:r w:rsidRPr="00AB1B92">
              <w:rPr>
                <w:rFonts w:asciiTheme="minorHAnsi" w:hAnsiTheme="minorHAnsi"/>
                <w:sz w:val="22"/>
                <w:szCs w:val="22"/>
              </w:rPr>
              <w:t>Unit in [gallons / showerhead / year]</w:t>
            </w:r>
          </w:p>
          <w:p w14:paraId="7D56D345" w14:textId="77777777" w:rsidR="00AB1B92" w:rsidRPr="00AB1B92" w:rsidRDefault="00AB1B92" w:rsidP="00AB1B92">
            <w:pPr>
              <w:pStyle w:val="Caption"/>
              <w:keepNext/>
              <w:jc w:val="right"/>
              <w:rPr>
                <w:rFonts w:asciiTheme="minorHAnsi" w:hAnsiTheme="minorHAnsi"/>
                <w:sz w:val="22"/>
                <w:szCs w:val="22"/>
              </w:rPr>
            </w:pPr>
            <w:r w:rsidRPr="00AB1B92">
              <w:rPr>
                <w:rFonts w:asciiTheme="minorHAnsi" w:hAnsiTheme="minorHAnsi"/>
                <w:sz w:val="22"/>
                <w:szCs w:val="22"/>
              </w:rPr>
              <w:t>Unit in [gallons / showerhead / year]</w:t>
            </w:r>
          </w:p>
          <w:p w14:paraId="7D56D346" w14:textId="77777777" w:rsidR="00AB1B92" w:rsidRPr="00AB1B92" w:rsidRDefault="00AB1B92" w:rsidP="00AB1B92">
            <w:pPr>
              <w:pStyle w:val="Caption"/>
              <w:keepNext/>
              <w:jc w:val="right"/>
              <w:rPr>
                <w:rFonts w:asciiTheme="minorHAnsi" w:hAnsiTheme="minorHAnsi"/>
                <w:sz w:val="22"/>
                <w:szCs w:val="22"/>
              </w:rPr>
            </w:pPr>
            <w:r w:rsidRPr="00AB1B92">
              <w:rPr>
                <w:rFonts w:asciiTheme="minorHAnsi" w:hAnsiTheme="minorHAnsi"/>
                <w:sz w:val="22"/>
                <w:szCs w:val="22"/>
              </w:rPr>
              <w:t>Unit in [gallons / showerhead / year]</w:t>
            </w:r>
          </w:p>
          <w:p w14:paraId="7D56D347" w14:textId="77777777" w:rsidR="00AB1B92" w:rsidRPr="00AB1B92" w:rsidRDefault="00AB1B92" w:rsidP="00AB1B92">
            <w:pPr>
              <w:pStyle w:val="Caption"/>
              <w:keepNext/>
              <w:jc w:val="right"/>
              <w:rPr>
                <w:rFonts w:asciiTheme="minorHAnsi" w:hAnsiTheme="minorHAnsi"/>
                <w:sz w:val="22"/>
                <w:szCs w:val="22"/>
              </w:rPr>
            </w:pPr>
            <w:r w:rsidRPr="00AB1B92">
              <w:rPr>
                <w:rFonts w:asciiTheme="minorHAnsi" w:hAnsiTheme="minorHAnsi"/>
                <w:sz w:val="22"/>
                <w:szCs w:val="22"/>
              </w:rPr>
              <w:t>Unit in [gallons / showerhead / year]</w:t>
            </w:r>
          </w:p>
        </w:tc>
      </w:tr>
    </w:tbl>
    <w:p w14:paraId="7D56D349" w14:textId="12A7EC4D" w:rsidR="005F5A81" w:rsidRDefault="005F5A81" w:rsidP="00AB1B92">
      <w:pPr>
        <w:pStyle w:val="Caption"/>
        <w:keepNext/>
        <w:jc w:val="right"/>
        <w:rPr>
          <w:szCs w:val="22"/>
        </w:rPr>
      </w:pPr>
      <w:bookmarkStart w:id="56" w:name="_Toc442688320"/>
      <w:bookmarkStart w:id="57" w:name="_Toc214003093"/>
    </w:p>
    <w:p w14:paraId="7D56D34A" w14:textId="77777777" w:rsidR="00B702D6" w:rsidRPr="00B702D6" w:rsidRDefault="00B702D6" w:rsidP="00B702D6"/>
    <w:p w14:paraId="7D56D34B" w14:textId="21E7E947" w:rsidR="005F5A81" w:rsidRPr="00AB1B92" w:rsidRDefault="000E3870" w:rsidP="000E3870">
      <w:pPr>
        <w:pStyle w:val="Caption"/>
        <w:rPr>
          <w:szCs w:val="22"/>
        </w:rPr>
      </w:pPr>
      <w:bookmarkStart w:id="58" w:name="_Toc501451183"/>
      <w:r w:rsidRPr="00AB1B92">
        <w:rPr>
          <w:szCs w:val="22"/>
        </w:rPr>
        <w:t xml:space="preserve">Table </w:t>
      </w:r>
      <w:r w:rsidR="003E070F" w:rsidRPr="00AB1B92">
        <w:rPr>
          <w:szCs w:val="22"/>
        </w:rPr>
        <w:fldChar w:fldCharType="begin"/>
      </w:r>
      <w:r w:rsidR="003E070F" w:rsidRPr="00AB1B92">
        <w:rPr>
          <w:szCs w:val="22"/>
        </w:rPr>
        <w:instrText xml:space="preserve"> SEQ Table \* ARABIC </w:instrText>
      </w:r>
      <w:r w:rsidR="003E070F" w:rsidRPr="00AB1B92">
        <w:rPr>
          <w:szCs w:val="22"/>
        </w:rPr>
        <w:fldChar w:fldCharType="separate"/>
      </w:r>
      <w:r w:rsidR="000149A3">
        <w:rPr>
          <w:noProof/>
          <w:szCs w:val="22"/>
        </w:rPr>
        <w:t>14</w:t>
      </w:r>
      <w:r w:rsidR="003E070F" w:rsidRPr="00AB1B92">
        <w:rPr>
          <w:noProof/>
          <w:szCs w:val="22"/>
        </w:rPr>
        <w:fldChar w:fldCharType="end"/>
      </w:r>
      <w:r w:rsidR="005F5A81" w:rsidRPr="00AB1B92">
        <w:rPr>
          <w:szCs w:val="22"/>
        </w:rPr>
        <w:t xml:space="preserve"> : Annual Water Savings by Using Low Flow Showerheads</w:t>
      </w:r>
      <w:bookmarkEnd w:id="56"/>
      <w:r w:rsidR="005F5A81" w:rsidRPr="00AB1B92">
        <w:rPr>
          <w:szCs w:val="22"/>
        </w:rPr>
        <w:t xml:space="preserve"> (</w:t>
      </w:r>
      <w:r w:rsidR="00EA4799">
        <w:rPr>
          <w:szCs w:val="22"/>
        </w:rPr>
        <w:t>1</w:t>
      </w:r>
      <w:r w:rsidR="00EA4799" w:rsidRPr="00EA4799">
        <w:rPr>
          <w:szCs w:val="22"/>
          <w:vertAlign w:val="superscript"/>
        </w:rPr>
        <w:t>st</w:t>
      </w:r>
      <w:r w:rsidR="005F5A81" w:rsidRPr="00AB1B92">
        <w:rPr>
          <w:szCs w:val="22"/>
        </w:rPr>
        <w:t xml:space="preserve"> Baseline)</w:t>
      </w:r>
      <w:bookmarkEnd w:id="58"/>
    </w:p>
    <w:tbl>
      <w:tblPr>
        <w:tblStyle w:val="TableContemporary"/>
        <w:tblW w:w="4897" w:type="pct"/>
        <w:tblLayout w:type="fixed"/>
        <w:tblLook w:val="01E0" w:firstRow="1" w:lastRow="1" w:firstColumn="1" w:lastColumn="1" w:noHBand="0" w:noVBand="0"/>
      </w:tblPr>
      <w:tblGrid>
        <w:gridCol w:w="3977"/>
        <w:gridCol w:w="2638"/>
        <w:gridCol w:w="2552"/>
      </w:tblGrid>
      <w:tr w:rsidR="00121E2E" w:rsidRPr="00AB1B92" w14:paraId="7D56D34F" w14:textId="77777777" w:rsidTr="00121E2E">
        <w:trPr>
          <w:cnfStyle w:val="100000000000" w:firstRow="1" w:lastRow="0" w:firstColumn="0" w:lastColumn="0" w:oddVBand="0" w:evenVBand="0" w:oddHBand="0" w:evenHBand="0" w:firstRowFirstColumn="0" w:firstRowLastColumn="0" w:lastRowFirstColumn="0" w:lastRowLastColumn="0"/>
          <w:trHeight w:hRule="exact" w:val="288"/>
        </w:trPr>
        <w:tc>
          <w:tcPr>
            <w:tcW w:w="2169" w:type="pct"/>
          </w:tcPr>
          <w:p w14:paraId="7D56D34C" w14:textId="66F91C47" w:rsidR="00121E2E" w:rsidRPr="00AB1B92" w:rsidRDefault="00DB502E" w:rsidP="003100FA">
            <w:pPr>
              <w:pStyle w:val="Caption"/>
              <w:keepNext/>
              <w:jc w:val="center"/>
              <w:rPr>
                <w:rFonts w:asciiTheme="minorHAnsi" w:hAnsiTheme="minorHAnsi"/>
                <w:b/>
                <w:bCs/>
                <w:sz w:val="22"/>
                <w:szCs w:val="22"/>
              </w:rPr>
            </w:pPr>
            <w:r>
              <w:rPr>
                <w:rFonts w:asciiTheme="minorHAnsi" w:hAnsiTheme="minorHAnsi"/>
                <w:b/>
                <w:bCs/>
                <w:sz w:val="22"/>
                <w:szCs w:val="22"/>
              </w:rPr>
              <w:t>Showerhead</w:t>
            </w:r>
            <w:r w:rsidR="00E04259">
              <w:rPr>
                <w:rFonts w:asciiTheme="minorHAnsi" w:hAnsiTheme="minorHAnsi"/>
                <w:b/>
                <w:bCs/>
                <w:sz w:val="22"/>
                <w:szCs w:val="22"/>
              </w:rPr>
              <w:t xml:space="preserve"> Type</w:t>
            </w:r>
          </w:p>
        </w:tc>
        <w:tc>
          <w:tcPr>
            <w:tcW w:w="1439" w:type="pct"/>
          </w:tcPr>
          <w:p w14:paraId="7D56D34D" w14:textId="1BD2C6AD" w:rsidR="00121E2E" w:rsidRPr="00AB1B92" w:rsidRDefault="00121E2E" w:rsidP="003100FA">
            <w:pPr>
              <w:pStyle w:val="Caption"/>
              <w:keepNext/>
              <w:jc w:val="center"/>
              <w:rPr>
                <w:rFonts w:asciiTheme="minorHAnsi" w:hAnsiTheme="minorHAnsi"/>
                <w:b/>
                <w:bCs/>
                <w:sz w:val="22"/>
                <w:szCs w:val="22"/>
              </w:rPr>
            </w:pPr>
            <w:r w:rsidRPr="00AB1B92">
              <w:rPr>
                <w:rFonts w:asciiTheme="minorHAnsi" w:hAnsiTheme="minorHAnsi"/>
                <w:b/>
                <w:bCs/>
                <w:sz w:val="22"/>
                <w:szCs w:val="22"/>
              </w:rPr>
              <w:t>Lodging Savings</w:t>
            </w:r>
          </w:p>
        </w:tc>
        <w:tc>
          <w:tcPr>
            <w:tcW w:w="1392" w:type="pct"/>
          </w:tcPr>
          <w:p w14:paraId="7D56D34E" w14:textId="2DD3C819" w:rsidR="00121E2E" w:rsidRPr="00AB1B92" w:rsidRDefault="00121E2E" w:rsidP="00121E2E">
            <w:pPr>
              <w:pStyle w:val="Caption"/>
              <w:keepNext/>
              <w:jc w:val="center"/>
              <w:rPr>
                <w:rFonts w:asciiTheme="minorHAnsi" w:hAnsiTheme="minorHAnsi"/>
                <w:b/>
                <w:bCs/>
                <w:sz w:val="22"/>
                <w:szCs w:val="22"/>
              </w:rPr>
            </w:pPr>
            <w:r>
              <w:rPr>
                <w:rFonts w:asciiTheme="minorHAnsi" w:hAnsiTheme="minorHAnsi"/>
                <w:b/>
                <w:bCs/>
                <w:sz w:val="22"/>
                <w:szCs w:val="22"/>
              </w:rPr>
              <w:t>Schools</w:t>
            </w:r>
            <w:r w:rsidR="00F056AF">
              <w:rPr>
                <w:rFonts w:asciiTheme="minorHAnsi" w:hAnsiTheme="minorHAnsi"/>
                <w:b/>
                <w:bCs/>
                <w:sz w:val="22"/>
                <w:szCs w:val="22"/>
              </w:rPr>
              <w:t xml:space="preserve"> Savings</w:t>
            </w:r>
          </w:p>
        </w:tc>
      </w:tr>
      <w:tr w:rsidR="00DB502E" w:rsidRPr="00AB1B92" w14:paraId="7D56D35C" w14:textId="77777777" w:rsidTr="00DB502E">
        <w:trPr>
          <w:cnfStyle w:val="000000100000" w:firstRow="0" w:lastRow="0" w:firstColumn="0" w:lastColumn="0" w:oddVBand="0" w:evenVBand="0" w:oddHBand="1" w:evenHBand="0" w:firstRowFirstColumn="0" w:firstRowLastColumn="0" w:lastRowFirstColumn="0" w:lastRowLastColumn="0"/>
          <w:trHeight w:hRule="exact" w:val="288"/>
        </w:trPr>
        <w:tc>
          <w:tcPr>
            <w:tcW w:w="2169" w:type="pct"/>
          </w:tcPr>
          <w:p w14:paraId="7D56D356" w14:textId="77777777" w:rsidR="00DB502E" w:rsidRPr="00AB1B92" w:rsidRDefault="00DB502E" w:rsidP="00DB502E">
            <w:pPr>
              <w:pStyle w:val="Caption"/>
              <w:keepNext/>
              <w:rPr>
                <w:rFonts w:asciiTheme="minorHAnsi" w:hAnsiTheme="minorHAnsi"/>
                <w:sz w:val="22"/>
                <w:szCs w:val="22"/>
              </w:rPr>
            </w:pPr>
            <w:r w:rsidRPr="00AB1B92">
              <w:rPr>
                <w:rFonts w:asciiTheme="minorHAnsi" w:hAnsiTheme="minorHAnsi"/>
                <w:sz w:val="22"/>
                <w:szCs w:val="22"/>
              </w:rPr>
              <w:t>1.5 GPM Showerhead</w:t>
            </w:r>
          </w:p>
        </w:tc>
        <w:tc>
          <w:tcPr>
            <w:tcW w:w="1439" w:type="pct"/>
          </w:tcPr>
          <w:p w14:paraId="48CC5D1A" w14:textId="499BAE34" w:rsidR="00DB502E" w:rsidRPr="00AB1B92" w:rsidRDefault="00CD1A98" w:rsidP="00DB502E">
            <w:pPr>
              <w:pStyle w:val="Caption"/>
              <w:keepNext/>
              <w:jc w:val="center"/>
              <w:rPr>
                <w:rFonts w:asciiTheme="minorHAnsi" w:hAnsiTheme="minorHAnsi"/>
                <w:sz w:val="22"/>
                <w:szCs w:val="22"/>
              </w:rPr>
            </w:pPr>
            <w:r>
              <w:rPr>
                <w:rFonts w:asciiTheme="minorHAnsi" w:hAnsiTheme="minorHAnsi"/>
                <w:sz w:val="22"/>
                <w:szCs w:val="22"/>
              </w:rPr>
              <w:t>2,977</w:t>
            </w:r>
          </w:p>
          <w:p w14:paraId="7D56D358" w14:textId="6FDF0580" w:rsidR="00DB502E" w:rsidRPr="00AB1B92" w:rsidRDefault="00DB502E" w:rsidP="00DB502E">
            <w:pPr>
              <w:pStyle w:val="Caption"/>
              <w:keepNext/>
              <w:jc w:val="center"/>
              <w:rPr>
                <w:rFonts w:asciiTheme="minorHAnsi" w:hAnsiTheme="minorHAnsi"/>
                <w:sz w:val="22"/>
                <w:szCs w:val="22"/>
              </w:rPr>
            </w:pPr>
          </w:p>
        </w:tc>
        <w:tc>
          <w:tcPr>
            <w:tcW w:w="1392" w:type="pct"/>
          </w:tcPr>
          <w:p w14:paraId="7AC30854" w14:textId="3F31D37B" w:rsidR="00DB502E" w:rsidRPr="00AB1B92" w:rsidRDefault="00DB502E" w:rsidP="00DB502E">
            <w:pPr>
              <w:pStyle w:val="Caption"/>
              <w:keepNext/>
              <w:jc w:val="center"/>
              <w:rPr>
                <w:rFonts w:asciiTheme="minorHAnsi" w:hAnsiTheme="minorHAnsi"/>
                <w:sz w:val="22"/>
                <w:szCs w:val="22"/>
              </w:rPr>
            </w:pPr>
            <w:r>
              <w:rPr>
                <w:rFonts w:asciiTheme="minorHAnsi" w:hAnsiTheme="minorHAnsi"/>
                <w:sz w:val="22"/>
                <w:szCs w:val="22"/>
              </w:rPr>
              <w:t>1</w:t>
            </w:r>
            <w:r w:rsidR="00123DBA">
              <w:rPr>
                <w:rFonts w:asciiTheme="minorHAnsi" w:hAnsiTheme="minorHAnsi"/>
                <w:sz w:val="22"/>
                <w:szCs w:val="22"/>
              </w:rPr>
              <w:t>,</w:t>
            </w:r>
            <w:r>
              <w:rPr>
                <w:rFonts w:asciiTheme="minorHAnsi" w:hAnsiTheme="minorHAnsi"/>
                <w:sz w:val="22"/>
                <w:szCs w:val="22"/>
              </w:rPr>
              <w:t>458</w:t>
            </w:r>
          </w:p>
          <w:p w14:paraId="7D56D35B" w14:textId="240F51D4" w:rsidR="00DB502E" w:rsidRPr="00AB1B92" w:rsidRDefault="00DB502E" w:rsidP="00DB502E">
            <w:pPr>
              <w:pStyle w:val="Caption"/>
              <w:keepNext/>
              <w:jc w:val="center"/>
              <w:rPr>
                <w:rFonts w:asciiTheme="minorHAnsi" w:hAnsiTheme="minorHAnsi"/>
                <w:sz w:val="22"/>
                <w:szCs w:val="22"/>
              </w:rPr>
            </w:pPr>
            <w:r>
              <w:rPr>
                <w:rFonts w:asciiTheme="minorHAnsi" w:hAnsiTheme="minorHAnsi"/>
                <w:sz w:val="22"/>
                <w:szCs w:val="22"/>
              </w:rPr>
              <w:t>1458</w:t>
            </w:r>
          </w:p>
        </w:tc>
      </w:tr>
      <w:tr w:rsidR="00DB502E" w:rsidRPr="00AB1B92" w14:paraId="7D56D362" w14:textId="77777777" w:rsidTr="00DB502E">
        <w:trPr>
          <w:cnfStyle w:val="000000010000" w:firstRow="0" w:lastRow="0" w:firstColumn="0" w:lastColumn="0" w:oddVBand="0" w:evenVBand="0" w:oddHBand="0" w:evenHBand="1" w:firstRowFirstColumn="0" w:firstRowLastColumn="0" w:lastRowFirstColumn="0" w:lastRowLastColumn="0"/>
          <w:trHeight w:hRule="exact" w:val="288"/>
        </w:trPr>
        <w:tc>
          <w:tcPr>
            <w:tcW w:w="2169" w:type="pct"/>
          </w:tcPr>
          <w:p w14:paraId="7D56D35D" w14:textId="2C03837A" w:rsidR="00DB502E" w:rsidRPr="00AB1B92" w:rsidRDefault="00DB502E" w:rsidP="00DB502E">
            <w:pPr>
              <w:pStyle w:val="Caption"/>
              <w:keepNext/>
              <w:rPr>
                <w:rFonts w:asciiTheme="minorHAnsi" w:hAnsiTheme="minorHAnsi"/>
                <w:sz w:val="22"/>
                <w:szCs w:val="22"/>
              </w:rPr>
            </w:pPr>
            <w:r w:rsidRPr="00AB1B92">
              <w:rPr>
                <w:rFonts w:asciiTheme="minorHAnsi" w:hAnsiTheme="minorHAnsi"/>
                <w:sz w:val="22"/>
                <w:szCs w:val="22"/>
              </w:rPr>
              <w:t xml:space="preserve">1.8 </w:t>
            </w:r>
            <w:r w:rsidR="00EA4799" w:rsidRPr="00AB1B92">
              <w:rPr>
                <w:rFonts w:asciiTheme="minorHAnsi" w:hAnsiTheme="minorHAnsi"/>
                <w:sz w:val="22"/>
                <w:szCs w:val="22"/>
              </w:rPr>
              <w:t>GPM Showerhead</w:t>
            </w:r>
          </w:p>
        </w:tc>
        <w:tc>
          <w:tcPr>
            <w:tcW w:w="1439" w:type="pct"/>
          </w:tcPr>
          <w:p w14:paraId="064D5522" w14:textId="4AE9791B" w:rsidR="00DB502E" w:rsidRDefault="00CD1A98" w:rsidP="00DB502E">
            <w:pPr>
              <w:pStyle w:val="Caption"/>
              <w:keepNext/>
              <w:jc w:val="center"/>
              <w:rPr>
                <w:rFonts w:asciiTheme="minorHAnsi" w:hAnsiTheme="minorHAnsi"/>
                <w:sz w:val="22"/>
                <w:szCs w:val="22"/>
              </w:rPr>
            </w:pPr>
            <w:r>
              <w:rPr>
                <w:rFonts w:asciiTheme="minorHAnsi" w:hAnsiTheme="minorHAnsi"/>
                <w:sz w:val="22"/>
                <w:szCs w:val="22"/>
              </w:rPr>
              <w:t>1,786</w:t>
            </w:r>
          </w:p>
          <w:p w14:paraId="08D1031E" w14:textId="092D6767" w:rsidR="00DB502E" w:rsidRPr="00DB502E" w:rsidRDefault="00DB502E" w:rsidP="00DB502E">
            <w:pPr>
              <w:jc w:val="center"/>
            </w:pPr>
          </w:p>
          <w:p w14:paraId="7D56D35F" w14:textId="3BA6CDAE" w:rsidR="00DB502E" w:rsidRPr="00AB1B92" w:rsidRDefault="00DB502E" w:rsidP="00DB502E">
            <w:pPr>
              <w:pStyle w:val="Caption"/>
              <w:keepNext/>
              <w:jc w:val="center"/>
              <w:rPr>
                <w:rFonts w:asciiTheme="minorHAnsi" w:hAnsiTheme="minorHAnsi"/>
                <w:sz w:val="22"/>
                <w:szCs w:val="22"/>
              </w:rPr>
            </w:pPr>
          </w:p>
        </w:tc>
        <w:tc>
          <w:tcPr>
            <w:tcW w:w="1392" w:type="pct"/>
          </w:tcPr>
          <w:p w14:paraId="6908D22E" w14:textId="77777777" w:rsidR="00DB502E" w:rsidRPr="00AB1B92" w:rsidRDefault="00DB502E" w:rsidP="00DB502E">
            <w:pPr>
              <w:pStyle w:val="Caption"/>
              <w:keepNext/>
              <w:jc w:val="center"/>
              <w:rPr>
                <w:rFonts w:asciiTheme="minorHAnsi" w:hAnsiTheme="minorHAnsi"/>
                <w:sz w:val="22"/>
                <w:szCs w:val="22"/>
              </w:rPr>
            </w:pPr>
            <w:r w:rsidRPr="00AB1B92">
              <w:rPr>
                <w:rFonts w:asciiTheme="minorHAnsi" w:hAnsiTheme="minorHAnsi"/>
                <w:sz w:val="22"/>
                <w:szCs w:val="22"/>
              </w:rPr>
              <w:t>875</w:t>
            </w:r>
          </w:p>
          <w:p w14:paraId="7D56D361" w14:textId="5E5E7705" w:rsidR="00DB502E" w:rsidRPr="00AB1B92" w:rsidRDefault="00DB502E" w:rsidP="00DB502E">
            <w:pPr>
              <w:pStyle w:val="Caption"/>
              <w:keepNext/>
              <w:jc w:val="center"/>
              <w:rPr>
                <w:rFonts w:asciiTheme="minorHAnsi" w:hAnsiTheme="minorHAnsi"/>
                <w:sz w:val="22"/>
                <w:szCs w:val="22"/>
              </w:rPr>
            </w:pPr>
            <w:r w:rsidRPr="00AB1B92">
              <w:rPr>
                <w:rFonts w:asciiTheme="minorHAnsi" w:hAnsiTheme="minorHAnsi"/>
                <w:sz w:val="22"/>
                <w:szCs w:val="22"/>
              </w:rPr>
              <w:t>875</w:t>
            </w:r>
          </w:p>
        </w:tc>
      </w:tr>
      <w:tr w:rsidR="005F5A81" w:rsidRPr="00AB1B92" w14:paraId="7D56D364" w14:textId="77777777" w:rsidTr="00AB1B92">
        <w:trPr>
          <w:cnfStyle w:val="000000100000" w:firstRow="0" w:lastRow="0" w:firstColumn="0" w:lastColumn="0" w:oddVBand="0" w:evenVBand="0" w:oddHBand="1" w:evenHBand="0" w:firstRowFirstColumn="0" w:firstRowLastColumn="0" w:lastRowFirstColumn="0" w:lastRowLastColumn="0"/>
          <w:trHeight w:hRule="exact" w:val="288"/>
        </w:trPr>
        <w:tc>
          <w:tcPr>
            <w:tcW w:w="5000" w:type="pct"/>
            <w:gridSpan w:val="3"/>
          </w:tcPr>
          <w:p w14:paraId="7D56D363" w14:textId="77777777" w:rsidR="005F5A81" w:rsidRPr="00AB1B92" w:rsidRDefault="005F5A81" w:rsidP="005F5A81">
            <w:pPr>
              <w:pStyle w:val="Caption"/>
              <w:keepNext/>
              <w:jc w:val="right"/>
              <w:rPr>
                <w:rFonts w:asciiTheme="minorHAnsi" w:hAnsiTheme="minorHAnsi"/>
                <w:sz w:val="22"/>
                <w:szCs w:val="22"/>
              </w:rPr>
            </w:pPr>
            <w:r w:rsidRPr="00AB1B92">
              <w:rPr>
                <w:rFonts w:asciiTheme="minorHAnsi" w:hAnsiTheme="minorHAnsi"/>
                <w:sz w:val="22"/>
                <w:szCs w:val="22"/>
              </w:rPr>
              <w:t>Unit in [gallons / showerhead / year]</w:t>
            </w:r>
          </w:p>
        </w:tc>
      </w:tr>
    </w:tbl>
    <w:p w14:paraId="6FF8DD33" w14:textId="337165DF" w:rsidR="00EA4799" w:rsidRDefault="00EA4799" w:rsidP="00EA4799">
      <w:pPr>
        <w:pStyle w:val="Caption"/>
        <w:keepNext/>
        <w:rPr>
          <w:szCs w:val="22"/>
        </w:rPr>
      </w:pPr>
    </w:p>
    <w:p w14:paraId="205DF687" w14:textId="26DC7226" w:rsidR="00EA4799" w:rsidRPr="00EA4799" w:rsidRDefault="00EA4799" w:rsidP="00EA4799">
      <w:r>
        <w:t xml:space="preserve">Refer to </w:t>
      </w:r>
      <w:r>
        <w:rPr>
          <w:i/>
        </w:rPr>
        <w:t>Attachment B</w:t>
      </w:r>
      <w:r>
        <w:t xml:space="preserve"> to find savings for the first and second baseline for both the 1.5 gpm and 1.8 gpm showerhead measures.</w:t>
      </w:r>
    </w:p>
    <w:p w14:paraId="1FE28C38" w14:textId="7EB0B8D5" w:rsidR="00D41F8C" w:rsidRDefault="00D41F8C">
      <w:pPr>
        <w:spacing w:after="200" w:line="276" w:lineRule="auto"/>
        <w:rPr>
          <w:rFonts w:cstheme="minorHAnsi"/>
          <w:bCs/>
          <w:smallCaps/>
          <w:kern w:val="32"/>
          <w:szCs w:val="22"/>
        </w:rPr>
      </w:pPr>
      <w:r>
        <w:rPr>
          <w:rFonts w:cstheme="minorHAnsi"/>
          <w:bCs/>
          <w:smallCaps/>
          <w:kern w:val="32"/>
          <w:szCs w:val="22"/>
        </w:rPr>
        <w:br w:type="page"/>
      </w:r>
    </w:p>
    <w:p w14:paraId="7D56D367" w14:textId="145DE1DB" w:rsidR="00A64FF3" w:rsidRPr="00715795" w:rsidRDefault="00A94BD5" w:rsidP="00A64FF3">
      <w:pPr>
        <w:pStyle w:val="SubsectionStyle"/>
        <w:numPr>
          <w:ilvl w:val="1"/>
          <w:numId w:val="10"/>
        </w:numPr>
        <w:rPr>
          <w:rFonts w:asciiTheme="minorHAnsi" w:hAnsiTheme="minorHAnsi"/>
          <w:sz w:val="28"/>
          <w:szCs w:val="28"/>
        </w:rPr>
      </w:pPr>
      <w:r>
        <w:rPr>
          <w:rFonts w:asciiTheme="minorHAnsi" w:hAnsiTheme="minorHAnsi"/>
          <w:sz w:val="28"/>
          <w:szCs w:val="28"/>
        </w:rPr>
        <w:lastRenderedPageBreak/>
        <w:t xml:space="preserve"> </w:t>
      </w:r>
      <w:bookmarkStart w:id="59" w:name="_Toc502148150"/>
      <w:r w:rsidR="00A64FF3" w:rsidRPr="00715795">
        <w:rPr>
          <w:rFonts w:asciiTheme="minorHAnsi" w:hAnsiTheme="minorHAnsi"/>
          <w:sz w:val="28"/>
          <w:szCs w:val="28"/>
        </w:rPr>
        <w:t xml:space="preserve">Energy </w:t>
      </w:r>
      <w:r w:rsidR="00EA4799">
        <w:rPr>
          <w:rFonts w:asciiTheme="minorHAnsi" w:hAnsiTheme="minorHAnsi"/>
          <w:sz w:val="28"/>
          <w:szCs w:val="28"/>
        </w:rPr>
        <w:t>Savings</w:t>
      </w:r>
      <w:r w:rsidR="00A64FF3" w:rsidRPr="00715795">
        <w:rPr>
          <w:rFonts w:asciiTheme="minorHAnsi" w:hAnsiTheme="minorHAnsi"/>
          <w:sz w:val="28"/>
          <w:szCs w:val="28"/>
        </w:rPr>
        <w:t xml:space="preserve"> calculations:</w:t>
      </w:r>
      <w:bookmarkEnd w:id="59"/>
    </w:p>
    <w:p w14:paraId="7D56D368" w14:textId="3522877F" w:rsidR="00A64FF3" w:rsidRPr="00845141" w:rsidRDefault="00A64FF3" w:rsidP="00A64FF3">
      <w:pPr>
        <w:ind w:left="720"/>
      </w:pPr>
      <w:r>
        <w:t xml:space="preserve">Annual gas consumption is calculated </w:t>
      </w:r>
      <w:r w:rsidR="00123DBA">
        <w:t>using the equation below</w:t>
      </w:r>
      <w:r>
        <w:t>:</w:t>
      </w:r>
    </w:p>
    <w:p w14:paraId="7D56D369" w14:textId="77777777" w:rsidR="00A64FF3" w:rsidRPr="00322BEC" w:rsidRDefault="00A64FF3" w:rsidP="00A64FF3">
      <w:pPr>
        <w:ind w:left="720"/>
        <w:rPr>
          <w:szCs w:val="22"/>
        </w:rPr>
      </w:pPr>
    </w:p>
    <w:p w14:paraId="7D56D36A" w14:textId="77777777" w:rsidR="00A64FF3" w:rsidRDefault="00B36F35" w:rsidP="00A64FF3">
      <w:pPr>
        <w:ind w:left="720"/>
        <w:rPr>
          <w:szCs w:val="22"/>
        </w:rPr>
      </w:pPr>
      <m:oMath>
        <m:sSub>
          <m:sSubPr>
            <m:ctrlPr>
              <w:rPr>
                <w:rFonts w:ascii="Cambria Math" w:hAnsi="Cambria Math"/>
                <w:i/>
                <w:szCs w:val="22"/>
              </w:rPr>
            </m:ctrlPr>
          </m:sSubPr>
          <m:e>
            <m:r>
              <w:rPr>
                <w:rFonts w:ascii="Cambria Math" w:hAnsi="Cambria Math"/>
                <w:szCs w:val="22"/>
              </w:rPr>
              <m:t>E</m:t>
            </m:r>
          </m:e>
          <m:sub>
            <m:r>
              <w:rPr>
                <w:rFonts w:ascii="Cambria Math" w:hAnsi="Cambria Math"/>
                <w:szCs w:val="22"/>
              </w:rPr>
              <m:t>therm saved</m:t>
            </m:r>
          </m:sub>
        </m:sSub>
        <m:r>
          <w:rPr>
            <w:rFonts w:ascii="Cambria Math" w:hAnsi="Cambria Math"/>
            <w:szCs w:val="22"/>
          </w:rPr>
          <m:t>=</m:t>
        </m:r>
        <m:d>
          <m:dPr>
            <m:begChr m:val="["/>
            <m:endChr m:val="]"/>
            <m:ctrlPr>
              <w:rPr>
                <w:rFonts w:ascii="Cambria Math" w:hAnsi="Cambria Math"/>
                <w:i/>
                <w:szCs w:val="22"/>
              </w:rPr>
            </m:ctrlPr>
          </m:dPr>
          <m:e>
            <m:f>
              <m:fPr>
                <m:ctrlPr>
                  <w:rPr>
                    <w:rFonts w:ascii="Cambria Math" w:hAnsi="Cambria Math"/>
                    <w:i/>
                    <w:szCs w:val="22"/>
                  </w:rPr>
                </m:ctrlPr>
              </m:fPr>
              <m:num>
                <m:sSub>
                  <m:sSubPr>
                    <m:ctrlPr>
                      <w:rPr>
                        <w:rFonts w:ascii="Cambria Math" w:hAnsi="Cambria Math"/>
                        <w:i/>
                        <w:szCs w:val="22"/>
                      </w:rPr>
                    </m:ctrlPr>
                  </m:sSubPr>
                  <m:e>
                    <m:r>
                      <w:rPr>
                        <w:rFonts w:ascii="Cambria Math" w:hAnsi="Cambria Math"/>
                        <w:szCs w:val="22"/>
                      </w:rPr>
                      <m:t>(W</m:t>
                    </m:r>
                  </m:e>
                  <m:sub>
                    <m:r>
                      <w:rPr>
                        <w:rFonts w:ascii="Cambria Math" w:hAnsi="Cambria Math"/>
                        <w:szCs w:val="22"/>
                      </w:rPr>
                      <m:t>savings</m:t>
                    </m:r>
                    <m:d>
                      <m:dPr>
                        <m:ctrlPr>
                          <w:rPr>
                            <w:rFonts w:ascii="Cambria Math" w:hAnsi="Cambria Math"/>
                            <w:i/>
                            <w:szCs w:val="22"/>
                          </w:rPr>
                        </m:ctrlPr>
                      </m:dPr>
                      <m:e>
                        <m:r>
                          <w:rPr>
                            <w:rFonts w:ascii="Cambria Math" w:hAnsi="Cambria Math"/>
                            <w:szCs w:val="22"/>
                          </w:rPr>
                          <m:t>Table 14</m:t>
                        </m:r>
                      </m:e>
                    </m:d>
                  </m:sub>
                </m:sSub>
                <m:r>
                  <w:rPr>
                    <w:rFonts w:ascii="Cambria Math" w:hAnsi="Cambria Math"/>
                    <w:szCs w:val="22"/>
                  </w:rPr>
                  <m:t xml:space="preserve">* ρ* </m:t>
                </m:r>
                <m:sSub>
                  <m:sSubPr>
                    <m:ctrlPr>
                      <w:rPr>
                        <w:rFonts w:ascii="Cambria Math" w:hAnsi="Cambria Math"/>
                        <w:i/>
                        <w:szCs w:val="22"/>
                      </w:rPr>
                    </m:ctrlPr>
                  </m:sSubPr>
                  <m:e>
                    <m:r>
                      <w:rPr>
                        <w:rFonts w:ascii="Cambria Math" w:hAnsi="Cambria Math"/>
                        <w:szCs w:val="22"/>
                      </w:rPr>
                      <m:t>C</m:t>
                    </m:r>
                  </m:e>
                  <m:sub>
                    <m:r>
                      <w:rPr>
                        <w:rFonts w:ascii="Cambria Math" w:hAnsi="Cambria Math"/>
                        <w:szCs w:val="22"/>
                      </w:rPr>
                      <m:t>p</m:t>
                    </m:r>
                  </m:sub>
                </m:sSub>
                <m:r>
                  <w:rPr>
                    <w:rFonts w:ascii="Cambria Math" w:hAnsi="Cambria Math"/>
                    <w:szCs w:val="22"/>
                  </w:rPr>
                  <m:t xml:space="preserve">* </m:t>
                </m:r>
                <m:sSub>
                  <m:sSubPr>
                    <m:ctrlPr>
                      <w:rPr>
                        <w:rFonts w:ascii="Cambria Math" w:hAnsi="Cambria Math"/>
                        <w:i/>
                        <w:szCs w:val="22"/>
                      </w:rPr>
                    </m:ctrlPr>
                  </m:sSubPr>
                  <m:e>
                    <m:d>
                      <m:dPr>
                        <m:ctrlPr>
                          <w:rPr>
                            <w:rFonts w:ascii="Cambria Math" w:hAnsi="Cambria Math"/>
                            <w:i/>
                            <w:szCs w:val="22"/>
                          </w:rPr>
                        </m:ctrlPr>
                      </m:dPr>
                      <m:e>
                        <m:sSub>
                          <m:sSubPr>
                            <m:ctrlPr>
                              <w:rPr>
                                <w:rFonts w:ascii="Cambria Math" w:hAnsi="Cambria Math"/>
                                <w:i/>
                                <w:szCs w:val="22"/>
                              </w:rPr>
                            </m:ctrlPr>
                          </m:sSubPr>
                          <m:e>
                            <m:r>
                              <w:rPr>
                                <w:rFonts w:ascii="Cambria Math" w:hAnsi="Cambria Math"/>
                                <w:szCs w:val="22"/>
                              </w:rPr>
                              <m:t>T</m:t>
                            </m:r>
                          </m:e>
                          <m:sub>
                            <m:r>
                              <w:rPr>
                                <w:rFonts w:ascii="Cambria Math" w:hAnsi="Cambria Math"/>
                                <w:szCs w:val="22"/>
                              </w:rPr>
                              <m:t>out</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T</m:t>
                            </m:r>
                          </m:e>
                          <m:sub>
                            <m:r>
                              <w:rPr>
                                <w:rFonts w:ascii="Cambria Math" w:hAnsi="Cambria Math"/>
                                <w:szCs w:val="22"/>
                              </w:rPr>
                              <m:t>in</m:t>
                            </m:r>
                          </m:sub>
                        </m:sSub>
                      </m:e>
                    </m:d>
                  </m:e>
                  <m:sub>
                    <m:r>
                      <w:rPr>
                        <w:rFonts w:ascii="Cambria Math" w:hAnsi="Cambria Math"/>
                        <w:szCs w:val="22"/>
                      </w:rPr>
                      <m:t>water heater</m:t>
                    </m:r>
                  </m:sub>
                </m:sSub>
                <m:r>
                  <w:rPr>
                    <w:rFonts w:ascii="Cambria Math" w:hAnsi="Cambria Math"/>
                    <w:szCs w:val="22"/>
                  </w:rPr>
                  <m:t>)</m:t>
                </m:r>
              </m:num>
              <m:den>
                <m:sSub>
                  <m:sSubPr>
                    <m:ctrlPr>
                      <w:rPr>
                        <w:rFonts w:ascii="Cambria Math" w:hAnsi="Cambria Math"/>
                        <w:i/>
                        <w:szCs w:val="22"/>
                      </w:rPr>
                    </m:ctrlPr>
                  </m:sSubPr>
                  <m:e>
                    <m:r>
                      <w:rPr>
                        <w:rFonts w:ascii="Cambria Math" w:hAnsi="Cambria Math"/>
                        <w:szCs w:val="22"/>
                      </w:rPr>
                      <m:t>η</m:t>
                    </m:r>
                  </m:e>
                  <m:sub>
                    <m:r>
                      <w:rPr>
                        <w:rFonts w:ascii="Cambria Math" w:hAnsi="Cambria Math"/>
                        <w:szCs w:val="22"/>
                      </w:rPr>
                      <m:t>Comm Gas Heater</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C</m:t>
                    </m:r>
                  </m:e>
                  <m:sub>
                    <m:r>
                      <w:rPr>
                        <w:rFonts w:ascii="Cambria Math" w:hAnsi="Cambria Math"/>
                        <w:szCs w:val="22"/>
                      </w:rPr>
                      <m:t>volume</m:t>
                    </m:r>
                  </m:sub>
                </m:sSub>
              </m:den>
            </m:f>
          </m:e>
        </m:d>
      </m:oMath>
      <w:r w:rsidR="00A64FF3" w:rsidRPr="00322BEC">
        <w:rPr>
          <w:szCs w:val="22"/>
        </w:rPr>
        <w:t>*</w:t>
      </w:r>
      <m:oMath>
        <m:d>
          <m:dPr>
            <m:begChr m:val="["/>
            <m:endChr m:val="]"/>
            <m:ctrlPr>
              <w:rPr>
                <w:rFonts w:ascii="Cambria Math" w:hAnsi="Cambria Math"/>
                <w:i/>
                <w:szCs w:val="22"/>
              </w:rPr>
            </m:ctrlPr>
          </m:dPr>
          <m:e>
            <m:f>
              <m:fPr>
                <m:ctrlPr>
                  <w:rPr>
                    <w:rFonts w:ascii="Cambria Math" w:hAnsi="Cambria Math"/>
                    <w:i/>
                    <w:szCs w:val="22"/>
                  </w:rPr>
                </m:ctrlPr>
              </m:fPr>
              <m:num>
                <m:r>
                  <w:rPr>
                    <w:rFonts w:ascii="Cambria Math" w:hAnsi="Cambria Math"/>
                    <w:szCs w:val="22"/>
                  </w:rPr>
                  <m:t>1 Therm</m:t>
                </m:r>
              </m:num>
              <m:den>
                <m:sSub>
                  <m:sSubPr>
                    <m:ctrlPr>
                      <w:rPr>
                        <w:rFonts w:ascii="Cambria Math" w:hAnsi="Cambria Math"/>
                        <w:i/>
                        <w:szCs w:val="22"/>
                      </w:rPr>
                    </m:ctrlPr>
                  </m:sSubPr>
                  <m:e>
                    <m:r>
                      <w:rPr>
                        <w:rFonts w:ascii="Cambria Math" w:hAnsi="Cambria Math"/>
                        <w:szCs w:val="22"/>
                      </w:rPr>
                      <m:t>100,000 BTU</m:t>
                    </m:r>
                  </m:e>
                  <m:sub>
                    <m:r>
                      <w:rPr>
                        <w:rFonts w:ascii="Cambria Math" w:hAnsi="Cambria Math"/>
                        <w:szCs w:val="22"/>
                      </w:rPr>
                      <m:t xml:space="preserve"> </m:t>
                    </m:r>
                  </m:sub>
                </m:sSub>
              </m:den>
            </m:f>
          </m:e>
        </m:d>
      </m:oMath>
      <w:r w:rsidR="00A64FF3" w:rsidRPr="00322BEC">
        <w:rPr>
          <w:szCs w:val="22"/>
        </w:rPr>
        <w:t>, where,</w:t>
      </w:r>
    </w:p>
    <w:p w14:paraId="7D56D36B" w14:textId="2CCC7CE2" w:rsidR="00A64FF3" w:rsidRDefault="00A64FF3" w:rsidP="00A64FF3">
      <w:pPr>
        <w:ind w:left="720"/>
        <w:rPr>
          <w:szCs w:val="22"/>
        </w:rPr>
      </w:pPr>
    </w:p>
    <w:p w14:paraId="3BDFC0A5" w14:textId="3729FC2A" w:rsidR="00123DBA" w:rsidRPr="00322BEC" w:rsidRDefault="00123DBA" w:rsidP="00A64FF3">
      <w:pPr>
        <w:ind w:left="720"/>
        <w:rPr>
          <w:szCs w:val="22"/>
        </w:rPr>
      </w:pPr>
      <w:r>
        <w:rPr>
          <w:szCs w:val="22"/>
        </w:rPr>
        <w:t>Where:</w:t>
      </w:r>
    </w:p>
    <w:p w14:paraId="7D56D36C" w14:textId="77777777" w:rsidR="00A64FF3" w:rsidRPr="006704A5" w:rsidRDefault="00B36F35" w:rsidP="00A64FF3">
      <w:pPr>
        <w:pStyle w:val="ListParagraph"/>
        <w:numPr>
          <w:ilvl w:val="0"/>
          <w:numId w:val="8"/>
        </w:numPr>
        <w:rPr>
          <w:szCs w:val="22"/>
        </w:rPr>
      </w:pPr>
      <m:oMath>
        <m:sSub>
          <m:sSubPr>
            <m:ctrlPr>
              <w:rPr>
                <w:rFonts w:ascii="Cambria Math" w:hAnsi="Cambria Math"/>
                <w:i/>
                <w:szCs w:val="22"/>
              </w:rPr>
            </m:ctrlPr>
          </m:sSubPr>
          <m:e>
            <m:r>
              <w:rPr>
                <w:rFonts w:ascii="Cambria Math" w:hAnsi="Cambria Math"/>
                <w:szCs w:val="22"/>
              </w:rPr>
              <m:t>W</m:t>
            </m:r>
          </m:e>
          <m:sub>
            <m:r>
              <w:rPr>
                <w:rFonts w:ascii="Cambria Math" w:hAnsi="Cambria Math"/>
                <w:szCs w:val="22"/>
              </w:rPr>
              <m:t>savings</m:t>
            </m:r>
          </m:sub>
        </m:sSub>
        <m:r>
          <w:rPr>
            <w:rFonts w:ascii="Cambria Math" w:hAnsi="Cambria Math"/>
            <w:szCs w:val="22"/>
          </w:rPr>
          <m:t>=water savings</m:t>
        </m:r>
      </m:oMath>
    </w:p>
    <w:p w14:paraId="7D56D36D" w14:textId="77777777" w:rsidR="00A64FF3" w:rsidRPr="006704A5" w:rsidRDefault="00A64FF3" w:rsidP="00A64FF3">
      <w:pPr>
        <w:pStyle w:val="ListParagraph"/>
        <w:numPr>
          <w:ilvl w:val="0"/>
          <w:numId w:val="8"/>
        </w:numPr>
        <w:rPr>
          <w:i/>
          <w:szCs w:val="22"/>
        </w:rPr>
      </w:pPr>
      <w:r w:rsidRPr="006704A5">
        <w:rPr>
          <w:i/>
          <w:szCs w:val="22"/>
        </w:rPr>
        <w:t>ρ = Water Density at 60 °F</w:t>
      </w:r>
    </w:p>
    <w:p w14:paraId="7D56D36E" w14:textId="77777777" w:rsidR="00A64FF3" w:rsidRPr="006704A5" w:rsidRDefault="00B36F35" w:rsidP="00A64FF3">
      <w:pPr>
        <w:pStyle w:val="ListParagraph"/>
        <w:numPr>
          <w:ilvl w:val="0"/>
          <w:numId w:val="8"/>
        </w:numPr>
        <w:rPr>
          <w:i/>
          <w:szCs w:val="22"/>
        </w:rPr>
      </w:pPr>
      <m:oMath>
        <m:sSub>
          <m:sSubPr>
            <m:ctrlPr>
              <w:rPr>
                <w:rFonts w:ascii="Cambria Math" w:hAnsi="Cambria Math"/>
                <w:i/>
                <w:szCs w:val="22"/>
              </w:rPr>
            </m:ctrlPr>
          </m:sSubPr>
          <m:e>
            <m:r>
              <w:rPr>
                <w:rFonts w:ascii="Cambria Math" w:hAnsi="Cambria Math"/>
                <w:szCs w:val="22"/>
              </w:rPr>
              <m:t>C</m:t>
            </m:r>
          </m:e>
          <m:sub>
            <m:r>
              <w:rPr>
                <w:rFonts w:ascii="Cambria Math" w:hAnsi="Cambria Math"/>
                <w:szCs w:val="22"/>
              </w:rPr>
              <m:t>p</m:t>
            </m:r>
          </m:sub>
        </m:sSub>
        <m:r>
          <w:rPr>
            <w:rFonts w:ascii="Cambria Math" w:hAnsi="Cambria Math"/>
            <w:szCs w:val="22"/>
          </w:rPr>
          <m:t>=Water Specific Heat at 60 °F</m:t>
        </m:r>
      </m:oMath>
    </w:p>
    <w:p w14:paraId="7D56D36F" w14:textId="77777777" w:rsidR="00A64FF3" w:rsidRPr="006704A5" w:rsidRDefault="00A64FF3" w:rsidP="00A64FF3">
      <w:pPr>
        <w:pStyle w:val="ListParagraph"/>
        <w:numPr>
          <w:ilvl w:val="0"/>
          <w:numId w:val="8"/>
        </w:numPr>
        <w:rPr>
          <w:i/>
          <w:szCs w:val="22"/>
        </w:rPr>
      </w:pPr>
      <w:r w:rsidRPr="006704A5">
        <w:rPr>
          <w:i/>
          <w:szCs w:val="22"/>
        </w:rPr>
        <w:t>T = Temperature °F</w:t>
      </w:r>
    </w:p>
    <w:p w14:paraId="7D56D370" w14:textId="77777777" w:rsidR="00A64FF3" w:rsidRPr="006704A5" w:rsidRDefault="00A64FF3" w:rsidP="00A64FF3">
      <w:pPr>
        <w:pStyle w:val="ListParagraph"/>
        <w:numPr>
          <w:ilvl w:val="0"/>
          <w:numId w:val="8"/>
        </w:numPr>
        <w:rPr>
          <w:i/>
          <w:szCs w:val="22"/>
        </w:rPr>
      </w:pPr>
      <w:r w:rsidRPr="006704A5">
        <w:rPr>
          <w:i/>
          <w:szCs w:val="22"/>
        </w:rPr>
        <w:t>η =Thermal Efficiency, Com</w:t>
      </w:r>
      <w:r>
        <w:rPr>
          <w:i/>
          <w:szCs w:val="22"/>
        </w:rPr>
        <w:t>mercial</w:t>
      </w:r>
      <w:r w:rsidRPr="006704A5">
        <w:rPr>
          <w:i/>
          <w:szCs w:val="22"/>
        </w:rPr>
        <w:t xml:space="preserve"> Gas Water Heater = .78</w:t>
      </w:r>
    </w:p>
    <w:p w14:paraId="7D56D371" w14:textId="77777777" w:rsidR="00A64FF3" w:rsidRPr="006704A5" w:rsidRDefault="00B36F35" w:rsidP="00A64FF3">
      <w:pPr>
        <w:pStyle w:val="ListParagraph"/>
        <w:numPr>
          <w:ilvl w:val="0"/>
          <w:numId w:val="8"/>
        </w:numPr>
        <w:rPr>
          <w:i/>
          <w:szCs w:val="22"/>
        </w:rPr>
      </w:pPr>
      <m:oMath>
        <m:sSub>
          <m:sSubPr>
            <m:ctrlPr>
              <w:rPr>
                <w:rFonts w:ascii="Cambria Math" w:hAnsi="Cambria Math"/>
                <w:i/>
                <w:szCs w:val="22"/>
              </w:rPr>
            </m:ctrlPr>
          </m:sSubPr>
          <m:e>
            <m:r>
              <w:rPr>
                <w:rFonts w:ascii="Cambria Math" w:hAnsi="Cambria Math"/>
                <w:szCs w:val="22"/>
              </w:rPr>
              <m:t>C</m:t>
            </m:r>
          </m:e>
          <m:sub>
            <m:r>
              <w:rPr>
                <w:rFonts w:ascii="Cambria Math" w:hAnsi="Cambria Math"/>
                <w:szCs w:val="22"/>
              </w:rPr>
              <m:t>volume</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Lb</m:t>
            </m:r>
          </m:e>
          <m:sub>
            <m:r>
              <w:rPr>
                <w:rFonts w:ascii="Cambria Math" w:hAnsi="Cambria Math"/>
                <w:szCs w:val="22"/>
              </w:rPr>
              <m:t>m</m:t>
            </m:r>
          </m:sub>
        </m:sSub>
        <m:r>
          <w:rPr>
            <w:rFonts w:ascii="Cambria Math" w:hAnsi="Cambria Math"/>
            <w:szCs w:val="22"/>
          </w:rPr>
          <m:t xml:space="preserve"> to Gallon conversion</m:t>
        </m:r>
      </m:oMath>
    </w:p>
    <w:p w14:paraId="7D56D373" w14:textId="77777777" w:rsidR="0089760C" w:rsidRPr="00322BEC" w:rsidRDefault="0089760C" w:rsidP="00A64FF3">
      <w:pPr>
        <w:rPr>
          <w:szCs w:val="22"/>
        </w:rPr>
      </w:pPr>
    </w:p>
    <w:p w14:paraId="7D56D375" w14:textId="07405DB4" w:rsidR="00452382" w:rsidRPr="00452382" w:rsidRDefault="00B24080" w:rsidP="0089760C">
      <w:pPr>
        <w:pStyle w:val="Caption"/>
        <w:ind w:left="720"/>
        <w:rPr>
          <w:szCs w:val="22"/>
        </w:rPr>
      </w:pPr>
      <w:bookmarkStart w:id="60" w:name="_Toc442688316"/>
      <w:bookmarkStart w:id="61" w:name="_Toc501451184"/>
      <w:r w:rsidRPr="0089760C">
        <w:rPr>
          <w:szCs w:val="22"/>
        </w:rPr>
        <w:t xml:space="preserve">Table </w:t>
      </w:r>
      <w:r w:rsidR="000149A3">
        <w:rPr>
          <w:szCs w:val="22"/>
        </w:rPr>
        <w:t>15</w:t>
      </w:r>
      <w:r w:rsidRPr="0089760C">
        <w:rPr>
          <w:szCs w:val="22"/>
        </w:rPr>
        <w:t xml:space="preserve"> Energy </w:t>
      </w:r>
      <w:bookmarkEnd w:id="60"/>
      <w:r w:rsidRPr="0089760C">
        <w:rPr>
          <w:szCs w:val="22"/>
        </w:rPr>
        <w:t>Savi</w:t>
      </w:r>
      <w:r w:rsidR="003E51EF">
        <w:rPr>
          <w:szCs w:val="22"/>
        </w:rPr>
        <w:t xml:space="preserve">ngs </w:t>
      </w:r>
      <w:r w:rsidRPr="0089760C">
        <w:rPr>
          <w:szCs w:val="22"/>
        </w:rPr>
        <w:t>(1st Baseline @ 2.25 gpm and LFSH of 1.5 gpm)</w:t>
      </w:r>
      <w:bookmarkEnd w:id="61"/>
    </w:p>
    <w:tbl>
      <w:tblPr>
        <w:tblW w:w="7809" w:type="dxa"/>
        <w:jc w:val="center"/>
        <w:tblLook w:val="04A0" w:firstRow="1" w:lastRow="0" w:firstColumn="1" w:lastColumn="0" w:noHBand="0" w:noVBand="1"/>
      </w:tblPr>
      <w:tblGrid>
        <w:gridCol w:w="1740"/>
        <w:gridCol w:w="1440"/>
        <w:gridCol w:w="1543"/>
        <w:gridCol w:w="1543"/>
        <w:gridCol w:w="1543"/>
      </w:tblGrid>
      <w:tr w:rsidR="00452382" w:rsidRPr="00452382" w14:paraId="7D56D37B" w14:textId="77777777" w:rsidTr="00452382">
        <w:trPr>
          <w:trHeight w:val="1383"/>
          <w:jc w:val="center"/>
        </w:trPr>
        <w:tc>
          <w:tcPr>
            <w:tcW w:w="1740" w:type="dxa"/>
            <w:tcBorders>
              <w:top w:val="single" w:sz="12" w:space="0" w:color="auto"/>
              <w:left w:val="single" w:sz="12" w:space="0" w:color="auto"/>
              <w:bottom w:val="nil"/>
              <w:right w:val="nil"/>
            </w:tcBorders>
            <w:shd w:val="clear" w:color="000000" w:fill="054B56"/>
            <w:noWrap/>
            <w:vAlign w:val="bottom"/>
            <w:hideMark/>
          </w:tcPr>
          <w:p w14:paraId="7D56D376" w14:textId="77777777" w:rsidR="00452382" w:rsidRPr="00452382" w:rsidRDefault="00452382" w:rsidP="00452382">
            <w:pPr>
              <w:jc w:val="center"/>
              <w:rPr>
                <w:rFonts w:ascii="Calibri" w:hAnsi="Calibri"/>
                <w:b/>
                <w:bCs/>
                <w:color w:val="FFFFFF"/>
                <w:szCs w:val="22"/>
              </w:rPr>
            </w:pPr>
          </w:p>
        </w:tc>
        <w:tc>
          <w:tcPr>
            <w:tcW w:w="1440" w:type="dxa"/>
            <w:tcBorders>
              <w:top w:val="single" w:sz="12" w:space="0" w:color="auto"/>
              <w:left w:val="nil"/>
              <w:bottom w:val="nil"/>
              <w:right w:val="nil"/>
            </w:tcBorders>
            <w:shd w:val="clear" w:color="000000" w:fill="054B56"/>
            <w:vAlign w:val="bottom"/>
            <w:hideMark/>
          </w:tcPr>
          <w:p w14:paraId="7D56D377" w14:textId="77777777" w:rsidR="00452382" w:rsidRPr="00452382" w:rsidRDefault="00452382" w:rsidP="00452382">
            <w:pPr>
              <w:jc w:val="center"/>
              <w:rPr>
                <w:rFonts w:ascii="Calibri" w:hAnsi="Calibri"/>
                <w:b/>
                <w:bCs/>
                <w:color w:val="FFFFFF"/>
                <w:szCs w:val="22"/>
              </w:rPr>
            </w:pPr>
            <w:r w:rsidRPr="00452382">
              <w:rPr>
                <w:rFonts w:ascii="Calibri" w:hAnsi="Calibri"/>
                <w:b/>
                <w:bCs/>
                <w:color w:val="FFFFFF"/>
                <w:szCs w:val="22"/>
              </w:rPr>
              <w:t>Location, Climate Zone</w:t>
            </w:r>
          </w:p>
        </w:tc>
        <w:tc>
          <w:tcPr>
            <w:tcW w:w="1543" w:type="dxa"/>
            <w:tcBorders>
              <w:top w:val="single" w:sz="12" w:space="0" w:color="auto"/>
              <w:left w:val="nil"/>
              <w:bottom w:val="nil"/>
              <w:right w:val="nil"/>
            </w:tcBorders>
            <w:shd w:val="clear" w:color="000000" w:fill="054B56"/>
            <w:vAlign w:val="bottom"/>
            <w:hideMark/>
          </w:tcPr>
          <w:p w14:paraId="7D56D378" w14:textId="77777777" w:rsidR="00452382" w:rsidRPr="00452382" w:rsidRDefault="00452382" w:rsidP="00452382">
            <w:pPr>
              <w:jc w:val="center"/>
              <w:rPr>
                <w:rFonts w:ascii="Calibri" w:hAnsi="Calibri"/>
                <w:b/>
                <w:bCs/>
                <w:color w:val="FFFFFF"/>
                <w:szCs w:val="22"/>
              </w:rPr>
            </w:pPr>
            <w:r w:rsidRPr="00452382">
              <w:rPr>
                <w:rFonts w:ascii="Calibri" w:hAnsi="Calibri"/>
                <w:b/>
                <w:bCs/>
                <w:color w:val="FFFFFF"/>
                <w:szCs w:val="22"/>
              </w:rPr>
              <w:t>Baseline Natural Gas Consumption (Therms/Year)</w:t>
            </w:r>
          </w:p>
        </w:tc>
        <w:tc>
          <w:tcPr>
            <w:tcW w:w="1543" w:type="dxa"/>
            <w:tcBorders>
              <w:top w:val="single" w:sz="12" w:space="0" w:color="auto"/>
              <w:left w:val="nil"/>
              <w:bottom w:val="nil"/>
              <w:right w:val="nil"/>
            </w:tcBorders>
            <w:shd w:val="clear" w:color="000000" w:fill="054B56"/>
            <w:vAlign w:val="bottom"/>
            <w:hideMark/>
          </w:tcPr>
          <w:p w14:paraId="7D56D379" w14:textId="77777777" w:rsidR="00452382" w:rsidRPr="00452382" w:rsidRDefault="00452382" w:rsidP="00452382">
            <w:pPr>
              <w:jc w:val="center"/>
              <w:rPr>
                <w:rFonts w:ascii="Calibri" w:hAnsi="Calibri"/>
                <w:b/>
                <w:bCs/>
                <w:color w:val="FFFFFF"/>
                <w:szCs w:val="22"/>
              </w:rPr>
            </w:pPr>
            <w:r w:rsidRPr="00452382">
              <w:rPr>
                <w:rFonts w:ascii="Calibri" w:hAnsi="Calibri"/>
                <w:b/>
                <w:bCs/>
                <w:color w:val="FFFFFF"/>
                <w:szCs w:val="22"/>
              </w:rPr>
              <w:t>Post-Installation Natural Gas Consumption (Therms/Year)</w:t>
            </w:r>
          </w:p>
        </w:tc>
        <w:tc>
          <w:tcPr>
            <w:tcW w:w="1543" w:type="dxa"/>
            <w:tcBorders>
              <w:top w:val="single" w:sz="12" w:space="0" w:color="auto"/>
              <w:left w:val="nil"/>
              <w:bottom w:val="nil"/>
              <w:right w:val="single" w:sz="12" w:space="0" w:color="auto"/>
            </w:tcBorders>
            <w:shd w:val="clear" w:color="000000" w:fill="054B56"/>
            <w:vAlign w:val="bottom"/>
            <w:hideMark/>
          </w:tcPr>
          <w:p w14:paraId="7D56D37A" w14:textId="77777777" w:rsidR="00452382" w:rsidRPr="00452382" w:rsidRDefault="00452382" w:rsidP="00452382">
            <w:pPr>
              <w:jc w:val="center"/>
              <w:rPr>
                <w:rFonts w:ascii="Calibri" w:hAnsi="Calibri"/>
                <w:b/>
                <w:bCs/>
                <w:color w:val="FFFFFF"/>
                <w:szCs w:val="22"/>
              </w:rPr>
            </w:pPr>
            <w:r w:rsidRPr="00452382">
              <w:rPr>
                <w:rFonts w:ascii="Calibri" w:hAnsi="Calibri"/>
                <w:b/>
                <w:bCs/>
                <w:color w:val="FFFFFF"/>
                <w:szCs w:val="22"/>
              </w:rPr>
              <w:t>Natural Gas Savings (Therms/Year)</w:t>
            </w:r>
          </w:p>
        </w:tc>
      </w:tr>
      <w:tr w:rsidR="00956E94" w:rsidRPr="00452382" w14:paraId="7D56D381" w14:textId="77777777" w:rsidTr="00452382">
        <w:trPr>
          <w:trHeight w:val="300"/>
          <w:jc w:val="center"/>
        </w:trPr>
        <w:tc>
          <w:tcPr>
            <w:tcW w:w="1740" w:type="dxa"/>
            <w:tcBorders>
              <w:top w:val="nil"/>
              <w:left w:val="single" w:sz="12" w:space="0" w:color="auto"/>
              <w:bottom w:val="nil"/>
              <w:right w:val="nil"/>
            </w:tcBorders>
            <w:shd w:val="clear" w:color="000000" w:fill="FFFF00"/>
            <w:noWrap/>
            <w:vAlign w:val="bottom"/>
            <w:hideMark/>
          </w:tcPr>
          <w:p w14:paraId="7D56D37C" w14:textId="3EFBB7E0" w:rsidR="00956E94" w:rsidRPr="00452382" w:rsidRDefault="00956E94" w:rsidP="00956E94">
            <w:pPr>
              <w:rPr>
                <w:rFonts w:ascii="Calibri" w:hAnsi="Calibri"/>
                <w:b/>
                <w:bCs/>
                <w:szCs w:val="22"/>
              </w:rPr>
            </w:pPr>
            <w:r>
              <w:rPr>
                <w:rFonts w:ascii="Calibri" w:hAnsi="Calibri"/>
                <w:b/>
                <w:bCs/>
                <w:szCs w:val="22"/>
              </w:rPr>
              <w:t xml:space="preserve">Lodging </w:t>
            </w:r>
          </w:p>
        </w:tc>
        <w:tc>
          <w:tcPr>
            <w:tcW w:w="1440" w:type="dxa"/>
            <w:tcBorders>
              <w:top w:val="single" w:sz="4" w:space="0" w:color="auto"/>
              <w:left w:val="single" w:sz="8" w:space="0" w:color="auto"/>
              <w:bottom w:val="single" w:sz="4" w:space="0" w:color="auto"/>
              <w:right w:val="nil"/>
            </w:tcBorders>
            <w:shd w:val="clear" w:color="auto" w:fill="auto"/>
            <w:noWrap/>
            <w:vAlign w:val="bottom"/>
            <w:hideMark/>
          </w:tcPr>
          <w:p w14:paraId="7D56D37D" w14:textId="77777777" w:rsidR="00956E94" w:rsidRPr="00452382" w:rsidRDefault="00956E94" w:rsidP="00956E94">
            <w:pPr>
              <w:jc w:val="center"/>
              <w:rPr>
                <w:rFonts w:ascii="Calibri" w:hAnsi="Calibri"/>
                <w:color w:val="000000"/>
                <w:szCs w:val="22"/>
              </w:rPr>
            </w:pPr>
            <w:r w:rsidRPr="00452382">
              <w:rPr>
                <w:rFonts w:ascii="Calibri" w:hAnsi="Calibri"/>
                <w:color w:val="000000"/>
                <w:szCs w:val="22"/>
              </w:rPr>
              <w:t>CZ01</w:t>
            </w:r>
          </w:p>
        </w:tc>
        <w:tc>
          <w:tcPr>
            <w:tcW w:w="1543" w:type="dxa"/>
            <w:tcBorders>
              <w:top w:val="nil"/>
              <w:left w:val="single" w:sz="8" w:space="0" w:color="auto"/>
              <w:bottom w:val="single" w:sz="8" w:space="0" w:color="auto"/>
              <w:right w:val="nil"/>
            </w:tcBorders>
            <w:shd w:val="clear" w:color="auto" w:fill="auto"/>
            <w:noWrap/>
            <w:vAlign w:val="bottom"/>
            <w:hideMark/>
          </w:tcPr>
          <w:p w14:paraId="7D56D37E" w14:textId="19CFA379" w:rsidR="00956E94" w:rsidRPr="00452382" w:rsidRDefault="00956E94" w:rsidP="00956E94">
            <w:pPr>
              <w:jc w:val="center"/>
              <w:rPr>
                <w:rFonts w:ascii="Calibri" w:hAnsi="Calibri"/>
                <w:color w:val="000000"/>
                <w:szCs w:val="22"/>
              </w:rPr>
            </w:pPr>
            <w:r>
              <w:rPr>
                <w:rFonts w:ascii="Calibri" w:hAnsi="Calibri" w:cs="Calibri"/>
                <w:color w:val="000000"/>
                <w:szCs w:val="22"/>
              </w:rPr>
              <w:t>50.18</w:t>
            </w:r>
          </w:p>
        </w:tc>
        <w:tc>
          <w:tcPr>
            <w:tcW w:w="1543" w:type="dxa"/>
            <w:tcBorders>
              <w:top w:val="nil"/>
              <w:left w:val="single" w:sz="8" w:space="0" w:color="auto"/>
              <w:bottom w:val="single" w:sz="8" w:space="0" w:color="auto"/>
              <w:right w:val="single" w:sz="4" w:space="0" w:color="auto"/>
            </w:tcBorders>
            <w:shd w:val="clear" w:color="auto" w:fill="auto"/>
            <w:noWrap/>
            <w:vAlign w:val="bottom"/>
            <w:hideMark/>
          </w:tcPr>
          <w:p w14:paraId="7D56D37F" w14:textId="34F0D423" w:rsidR="00956E94" w:rsidRPr="00452382" w:rsidRDefault="00956E94" w:rsidP="00956E94">
            <w:pPr>
              <w:jc w:val="center"/>
              <w:rPr>
                <w:rFonts w:ascii="Calibri" w:hAnsi="Calibri"/>
                <w:color w:val="000000"/>
                <w:szCs w:val="22"/>
              </w:rPr>
            </w:pPr>
            <w:r>
              <w:rPr>
                <w:rFonts w:ascii="Calibri" w:hAnsi="Calibri" w:cs="Calibri"/>
                <w:color w:val="000000"/>
                <w:szCs w:val="22"/>
              </w:rPr>
              <w:t>33.45</w:t>
            </w:r>
          </w:p>
        </w:tc>
        <w:tc>
          <w:tcPr>
            <w:tcW w:w="1543" w:type="dxa"/>
            <w:tcBorders>
              <w:top w:val="nil"/>
              <w:left w:val="single" w:sz="8" w:space="0" w:color="auto"/>
              <w:bottom w:val="single" w:sz="8" w:space="0" w:color="auto"/>
              <w:right w:val="single" w:sz="12" w:space="0" w:color="auto"/>
            </w:tcBorders>
            <w:shd w:val="clear" w:color="auto" w:fill="auto"/>
            <w:noWrap/>
            <w:vAlign w:val="bottom"/>
            <w:hideMark/>
          </w:tcPr>
          <w:p w14:paraId="7D56D380" w14:textId="26922B48" w:rsidR="00956E94" w:rsidRPr="00452382" w:rsidRDefault="00956E94" w:rsidP="00956E94">
            <w:pPr>
              <w:jc w:val="center"/>
              <w:rPr>
                <w:rFonts w:ascii="Calibri" w:hAnsi="Calibri"/>
                <w:color w:val="000000"/>
                <w:szCs w:val="22"/>
              </w:rPr>
            </w:pPr>
            <w:r>
              <w:rPr>
                <w:rFonts w:ascii="Calibri" w:hAnsi="Calibri" w:cs="Calibri"/>
                <w:color w:val="000000"/>
                <w:szCs w:val="22"/>
              </w:rPr>
              <w:t>16.73</w:t>
            </w:r>
          </w:p>
        </w:tc>
      </w:tr>
      <w:tr w:rsidR="00956E94" w:rsidRPr="00452382" w14:paraId="7D56D387" w14:textId="77777777" w:rsidTr="00452382">
        <w:trPr>
          <w:trHeight w:val="300"/>
          <w:jc w:val="center"/>
        </w:trPr>
        <w:tc>
          <w:tcPr>
            <w:tcW w:w="1740" w:type="dxa"/>
            <w:tcBorders>
              <w:top w:val="nil"/>
              <w:left w:val="single" w:sz="12" w:space="0" w:color="auto"/>
              <w:bottom w:val="nil"/>
              <w:right w:val="nil"/>
            </w:tcBorders>
            <w:shd w:val="clear" w:color="000000" w:fill="FFFF00"/>
            <w:noWrap/>
            <w:vAlign w:val="bottom"/>
            <w:hideMark/>
          </w:tcPr>
          <w:p w14:paraId="7D56D382" w14:textId="6CB1EE93" w:rsidR="00956E94" w:rsidRPr="00452382" w:rsidRDefault="00956E94" w:rsidP="00956E94">
            <w:pPr>
              <w:rPr>
                <w:rFonts w:ascii="Calibri" w:hAnsi="Calibri"/>
                <w:b/>
                <w:bCs/>
                <w:szCs w:val="22"/>
              </w:rPr>
            </w:pPr>
            <w:r>
              <w:rPr>
                <w:rFonts w:ascii="Calibri" w:hAnsi="Calibri"/>
                <w:b/>
                <w:bCs/>
                <w:szCs w:val="22"/>
              </w:rPr>
              <w:t xml:space="preserve">Lodging </w:t>
            </w:r>
          </w:p>
        </w:tc>
        <w:tc>
          <w:tcPr>
            <w:tcW w:w="1440" w:type="dxa"/>
            <w:tcBorders>
              <w:top w:val="nil"/>
              <w:left w:val="single" w:sz="8" w:space="0" w:color="auto"/>
              <w:bottom w:val="single" w:sz="4" w:space="0" w:color="auto"/>
              <w:right w:val="nil"/>
            </w:tcBorders>
            <w:shd w:val="clear" w:color="auto" w:fill="auto"/>
            <w:noWrap/>
            <w:vAlign w:val="bottom"/>
            <w:hideMark/>
          </w:tcPr>
          <w:p w14:paraId="7D56D383" w14:textId="77777777" w:rsidR="00956E94" w:rsidRPr="00452382" w:rsidRDefault="00956E94" w:rsidP="00956E94">
            <w:pPr>
              <w:jc w:val="center"/>
              <w:rPr>
                <w:rFonts w:ascii="Calibri" w:hAnsi="Calibri"/>
                <w:color w:val="000000"/>
                <w:szCs w:val="22"/>
              </w:rPr>
            </w:pPr>
            <w:r w:rsidRPr="00452382">
              <w:rPr>
                <w:rFonts w:ascii="Calibri" w:hAnsi="Calibri"/>
                <w:color w:val="000000"/>
                <w:szCs w:val="22"/>
              </w:rPr>
              <w:t>CZ02</w:t>
            </w:r>
          </w:p>
        </w:tc>
        <w:tc>
          <w:tcPr>
            <w:tcW w:w="1543" w:type="dxa"/>
            <w:tcBorders>
              <w:top w:val="nil"/>
              <w:left w:val="single" w:sz="8" w:space="0" w:color="auto"/>
              <w:bottom w:val="single" w:sz="8" w:space="0" w:color="auto"/>
              <w:right w:val="nil"/>
            </w:tcBorders>
            <w:shd w:val="clear" w:color="auto" w:fill="auto"/>
            <w:noWrap/>
            <w:vAlign w:val="bottom"/>
            <w:hideMark/>
          </w:tcPr>
          <w:p w14:paraId="7D56D384" w14:textId="3A059EC3" w:rsidR="00956E94" w:rsidRPr="00452382" w:rsidRDefault="00956E94" w:rsidP="00956E94">
            <w:pPr>
              <w:jc w:val="center"/>
              <w:rPr>
                <w:rFonts w:ascii="Calibri" w:hAnsi="Calibri"/>
                <w:color w:val="000000"/>
                <w:szCs w:val="22"/>
              </w:rPr>
            </w:pPr>
            <w:r>
              <w:rPr>
                <w:rFonts w:ascii="Calibri" w:hAnsi="Calibri" w:cs="Calibri"/>
                <w:color w:val="000000"/>
                <w:szCs w:val="22"/>
              </w:rPr>
              <w:t>44.64</w:t>
            </w:r>
          </w:p>
        </w:tc>
        <w:tc>
          <w:tcPr>
            <w:tcW w:w="1543" w:type="dxa"/>
            <w:tcBorders>
              <w:top w:val="nil"/>
              <w:left w:val="single" w:sz="8" w:space="0" w:color="auto"/>
              <w:bottom w:val="single" w:sz="8" w:space="0" w:color="auto"/>
              <w:right w:val="single" w:sz="4" w:space="0" w:color="auto"/>
            </w:tcBorders>
            <w:shd w:val="clear" w:color="auto" w:fill="auto"/>
            <w:noWrap/>
            <w:vAlign w:val="bottom"/>
            <w:hideMark/>
          </w:tcPr>
          <w:p w14:paraId="7D56D385" w14:textId="4BFCD5F9" w:rsidR="00956E94" w:rsidRPr="00452382" w:rsidRDefault="00956E94" w:rsidP="00956E94">
            <w:pPr>
              <w:jc w:val="center"/>
              <w:rPr>
                <w:rFonts w:ascii="Calibri" w:hAnsi="Calibri"/>
                <w:color w:val="000000"/>
                <w:szCs w:val="22"/>
              </w:rPr>
            </w:pPr>
            <w:r>
              <w:rPr>
                <w:rFonts w:ascii="Calibri" w:hAnsi="Calibri" w:cs="Calibri"/>
                <w:color w:val="000000"/>
                <w:szCs w:val="22"/>
              </w:rPr>
              <w:t>29.76</w:t>
            </w:r>
          </w:p>
        </w:tc>
        <w:tc>
          <w:tcPr>
            <w:tcW w:w="1543" w:type="dxa"/>
            <w:tcBorders>
              <w:top w:val="nil"/>
              <w:left w:val="single" w:sz="8" w:space="0" w:color="auto"/>
              <w:bottom w:val="single" w:sz="8" w:space="0" w:color="auto"/>
              <w:right w:val="single" w:sz="12" w:space="0" w:color="auto"/>
            </w:tcBorders>
            <w:shd w:val="clear" w:color="auto" w:fill="auto"/>
            <w:noWrap/>
            <w:vAlign w:val="bottom"/>
            <w:hideMark/>
          </w:tcPr>
          <w:p w14:paraId="7D56D386" w14:textId="2B54BFAA" w:rsidR="00956E94" w:rsidRPr="00452382" w:rsidRDefault="00956E94" w:rsidP="00956E94">
            <w:pPr>
              <w:jc w:val="center"/>
              <w:rPr>
                <w:rFonts w:ascii="Calibri" w:hAnsi="Calibri"/>
                <w:color w:val="000000"/>
                <w:szCs w:val="22"/>
              </w:rPr>
            </w:pPr>
            <w:r>
              <w:rPr>
                <w:rFonts w:ascii="Calibri" w:hAnsi="Calibri" w:cs="Calibri"/>
                <w:color w:val="000000"/>
                <w:szCs w:val="22"/>
              </w:rPr>
              <w:t>14.88</w:t>
            </w:r>
          </w:p>
        </w:tc>
      </w:tr>
      <w:tr w:rsidR="00956E94" w:rsidRPr="00452382" w14:paraId="7D56D38D" w14:textId="77777777" w:rsidTr="00452382">
        <w:trPr>
          <w:trHeight w:val="300"/>
          <w:jc w:val="center"/>
        </w:trPr>
        <w:tc>
          <w:tcPr>
            <w:tcW w:w="1740" w:type="dxa"/>
            <w:tcBorders>
              <w:top w:val="nil"/>
              <w:left w:val="single" w:sz="12" w:space="0" w:color="auto"/>
              <w:bottom w:val="nil"/>
              <w:right w:val="nil"/>
            </w:tcBorders>
            <w:shd w:val="clear" w:color="000000" w:fill="FFFF00"/>
            <w:noWrap/>
            <w:vAlign w:val="bottom"/>
            <w:hideMark/>
          </w:tcPr>
          <w:p w14:paraId="7D56D388" w14:textId="70E451E5" w:rsidR="00956E94" w:rsidRPr="00452382" w:rsidRDefault="00956E94" w:rsidP="00956E94">
            <w:pPr>
              <w:rPr>
                <w:rFonts w:ascii="Calibri" w:hAnsi="Calibri"/>
                <w:b/>
                <w:bCs/>
                <w:szCs w:val="22"/>
              </w:rPr>
            </w:pPr>
            <w:r>
              <w:rPr>
                <w:rFonts w:ascii="Calibri" w:hAnsi="Calibri"/>
                <w:b/>
                <w:bCs/>
                <w:szCs w:val="22"/>
              </w:rPr>
              <w:t xml:space="preserve">Lodging </w:t>
            </w:r>
          </w:p>
        </w:tc>
        <w:tc>
          <w:tcPr>
            <w:tcW w:w="1440" w:type="dxa"/>
            <w:tcBorders>
              <w:top w:val="nil"/>
              <w:left w:val="single" w:sz="8" w:space="0" w:color="auto"/>
              <w:bottom w:val="single" w:sz="4" w:space="0" w:color="auto"/>
              <w:right w:val="nil"/>
            </w:tcBorders>
            <w:shd w:val="clear" w:color="auto" w:fill="auto"/>
            <w:noWrap/>
            <w:vAlign w:val="bottom"/>
            <w:hideMark/>
          </w:tcPr>
          <w:p w14:paraId="7D56D389" w14:textId="77777777" w:rsidR="00956E94" w:rsidRPr="00452382" w:rsidRDefault="00956E94" w:rsidP="00956E94">
            <w:pPr>
              <w:jc w:val="center"/>
              <w:rPr>
                <w:rFonts w:ascii="Calibri" w:hAnsi="Calibri"/>
                <w:color w:val="000000"/>
                <w:szCs w:val="22"/>
              </w:rPr>
            </w:pPr>
            <w:r w:rsidRPr="00452382">
              <w:rPr>
                <w:rFonts w:ascii="Calibri" w:hAnsi="Calibri"/>
                <w:color w:val="000000"/>
                <w:szCs w:val="22"/>
              </w:rPr>
              <w:t>CZ03</w:t>
            </w:r>
          </w:p>
        </w:tc>
        <w:tc>
          <w:tcPr>
            <w:tcW w:w="1543" w:type="dxa"/>
            <w:tcBorders>
              <w:top w:val="nil"/>
              <w:left w:val="single" w:sz="8" w:space="0" w:color="auto"/>
              <w:bottom w:val="single" w:sz="8" w:space="0" w:color="auto"/>
              <w:right w:val="nil"/>
            </w:tcBorders>
            <w:shd w:val="clear" w:color="auto" w:fill="auto"/>
            <w:noWrap/>
            <w:vAlign w:val="bottom"/>
            <w:hideMark/>
          </w:tcPr>
          <w:p w14:paraId="7D56D38A" w14:textId="3CB8C23E" w:rsidR="00956E94" w:rsidRPr="00452382" w:rsidRDefault="00956E94" w:rsidP="00956E94">
            <w:pPr>
              <w:jc w:val="center"/>
              <w:rPr>
                <w:rFonts w:ascii="Calibri" w:hAnsi="Calibri"/>
                <w:color w:val="000000"/>
                <w:szCs w:val="22"/>
              </w:rPr>
            </w:pPr>
            <w:r>
              <w:rPr>
                <w:rFonts w:ascii="Calibri" w:hAnsi="Calibri" w:cs="Calibri"/>
                <w:color w:val="000000"/>
                <w:szCs w:val="22"/>
              </w:rPr>
              <w:t>44.84</w:t>
            </w:r>
          </w:p>
        </w:tc>
        <w:tc>
          <w:tcPr>
            <w:tcW w:w="1543" w:type="dxa"/>
            <w:tcBorders>
              <w:top w:val="nil"/>
              <w:left w:val="single" w:sz="8" w:space="0" w:color="auto"/>
              <w:bottom w:val="single" w:sz="8" w:space="0" w:color="auto"/>
              <w:right w:val="single" w:sz="4" w:space="0" w:color="auto"/>
            </w:tcBorders>
            <w:shd w:val="clear" w:color="auto" w:fill="auto"/>
            <w:noWrap/>
            <w:vAlign w:val="bottom"/>
            <w:hideMark/>
          </w:tcPr>
          <w:p w14:paraId="7D56D38B" w14:textId="0C1EBA9A" w:rsidR="00956E94" w:rsidRPr="00452382" w:rsidRDefault="00956E94" w:rsidP="00956E94">
            <w:pPr>
              <w:jc w:val="center"/>
              <w:rPr>
                <w:rFonts w:ascii="Calibri" w:hAnsi="Calibri"/>
                <w:color w:val="000000"/>
                <w:szCs w:val="22"/>
              </w:rPr>
            </w:pPr>
            <w:r>
              <w:rPr>
                <w:rFonts w:ascii="Calibri" w:hAnsi="Calibri" w:cs="Calibri"/>
                <w:color w:val="000000"/>
                <w:szCs w:val="22"/>
              </w:rPr>
              <w:t>29.89</w:t>
            </w:r>
          </w:p>
        </w:tc>
        <w:tc>
          <w:tcPr>
            <w:tcW w:w="1543" w:type="dxa"/>
            <w:tcBorders>
              <w:top w:val="nil"/>
              <w:left w:val="single" w:sz="8" w:space="0" w:color="auto"/>
              <w:bottom w:val="single" w:sz="8" w:space="0" w:color="auto"/>
              <w:right w:val="single" w:sz="12" w:space="0" w:color="auto"/>
            </w:tcBorders>
            <w:shd w:val="clear" w:color="auto" w:fill="auto"/>
            <w:noWrap/>
            <w:vAlign w:val="bottom"/>
            <w:hideMark/>
          </w:tcPr>
          <w:p w14:paraId="7D56D38C" w14:textId="3F719D68" w:rsidR="00956E94" w:rsidRPr="00452382" w:rsidRDefault="00956E94" w:rsidP="00956E94">
            <w:pPr>
              <w:jc w:val="center"/>
              <w:rPr>
                <w:rFonts w:ascii="Calibri" w:hAnsi="Calibri"/>
                <w:color w:val="000000"/>
                <w:szCs w:val="22"/>
              </w:rPr>
            </w:pPr>
            <w:r>
              <w:rPr>
                <w:rFonts w:ascii="Calibri" w:hAnsi="Calibri" w:cs="Calibri"/>
                <w:color w:val="000000"/>
                <w:szCs w:val="22"/>
              </w:rPr>
              <w:t>14.95</w:t>
            </w:r>
          </w:p>
        </w:tc>
      </w:tr>
      <w:tr w:rsidR="00956E94" w:rsidRPr="00452382" w14:paraId="7D56D393" w14:textId="77777777" w:rsidTr="00452382">
        <w:trPr>
          <w:trHeight w:val="300"/>
          <w:jc w:val="center"/>
        </w:trPr>
        <w:tc>
          <w:tcPr>
            <w:tcW w:w="1740" w:type="dxa"/>
            <w:tcBorders>
              <w:top w:val="nil"/>
              <w:left w:val="single" w:sz="12" w:space="0" w:color="auto"/>
              <w:bottom w:val="nil"/>
              <w:right w:val="nil"/>
            </w:tcBorders>
            <w:shd w:val="clear" w:color="000000" w:fill="FFFF00"/>
            <w:noWrap/>
            <w:vAlign w:val="bottom"/>
            <w:hideMark/>
          </w:tcPr>
          <w:p w14:paraId="7D56D38E" w14:textId="11F84127" w:rsidR="00956E94" w:rsidRPr="00452382" w:rsidRDefault="00956E94" w:rsidP="00956E94">
            <w:pPr>
              <w:rPr>
                <w:rFonts w:ascii="Calibri" w:hAnsi="Calibri"/>
                <w:b/>
                <w:bCs/>
                <w:szCs w:val="22"/>
              </w:rPr>
            </w:pPr>
            <w:r>
              <w:rPr>
                <w:rFonts w:ascii="Calibri" w:hAnsi="Calibri"/>
                <w:b/>
                <w:bCs/>
                <w:szCs w:val="22"/>
              </w:rPr>
              <w:t xml:space="preserve">Lodging </w:t>
            </w:r>
          </w:p>
        </w:tc>
        <w:tc>
          <w:tcPr>
            <w:tcW w:w="1440" w:type="dxa"/>
            <w:tcBorders>
              <w:top w:val="nil"/>
              <w:left w:val="single" w:sz="8" w:space="0" w:color="auto"/>
              <w:bottom w:val="single" w:sz="4" w:space="0" w:color="auto"/>
              <w:right w:val="nil"/>
            </w:tcBorders>
            <w:shd w:val="clear" w:color="auto" w:fill="auto"/>
            <w:noWrap/>
            <w:vAlign w:val="bottom"/>
            <w:hideMark/>
          </w:tcPr>
          <w:p w14:paraId="7D56D38F" w14:textId="77777777" w:rsidR="00956E94" w:rsidRPr="00452382" w:rsidRDefault="00956E94" w:rsidP="00956E94">
            <w:pPr>
              <w:jc w:val="center"/>
              <w:rPr>
                <w:rFonts w:ascii="Calibri" w:hAnsi="Calibri"/>
                <w:color w:val="000000"/>
                <w:szCs w:val="22"/>
              </w:rPr>
            </w:pPr>
            <w:r w:rsidRPr="00452382">
              <w:rPr>
                <w:rFonts w:ascii="Calibri" w:hAnsi="Calibri"/>
                <w:color w:val="000000"/>
                <w:szCs w:val="22"/>
              </w:rPr>
              <w:t>CZ04</w:t>
            </w:r>
          </w:p>
        </w:tc>
        <w:tc>
          <w:tcPr>
            <w:tcW w:w="1543" w:type="dxa"/>
            <w:tcBorders>
              <w:top w:val="nil"/>
              <w:left w:val="single" w:sz="8" w:space="0" w:color="auto"/>
              <w:bottom w:val="single" w:sz="8" w:space="0" w:color="auto"/>
              <w:right w:val="nil"/>
            </w:tcBorders>
            <w:shd w:val="clear" w:color="auto" w:fill="auto"/>
            <w:noWrap/>
            <w:vAlign w:val="bottom"/>
            <w:hideMark/>
          </w:tcPr>
          <w:p w14:paraId="7D56D390" w14:textId="02522EF4" w:rsidR="00956E94" w:rsidRPr="00452382" w:rsidRDefault="00956E94" w:rsidP="00956E94">
            <w:pPr>
              <w:jc w:val="center"/>
              <w:rPr>
                <w:rFonts w:ascii="Calibri" w:hAnsi="Calibri"/>
                <w:color w:val="000000"/>
                <w:szCs w:val="22"/>
              </w:rPr>
            </w:pPr>
            <w:r>
              <w:rPr>
                <w:rFonts w:ascii="Calibri" w:hAnsi="Calibri" w:cs="Calibri"/>
                <w:color w:val="000000"/>
                <w:szCs w:val="22"/>
              </w:rPr>
              <w:t>42.55</w:t>
            </w:r>
          </w:p>
        </w:tc>
        <w:tc>
          <w:tcPr>
            <w:tcW w:w="1543" w:type="dxa"/>
            <w:tcBorders>
              <w:top w:val="nil"/>
              <w:left w:val="single" w:sz="8" w:space="0" w:color="auto"/>
              <w:bottom w:val="single" w:sz="8" w:space="0" w:color="auto"/>
              <w:right w:val="single" w:sz="4" w:space="0" w:color="auto"/>
            </w:tcBorders>
            <w:shd w:val="clear" w:color="auto" w:fill="auto"/>
            <w:noWrap/>
            <w:vAlign w:val="bottom"/>
            <w:hideMark/>
          </w:tcPr>
          <w:p w14:paraId="7D56D391" w14:textId="1C4BE56C" w:rsidR="00956E94" w:rsidRPr="00452382" w:rsidRDefault="00956E94" w:rsidP="00956E94">
            <w:pPr>
              <w:jc w:val="center"/>
              <w:rPr>
                <w:rFonts w:ascii="Calibri" w:hAnsi="Calibri"/>
                <w:color w:val="000000"/>
                <w:szCs w:val="22"/>
              </w:rPr>
            </w:pPr>
            <w:r>
              <w:rPr>
                <w:rFonts w:ascii="Calibri" w:hAnsi="Calibri" w:cs="Calibri"/>
                <w:color w:val="000000"/>
                <w:szCs w:val="22"/>
              </w:rPr>
              <w:t>28.36</w:t>
            </w:r>
          </w:p>
        </w:tc>
        <w:tc>
          <w:tcPr>
            <w:tcW w:w="1543" w:type="dxa"/>
            <w:tcBorders>
              <w:top w:val="nil"/>
              <w:left w:val="single" w:sz="8" w:space="0" w:color="auto"/>
              <w:bottom w:val="single" w:sz="8" w:space="0" w:color="auto"/>
              <w:right w:val="single" w:sz="12" w:space="0" w:color="auto"/>
            </w:tcBorders>
            <w:shd w:val="clear" w:color="auto" w:fill="auto"/>
            <w:noWrap/>
            <w:vAlign w:val="bottom"/>
            <w:hideMark/>
          </w:tcPr>
          <w:p w14:paraId="7D56D392" w14:textId="58922205" w:rsidR="00956E94" w:rsidRPr="00452382" w:rsidRDefault="00956E94" w:rsidP="00956E94">
            <w:pPr>
              <w:jc w:val="center"/>
              <w:rPr>
                <w:rFonts w:ascii="Calibri" w:hAnsi="Calibri"/>
                <w:color w:val="000000"/>
                <w:szCs w:val="22"/>
              </w:rPr>
            </w:pPr>
            <w:r>
              <w:rPr>
                <w:rFonts w:ascii="Calibri" w:hAnsi="Calibri" w:cs="Calibri"/>
                <w:color w:val="000000"/>
                <w:szCs w:val="22"/>
              </w:rPr>
              <w:t>14.18</w:t>
            </w:r>
          </w:p>
        </w:tc>
      </w:tr>
      <w:tr w:rsidR="00956E94" w:rsidRPr="00452382" w14:paraId="7D56D399" w14:textId="77777777" w:rsidTr="00452382">
        <w:trPr>
          <w:trHeight w:val="300"/>
          <w:jc w:val="center"/>
        </w:trPr>
        <w:tc>
          <w:tcPr>
            <w:tcW w:w="1740" w:type="dxa"/>
            <w:tcBorders>
              <w:top w:val="nil"/>
              <w:left w:val="single" w:sz="12" w:space="0" w:color="auto"/>
              <w:bottom w:val="nil"/>
              <w:right w:val="nil"/>
            </w:tcBorders>
            <w:shd w:val="clear" w:color="000000" w:fill="FFFF00"/>
            <w:noWrap/>
            <w:vAlign w:val="bottom"/>
            <w:hideMark/>
          </w:tcPr>
          <w:p w14:paraId="7D56D394" w14:textId="32A02F7C" w:rsidR="00956E94" w:rsidRPr="00452382" w:rsidRDefault="00956E94" w:rsidP="00956E94">
            <w:pPr>
              <w:rPr>
                <w:rFonts w:ascii="Calibri" w:hAnsi="Calibri"/>
                <w:b/>
                <w:bCs/>
                <w:szCs w:val="22"/>
              </w:rPr>
            </w:pPr>
            <w:r>
              <w:rPr>
                <w:rFonts w:ascii="Calibri" w:hAnsi="Calibri"/>
                <w:b/>
                <w:bCs/>
                <w:szCs w:val="22"/>
              </w:rPr>
              <w:t xml:space="preserve">Lodging </w:t>
            </w:r>
          </w:p>
        </w:tc>
        <w:tc>
          <w:tcPr>
            <w:tcW w:w="1440" w:type="dxa"/>
            <w:tcBorders>
              <w:top w:val="nil"/>
              <w:left w:val="single" w:sz="8" w:space="0" w:color="auto"/>
              <w:bottom w:val="single" w:sz="4" w:space="0" w:color="auto"/>
              <w:right w:val="nil"/>
            </w:tcBorders>
            <w:shd w:val="clear" w:color="auto" w:fill="auto"/>
            <w:noWrap/>
            <w:vAlign w:val="bottom"/>
            <w:hideMark/>
          </w:tcPr>
          <w:p w14:paraId="7D56D395" w14:textId="77777777" w:rsidR="00956E94" w:rsidRPr="00452382" w:rsidRDefault="00956E94" w:rsidP="00956E94">
            <w:pPr>
              <w:jc w:val="center"/>
              <w:rPr>
                <w:rFonts w:ascii="Calibri" w:hAnsi="Calibri"/>
                <w:color w:val="000000"/>
                <w:szCs w:val="22"/>
              </w:rPr>
            </w:pPr>
            <w:r w:rsidRPr="00452382">
              <w:rPr>
                <w:rFonts w:ascii="Calibri" w:hAnsi="Calibri"/>
                <w:color w:val="000000"/>
                <w:szCs w:val="22"/>
              </w:rPr>
              <w:t>CZ05</w:t>
            </w:r>
          </w:p>
        </w:tc>
        <w:tc>
          <w:tcPr>
            <w:tcW w:w="1543" w:type="dxa"/>
            <w:tcBorders>
              <w:top w:val="nil"/>
              <w:left w:val="single" w:sz="8" w:space="0" w:color="auto"/>
              <w:bottom w:val="single" w:sz="8" w:space="0" w:color="auto"/>
              <w:right w:val="nil"/>
            </w:tcBorders>
            <w:shd w:val="clear" w:color="auto" w:fill="auto"/>
            <w:noWrap/>
            <w:vAlign w:val="bottom"/>
            <w:hideMark/>
          </w:tcPr>
          <w:p w14:paraId="7D56D396" w14:textId="4382F916" w:rsidR="00956E94" w:rsidRPr="00452382" w:rsidRDefault="00956E94" w:rsidP="00956E94">
            <w:pPr>
              <w:jc w:val="center"/>
              <w:rPr>
                <w:rFonts w:ascii="Calibri" w:hAnsi="Calibri"/>
                <w:color w:val="000000"/>
                <w:szCs w:val="22"/>
              </w:rPr>
            </w:pPr>
            <w:r>
              <w:rPr>
                <w:rFonts w:ascii="Calibri" w:hAnsi="Calibri" w:cs="Calibri"/>
                <w:color w:val="000000"/>
                <w:szCs w:val="22"/>
              </w:rPr>
              <w:t>45.98</w:t>
            </w:r>
          </w:p>
        </w:tc>
        <w:tc>
          <w:tcPr>
            <w:tcW w:w="1543" w:type="dxa"/>
            <w:tcBorders>
              <w:top w:val="nil"/>
              <w:left w:val="single" w:sz="8" w:space="0" w:color="auto"/>
              <w:bottom w:val="single" w:sz="8" w:space="0" w:color="auto"/>
              <w:right w:val="single" w:sz="4" w:space="0" w:color="auto"/>
            </w:tcBorders>
            <w:shd w:val="clear" w:color="auto" w:fill="auto"/>
            <w:noWrap/>
            <w:vAlign w:val="bottom"/>
            <w:hideMark/>
          </w:tcPr>
          <w:p w14:paraId="7D56D397" w14:textId="4FCB33B5" w:rsidR="00956E94" w:rsidRPr="00452382" w:rsidRDefault="00956E94" w:rsidP="00956E94">
            <w:pPr>
              <w:jc w:val="center"/>
              <w:rPr>
                <w:rFonts w:ascii="Calibri" w:hAnsi="Calibri"/>
                <w:color w:val="000000"/>
                <w:szCs w:val="22"/>
              </w:rPr>
            </w:pPr>
            <w:r>
              <w:rPr>
                <w:rFonts w:ascii="Calibri" w:hAnsi="Calibri" w:cs="Calibri"/>
                <w:color w:val="000000"/>
                <w:szCs w:val="22"/>
              </w:rPr>
              <w:t>30.65</w:t>
            </w:r>
          </w:p>
        </w:tc>
        <w:tc>
          <w:tcPr>
            <w:tcW w:w="1543" w:type="dxa"/>
            <w:tcBorders>
              <w:top w:val="nil"/>
              <w:left w:val="single" w:sz="8" w:space="0" w:color="auto"/>
              <w:bottom w:val="single" w:sz="8" w:space="0" w:color="auto"/>
              <w:right w:val="single" w:sz="12" w:space="0" w:color="auto"/>
            </w:tcBorders>
            <w:shd w:val="clear" w:color="auto" w:fill="auto"/>
            <w:noWrap/>
            <w:vAlign w:val="bottom"/>
            <w:hideMark/>
          </w:tcPr>
          <w:p w14:paraId="7D56D398" w14:textId="1EFC6277" w:rsidR="00956E94" w:rsidRPr="00452382" w:rsidRDefault="00956E94" w:rsidP="00956E94">
            <w:pPr>
              <w:jc w:val="center"/>
              <w:rPr>
                <w:rFonts w:ascii="Calibri" w:hAnsi="Calibri"/>
                <w:color w:val="000000"/>
                <w:szCs w:val="22"/>
              </w:rPr>
            </w:pPr>
            <w:r>
              <w:rPr>
                <w:rFonts w:ascii="Calibri" w:hAnsi="Calibri" w:cs="Calibri"/>
                <w:color w:val="000000"/>
                <w:szCs w:val="22"/>
              </w:rPr>
              <w:t>15.33</w:t>
            </w:r>
          </w:p>
        </w:tc>
      </w:tr>
      <w:tr w:rsidR="00956E94" w:rsidRPr="00452382" w14:paraId="7D56D39F" w14:textId="77777777" w:rsidTr="00452382">
        <w:trPr>
          <w:trHeight w:val="300"/>
          <w:jc w:val="center"/>
        </w:trPr>
        <w:tc>
          <w:tcPr>
            <w:tcW w:w="1740" w:type="dxa"/>
            <w:tcBorders>
              <w:top w:val="nil"/>
              <w:left w:val="single" w:sz="12" w:space="0" w:color="auto"/>
              <w:bottom w:val="nil"/>
              <w:right w:val="nil"/>
            </w:tcBorders>
            <w:shd w:val="clear" w:color="000000" w:fill="FFFF00"/>
            <w:noWrap/>
            <w:vAlign w:val="bottom"/>
            <w:hideMark/>
          </w:tcPr>
          <w:p w14:paraId="7D56D39A" w14:textId="5D24CA64" w:rsidR="00956E94" w:rsidRPr="00452382" w:rsidRDefault="00956E94" w:rsidP="00956E94">
            <w:pPr>
              <w:rPr>
                <w:rFonts w:ascii="Calibri" w:hAnsi="Calibri"/>
                <w:b/>
                <w:bCs/>
                <w:szCs w:val="22"/>
              </w:rPr>
            </w:pPr>
            <w:r w:rsidRPr="00452382">
              <w:rPr>
                <w:rFonts w:ascii="Calibri" w:hAnsi="Calibri"/>
                <w:b/>
                <w:bCs/>
                <w:szCs w:val="22"/>
              </w:rPr>
              <w:t>Lo</w:t>
            </w:r>
            <w:r>
              <w:rPr>
                <w:rFonts w:ascii="Calibri" w:hAnsi="Calibri"/>
                <w:b/>
                <w:bCs/>
                <w:szCs w:val="22"/>
              </w:rPr>
              <w:t xml:space="preserve">dging </w:t>
            </w:r>
          </w:p>
        </w:tc>
        <w:tc>
          <w:tcPr>
            <w:tcW w:w="1440" w:type="dxa"/>
            <w:tcBorders>
              <w:top w:val="nil"/>
              <w:left w:val="single" w:sz="8" w:space="0" w:color="auto"/>
              <w:bottom w:val="single" w:sz="4" w:space="0" w:color="auto"/>
              <w:right w:val="nil"/>
            </w:tcBorders>
            <w:shd w:val="clear" w:color="auto" w:fill="auto"/>
            <w:noWrap/>
            <w:vAlign w:val="bottom"/>
            <w:hideMark/>
          </w:tcPr>
          <w:p w14:paraId="7D56D39B" w14:textId="77777777" w:rsidR="00956E94" w:rsidRPr="00452382" w:rsidRDefault="00956E94" w:rsidP="00956E94">
            <w:pPr>
              <w:jc w:val="center"/>
              <w:rPr>
                <w:rFonts w:ascii="Calibri" w:hAnsi="Calibri"/>
                <w:color w:val="000000"/>
                <w:szCs w:val="22"/>
              </w:rPr>
            </w:pPr>
            <w:r w:rsidRPr="00452382">
              <w:rPr>
                <w:rFonts w:ascii="Calibri" w:hAnsi="Calibri"/>
                <w:color w:val="000000"/>
                <w:szCs w:val="22"/>
              </w:rPr>
              <w:t>CZ06</w:t>
            </w:r>
          </w:p>
        </w:tc>
        <w:tc>
          <w:tcPr>
            <w:tcW w:w="1543" w:type="dxa"/>
            <w:tcBorders>
              <w:top w:val="nil"/>
              <w:left w:val="single" w:sz="8" w:space="0" w:color="auto"/>
              <w:bottom w:val="single" w:sz="8" w:space="0" w:color="auto"/>
              <w:right w:val="nil"/>
            </w:tcBorders>
            <w:shd w:val="clear" w:color="auto" w:fill="auto"/>
            <w:noWrap/>
            <w:vAlign w:val="bottom"/>
            <w:hideMark/>
          </w:tcPr>
          <w:p w14:paraId="7D56D39C" w14:textId="43964F90" w:rsidR="00956E94" w:rsidRPr="00452382" w:rsidRDefault="00956E94" w:rsidP="00956E94">
            <w:pPr>
              <w:jc w:val="center"/>
              <w:rPr>
                <w:rFonts w:ascii="Calibri" w:hAnsi="Calibri"/>
                <w:color w:val="000000"/>
                <w:szCs w:val="22"/>
              </w:rPr>
            </w:pPr>
            <w:r>
              <w:rPr>
                <w:rFonts w:ascii="Calibri" w:hAnsi="Calibri" w:cs="Calibri"/>
                <w:color w:val="000000"/>
                <w:szCs w:val="22"/>
              </w:rPr>
              <w:t>40.35</w:t>
            </w:r>
          </w:p>
        </w:tc>
        <w:tc>
          <w:tcPr>
            <w:tcW w:w="1543" w:type="dxa"/>
            <w:tcBorders>
              <w:top w:val="nil"/>
              <w:left w:val="single" w:sz="8" w:space="0" w:color="auto"/>
              <w:bottom w:val="single" w:sz="8" w:space="0" w:color="auto"/>
              <w:right w:val="single" w:sz="4" w:space="0" w:color="auto"/>
            </w:tcBorders>
            <w:shd w:val="clear" w:color="auto" w:fill="auto"/>
            <w:noWrap/>
            <w:vAlign w:val="bottom"/>
            <w:hideMark/>
          </w:tcPr>
          <w:p w14:paraId="7D56D39D" w14:textId="0FB24AA6" w:rsidR="00956E94" w:rsidRPr="00452382" w:rsidRDefault="00956E94" w:rsidP="00956E94">
            <w:pPr>
              <w:jc w:val="center"/>
              <w:rPr>
                <w:rFonts w:ascii="Calibri" w:hAnsi="Calibri"/>
                <w:color w:val="000000"/>
                <w:szCs w:val="22"/>
              </w:rPr>
            </w:pPr>
            <w:r>
              <w:rPr>
                <w:rFonts w:ascii="Calibri" w:hAnsi="Calibri" w:cs="Calibri"/>
                <w:color w:val="000000"/>
                <w:szCs w:val="22"/>
              </w:rPr>
              <w:t>26.90</w:t>
            </w:r>
          </w:p>
        </w:tc>
        <w:tc>
          <w:tcPr>
            <w:tcW w:w="1543" w:type="dxa"/>
            <w:tcBorders>
              <w:top w:val="nil"/>
              <w:left w:val="single" w:sz="8" w:space="0" w:color="auto"/>
              <w:bottom w:val="single" w:sz="8" w:space="0" w:color="auto"/>
              <w:right w:val="single" w:sz="12" w:space="0" w:color="auto"/>
            </w:tcBorders>
            <w:shd w:val="clear" w:color="auto" w:fill="auto"/>
            <w:noWrap/>
            <w:vAlign w:val="bottom"/>
            <w:hideMark/>
          </w:tcPr>
          <w:p w14:paraId="7D56D39E" w14:textId="3888A591" w:rsidR="00956E94" w:rsidRPr="00452382" w:rsidRDefault="00956E94" w:rsidP="00956E94">
            <w:pPr>
              <w:jc w:val="center"/>
              <w:rPr>
                <w:rFonts w:ascii="Calibri" w:hAnsi="Calibri"/>
                <w:color w:val="000000"/>
                <w:szCs w:val="22"/>
              </w:rPr>
            </w:pPr>
            <w:r>
              <w:rPr>
                <w:rFonts w:ascii="Calibri" w:hAnsi="Calibri" w:cs="Calibri"/>
                <w:color w:val="000000"/>
                <w:szCs w:val="22"/>
              </w:rPr>
              <w:t>13.45</w:t>
            </w:r>
          </w:p>
        </w:tc>
      </w:tr>
      <w:tr w:rsidR="00956E94" w:rsidRPr="00452382" w14:paraId="7D56D3A5" w14:textId="77777777" w:rsidTr="00452382">
        <w:trPr>
          <w:trHeight w:val="300"/>
          <w:jc w:val="center"/>
        </w:trPr>
        <w:tc>
          <w:tcPr>
            <w:tcW w:w="1740" w:type="dxa"/>
            <w:tcBorders>
              <w:top w:val="nil"/>
              <w:left w:val="single" w:sz="12" w:space="0" w:color="auto"/>
              <w:bottom w:val="nil"/>
              <w:right w:val="nil"/>
            </w:tcBorders>
            <w:shd w:val="clear" w:color="000000" w:fill="FFFF00"/>
            <w:noWrap/>
            <w:vAlign w:val="bottom"/>
            <w:hideMark/>
          </w:tcPr>
          <w:p w14:paraId="7D56D3A0" w14:textId="40C17ACF" w:rsidR="00956E94" w:rsidRPr="00452382" w:rsidRDefault="00956E94" w:rsidP="00956E94">
            <w:pPr>
              <w:rPr>
                <w:rFonts w:ascii="Calibri" w:hAnsi="Calibri"/>
                <w:b/>
                <w:bCs/>
                <w:szCs w:val="22"/>
              </w:rPr>
            </w:pPr>
            <w:r>
              <w:rPr>
                <w:rFonts w:ascii="Calibri" w:hAnsi="Calibri"/>
                <w:b/>
                <w:bCs/>
                <w:szCs w:val="22"/>
              </w:rPr>
              <w:t xml:space="preserve">Lodging </w:t>
            </w:r>
          </w:p>
        </w:tc>
        <w:tc>
          <w:tcPr>
            <w:tcW w:w="1440" w:type="dxa"/>
            <w:tcBorders>
              <w:top w:val="nil"/>
              <w:left w:val="single" w:sz="8" w:space="0" w:color="auto"/>
              <w:bottom w:val="single" w:sz="4" w:space="0" w:color="auto"/>
              <w:right w:val="nil"/>
            </w:tcBorders>
            <w:shd w:val="clear" w:color="auto" w:fill="auto"/>
            <w:noWrap/>
            <w:vAlign w:val="bottom"/>
            <w:hideMark/>
          </w:tcPr>
          <w:p w14:paraId="7D56D3A1" w14:textId="77777777" w:rsidR="00956E94" w:rsidRPr="00452382" w:rsidRDefault="00956E94" w:rsidP="00956E94">
            <w:pPr>
              <w:jc w:val="center"/>
              <w:rPr>
                <w:rFonts w:ascii="Calibri" w:hAnsi="Calibri"/>
                <w:color w:val="000000"/>
                <w:szCs w:val="22"/>
              </w:rPr>
            </w:pPr>
            <w:r w:rsidRPr="00452382">
              <w:rPr>
                <w:rFonts w:ascii="Calibri" w:hAnsi="Calibri"/>
                <w:color w:val="000000"/>
                <w:szCs w:val="22"/>
              </w:rPr>
              <w:t>CZ07</w:t>
            </w:r>
          </w:p>
        </w:tc>
        <w:tc>
          <w:tcPr>
            <w:tcW w:w="1543" w:type="dxa"/>
            <w:tcBorders>
              <w:top w:val="nil"/>
              <w:left w:val="single" w:sz="8" w:space="0" w:color="auto"/>
              <w:bottom w:val="single" w:sz="8" w:space="0" w:color="auto"/>
              <w:right w:val="nil"/>
            </w:tcBorders>
            <w:shd w:val="clear" w:color="auto" w:fill="auto"/>
            <w:noWrap/>
            <w:vAlign w:val="bottom"/>
            <w:hideMark/>
          </w:tcPr>
          <w:p w14:paraId="7D56D3A2" w14:textId="769543B6" w:rsidR="00956E94" w:rsidRPr="00452382" w:rsidRDefault="00956E94" w:rsidP="00956E94">
            <w:pPr>
              <w:jc w:val="center"/>
              <w:rPr>
                <w:rFonts w:ascii="Calibri" w:hAnsi="Calibri"/>
                <w:color w:val="000000"/>
                <w:szCs w:val="22"/>
              </w:rPr>
            </w:pPr>
            <w:r>
              <w:rPr>
                <w:rFonts w:ascii="Calibri" w:hAnsi="Calibri" w:cs="Calibri"/>
                <w:color w:val="000000"/>
                <w:szCs w:val="22"/>
              </w:rPr>
              <w:t>39.59</w:t>
            </w:r>
          </w:p>
        </w:tc>
        <w:tc>
          <w:tcPr>
            <w:tcW w:w="1543" w:type="dxa"/>
            <w:tcBorders>
              <w:top w:val="nil"/>
              <w:left w:val="single" w:sz="8" w:space="0" w:color="auto"/>
              <w:bottom w:val="single" w:sz="8" w:space="0" w:color="auto"/>
              <w:right w:val="single" w:sz="4" w:space="0" w:color="auto"/>
            </w:tcBorders>
            <w:shd w:val="clear" w:color="auto" w:fill="auto"/>
            <w:noWrap/>
            <w:vAlign w:val="bottom"/>
            <w:hideMark/>
          </w:tcPr>
          <w:p w14:paraId="7D56D3A3" w14:textId="3CCA2FEB" w:rsidR="00956E94" w:rsidRPr="00452382" w:rsidRDefault="00956E94" w:rsidP="00956E94">
            <w:pPr>
              <w:jc w:val="center"/>
              <w:rPr>
                <w:rFonts w:ascii="Calibri" w:hAnsi="Calibri"/>
                <w:color w:val="000000"/>
                <w:szCs w:val="22"/>
              </w:rPr>
            </w:pPr>
            <w:r>
              <w:rPr>
                <w:rFonts w:ascii="Calibri" w:hAnsi="Calibri" w:cs="Calibri"/>
                <w:color w:val="000000"/>
                <w:szCs w:val="22"/>
              </w:rPr>
              <w:t>26.39</w:t>
            </w:r>
          </w:p>
        </w:tc>
        <w:tc>
          <w:tcPr>
            <w:tcW w:w="1543" w:type="dxa"/>
            <w:tcBorders>
              <w:top w:val="nil"/>
              <w:left w:val="single" w:sz="8" w:space="0" w:color="auto"/>
              <w:bottom w:val="single" w:sz="8" w:space="0" w:color="auto"/>
              <w:right w:val="single" w:sz="12" w:space="0" w:color="auto"/>
            </w:tcBorders>
            <w:shd w:val="clear" w:color="auto" w:fill="auto"/>
            <w:noWrap/>
            <w:vAlign w:val="bottom"/>
            <w:hideMark/>
          </w:tcPr>
          <w:p w14:paraId="7D56D3A4" w14:textId="2C583640" w:rsidR="00956E94" w:rsidRPr="00452382" w:rsidRDefault="00956E94" w:rsidP="00956E94">
            <w:pPr>
              <w:jc w:val="center"/>
              <w:rPr>
                <w:rFonts w:ascii="Calibri" w:hAnsi="Calibri"/>
                <w:color w:val="000000"/>
                <w:szCs w:val="22"/>
              </w:rPr>
            </w:pPr>
            <w:r>
              <w:rPr>
                <w:rFonts w:ascii="Calibri" w:hAnsi="Calibri" w:cs="Calibri"/>
                <w:color w:val="000000"/>
                <w:szCs w:val="22"/>
              </w:rPr>
              <w:t>13.20</w:t>
            </w:r>
          </w:p>
        </w:tc>
      </w:tr>
      <w:tr w:rsidR="00956E94" w:rsidRPr="00452382" w14:paraId="7D56D3AB" w14:textId="77777777" w:rsidTr="00452382">
        <w:trPr>
          <w:trHeight w:val="300"/>
          <w:jc w:val="center"/>
        </w:trPr>
        <w:tc>
          <w:tcPr>
            <w:tcW w:w="1740" w:type="dxa"/>
            <w:tcBorders>
              <w:top w:val="nil"/>
              <w:left w:val="single" w:sz="12" w:space="0" w:color="auto"/>
              <w:bottom w:val="nil"/>
              <w:right w:val="nil"/>
            </w:tcBorders>
            <w:shd w:val="clear" w:color="000000" w:fill="FFFF00"/>
            <w:noWrap/>
            <w:vAlign w:val="bottom"/>
            <w:hideMark/>
          </w:tcPr>
          <w:p w14:paraId="7D56D3A6" w14:textId="0428AFAD" w:rsidR="00956E94" w:rsidRPr="00452382" w:rsidRDefault="00956E94" w:rsidP="00956E94">
            <w:pPr>
              <w:rPr>
                <w:rFonts w:ascii="Calibri" w:hAnsi="Calibri"/>
                <w:b/>
                <w:bCs/>
                <w:szCs w:val="22"/>
              </w:rPr>
            </w:pPr>
            <w:r>
              <w:rPr>
                <w:rFonts w:ascii="Calibri" w:hAnsi="Calibri"/>
                <w:b/>
                <w:bCs/>
                <w:szCs w:val="22"/>
              </w:rPr>
              <w:t xml:space="preserve">Lodging </w:t>
            </w:r>
          </w:p>
        </w:tc>
        <w:tc>
          <w:tcPr>
            <w:tcW w:w="1440" w:type="dxa"/>
            <w:tcBorders>
              <w:top w:val="nil"/>
              <w:left w:val="single" w:sz="8" w:space="0" w:color="auto"/>
              <w:bottom w:val="single" w:sz="4" w:space="0" w:color="auto"/>
              <w:right w:val="nil"/>
            </w:tcBorders>
            <w:shd w:val="clear" w:color="auto" w:fill="auto"/>
            <w:noWrap/>
            <w:vAlign w:val="bottom"/>
            <w:hideMark/>
          </w:tcPr>
          <w:p w14:paraId="7D56D3A7" w14:textId="77777777" w:rsidR="00956E94" w:rsidRPr="00452382" w:rsidRDefault="00956E94" w:rsidP="00956E94">
            <w:pPr>
              <w:jc w:val="center"/>
              <w:rPr>
                <w:rFonts w:ascii="Calibri" w:hAnsi="Calibri"/>
                <w:color w:val="000000"/>
                <w:szCs w:val="22"/>
              </w:rPr>
            </w:pPr>
            <w:r w:rsidRPr="00452382">
              <w:rPr>
                <w:rFonts w:ascii="Calibri" w:hAnsi="Calibri"/>
                <w:color w:val="000000"/>
                <w:szCs w:val="22"/>
              </w:rPr>
              <w:t>CZ08</w:t>
            </w:r>
          </w:p>
        </w:tc>
        <w:tc>
          <w:tcPr>
            <w:tcW w:w="1543" w:type="dxa"/>
            <w:tcBorders>
              <w:top w:val="nil"/>
              <w:left w:val="single" w:sz="8" w:space="0" w:color="auto"/>
              <w:bottom w:val="single" w:sz="8" w:space="0" w:color="auto"/>
              <w:right w:val="nil"/>
            </w:tcBorders>
            <w:shd w:val="clear" w:color="auto" w:fill="auto"/>
            <w:noWrap/>
            <w:vAlign w:val="bottom"/>
            <w:hideMark/>
          </w:tcPr>
          <w:p w14:paraId="7D56D3A8" w14:textId="0082A986" w:rsidR="00956E94" w:rsidRPr="00452382" w:rsidRDefault="00956E94" w:rsidP="00956E94">
            <w:pPr>
              <w:jc w:val="center"/>
              <w:rPr>
                <w:rFonts w:ascii="Calibri" w:hAnsi="Calibri"/>
                <w:color w:val="000000"/>
                <w:szCs w:val="22"/>
              </w:rPr>
            </w:pPr>
            <w:r>
              <w:rPr>
                <w:rFonts w:ascii="Calibri" w:hAnsi="Calibri" w:cs="Calibri"/>
                <w:color w:val="000000"/>
                <w:szCs w:val="22"/>
              </w:rPr>
              <w:t>38.44</w:t>
            </w:r>
          </w:p>
        </w:tc>
        <w:tc>
          <w:tcPr>
            <w:tcW w:w="1543" w:type="dxa"/>
            <w:tcBorders>
              <w:top w:val="nil"/>
              <w:left w:val="single" w:sz="8" w:space="0" w:color="auto"/>
              <w:bottom w:val="single" w:sz="8" w:space="0" w:color="auto"/>
              <w:right w:val="single" w:sz="4" w:space="0" w:color="auto"/>
            </w:tcBorders>
            <w:shd w:val="clear" w:color="auto" w:fill="auto"/>
            <w:noWrap/>
            <w:vAlign w:val="bottom"/>
            <w:hideMark/>
          </w:tcPr>
          <w:p w14:paraId="7D56D3A9" w14:textId="4A09B20E" w:rsidR="00956E94" w:rsidRPr="00452382" w:rsidRDefault="00956E94" w:rsidP="00956E94">
            <w:pPr>
              <w:jc w:val="center"/>
              <w:rPr>
                <w:rFonts w:ascii="Calibri" w:hAnsi="Calibri"/>
                <w:color w:val="000000"/>
                <w:szCs w:val="22"/>
              </w:rPr>
            </w:pPr>
            <w:r>
              <w:rPr>
                <w:rFonts w:ascii="Calibri" w:hAnsi="Calibri" w:cs="Calibri"/>
                <w:color w:val="000000"/>
                <w:szCs w:val="22"/>
              </w:rPr>
              <w:t>25.63</w:t>
            </w:r>
          </w:p>
        </w:tc>
        <w:tc>
          <w:tcPr>
            <w:tcW w:w="1543" w:type="dxa"/>
            <w:tcBorders>
              <w:top w:val="nil"/>
              <w:left w:val="single" w:sz="8" w:space="0" w:color="auto"/>
              <w:bottom w:val="single" w:sz="8" w:space="0" w:color="auto"/>
              <w:right w:val="single" w:sz="12" w:space="0" w:color="auto"/>
            </w:tcBorders>
            <w:shd w:val="clear" w:color="auto" w:fill="auto"/>
            <w:noWrap/>
            <w:vAlign w:val="bottom"/>
            <w:hideMark/>
          </w:tcPr>
          <w:p w14:paraId="7D56D3AA" w14:textId="3FE8ADCA" w:rsidR="00956E94" w:rsidRPr="00452382" w:rsidRDefault="00956E94" w:rsidP="00956E94">
            <w:pPr>
              <w:jc w:val="center"/>
              <w:rPr>
                <w:rFonts w:ascii="Calibri" w:hAnsi="Calibri"/>
                <w:color w:val="000000"/>
                <w:szCs w:val="22"/>
              </w:rPr>
            </w:pPr>
            <w:r>
              <w:rPr>
                <w:rFonts w:ascii="Calibri" w:hAnsi="Calibri" w:cs="Calibri"/>
                <w:color w:val="000000"/>
                <w:szCs w:val="22"/>
              </w:rPr>
              <w:t>12.81</w:t>
            </w:r>
          </w:p>
        </w:tc>
      </w:tr>
      <w:tr w:rsidR="00956E94" w:rsidRPr="00452382" w14:paraId="7D56D3B1" w14:textId="77777777" w:rsidTr="00452382">
        <w:trPr>
          <w:trHeight w:val="300"/>
          <w:jc w:val="center"/>
        </w:trPr>
        <w:tc>
          <w:tcPr>
            <w:tcW w:w="1740" w:type="dxa"/>
            <w:tcBorders>
              <w:top w:val="nil"/>
              <w:left w:val="single" w:sz="12" w:space="0" w:color="auto"/>
              <w:bottom w:val="single" w:sz="12" w:space="0" w:color="auto"/>
              <w:right w:val="nil"/>
            </w:tcBorders>
            <w:shd w:val="clear" w:color="000000" w:fill="FFFF00"/>
            <w:noWrap/>
            <w:vAlign w:val="bottom"/>
            <w:hideMark/>
          </w:tcPr>
          <w:p w14:paraId="7D56D3AC" w14:textId="0E59D0B3" w:rsidR="00956E94" w:rsidRPr="00452382" w:rsidRDefault="00956E94" w:rsidP="00956E94">
            <w:pPr>
              <w:rPr>
                <w:rFonts w:ascii="Calibri" w:hAnsi="Calibri"/>
                <w:b/>
                <w:bCs/>
                <w:szCs w:val="22"/>
              </w:rPr>
            </w:pPr>
            <w:r>
              <w:rPr>
                <w:rFonts w:ascii="Calibri" w:hAnsi="Calibri"/>
                <w:b/>
                <w:bCs/>
                <w:szCs w:val="22"/>
              </w:rPr>
              <w:t xml:space="preserve">Lodging </w:t>
            </w:r>
          </w:p>
        </w:tc>
        <w:tc>
          <w:tcPr>
            <w:tcW w:w="1440" w:type="dxa"/>
            <w:tcBorders>
              <w:top w:val="nil"/>
              <w:left w:val="single" w:sz="8" w:space="0" w:color="auto"/>
              <w:bottom w:val="single" w:sz="12" w:space="0" w:color="auto"/>
              <w:right w:val="nil"/>
            </w:tcBorders>
            <w:shd w:val="clear" w:color="auto" w:fill="auto"/>
            <w:noWrap/>
            <w:vAlign w:val="bottom"/>
            <w:hideMark/>
          </w:tcPr>
          <w:p w14:paraId="7D56D3AD" w14:textId="77777777" w:rsidR="00956E94" w:rsidRPr="00452382" w:rsidRDefault="00956E94" w:rsidP="00956E94">
            <w:pPr>
              <w:jc w:val="center"/>
              <w:rPr>
                <w:rFonts w:ascii="Calibri" w:hAnsi="Calibri"/>
                <w:color w:val="000000"/>
                <w:szCs w:val="22"/>
              </w:rPr>
            </w:pPr>
            <w:r w:rsidRPr="00452382">
              <w:rPr>
                <w:rFonts w:ascii="Calibri" w:hAnsi="Calibri"/>
                <w:color w:val="000000"/>
                <w:szCs w:val="22"/>
              </w:rPr>
              <w:t>CZ09</w:t>
            </w:r>
          </w:p>
        </w:tc>
        <w:tc>
          <w:tcPr>
            <w:tcW w:w="1543" w:type="dxa"/>
            <w:tcBorders>
              <w:top w:val="nil"/>
              <w:left w:val="single" w:sz="8" w:space="0" w:color="auto"/>
              <w:bottom w:val="single" w:sz="12" w:space="0" w:color="auto"/>
              <w:right w:val="nil"/>
            </w:tcBorders>
            <w:shd w:val="clear" w:color="auto" w:fill="auto"/>
            <w:noWrap/>
            <w:vAlign w:val="bottom"/>
            <w:hideMark/>
          </w:tcPr>
          <w:p w14:paraId="7D56D3AE" w14:textId="669A8D35" w:rsidR="00956E94" w:rsidRPr="00452382" w:rsidRDefault="00956E94" w:rsidP="00956E94">
            <w:pPr>
              <w:jc w:val="center"/>
              <w:rPr>
                <w:rFonts w:ascii="Calibri" w:hAnsi="Calibri"/>
                <w:color w:val="000000"/>
                <w:szCs w:val="22"/>
              </w:rPr>
            </w:pPr>
            <w:r>
              <w:rPr>
                <w:rFonts w:ascii="Calibri" w:hAnsi="Calibri" w:cs="Calibri"/>
                <w:color w:val="000000"/>
                <w:szCs w:val="22"/>
              </w:rPr>
              <w:t>38.44</w:t>
            </w:r>
          </w:p>
        </w:tc>
        <w:tc>
          <w:tcPr>
            <w:tcW w:w="1543" w:type="dxa"/>
            <w:tcBorders>
              <w:top w:val="nil"/>
              <w:left w:val="single" w:sz="8" w:space="0" w:color="auto"/>
              <w:bottom w:val="single" w:sz="12" w:space="0" w:color="auto"/>
              <w:right w:val="single" w:sz="4" w:space="0" w:color="auto"/>
            </w:tcBorders>
            <w:shd w:val="clear" w:color="auto" w:fill="auto"/>
            <w:noWrap/>
            <w:vAlign w:val="bottom"/>
            <w:hideMark/>
          </w:tcPr>
          <w:p w14:paraId="7D56D3AF" w14:textId="67B875C8" w:rsidR="00956E94" w:rsidRPr="00452382" w:rsidRDefault="00956E94" w:rsidP="00956E94">
            <w:pPr>
              <w:jc w:val="center"/>
              <w:rPr>
                <w:rFonts w:ascii="Calibri" w:hAnsi="Calibri"/>
                <w:color w:val="000000"/>
                <w:szCs w:val="22"/>
              </w:rPr>
            </w:pPr>
            <w:r>
              <w:rPr>
                <w:rFonts w:ascii="Calibri" w:hAnsi="Calibri" w:cs="Calibri"/>
                <w:color w:val="000000"/>
                <w:szCs w:val="22"/>
              </w:rPr>
              <w:t>25.63</w:t>
            </w:r>
          </w:p>
        </w:tc>
        <w:tc>
          <w:tcPr>
            <w:tcW w:w="1543" w:type="dxa"/>
            <w:tcBorders>
              <w:top w:val="nil"/>
              <w:left w:val="single" w:sz="8" w:space="0" w:color="auto"/>
              <w:bottom w:val="single" w:sz="12" w:space="0" w:color="auto"/>
              <w:right w:val="single" w:sz="12" w:space="0" w:color="auto"/>
            </w:tcBorders>
            <w:shd w:val="clear" w:color="000000" w:fill="92D050"/>
            <w:noWrap/>
            <w:vAlign w:val="bottom"/>
            <w:hideMark/>
          </w:tcPr>
          <w:p w14:paraId="7D56D3B0" w14:textId="3F8A6FBD" w:rsidR="00956E94" w:rsidRPr="00452382" w:rsidRDefault="00956E94" w:rsidP="00956E94">
            <w:pPr>
              <w:jc w:val="center"/>
              <w:rPr>
                <w:rFonts w:ascii="Calibri" w:hAnsi="Calibri"/>
                <w:color w:val="000000"/>
                <w:szCs w:val="22"/>
              </w:rPr>
            </w:pPr>
            <w:r>
              <w:rPr>
                <w:rFonts w:ascii="Calibri" w:hAnsi="Calibri" w:cs="Calibri"/>
                <w:color w:val="000000"/>
                <w:szCs w:val="22"/>
              </w:rPr>
              <w:t>12.81</w:t>
            </w:r>
          </w:p>
        </w:tc>
      </w:tr>
      <w:tr w:rsidR="00956E94" w:rsidRPr="00452382" w14:paraId="7D56D3B7" w14:textId="77777777" w:rsidTr="00452382">
        <w:trPr>
          <w:trHeight w:val="310"/>
          <w:jc w:val="center"/>
        </w:trPr>
        <w:tc>
          <w:tcPr>
            <w:tcW w:w="1740" w:type="dxa"/>
            <w:tcBorders>
              <w:top w:val="single" w:sz="12" w:space="0" w:color="auto"/>
              <w:left w:val="single" w:sz="12" w:space="0" w:color="auto"/>
              <w:bottom w:val="nil"/>
              <w:right w:val="nil"/>
            </w:tcBorders>
            <w:shd w:val="clear" w:color="000000" w:fill="054B56"/>
            <w:noWrap/>
            <w:vAlign w:val="bottom"/>
            <w:hideMark/>
          </w:tcPr>
          <w:p w14:paraId="7D56D3B2" w14:textId="77777777" w:rsidR="00956E94" w:rsidRPr="00452382" w:rsidRDefault="00956E94" w:rsidP="00956E94">
            <w:pPr>
              <w:rPr>
                <w:rFonts w:ascii="Calibri" w:hAnsi="Calibri"/>
                <w:b/>
                <w:bCs/>
                <w:color w:val="FFFFFF"/>
                <w:szCs w:val="22"/>
              </w:rPr>
            </w:pPr>
            <w:r w:rsidRPr="00452382">
              <w:rPr>
                <w:rFonts w:ascii="Calibri" w:hAnsi="Calibri"/>
                <w:b/>
                <w:bCs/>
                <w:color w:val="FFFFFF"/>
                <w:szCs w:val="22"/>
              </w:rPr>
              <w:t>Schools</w:t>
            </w:r>
          </w:p>
        </w:tc>
        <w:tc>
          <w:tcPr>
            <w:tcW w:w="1440" w:type="dxa"/>
            <w:tcBorders>
              <w:top w:val="single" w:sz="12" w:space="0" w:color="auto"/>
              <w:left w:val="single" w:sz="8" w:space="0" w:color="auto"/>
              <w:bottom w:val="single" w:sz="4" w:space="0" w:color="auto"/>
              <w:right w:val="nil"/>
            </w:tcBorders>
            <w:shd w:val="clear" w:color="auto" w:fill="auto"/>
            <w:noWrap/>
            <w:vAlign w:val="bottom"/>
            <w:hideMark/>
          </w:tcPr>
          <w:p w14:paraId="7D56D3B3" w14:textId="77777777" w:rsidR="00956E94" w:rsidRPr="00452382" w:rsidRDefault="00956E94" w:rsidP="00956E94">
            <w:pPr>
              <w:jc w:val="center"/>
              <w:rPr>
                <w:rFonts w:ascii="Calibri" w:hAnsi="Calibri"/>
                <w:color w:val="000000"/>
                <w:szCs w:val="22"/>
              </w:rPr>
            </w:pPr>
            <w:r w:rsidRPr="00452382">
              <w:rPr>
                <w:rFonts w:ascii="Calibri" w:hAnsi="Calibri"/>
                <w:color w:val="000000"/>
                <w:szCs w:val="22"/>
              </w:rPr>
              <w:t>CZ01</w:t>
            </w:r>
          </w:p>
        </w:tc>
        <w:tc>
          <w:tcPr>
            <w:tcW w:w="1543" w:type="dxa"/>
            <w:tcBorders>
              <w:top w:val="single" w:sz="12" w:space="0" w:color="auto"/>
              <w:left w:val="single" w:sz="8" w:space="0" w:color="auto"/>
              <w:bottom w:val="single" w:sz="8" w:space="0" w:color="auto"/>
              <w:right w:val="nil"/>
            </w:tcBorders>
            <w:shd w:val="clear" w:color="auto" w:fill="auto"/>
            <w:noWrap/>
            <w:vAlign w:val="bottom"/>
            <w:hideMark/>
          </w:tcPr>
          <w:p w14:paraId="7D56D3B4" w14:textId="237B5807" w:rsidR="00956E94" w:rsidRPr="00452382" w:rsidRDefault="00956E94" w:rsidP="00956E94">
            <w:pPr>
              <w:jc w:val="center"/>
              <w:rPr>
                <w:rFonts w:ascii="Calibri" w:hAnsi="Calibri"/>
                <w:color w:val="000000"/>
                <w:szCs w:val="22"/>
              </w:rPr>
            </w:pPr>
            <w:r>
              <w:rPr>
                <w:rFonts w:ascii="Calibri" w:hAnsi="Calibri" w:cs="Calibri"/>
                <w:color w:val="000000"/>
                <w:szCs w:val="22"/>
              </w:rPr>
              <w:t>24.56</w:t>
            </w:r>
          </w:p>
        </w:tc>
        <w:tc>
          <w:tcPr>
            <w:tcW w:w="1543" w:type="dxa"/>
            <w:tcBorders>
              <w:top w:val="single" w:sz="12" w:space="0" w:color="auto"/>
              <w:left w:val="single" w:sz="8" w:space="0" w:color="auto"/>
              <w:bottom w:val="single" w:sz="8" w:space="0" w:color="auto"/>
              <w:right w:val="single" w:sz="4" w:space="0" w:color="auto"/>
            </w:tcBorders>
            <w:shd w:val="clear" w:color="auto" w:fill="auto"/>
            <w:noWrap/>
            <w:vAlign w:val="bottom"/>
            <w:hideMark/>
          </w:tcPr>
          <w:p w14:paraId="7D56D3B5" w14:textId="0E36F6AA" w:rsidR="00956E94" w:rsidRPr="00452382" w:rsidRDefault="00956E94" w:rsidP="00956E94">
            <w:pPr>
              <w:jc w:val="center"/>
              <w:rPr>
                <w:rFonts w:ascii="Calibri" w:hAnsi="Calibri"/>
                <w:color w:val="000000"/>
                <w:szCs w:val="22"/>
              </w:rPr>
            </w:pPr>
            <w:r>
              <w:rPr>
                <w:rFonts w:ascii="Calibri" w:hAnsi="Calibri" w:cs="Calibri"/>
                <w:color w:val="000000"/>
                <w:szCs w:val="22"/>
              </w:rPr>
              <w:t>16.38</w:t>
            </w:r>
          </w:p>
        </w:tc>
        <w:tc>
          <w:tcPr>
            <w:tcW w:w="1543" w:type="dxa"/>
            <w:tcBorders>
              <w:top w:val="single" w:sz="12" w:space="0" w:color="auto"/>
              <w:left w:val="single" w:sz="8" w:space="0" w:color="auto"/>
              <w:bottom w:val="single" w:sz="8" w:space="0" w:color="auto"/>
              <w:right w:val="single" w:sz="12" w:space="0" w:color="auto"/>
            </w:tcBorders>
            <w:shd w:val="clear" w:color="auto" w:fill="auto"/>
            <w:noWrap/>
            <w:vAlign w:val="bottom"/>
            <w:hideMark/>
          </w:tcPr>
          <w:p w14:paraId="7D56D3B6" w14:textId="6CC8878A" w:rsidR="00956E94" w:rsidRPr="00452382" w:rsidRDefault="00956E94" w:rsidP="00956E94">
            <w:pPr>
              <w:jc w:val="center"/>
              <w:rPr>
                <w:rFonts w:ascii="Calibri" w:hAnsi="Calibri"/>
                <w:color w:val="000000"/>
                <w:szCs w:val="22"/>
              </w:rPr>
            </w:pPr>
            <w:r>
              <w:rPr>
                <w:rFonts w:ascii="Calibri" w:hAnsi="Calibri" w:cs="Calibri"/>
                <w:color w:val="000000"/>
                <w:szCs w:val="22"/>
              </w:rPr>
              <w:t>8.19</w:t>
            </w:r>
          </w:p>
        </w:tc>
      </w:tr>
      <w:tr w:rsidR="00956E94" w:rsidRPr="00452382" w14:paraId="7D56D3BD" w14:textId="77777777" w:rsidTr="00452382">
        <w:trPr>
          <w:trHeight w:val="300"/>
          <w:jc w:val="center"/>
        </w:trPr>
        <w:tc>
          <w:tcPr>
            <w:tcW w:w="1740" w:type="dxa"/>
            <w:tcBorders>
              <w:top w:val="nil"/>
              <w:left w:val="single" w:sz="12" w:space="0" w:color="auto"/>
              <w:bottom w:val="nil"/>
              <w:right w:val="nil"/>
            </w:tcBorders>
            <w:shd w:val="clear" w:color="000000" w:fill="054B56"/>
            <w:noWrap/>
            <w:vAlign w:val="bottom"/>
            <w:hideMark/>
          </w:tcPr>
          <w:p w14:paraId="7D56D3B8" w14:textId="77777777" w:rsidR="00956E94" w:rsidRPr="00452382" w:rsidRDefault="00956E94" w:rsidP="00956E94">
            <w:pPr>
              <w:rPr>
                <w:rFonts w:ascii="Calibri" w:hAnsi="Calibri"/>
                <w:b/>
                <w:bCs/>
                <w:color w:val="FFFFFF"/>
                <w:szCs w:val="22"/>
              </w:rPr>
            </w:pPr>
            <w:r w:rsidRPr="00452382">
              <w:rPr>
                <w:rFonts w:ascii="Calibri" w:hAnsi="Calibri"/>
                <w:b/>
                <w:bCs/>
                <w:color w:val="FFFFFF"/>
                <w:szCs w:val="22"/>
              </w:rPr>
              <w:t>Schools</w:t>
            </w:r>
          </w:p>
        </w:tc>
        <w:tc>
          <w:tcPr>
            <w:tcW w:w="1440" w:type="dxa"/>
            <w:tcBorders>
              <w:top w:val="nil"/>
              <w:left w:val="single" w:sz="8" w:space="0" w:color="auto"/>
              <w:bottom w:val="single" w:sz="4" w:space="0" w:color="auto"/>
              <w:right w:val="nil"/>
            </w:tcBorders>
            <w:shd w:val="clear" w:color="auto" w:fill="auto"/>
            <w:noWrap/>
            <w:vAlign w:val="bottom"/>
            <w:hideMark/>
          </w:tcPr>
          <w:p w14:paraId="7D56D3B9" w14:textId="77777777" w:rsidR="00956E94" w:rsidRPr="00452382" w:rsidRDefault="00956E94" w:rsidP="00956E94">
            <w:pPr>
              <w:jc w:val="center"/>
              <w:rPr>
                <w:rFonts w:ascii="Calibri" w:hAnsi="Calibri"/>
                <w:color w:val="000000"/>
                <w:szCs w:val="22"/>
              </w:rPr>
            </w:pPr>
            <w:r w:rsidRPr="00452382">
              <w:rPr>
                <w:rFonts w:ascii="Calibri" w:hAnsi="Calibri"/>
                <w:color w:val="000000"/>
                <w:szCs w:val="22"/>
              </w:rPr>
              <w:t>CZ02</w:t>
            </w:r>
          </w:p>
        </w:tc>
        <w:tc>
          <w:tcPr>
            <w:tcW w:w="1543" w:type="dxa"/>
            <w:tcBorders>
              <w:top w:val="nil"/>
              <w:left w:val="single" w:sz="8" w:space="0" w:color="auto"/>
              <w:bottom w:val="single" w:sz="8" w:space="0" w:color="auto"/>
              <w:right w:val="nil"/>
            </w:tcBorders>
            <w:shd w:val="clear" w:color="auto" w:fill="auto"/>
            <w:noWrap/>
            <w:vAlign w:val="bottom"/>
            <w:hideMark/>
          </w:tcPr>
          <w:p w14:paraId="7D56D3BA" w14:textId="224D00C1" w:rsidR="00956E94" w:rsidRPr="00452382" w:rsidRDefault="00956E94" w:rsidP="00956E94">
            <w:pPr>
              <w:jc w:val="center"/>
              <w:rPr>
                <w:rFonts w:ascii="Calibri" w:hAnsi="Calibri"/>
                <w:color w:val="000000"/>
                <w:szCs w:val="22"/>
              </w:rPr>
            </w:pPr>
            <w:r>
              <w:rPr>
                <w:rFonts w:ascii="Calibri" w:hAnsi="Calibri" w:cs="Calibri"/>
                <w:color w:val="000000"/>
                <w:szCs w:val="22"/>
              </w:rPr>
              <w:t>21.86</w:t>
            </w:r>
          </w:p>
        </w:tc>
        <w:tc>
          <w:tcPr>
            <w:tcW w:w="1543" w:type="dxa"/>
            <w:tcBorders>
              <w:top w:val="nil"/>
              <w:left w:val="single" w:sz="8" w:space="0" w:color="auto"/>
              <w:bottom w:val="single" w:sz="8" w:space="0" w:color="auto"/>
              <w:right w:val="single" w:sz="4" w:space="0" w:color="auto"/>
            </w:tcBorders>
            <w:shd w:val="clear" w:color="auto" w:fill="auto"/>
            <w:noWrap/>
            <w:vAlign w:val="bottom"/>
            <w:hideMark/>
          </w:tcPr>
          <w:p w14:paraId="7D56D3BB" w14:textId="6EC1507B" w:rsidR="00956E94" w:rsidRPr="00452382" w:rsidRDefault="00956E94" w:rsidP="00956E94">
            <w:pPr>
              <w:jc w:val="center"/>
              <w:rPr>
                <w:rFonts w:ascii="Calibri" w:hAnsi="Calibri"/>
                <w:color w:val="000000"/>
                <w:szCs w:val="22"/>
              </w:rPr>
            </w:pPr>
            <w:r>
              <w:rPr>
                <w:rFonts w:ascii="Calibri" w:hAnsi="Calibri" w:cs="Calibri"/>
                <w:color w:val="000000"/>
                <w:szCs w:val="22"/>
              </w:rPr>
              <w:t>14.57</w:t>
            </w:r>
          </w:p>
        </w:tc>
        <w:tc>
          <w:tcPr>
            <w:tcW w:w="1543" w:type="dxa"/>
            <w:tcBorders>
              <w:top w:val="nil"/>
              <w:left w:val="single" w:sz="8" w:space="0" w:color="auto"/>
              <w:bottom w:val="single" w:sz="8" w:space="0" w:color="auto"/>
              <w:right w:val="single" w:sz="12" w:space="0" w:color="auto"/>
            </w:tcBorders>
            <w:shd w:val="clear" w:color="auto" w:fill="auto"/>
            <w:noWrap/>
            <w:vAlign w:val="bottom"/>
            <w:hideMark/>
          </w:tcPr>
          <w:p w14:paraId="7D56D3BC" w14:textId="7CA06966" w:rsidR="00956E94" w:rsidRPr="00452382" w:rsidRDefault="00956E94" w:rsidP="00956E94">
            <w:pPr>
              <w:jc w:val="center"/>
              <w:rPr>
                <w:rFonts w:ascii="Calibri" w:hAnsi="Calibri"/>
                <w:color w:val="000000"/>
                <w:szCs w:val="22"/>
              </w:rPr>
            </w:pPr>
            <w:r>
              <w:rPr>
                <w:rFonts w:ascii="Calibri" w:hAnsi="Calibri" w:cs="Calibri"/>
                <w:color w:val="000000"/>
                <w:szCs w:val="22"/>
              </w:rPr>
              <w:t>7.29</w:t>
            </w:r>
          </w:p>
        </w:tc>
      </w:tr>
      <w:tr w:rsidR="00956E94" w:rsidRPr="00452382" w14:paraId="7D56D3C3" w14:textId="77777777" w:rsidTr="00452382">
        <w:trPr>
          <w:trHeight w:val="300"/>
          <w:jc w:val="center"/>
        </w:trPr>
        <w:tc>
          <w:tcPr>
            <w:tcW w:w="1740" w:type="dxa"/>
            <w:tcBorders>
              <w:top w:val="nil"/>
              <w:left w:val="single" w:sz="12" w:space="0" w:color="auto"/>
              <w:bottom w:val="nil"/>
              <w:right w:val="nil"/>
            </w:tcBorders>
            <w:shd w:val="clear" w:color="000000" w:fill="054B56"/>
            <w:noWrap/>
            <w:vAlign w:val="bottom"/>
            <w:hideMark/>
          </w:tcPr>
          <w:p w14:paraId="7D56D3BE" w14:textId="77777777" w:rsidR="00956E94" w:rsidRPr="00452382" w:rsidRDefault="00956E94" w:rsidP="00956E94">
            <w:pPr>
              <w:rPr>
                <w:rFonts w:ascii="Calibri" w:hAnsi="Calibri"/>
                <w:b/>
                <w:bCs/>
                <w:color w:val="FFFFFF"/>
                <w:szCs w:val="22"/>
              </w:rPr>
            </w:pPr>
            <w:r w:rsidRPr="00452382">
              <w:rPr>
                <w:rFonts w:ascii="Calibri" w:hAnsi="Calibri"/>
                <w:b/>
                <w:bCs/>
                <w:color w:val="FFFFFF"/>
                <w:szCs w:val="22"/>
              </w:rPr>
              <w:t>Schools</w:t>
            </w:r>
          </w:p>
        </w:tc>
        <w:tc>
          <w:tcPr>
            <w:tcW w:w="1440" w:type="dxa"/>
            <w:tcBorders>
              <w:top w:val="nil"/>
              <w:left w:val="single" w:sz="8" w:space="0" w:color="auto"/>
              <w:bottom w:val="single" w:sz="4" w:space="0" w:color="auto"/>
              <w:right w:val="nil"/>
            </w:tcBorders>
            <w:shd w:val="clear" w:color="auto" w:fill="auto"/>
            <w:noWrap/>
            <w:vAlign w:val="bottom"/>
            <w:hideMark/>
          </w:tcPr>
          <w:p w14:paraId="7D56D3BF" w14:textId="77777777" w:rsidR="00956E94" w:rsidRPr="00452382" w:rsidRDefault="00956E94" w:rsidP="00956E94">
            <w:pPr>
              <w:jc w:val="center"/>
              <w:rPr>
                <w:rFonts w:ascii="Calibri" w:hAnsi="Calibri"/>
                <w:color w:val="000000"/>
                <w:szCs w:val="22"/>
              </w:rPr>
            </w:pPr>
            <w:r w:rsidRPr="00452382">
              <w:rPr>
                <w:rFonts w:ascii="Calibri" w:hAnsi="Calibri"/>
                <w:color w:val="000000"/>
                <w:szCs w:val="22"/>
              </w:rPr>
              <w:t>CZ03</w:t>
            </w:r>
          </w:p>
        </w:tc>
        <w:tc>
          <w:tcPr>
            <w:tcW w:w="1543" w:type="dxa"/>
            <w:tcBorders>
              <w:top w:val="nil"/>
              <w:left w:val="single" w:sz="8" w:space="0" w:color="auto"/>
              <w:bottom w:val="single" w:sz="8" w:space="0" w:color="auto"/>
              <w:right w:val="nil"/>
            </w:tcBorders>
            <w:shd w:val="clear" w:color="auto" w:fill="auto"/>
            <w:noWrap/>
            <w:vAlign w:val="bottom"/>
            <w:hideMark/>
          </w:tcPr>
          <w:p w14:paraId="7D56D3C0" w14:textId="4665833E" w:rsidR="00956E94" w:rsidRPr="00452382" w:rsidRDefault="00956E94" w:rsidP="00956E94">
            <w:pPr>
              <w:jc w:val="center"/>
              <w:rPr>
                <w:rFonts w:ascii="Calibri" w:hAnsi="Calibri"/>
                <w:color w:val="000000"/>
                <w:szCs w:val="22"/>
              </w:rPr>
            </w:pPr>
            <w:r>
              <w:rPr>
                <w:rFonts w:ascii="Calibri" w:hAnsi="Calibri" w:cs="Calibri"/>
                <w:color w:val="000000"/>
                <w:szCs w:val="22"/>
              </w:rPr>
              <w:t>21.95</w:t>
            </w:r>
          </w:p>
        </w:tc>
        <w:tc>
          <w:tcPr>
            <w:tcW w:w="1543" w:type="dxa"/>
            <w:tcBorders>
              <w:top w:val="nil"/>
              <w:left w:val="single" w:sz="8" w:space="0" w:color="auto"/>
              <w:bottom w:val="single" w:sz="8" w:space="0" w:color="auto"/>
              <w:right w:val="single" w:sz="4" w:space="0" w:color="auto"/>
            </w:tcBorders>
            <w:shd w:val="clear" w:color="auto" w:fill="auto"/>
            <w:noWrap/>
            <w:vAlign w:val="bottom"/>
            <w:hideMark/>
          </w:tcPr>
          <w:p w14:paraId="7D56D3C1" w14:textId="2FF15012" w:rsidR="00956E94" w:rsidRPr="00452382" w:rsidRDefault="00956E94" w:rsidP="00956E94">
            <w:pPr>
              <w:jc w:val="center"/>
              <w:rPr>
                <w:rFonts w:ascii="Calibri" w:hAnsi="Calibri"/>
                <w:color w:val="000000"/>
                <w:szCs w:val="22"/>
              </w:rPr>
            </w:pPr>
            <w:r>
              <w:rPr>
                <w:rFonts w:ascii="Calibri" w:hAnsi="Calibri" w:cs="Calibri"/>
                <w:color w:val="000000"/>
                <w:szCs w:val="22"/>
              </w:rPr>
              <w:t>14.63</w:t>
            </w:r>
          </w:p>
        </w:tc>
        <w:tc>
          <w:tcPr>
            <w:tcW w:w="1543" w:type="dxa"/>
            <w:tcBorders>
              <w:top w:val="nil"/>
              <w:left w:val="single" w:sz="8" w:space="0" w:color="auto"/>
              <w:bottom w:val="single" w:sz="8" w:space="0" w:color="auto"/>
              <w:right w:val="single" w:sz="12" w:space="0" w:color="auto"/>
            </w:tcBorders>
            <w:shd w:val="clear" w:color="auto" w:fill="auto"/>
            <w:noWrap/>
            <w:vAlign w:val="bottom"/>
            <w:hideMark/>
          </w:tcPr>
          <w:p w14:paraId="7D56D3C2" w14:textId="39257D07" w:rsidR="00956E94" w:rsidRPr="00452382" w:rsidRDefault="00956E94" w:rsidP="00956E94">
            <w:pPr>
              <w:jc w:val="center"/>
              <w:rPr>
                <w:rFonts w:ascii="Calibri" w:hAnsi="Calibri"/>
                <w:color w:val="000000"/>
                <w:szCs w:val="22"/>
              </w:rPr>
            </w:pPr>
            <w:r>
              <w:rPr>
                <w:rFonts w:ascii="Calibri" w:hAnsi="Calibri" w:cs="Calibri"/>
                <w:color w:val="000000"/>
                <w:szCs w:val="22"/>
              </w:rPr>
              <w:t>7.32</w:t>
            </w:r>
          </w:p>
        </w:tc>
      </w:tr>
      <w:tr w:rsidR="00956E94" w:rsidRPr="00452382" w14:paraId="7D56D3C9" w14:textId="77777777" w:rsidTr="00452382">
        <w:trPr>
          <w:trHeight w:val="300"/>
          <w:jc w:val="center"/>
        </w:trPr>
        <w:tc>
          <w:tcPr>
            <w:tcW w:w="1740" w:type="dxa"/>
            <w:tcBorders>
              <w:top w:val="nil"/>
              <w:left w:val="single" w:sz="12" w:space="0" w:color="auto"/>
              <w:bottom w:val="nil"/>
              <w:right w:val="nil"/>
            </w:tcBorders>
            <w:shd w:val="clear" w:color="000000" w:fill="054B56"/>
            <w:noWrap/>
            <w:vAlign w:val="bottom"/>
            <w:hideMark/>
          </w:tcPr>
          <w:p w14:paraId="7D56D3C4" w14:textId="77777777" w:rsidR="00956E94" w:rsidRPr="00452382" w:rsidRDefault="00956E94" w:rsidP="00956E94">
            <w:pPr>
              <w:rPr>
                <w:rFonts w:ascii="Calibri" w:hAnsi="Calibri"/>
                <w:b/>
                <w:bCs/>
                <w:color w:val="FFFFFF"/>
                <w:szCs w:val="22"/>
              </w:rPr>
            </w:pPr>
            <w:r w:rsidRPr="00452382">
              <w:rPr>
                <w:rFonts w:ascii="Calibri" w:hAnsi="Calibri"/>
                <w:b/>
                <w:bCs/>
                <w:color w:val="FFFFFF"/>
                <w:szCs w:val="22"/>
              </w:rPr>
              <w:t>Schools</w:t>
            </w:r>
          </w:p>
        </w:tc>
        <w:tc>
          <w:tcPr>
            <w:tcW w:w="1440" w:type="dxa"/>
            <w:tcBorders>
              <w:top w:val="nil"/>
              <w:left w:val="single" w:sz="8" w:space="0" w:color="auto"/>
              <w:bottom w:val="single" w:sz="4" w:space="0" w:color="auto"/>
              <w:right w:val="nil"/>
            </w:tcBorders>
            <w:shd w:val="clear" w:color="auto" w:fill="auto"/>
            <w:noWrap/>
            <w:vAlign w:val="bottom"/>
            <w:hideMark/>
          </w:tcPr>
          <w:p w14:paraId="7D56D3C5" w14:textId="77777777" w:rsidR="00956E94" w:rsidRPr="00452382" w:rsidRDefault="00956E94" w:rsidP="00956E94">
            <w:pPr>
              <w:jc w:val="center"/>
              <w:rPr>
                <w:rFonts w:ascii="Calibri" w:hAnsi="Calibri"/>
                <w:color w:val="000000"/>
                <w:szCs w:val="22"/>
              </w:rPr>
            </w:pPr>
            <w:r w:rsidRPr="00452382">
              <w:rPr>
                <w:rFonts w:ascii="Calibri" w:hAnsi="Calibri"/>
                <w:color w:val="000000"/>
                <w:szCs w:val="22"/>
              </w:rPr>
              <w:t>CZ04</w:t>
            </w:r>
          </w:p>
        </w:tc>
        <w:tc>
          <w:tcPr>
            <w:tcW w:w="1543" w:type="dxa"/>
            <w:tcBorders>
              <w:top w:val="nil"/>
              <w:left w:val="single" w:sz="8" w:space="0" w:color="auto"/>
              <w:bottom w:val="single" w:sz="8" w:space="0" w:color="auto"/>
              <w:right w:val="nil"/>
            </w:tcBorders>
            <w:shd w:val="clear" w:color="auto" w:fill="auto"/>
            <w:noWrap/>
            <w:vAlign w:val="bottom"/>
            <w:hideMark/>
          </w:tcPr>
          <w:p w14:paraId="7D56D3C6" w14:textId="4A527ED2" w:rsidR="00956E94" w:rsidRPr="00452382" w:rsidRDefault="00956E94" w:rsidP="00956E94">
            <w:pPr>
              <w:jc w:val="center"/>
              <w:rPr>
                <w:rFonts w:ascii="Calibri" w:hAnsi="Calibri"/>
                <w:color w:val="000000"/>
                <w:szCs w:val="22"/>
              </w:rPr>
            </w:pPr>
            <w:r>
              <w:rPr>
                <w:rFonts w:ascii="Calibri" w:hAnsi="Calibri" w:cs="Calibri"/>
                <w:color w:val="000000"/>
                <w:szCs w:val="22"/>
              </w:rPr>
              <w:t>20.83</w:t>
            </w:r>
          </w:p>
        </w:tc>
        <w:tc>
          <w:tcPr>
            <w:tcW w:w="1543" w:type="dxa"/>
            <w:tcBorders>
              <w:top w:val="nil"/>
              <w:left w:val="single" w:sz="8" w:space="0" w:color="auto"/>
              <w:bottom w:val="single" w:sz="8" w:space="0" w:color="auto"/>
              <w:right w:val="single" w:sz="4" w:space="0" w:color="auto"/>
            </w:tcBorders>
            <w:shd w:val="clear" w:color="auto" w:fill="auto"/>
            <w:noWrap/>
            <w:vAlign w:val="bottom"/>
            <w:hideMark/>
          </w:tcPr>
          <w:p w14:paraId="7D56D3C7" w14:textId="540B25AC" w:rsidR="00956E94" w:rsidRPr="00452382" w:rsidRDefault="00956E94" w:rsidP="00956E94">
            <w:pPr>
              <w:jc w:val="center"/>
              <w:rPr>
                <w:rFonts w:ascii="Calibri" w:hAnsi="Calibri"/>
                <w:color w:val="000000"/>
                <w:szCs w:val="22"/>
              </w:rPr>
            </w:pPr>
            <w:r>
              <w:rPr>
                <w:rFonts w:ascii="Calibri" w:hAnsi="Calibri" w:cs="Calibri"/>
                <w:color w:val="000000"/>
                <w:szCs w:val="22"/>
              </w:rPr>
              <w:t>13.89</w:t>
            </w:r>
          </w:p>
        </w:tc>
        <w:tc>
          <w:tcPr>
            <w:tcW w:w="1543" w:type="dxa"/>
            <w:tcBorders>
              <w:top w:val="nil"/>
              <w:left w:val="single" w:sz="8" w:space="0" w:color="auto"/>
              <w:bottom w:val="single" w:sz="8" w:space="0" w:color="auto"/>
              <w:right w:val="single" w:sz="12" w:space="0" w:color="auto"/>
            </w:tcBorders>
            <w:shd w:val="clear" w:color="auto" w:fill="auto"/>
            <w:noWrap/>
            <w:vAlign w:val="bottom"/>
            <w:hideMark/>
          </w:tcPr>
          <w:p w14:paraId="7D56D3C8" w14:textId="0A1FBEB8" w:rsidR="00956E94" w:rsidRPr="00452382" w:rsidRDefault="00956E94" w:rsidP="00956E94">
            <w:pPr>
              <w:jc w:val="center"/>
              <w:rPr>
                <w:rFonts w:ascii="Calibri" w:hAnsi="Calibri"/>
                <w:color w:val="000000"/>
                <w:szCs w:val="22"/>
              </w:rPr>
            </w:pPr>
            <w:r>
              <w:rPr>
                <w:rFonts w:ascii="Calibri" w:hAnsi="Calibri" w:cs="Calibri"/>
                <w:color w:val="000000"/>
                <w:szCs w:val="22"/>
              </w:rPr>
              <w:t>6.94</w:t>
            </w:r>
          </w:p>
        </w:tc>
      </w:tr>
      <w:tr w:rsidR="00956E94" w:rsidRPr="00452382" w14:paraId="7D56D3CF" w14:textId="77777777" w:rsidTr="00452382">
        <w:trPr>
          <w:trHeight w:val="300"/>
          <w:jc w:val="center"/>
        </w:trPr>
        <w:tc>
          <w:tcPr>
            <w:tcW w:w="1740" w:type="dxa"/>
            <w:tcBorders>
              <w:top w:val="nil"/>
              <w:left w:val="single" w:sz="12" w:space="0" w:color="auto"/>
              <w:bottom w:val="nil"/>
              <w:right w:val="nil"/>
            </w:tcBorders>
            <w:shd w:val="clear" w:color="000000" w:fill="054B56"/>
            <w:noWrap/>
            <w:vAlign w:val="bottom"/>
            <w:hideMark/>
          </w:tcPr>
          <w:p w14:paraId="7D56D3CA" w14:textId="77777777" w:rsidR="00956E94" w:rsidRPr="00452382" w:rsidRDefault="00956E94" w:rsidP="00956E94">
            <w:pPr>
              <w:rPr>
                <w:rFonts w:ascii="Calibri" w:hAnsi="Calibri"/>
                <w:b/>
                <w:bCs/>
                <w:color w:val="FFFFFF"/>
                <w:szCs w:val="22"/>
              </w:rPr>
            </w:pPr>
            <w:r w:rsidRPr="00452382">
              <w:rPr>
                <w:rFonts w:ascii="Calibri" w:hAnsi="Calibri"/>
                <w:b/>
                <w:bCs/>
                <w:color w:val="FFFFFF"/>
                <w:szCs w:val="22"/>
              </w:rPr>
              <w:t>Schools</w:t>
            </w:r>
          </w:p>
        </w:tc>
        <w:tc>
          <w:tcPr>
            <w:tcW w:w="1440" w:type="dxa"/>
            <w:tcBorders>
              <w:top w:val="nil"/>
              <w:left w:val="single" w:sz="8" w:space="0" w:color="auto"/>
              <w:bottom w:val="single" w:sz="4" w:space="0" w:color="auto"/>
              <w:right w:val="nil"/>
            </w:tcBorders>
            <w:shd w:val="clear" w:color="auto" w:fill="auto"/>
            <w:noWrap/>
            <w:vAlign w:val="bottom"/>
            <w:hideMark/>
          </w:tcPr>
          <w:p w14:paraId="7D56D3CB" w14:textId="77777777" w:rsidR="00956E94" w:rsidRPr="00452382" w:rsidRDefault="00956E94" w:rsidP="00956E94">
            <w:pPr>
              <w:jc w:val="center"/>
              <w:rPr>
                <w:rFonts w:ascii="Calibri" w:hAnsi="Calibri"/>
                <w:color w:val="000000"/>
                <w:szCs w:val="22"/>
              </w:rPr>
            </w:pPr>
            <w:r w:rsidRPr="00452382">
              <w:rPr>
                <w:rFonts w:ascii="Calibri" w:hAnsi="Calibri"/>
                <w:color w:val="000000"/>
                <w:szCs w:val="22"/>
              </w:rPr>
              <w:t>CZ05</w:t>
            </w:r>
          </w:p>
        </w:tc>
        <w:tc>
          <w:tcPr>
            <w:tcW w:w="1543" w:type="dxa"/>
            <w:tcBorders>
              <w:top w:val="nil"/>
              <w:left w:val="single" w:sz="8" w:space="0" w:color="auto"/>
              <w:bottom w:val="single" w:sz="8" w:space="0" w:color="auto"/>
              <w:right w:val="nil"/>
            </w:tcBorders>
            <w:shd w:val="clear" w:color="auto" w:fill="auto"/>
            <w:noWrap/>
            <w:vAlign w:val="bottom"/>
            <w:hideMark/>
          </w:tcPr>
          <w:p w14:paraId="7D56D3CC" w14:textId="1778F5A7" w:rsidR="00956E94" w:rsidRPr="00452382" w:rsidRDefault="00956E94" w:rsidP="00956E94">
            <w:pPr>
              <w:jc w:val="center"/>
              <w:rPr>
                <w:rFonts w:ascii="Calibri" w:hAnsi="Calibri"/>
                <w:color w:val="000000"/>
                <w:szCs w:val="22"/>
              </w:rPr>
            </w:pPr>
            <w:r>
              <w:rPr>
                <w:rFonts w:ascii="Calibri" w:hAnsi="Calibri" w:cs="Calibri"/>
                <w:color w:val="000000"/>
                <w:szCs w:val="22"/>
              </w:rPr>
              <w:t>22.51</w:t>
            </w:r>
          </w:p>
        </w:tc>
        <w:tc>
          <w:tcPr>
            <w:tcW w:w="1543" w:type="dxa"/>
            <w:tcBorders>
              <w:top w:val="nil"/>
              <w:left w:val="single" w:sz="8" w:space="0" w:color="auto"/>
              <w:bottom w:val="single" w:sz="8" w:space="0" w:color="auto"/>
              <w:right w:val="single" w:sz="4" w:space="0" w:color="auto"/>
            </w:tcBorders>
            <w:shd w:val="clear" w:color="auto" w:fill="auto"/>
            <w:noWrap/>
            <w:vAlign w:val="bottom"/>
            <w:hideMark/>
          </w:tcPr>
          <w:p w14:paraId="7D56D3CD" w14:textId="1A052C0B" w:rsidR="00956E94" w:rsidRPr="00452382" w:rsidRDefault="00956E94" w:rsidP="00956E94">
            <w:pPr>
              <w:jc w:val="center"/>
              <w:rPr>
                <w:rFonts w:ascii="Calibri" w:hAnsi="Calibri"/>
                <w:color w:val="000000"/>
                <w:szCs w:val="22"/>
              </w:rPr>
            </w:pPr>
            <w:r>
              <w:rPr>
                <w:rFonts w:ascii="Calibri" w:hAnsi="Calibri" w:cs="Calibri"/>
                <w:color w:val="000000"/>
                <w:szCs w:val="22"/>
              </w:rPr>
              <w:t>15.01</w:t>
            </w:r>
          </w:p>
        </w:tc>
        <w:tc>
          <w:tcPr>
            <w:tcW w:w="1543" w:type="dxa"/>
            <w:tcBorders>
              <w:top w:val="nil"/>
              <w:left w:val="single" w:sz="8" w:space="0" w:color="auto"/>
              <w:bottom w:val="single" w:sz="8" w:space="0" w:color="auto"/>
              <w:right w:val="single" w:sz="12" w:space="0" w:color="auto"/>
            </w:tcBorders>
            <w:shd w:val="clear" w:color="auto" w:fill="auto"/>
            <w:noWrap/>
            <w:vAlign w:val="bottom"/>
            <w:hideMark/>
          </w:tcPr>
          <w:p w14:paraId="7D56D3CE" w14:textId="26167D9C" w:rsidR="00956E94" w:rsidRPr="00452382" w:rsidRDefault="00956E94" w:rsidP="00956E94">
            <w:pPr>
              <w:jc w:val="center"/>
              <w:rPr>
                <w:rFonts w:ascii="Calibri" w:hAnsi="Calibri"/>
                <w:color w:val="000000"/>
                <w:szCs w:val="22"/>
              </w:rPr>
            </w:pPr>
            <w:r>
              <w:rPr>
                <w:rFonts w:ascii="Calibri" w:hAnsi="Calibri" w:cs="Calibri"/>
                <w:color w:val="000000"/>
                <w:szCs w:val="22"/>
              </w:rPr>
              <w:t>7.50</w:t>
            </w:r>
          </w:p>
        </w:tc>
      </w:tr>
      <w:tr w:rsidR="00956E94" w:rsidRPr="00452382" w14:paraId="7D56D3D5" w14:textId="77777777" w:rsidTr="00452382">
        <w:trPr>
          <w:trHeight w:val="300"/>
          <w:jc w:val="center"/>
        </w:trPr>
        <w:tc>
          <w:tcPr>
            <w:tcW w:w="1740" w:type="dxa"/>
            <w:tcBorders>
              <w:top w:val="nil"/>
              <w:left w:val="single" w:sz="12" w:space="0" w:color="auto"/>
              <w:bottom w:val="nil"/>
              <w:right w:val="nil"/>
            </w:tcBorders>
            <w:shd w:val="clear" w:color="000000" w:fill="054B56"/>
            <w:noWrap/>
            <w:vAlign w:val="bottom"/>
            <w:hideMark/>
          </w:tcPr>
          <w:p w14:paraId="7D56D3D0" w14:textId="77777777" w:rsidR="00956E94" w:rsidRPr="00452382" w:rsidRDefault="00956E94" w:rsidP="00956E94">
            <w:pPr>
              <w:rPr>
                <w:rFonts w:ascii="Calibri" w:hAnsi="Calibri"/>
                <w:b/>
                <w:bCs/>
                <w:color w:val="FFFFFF"/>
                <w:szCs w:val="22"/>
              </w:rPr>
            </w:pPr>
            <w:r w:rsidRPr="00452382">
              <w:rPr>
                <w:rFonts w:ascii="Calibri" w:hAnsi="Calibri"/>
                <w:b/>
                <w:bCs/>
                <w:color w:val="FFFFFF"/>
                <w:szCs w:val="22"/>
              </w:rPr>
              <w:t>Schools</w:t>
            </w:r>
          </w:p>
        </w:tc>
        <w:tc>
          <w:tcPr>
            <w:tcW w:w="1440" w:type="dxa"/>
            <w:tcBorders>
              <w:top w:val="nil"/>
              <w:left w:val="single" w:sz="8" w:space="0" w:color="auto"/>
              <w:bottom w:val="single" w:sz="4" w:space="0" w:color="auto"/>
              <w:right w:val="nil"/>
            </w:tcBorders>
            <w:shd w:val="clear" w:color="auto" w:fill="auto"/>
            <w:noWrap/>
            <w:vAlign w:val="bottom"/>
            <w:hideMark/>
          </w:tcPr>
          <w:p w14:paraId="7D56D3D1" w14:textId="77777777" w:rsidR="00956E94" w:rsidRPr="00452382" w:rsidRDefault="00956E94" w:rsidP="00956E94">
            <w:pPr>
              <w:jc w:val="center"/>
              <w:rPr>
                <w:rFonts w:ascii="Calibri" w:hAnsi="Calibri"/>
                <w:color w:val="000000"/>
                <w:szCs w:val="22"/>
              </w:rPr>
            </w:pPr>
            <w:r w:rsidRPr="00452382">
              <w:rPr>
                <w:rFonts w:ascii="Calibri" w:hAnsi="Calibri"/>
                <w:color w:val="000000"/>
                <w:szCs w:val="22"/>
              </w:rPr>
              <w:t>CZ06</w:t>
            </w:r>
          </w:p>
        </w:tc>
        <w:tc>
          <w:tcPr>
            <w:tcW w:w="1543" w:type="dxa"/>
            <w:tcBorders>
              <w:top w:val="nil"/>
              <w:left w:val="single" w:sz="8" w:space="0" w:color="auto"/>
              <w:bottom w:val="single" w:sz="8" w:space="0" w:color="auto"/>
              <w:right w:val="nil"/>
            </w:tcBorders>
            <w:shd w:val="clear" w:color="auto" w:fill="auto"/>
            <w:noWrap/>
            <w:vAlign w:val="bottom"/>
            <w:hideMark/>
          </w:tcPr>
          <w:p w14:paraId="7D56D3D2" w14:textId="1C13330F" w:rsidR="00956E94" w:rsidRPr="00452382" w:rsidRDefault="00956E94" w:rsidP="00956E94">
            <w:pPr>
              <w:jc w:val="center"/>
              <w:rPr>
                <w:rFonts w:ascii="Calibri" w:hAnsi="Calibri"/>
                <w:color w:val="000000"/>
                <w:szCs w:val="22"/>
              </w:rPr>
            </w:pPr>
            <w:r>
              <w:rPr>
                <w:rFonts w:ascii="Calibri" w:hAnsi="Calibri" w:cs="Calibri"/>
                <w:color w:val="000000"/>
                <w:szCs w:val="22"/>
              </w:rPr>
              <w:t>19.75</w:t>
            </w:r>
          </w:p>
        </w:tc>
        <w:tc>
          <w:tcPr>
            <w:tcW w:w="1543" w:type="dxa"/>
            <w:tcBorders>
              <w:top w:val="nil"/>
              <w:left w:val="single" w:sz="8" w:space="0" w:color="auto"/>
              <w:bottom w:val="single" w:sz="8" w:space="0" w:color="auto"/>
              <w:right w:val="single" w:sz="4" w:space="0" w:color="auto"/>
            </w:tcBorders>
            <w:shd w:val="clear" w:color="auto" w:fill="auto"/>
            <w:noWrap/>
            <w:vAlign w:val="bottom"/>
            <w:hideMark/>
          </w:tcPr>
          <w:p w14:paraId="7D56D3D3" w14:textId="6DF3775E" w:rsidR="00956E94" w:rsidRPr="00452382" w:rsidRDefault="00956E94" w:rsidP="00956E94">
            <w:pPr>
              <w:jc w:val="center"/>
              <w:rPr>
                <w:rFonts w:ascii="Calibri" w:hAnsi="Calibri"/>
                <w:color w:val="000000"/>
                <w:szCs w:val="22"/>
              </w:rPr>
            </w:pPr>
            <w:r>
              <w:rPr>
                <w:rFonts w:ascii="Calibri" w:hAnsi="Calibri" w:cs="Calibri"/>
                <w:color w:val="000000"/>
                <w:szCs w:val="22"/>
              </w:rPr>
              <w:t>13.17</w:t>
            </w:r>
          </w:p>
        </w:tc>
        <w:tc>
          <w:tcPr>
            <w:tcW w:w="1543" w:type="dxa"/>
            <w:tcBorders>
              <w:top w:val="nil"/>
              <w:left w:val="single" w:sz="8" w:space="0" w:color="auto"/>
              <w:bottom w:val="single" w:sz="8" w:space="0" w:color="auto"/>
              <w:right w:val="single" w:sz="12" w:space="0" w:color="auto"/>
            </w:tcBorders>
            <w:shd w:val="clear" w:color="auto" w:fill="auto"/>
            <w:noWrap/>
            <w:vAlign w:val="bottom"/>
            <w:hideMark/>
          </w:tcPr>
          <w:p w14:paraId="7D56D3D4" w14:textId="5480C3B8" w:rsidR="00956E94" w:rsidRPr="00452382" w:rsidRDefault="00956E94" w:rsidP="00956E94">
            <w:pPr>
              <w:jc w:val="center"/>
              <w:rPr>
                <w:rFonts w:ascii="Calibri" w:hAnsi="Calibri"/>
                <w:color w:val="000000"/>
                <w:szCs w:val="22"/>
              </w:rPr>
            </w:pPr>
            <w:r>
              <w:rPr>
                <w:rFonts w:ascii="Calibri" w:hAnsi="Calibri" w:cs="Calibri"/>
                <w:color w:val="000000"/>
                <w:szCs w:val="22"/>
              </w:rPr>
              <w:t>6.58</w:t>
            </w:r>
          </w:p>
        </w:tc>
      </w:tr>
      <w:tr w:rsidR="00956E94" w:rsidRPr="00452382" w14:paraId="7D56D3DB" w14:textId="77777777" w:rsidTr="00452382">
        <w:trPr>
          <w:trHeight w:val="300"/>
          <w:jc w:val="center"/>
        </w:trPr>
        <w:tc>
          <w:tcPr>
            <w:tcW w:w="1740" w:type="dxa"/>
            <w:tcBorders>
              <w:top w:val="nil"/>
              <w:left w:val="single" w:sz="12" w:space="0" w:color="auto"/>
              <w:bottom w:val="nil"/>
              <w:right w:val="nil"/>
            </w:tcBorders>
            <w:shd w:val="clear" w:color="000000" w:fill="054B56"/>
            <w:noWrap/>
            <w:vAlign w:val="bottom"/>
            <w:hideMark/>
          </w:tcPr>
          <w:p w14:paraId="7D56D3D6" w14:textId="77777777" w:rsidR="00956E94" w:rsidRPr="00452382" w:rsidRDefault="00956E94" w:rsidP="00956E94">
            <w:pPr>
              <w:rPr>
                <w:rFonts w:ascii="Calibri" w:hAnsi="Calibri"/>
                <w:b/>
                <w:bCs/>
                <w:color w:val="FFFFFF"/>
                <w:szCs w:val="22"/>
              </w:rPr>
            </w:pPr>
            <w:r w:rsidRPr="00452382">
              <w:rPr>
                <w:rFonts w:ascii="Calibri" w:hAnsi="Calibri"/>
                <w:b/>
                <w:bCs/>
                <w:color w:val="FFFFFF"/>
                <w:szCs w:val="22"/>
              </w:rPr>
              <w:t>Schools</w:t>
            </w:r>
          </w:p>
        </w:tc>
        <w:tc>
          <w:tcPr>
            <w:tcW w:w="1440" w:type="dxa"/>
            <w:tcBorders>
              <w:top w:val="nil"/>
              <w:left w:val="single" w:sz="8" w:space="0" w:color="auto"/>
              <w:bottom w:val="single" w:sz="4" w:space="0" w:color="auto"/>
              <w:right w:val="nil"/>
            </w:tcBorders>
            <w:shd w:val="clear" w:color="auto" w:fill="auto"/>
            <w:noWrap/>
            <w:vAlign w:val="bottom"/>
            <w:hideMark/>
          </w:tcPr>
          <w:p w14:paraId="7D56D3D7" w14:textId="77777777" w:rsidR="00956E94" w:rsidRPr="00452382" w:rsidRDefault="00956E94" w:rsidP="00956E94">
            <w:pPr>
              <w:jc w:val="center"/>
              <w:rPr>
                <w:rFonts w:ascii="Calibri" w:hAnsi="Calibri"/>
                <w:color w:val="000000"/>
                <w:szCs w:val="22"/>
              </w:rPr>
            </w:pPr>
            <w:r w:rsidRPr="00452382">
              <w:rPr>
                <w:rFonts w:ascii="Calibri" w:hAnsi="Calibri"/>
                <w:color w:val="000000"/>
                <w:szCs w:val="22"/>
              </w:rPr>
              <w:t>CZ07</w:t>
            </w:r>
          </w:p>
        </w:tc>
        <w:tc>
          <w:tcPr>
            <w:tcW w:w="1543" w:type="dxa"/>
            <w:tcBorders>
              <w:top w:val="nil"/>
              <w:left w:val="single" w:sz="8" w:space="0" w:color="auto"/>
              <w:bottom w:val="single" w:sz="8" w:space="0" w:color="auto"/>
              <w:right w:val="nil"/>
            </w:tcBorders>
            <w:shd w:val="clear" w:color="auto" w:fill="auto"/>
            <w:noWrap/>
            <w:vAlign w:val="bottom"/>
            <w:hideMark/>
          </w:tcPr>
          <w:p w14:paraId="7D56D3D8" w14:textId="5F307F45" w:rsidR="00956E94" w:rsidRPr="00452382" w:rsidRDefault="00956E94" w:rsidP="00956E94">
            <w:pPr>
              <w:jc w:val="center"/>
              <w:rPr>
                <w:rFonts w:ascii="Calibri" w:hAnsi="Calibri"/>
                <w:color w:val="000000"/>
                <w:szCs w:val="22"/>
              </w:rPr>
            </w:pPr>
            <w:r>
              <w:rPr>
                <w:rFonts w:ascii="Calibri" w:hAnsi="Calibri" w:cs="Calibri"/>
                <w:color w:val="000000"/>
                <w:szCs w:val="22"/>
              </w:rPr>
              <w:t>19.38</w:t>
            </w:r>
          </w:p>
        </w:tc>
        <w:tc>
          <w:tcPr>
            <w:tcW w:w="1543" w:type="dxa"/>
            <w:tcBorders>
              <w:top w:val="nil"/>
              <w:left w:val="single" w:sz="8" w:space="0" w:color="auto"/>
              <w:bottom w:val="single" w:sz="8" w:space="0" w:color="auto"/>
              <w:right w:val="single" w:sz="4" w:space="0" w:color="auto"/>
            </w:tcBorders>
            <w:shd w:val="clear" w:color="auto" w:fill="auto"/>
            <w:noWrap/>
            <w:vAlign w:val="bottom"/>
            <w:hideMark/>
          </w:tcPr>
          <w:p w14:paraId="7D56D3D9" w14:textId="328F5A8E" w:rsidR="00956E94" w:rsidRPr="00452382" w:rsidRDefault="00956E94" w:rsidP="00956E94">
            <w:pPr>
              <w:jc w:val="center"/>
              <w:rPr>
                <w:rFonts w:ascii="Calibri" w:hAnsi="Calibri"/>
                <w:color w:val="000000"/>
                <w:szCs w:val="22"/>
              </w:rPr>
            </w:pPr>
            <w:r>
              <w:rPr>
                <w:rFonts w:ascii="Calibri" w:hAnsi="Calibri" w:cs="Calibri"/>
                <w:color w:val="000000"/>
                <w:szCs w:val="22"/>
              </w:rPr>
              <w:t>12.92</w:t>
            </w:r>
          </w:p>
        </w:tc>
        <w:tc>
          <w:tcPr>
            <w:tcW w:w="1543" w:type="dxa"/>
            <w:tcBorders>
              <w:top w:val="nil"/>
              <w:left w:val="single" w:sz="8" w:space="0" w:color="auto"/>
              <w:bottom w:val="single" w:sz="8" w:space="0" w:color="auto"/>
              <w:right w:val="single" w:sz="12" w:space="0" w:color="auto"/>
            </w:tcBorders>
            <w:shd w:val="clear" w:color="auto" w:fill="auto"/>
            <w:noWrap/>
            <w:vAlign w:val="bottom"/>
            <w:hideMark/>
          </w:tcPr>
          <w:p w14:paraId="7D56D3DA" w14:textId="320A7512" w:rsidR="00956E94" w:rsidRPr="00452382" w:rsidRDefault="00956E94" w:rsidP="00956E94">
            <w:pPr>
              <w:jc w:val="center"/>
              <w:rPr>
                <w:rFonts w:ascii="Calibri" w:hAnsi="Calibri"/>
                <w:color w:val="000000"/>
                <w:szCs w:val="22"/>
              </w:rPr>
            </w:pPr>
            <w:r>
              <w:rPr>
                <w:rFonts w:ascii="Calibri" w:hAnsi="Calibri" w:cs="Calibri"/>
                <w:color w:val="000000"/>
                <w:szCs w:val="22"/>
              </w:rPr>
              <w:t>6.46</w:t>
            </w:r>
          </w:p>
        </w:tc>
      </w:tr>
      <w:tr w:rsidR="00956E94" w:rsidRPr="00452382" w14:paraId="7D56D3E1" w14:textId="77777777" w:rsidTr="00452382">
        <w:trPr>
          <w:trHeight w:val="300"/>
          <w:jc w:val="center"/>
        </w:trPr>
        <w:tc>
          <w:tcPr>
            <w:tcW w:w="1740" w:type="dxa"/>
            <w:tcBorders>
              <w:top w:val="nil"/>
              <w:left w:val="single" w:sz="12" w:space="0" w:color="auto"/>
              <w:bottom w:val="nil"/>
              <w:right w:val="nil"/>
            </w:tcBorders>
            <w:shd w:val="clear" w:color="000000" w:fill="054B56"/>
            <w:noWrap/>
            <w:vAlign w:val="bottom"/>
            <w:hideMark/>
          </w:tcPr>
          <w:p w14:paraId="7D56D3DC" w14:textId="77777777" w:rsidR="00956E94" w:rsidRPr="00452382" w:rsidRDefault="00956E94" w:rsidP="00956E94">
            <w:pPr>
              <w:rPr>
                <w:rFonts w:ascii="Calibri" w:hAnsi="Calibri"/>
                <w:b/>
                <w:bCs/>
                <w:color w:val="FFFFFF"/>
                <w:szCs w:val="22"/>
              </w:rPr>
            </w:pPr>
            <w:r w:rsidRPr="00452382">
              <w:rPr>
                <w:rFonts w:ascii="Calibri" w:hAnsi="Calibri"/>
                <w:b/>
                <w:bCs/>
                <w:color w:val="FFFFFF"/>
                <w:szCs w:val="22"/>
              </w:rPr>
              <w:t>Schools</w:t>
            </w:r>
          </w:p>
        </w:tc>
        <w:tc>
          <w:tcPr>
            <w:tcW w:w="1440" w:type="dxa"/>
            <w:tcBorders>
              <w:top w:val="nil"/>
              <w:left w:val="single" w:sz="8" w:space="0" w:color="auto"/>
              <w:bottom w:val="single" w:sz="4" w:space="0" w:color="auto"/>
              <w:right w:val="nil"/>
            </w:tcBorders>
            <w:shd w:val="clear" w:color="auto" w:fill="auto"/>
            <w:noWrap/>
            <w:vAlign w:val="bottom"/>
            <w:hideMark/>
          </w:tcPr>
          <w:p w14:paraId="7D56D3DD" w14:textId="77777777" w:rsidR="00956E94" w:rsidRPr="00452382" w:rsidRDefault="00956E94" w:rsidP="00956E94">
            <w:pPr>
              <w:jc w:val="center"/>
              <w:rPr>
                <w:rFonts w:ascii="Calibri" w:hAnsi="Calibri"/>
                <w:color w:val="000000"/>
                <w:szCs w:val="22"/>
              </w:rPr>
            </w:pPr>
            <w:r w:rsidRPr="00452382">
              <w:rPr>
                <w:rFonts w:ascii="Calibri" w:hAnsi="Calibri"/>
                <w:color w:val="000000"/>
                <w:szCs w:val="22"/>
              </w:rPr>
              <w:t>CZ08</w:t>
            </w:r>
          </w:p>
        </w:tc>
        <w:tc>
          <w:tcPr>
            <w:tcW w:w="1543" w:type="dxa"/>
            <w:tcBorders>
              <w:top w:val="nil"/>
              <w:left w:val="single" w:sz="8" w:space="0" w:color="auto"/>
              <w:bottom w:val="single" w:sz="8" w:space="0" w:color="auto"/>
              <w:right w:val="nil"/>
            </w:tcBorders>
            <w:shd w:val="clear" w:color="auto" w:fill="auto"/>
            <w:noWrap/>
            <w:vAlign w:val="bottom"/>
            <w:hideMark/>
          </w:tcPr>
          <w:p w14:paraId="7D56D3DE" w14:textId="079C87E7" w:rsidR="00956E94" w:rsidRPr="00452382" w:rsidRDefault="00956E94" w:rsidP="00956E94">
            <w:pPr>
              <w:jc w:val="center"/>
              <w:rPr>
                <w:rFonts w:ascii="Calibri" w:hAnsi="Calibri"/>
                <w:color w:val="000000"/>
                <w:szCs w:val="22"/>
              </w:rPr>
            </w:pPr>
            <w:r>
              <w:rPr>
                <w:rFonts w:ascii="Calibri" w:hAnsi="Calibri" w:cs="Calibri"/>
                <w:color w:val="000000"/>
                <w:szCs w:val="22"/>
              </w:rPr>
              <w:t>18.82</w:t>
            </w:r>
          </w:p>
        </w:tc>
        <w:tc>
          <w:tcPr>
            <w:tcW w:w="1543" w:type="dxa"/>
            <w:tcBorders>
              <w:top w:val="nil"/>
              <w:left w:val="single" w:sz="8" w:space="0" w:color="auto"/>
              <w:bottom w:val="single" w:sz="8" w:space="0" w:color="auto"/>
              <w:right w:val="single" w:sz="4" w:space="0" w:color="auto"/>
            </w:tcBorders>
            <w:shd w:val="clear" w:color="auto" w:fill="auto"/>
            <w:noWrap/>
            <w:vAlign w:val="bottom"/>
            <w:hideMark/>
          </w:tcPr>
          <w:p w14:paraId="7D56D3DF" w14:textId="44E054FC" w:rsidR="00956E94" w:rsidRPr="00452382" w:rsidRDefault="00956E94" w:rsidP="00956E94">
            <w:pPr>
              <w:jc w:val="center"/>
              <w:rPr>
                <w:rFonts w:ascii="Calibri" w:hAnsi="Calibri"/>
                <w:color w:val="000000"/>
                <w:szCs w:val="22"/>
              </w:rPr>
            </w:pPr>
            <w:r>
              <w:rPr>
                <w:rFonts w:ascii="Calibri" w:hAnsi="Calibri" w:cs="Calibri"/>
                <w:color w:val="000000"/>
                <w:szCs w:val="22"/>
              </w:rPr>
              <w:t>12.55</w:t>
            </w:r>
          </w:p>
        </w:tc>
        <w:tc>
          <w:tcPr>
            <w:tcW w:w="1543" w:type="dxa"/>
            <w:tcBorders>
              <w:top w:val="nil"/>
              <w:left w:val="single" w:sz="8" w:space="0" w:color="auto"/>
              <w:bottom w:val="single" w:sz="8" w:space="0" w:color="auto"/>
              <w:right w:val="single" w:sz="12" w:space="0" w:color="auto"/>
            </w:tcBorders>
            <w:shd w:val="clear" w:color="auto" w:fill="auto"/>
            <w:noWrap/>
            <w:vAlign w:val="bottom"/>
            <w:hideMark/>
          </w:tcPr>
          <w:p w14:paraId="7D56D3E0" w14:textId="5B46836A" w:rsidR="00956E94" w:rsidRPr="00452382" w:rsidRDefault="00956E94" w:rsidP="00956E94">
            <w:pPr>
              <w:jc w:val="center"/>
              <w:rPr>
                <w:rFonts w:ascii="Calibri" w:hAnsi="Calibri"/>
                <w:color w:val="000000"/>
                <w:szCs w:val="22"/>
              </w:rPr>
            </w:pPr>
            <w:r>
              <w:rPr>
                <w:rFonts w:ascii="Calibri" w:hAnsi="Calibri" w:cs="Calibri"/>
                <w:color w:val="000000"/>
                <w:szCs w:val="22"/>
              </w:rPr>
              <w:t>6.27</w:t>
            </w:r>
          </w:p>
        </w:tc>
      </w:tr>
      <w:tr w:rsidR="00956E94" w:rsidRPr="00452382" w14:paraId="7D56D3E7" w14:textId="77777777" w:rsidTr="00452382">
        <w:trPr>
          <w:trHeight w:val="300"/>
          <w:jc w:val="center"/>
        </w:trPr>
        <w:tc>
          <w:tcPr>
            <w:tcW w:w="1740" w:type="dxa"/>
            <w:tcBorders>
              <w:top w:val="nil"/>
              <w:left w:val="single" w:sz="12" w:space="0" w:color="auto"/>
              <w:bottom w:val="single" w:sz="12" w:space="0" w:color="auto"/>
              <w:right w:val="nil"/>
            </w:tcBorders>
            <w:shd w:val="clear" w:color="000000" w:fill="054B56"/>
            <w:noWrap/>
            <w:vAlign w:val="bottom"/>
            <w:hideMark/>
          </w:tcPr>
          <w:p w14:paraId="7D56D3E2" w14:textId="77777777" w:rsidR="00956E94" w:rsidRPr="00452382" w:rsidRDefault="00956E94" w:rsidP="00956E94">
            <w:pPr>
              <w:rPr>
                <w:rFonts w:ascii="Calibri" w:hAnsi="Calibri"/>
                <w:b/>
                <w:bCs/>
                <w:color w:val="FFFFFF"/>
                <w:szCs w:val="22"/>
              </w:rPr>
            </w:pPr>
            <w:r w:rsidRPr="00452382">
              <w:rPr>
                <w:rFonts w:ascii="Calibri" w:hAnsi="Calibri"/>
                <w:b/>
                <w:bCs/>
                <w:color w:val="FFFFFF"/>
                <w:szCs w:val="22"/>
              </w:rPr>
              <w:t>Schools</w:t>
            </w:r>
          </w:p>
        </w:tc>
        <w:tc>
          <w:tcPr>
            <w:tcW w:w="1440" w:type="dxa"/>
            <w:tcBorders>
              <w:top w:val="nil"/>
              <w:left w:val="single" w:sz="8" w:space="0" w:color="auto"/>
              <w:bottom w:val="single" w:sz="12" w:space="0" w:color="auto"/>
              <w:right w:val="nil"/>
            </w:tcBorders>
            <w:shd w:val="clear" w:color="auto" w:fill="auto"/>
            <w:noWrap/>
            <w:vAlign w:val="bottom"/>
            <w:hideMark/>
          </w:tcPr>
          <w:p w14:paraId="7D56D3E3" w14:textId="77777777" w:rsidR="00956E94" w:rsidRPr="00452382" w:rsidRDefault="00956E94" w:rsidP="00956E94">
            <w:pPr>
              <w:jc w:val="center"/>
              <w:rPr>
                <w:rFonts w:ascii="Calibri" w:hAnsi="Calibri"/>
                <w:color w:val="000000"/>
                <w:szCs w:val="22"/>
              </w:rPr>
            </w:pPr>
            <w:r w:rsidRPr="00452382">
              <w:rPr>
                <w:rFonts w:ascii="Calibri" w:hAnsi="Calibri"/>
                <w:color w:val="000000"/>
                <w:szCs w:val="22"/>
              </w:rPr>
              <w:t>CZ09</w:t>
            </w:r>
          </w:p>
        </w:tc>
        <w:tc>
          <w:tcPr>
            <w:tcW w:w="1543" w:type="dxa"/>
            <w:tcBorders>
              <w:top w:val="nil"/>
              <w:left w:val="single" w:sz="8" w:space="0" w:color="auto"/>
              <w:bottom w:val="single" w:sz="12" w:space="0" w:color="auto"/>
              <w:right w:val="nil"/>
            </w:tcBorders>
            <w:shd w:val="clear" w:color="auto" w:fill="auto"/>
            <w:noWrap/>
            <w:vAlign w:val="bottom"/>
            <w:hideMark/>
          </w:tcPr>
          <w:p w14:paraId="7D56D3E4" w14:textId="31B6AA47" w:rsidR="00956E94" w:rsidRPr="00452382" w:rsidRDefault="00956E94" w:rsidP="00956E94">
            <w:pPr>
              <w:jc w:val="center"/>
              <w:rPr>
                <w:rFonts w:ascii="Calibri" w:hAnsi="Calibri"/>
                <w:color w:val="000000"/>
                <w:szCs w:val="22"/>
              </w:rPr>
            </w:pPr>
            <w:r>
              <w:rPr>
                <w:rFonts w:ascii="Calibri" w:hAnsi="Calibri" w:cs="Calibri"/>
                <w:color w:val="000000"/>
                <w:szCs w:val="22"/>
              </w:rPr>
              <w:t>18.82</w:t>
            </w:r>
          </w:p>
        </w:tc>
        <w:tc>
          <w:tcPr>
            <w:tcW w:w="1543" w:type="dxa"/>
            <w:tcBorders>
              <w:top w:val="nil"/>
              <w:left w:val="single" w:sz="8" w:space="0" w:color="auto"/>
              <w:bottom w:val="single" w:sz="12" w:space="0" w:color="auto"/>
              <w:right w:val="single" w:sz="4" w:space="0" w:color="auto"/>
            </w:tcBorders>
            <w:shd w:val="clear" w:color="auto" w:fill="auto"/>
            <w:noWrap/>
            <w:vAlign w:val="bottom"/>
            <w:hideMark/>
          </w:tcPr>
          <w:p w14:paraId="7D56D3E5" w14:textId="262C5DED" w:rsidR="00956E94" w:rsidRPr="00452382" w:rsidRDefault="00956E94" w:rsidP="00956E94">
            <w:pPr>
              <w:jc w:val="center"/>
              <w:rPr>
                <w:rFonts w:ascii="Calibri" w:hAnsi="Calibri"/>
                <w:color w:val="000000"/>
                <w:szCs w:val="22"/>
              </w:rPr>
            </w:pPr>
            <w:r>
              <w:rPr>
                <w:rFonts w:ascii="Calibri" w:hAnsi="Calibri" w:cs="Calibri"/>
                <w:color w:val="000000"/>
                <w:szCs w:val="22"/>
              </w:rPr>
              <w:t>12.55</w:t>
            </w:r>
          </w:p>
        </w:tc>
        <w:tc>
          <w:tcPr>
            <w:tcW w:w="1543" w:type="dxa"/>
            <w:tcBorders>
              <w:top w:val="nil"/>
              <w:left w:val="single" w:sz="8" w:space="0" w:color="auto"/>
              <w:bottom w:val="single" w:sz="12" w:space="0" w:color="auto"/>
              <w:right w:val="single" w:sz="12" w:space="0" w:color="auto"/>
            </w:tcBorders>
            <w:shd w:val="clear" w:color="000000" w:fill="92D050"/>
            <w:noWrap/>
            <w:vAlign w:val="bottom"/>
            <w:hideMark/>
          </w:tcPr>
          <w:p w14:paraId="7D56D3E6" w14:textId="438AB3D4" w:rsidR="00956E94" w:rsidRPr="00452382" w:rsidRDefault="00956E94" w:rsidP="00956E94">
            <w:pPr>
              <w:jc w:val="center"/>
              <w:rPr>
                <w:rFonts w:ascii="Calibri" w:hAnsi="Calibri"/>
                <w:color w:val="000000"/>
                <w:szCs w:val="22"/>
              </w:rPr>
            </w:pPr>
            <w:r>
              <w:rPr>
                <w:rFonts w:ascii="Calibri" w:hAnsi="Calibri" w:cs="Calibri"/>
                <w:color w:val="000000"/>
                <w:szCs w:val="22"/>
              </w:rPr>
              <w:t>6.27</w:t>
            </w:r>
          </w:p>
        </w:tc>
      </w:tr>
    </w:tbl>
    <w:p w14:paraId="7D56D3E8" w14:textId="5DAECFE6" w:rsidR="005F5A81" w:rsidRPr="00EA4799" w:rsidRDefault="00452382" w:rsidP="00196A11">
      <w:pPr>
        <w:spacing w:after="200" w:line="276" w:lineRule="auto"/>
        <w:jc w:val="center"/>
        <w:rPr>
          <w:i/>
          <w:szCs w:val="22"/>
        </w:rPr>
      </w:pPr>
      <w:r w:rsidRPr="00EA4799">
        <w:rPr>
          <w:i/>
          <w:szCs w:val="22"/>
        </w:rPr>
        <w:t>*</w:t>
      </w:r>
      <w:r w:rsidR="007D0FCA" w:rsidRPr="00EA4799">
        <w:rPr>
          <w:i/>
          <w:szCs w:val="22"/>
        </w:rPr>
        <w:t>See attachment B for</w:t>
      </w:r>
      <w:r w:rsidR="00F77944">
        <w:rPr>
          <w:i/>
          <w:szCs w:val="22"/>
        </w:rPr>
        <w:t xml:space="preserve"> both 1.5 gpm and 1.8 gpm </w:t>
      </w:r>
      <w:r w:rsidR="007D0FCA" w:rsidRPr="00EA4799">
        <w:rPr>
          <w:i/>
          <w:szCs w:val="22"/>
        </w:rPr>
        <w:t>gas savings in all climate zones</w:t>
      </w:r>
      <w:r w:rsidRPr="00EA4799">
        <w:rPr>
          <w:i/>
          <w:szCs w:val="22"/>
        </w:rPr>
        <w:t>*</w:t>
      </w:r>
    </w:p>
    <w:p w14:paraId="33D2AF4B" w14:textId="77777777" w:rsidR="00EA4799" w:rsidRDefault="00EA4799" w:rsidP="00196A11">
      <w:pPr>
        <w:spacing w:after="200" w:line="276" w:lineRule="auto"/>
        <w:jc w:val="center"/>
        <w:rPr>
          <w:szCs w:val="22"/>
        </w:rPr>
      </w:pPr>
    </w:p>
    <w:p w14:paraId="7D56D3E9" w14:textId="77777777" w:rsidR="00883660" w:rsidRDefault="00A94BD5" w:rsidP="00883660">
      <w:pPr>
        <w:pStyle w:val="SubsectionStyle"/>
        <w:numPr>
          <w:ilvl w:val="1"/>
          <w:numId w:val="10"/>
        </w:numPr>
        <w:rPr>
          <w:rFonts w:asciiTheme="minorHAnsi" w:hAnsiTheme="minorHAnsi"/>
          <w:sz w:val="28"/>
          <w:szCs w:val="28"/>
        </w:rPr>
      </w:pPr>
      <w:r>
        <w:rPr>
          <w:rFonts w:asciiTheme="minorHAnsi" w:hAnsiTheme="minorHAnsi"/>
          <w:sz w:val="28"/>
          <w:szCs w:val="28"/>
        </w:rPr>
        <w:lastRenderedPageBreak/>
        <w:t xml:space="preserve"> </w:t>
      </w:r>
      <w:bookmarkStart w:id="62" w:name="_Toc502148151"/>
      <w:r>
        <w:rPr>
          <w:rFonts w:asciiTheme="minorHAnsi" w:hAnsiTheme="minorHAnsi"/>
          <w:sz w:val="28"/>
          <w:szCs w:val="28"/>
        </w:rPr>
        <w:t>C</w:t>
      </w:r>
      <w:r w:rsidR="00883660">
        <w:rPr>
          <w:rFonts w:asciiTheme="minorHAnsi" w:hAnsiTheme="minorHAnsi"/>
          <w:sz w:val="28"/>
          <w:szCs w:val="28"/>
        </w:rPr>
        <w:t xml:space="preserve">ommercial </w:t>
      </w:r>
      <w:r w:rsidR="00883660" w:rsidRPr="00883660">
        <w:rPr>
          <w:rFonts w:asciiTheme="minorHAnsi" w:hAnsiTheme="minorHAnsi"/>
          <w:sz w:val="28"/>
          <w:szCs w:val="28"/>
        </w:rPr>
        <w:t>Building occupancy classifications</w:t>
      </w:r>
      <w:bookmarkEnd w:id="62"/>
    </w:p>
    <w:p w14:paraId="7D56D3EA" w14:textId="24418614" w:rsidR="00883660" w:rsidRPr="00200F21" w:rsidRDefault="0089760C" w:rsidP="00883660">
      <w:pPr>
        <w:pStyle w:val="ListParagraph"/>
        <w:ind w:left="360"/>
        <w:rPr>
          <w:szCs w:val="22"/>
        </w:rPr>
      </w:pPr>
      <w:r w:rsidRPr="00200F21">
        <w:rPr>
          <w:szCs w:val="22"/>
        </w:rPr>
        <w:t xml:space="preserve">Due to the wide range of the calculated savings in hotels and schools, savings </w:t>
      </w:r>
      <w:r w:rsidR="00CB3F9C" w:rsidRPr="00200F21">
        <w:rPr>
          <w:szCs w:val="22"/>
        </w:rPr>
        <w:t>for three building types</w:t>
      </w:r>
      <w:r w:rsidR="00123DBA">
        <w:rPr>
          <w:szCs w:val="22"/>
        </w:rPr>
        <w:t xml:space="preserve"> are</w:t>
      </w:r>
      <w:r w:rsidR="00CB3F9C" w:rsidRPr="00200F21">
        <w:rPr>
          <w:szCs w:val="22"/>
        </w:rPr>
        <w:t xml:space="preserve"> listed in </w:t>
      </w:r>
      <w:r w:rsidR="00123DBA">
        <w:rPr>
          <w:szCs w:val="22"/>
        </w:rPr>
        <w:t xml:space="preserve">the </w:t>
      </w:r>
      <w:r w:rsidR="00CB3F9C" w:rsidRPr="00200F21">
        <w:rPr>
          <w:szCs w:val="22"/>
        </w:rPr>
        <w:t>“</w:t>
      </w:r>
      <w:r w:rsidR="00123DBA">
        <w:rPr>
          <w:szCs w:val="22"/>
        </w:rPr>
        <w:t xml:space="preserve">Energy </w:t>
      </w:r>
      <w:r w:rsidR="00CB3F9C" w:rsidRPr="00200F21">
        <w:rPr>
          <w:szCs w:val="22"/>
        </w:rPr>
        <w:t>Impact</w:t>
      </w:r>
      <w:r w:rsidR="00123DBA">
        <w:rPr>
          <w:szCs w:val="22"/>
        </w:rPr>
        <w:t>s</w:t>
      </w:r>
      <w:r w:rsidR="00CB3F9C" w:rsidRPr="00200F21">
        <w:rPr>
          <w:szCs w:val="22"/>
        </w:rPr>
        <w:t xml:space="preserve">” table </w:t>
      </w:r>
      <w:r w:rsidR="00123DBA">
        <w:rPr>
          <w:szCs w:val="22"/>
        </w:rPr>
        <w:t xml:space="preserve">within the EAD Access file. They are </w:t>
      </w:r>
      <w:r w:rsidR="00CB3F9C" w:rsidRPr="00200F21">
        <w:rPr>
          <w:szCs w:val="22"/>
        </w:rPr>
        <w:t>as follows</w:t>
      </w:r>
      <w:r w:rsidR="00883660" w:rsidRPr="00200F21">
        <w:rPr>
          <w:szCs w:val="22"/>
        </w:rPr>
        <w:t>:</w:t>
      </w:r>
    </w:p>
    <w:p w14:paraId="7D56D3EB" w14:textId="77777777" w:rsidR="00196A11" w:rsidRPr="00200F21" w:rsidRDefault="00196A11" w:rsidP="00883660">
      <w:pPr>
        <w:pStyle w:val="ListParagraph"/>
        <w:ind w:left="360"/>
        <w:rPr>
          <w:szCs w:val="22"/>
        </w:rPr>
      </w:pPr>
    </w:p>
    <w:p w14:paraId="7D56D3EC" w14:textId="7EF2364D" w:rsidR="00196A11" w:rsidRPr="00200F21" w:rsidRDefault="00B24080" w:rsidP="00B24080">
      <w:pPr>
        <w:pStyle w:val="ListParagraph"/>
        <w:numPr>
          <w:ilvl w:val="0"/>
          <w:numId w:val="9"/>
        </w:numPr>
        <w:rPr>
          <w:szCs w:val="22"/>
        </w:rPr>
      </w:pPr>
      <w:r w:rsidRPr="00200F21">
        <w:rPr>
          <w:szCs w:val="22"/>
        </w:rPr>
        <w:t xml:space="preserve">Lodging as Com Htl </w:t>
      </w:r>
      <w:r w:rsidR="0096723B">
        <w:rPr>
          <w:szCs w:val="22"/>
        </w:rPr>
        <w:t>(for Hotels)</w:t>
      </w:r>
    </w:p>
    <w:p w14:paraId="7D56D3ED" w14:textId="551F5061" w:rsidR="00B24080" w:rsidRPr="00200F21" w:rsidRDefault="00196A11" w:rsidP="00B24080">
      <w:pPr>
        <w:pStyle w:val="ListParagraph"/>
        <w:numPr>
          <w:ilvl w:val="0"/>
          <w:numId w:val="9"/>
        </w:numPr>
        <w:rPr>
          <w:szCs w:val="22"/>
        </w:rPr>
      </w:pPr>
      <w:r w:rsidRPr="00200F21">
        <w:rPr>
          <w:szCs w:val="22"/>
        </w:rPr>
        <w:t xml:space="preserve">Lodging as </w:t>
      </w:r>
      <w:r w:rsidR="00B24080" w:rsidRPr="00200F21">
        <w:rPr>
          <w:szCs w:val="22"/>
        </w:rPr>
        <w:t>Com Mtl</w:t>
      </w:r>
      <w:r w:rsidR="00883660" w:rsidRPr="00200F21">
        <w:rPr>
          <w:szCs w:val="22"/>
        </w:rPr>
        <w:t xml:space="preserve"> (for Motels)</w:t>
      </w:r>
      <w:r w:rsidR="0089760C" w:rsidRPr="00200F21">
        <w:rPr>
          <w:szCs w:val="22"/>
        </w:rPr>
        <w:t xml:space="preserve"> </w:t>
      </w:r>
    </w:p>
    <w:p w14:paraId="7D56D3EE" w14:textId="7EBE18AB" w:rsidR="00B24080" w:rsidRPr="00200F21" w:rsidRDefault="0096723B" w:rsidP="00B24080">
      <w:pPr>
        <w:pStyle w:val="ListParagraph"/>
        <w:numPr>
          <w:ilvl w:val="0"/>
          <w:numId w:val="9"/>
        </w:numPr>
        <w:rPr>
          <w:szCs w:val="22"/>
        </w:rPr>
      </w:pPr>
      <w:r>
        <w:rPr>
          <w:szCs w:val="22"/>
        </w:rPr>
        <w:t>Commercial building types include</w:t>
      </w:r>
      <w:r w:rsidR="00B24080" w:rsidRPr="00200F21">
        <w:rPr>
          <w:szCs w:val="22"/>
        </w:rPr>
        <w:t xml:space="preserve"> the following:</w:t>
      </w:r>
    </w:p>
    <w:p w14:paraId="7D56D3EF" w14:textId="77777777" w:rsidR="00B24080" w:rsidRPr="00200F21" w:rsidRDefault="00B24080" w:rsidP="00B24080">
      <w:pPr>
        <w:pStyle w:val="ListParagraph"/>
        <w:numPr>
          <w:ilvl w:val="1"/>
          <w:numId w:val="9"/>
        </w:numPr>
        <w:rPr>
          <w:szCs w:val="22"/>
        </w:rPr>
      </w:pPr>
      <w:r w:rsidRPr="00200F21">
        <w:rPr>
          <w:szCs w:val="22"/>
        </w:rPr>
        <w:t>Education-  High School, College, University and University Dormitory</w:t>
      </w:r>
    </w:p>
    <w:p w14:paraId="7D56D3F0" w14:textId="77777777" w:rsidR="00B24080" w:rsidRPr="00200F21" w:rsidRDefault="00B24080" w:rsidP="00B24080">
      <w:pPr>
        <w:pStyle w:val="ListParagraph"/>
        <w:numPr>
          <w:ilvl w:val="1"/>
          <w:numId w:val="9"/>
        </w:numPr>
        <w:rPr>
          <w:szCs w:val="22"/>
        </w:rPr>
      </w:pPr>
      <w:r w:rsidRPr="00200F21">
        <w:rPr>
          <w:szCs w:val="22"/>
        </w:rPr>
        <w:t>Fitness Center - Private Health Club</w:t>
      </w:r>
    </w:p>
    <w:p w14:paraId="7D56D3F1" w14:textId="77777777" w:rsidR="00B24080" w:rsidRPr="00200F21" w:rsidRDefault="00B24080" w:rsidP="00B24080">
      <w:pPr>
        <w:pStyle w:val="ListParagraph"/>
        <w:numPr>
          <w:ilvl w:val="1"/>
          <w:numId w:val="9"/>
        </w:numPr>
        <w:rPr>
          <w:szCs w:val="22"/>
        </w:rPr>
      </w:pPr>
      <w:r w:rsidRPr="00200F21">
        <w:rPr>
          <w:szCs w:val="22"/>
        </w:rPr>
        <w:t>Health/Medical – Hospital,</w:t>
      </w:r>
      <w:r w:rsidR="00883660" w:rsidRPr="00200F21">
        <w:rPr>
          <w:szCs w:val="22"/>
        </w:rPr>
        <w:t xml:space="preserve"> and Nursing Homes</w:t>
      </w:r>
    </w:p>
    <w:p w14:paraId="7D56D3F2" w14:textId="12E48E44" w:rsidR="00B24080" w:rsidRPr="00200F21" w:rsidRDefault="00B24080" w:rsidP="00B24080">
      <w:pPr>
        <w:pStyle w:val="ListParagraph"/>
        <w:numPr>
          <w:ilvl w:val="1"/>
          <w:numId w:val="9"/>
        </w:numPr>
        <w:rPr>
          <w:szCs w:val="22"/>
        </w:rPr>
      </w:pPr>
      <w:r w:rsidRPr="00200F21">
        <w:rPr>
          <w:szCs w:val="22"/>
        </w:rPr>
        <w:t>Municipal - City Parks/Recreations</w:t>
      </w:r>
      <w:r w:rsidR="00883660" w:rsidRPr="00200F21">
        <w:rPr>
          <w:szCs w:val="22"/>
        </w:rPr>
        <w:t>, Swimming Pools</w:t>
      </w:r>
    </w:p>
    <w:p w14:paraId="65327109" w14:textId="3EDAEC71" w:rsidR="005B7EBF" w:rsidRDefault="005B7EBF" w:rsidP="005B7EBF"/>
    <w:p w14:paraId="7D56D3F3" w14:textId="2FF498D6" w:rsidR="00B24080" w:rsidRPr="00EA4799" w:rsidRDefault="00123DBA" w:rsidP="00D41F8C">
      <w:r w:rsidRPr="00EA4799">
        <w:t>This workpaper</w:t>
      </w:r>
      <w:r w:rsidR="00B46D45" w:rsidRPr="00EA4799">
        <w:t xml:space="preserve"> </w:t>
      </w:r>
      <w:r w:rsidRPr="00EA4799">
        <w:t>includes the use</w:t>
      </w:r>
      <w:r w:rsidR="00B46D45" w:rsidRPr="00EA4799">
        <w:t xml:space="preserve"> of the COM building type</w:t>
      </w:r>
      <w:r w:rsidRPr="00EA4799">
        <w:t>. This building type designation</w:t>
      </w:r>
      <w:r w:rsidR="00B46D45" w:rsidRPr="00EA4799">
        <w:t xml:space="preserve"> </w:t>
      </w:r>
      <w:r w:rsidRPr="00EA4799">
        <w:t>covers, but is not limited to,</w:t>
      </w:r>
      <w:r w:rsidR="0096723B">
        <w:t xml:space="preserve"> the </w:t>
      </w:r>
      <w:r w:rsidRPr="00EA4799">
        <w:t>commercial</w:t>
      </w:r>
      <w:r w:rsidR="00B46D45" w:rsidRPr="00EA4799">
        <w:t xml:space="preserve"> building types listed above</w:t>
      </w:r>
      <w:r w:rsidRPr="00EA4799">
        <w:t>.</w:t>
      </w:r>
      <w:r w:rsidR="0096723B">
        <w:t xml:space="preserve"> The savings estimated within this workpaper include</w:t>
      </w:r>
      <w:r w:rsidR="00B46D45" w:rsidRPr="00EA4799">
        <w:t xml:space="preserve"> </w:t>
      </w:r>
      <w:r w:rsidR="0096723B">
        <w:t xml:space="preserve">only </w:t>
      </w:r>
      <w:r w:rsidR="00B46D45" w:rsidRPr="00EA4799">
        <w:t xml:space="preserve">educational </w:t>
      </w:r>
      <w:r w:rsidRPr="00EA4799">
        <w:t>and lodging facilities</w:t>
      </w:r>
      <w:r w:rsidR="0096723B">
        <w:t>.</w:t>
      </w:r>
      <w:r w:rsidR="00D72259" w:rsidRPr="00EA4799">
        <w:t xml:space="preserve"> </w:t>
      </w:r>
      <w:r w:rsidR="0096723B">
        <w:t xml:space="preserve">Due to lack of sufficient data, </w:t>
      </w:r>
      <w:r w:rsidR="00D72259" w:rsidRPr="00EA4799">
        <w:t xml:space="preserve">the </w:t>
      </w:r>
      <w:r w:rsidR="0096723B">
        <w:t>workpaper applies</w:t>
      </w:r>
      <w:r w:rsidR="00D72259" w:rsidRPr="00EA4799">
        <w:t xml:space="preserve"> the educational facility savings</w:t>
      </w:r>
      <w:r w:rsidR="00691025" w:rsidRPr="00EA4799">
        <w:t xml:space="preserve"> to the COM building type</w:t>
      </w:r>
      <w:r w:rsidR="0096723B">
        <w:t xml:space="preserve">. </w:t>
      </w:r>
    </w:p>
    <w:p w14:paraId="7D56D3F5" w14:textId="77777777" w:rsidR="00FB5933" w:rsidRDefault="002B4550" w:rsidP="00FB5933">
      <w:pPr>
        <w:pStyle w:val="Heading1"/>
        <w:keepNext w:val="0"/>
        <w:rPr>
          <w:rFonts w:cstheme="minorHAnsi"/>
        </w:rPr>
      </w:pPr>
      <w:bookmarkStart w:id="63" w:name="_Toc502148152"/>
      <w:r w:rsidRPr="00500C4E">
        <w:rPr>
          <w:rFonts w:cstheme="minorHAnsi"/>
        </w:rPr>
        <w:t>Section 3</w:t>
      </w:r>
      <w:r>
        <w:rPr>
          <w:rFonts w:cstheme="minorHAnsi"/>
        </w:rPr>
        <w:t>.</w:t>
      </w:r>
      <w:r w:rsidRPr="00500C4E">
        <w:rPr>
          <w:rFonts w:cstheme="minorHAnsi"/>
        </w:rPr>
        <w:t xml:space="preserve"> Load Shapes</w:t>
      </w:r>
      <w:bookmarkEnd w:id="57"/>
      <w:bookmarkEnd w:id="63"/>
    </w:p>
    <w:p w14:paraId="7D56D3F6" w14:textId="77777777" w:rsidR="00EC6E2D" w:rsidRDefault="00EC6E2D" w:rsidP="00EC6E2D">
      <w:r>
        <w:t xml:space="preserve">From </w:t>
      </w:r>
      <w:r w:rsidR="00DB4010">
        <w:t xml:space="preserve">the 2015 </w:t>
      </w:r>
      <w:r>
        <w:t xml:space="preserve">ASHRAE Application </w:t>
      </w:r>
      <w:r w:rsidR="00DB4010">
        <w:t>hand</w:t>
      </w:r>
      <w:r>
        <w:t xml:space="preserve">book, on Service Water Heating, the following graphs show the hourly </w:t>
      </w:r>
      <w:r w:rsidR="00DB4010">
        <w:t xml:space="preserve">hot water </w:t>
      </w:r>
      <w:r>
        <w:t xml:space="preserve">flow profiles </w:t>
      </w:r>
      <w:r w:rsidR="00DB4010">
        <w:t>for</w:t>
      </w:r>
      <w:r>
        <w:t xml:space="preserve"> a hotel/motel and school buildings. The motels </w:t>
      </w:r>
      <w:r w:rsidR="00DB4010">
        <w:t xml:space="preserve">profile </w:t>
      </w:r>
      <w:r>
        <w:t>shows a peak demand from 6am to 8am</w:t>
      </w:r>
      <w:r w:rsidR="00DB4010">
        <w:t>, while the schools profile peaks during the afternoon and afterschool hours 4 to 6pm.</w:t>
      </w:r>
    </w:p>
    <w:p w14:paraId="7D56D3F7" w14:textId="77777777" w:rsidR="00DB4010" w:rsidRPr="00EC6E2D" w:rsidRDefault="00DB4010" w:rsidP="00EC6E2D"/>
    <w:p w14:paraId="7D56D3F8" w14:textId="47D88864" w:rsidR="00526B72" w:rsidRDefault="00FB5933" w:rsidP="00D41F8C">
      <w:pPr>
        <w:spacing w:after="200" w:line="276" w:lineRule="auto"/>
        <w:jc w:val="center"/>
        <w:rPr>
          <w:rFonts w:cstheme="minorHAnsi"/>
          <w:noProof/>
        </w:rPr>
      </w:pPr>
      <w:r>
        <w:rPr>
          <w:rFonts w:cstheme="minorHAnsi"/>
          <w:noProof/>
        </w:rPr>
        <w:drawing>
          <wp:inline distT="0" distB="0" distL="0" distR="0" wp14:anchorId="7D56D450" wp14:editId="2E1CF78E">
            <wp:extent cx="2447988" cy="2398144"/>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CFE64.tmp"/>
                    <pic:cNvPicPr/>
                  </pic:nvPicPr>
                  <pic:blipFill>
                    <a:blip r:embed="rId16">
                      <a:extLst>
                        <a:ext uri="{28A0092B-C50C-407E-A947-70E740481C1C}">
                          <a14:useLocalDpi xmlns:a14="http://schemas.microsoft.com/office/drawing/2010/main" val="0"/>
                        </a:ext>
                      </a:extLst>
                    </a:blip>
                    <a:stretch>
                      <a:fillRect/>
                    </a:stretch>
                  </pic:blipFill>
                  <pic:spPr>
                    <a:xfrm>
                      <a:off x="0" y="0"/>
                      <a:ext cx="2456270" cy="2406257"/>
                    </a:xfrm>
                    <a:prstGeom prst="rect">
                      <a:avLst/>
                    </a:prstGeom>
                  </pic:spPr>
                </pic:pic>
              </a:graphicData>
            </a:graphic>
          </wp:inline>
        </w:drawing>
      </w:r>
      <w:r>
        <w:rPr>
          <w:rFonts w:cstheme="minorHAnsi"/>
          <w:noProof/>
        </w:rPr>
        <w:drawing>
          <wp:inline distT="0" distB="0" distL="0" distR="0" wp14:anchorId="7D56D452" wp14:editId="6E419D31">
            <wp:extent cx="2376818" cy="2303253"/>
            <wp:effectExtent l="0" t="0" r="4445"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C7B9.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36900" cy="2361476"/>
                    </a:xfrm>
                    <a:prstGeom prst="rect">
                      <a:avLst/>
                    </a:prstGeom>
                  </pic:spPr>
                </pic:pic>
              </a:graphicData>
            </a:graphic>
          </wp:inline>
        </w:drawing>
      </w:r>
    </w:p>
    <w:p w14:paraId="7D56D3F9" w14:textId="29E252AB" w:rsidR="00FB5933" w:rsidRPr="00D41F8C" w:rsidRDefault="00526B72" w:rsidP="00526B72">
      <w:pPr>
        <w:pStyle w:val="Caption"/>
        <w:jc w:val="center"/>
        <w:rPr>
          <w:rFonts w:cstheme="minorHAnsi"/>
          <w:bCs w:val="0"/>
          <w:smallCaps/>
          <w:kern w:val="32"/>
          <w:sz w:val="36"/>
          <w:szCs w:val="32"/>
        </w:rPr>
      </w:pPr>
      <w:bookmarkStart w:id="64" w:name="_Toc501451162"/>
      <w:r w:rsidRPr="00D41F8C">
        <w:t xml:space="preserve">Figure </w:t>
      </w:r>
      <w:fldSimple w:instr=" SEQ Figure \* ARABIC ">
        <w:r w:rsidRPr="00D41F8C">
          <w:rPr>
            <w:noProof/>
          </w:rPr>
          <w:t>3</w:t>
        </w:r>
      </w:fldSimple>
      <w:r w:rsidRPr="00D41F8C">
        <w:t>: Service Water Heating, from ASHRAE application handbook</w:t>
      </w:r>
      <w:bookmarkEnd w:id="64"/>
      <w:r w:rsidR="00977454" w:rsidRPr="00D41F8C">
        <w:rPr>
          <w:rFonts w:cstheme="minorHAnsi"/>
        </w:rPr>
        <w:br w:type="page"/>
      </w:r>
    </w:p>
    <w:p w14:paraId="7D56D3FA" w14:textId="0F6BDC01" w:rsidR="005552C3" w:rsidRPr="00977454" w:rsidRDefault="002564B0" w:rsidP="00C86899">
      <w:pPr>
        <w:pStyle w:val="Heading1"/>
        <w:keepNext w:val="0"/>
        <w:rPr>
          <w:rFonts w:cstheme="minorHAnsi"/>
          <w:i/>
          <w:color w:val="0070C0"/>
          <w:szCs w:val="22"/>
        </w:rPr>
      </w:pPr>
      <w:bookmarkStart w:id="65" w:name="_Toc502148153"/>
      <w:r>
        <w:rPr>
          <w:rFonts w:cstheme="minorHAnsi"/>
        </w:rPr>
        <w:lastRenderedPageBreak/>
        <w:t>Section 4.</w:t>
      </w:r>
      <w:r w:rsidR="00F95E2F" w:rsidRPr="00C86899">
        <w:rPr>
          <w:rFonts w:cstheme="minorHAnsi"/>
        </w:rPr>
        <w:t xml:space="preserve"> Costs</w:t>
      </w:r>
      <w:bookmarkEnd w:id="65"/>
    </w:p>
    <w:p w14:paraId="7D56D3FB" w14:textId="77777777" w:rsidR="00972297" w:rsidRPr="00715795" w:rsidRDefault="00715795" w:rsidP="00B2280B">
      <w:pPr>
        <w:pStyle w:val="SubsectionStyle"/>
        <w:numPr>
          <w:ilvl w:val="1"/>
          <w:numId w:val="11"/>
        </w:numPr>
        <w:rPr>
          <w:rFonts w:asciiTheme="minorHAnsi" w:hAnsiTheme="minorHAnsi"/>
          <w:sz w:val="28"/>
          <w:szCs w:val="28"/>
        </w:rPr>
      </w:pPr>
      <w:bookmarkStart w:id="66" w:name="_Toc442427778"/>
      <w:r>
        <w:rPr>
          <w:rFonts w:asciiTheme="minorHAnsi" w:hAnsiTheme="minorHAnsi"/>
          <w:sz w:val="28"/>
          <w:szCs w:val="28"/>
        </w:rPr>
        <w:t xml:space="preserve"> </w:t>
      </w:r>
      <w:bookmarkStart w:id="67" w:name="_Toc502148154"/>
      <w:r w:rsidR="00972297" w:rsidRPr="00715795">
        <w:rPr>
          <w:rFonts w:asciiTheme="minorHAnsi" w:hAnsiTheme="minorHAnsi"/>
          <w:sz w:val="28"/>
          <w:szCs w:val="28"/>
        </w:rPr>
        <w:t>Base Case Cost</w:t>
      </w:r>
      <w:bookmarkEnd w:id="66"/>
      <w:bookmarkEnd w:id="67"/>
    </w:p>
    <w:p w14:paraId="7D56D3FC" w14:textId="1FAFB17A" w:rsidR="00972297" w:rsidRPr="00972297" w:rsidRDefault="00972297" w:rsidP="0057673D">
      <w:pPr>
        <w:ind w:left="270"/>
        <w:rPr>
          <w:szCs w:val="22"/>
        </w:rPr>
      </w:pPr>
      <w:r w:rsidRPr="00972297">
        <w:rPr>
          <w:szCs w:val="22"/>
        </w:rPr>
        <w:t>Revised DEER cost data for 2.5 GPM showerhead measure</w:t>
      </w:r>
      <w:r w:rsidRPr="00972297">
        <w:rPr>
          <w:szCs w:val="22"/>
        </w:rPr>
        <w:fldChar w:fldCharType="begin"/>
      </w:r>
      <w:r w:rsidRPr="00972297">
        <w:rPr>
          <w:szCs w:val="22"/>
        </w:rPr>
        <w:instrText xml:space="preserve"> XE "showerheads" </w:instrText>
      </w:r>
      <w:r w:rsidRPr="00972297">
        <w:rPr>
          <w:szCs w:val="22"/>
        </w:rPr>
        <w:fldChar w:fldCharType="end"/>
      </w:r>
      <w:r w:rsidRPr="00972297">
        <w:rPr>
          <w:szCs w:val="22"/>
        </w:rPr>
        <w:t xml:space="preserve"> was used for installed base cost.  The equipment/material cost per unit ($/unit) is $14.32, while the installation cost is $16.74 per unit.  The total installe</w:t>
      </w:r>
      <w:r w:rsidR="00065302">
        <w:rPr>
          <w:szCs w:val="22"/>
        </w:rPr>
        <w:t xml:space="preserve">d base cost per unit is $31.06.  </w:t>
      </w:r>
      <w:r w:rsidRPr="00972297">
        <w:rPr>
          <w:szCs w:val="22"/>
        </w:rPr>
        <w:t xml:space="preserve">The base material cost and base labor cost for Early Retirement is $0.00. </w:t>
      </w:r>
    </w:p>
    <w:p w14:paraId="7D56D3FD" w14:textId="77777777" w:rsidR="00972297" w:rsidRPr="00715795" w:rsidRDefault="00972297" w:rsidP="00B2280B">
      <w:pPr>
        <w:pStyle w:val="SubsectionStyle"/>
        <w:numPr>
          <w:ilvl w:val="1"/>
          <w:numId w:val="11"/>
        </w:numPr>
        <w:rPr>
          <w:rFonts w:asciiTheme="minorHAnsi" w:hAnsiTheme="minorHAnsi"/>
          <w:sz w:val="28"/>
          <w:szCs w:val="28"/>
        </w:rPr>
      </w:pPr>
      <w:r w:rsidRPr="00715795">
        <w:rPr>
          <w:rFonts w:asciiTheme="minorHAnsi" w:hAnsiTheme="minorHAnsi"/>
          <w:sz w:val="28"/>
          <w:szCs w:val="28"/>
        </w:rPr>
        <w:t xml:space="preserve"> </w:t>
      </w:r>
      <w:bookmarkStart w:id="68" w:name="_Toc442427779"/>
      <w:bookmarkStart w:id="69" w:name="_Toc502148155"/>
      <w:r w:rsidRPr="00715795">
        <w:rPr>
          <w:rFonts w:asciiTheme="minorHAnsi" w:hAnsiTheme="minorHAnsi"/>
          <w:sz w:val="28"/>
          <w:szCs w:val="28"/>
        </w:rPr>
        <w:t>Gross Measure Cost</w:t>
      </w:r>
      <w:bookmarkEnd w:id="68"/>
      <w:bookmarkEnd w:id="69"/>
    </w:p>
    <w:p w14:paraId="7D56D3FE" w14:textId="062BD1D4" w:rsidR="00972297" w:rsidRPr="00972297" w:rsidRDefault="00972297" w:rsidP="0057673D">
      <w:pPr>
        <w:ind w:left="270"/>
        <w:rPr>
          <w:szCs w:val="22"/>
        </w:rPr>
      </w:pPr>
      <w:r w:rsidRPr="00972297">
        <w:rPr>
          <w:szCs w:val="22"/>
        </w:rPr>
        <w:t>Low flow showerheads will have the same cost as a 2.0 G</w:t>
      </w:r>
      <w:r w:rsidR="00E20E33">
        <w:rPr>
          <w:szCs w:val="22"/>
        </w:rPr>
        <w:t>PM showerhead cost in DEER2008</w:t>
      </w:r>
      <w:r w:rsidRPr="00972297">
        <w:rPr>
          <w:szCs w:val="22"/>
        </w:rPr>
        <w:t xml:space="preserve">. The DEER 2008 measure cost is $45.96, to replace greater than 2.5 GPM (~4-6 GPM) shower-heads with 2.0 GPM showerheads.  The components of low flow showerhead fixtures </w:t>
      </w:r>
      <w:r w:rsidR="00A97A2B">
        <w:rPr>
          <w:szCs w:val="22"/>
        </w:rPr>
        <w:t>are fun</w:t>
      </w:r>
      <w:r w:rsidRPr="00972297">
        <w:rPr>
          <w:szCs w:val="22"/>
        </w:rPr>
        <w:t>damentally the same, thus low flow showerheads will not incur a</w:t>
      </w:r>
      <w:r w:rsidR="00A97A2B">
        <w:rPr>
          <w:szCs w:val="22"/>
        </w:rPr>
        <w:t>ny additional</w:t>
      </w:r>
      <w:r w:rsidR="009F0828">
        <w:rPr>
          <w:szCs w:val="22"/>
        </w:rPr>
        <w:t xml:space="preserve"> cost</w:t>
      </w:r>
      <w:r w:rsidR="00A97A2B">
        <w:rPr>
          <w:szCs w:val="22"/>
        </w:rPr>
        <w:t>.  In addition, in</w:t>
      </w:r>
      <w:r w:rsidRPr="00972297">
        <w:rPr>
          <w:szCs w:val="22"/>
        </w:rPr>
        <w:t>stallation costs will be th</w:t>
      </w:r>
      <w:r w:rsidR="00B80339">
        <w:rPr>
          <w:szCs w:val="22"/>
        </w:rPr>
        <w:t xml:space="preserve">e same for low flow showerheads, see </w:t>
      </w:r>
      <w:r w:rsidR="00B80339" w:rsidRPr="00B80339">
        <w:rPr>
          <w:i/>
          <w:szCs w:val="22"/>
        </w:rPr>
        <w:t>(Attachmen</w:t>
      </w:r>
      <w:r w:rsidR="009627ED">
        <w:rPr>
          <w:i/>
          <w:szCs w:val="22"/>
        </w:rPr>
        <w:t xml:space="preserve">t </w:t>
      </w:r>
      <w:r w:rsidR="007C481E">
        <w:rPr>
          <w:i/>
          <w:szCs w:val="22"/>
        </w:rPr>
        <w:t>D</w:t>
      </w:r>
      <w:r w:rsidR="00B80339" w:rsidRPr="00B80339">
        <w:rPr>
          <w:i/>
          <w:szCs w:val="22"/>
        </w:rPr>
        <w:t>).</w:t>
      </w:r>
    </w:p>
    <w:p w14:paraId="7D56D3FF" w14:textId="77777777" w:rsidR="00972297" w:rsidRPr="00972297" w:rsidRDefault="00972297" w:rsidP="00972297">
      <w:pPr>
        <w:rPr>
          <w:szCs w:val="22"/>
        </w:rPr>
      </w:pPr>
    </w:p>
    <w:p w14:paraId="7D56D400" w14:textId="77777777" w:rsidR="00972297" w:rsidRPr="00972297" w:rsidRDefault="00972297" w:rsidP="0057673D">
      <w:pPr>
        <w:ind w:left="270"/>
        <w:rPr>
          <w:szCs w:val="22"/>
        </w:rPr>
      </w:pPr>
      <w:r w:rsidRPr="00972297">
        <w:rPr>
          <w:szCs w:val="22"/>
        </w:rPr>
        <w:t>The DEER equipment cost per unit ($/unit) is $29.22 for low flow showerheads, and the instal</w:t>
      </w:r>
      <w:r w:rsidR="005C50BE">
        <w:rPr>
          <w:szCs w:val="22"/>
        </w:rPr>
        <w:t xml:space="preserve">lation labor cost is $16.74.  </w:t>
      </w:r>
      <w:r w:rsidRPr="00972297">
        <w:rPr>
          <w:szCs w:val="22"/>
        </w:rPr>
        <w:t>The total installed measure cost per unit is $45.96, same as the base cost.</w:t>
      </w:r>
    </w:p>
    <w:p w14:paraId="7D56D401" w14:textId="77777777" w:rsidR="00972297" w:rsidRPr="00065302" w:rsidRDefault="00972297" w:rsidP="00065302">
      <w:pPr>
        <w:rPr>
          <w:szCs w:val="22"/>
        </w:rPr>
      </w:pPr>
    </w:p>
    <w:p w14:paraId="7D56D402" w14:textId="77777777" w:rsidR="00972297" w:rsidRPr="00972297" w:rsidRDefault="00972297" w:rsidP="0057673D">
      <w:pPr>
        <w:pStyle w:val="Reminders"/>
        <w:ind w:left="270"/>
        <w:rPr>
          <w:rFonts w:asciiTheme="minorHAnsi" w:hAnsiTheme="minorHAnsi"/>
          <w:i w:val="0"/>
          <w:color w:val="auto"/>
          <w:szCs w:val="22"/>
        </w:rPr>
      </w:pPr>
      <w:r w:rsidRPr="00972297">
        <w:rPr>
          <w:rFonts w:asciiTheme="minorHAnsi" w:hAnsiTheme="minorHAnsi"/>
          <w:i w:val="0"/>
          <w:color w:val="auto"/>
          <w:szCs w:val="22"/>
        </w:rPr>
        <w:t xml:space="preserve">For ER measures, a dual baseline is adopted. RUL will equal to  </w:t>
      </w:r>
      <m:oMath>
        <m:d>
          <m:dPr>
            <m:ctrlPr>
              <w:rPr>
                <w:rFonts w:ascii="Cambria Math" w:hAnsi="Cambria Math"/>
                <w:color w:val="auto"/>
                <w:szCs w:val="22"/>
              </w:rPr>
            </m:ctrlPr>
          </m:dPr>
          <m:e>
            <m:r>
              <w:rPr>
                <w:rFonts w:ascii="Cambria Math" w:hAnsi="Cambria Math"/>
                <w:color w:val="auto"/>
                <w:szCs w:val="22"/>
              </w:rPr>
              <m:t xml:space="preserve">RUL= </m:t>
            </m:r>
            <m:f>
              <m:fPr>
                <m:ctrlPr>
                  <w:rPr>
                    <w:rFonts w:ascii="Cambria Math" w:hAnsi="Cambria Math"/>
                    <w:color w:val="auto"/>
                    <w:szCs w:val="22"/>
                  </w:rPr>
                </m:ctrlPr>
              </m:fPr>
              <m:num>
                <m:r>
                  <w:rPr>
                    <w:rFonts w:ascii="Cambria Math" w:hAnsi="Cambria Math"/>
                    <w:color w:val="auto"/>
                    <w:szCs w:val="22"/>
                  </w:rPr>
                  <m:t>1</m:t>
                </m:r>
              </m:num>
              <m:den>
                <m:r>
                  <w:rPr>
                    <w:rFonts w:ascii="Cambria Math" w:hAnsi="Cambria Math"/>
                    <w:color w:val="auto"/>
                    <w:szCs w:val="22"/>
                  </w:rPr>
                  <m:t>3</m:t>
                </m:r>
              </m:den>
            </m:f>
            <m:r>
              <w:rPr>
                <w:rFonts w:ascii="Cambria Math" w:hAnsi="Cambria Math"/>
                <w:color w:val="auto"/>
                <w:szCs w:val="22"/>
              </w:rPr>
              <m:t>*EUL</m:t>
            </m:r>
          </m:e>
        </m:d>
        <m:r>
          <w:rPr>
            <w:rFonts w:ascii="Cambria Math" w:hAnsi="Cambria Math"/>
            <w:color w:val="auto"/>
            <w:szCs w:val="22"/>
          </w:rPr>
          <m:t xml:space="preserve"> </m:t>
        </m:r>
      </m:oMath>
      <w:r w:rsidRPr="009627ED">
        <w:rPr>
          <w:rFonts w:asciiTheme="minorHAnsi" w:hAnsiTheme="minorHAnsi"/>
          <w:i w:val="0"/>
          <w:color w:val="auto"/>
          <w:szCs w:val="22"/>
        </w:rPr>
        <w:t xml:space="preserve"> </w:t>
      </w:r>
      <w:r w:rsidRPr="00972297">
        <w:rPr>
          <w:rFonts w:asciiTheme="minorHAnsi" w:hAnsiTheme="minorHAnsi"/>
          <w:i w:val="0"/>
          <w:color w:val="auto"/>
          <w:szCs w:val="22"/>
        </w:rPr>
        <w:t>. In the remaining useful life (RUL) of the measure, there will be no base total cost in upgrading from 2.25 GPM showerheads to less than 2.0 GPM showerheads. However, the base total cost will be $31.06 after the remaining useful lif</w:t>
      </w:r>
      <w:r w:rsidR="00A97A2B">
        <w:rPr>
          <w:rFonts w:asciiTheme="minorHAnsi" w:hAnsiTheme="minorHAnsi"/>
          <w:i w:val="0"/>
          <w:color w:val="auto"/>
          <w:szCs w:val="22"/>
        </w:rPr>
        <w:t>e.</w:t>
      </w:r>
    </w:p>
    <w:p w14:paraId="7D56D403" w14:textId="77777777" w:rsidR="00972297" w:rsidRPr="00715795" w:rsidRDefault="00715795" w:rsidP="00B2280B">
      <w:pPr>
        <w:pStyle w:val="SubsectionStyle"/>
        <w:numPr>
          <w:ilvl w:val="1"/>
          <w:numId w:val="11"/>
        </w:numPr>
        <w:rPr>
          <w:rFonts w:asciiTheme="minorHAnsi" w:hAnsiTheme="minorHAnsi"/>
          <w:sz w:val="28"/>
          <w:szCs w:val="28"/>
        </w:rPr>
      </w:pPr>
      <w:bookmarkStart w:id="70" w:name="_Toc442427780"/>
      <w:r>
        <w:rPr>
          <w:rFonts w:asciiTheme="minorHAnsi" w:hAnsiTheme="minorHAnsi"/>
          <w:sz w:val="28"/>
          <w:szCs w:val="28"/>
        </w:rPr>
        <w:t xml:space="preserve"> </w:t>
      </w:r>
      <w:bookmarkStart w:id="71" w:name="_Toc502148156"/>
      <w:r w:rsidR="00A94BD5">
        <w:rPr>
          <w:rFonts w:asciiTheme="minorHAnsi" w:hAnsiTheme="minorHAnsi"/>
          <w:sz w:val="28"/>
          <w:szCs w:val="28"/>
        </w:rPr>
        <w:t>F</w:t>
      </w:r>
      <w:r w:rsidR="008A2CC4" w:rsidRPr="00715795">
        <w:rPr>
          <w:rFonts w:asciiTheme="minorHAnsi" w:hAnsiTheme="minorHAnsi"/>
          <w:sz w:val="28"/>
          <w:szCs w:val="28"/>
        </w:rPr>
        <w:t xml:space="preserve">ull and </w:t>
      </w:r>
      <w:r w:rsidR="00972297" w:rsidRPr="00715795">
        <w:rPr>
          <w:rFonts w:asciiTheme="minorHAnsi" w:hAnsiTheme="minorHAnsi"/>
          <w:sz w:val="28"/>
          <w:szCs w:val="28"/>
        </w:rPr>
        <w:t>Incremental Measure Cost</w:t>
      </w:r>
      <w:bookmarkEnd w:id="70"/>
      <w:bookmarkEnd w:id="71"/>
      <w:r w:rsidR="00972297" w:rsidRPr="00715795">
        <w:rPr>
          <w:rFonts w:asciiTheme="minorHAnsi" w:hAnsiTheme="minorHAnsi"/>
          <w:sz w:val="28"/>
          <w:szCs w:val="28"/>
        </w:rPr>
        <w:t xml:space="preserve"> </w:t>
      </w:r>
    </w:p>
    <w:p w14:paraId="74A21BEF" w14:textId="72C3738C" w:rsidR="0057673D" w:rsidRDefault="0057673D" w:rsidP="0057673D">
      <w:pPr>
        <w:pStyle w:val="Reminders"/>
        <w:spacing w:before="0"/>
        <w:ind w:left="360"/>
        <w:rPr>
          <w:rFonts w:asciiTheme="minorHAnsi" w:hAnsiTheme="minorHAnsi"/>
          <w:i w:val="0"/>
          <w:color w:val="auto"/>
          <w:szCs w:val="22"/>
        </w:rPr>
      </w:pPr>
      <w:r w:rsidRPr="00972297">
        <w:rPr>
          <w:rFonts w:asciiTheme="minorHAnsi" w:hAnsiTheme="minorHAnsi"/>
          <w:i w:val="0"/>
          <w:color w:val="auto"/>
          <w:szCs w:val="22"/>
        </w:rPr>
        <w:t>The incremental measure cost is the difference between the measure total cost and the base total cost. In ER program</w:t>
      </w:r>
      <w:r w:rsidR="004F55CC">
        <w:rPr>
          <w:rFonts w:asciiTheme="minorHAnsi" w:hAnsiTheme="minorHAnsi"/>
          <w:i w:val="0"/>
          <w:color w:val="auto"/>
          <w:szCs w:val="22"/>
        </w:rPr>
        <w:t>s</w:t>
      </w:r>
      <w:r w:rsidRPr="00972297">
        <w:rPr>
          <w:rFonts w:asciiTheme="minorHAnsi" w:hAnsiTheme="minorHAnsi"/>
          <w:i w:val="0"/>
          <w:color w:val="auto"/>
          <w:szCs w:val="22"/>
        </w:rPr>
        <w:t xml:space="preserve">, the base total cost is $0 in the first baseline </w:t>
      </w:r>
      <w:r>
        <w:rPr>
          <w:rFonts w:asciiTheme="minorHAnsi" w:hAnsiTheme="minorHAnsi"/>
          <w:i w:val="0"/>
          <w:color w:val="auto"/>
          <w:szCs w:val="22"/>
        </w:rPr>
        <w:t xml:space="preserve">(existing) </w:t>
      </w:r>
      <w:r w:rsidRPr="00972297">
        <w:rPr>
          <w:rFonts w:asciiTheme="minorHAnsi" w:hAnsiTheme="minorHAnsi"/>
          <w:i w:val="0"/>
          <w:color w:val="auto"/>
          <w:szCs w:val="22"/>
        </w:rPr>
        <w:t>and $31.06 in the second baseline</w:t>
      </w:r>
      <w:r>
        <w:rPr>
          <w:rFonts w:asciiTheme="minorHAnsi" w:hAnsiTheme="minorHAnsi"/>
          <w:i w:val="0"/>
          <w:color w:val="auto"/>
          <w:szCs w:val="22"/>
        </w:rPr>
        <w:t xml:space="preserve"> (code)</w:t>
      </w:r>
      <w:r w:rsidRPr="00972297">
        <w:rPr>
          <w:rFonts w:asciiTheme="minorHAnsi" w:hAnsiTheme="minorHAnsi"/>
          <w:i w:val="0"/>
          <w:color w:val="auto"/>
          <w:szCs w:val="22"/>
        </w:rPr>
        <w:t>; howev</w:t>
      </w:r>
      <w:r>
        <w:rPr>
          <w:rFonts w:asciiTheme="minorHAnsi" w:hAnsiTheme="minorHAnsi"/>
          <w:i w:val="0"/>
          <w:color w:val="auto"/>
          <w:szCs w:val="22"/>
        </w:rPr>
        <w:t>er, the measure total cost is $45.96 in the first baseline and $14.90</w:t>
      </w:r>
      <w:r w:rsidRPr="00972297">
        <w:rPr>
          <w:rFonts w:asciiTheme="minorHAnsi" w:hAnsiTheme="minorHAnsi"/>
          <w:i w:val="0"/>
          <w:color w:val="auto"/>
          <w:szCs w:val="22"/>
        </w:rPr>
        <w:t xml:space="preserve"> in the second baseline.</w:t>
      </w:r>
    </w:p>
    <w:p w14:paraId="7D56D405" w14:textId="70E93771" w:rsidR="00FF492E" w:rsidRDefault="00FF492E" w:rsidP="00920905">
      <w:pPr>
        <w:rPr>
          <w:color w:val="FF0000"/>
        </w:rPr>
      </w:pPr>
    </w:p>
    <w:p w14:paraId="7D56D406" w14:textId="1D89CCA3" w:rsidR="00A80270" w:rsidRPr="00920905" w:rsidRDefault="00F66806" w:rsidP="00F66806">
      <w:pPr>
        <w:pStyle w:val="Caption"/>
      </w:pPr>
      <w:bookmarkStart w:id="72" w:name="_MON_1399297811"/>
      <w:bookmarkStart w:id="73" w:name="_Toc501451185"/>
      <w:bookmarkEnd w:id="72"/>
      <w:r>
        <w:t xml:space="preserve">Table </w:t>
      </w:r>
      <w:fldSimple w:instr=" SEQ Table \* ARABIC ">
        <w:r w:rsidR="00121E2E">
          <w:rPr>
            <w:noProof/>
          </w:rPr>
          <w:t>1</w:t>
        </w:r>
      </w:fldSimple>
      <w:r w:rsidR="000149A3">
        <w:rPr>
          <w:noProof/>
        </w:rPr>
        <w:t>6</w:t>
      </w:r>
      <w:r>
        <w:t xml:space="preserve">: </w:t>
      </w:r>
      <w:r w:rsidR="004673A2">
        <w:rPr>
          <w:b w:val="0"/>
        </w:rPr>
        <w:t xml:space="preserve">Full and </w:t>
      </w:r>
      <w:r w:rsidR="006B0F11" w:rsidRPr="00920905">
        <w:rPr>
          <w:b w:val="0"/>
        </w:rPr>
        <w:t xml:space="preserve">Incremental </w:t>
      </w:r>
      <w:r w:rsidR="004673A2">
        <w:rPr>
          <w:b w:val="0"/>
        </w:rPr>
        <w:t>Measure</w:t>
      </w:r>
      <w:r w:rsidR="006B0F11" w:rsidRPr="00920905">
        <w:rPr>
          <w:b w:val="0"/>
        </w:rPr>
        <w:t xml:space="preserve"> Cost </w:t>
      </w:r>
      <w:r w:rsidR="00FF73B4">
        <w:rPr>
          <w:b w:val="0"/>
        </w:rPr>
        <w:t>Equations</w:t>
      </w:r>
      <w:bookmarkEnd w:id="73"/>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7D56D40A" w14:textId="77777777" w:rsidTr="009F0828">
        <w:tc>
          <w:tcPr>
            <w:tcW w:w="672" w:type="pct"/>
            <w:vMerge w:val="restart"/>
            <w:shd w:val="clear" w:color="auto" w:fill="D9D9D9" w:themeFill="background1" w:themeFillShade="D9"/>
          </w:tcPr>
          <w:p w14:paraId="7D56D407" w14:textId="77777777"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7D56D408" w14:textId="77777777"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7D56D409" w14:textId="77777777"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7D56D40F" w14:textId="77777777" w:rsidTr="009F0828">
        <w:tc>
          <w:tcPr>
            <w:tcW w:w="672" w:type="pct"/>
            <w:vMerge/>
            <w:shd w:val="clear" w:color="auto" w:fill="D9D9D9" w:themeFill="background1" w:themeFillShade="D9"/>
          </w:tcPr>
          <w:p w14:paraId="7D56D40B"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7D56D40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7D56D40D" w14:textId="77777777"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7D56D40E" w14:textId="77777777"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2E5766" w14:paraId="7D56D41E" w14:textId="77777777" w:rsidTr="009F0828">
        <w:tc>
          <w:tcPr>
            <w:tcW w:w="672" w:type="pct"/>
          </w:tcPr>
          <w:p w14:paraId="7D56D41A" w14:textId="4DA940C5" w:rsidR="00211153" w:rsidRPr="002E5766" w:rsidRDefault="00096E11" w:rsidP="00096E11">
            <w:pPr>
              <w:rPr>
                <w:rFonts w:cstheme="minorHAnsi"/>
                <w:szCs w:val="20"/>
              </w:rPr>
            </w:pPr>
            <w:r>
              <w:rPr>
                <w:rFonts w:cstheme="minorHAnsi"/>
                <w:szCs w:val="20"/>
              </w:rPr>
              <w:t>E</w:t>
            </w:r>
            <w:r w:rsidR="00211153" w:rsidRPr="002E5766">
              <w:rPr>
                <w:rFonts w:cstheme="minorHAnsi"/>
                <w:szCs w:val="20"/>
              </w:rPr>
              <w:t>R</w:t>
            </w:r>
          </w:p>
        </w:tc>
        <w:tc>
          <w:tcPr>
            <w:tcW w:w="1443" w:type="pct"/>
          </w:tcPr>
          <w:p w14:paraId="7D56D41B" w14:textId="77777777" w:rsidR="00211153" w:rsidRPr="002E5766" w:rsidRDefault="00211153" w:rsidP="00175D14">
            <w:pPr>
              <w:rPr>
                <w:rFonts w:cstheme="minorHAnsi"/>
                <w:szCs w:val="20"/>
              </w:rPr>
            </w:pPr>
            <w:r w:rsidRPr="002E5766">
              <w:rPr>
                <w:rFonts w:cstheme="minorHAnsi"/>
                <w:szCs w:val="20"/>
              </w:rPr>
              <w:t>(MEC + MLC) – (BEC + BLC)</w:t>
            </w:r>
          </w:p>
        </w:tc>
        <w:tc>
          <w:tcPr>
            <w:tcW w:w="1396" w:type="pct"/>
          </w:tcPr>
          <w:p w14:paraId="7D56D41C" w14:textId="77777777" w:rsidR="00211153" w:rsidRPr="002E5766" w:rsidRDefault="00211153" w:rsidP="00175D14">
            <w:pPr>
              <w:rPr>
                <w:rFonts w:cstheme="minorHAnsi"/>
                <w:szCs w:val="20"/>
              </w:rPr>
            </w:pPr>
            <w:r w:rsidRPr="002E5766">
              <w:rPr>
                <w:rFonts w:cstheme="minorHAnsi"/>
                <w:szCs w:val="20"/>
              </w:rPr>
              <w:t>MEC + MLC</w:t>
            </w:r>
          </w:p>
        </w:tc>
        <w:tc>
          <w:tcPr>
            <w:tcW w:w="1489" w:type="pct"/>
          </w:tcPr>
          <w:p w14:paraId="7D56D41D" w14:textId="77777777" w:rsidR="00211153" w:rsidRPr="002E5766" w:rsidRDefault="00211153" w:rsidP="00175D14">
            <w:pPr>
              <w:rPr>
                <w:rFonts w:cstheme="minorHAnsi"/>
                <w:szCs w:val="20"/>
              </w:rPr>
            </w:pPr>
            <w:r w:rsidRPr="002E5766">
              <w:rPr>
                <w:rFonts w:cstheme="minorHAnsi"/>
                <w:szCs w:val="20"/>
              </w:rPr>
              <w:t>(MEC + MLC) – (BEC + BLC)</w:t>
            </w:r>
          </w:p>
        </w:tc>
      </w:tr>
    </w:tbl>
    <w:p w14:paraId="7D56D41F" w14:textId="77777777"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40A78FAC" w14:textId="60AED2C3" w:rsidR="004F55CC" w:rsidRDefault="002405CD">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2DD85C61" w14:textId="77777777" w:rsidR="004F55CC" w:rsidRPr="004F55CC" w:rsidRDefault="004F55CC">
      <w:pPr>
        <w:rPr>
          <w:sz w:val="20"/>
          <w:szCs w:val="20"/>
        </w:rPr>
      </w:pPr>
    </w:p>
    <w:p w14:paraId="7D56D422" w14:textId="29A1616C" w:rsidR="00FF73B4" w:rsidRDefault="00F66806" w:rsidP="00F66806">
      <w:pPr>
        <w:pStyle w:val="Caption"/>
        <w:rPr>
          <w:b w:val="0"/>
        </w:rPr>
      </w:pPr>
      <w:bookmarkStart w:id="74" w:name="_Toc501451186"/>
      <w:r>
        <w:t xml:space="preserve">Table </w:t>
      </w:r>
      <w:r w:rsidR="000149A3">
        <w:t>17</w:t>
      </w:r>
      <w:r>
        <w:t xml:space="preserve">: </w:t>
      </w:r>
      <w:r w:rsidR="00931E45">
        <w:rPr>
          <w:b w:val="0"/>
        </w:rPr>
        <w:t xml:space="preserve">Full and </w:t>
      </w:r>
      <w:r w:rsidR="00FF73B4" w:rsidRPr="00DE77D0">
        <w:rPr>
          <w:b w:val="0"/>
        </w:rPr>
        <w:t>Incremental Cost</w:t>
      </w:r>
      <w:r w:rsidR="00FF73B4">
        <w:rPr>
          <w:b w:val="0"/>
        </w:rPr>
        <w:t>s</w:t>
      </w:r>
      <w:bookmarkEnd w:id="74"/>
    </w:p>
    <w:tbl>
      <w:tblPr>
        <w:tblStyle w:val="TableGrid1"/>
        <w:tblW w:w="5000" w:type="pct"/>
        <w:tblLook w:val="01E0" w:firstRow="1" w:lastRow="1" w:firstColumn="1" w:lastColumn="1" w:noHBand="0" w:noVBand="0"/>
      </w:tblPr>
      <w:tblGrid>
        <w:gridCol w:w="1257"/>
        <w:gridCol w:w="2698"/>
        <w:gridCol w:w="2611"/>
        <w:gridCol w:w="2784"/>
      </w:tblGrid>
      <w:tr w:rsidR="00F74B33" w:rsidRPr="00500C4E" w14:paraId="7D56D426" w14:textId="77777777" w:rsidTr="004F55CC">
        <w:tc>
          <w:tcPr>
            <w:tcW w:w="672" w:type="pct"/>
            <w:vMerge w:val="restart"/>
            <w:shd w:val="clear" w:color="auto" w:fill="D9D9D9" w:themeFill="background1" w:themeFillShade="D9"/>
          </w:tcPr>
          <w:p w14:paraId="7D56D423" w14:textId="77777777" w:rsidR="00F74B33" w:rsidRPr="00DE77D0" w:rsidRDefault="00F74B3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7D56D424" w14:textId="77777777" w:rsidR="00F74B33" w:rsidRPr="00DE77D0" w:rsidRDefault="00F74B3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7D56D425" w14:textId="77777777" w:rsidR="00F74B33" w:rsidRPr="00DE77D0" w:rsidRDefault="00F74B33" w:rsidP="00175D14">
            <w:pPr>
              <w:rPr>
                <w:rFonts w:cstheme="minorHAnsi"/>
                <w:b/>
                <w:szCs w:val="20"/>
                <w:highlight w:val="yellow"/>
              </w:rPr>
            </w:pPr>
            <w:r>
              <w:rPr>
                <w:rFonts w:cstheme="minorHAnsi"/>
                <w:b/>
                <w:szCs w:val="20"/>
              </w:rPr>
              <w:t>Full Measure Cost</w:t>
            </w:r>
          </w:p>
        </w:tc>
      </w:tr>
      <w:tr w:rsidR="00F74B33" w:rsidRPr="00500C4E" w14:paraId="7D56D42B" w14:textId="77777777" w:rsidTr="004F55CC">
        <w:tc>
          <w:tcPr>
            <w:tcW w:w="672" w:type="pct"/>
            <w:vMerge/>
            <w:shd w:val="clear" w:color="auto" w:fill="D9D9D9" w:themeFill="background1" w:themeFillShade="D9"/>
          </w:tcPr>
          <w:p w14:paraId="7D56D427" w14:textId="77777777" w:rsidR="00F74B33" w:rsidRPr="00DE77D0" w:rsidRDefault="00F74B33" w:rsidP="00175D14">
            <w:pPr>
              <w:rPr>
                <w:rFonts w:cstheme="minorHAnsi"/>
                <w:b/>
                <w:szCs w:val="20"/>
              </w:rPr>
            </w:pPr>
          </w:p>
        </w:tc>
        <w:tc>
          <w:tcPr>
            <w:tcW w:w="1443" w:type="pct"/>
            <w:vMerge/>
            <w:shd w:val="clear" w:color="auto" w:fill="D9D9D9" w:themeFill="background1" w:themeFillShade="D9"/>
          </w:tcPr>
          <w:p w14:paraId="7D56D428" w14:textId="77777777" w:rsidR="00F74B33" w:rsidRPr="00DE77D0" w:rsidRDefault="00F74B33" w:rsidP="00175D14">
            <w:pPr>
              <w:rPr>
                <w:rFonts w:cstheme="minorHAnsi"/>
                <w:b/>
                <w:szCs w:val="20"/>
              </w:rPr>
            </w:pPr>
          </w:p>
        </w:tc>
        <w:tc>
          <w:tcPr>
            <w:tcW w:w="1396" w:type="pct"/>
            <w:shd w:val="clear" w:color="auto" w:fill="F2F2F2" w:themeFill="background1" w:themeFillShade="F2"/>
          </w:tcPr>
          <w:p w14:paraId="7D56D429" w14:textId="77777777" w:rsidR="00F74B33" w:rsidRPr="00DE77D0" w:rsidRDefault="00F74B33"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7D56D42A" w14:textId="77777777" w:rsidR="00F74B33" w:rsidRPr="00DE77D0" w:rsidRDefault="00F74B33"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39659E" w:rsidRPr="0014332F" w14:paraId="7D56D43A" w14:textId="77777777" w:rsidTr="004F55CC">
        <w:tc>
          <w:tcPr>
            <w:tcW w:w="672" w:type="pct"/>
          </w:tcPr>
          <w:p w14:paraId="7D56D436" w14:textId="550556F9" w:rsidR="0039659E" w:rsidRPr="0039659E" w:rsidRDefault="0039659E" w:rsidP="00096E11">
            <w:pPr>
              <w:rPr>
                <w:rFonts w:cstheme="minorHAnsi"/>
                <w:szCs w:val="20"/>
              </w:rPr>
            </w:pPr>
            <w:r w:rsidRPr="0039659E">
              <w:rPr>
                <w:rFonts w:cstheme="minorHAnsi"/>
                <w:szCs w:val="20"/>
              </w:rPr>
              <w:t>ER</w:t>
            </w:r>
          </w:p>
        </w:tc>
        <w:tc>
          <w:tcPr>
            <w:tcW w:w="1443" w:type="pct"/>
          </w:tcPr>
          <w:p w14:paraId="7D56D437" w14:textId="0A1AE02A" w:rsidR="0039659E" w:rsidRPr="0039659E" w:rsidRDefault="0039659E" w:rsidP="0039659E">
            <w:pPr>
              <w:rPr>
                <w:rFonts w:cstheme="minorHAnsi"/>
                <w:szCs w:val="20"/>
              </w:rPr>
            </w:pPr>
            <w:r w:rsidRPr="0039659E">
              <w:rPr>
                <w:rFonts w:cstheme="minorHAnsi"/>
                <w:szCs w:val="20"/>
              </w:rPr>
              <w:t>$45.96- $31.06 = $14.90</w:t>
            </w:r>
          </w:p>
        </w:tc>
        <w:tc>
          <w:tcPr>
            <w:tcW w:w="1396" w:type="pct"/>
          </w:tcPr>
          <w:p w14:paraId="7D56D438" w14:textId="273D7AFE" w:rsidR="0039659E" w:rsidRPr="0039659E" w:rsidRDefault="0039659E" w:rsidP="0039659E">
            <w:pPr>
              <w:rPr>
                <w:rFonts w:cstheme="minorHAnsi"/>
                <w:szCs w:val="20"/>
              </w:rPr>
            </w:pPr>
            <w:r w:rsidRPr="0039659E">
              <w:rPr>
                <w:rFonts w:cstheme="minorHAnsi"/>
                <w:szCs w:val="20"/>
              </w:rPr>
              <w:t>$31.06 + $14.90 = $45.96</w:t>
            </w:r>
          </w:p>
        </w:tc>
        <w:tc>
          <w:tcPr>
            <w:tcW w:w="1489" w:type="pct"/>
          </w:tcPr>
          <w:p w14:paraId="7D56D439" w14:textId="3E84312E" w:rsidR="0039659E" w:rsidRPr="0039659E" w:rsidRDefault="0039659E" w:rsidP="0039659E">
            <w:pPr>
              <w:rPr>
                <w:rFonts w:cstheme="minorHAnsi"/>
                <w:szCs w:val="20"/>
              </w:rPr>
            </w:pPr>
            <w:r w:rsidRPr="0039659E">
              <w:rPr>
                <w:rFonts w:cstheme="minorHAnsi"/>
                <w:szCs w:val="20"/>
              </w:rPr>
              <w:t>$45.96- $31.06 = $14.90</w:t>
            </w:r>
          </w:p>
        </w:tc>
      </w:tr>
    </w:tbl>
    <w:p w14:paraId="3BC716D1" w14:textId="211387D7" w:rsidR="0037647C" w:rsidRPr="0037647C" w:rsidRDefault="0037647C" w:rsidP="0037647C"/>
    <w:p w14:paraId="7D56D43E" w14:textId="4BC05C00" w:rsidR="008C3498" w:rsidRPr="00230349" w:rsidRDefault="00E16609" w:rsidP="00230349">
      <w:pPr>
        <w:pStyle w:val="Heading1"/>
        <w:rPr>
          <w:rFonts w:cstheme="minorHAnsi"/>
        </w:rPr>
      </w:pPr>
      <w:bookmarkStart w:id="75" w:name="_Toc502148157"/>
      <w:r w:rsidRPr="00500C4E">
        <w:rPr>
          <w:rFonts w:cstheme="minorHAnsi"/>
        </w:rPr>
        <w:lastRenderedPageBreak/>
        <w:t>Attachments</w:t>
      </w:r>
      <w:bookmarkEnd w:id="75"/>
    </w:p>
    <w:p w14:paraId="7D56D43F" w14:textId="3F55EA2C" w:rsidR="00C0280C" w:rsidRPr="008C3498" w:rsidRDefault="003E528F" w:rsidP="00AD0FA2">
      <w:pPr>
        <w:ind w:left="360"/>
      </w:pPr>
      <w:r>
        <w:t>Attachment A</w:t>
      </w:r>
      <w:r w:rsidR="00AD0FA2">
        <w:t xml:space="preserve"> - </w:t>
      </w:r>
      <w:r w:rsidR="004413BE" w:rsidRPr="008C3498">
        <w:t xml:space="preserve">CLEAResult </w:t>
      </w:r>
      <w:r w:rsidR="008C3498" w:rsidRPr="008C3498">
        <w:t>Commercial</w:t>
      </w:r>
      <w:r w:rsidR="004413BE" w:rsidRPr="008C3498">
        <w:t xml:space="preserve"> Showerhead</w:t>
      </w:r>
      <w:r w:rsidR="008C3498" w:rsidRPr="008C3498">
        <w:t xml:space="preserve"> Study</w:t>
      </w:r>
    </w:p>
    <w:p w14:paraId="62198E22" w14:textId="6C3513D3" w:rsidR="004E3442" w:rsidRDefault="004E3442" w:rsidP="004E3442"/>
    <w:p w14:paraId="1FA27B19" w14:textId="0FF5F23C" w:rsidR="004E3442" w:rsidRDefault="004E3442" w:rsidP="004E3442">
      <w:pPr>
        <w:ind w:left="360"/>
      </w:pPr>
      <w:r w:rsidRPr="004E3442">
        <w:t xml:space="preserve">Attachment </w:t>
      </w:r>
      <w:r>
        <w:t>B</w:t>
      </w:r>
      <w:r w:rsidRPr="004E3442">
        <w:t xml:space="preserve"> - Energy Savings Data and Calculations</w:t>
      </w:r>
    </w:p>
    <w:p w14:paraId="7D56D442" w14:textId="509C1105" w:rsidR="00C0280C" w:rsidRDefault="00C0280C" w:rsidP="00230349">
      <w:pPr>
        <w:contextualSpacing/>
      </w:pPr>
    </w:p>
    <w:p w14:paraId="7D56D443" w14:textId="200C8A43" w:rsidR="00AB77FA" w:rsidRPr="00594A10" w:rsidRDefault="00AD0FA2" w:rsidP="00AD0FA2">
      <w:pPr>
        <w:ind w:left="360"/>
      </w:pPr>
      <w:r>
        <w:t xml:space="preserve">Attachment </w:t>
      </w:r>
      <w:r w:rsidR="004D6E2C">
        <w:t>C</w:t>
      </w:r>
      <w:r>
        <w:t xml:space="preserve"> - </w:t>
      </w:r>
      <w:r w:rsidR="00594A10" w:rsidRPr="002262BA">
        <w:t xml:space="preserve"> </w:t>
      </w:r>
      <w:r w:rsidR="00D2289C">
        <w:t xml:space="preserve">Sample </w:t>
      </w:r>
      <w:r w:rsidR="008C3498" w:rsidRPr="00594A10">
        <w:t>of Data Collected at Hotels</w:t>
      </w:r>
    </w:p>
    <w:p w14:paraId="7D56D444" w14:textId="77777777" w:rsidR="00C0280C" w:rsidRDefault="00C0280C" w:rsidP="002262BA">
      <w:pPr>
        <w:pStyle w:val="ListParagraph"/>
      </w:pPr>
    </w:p>
    <w:p w14:paraId="7D56D445" w14:textId="5025EED4" w:rsidR="007C567C" w:rsidRDefault="00AD0FA2" w:rsidP="00AD0FA2">
      <w:pPr>
        <w:ind w:left="360"/>
      </w:pPr>
      <w:r>
        <w:t xml:space="preserve">Attachment </w:t>
      </w:r>
      <w:r w:rsidR="004D6E2C">
        <w:t>D</w:t>
      </w:r>
      <w:r>
        <w:t xml:space="preserve"> -</w:t>
      </w:r>
      <w:r w:rsidR="00087F77" w:rsidRPr="00935688">
        <w:t xml:space="preserve"> </w:t>
      </w:r>
      <w:r w:rsidR="00A46B24">
        <w:t>Commercial LFSH Summary Table</w:t>
      </w:r>
    </w:p>
    <w:p w14:paraId="5A482CC1" w14:textId="0B904E49" w:rsidR="000F2FA7" w:rsidRDefault="000F2FA7" w:rsidP="00AD0FA2">
      <w:pPr>
        <w:ind w:left="360"/>
      </w:pPr>
    </w:p>
    <w:p w14:paraId="3A180A1B" w14:textId="6B79E619" w:rsidR="000F2FA7" w:rsidRPr="00935688" w:rsidRDefault="000F2FA7" w:rsidP="00AD0FA2">
      <w:pPr>
        <w:ind w:left="360"/>
      </w:pPr>
      <w:r>
        <w:t>Attachment E – PKF Consulting: Southern</w:t>
      </w:r>
      <w:r w:rsidR="00046ED4">
        <w:t xml:space="preserve"> California Lodging Forecast</w:t>
      </w:r>
      <w:r>
        <w:t xml:space="preserve"> </w:t>
      </w:r>
    </w:p>
    <w:p w14:paraId="6F6CF17F" w14:textId="77777777" w:rsidR="00230349" w:rsidRDefault="00230349" w:rsidP="00230349">
      <w:pPr>
        <w:ind w:left="360"/>
      </w:pPr>
    </w:p>
    <w:p w14:paraId="40F4C31B" w14:textId="7ED57061" w:rsidR="00230349" w:rsidRPr="00230349" w:rsidRDefault="00230349" w:rsidP="00230349">
      <w:pPr>
        <w:ind w:left="360"/>
        <w:rPr>
          <w:b/>
        </w:rPr>
      </w:pPr>
      <w:r>
        <w:rPr>
          <w:b/>
        </w:rPr>
        <w:t>**</w:t>
      </w:r>
      <w:r w:rsidRPr="00230349">
        <w:rPr>
          <w:b/>
        </w:rPr>
        <w:t>F</w:t>
      </w:r>
      <w:r>
        <w:rPr>
          <w:b/>
        </w:rPr>
        <w:t>iles submitted separately</w:t>
      </w:r>
      <w:r w:rsidRPr="00230349">
        <w:rPr>
          <w:b/>
        </w:rPr>
        <w:t>.</w:t>
      </w:r>
      <w:r>
        <w:rPr>
          <w:b/>
        </w:rPr>
        <w:t xml:space="preserve"> **</w:t>
      </w:r>
    </w:p>
    <w:p w14:paraId="7D56D446" w14:textId="77777777" w:rsidR="00AB36DB" w:rsidRPr="00500C4E" w:rsidRDefault="00AB36DB" w:rsidP="00E40CF9">
      <w:pPr>
        <w:pStyle w:val="Reminders"/>
        <w:rPr>
          <w:rFonts w:asciiTheme="minorHAnsi" w:hAnsiTheme="minorHAnsi" w:cstheme="minorHAnsi"/>
          <w:i w:val="0"/>
          <w:szCs w:val="22"/>
        </w:rPr>
      </w:pPr>
    </w:p>
    <w:p w14:paraId="7D56D447" w14:textId="77777777" w:rsidR="00A500D6" w:rsidRPr="00500C4E" w:rsidRDefault="00A500D6" w:rsidP="00E16609">
      <w:pPr>
        <w:rPr>
          <w:rFonts w:cstheme="minorHAnsi"/>
        </w:rPr>
      </w:pPr>
    </w:p>
    <w:p w14:paraId="7D56D448" w14:textId="77777777" w:rsidR="00612041" w:rsidRPr="00500C4E" w:rsidRDefault="00612041" w:rsidP="00E16609">
      <w:pPr>
        <w:rPr>
          <w:rFonts w:cstheme="minorHAnsi"/>
        </w:rPr>
      </w:pPr>
    </w:p>
    <w:p w14:paraId="7D56D449" w14:textId="77777777" w:rsidR="00C54EFF" w:rsidRPr="00500C4E" w:rsidRDefault="00C54EFF" w:rsidP="00E16609">
      <w:pPr>
        <w:rPr>
          <w:rFonts w:cstheme="minorHAnsi"/>
        </w:rPr>
      </w:pPr>
    </w:p>
    <w:p w14:paraId="7D56D44A" w14:textId="77777777" w:rsidR="008C3498" w:rsidRPr="004F7968" w:rsidRDefault="00C54EFF" w:rsidP="008C3498">
      <w:r w:rsidRPr="00500C4E">
        <w:rPr>
          <w:rFonts w:cstheme="minorHAnsi"/>
        </w:rPr>
        <w:br w:type="page"/>
      </w:r>
    </w:p>
    <w:p w14:paraId="7D56D44B" w14:textId="77777777" w:rsidR="00480E7B" w:rsidRPr="00D7645C" w:rsidRDefault="00AB77FA" w:rsidP="00AB77FA">
      <w:pPr>
        <w:pStyle w:val="Heading1"/>
        <w:rPr>
          <w:rFonts w:cstheme="minorHAnsi"/>
          <w:b w:val="0"/>
        </w:rPr>
      </w:pPr>
      <w:bookmarkStart w:id="76" w:name="_Toc502148158"/>
      <w:r w:rsidRPr="00D7645C">
        <w:rPr>
          <w:rFonts w:cstheme="minorHAnsi"/>
          <w:b w:val="0"/>
        </w:rPr>
        <w:lastRenderedPageBreak/>
        <w:t>References</w:t>
      </w:r>
      <w:bookmarkEnd w:id="76"/>
    </w:p>
    <w:sectPr w:rsidR="00480E7B" w:rsidRPr="00D7645C" w:rsidSect="00E87C8F">
      <w:footerReference w:type="default" r:id="rId18"/>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01E489" w14:textId="77777777" w:rsidR="000149A3" w:rsidRDefault="000149A3" w:rsidP="00447D6E">
      <w:r>
        <w:separator/>
      </w:r>
    </w:p>
    <w:p w14:paraId="20A94951" w14:textId="77777777" w:rsidR="000149A3" w:rsidRDefault="000149A3"/>
  </w:endnote>
  <w:endnote w:type="continuationSeparator" w:id="0">
    <w:p w14:paraId="3CFE999A" w14:textId="77777777" w:rsidR="000149A3" w:rsidRDefault="000149A3" w:rsidP="00447D6E">
      <w:r>
        <w:continuationSeparator/>
      </w:r>
    </w:p>
    <w:p w14:paraId="0E578CFA" w14:textId="77777777" w:rsidR="000149A3" w:rsidRDefault="000149A3"/>
  </w:endnote>
  <w:endnote w:id="1">
    <w:p w14:paraId="7D56D462" w14:textId="51AAFAA1" w:rsidR="000149A3" w:rsidRPr="00691025" w:rsidRDefault="000149A3" w:rsidP="00FA14C1">
      <w:pPr>
        <w:tabs>
          <w:tab w:val="left" w:pos="720"/>
        </w:tabs>
        <w:rPr>
          <w:rFonts w:cstheme="minorHAnsi"/>
          <w:i/>
          <w:szCs w:val="22"/>
        </w:rPr>
      </w:pPr>
      <w:r w:rsidRPr="00BC2862">
        <w:rPr>
          <w:rStyle w:val="EndnoteReference"/>
          <w:rFonts w:cstheme="minorHAnsi"/>
          <w:szCs w:val="22"/>
        </w:rPr>
        <w:endnoteRef/>
      </w:r>
      <w:r w:rsidRPr="00BC2862">
        <w:rPr>
          <w:rFonts w:cstheme="minorHAnsi"/>
          <w:szCs w:val="22"/>
        </w:rPr>
        <w:t xml:space="preserve"> PKF Consulting USA, Oct 2015; Southern California Lodging Forecast.</w:t>
      </w:r>
      <w:r>
        <w:rPr>
          <w:rFonts w:cstheme="minorHAnsi"/>
          <w:szCs w:val="22"/>
        </w:rPr>
        <w:t xml:space="preserve"> (</w:t>
      </w:r>
      <w:r>
        <w:rPr>
          <w:rFonts w:cstheme="minorHAnsi"/>
          <w:i/>
          <w:szCs w:val="22"/>
        </w:rPr>
        <w:t>Attachment E)</w:t>
      </w:r>
    </w:p>
    <w:p w14:paraId="7D56D463" w14:textId="77777777" w:rsidR="000149A3" w:rsidRPr="00BC2862" w:rsidRDefault="00B36F35" w:rsidP="00FA14C1">
      <w:pPr>
        <w:pStyle w:val="EndnoteText"/>
        <w:rPr>
          <w:rStyle w:val="Hyperlink"/>
          <w:rFonts w:asciiTheme="minorHAnsi" w:hAnsiTheme="minorHAnsi" w:cstheme="minorHAnsi"/>
          <w:sz w:val="22"/>
          <w:szCs w:val="22"/>
        </w:rPr>
      </w:pPr>
      <w:hyperlink r:id="rId1" w:history="1">
        <w:r w:rsidR="000149A3" w:rsidRPr="00BC2862">
          <w:rPr>
            <w:rStyle w:val="Hyperlink"/>
            <w:rFonts w:asciiTheme="minorHAnsi" w:hAnsiTheme="minorHAnsi" w:cstheme="minorHAnsi"/>
            <w:sz w:val="22"/>
            <w:szCs w:val="22"/>
          </w:rPr>
          <w:t>https://www.cpp.edu/~collins/partners/outlook-conference/documents/PKFConsulting.pdf</w:t>
        </w:r>
      </w:hyperlink>
    </w:p>
    <w:p w14:paraId="7D56D465" w14:textId="77777777" w:rsidR="000149A3" w:rsidRPr="00BC2862" w:rsidRDefault="000149A3" w:rsidP="00FA14C1">
      <w:pPr>
        <w:pStyle w:val="EndnoteText"/>
        <w:rPr>
          <w:rFonts w:asciiTheme="minorHAnsi" w:hAnsiTheme="minorHAnsi" w:cstheme="minorHAnsi"/>
          <w:sz w:val="22"/>
          <w:szCs w:val="22"/>
        </w:rPr>
      </w:pPr>
    </w:p>
  </w:endnote>
  <w:endnote w:id="2">
    <w:p w14:paraId="7D56D466" w14:textId="77777777" w:rsidR="000149A3" w:rsidRPr="00BC2862" w:rsidRDefault="000149A3" w:rsidP="00FA14C1">
      <w:pPr>
        <w:tabs>
          <w:tab w:val="left" w:pos="720"/>
        </w:tabs>
        <w:rPr>
          <w:rFonts w:cstheme="minorHAnsi"/>
          <w:szCs w:val="22"/>
        </w:rPr>
      </w:pPr>
      <w:r w:rsidRPr="00BC2862">
        <w:rPr>
          <w:rStyle w:val="EndnoteReference"/>
          <w:rFonts w:cstheme="minorHAnsi"/>
          <w:szCs w:val="22"/>
        </w:rPr>
        <w:endnoteRef/>
      </w:r>
      <w:r w:rsidRPr="00BC2862">
        <w:rPr>
          <w:rFonts w:cstheme="minorHAnsi"/>
          <w:szCs w:val="22"/>
        </w:rPr>
        <w:t xml:space="preserve"> Planning and Management Consultants, Ltd., Aquacraft, Inc., and John Olaf Nelson Water Resources Management. For the American Water Works Association.  2000. "Commercial and Institutional End Uses of Water".    </w:t>
      </w:r>
    </w:p>
    <w:p w14:paraId="7D56D467" w14:textId="77777777" w:rsidR="000149A3" w:rsidRPr="00BC2862" w:rsidRDefault="00B36F35" w:rsidP="00FA14C1">
      <w:pPr>
        <w:tabs>
          <w:tab w:val="left" w:pos="720"/>
        </w:tabs>
        <w:rPr>
          <w:rFonts w:cstheme="minorHAnsi"/>
          <w:szCs w:val="22"/>
        </w:rPr>
      </w:pPr>
      <w:hyperlink r:id="rId2" w:history="1">
        <w:r w:rsidR="000149A3" w:rsidRPr="00BC2862">
          <w:rPr>
            <w:rStyle w:val="Hyperlink"/>
            <w:rFonts w:cstheme="minorHAnsi"/>
            <w:szCs w:val="22"/>
          </w:rPr>
          <w:t>http://www.waterrf.org/PublicReportLibrary/RFR90806_2000_241B.pdf</w:t>
        </w:r>
      </w:hyperlink>
    </w:p>
    <w:p w14:paraId="7D56D469" w14:textId="77777777" w:rsidR="000149A3" w:rsidRPr="00BC2862" w:rsidRDefault="000149A3">
      <w:pPr>
        <w:pStyle w:val="EndnoteText"/>
        <w:rPr>
          <w:rFonts w:asciiTheme="minorHAnsi" w:hAnsiTheme="minorHAnsi" w:cstheme="minorHAnsi"/>
          <w:sz w:val="22"/>
          <w:szCs w:val="22"/>
        </w:rPr>
      </w:pPr>
    </w:p>
  </w:endnote>
  <w:endnote w:id="3">
    <w:p w14:paraId="7D56D46A" w14:textId="77777777" w:rsidR="000149A3" w:rsidRPr="00BC2862" w:rsidRDefault="000149A3" w:rsidP="00FA14C1">
      <w:pPr>
        <w:tabs>
          <w:tab w:val="left" w:pos="720"/>
        </w:tabs>
        <w:rPr>
          <w:rFonts w:cstheme="minorHAnsi"/>
          <w:szCs w:val="22"/>
        </w:rPr>
      </w:pPr>
      <w:r w:rsidRPr="00BC2862">
        <w:rPr>
          <w:rStyle w:val="EndnoteReference"/>
          <w:rFonts w:cstheme="minorHAnsi"/>
          <w:szCs w:val="22"/>
        </w:rPr>
        <w:endnoteRef/>
      </w:r>
      <w:r w:rsidRPr="00BC2862">
        <w:rPr>
          <w:rFonts w:cstheme="minorHAnsi"/>
          <w:szCs w:val="22"/>
        </w:rPr>
        <w:t xml:space="preserve"> Appendix D; Table D-7 Page 5; Gleick, P., Haasz, D., Henges-Jeck, C., Srinivasan, V., Wolff, G., Cushing, K. K., et al. (2003). Waste Not, Want Not: The Potential for Urban Water Conservation in California. Pacific Institute.</w:t>
      </w:r>
    </w:p>
    <w:p w14:paraId="7D56D46B" w14:textId="77777777" w:rsidR="000149A3" w:rsidRPr="00BC2862" w:rsidRDefault="00B36F35" w:rsidP="00FA14C1">
      <w:pPr>
        <w:tabs>
          <w:tab w:val="left" w:pos="720"/>
        </w:tabs>
        <w:rPr>
          <w:rFonts w:cstheme="minorHAnsi"/>
          <w:szCs w:val="22"/>
        </w:rPr>
      </w:pPr>
      <w:hyperlink r:id="rId3" w:history="1">
        <w:r w:rsidR="000149A3" w:rsidRPr="00BC2862">
          <w:rPr>
            <w:rStyle w:val="Hyperlink"/>
            <w:rFonts w:cstheme="minorHAnsi"/>
            <w:szCs w:val="22"/>
          </w:rPr>
          <w:t>http://pacinst.org/app/uploads/2013/02/appendix_d3.pdf</w:t>
        </w:r>
      </w:hyperlink>
    </w:p>
    <w:p w14:paraId="7D56D46C" w14:textId="77777777" w:rsidR="000149A3" w:rsidRPr="00BC2862" w:rsidRDefault="000149A3">
      <w:pPr>
        <w:pStyle w:val="EndnoteText"/>
        <w:rPr>
          <w:rFonts w:asciiTheme="minorHAnsi" w:hAnsiTheme="minorHAnsi" w:cstheme="minorHAnsi"/>
          <w:sz w:val="22"/>
          <w:szCs w:val="22"/>
        </w:rPr>
      </w:pPr>
    </w:p>
  </w:endnote>
  <w:endnote w:id="4">
    <w:p w14:paraId="7D56D46F" w14:textId="77777777" w:rsidR="000149A3" w:rsidRPr="00BC2862" w:rsidRDefault="000149A3">
      <w:pPr>
        <w:pStyle w:val="EndnoteText"/>
        <w:rPr>
          <w:rFonts w:asciiTheme="minorHAnsi" w:hAnsiTheme="minorHAnsi" w:cstheme="minorHAnsi"/>
          <w:sz w:val="22"/>
          <w:szCs w:val="22"/>
        </w:rPr>
      </w:pPr>
      <w:r w:rsidRPr="00BC2862">
        <w:rPr>
          <w:rStyle w:val="EndnoteReference"/>
          <w:rFonts w:asciiTheme="minorHAnsi" w:hAnsiTheme="minorHAnsi" w:cstheme="minorHAnsi"/>
          <w:sz w:val="22"/>
          <w:szCs w:val="22"/>
        </w:rPr>
        <w:endnoteRef/>
      </w:r>
      <w:r w:rsidRPr="00BC2862">
        <w:rPr>
          <w:rFonts w:asciiTheme="minorHAnsi" w:hAnsiTheme="minorHAnsi" w:cstheme="minorHAnsi"/>
          <w:sz w:val="22"/>
          <w:szCs w:val="22"/>
        </w:rPr>
        <w:t xml:space="preserve"> Table PBA1. COMMERCIAL BUILDINGS ENERGY CONSUMPTION SURVEY (CBECS); </w:t>
      </w:r>
      <w:hyperlink r:id="rId4" w:history="1">
        <w:r w:rsidRPr="00BC2862">
          <w:rPr>
            <w:rStyle w:val="Hyperlink"/>
            <w:rFonts w:asciiTheme="minorHAnsi" w:hAnsiTheme="minorHAnsi" w:cstheme="minorHAnsi"/>
            <w:sz w:val="22"/>
            <w:szCs w:val="22"/>
          </w:rPr>
          <w:t>http://www.eia.gov/consumption/commercial/data/2012/bc/cfm/pba1.php</w:t>
        </w:r>
      </w:hyperlink>
    </w:p>
    <w:p w14:paraId="7D56D470" w14:textId="77777777" w:rsidR="000149A3" w:rsidRDefault="000149A3">
      <w:pPr>
        <w:pStyle w:val="EndnoteText"/>
      </w:pPr>
    </w:p>
    <w:p w14:paraId="7D56D471" w14:textId="77777777" w:rsidR="000149A3" w:rsidRPr="00451542" w:rsidRDefault="000149A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6D45C" w14:textId="17360246" w:rsidR="000149A3" w:rsidRDefault="00B36F35" w:rsidP="00F571A6">
    <w:pPr>
      <w:pStyle w:val="Footer"/>
      <w:jc w:val="right"/>
      <w:rPr>
        <w:rFonts w:cstheme="minorHAnsi"/>
        <w:b/>
        <w:sz w:val="36"/>
        <w:szCs w:val="36"/>
      </w:rPr>
    </w:pPr>
    <w:sdt>
      <w:sdtPr>
        <w:rPr>
          <w:rFonts w:cstheme="minorHAnsi"/>
          <w:b/>
          <w:sz w:val="36"/>
          <w:szCs w:val="36"/>
        </w:rPr>
        <w:alias w:val="Date"/>
        <w:tag w:val=""/>
        <w:id w:val="-2004120563"/>
        <w:dataBinding w:prefixMappings="xmlns:ns0='http://schemas.microsoft.com/office/2006/coverPageProps' " w:xpath="/ns0:CoverPageProperties[1]/ns0:PublishDate[1]" w:storeItemID="{55AF091B-3C7A-41E3-B477-F2FDAA23CFDA}"/>
        <w:date w:fullDate="2017-12-21T00:00:00Z">
          <w:dateFormat w:val="MMMM d, yyyy"/>
          <w:lid w:val="en-US"/>
          <w:storeMappedDataAs w:val="dateTime"/>
          <w:calendar w:val="gregorian"/>
        </w:date>
      </w:sdtPr>
      <w:sdtEndPr/>
      <w:sdtContent>
        <w:r w:rsidR="008E14C1">
          <w:rPr>
            <w:rFonts w:cstheme="minorHAnsi"/>
            <w:b/>
            <w:sz w:val="36"/>
            <w:szCs w:val="36"/>
          </w:rPr>
          <w:t>December 21, 2017</w:t>
        </w:r>
      </w:sdtContent>
    </w:sdt>
  </w:p>
  <w:p w14:paraId="7D56D45D" w14:textId="77777777" w:rsidR="000149A3" w:rsidRPr="009500DC" w:rsidRDefault="000149A3"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6D45E" w14:textId="63D7ACA6" w:rsidR="000149A3" w:rsidRPr="009500DC" w:rsidRDefault="00B36F35"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0149A3">
          <w:rPr>
            <w:rFonts w:cstheme="minorHAnsi"/>
            <w:b/>
            <w:sz w:val="20"/>
            <w:szCs w:val="20"/>
          </w:rPr>
          <w:t>WPSCGNRWH170412A</w:t>
        </w:r>
      </w:sdtContent>
    </w:sdt>
    <w:r w:rsidR="000149A3">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0149A3">
          <w:rPr>
            <w:rFonts w:cstheme="minorHAnsi"/>
            <w:b/>
            <w:sz w:val="20"/>
            <w:szCs w:val="20"/>
          </w:rPr>
          <w:t>Revision 1</w:t>
        </w:r>
      </w:sdtContent>
    </w:sdt>
    <w:r w:rsidR="000149A3" w:rsidRPr="009500DC">
      <w:rPr>
        <w:rFonts w:cstheme="minorHAnsi"/>
        <w:b/>
        <w:sz w:val="20"/>
        <w:szCs w:val="20"/>
      </w:rPr>
      <w:tab/>
    </w:r>
    <w:r w:rsidR="000149A3" w:rsidRPr="009500DC">
      <w:rPr>
        <w:rFonts w:cstheme="minorHAnsi"/>
        <w:b/>
        <w:sz w:val="20"/>
        <w:szCs w:val="20"/>
      </w:rPr>
      <w:fldChar w:fldCharType="begin"/>
    </w:r>
    <w:r w:rsidR="000149A3" w:rsidRPr="009500DC">
      <w:rPr>
        <w:rFonts w:cstheme="minorHAnsi"/>
        <w:b/>
        <w:sz w:val="20"/>
        <w:szCs w:val="20"/>
      </w:rPr>
      <w:instrText xml:space="preserve"> PAGE   \* MERGEFORMAT </w:instrText>
    </w:r>
    <w:r w:rsidR="000149A3" w:rsidRPr="009500DC">
      <w:rPr>
        <w:rFonts w:cstheme="minorHAnsi"/>
        <w:b/>
        <w:sz w:val="20"/>
        <w:szCs w:val="20"/>
      </w:rPr>
      <w:fldChar w:fldCharType="separate"/>
    </w:r>
    <w:r>
      <w:rPr>
        <w:rFonts w:cstheme="minorHAnsi"/>
        <w:b/>
        <w:noProof/>
        <w:sz w:val="20"/>
        <w:szCs w:val="20"/>
      </w:rPr>
      <w:t>2</w:t>
    </w:r>
    <w:r w:rsidR="000149A3" w:rsidRPr="009500DC">
      <w:rPr>
        <w:rFonts w:cstheme="minorHAnsi"/>
        <w:b/>
        <w:noProof/>
        <w:sz w:val="20"/>
        <w:szCs w:val="20"/>
      </w:rPr>
      <w:fldChar w:fldCharType="end"/>
    </w:r>
    <w:r w:rsidR="000149A3"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2-21T00:00:00Z">
          <w:dateFormat w:val="MMMM d, yyyy"/>
          <w:lid w:val="en-US"/>
          <w:storeMappedDataAs w:val="dateTime"/>
          <w:calendar w:val="gregorian"/>
        </w:date>
      </w:sdtPr>
      <w:sdtEndPr/>
      <w:sdtContent>
        <w:r w:rsidR="008E14C1">
          <w:rPr>
            <w:rFonts w:cstheme="minorHAnsi"/>
            <w:b/>
            <w:sz w:val="20"/>
            <w:szCs w:val="20"/>
          </w:rPr>
          <w:t>December 21, 2017</w:t>
        </w:r>
      </w:sdtContent>
    </w:sdt>
  </w:p>
  <w:p w14:paraId="7D56D45F" w14:textId="77777777" w:rsidR="000149A3" w:rsidRPr="009500DC" w:rsidRDefault="00B36F35"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0149A3">
          <w:rPr>
            <w:rFonts w:cstheme="minorHAnsi"/>
            <w:b/>
            <w:sz w:val="20"/>
            <w:szCs w:val="20"/>
          </w:rPr>
          <w:t>Southern California Gas Company</w:t>
        </w:r>
      </w:sdtContent>
    </w:sdt>
  </w:p>
  <w:p w14:paraId="7D56D460" w14:textId="77777777" w:rsidR="000149A3" w:rsidRDefault="000149A3"/>
  <w:p w14:paraId="7D56D461" w14:textId="77777777" w:rsidR="000149A3" w:rsidRDefault="000149A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C5749" w14:textId="77777777" w:rsidR="000149A3" w:rsidRDefault="000149A3" w:rsidP="00447D6E">
      <w:r>
        <w:separator/>
      </w:r>
    </w:p>
    <w:p w14:paraId="1ECD5374" w14:textId="77777777" w:rsidR="000149A3" w:rsidRDefault="000149A3"/>
  </w:footnote>
  <w:footnote w:type="continuationSeparator" w:id="0">
    <w:p w14:paraId="20D5323E" w14:textId="77777777" w:rsidR="000149A3" w:rsidRDefault="000149A3" w:rsidP="00447D6E">
      <w:r>
        <w:continuationSeparator/>
      </w:r>
    </w:p>
    <w:p w14:paraId="2DF535F0" w14:textId="77777777" w:rsidR="000149A3" w:rsidRDefault="000149A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3537E4"/>
    <w:multiLevelType w:val="multilevel"/>
    <w:tmpl w:val="B4AA9088"/>
    <w:lvl w:ilvl="0">
      <w:start w:val="2"/>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 w15:restartNumberingAfterBreak="0">
    <w:nsid w:val="0F2824C1"/>
    <w:multiLevelType w:val="hybridMultilevel"/>
    <w:tmpl w:val="667E8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960526"/>
    <w:multiLevelType w:val="hybridMultilevel"/>
    <w:tmpl w:val="5E16E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B65FFC"/>
    <w:multiLevelType w:val="hybridMultilevel"/>
    <w:tmpl w:val="1E32AF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E6E1466"/>
    <w:multiLevelType w:val="hybridMultilevel"/>
    <w:tmpl w:val="075CBD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28167D1"/>
    <w:multiLevelType w:val="hybridMultilevel"/>
    <w:tmpl w:val="F9DE7C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0C1AAA"/>
    <w:multiLevelType w:val="hybridMultilevel"/>
    <w:tmpl w:val="6C2688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9A71D27"/>
    <w:multiLevelType w:val="hybridMultilevel"/>
    <w:tmpl w:val="3490E2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pStyle w:val="SubsectionStyle"/>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4A10F5"/>
    <w:multiLevelType w:val="hybridMultilevel"/>
    <w:tmpl w:val="A8A084A2"/>
    <w:lvl w:ilvl="0" w:tplc="7D16587C">
      <w:numFmt w:val="bullet"/>
      <w:lvlText w:val="-"/>
      <w:lvlJc w:val="left"/>
      <w:pPr>
        <w:ind w:left="1515" w:hanging="360"/>
      </w:pPr>
      <w:rPr>
        <w:rFonts w:ascii="Times New Roman" w:eastAsia="Times New Roman" w:hAnsi="Times New Roman" w:cs="Times New Roman"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2" w15:restartNumberingAfterBreak="0">
    <w:nsid w:val="3EB55E85"/>
    <w:multiLevelType w:val="hybridMultilevel"/>
    <w:tmpl w:val="A6F20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B07C3B"/>
    <w:multiLevelType w:val="hybridMultilevel"/>
    <w:tmpl w:val="720464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CFA4F62"/>
    <w:multiLevelType w:val="hybridMultilevel"/>
    <w:tmpl w:val="515CAE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C16EA4"/>
    <w:multiLevelType w:val="hybridMultilevel"/>
    <w:tmpl w:val="A7B2F9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73A61D0"/>
    <w:multiLevelType w:val="hybridMultilevel"/>
    <w:tmpl w:val="0C240E2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7810DE8"/>
    <w:multiLevelType w:val="hybridMultilevel"/>
    <w:tmpl w:val="6DDE6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993862"/>
    <w:multiLevelType w:val="multilevel"/>
    <w:tmpl w:val="81A65BF4"/>
    <w:lvl w:ilvl="0">
      <w:start w:val="4"/>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1" w15:restartNumberingAfterBreak="0">
    <w:nsid w:val="717F597A"/>
    <w:multiLevelType w:val="hybridMultilevel"/>
    <w:tmpl w:val="CB40F266"/>
    <w:lvl w:ilvl="0" w:tplc="DBE0CFC8">
      <w:start w:val="1"/>
      <w:numFmt w:val="upperRoman"/>
      <w:pStyle w:val="Table"/>
      <w:lvlText w:val="Table %1 - "/>
      <w:lvlJc w:val="left"/>
      <w:pPr>
        <w:tabs>
          <w:tab w:val="num" w:pos="1080"/>
        </w:tabs>
        <w:ind w:left="108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4675515"/>
    <w:multiLevelType w:val="hybridMultilevel"/>
    <w:tmpl w:val="FD7877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B14786"/>
    <w:multiLevelType w:val="hybridMultilevel"/>
    <w:tmpl w:val="E74C0E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B7A445E"/>
    <w:multiLevelType w:val="hybridMultilevel"/>
    <w:tmpl w:val="16AC4530"/>
    <w:lvl w:ilvl="0" w:tplc="7D16587C">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0"/>
  </w:num>
  <w:num w:numId="2">
    <w:abstractNumId w:val="0"/>
  </w:num>
  <w:num w:numId="3">
    <w:abstractNumId w:val="16"/>
  </w:num>
  <w:num w:numId="4">
    <w:abstractNumId w:val="13"/>
  </w:num>
  <w:num w:numId="5">
    <w:abstractNumId w:val="18"/>
  </w:num>
  <w:num w:numId="6">
    <w:abstractNumId w:val="24"/>
  </w:num>
  <w:num w:numId="7">
    <w:abstractNumId w:val="21"/>
  </w:num>
  <w:num w:numId="8">
    <w:abstractNumId w:val="11"/>
  </w:num>
  <w:num w:numId="9">
    <w:abstractNumId w:val="5"/>
  </w:num>
  <w:num w:numId="10">
    <w:abstractNumId w:val="1"/>
  </w:num>
  <w:num w:numId="11">
    <w:abstractNumId w:val="20"/>
  </w:num>
  <w:num w:numId="12">
    <w:abstractNumId w:val="4"/>
  </w:num>
  <w:num w:numId="13">
    <w:abstractNumId w:val="19"/>
  </w:num>
  <w:num w:numId="14">
    <w:abstractNumId w:val="3"/>
  </w:num>
  <w:num w:numId="15">
    <w:abstractNumId w:val="15"/>
  </w:num>
  <w:num w:numId="16">
    <w:abstractNumId w:val="7"/>
  </w:num>
  <w:num w:numId="17">
    <w:abstractNumId w:val="12"/>
  </w:num>
  <w:num w:numId="18">
    <w:abstractNumId w:val="9"/>
  </w:num>
  <w:num w:numId="19">
    <w:abstractNumId w:val="10"/>
  </w:num>
  <w:num w:numId="20">
    <w:abstractNumId w:val="10"/>
  </w:num>
  <w:num w:numId="21">
    <w:abstractNumId w:val="23"/>
  </w:num>
  <w:num w:numId="22">
    <w:abstractNumId w:val="2"/>
  </w:num>
  <w:num w:numId="23">
    <w:abstractNumId w:val="22"/>
  </w:num>
  <w:num w:numId="24">
    <w:abstractNumId w:val="6"/>
  </w:num>
  <w:num w:numId="25">
    <w:abstractNumId w:val="8"/>
  </w:num>
  <w:num w:numId="26">
    <w:abstractNumId w:val="17"/>
  </w:num>
  <w:num w:numId="27">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3745"/>
    <w:rsid w:val="00004618"/>
    <w:rsid w:val="00005902"/>
    <w:rsid w:val="000076B3"/>
    <w:rsid w:val="00007B10"/>
    <w:rsid w:val="0001002B"/>
    <w:rsid w:val="00010806"/>
    <w:rsid w:val="00013F71"/>
    <w:rsid w:val="000149A3"/>
    <w:rsid w:val="000173BF"/>
    <w:rsid w:val="0002104B"/>
    <w:rsid w:val="0002148A"/>
    <w:rsid w:val="000223E9"/>
    <w:rsid w:val="00024252"/>
    <w:rsid w:val="000245B5"/>
    <w:rsid w:val="00025F1D"/>
    <w:rsid w:val="00027183"/>
    <w:rsid w:val="0003248C"/>
    <w:rsid w:val="00033EA1"/>
    <w:rsid w:val="00034926"/>
    <w:rsid w:val="00035925"/>
    <w:rsid w:val="0003746D"/>
    <w:rsid w:val="0004020F"/>
    <w:rsid w:val="0004050F"/>
    <w:rsid w:val="00041A4D"/>
    <w:rsid w:val="00041ED2"/>
    <w:rsid w:val="0004366E"/>
    <w:rsid w:val="000436CB"/>
    <w:rsid w:val="00046ED4"/>
    <w:rsid w:val="00052E17"/>
    <w:rsid w:val="0005472B"/>
    <w:rsid w:val="000552DC"/>
    <w:rsid w:val="00056947"/>
    <w:rsid w:val="00061A8E"/>
    <w:rsid w:val="00064CB3"/>
    <w:rsid w:val="00065302"/>
    <w:rsid w:val="00065383"/>
    <w:rsid w:val="00070BEE"/>
    <w:rsid w:val="00072040"/>
    <w:rsid w:val="000749A4"/>
    <w:rsid w:val="00076DF4"/>
    <w:rsid w:val="00076F51"/>
    <w:rsid w:val="00086F7F"/>
    <w:rsid w:val="00087F77"/>
    <w:rsid w:val="0009074D"/>
    <w:rsid w:val="0009592B"/>
    <w:rsid w:val="000968C6"/>
    <w:rsid w:val="00096E11"/>
    <w:rsid w:val="000A63C9"/>
    <w:rsid w:val="000A7004"/>
    <w:rsid w:val="000B3765"/>
    <w:rsid w:val="000B40BB"/>
    <w:rsid w:val="000B655B"/>
    <w:rsid w:val="000C0000"/>
    <w:rsid w:val="000C18CC"/>
    <w:rsid w:val="000C687D"/>
    <w:rsid w:val="000C7ED1"/>
    <w:rsid w:val="000D1B44"/>
    <w:rsid w:val="000D7419"/>
    <w:rsid w:val="000D789A"/>
    <w:rsid w:val="000E3597"/>
    <w:rsid w:val="000E3870"/>
    <w:rsid w:val="000E4B5F"/>
    <w:rsid w:val="000E706D"/>
    <w:rsid w:val="000F130A"/>
    <w:rsid w:val="000F2FA7"/>
    <w:rsid w:val="000F4FD8"/>
    <w:rsid w:val="000F64F0"/>
    <w:rsid w:val="00102B5D"/>
    <w:rsid w:val="00107242"/>
    <w:rsid w:val="00111CC5"/>
    <w:rsid w:val="001206F7"/>
    <w:rsid w:val="00121E2E"/>
    <w:rsid w:val="00122CA2"/>
    <w:rsid w:val="001236C1"/>
    <w:rsid w:val="00123DBA"/>
    <w:rsid w:val="00123F19"/>
    <w:rsid w:val="00126393"/>
    <w:rsid w:val="0012782E"/>
    <w:rsid w:val="00132D33"/>
    <w:rsid w:val="00133EE8"/>
    <w:rsid w:val="0013672D"/>
    <w:rsid w:val="00140B30"/>
    <w:rsid w:val="0014118A"/>
    <w:rsid w:val="0014332F"/>
    <w:rsid w:val="00144878"/>
    <w:rsid w:val="00147155"/>
    <w:rsid w:val="00153CB3"/>
    <w:rsid w:val="00154C3B"/>
    <w:rsid w:val="00156937"/>
    <w:rsid w:val="0015718D"/>
    <w:rsid w:val="00160158"/>
    <w:rsid w:val="00161E1B"/>
    <w:rsid w:val="00165357"/>
    <w:rsid w:val="001704F2"/>
    <w:rsid w:val="0017069E"/>
    <w:rsid w:val="00171274"/>
    <w:rsid w:val="001722B7"/>
    <w:rsid w:val="001727D9"/>
    <w:rsid w:val="00174BB4"/>
    <w:rsid w:val="00175597"/>
    <w:rsid w:val="00175D14"/>
    <w:rsid w:val="001811EE"/>
    <w:rsid w:val="00181CA1"/>
    <w:rsid w:val="00185AD4"/>
    <w:rsid w:val="00187DDF"/>
    <w:rsid w:val="00196A11"/>
    <w:rsid w:val="001979AF"/>
    <w:rsid w:val="001A0EB4"/>
    <w:rsid w:val="001A1A86"/>
    <w:rsid w:val="001A36FF"/>
    <w:rsid w:val="001A3B9E"/>
    <w:rsid w:val="001A3CBE"/>
    <w:rsid w:val="001A5F62"/>
    <w:rsid w:val="001A5FEA"/>
    <w:rsid w:val="001A7F1C"/>
    <w:rsid w:val="001B015E"/>
    <w:rsid w:val="001B2301"/>
    <w:rsid w:val="001B262A"/>
    <w:rsid w:val="001B40A0"/>
    <w:rsid w:val="001B618B"/>
    <w:rsid w:val="001B757B"/>
    <w:rsid w:val="001C1338"/>
    <w:rsid w:val="001C4140"/>
    <w:rsid w:val="001C5A94"/>
    <w:rsid w:val="001C783E"/>
    <w:rsid w:val="001D2317"/>
    <w:rsid w:val="001D3223"/>
    <w:rsid w:val="001D33EF"/>
    <w:rsid w:val="001D5AB3"/>
    <w:rsid w:val="001E0519"/>
    <w:rsid w:val="001E0829"/>
    <w:rsid w:val="001E1320"/>
    <w:rsid w:val="001E27A7"/>
    <w:rsid w:val="001E556A"/>
    <w:rsid w:val="001F05CE"/>
    <w:rsid w:val="001F149C"/>
    <w:rsid w:val="001F1905"/>
    <w:rsid w:val="001F4A65"/>
    <w:rsid w:val="001F649D"/>
    <w:rsid w:val="00200F21"/>
    <w:rsid w:val="00202FE3"/>
    <w:rsid w:val="00205C45"/>
    <w:rsid w:val="0021035B"/>
    <w:rsid w:val="00211045"/>
    <w:rsid w:val="00211153"/>
    <w:rsid w:val="00214E6D"/>
    <w:rsid w:val="00217CB4"/>
    <w:rsid w:val="00222695"/>
    <w:rsid w:val="002261E8"/>
    <w:rsid w:val="002262BA"/>
    <w:rsid w:val="00227220"/>
    <w:rsid w:val="00230349"/>
    <w:rsid w:val="0023254A"/>
    <w:rsid w:val="0023327C"/>
    <w:rsid w:val="002344FB"/>
    <w:rsid w:val="0023455A"/>
    <w:rsid w:val="0023615A"/>
    <w:rsid w:val="00236216"/>
    <w:rsid w:val="002405CD"/>
    <w:rsid w:val="00240B74"/>
    <w:rsid w:val="00243B62"/>
    <w:rsid w:val="00244A83"/>
    <w:rsid w:val="00245C00"/>
    <w:rsid w:val="002462F6"/>
    <w:rsid w:val="0024675B"/>
    <w:rsid w:val="002469DD"/>
    <w:rsid w:val="00247180"/>
    <w:rsid w:val="00254671"/>
    <w:rsid w:val="00255114"/>
    <w:rsid w:val="002564B0"/>
    <w:rsid w:val="00257D36"/>
    <w:rsid w:val="00262432"/>
    <w:rsid w:val="00263C1C"/>
    <w:rsid w:val="00271415"/>
    <w:rsid w:val="00274FBE"/>
    <w:rsid w:val="002762E1"/>
    <w:rsid w:val="00276615"/>
    <w:rsid w:val="00277874"/>
    <w:rsid w:val="00280A1E"/>
    <w:rsid w:val="002811BC"/>
    <w:rsid w:val="00282F5E"/>
    <w:rsid w:val="00283DE8"/>
    <w:rsid w:val="00285552"/>
    <w:rsid w:val="00285966"/>
    <w:rsid w:val="00285A0D"/>
    <w:rsid w:val="00290ED8"/>
    <w:rsid w:val="00294EC9"/>
    <w:rsid w:val="00296B49"/>
    <w:rsid w:val="00297EB2"/>
    <w:rsid w:val="002A03FC"/>
    <w:rsid w:val="002A1843"/>
    <w:rsid w:val="002A3D26"/>
    <w:rsid w:val="002A523E"/>
    <w:rsid w:val="002A647D"/>
    <w:rsid w:val="002A7F8E"/>
    <w:rsid w:val="002B1ADF"/>
    <w:rsid w:val="002B4550"/>
    <w:rsid w:val="002B46ED"/>
    <w:rsid w:val="002B4EF7"/>
    <w:rsid w:val="002B502E"/>
    <w:rsid w:val="002B657B"/>
    <w:rsid w:val="002B74CB"/>
    <w:rsid w:val="002C2853"/>
    <w:rsid w:val="002C3FBF"/>
    <w:rsid w:val="002C444C"/>
    <w:rsid w:val="002C458F"/>
    <w:rsid w:val="002C55DA"/>
    <w:rsid w:val="002C6BED"/>
    <w:rsid w:val="002C6C20"/>
    <w:rsid w:val="002C6C7A"/>
    <w:rsid w:val="002C6E9C"/>
    <w:rsid w:val="002C7975"/>
    <w:rsid w:val="002C7F78"/>
    <w:rsid w:val="002D5277"/>
    <w:rsid w:val="002D71FA"/>
    <w:rsid w:val="002D73AF"/>
    <w:rsid w:val="002E4FAD"/>
    <w:rsid w:val="002E4FD9"/>
    <w:rsid w:val="002E5766"/>
    <w:rsid w:val="002E5B58"/>
    <w:rsid w:val="002F0AA8"/>
    <w:rsid w:val="002F1437"/>
    <w:rsid w:val="002F374F"/>
    <w:rsid w:val="002F3943"/>
    <w:rsid w:val="002F4E34"/>
    <w:rsid w:val="002F6A42"/>
    <w:rsid w:val="002F79E7"/>
    <w:rsid w:val="003003EC"/>
    <w:rsid w:val="003035E3"/>
    <w:rsid w:val="0030363A"/>
    <w:rsid w:val="00303FB4"/>
    <w:rsid w:val="00305428"/>
    <w:rsid w:val="00305CFD"/>
    <w:rsid w:val="003100FA"/>
    <w:rsid w:val="00317970"/>
    <w:rsid w:val="00317B8F"/>
    <w:rsid w:val="00317EB0"/>
    <w:rsid w:val="00322BEC"/>
    <w:rsid w:val="003273C8"/>
    <w:rsid w:val="00327CDD"/>
    <w:rsid w:val="00330A1F"/>
    <w:rsid w:val="00331618"/>
    <w:rsid w:val="00332700"/>
    <w:rsid w:val="00335475"/>
    <w:rsid w:val="003358BD"/>
    <w:rsid w:val="00340F96"/>
    <w:rsid w:val="00344E88"/>
    <w:rsid w:val="00345D80"/>
    <w:rsid w:val="003471D4"/>
    <w:rsid w:val="00350BF1"/>
    <w:rsid w:val="00351841"/>
    <w:rsid w:val="00353C49"/>
    <w:rsid w:val="003540B1"/>
    <w:rsid w:val="003557E9"/>
    <w:rsid w:val="003560BA"/>
    <w:rsid w:val="003609A6"/>
    <w:rsid w:val="00360C97"/>
    <w:rsid w:val="00362A20"/>
    <w:rsid w:val="00364CC6"/>
    <w:rsid w:val="003650F6"/>
    <w:rsid w:val="0036726C"/>
    <w:rsid w:val="00367ED3"/>
    <w:rsid w:val="00373041"/>
    <w:rsid w:val="00373198"/>
    <w:rsid w:val="0037647C"/>
    <w:rsid w:val="0037719D"/>
    <w:rsid w:val="00377652"/>
    <w:rsid w:val="00377D06"/>
    <w:rsid w:val="003825CC"/>
    <w:rsid w:val="003832D2"/>
    <w:rsid w:val="003845E5"/>
    <w:rsid w:val="00391585"/>
    <w:rsid w:val="00393137"/>
    <w:rsid w:val="003940C1"/>
    <w:rsid w:val="00396292"/>
    <w:rsid w:val="0039659E"/>
    <w:rsid w:val="00396991"/>
    <w:rsid w:val="00397406"/>
    <w:rsid w:val="003A2B62"/>
    <w:rsid w:val="003A3170"/>
    <w:rsid w:val="003A360E"/>
    <w:rsid w:val="003A3919"/>
    <w:rsid w:val="003A7F46"/>
    <w:rsid w:val="003B023A"/>
    <w:rsid w:val="003B428A"/>
    <w:rsid w:val="003B51F6"/>
    <w:rsid w:val="003C0C89"/>
    <w:rsid w:val="003C26FA"/>
    <w:rsid w:val="003C3215"/>
    <w:rsid w:val="003D0156"/>
    <w:rsid w:val="003D17FF"/>
    <w:rsid w:val="003D1D24"/>
    <w:rsid w:val="003D2871"/>
    <w:rsid w:val="003D5B83"/>
    <w:rsid w:val="003E070F"/>
    <w:rsid w:val="003E51EF"/>
    <w:rsid w:val="003E528F"/>
    <w:rsid w:val="003E677E"/>
    <w:rsid w:val="003E6E47"/>
    <w:rsid w:val="003F0623"/>
    <w:rsid w:val="003F33DE"/>
    <w:rsid w:val="003F3A41"/>
    <w:rsid w:val="003F5BE4"/>
    <w:rsid w:val="003F67E9"/>
    <w:rsid w:val="00401031"/>
    <w:rsid w:val="004010B0"/>
    <w:rsid w:val="004023B7"/>
    <w:rsid w:val="00403079"/>
    <w:rsid w:val="004045A0"/>
    <w:rsid w:val="00406F27"/>
    <w:rsid w:val="00413CDB"/>
    <w:rsid w:val="004145FA"/>
    <w:rsid w:val="00415B61"/>
    <w:rsid w:val="004200FE"/>
    <w:rsid w:val="00421183"/>
    <w:rsid w:val="00421BA6"/>
    <w:rsid w:val="00421C17"/>
    <w:rsid w:val="00422F92"/>
    <w:rsid w:val="00425000"/>
    <w:rsid w:val="00425499"/>
    <w:rsid w:val="00426CDE"/>
    <w:rsid w:val="00433EA1"/>
    <w:rsid w:val="00434C3D"/>
    <w:rsid w:val="00440191"/>
    <w:rsid w:val="004413BE"/>
    <w:rsid w:val="00441957"/>
    <w:rsid w:val="00443D32"/>
    <w:rsid w:val="00443F7D"/>
    <w:rsid w:val="004443CD"/>
    <w:rsid w:val="004469DD"/>
    <w:rsid w:val="004474D0"/>
    <w:rsid w:val="004476B2"/>
    <w:rsid w:val="00447CE5"/>
    <w:rsid w:val="00447D6E"/>
    <w:rsid w:val="0045048F"/>
    <w:rsid w:val="00451542"/>
    <w:rsid w:val="0045181B"/>
    <w:rsid w:val="00452133"/>
    <w:rsid w:val="00452382"/>
    <w:rsid w:val="00452C7A"/>
    <w:rsid w:val="00456A34"/>
    <w:rsid w:val="00456B53"/>
    <w:rsid w:val="0046286E"/>
    <w:rsid w:val="00463D86"/>
    <w:rsid w:val="004642CC"/>
    <w:rsid w:val="00466E83"/>
    <w:rsid w:val="004673A2"/>
    <w:rsid w:val="00471234"/>
    <w:rsid w:val="004721BD"/>
    <w:rsid w:val="00472250"/>
    <w:rsid w:val="0047437C"/>
    <w:rsid w:val="00476D60"/>
    <w:rsid w:val="00477522"/>
    <w:rsid w:val="00480E7B"/>
    <w:rsid w:val="00482AF4"/>
    <w:rsid w:val="004843E5"/>
    <w:rsid w:val="00484BF6"/>
    <w:rsid w:val="0049052C"/>
    <w:rsid w:val="00493457"/>
    <w:rsid w:val="00494628"/>
    <w:rsid w:val="0049566B"/>
    <w:rsid w:val="00495E3F"/>
    <w:rsid w:val="00497338"/>
    <w:rsid w:val="004A1650"/>
    <w:rsid w:val="004A2B01"/>
    <w:rsid w:val="004A43B9"/>
    <w:rsid w:val="004A7A40"/>
    <w:rsid w:val="004B1184"/>
    <w:rsid w:val="004B4A3A"/>
    <w:rsid w:val="004B5CE5"/>
    <w:rsid w:val="004B750E"/>
    <w:rsid w:val="004C2244"/>
    <w:rsid w:val="004C23F1"/>
    <w:rsid w:val="004C589B"/>
    <w:rsid w:val="004C6844"/>
    <w:rsid w:val="004D069A"/>
    <w:rsid w:val="004D4E1A"/>
    <w:rsid w:val="004D6E2C"/>
    <w:rsid w:val="004E01F5"/>
    <w:rsid w:val="004E09EE"/>
    <w:rsid w:val="004E297E"/>
    <w:rsid w:val="004E2EE4"/>
    <w:rsid w:val="004E3442"/>
    <w:rsid w:val="004E5A74"/>
    <w:rsid w:val="004E76CA"/>
    <w:rsid w:val="004F1698"/>
    <w:rsid w:val="004F55CC"/>
    <w:rsid w:val="004F7968"/>
    <w:rsid w:val="00500C4E"/>
    <w:rsid w:val="00505CEC"/>
    <w:rsid w:val="00507D0E"/>
    <w:rsid w:val="0051020F"/>
    <w:rsid w:val="00513CAB"/>
    <w:rsid w:val="00516CF5"/>
    <w:rsid w:val="0052051C"/>
    <w:rsid w:val="005221AD"/>
    <w:rsid w:val="00523597"/>
    <w:rsid w:val="00523736"/>
    <w:rsid w:val="00524BA4"/>
    <w:rsid w:val="00525C85"/>
    <w:rsid w:val="00526B72"/>
    <w:rsid w:val="00530E19"/>
    <w:rsid w:val="005324C5"/>
    <w:rsid w:val="00532530"/>
    <w:rsid w:val="00533119"/>
    <w:rsid w:val="0053402D"/>
    <w:rsid w:val="00535CA4"/>
    <w:rsid w:val="005436F9"/>
    <w:rsid w:val="005476F6"/>
    <w:rsid w:val="00551D72"/>
    <w:rsid w:val="005540B6"/>
    <w:rsid w:val="00554197"/>
    <w:rsid w:val="005552C3"/>
    <w:rsid w:val="00560934"/>
    <w:rsid w:val="00563258"/>
    <w:rsid w:val="00563316"/>
    <w:rsid w:val="00563E58"/>
    <w:rsid w:val="00564960"/>
    <w:rsid w:val="005649F7"/>
    <w:rsid w:val="00570654"/>
    <w:rsid w:val="00570F38"/>
    <w:rsid w:val="0057166C"/>
    <w:rsid w:val="00572099"/>
    <w:rsid w:val="005720F2"/>
    <w:rsid w:val="00572895"/>
    <w:rsid w:val="005729C8"/>
    <w:rsid w:val="00572D2F"/>
    <w:rsid w:val="005734A4"/>
    <w:rsid w:val="0057673D"/>
    <w:rsid w:val="005918C3"/>
    <w:rsid w:val="00592115"/>
    <w:rsid w:val="005941D1"/>
    <w:rsid w:val="005944FE"/>
    <w:rsid w:val="00594A10"/>
    <w:rsid w:val="00594EF5"/>
    <w:rsid w:val="00595EBC"/>
    <w:rsid w:val="00596C22"/>
    <w:rsid w:val="005A0116"/>
    <w:rsid w:val="005A0E53"/>
    <w:rsid w:val="005A1078"/>
    <w:rsid w:val="005A1F21"/>
    <w:rsid w:val="005A4658"/>
    <w:rsid w:val="005A496B"/>
    <w:rsid w:val="005B28C1"/>
    <w:rsid w:val="005B6344"/>
    <w:rsid w:val="005B6D83"/>
    <w:rsid w:val="005B7EBF"/>
    <w:rsid w:val="005C0E0A"/>
    <w:rsid w:val="005C1C74"/>
    <w:rsid w:val="005C289C"/>
    <w:rsid w:val="005C2E48"/>
    <w:rsid w:val="005C3F23"/>
    <w:rsid w:val="005C50BE"/>
    <w:rsid w:val="005D0162"/>
    <w:rsid w:val="005D0DFB"/>
    <w:rsid w:val="005D4DD7"/>
    <w:rsid w:val="005D5FBF"/>
    <w:rsid w:val="005E12A9"/>
    <w:rsid w:val="005E2DD9"/>
    <w:rsid w:val="005E3CA2"/>
    <w:rsid w:val="005E489F"/>
    <w:rsid w:val="005E60BE"/>
    <w:rsid w:val="005E7146"/>
    <w:rsid w:val="005F139E"/>
    <w:rsid w:val="005F58AD"/>
    <w:rsid w:val="005F5A81"/>
    <w:rsid w:val="005F69D5"/>
    <w:rsid w:val="0060077D"/>
    <w:rsid w:val="00601CB9"/>
    <w:rsid w:val="00602799"/>
    <w:rsid w:val="00602F18"/>
    <w:rsid w:val="00603B47"/>
    <w:rsid w:val="00607C30"/>
    <w:rsid w:val="00610038"/>
    <w:rsid w:val="006110F3"/>
    <w:rsid w:val="00612041"/>
    <w:rsid w:val="0061365B"/>
    <w:rsid w:val="00614AFF"/>
    <w:rsid w:val="00621ABA"/>
    <w:rsid w:val="00621E84"/>
    <w:rsid w:val="0062242A"/>
    <w:rsid w:val="0062322A"/>
    <w:rsid w:val="00627E81"/>
    <w:rsid w:val="00631157"/>
    <w:rsid w:val="006404E6"/>
    <w:rsid w:val="00644DE2"/>
    <w:rsid w:val="0064680F"/>
    <w:rsid w:val="0064729D"/>
    <w:rsid w:val="00647ABE"/>
    <w:rsid w:val="006516BA"/>
    <w:rsid w:val="006572FF"/>
    <w:rsid w:val="00664B05"/>
    <w:rsid w:val="00665C04"/>
    <w:rsid w:val="0066682D"/>
    <w:rsid w:val="006704A5"/>
    <w:rsid w:val="006731E5"/>
    <w:rsid w:val="00674211"/>
    <w:rsid w:val="006746FE"/>
    <w:rsid w:val="00676E9F"/>
    <w:rsid w:val="00680934"/>
    <w:rsid w:val="006809D6"/>
    <w:rsid w:val="00681EB8"/>
    <w:rsid w:val="006847E8"/>
    <w:rsid w:val="00685D5C"/>
    <w:rsid w:val="00686EAE"/>
    <w:rsid w:val="00691025"/>
    <w:rsid w:val="0069264D"/>
    <w:rsid w:val="0069578B"/>
    <w:rsid w:val="006964B5"/>
    <w:rsid w:val="00697868"/>
    <w:rsid w:val="006A055F"/>
    <w:rsid w:val="006A126F"/>
    <w:rsid w:val="006A14E9"/>
    <w:rsid w:val="006A1C1E"/>
    <w:rsid w:val="006A2A65"/>
    <w:rsid w:val="006A5293"/>
    <w:rsid w:val="006A64AE"/>
    <w:rsid w:val="006A67E4"/>
    <w:rsid w:val="006A6D15"/>
    <w:rsid w:val="006B0C83"/>
    <w:rsid w:val="006B0DF3"/>
    <w:rsid w:val="006B0F11"/>
    <w:rsid w:val="006B27FA"/>
    <w:rsid w:val="006B2E2B"/>
    <w:rsid w:val="006B4A48"/>
    <w:rsid w:val="006C2C55"/>
    <w:rsid w:val="006C430A"/>
    <w:rsid w:val="006D2809"/>
    <w:rsid w:val="006D2970"/>
    <w:rsid w:val="006D69D9"/>
    <w:rsid w:val="006D6A2B"/>
    <w:rsid w:val="006E27A3"/>
    <w:rsid w:val="006E2FF7"/>
    <w:rsid w:val="006E3342"/>
    <w:rsid w:val="006E4B12"/>
    <w:rsid w:val="006E65D0"/>
    <w:rsid w:val="006F08AD"/>
    <w:rsid w:val="006F11A9"/>
    <w:rsid w:val="006F1B21"/>
    <w:rsid w:val="006F1DD6"/>
    <w:rsid w:val="006F21E8"/>
    <w:rsid w:val="006F2F81"/>
    <w:rsid w:val="006F2FC1"/>
    <w:rsid w:val="006F34F2"/>
    <w:rsid w:val="006F4159"/>
    <w:rsid w:val="006F596E"/>
    <w:rsid w:val="006F69AC"/>
    <w:rsid w:val="006F78D5"/>
    <w:rsid w:val="0070091B"/>
    <w:rsid w:val="00703478"/>
    <w:rsid w:val="007048AC"/>
    <w:rsid w:val="00705044"/>
    <w:rsid w:val="00706E0A"/>
    <w:rsid w:val="007127C6"/>
    <w:rsid w:val="0071411B"/>
    <w:rsid w:val="00715795"/>
    <w:rsid w:val="00715888"/>
    <w:rsid w:val="007218E7"/>
    <w:rsid w:val="00721C34"/>
    <w:rsid w:val="00726338"/>
    <w:rsid w:val="00726AD5"/>
    <w:rsid w:val="0073170E"/>
    <w:rsid w:val="00731B96"/>
    <w:rsid w:val="007338FA"/>
    <w:rsid w:val="00733C7D"/>
    <w:rsid w:val="00740761"/>
    <w:rsid w:val="00745F77"/>
    <w:rsid w:val="007464DE"/>
    <w:rsid w:val="00747FD7"/>
    <w:rsid w:val="00750337"/>
    <w:rsid w:val="0075061F"/>
    <w:rsid w:val="0075066F"/>
    <w:rsid w:val="007529EA"/>
    <w:rsid w:val="00755A45"/>
    <w:rsid w:val="00760CDC"/>
    <w:rsid w:val="00764D0D"/>
    <w:rsid w:val="00764E8C"/>
    <w:rsid w:val="00767753"/>
    <w:rsid w:val="007720FB"/>
    <w:rsid w:val="00774CF4"/>
    <w:rsid w:val="00777C53"/>
    <w:rsid w:val="00784F28"/>
    <w:rsid w:val="00785546"/>
    <w:rsid w:val="00786E92"/>
    <w:rsid w:val="007933F1"/>
    <w:rsid w:val="00794064"/>
    <w:rsid w:val="007961FC"/>
    <w:rsid w:val="00796DD0"/>
    <w:rsid w:val="007975F2"/>
    <w:rsid w:val="007A0195"/>
    <w:rsid w:val="007A0BBD"/>
    <w:rsid w:val="007A162E"/>
    <w:rsid w:val="007A4BCB"/>
    <w:rsid w:val="007A5F52"/>
    <w:rsid w:val="007B090A"/>
    <w:rsid w:val="007B361B"/>
    <w:rsid w:val="007B557D"/>
    <w:rsid w:val="007C481E"/>
    <w:rsid w:val="007C567C"/>
    <w:rsid w:val="007D0FCA"/>
    <w:rsid w:val="007D11A0"/>
    <w:rsid w:val="007D211C"/>
    <w:rsid w:val="007D5276"/>
    <w:rsid w:val="007D7350"/>
    <w:rsid w:val="007D7799"/>
    <w:rsid w:val="007E0800"/>
    <w:rsid w:val="007E1F65"/>
    <w:rsid w:val="007E2521"/>
    <w:rsid w:val="007E37F5"/>
    <w:rsid w:val="007E43F8"/>
    <w:rsid w:val="007E5076"/>
    <w:rsid w:val="007E5D85"/>
    <w:rsid w:val="007E656B"/>
    <w:rsid w:val="007F2997"/>
    <w:rsid w:val="007F50E8"/>
    <w:rsid w:val="007F54E2"/>
    <w:rsid w:val="007F7BAF"/>
    <w:rsid w:val="007F7FBA"/>
    <w:rsid w:val="008000F7"/>
    <w:rsid w:val="00800319"/>
    <w:rsid w:val="0080044E"/>
    <w:rsid w:val="00800706"/>
    <w:rsid w:val="0080094C"/>
    <w:rsid w:val="0080189A"/>
    <w:rsid w:val="00801960"/>
    <w:rsid w:val="00801E72"/>
    <w:rsid w:val="00801F7F"/>
    <w:rsid w:val="00802181"/>
    <w:rsid w:val="00802623"/>
    <w:rsid w:val="00803C2B"/>
    <w:rsid w:val="0080568D"/>
    <w:rsid w:val="00806882"/>
    <w:rsid w:val="00811945"/>
    <w:rsid w:val="00815C89"/>
    <w:rsid w:val="00817D27"/>
    <w:rsid w:val="00824F1C"/>
    <w:rsid w:val="00825C17"/>
    <w:rsid w:val="00826688"/>
    <w:rsid w:val="0083369B"/>
    <w:rsid w:val="00835D38"/>
    <w:rsid w:val="00840BE5"/>
    <w:rsid w:val="00843A62"/>
    <w:rsid w:val="00845141"/>
    <w:rsid w:val="00847A4E"/>
    <w:rsid w:val="008503D1"/>
    <w:rsid w:val="008531CA"/>
    <w:rsid w:val="008557D6"/>
    <w:rsid w:val="00860B34"/>
    <w:rsid w:val="00871D79"/>
    <w:rsid w:val="0087393E"/>
    <w:rsid w:val="00876EFE"/>
    <w:rsid w:val="00876F4A"/>
    <w:rsid w:val="0088119C"/>
    <w:rsid w:val="00881A42"/>
    <w:rsid w:val="00882386"/>
    <w:rsid w:val="0088361D"/>
    <w:rsid w:val="00883660"/>
    <w:rsid w:val="00885811"/>
    <w:rsid w:val="00885E0A"/>
    <w:rsid w:val="0088603B"/>
    <w:rsid w:val="008877AF"/>
    <w:rsid w:val="00893FC3"/>
    <w:rsid w:val="0089577B"/>
    <w:rsid w:val="008960BB"/>
    <w:rsid w:val="0089760C"/>
    <w:rsid w:val="008A0A70"/>
    <w:rsid w:val="008A25F3"/>
    <w:rsid w:val="008A2CC4"/>
    <w:rsid w:val="008A6D17"/>
    <w:rsid w:val="008B1024"/>
    <w:rsid w:val="008B1357"/>
    <w:rsid w:val="008B2DF3"/>
    <w:rsid w:val="008B615C"/>
    <w:rsid w:val="008B738D"/>
    <w:rsid w:val="008B7C1D"/>
    <w:rsid w:val="008C133A"/>
    <w:rsid w:val="008C2E0E"/>
    <w:rsid w:val="008C3498"/>
    <w:rsid w:val="008C4DE0"/>
    <w:rsid w:val="008C6851"/>
    <w:rsid w:val="008C68CC"/>
    <w:rsid w:val="008D0B8C"/>
    <w:rsid w:val="008D27BC"/>
    <w:rsid w:val="008D3930"/>
    <w:rsid w:val="008D67F9"/>
    <w:rsid w:val="008E14C1"/>
    <w:rsid w:val="008E17CC"/>
    <w:rsid w:val="008E25B1"/>
    <w:rsid w:val="008E407B"/>
    <w:rsid w:val="008E56FB"/>
    <w:rsid w:val="008F0533"/>
    <w:rsid w:val="008F2167"/>
    <w:rsid w:val="008F33B4"/>
    <w:rsid w:val="008F3B39"/>
    <w:rsid w:val="008F6298"/>
    <w:rsid w:val="008F70D0"/>
    <w:rsid w:val="008F7F24"/>
    <w:rsid w:val="0090077A"/>
    <w:rsid w:val="00900F47"/>
    <w:rsid w:val="00904ADA"/>
    <w:rsid w:val="00907697"/>
    <w:rsid w:val="00910A69"/>
    <w:rsid w:val="009130EF"/>
    <w:rsid w:val="009138A0"/>
    <w:rsid w:val="0091424C"/>
    <w:rsid w:val="00917DE4"/>
    <w:rsid w:val="00920905"/>
    <w:rsid w:val="00922B85"/>
    <w:rsid w:val="00924448"/>
    <w:rsid w:val="00930CDC"/>
    <w:rsid w:val="00931E45"/>
    <w:rsid w:val="00933188"/>
    <w:rsid w:val="00934792"/>
    <w:rsid w:val="00935688"/>
    <w:rsid w:val="00935AF9"/>
    <w:rsid w:val="009403A5"/>
    <w:rsid w:val="00943281"/>
    <w:rsid w:val="00946FE2"/>
    <w:rsid w:val="009500DC"/>
    <w:rsid w:val="00951923"/>
    <w:rsid w:val="00956E94"/>
    <w:rsid w:val="009627ED"/>
    <w:rsid w:val="0096537A"/>
    <w:rsid w:val="0096723B"/>
    <w:rsid w:val="00972297"/>
    <w:rsid w:val="00972464"/>
    <w:rsid w:val="00972C81"/>
    <w:rsid w:val="00977454"/>
    <w:rsid w:val="009824E9"/>
    <w:rsid w:val="009826E5"/>
    <w:rsid w:val="009844A1"/>
    <w:rsid w:val="00986E20"/>
    <w:rsid w:val="00991266"/>
    <w:rsid w:val="00992B91"/>
    <w:rsid w:val="00993C8A"/>
    <w:rsid w:val="00995479"/>
    <w:rsid w:val="00995CB0"/>
    <w:rsid w:val="00997E77"/>
    <w:rsid w:val="009A11AF"/>
    <w:rsid w:val="009A2734"/>
    <w:rsid w:val="009B2A02"/>
    <w:rsid w:val="009B2B61"/>
    <w:rsid w:val="009B3C2E"/>
    <w:rsid w:val="009B5B7B"/>
    <w:rsid w:val="009C0B71"/>
    <w:rsid w:val="009C1777"/>
    <w:rsid w:val="009C2C86"/>
    <w:rsid w:val="009C2DBA"/>
    <w:rsid w:val="009C616A"/>
    <w:rsid w:val="009C6FE0"/>
    <w:rsid w:val="009D0753"/>
    <w:rsid w:val="009D10A4"/>
    <w:rsid w:val="009D1C6C"/>
    <w:rsid w:val="009D5131"/>
    <w:rsid w:val="009D6A26"/>
    <w:rsid w:val="009D6F71"/>
    <w:rsid w:val="009E1802"/>
    <w:rsid w:val="009E1CDE"/>
    <w:rsid w:val="009E2B06"/>
    <w:rsid w:val="009E3829"/>
    <w:rsid w:val="009E51E2"/>
    <w:rsid w:val="009E6BAB"/>
    <w:rsid w:val="009F0828"/>
    <w:rsid w:val="009F5E3C"/>
    <w:rsid w:val="009F7A61"/>
    <w:rsid w:val="009F7C8F"/>
    <w:rsid w:val="00A07A43"/>
    <w:rsid w:val="00A1007C"/>
    <w:rsid w:val="00A11800"/>
    <w:rsid w:val="00A11C16"/>
    <w:rsid w:val="00A1423E"/>
    <w:rsid w:val="00A17664"/>
    <w:rsid w:val="00A17D9D"/>
    <w:rsid w:val="00A201E5"/>
    <w:rsid w:val="00A20FAF"/>
    <w:rsid w:val="00A24520"/>
    <w:rsid w:val="00A3164A"/>
    <w:rsid w:val="00A36F12"/>
    <w:rsid w:val="00A37F42"/>
    <w:rsid w:val="00A4106D"/>
    <w:rsid w:val="00A438D1"/>
    <w:rsid w:val="00A4411F"/>
    <w:rsid w:val="00A466B6"/>
    <w:rsid w:val="00A46B24"/>
    <w:rsid w:val="00A46B70"/>
    <w:rsid w:val="00A500D6"/>
    <w:rsid w:val="00A50CF1"/>
    <w:rsid w:val="00A523FF"/>
    <w:rsid w:val="00A54756"/>
    <w:rsid w:val="00A54C66"/>
    <w:rsid w:val="00A57D36"/>
    <w:rsid w:val="00A61BB6"/>
    <w:rsid w:val="00A64BD0"/>
    <w:rsid w:val="00A64FF3"/>
    <w:rsid w:val="00A65734"/>
    <w:rsid w:val="00A6687F"/>
    <w:rsid w:val="00A67907"/>
    <w:rsid w:val="00A73CC1"/>
    <w:rsid w:val="00A774D1"/>
    <w:rsid w:val="00A80270"/>
    <w:rsid w:val="00A82DB1"/>
    <w:rsid w:val="00A8379E"/>
    <w:rsid w:val="00A84127"/>
    <w:rsid w:val="00A86DA2"/>
    <w:rsid w:val="00A90DFC"/>
    <w:rsid w:val="00A91BF3"/>
    <w:rsid w:val="00A94BD5"/>
    <w:rsid w:val="00A97A2B"/>
    <w:rsid w:val="00AA0A9C"/>
    <w:rsid w:val="00AA16C0"/>
    <w:rsid w:val="00AA4CDC"/>
    <w:rsid w:val="00AB1B92"/>
    <w:rsid w:val="00AB21D4"/>
    <w:rsid w:val="00AB21F5"/>
    <w:rsid w:val="00AB3386"/>
    <w:rsid w:val="00AB36DB"/>
    <w:rsid w:val="00AB77FA"/>
    <w:rsid w:val="00AC0B1D"/>
    <w:rsid w:val="00AC2F5B"/>
    <w:rsid w:val="00AC3DAD"/>
    <w:rsid w:val="00AC5309"/>
    <w:rsid w:val="00AC5B97"/>
    <w:rsid w:val="00AC5CC7"/>
    <w:rsid w:val="00AC6C54"/>
    <w:rsid w:val="00AC7538"/>
    <w:rsid w:val="00AD0FA2"/>
    <w:rsid w:val="00AD4DD0"/>
    <w:rsid w:val="00AD6ADF"/>
    <w:rsid w:val="00AE0A8D"/>
    <w:rsid w:val="00AE1D50"/>
    <w:rsid w:val="00AF5E99"/>
    <w:rsid w:val="00AF6342"/>
    <w:rsid w:val="00B00B04"/>
    <w:rsid w:val="00B0164D"/>
    <w:rsid w:val="00B03CF9"/>
    <w:rsid w:val="00B053FB"/>
    <w:rsid w:val="00B05647"/>
    <w:rsid w:val="00B06BD9"/>
    <w:rsid w:val="00B07EE5"/>
    <w:rsid w:val="00B15BA2"/>
    <w:rsid w:val="00B21CC5"/>
    <w:rsid w:val="00B2280B"/>
    <w:rsid w:val="00B24080"/>
    <w:rsid w:val="00B26778"/>
    <w:rsid w:val="00B26B83"/>
    <w:rsid w:val="00B2752D"/>
    <w:rsid w:val="00B32479"/>
    <w:rsid w:val="00B33FE2"/>
    <w:rsid w:val="00B36F35"/>
    <w:rsid w:val="00B403ED"/>
    <w:rsid w:val="00B4065F"/>
    <w:rsid w:val="00B42211"/>
    <w:rsid w:val="00B436B8"/>
    <w:rsid w:val="00B45091"/>
    <w:rsid w:val="00B45447"/>
    <w:rsid w:val="00B46D45"/>
    <w:rsid w:val="00B539AF"/>
    <w:rsid w:val="00B53F24"/>
    <w:rsid w:val="00B54704"/>
    <w:rsid w:val="00B55637"/>
    <w:rsid w:val="00B56EEB"/>
    <w:rsid w:val="00B57849"/>
    <w:rsid w:val="00B614F1"/>
    <w:rsid w:val="00B702D6"/>
    <w:rsid w:val="00B71A6C"/>
    <w:rsid w:val="00B80339"/>
    <w:rsid w:val="00B866B4"/>
    <w:rsid w:val="00B86C15"/>
    <w:rsid w:val="00B94226"/>
    <w:rsid w:val="00B944CC"/>
    <w:rsid w:val="00B94644"/>
    <w:rsid w:val="00B94784"/>
    <w:rsid w:val="00B961B3"/>
    <w:rsid w:val="00B97EE2"/>
    <w:rsid w:val="00BA0A8C"/>
    <w:rsid w:val="00BA0CEB"/>
    <w:rsid w:val="00BA2383"/>
    <w:rsid w:val="00BA2681"/>
    <w:rsid w:val="00BA2E7E"/>
    <w:rsid w:val="00BA4C64"/>
    <w:rsid w:val="00BA590A"/>
    <w:rsid w:val="00BA5FE4"/>
    <w:rsid w:val="00BA606A"/>
    <w:rsid w:val="00BB0B39"/>
    <w:rsid w:val="00BB30D1"/>
    <w:rsid w:val="00BB39D8"/>
    <w:rsid w:val="00BB4396"/>
    <w:rsid w:val="00BB5F75"/>
    <w:rsid w:val="00BB718B"/>
    <w:rsid w:val="00BC2862"/>
    <w:rsid w:val="00BC2CAC"/>
    <w:rsid w:val="00BC31DD"/>
    <w:rsid w:val="00BC5C9E"/>
    <w:rsid w:val="00BC6524"/>
    <w:rsid w:val="00BD1F1B"/>
    <w:rsid w:val="00BD2B96"/>
    <w:rsid w:val="00BD307B"/>
    <w:rsid w:val="00BD3931"/>
    <w:rsid w:val="00BD3D07"/>
    <w:rsid w:val="00BD5B88"/>
    <w:rsid w:val="00BD5F58"/>
    <w:rsid w:val="00BE0AEB"/>
    <w:rsid w:val="00BF2BB7"/>
    <w:rsid w:val="00BF6988"/>
    <w:rsid w:val="00C018E0"/>
    <w:rsid w:val="00C0280C"/>
    <w:rsid w:val="00C0504C"/>
    <w:rsid w:val="00C05AAF"/>
    <w:rsid w:val="00C118C7"/>
    <w:rsid w:val="00C1425B"/>
    <w:rsid w:val="00C20877"/>
    <w:rsid w:val="00C20E7B"/>
    <w:rsid w:val="00C21456"/>
    <w:rsid w:val="00C21E82"/>
    <w:rsid w:val="00C24D03"/>
    <w:rsid w:val="00C25E61"/>
    <w:rsid w:val="00C27C21"/>
    <w:rsid w:val="00C35A1B"/>
    <w:rsid w:val="00C36F1A"/>
    <w:rsid w:val="00C413F3"/>
    <w:rsid w:val="00C42390"/>
    <w:rsid w:val="00C43CFD"/>
    <w:rsid w:val="00C54EFF"/>
    <w:rsid w:val="00C54F62"/>
    <w:rsid w:val="00C55D03"/>
    <w:rsid w:val="00C562ED"/>
    <w:rsid w:val="00C56A4C"/>
    <w:rsid w:val="00C575C1"/>
    <w:rsid w:val="00C57B86"/>
    <w:rsid w:val="00C63548"/>
    <w:rsid w:val="00C63F96"/>
    <w:rsid w:val="00C65450"/>
    <w:rsid w:val="00C677AF"/>
    <w:rsid w:val="00C67AFB"/>
    <w:rsid w:val="00C67E59"/>
    <w:rsid w:val="00C72B8B"/>
    <w:rsid w:val="00C72CB5"/>
    <w:rsid w:val="00C76D4F"/>
    <w:rsid w:val="00C77447"/>
    <w:rsid w:val="00C805BC"/>
    <w:rsid w:val="00C84FB4"/>
    <w:rsid w:val="00C86899"/>
    <w:rsid w:val="00C959CA"/>
    <w:rsid w:val="00C95D16"/>
    <w:rsid w:val="00CA2AB4"/>
    <w:rsid w:val="00CA52AE"/>
    <w:rsid w:val="00CA70F5"/>
    <w:rsid w:val="00CB0100"/>
    <w:rsid w:val="00CB04D2"/>
    <w:rsid w:val="00CB1B9E"/>
    <w:rsid w:val="00CB3F9C"/>
    <w:rsid w:val="00CB415E"/>
    <w:rsid w:val="00CB494E"/>
    <w:rsid w:val="00CB5087"/>
    <w:rsid w:val="00CC3B5D"/>
    <w:rsid w:val="00CC70AC"/>
    <w:rsid w:val="00CD1195"/>
    <w:rsid w:val="00CD1A98"/>
    <w:rsid w:val="00CD4C30"/>
    <w:rsid w:val="00CD4FAB"/>
    <w:rsid w:val="00CD7EFE"/>
    <w:rsid w:val="00CE0C66"/>
    <w:rsid w:val="00CE28CF"/>
    <w:rsid w:val="00CE41FD"/>
    <w:rsid w:val="00CE4386"/>
    <w:rsid w:val="00CE4CDC"/>
    <w:rsid w:val="00CE5BEB"/>
    <w:rsid w:val="00CE6453"/>
    <w:rsid w:val="00CE69E9"/>
    <w:rsid w:val="00CE71F2"/>
    <w:rsid w:val="00CE7FBD"/>
    <w:rsid w:val="00CF1C5B"/>
    <w:rsid w:val="00CF3F65"/>
    <w:rsid w:val="00CF464D"/>
    <w:rsid w:val="00CF6484"/>
    <w:rsid w:val="00CF71AA"/>
    <w:rsid w:val="00D0314D"/>
    <w:rsid w:val="00D07844"/>
    <w:rsid w:val="00D10BA0"/>
    <w:rsid w:val="00D17EF4"/>
    <w:rsid w:val="00D21957"/>
    <w:rsid w:val="00D2289C"/>
    <w:rsid w:val="00D23770"/>
    <w:rsid w:val="00D24D2D"/>
    <w:rsid w:val="00D25074"/>
    <w:rsid w:val="00D26116"/>
    <w:rsid w:val="00D34517"/>
    <w:rsid w:val="00D35D45"/>
    <w:rsid w:val="00D36798"/>
    <w:rsid w:val="00D37FCC"/>
    <w:rsid w:val="00D4017D"/>
    <w:rsid w:val="00D41F8C"/>
    <w:rsid w:val="00D47E80"/>
    <w:rsid w:val="00D6047D"/>
    <w:rsid w:val="00D70563"/>
    <w:rsid w:val="00D70D89"/>
    <w:rsid w:val="00D72051"/>
    <w:rsid w:val="00D72259"/>
    <w:rsid w:val="00D7380B"/>
    <w:rsid w:val="00D75D77"/>
    <w:rsid w:val="00D7639E"/>
    <w:rsid w:val="00D7645C"/>
    <w:rsid w:val="00D80CFF"/>
    <w:rsid w:val="00D826B8"/>
    <w:rsid w:val="00D835EF"/>
    <w:rsid w:val="00D84C92"/>
    <w:rsid w:val="00D85F09"/>
    <w:rsid w:val="00D86A9D"/>
    <w:rsid w:val="00D86F09"/>
    <w:rsid w:val="00D93DC4"/>
    <w:rsid w:val="00D96884"/>
    <w:rsid w:val="00DA089A"/>
    <w:rsid w:val="00DA11A0"/>
    <w:rsid w:val="00DA2822"/>
    <w:rsid w:val="00DA690B"/>
    <w:rsid w:val="00DA6A1C"/>
    <w:rsid w:val="00DA7225"/>
    <w:rsid w:val="00DB23A4"/>
    <w:rsid w:val="00DB4010"/>
    <w:rsid w:val="00DB44E9"/>
    <w:rsid w:val="00DB502E"/>
    <w:rsid w:val="00DC1966"/>
    <w:rsid w:val="00DC3259"/>
    <w:rsid w:val="00DC60F3"/>
    <w:rsid w:val="00DD0523"/>
    <w:rsid w:val="00DD5CCC"/>
    <w:rsid w:val="00DD7A4F"/>
    <w:rsid w:val="00DE32FD"/>
    <w:rsid w:val="00DE4341"/>
    <w:rsid w:val="00DE5758"/>
    <w:rsid w:val="00DE5FCF"/>
    <w:rsid w:val="00DE66BF"/>
    <w:rsid w:val="00DF0D19"/>
    <w:rsid w:val="00DF2EE9"/>
    <w:rsid w:val="00DF4B15"/>
    <w:rsid w:val="00DF6729"/>
    <w:rsid w:val="00DF6A5D"/>
    <w:rsid w:val="00DF6FD8"/>
    <w:rsid w:val="00DF751A"/>
    <w:rsid w:val="00E04259"/>
    <w:rsid w:val="00E05A80"/>
    <w:rsid w:val="00E05BF2"/>
    <w:rsid w:val="00E06A37"/>
    <w:rsid w:val="00E071A5"/>
    <w:rsid w:val="00E07752"/>
    <w:rsid w:val="00E13A17"/>
    <w:rsid w:val="00E1462C"/>
    <w:rsid w:val="00E16528"/>
    <w:rsid w:val="00E16609"/>
    <w:rsid w:val="00E16F08"/>
    <w:rsid w:val="00E20E33"/>
    <w:rsid w:val="00E233F3"/>
    <w:rsid w:val="00E26B34"/>
    <w:rsid w:val="00E3095E"/>
    <w:rsid w:val="00E314BA"/>
    <w:rsid w:val="00E325BE"/>
    <w:rsid w:val="00E326BA"/>
    <w:rsid w:val="00E34202"/>
    <w:rsid w:val="00E37F72"/>
    <w:rsid w:val="00E40BE5"/>
    <w:rsid w:val="00E40CF9"/>
    <w:rsid w:val="00E42A30"/>
    <w:rsid w:val="00E4794D"/>
    <w:rsid w:val="00E5625D"/>
    <w:rsid w:val="00E648BB"/>
    <w:rsid w:val="00E64AD2"/>
    <w:rsid w:val="00E66456"/>
    <w:rsid w:val="00E67ACA"/>
    <w:rsid w:val="00E7021D"/>
    <w:rsid w:val="00E70E9F"/>
    <w:rsid w:val="00E74ABB"/>
    <w:rsid w:val="00E76B31"/>
    <w:rsid w:val="00E81F3E"/>
    <w:rsid w:val="00E844BB"/>
    <w:rsid w:val="00E84C48"/>
    <w:rsid w:val="00E84CAC"/>
    <w:rsid w:val="00E85644"/>
    <w:rsid w:val="00E8589C"/>
    <w:rsid w:val="00E859BD"/>
    <w:rsid w:val="00E86B70"/>
    <w:rsid w:val="00E87C8F"/>
    <w:rsid w:val="00E90883"/>
    <w:rsid w:val="00E924C3"/>
    <w:rsid w:val="00E954EE"/>
    <w:rsid w:val="00E96759"/>
    <w:rsid w:val="00EA4437"/>
    <w:rsid w:val="00EA4799"/>
    <w:rsid w:val="00EA48FB"/>
    <w:rsid w:val="00EA4B10"/>
    <w:rsid w:val="00EA4D6E"/>
    <w:rsid w:val="00EA4D87"/>
    <w:rsid w:val="00EB16C3"/>
    <w:rsid w:val="00EB34FC"/>
    <w:rsid w:val="00EB43CF"/>
    <w:rsid w:val="00EB76E1"/>
    <w:rsid w:val="00EC2499"/>
    <w:rsid w:val="00EC6E2D"/>
    <w:rsid w:val="00ED1031"/>
    <w:rsid w:val="00ED35E8"/>
    <w:rsid w:val="00ED7778"/>
    <w:rsid w:val="00EE1B30"/>
    <w:rsid w:val="00EE4120"/>
    <w:rsid w:val="00EE7118"/>
    <w:rsid w:val="00EF1F78"/>
    <w:rsid w:val="00EF2E8A"/>
    <w:rsid w:val="00EF3723"/>
    <w:rsid w:val="00EF4E6B"/>
    <w:rsid w:val="00EF5416"/>
    <w:rsid w:val="00F01219"/>
    <w:rsid w:val="00F056AF"/>
    <w:rsid w:val="00F06CCF"/>
    <w:rsid w:val="00F1053D"/>
    <w:rsid w:val="00F110D5"/>
    <w:rsid w:val="00F1165B"/>
    <w:rsid w:val="00F11E63"/>
    <w:rsid w:val="00F12733"/>
    <w:rsid w:val="00F1372E"/>
    <w:rsid w:val="00F14DF3"/>
    <w:rsid w:val="00F16AA3"/>
    <w:rsid w:val="00F171E1"/>
    <w:rsid w:val="00F20DCF"/>
    <w:rsid w:val="00F216BF"/>
    <w:rsid w:val="00F25B36"/>
    <w:rsid w:val="00F3052A"/>
    <w:rsid w:val="00F341E3"/>
    <w:rsid w:val="00F35D09"/>
    <w:rsid w:val="00F36355"/>
    <w:rsid w:val="00F37FA4"/>
    <w:rsid w:val="00F400A9"/>
    <w:rsid w:val="00F40609"/>
    <w:rsid w:val="00F41514"/>
    <w:rsid w:val="00F4304D"/>
    <w:rsid w:val="00F45582"/>
    <w:rsid w:val="00F46612"/>
    <w:rsid w:val="00F4752B"/>
    <w:rsid w:val="00F476E8"/>
    <w:rsid w:val="00F50E5E"/>
    <w:rsid w:val="00F521DF"/>
    <w:rsid w:val="00F541AE"/>
    <w:rsid w:val="00F5543A"/>
    <w:rsid w:val="00F55F37"/>
    <w:rsid w:val="00F56792"/>
    <w:rsid w:val="00F571A6"/>
    <w:rsid w:val="00F6006C"/>
    <w:rsid w:val="00F6018B"/>
    <w:rsid w:val="00F60265"/>
    <w:rsid w:val="00F60E32"/>
    <w:rsid w:val="00F614E2"/>
    <w:rsid w:val="00F644FF"/>
    <w:rsid w:val="00F65ABA"/>
    <w:rsid w:val="00F65E15"/>
    <w:rsid w:val="00F66806"/>
    <w:rsid w:val="00F7242E"/>
    <w:rsid w:val="00F74B33"/>
    <w:rsid w:val="00F762FC"/>
    <w:rsid w:val="00F77944"/>
    <w:rsid w:val="00F810DD"/>
    <w:rsid w:val="00F81D25"/>
    <w:rsid w:val="00F82C6B"/>
    <w:rsid w:val="00F91F70"/>
    <w:rsid w:val="00F95E2F"/>
    <w:rsid w:val="00F96DEB"/>
    <w:rsid w:val="00FA14C1"/>
    <w:rsid w:val="00FA1872"/>
    <w:rsid w:val="00FA4F34"/>
    <w:rsid w:val="00FA5955"/>
    <w:rsid w:val="00FA6B15"/>
    <w:rsid w:val="00FB0774"/>
    <w:rsid w:val="00FB2590"/>
    <w:rsid w:val="00FB3718"/>
    <w:rsid w:val="00FB5933"/>
    <w:rsid w:val="00FB5BF8"/>
    <w:rsid w:val="00FC1974"/>
    <w:rsid w:val="00FC2801"/>
    <w:rsid w:val="00FC2C4B"/>
    <w:rsid w:val="00FC480C"/>
    <w:rsid w:val="00FC4DA7"/>
    <w:rsid w:val="00FC5083"/>
    <w:rsid w:val="00FC5BD6"/>
    <w:rsid w:val="00FD5A8C"/>
    <w:rsid w:val="00FE0ED1"/>
    <w:rsid w:val="00FE286E"/>
    <w:rsid w:val="00FE3233"/>
    <w:rsid w:val="00FE4C68"/>
    <w:rsid w:val="00FE4D6C"/>
    <w:rsid w:val="00FE5D92"/>
    <w:rsid w:val="00FE5FAF"/>
    <w:rsid w:val="00FE616C"/>
    <w:rsid w:val="00FE66F1"/>
    <w:rsid w:val="00FE6D74"/>
    <w:rsid w:val="00FF492E"/>
    <w:rsid w:val="00FF6A68"/>
    <w:rsid w:val="00FF6FAA"/>
    <w:rsid w:val="00FF73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7D56D0C9"/>
  <w15:docId w15:val="{B5878504-941D-4CBD-AA0E-D7A3742E4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aliases w:val="C. Caption"/>
    <w:basedOn w:val="Normal"/>
    <w:next w:val="Normal"/>
    <w:link w:val="CaptionChar"/>
    <w:qFormat/>
    <w:rsid w:val="00E16609"/>
    <w:rPr>
      <w:b/>
      <w:bCs/>
      <w:szCs w:val="3276"/>
    </w:rPr>
  </w:style>
  <w:style w:type="character" w:customStyle="1" w:styleId="CaptionChar">
    <w:name w:val="Caption Char"/>
    <w:aliases w:val="C. 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2"/>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456A34"/>
    <w:rPr>
      <w:color w:val="800080" w:themeColor="followedHyperlink"/>
      <w:u w:val="single"/>
    </w:rPr>
  </w:style>
  <w:style w:type="paragraph" w:customStyle="1" w:styleId="ART">
    <w:name w:val="ART"/>
    <w:basedOn w:val="Normal"/>
    <w:next w:val="PR1"/>
    <w:rsid w:val="001B262A"/>
    <w:pPr>
      <w:suppressAutoHyphens/>
      <w:spacing w:before="240"/>
      <w:outlineLvl w:val="1"/>
    </w:pPr>
    <w:rPr>
      <w:rFonts w:ascii="Arial" w:eastAsia="Batang" w:hAnsi="Arial"/>
      <w:b/>
      <w:caps/>
      <w:sz w:val="20"/>
      <w:szCs w:val="20"/>
    </w:rPr>
  </w:style>
  <w:style w:type="paragraph" w:customStyle="1" w:styleId="PR1">
    <w:name w:val="PR1"/>
    <w:basedOn w:val="ART"/>
    <w:rsid w:val="001B262A"/>
    <w:pPr>
      <w:outlineLvl w:val="2"/>
    </w:pPr>
    <w:rPr>
      <w:b w:val="0"/>
      <w:caps w:val="0"/>
    </w:rPr>
  </w:style>
  <w:style w:type="paragraph" w:customStyle="1" w:styleId="SUT">
    <w:name w:val="SUT"/>
    <w:basedOn w:val="Normal"/>
    <w:next w:val="PR1"/>
    <w:rsid w:val="001B262A"/>
    <w:pPr>
      <w:suppressAutoHyphens/>
      <w:spacing w:before="240"/>
      <w:jc w:val="both"/>
      <w:outlineLvl w:val="0"/>
    </w:pPr>
    <w:rPr>
      <w:rFonts w:ascii="Arial" w:eastAsia="Batang" w:hAnsi="Arial"/>
      <w:sz w:val="20"/>
      <w:szCs w:val="20"/>
    </w:rPr>
  </w:style>
  <w:style w:type="paragraph" w:customStyle="1" w:styleId="DST">
    <w:name w:val="DST"/>
    <w:basedOn w:val="Normal"/>
    <w:next w:val="PR1"/>
    <w:rsid w:val="001B262A"/>
    <w:pPr>
      <w:suppressAutoHyphens/>
      <w:spacing w:before="240"/>
      <w:jc w:val="both"/>
      <w:outlineLvl w:val="0"/>
    </w:pPr>
    <w:rPr>
      <w:rFonts w:ascii="Arial" w:eastAsia="Batang" w:hAnsi="Arial"/>
      <w:sz w:val="20"/>
      <w:szCs w:val="20"/>
    </w:rPr>
  </w:style>
  <w:style w:type="paragraph" w:customStyle="1" w:styleId="PR2">
    <w:name w:val="PR2"/>
    <w:basedOn w:val="PR1"/>
    <w:rsid w:val="001B262A"/>
    <w:pPr>
      <w:spacing w:before="0"/>
      <w:outlineLvl w:val="3"/>
    </w:pPr>
  </w:style>
  <w:style w:type="paragraph" w:customStyle="1" w:styleId="PR3">
    <w:name w:val="PR3"/>
    <w:basedOn w:val="PR1"/>
    <w:rsid w:val="001B262A"/>
    <w:pPr>
      <w:spacing w:before="0"/>
      <w:outlineLvl w:val="4"/>
    </w:pPr>
  </w:style>
  <w:style w:type="paragraph" w:customStyle="1" w:styleId="PR6">
    <w:name w:val="PR6"/>
    <w:basedOn w:val="PR1"/>
    <w:rsid w:val="001B262A"/>
    <w:pPr>
      <w:tabs>
        <w:tab w:val="left" w:pos="3744"/>
      </w:tabs>
      <w:spacing w:before="0"/>
      <w:outlineLvl w:val="7"/>
    </w:pPr>
  </w:style>
  <w:style w:type="paragraph" w:customStyle="1" w:styleId="NAM">
    <w:name w:val="NAM"/>
    <w:basedOn w:val="Normal"/>
    <w:rsid w:val="001B262A"/>
    <w:pPr>
      <w:jc w:val="center"/>
    </w:pPr>
    <w:rPr>
      <w:rFonts w:ascii="Arial" w:eastAsia="Batang" w:hAnsi="Arial"/>
      <w:b/>
      <w:caps/>
      <w:sz w:val="20"/>
      <w:szCs w:val="20"/>
    </w:rPr>
  </w:style>
  <w:style w:type="paragraph" w:customStyle="1" w:styleId="Appx">
    <w:name w:val="Appx"/>
    <w:basedOn w:val="Heading1"/>
    <w:rsid w:val="001B262A"/>
    <w:pPr>
      <w:spacing w:after="60"/>
    </w:pPr>
    <w:rPr>
      <w:rFonts w:ascii="Arial" w:eastAsia="Batang" w:hAnsi="Arial"/>
      <w:smallCaps w:val="0"/>
      <w:sz w:val="32"/>
    </w:rPr>
  </w:style>
  <w:style w:type="paragraph" w:customStyle="1" w:styleId="SubsectionStyle">
    <w:name w:val="Subsection Style"/>
    <w:basedOn w:val="Normal"/>
    <w:link w:val="SubsectionStyleChar"/>
    <w:qFormat/>
    <w:rsid w:val="001B262A"/>
    <w:pPr>
      <w:numPr>
        <w:ilvl w:val="1"/>
        <w:numId w:val="1"/>
      </w:numPr>
      <w:suppressAutoHyphens/>
      <w:spacing w:before="240" w:line="360" w:lineRule="auto"/>
      <w:outlineLvl w:val="1"/>
    </w:pPr>
    <w:rPr>
      <w:rFonts w:ascii="Times New Roman" w:eastAsia="Batang" w:hAnsi="Times New Roman"/>
      <w:b/>
      <w:caps/>
      <w:sz w:val="24"/>
      <w:szCs w:val="20"/>
    </w:rPr>
  </w:style>
  <w:style w:type="character" w:customStyle="1" w:styleId="SubsectionStyleChar">
    <w:name w:val="Subsection Style Char"/>
    <w:basedOn w:val="DefaultParagraphFont"/>
    <w:link w:val="SubsectionStyle"/>
    <w:rsid w:val="001B262A"/>
    <w:rPr>
      <w:rFonts w:ascii="Times New Roman" w:eastAsia="Batang" w:hAnsi="Times New Roman" w:cs="Times New Roman"/>
      <w:b/>
      <w:caps/>
      <w:sz w:val="24"/>
      <w:szCs w:val="20"/>
    </w:rPr>
  </w:style>
  <w:style w:type="paragraph" w:customStyle="1" w:styleId="Table">
    <w:name w:val="Table"/>
    <w:basedOn w:val="Normal"/>
    <w:link w:val="TableChar"/>
    <w:qFormat/>
    <w:rsid w:val="008000F7"/>
    <w:pPr>
      <w:numPr>
        <w:numId w:val="7"/>
      </w:numPr>
      <w:spacing w:before="120" w:after="120"/>
    </w:pPr>
    <w:rPr>
      <w:rFonts w:ascii="Times New Roman" w:eastAsia="Batang" w:hAnsi="Times New Roman"/>
      <w:b/>
      <w:szCs w:val="22"/>
    </w:rPr>
  </w:style>
  <w:style w:type="character" w:customStyle="1" w:styleId="TableChar">
    <w:name w:val="Table Char"/>
    <w:basedOn w:val="DefaultParagraphFont"/>
    <w:link w:val="Table"/>
    <w:rsid w:val="008000F7"/>
    <w:rPr>
      <w:rFonts w:ascii="Times New Roman" w:eastAsia="Batang" w:hAnsi="Times New Roman" w:cs="Times New Roman"/>
      <w:b/>
    </w:rPr>
  </w:style>
  <w:style w:type="character" w:customStyle="1" w:styleId="Del">
    <w:name w:val="Del"/>
    <w:basedOn w:val="DefaultParagraphFont"/>
    <w:rsid w:val="00972297"/>
    <w:rPr>
      <w:strike/>
      <w:color w:val="FF0000"/>
    </w:rPr>
  </w:style>
  <w:style w:type="paragraph" w:styleId="TOC1">
    <w:name w:val="toc 1"/>
    <w:basedOn w:val="Normal"/>
    <w:next w:val="Normal"/>
    <w:autoRedefine/>
    <w:uiPriority w:val="39"/>
    <w:rsid w:val="00CD4C30"/>
    <w:rPr>
      <w:rFonts w:ascii="Times New Roman" w:eastAsia="Batang" w:hAnsi="Times New Roman"/>
      <w:sz w:val="24"/>
    </w:rPr>
  </w:style>
  <w:style w:type="paragraph" w:styleId="TOC2">
    <w:name w:val="toc 2"/>
    <w:basedOn w:val="Normal"/>
    <w:next w:val="Normal"/>
    <w:autoRedefine/>
    <w:uiPriority w:val="39"/>
    <w:rsid w:val="00CD4C30"/>
    <w:pPr>
      <w:ind w:left="240"/>
    </w:pPr>
    <w:rPr>
      <w:rFonts w:ascii="Times New Roman" w:eastAsia="Batang" w:hAnsi="Times New Roman"/>
      <w:sz w:val="24"/>
    </w:rPr>
  </w:style>
  <w:style w:type="paragraph" w:styleId="TOCHeading">
    <w:name w:val="TOC Heading"/>
    <w:basedOn w:val="Heading1"/>
    <w:next w:val="Normal"/>
    <w:uiPriority w:val="39"/>
    <w:unhideWhenUsed/>
    <w:qFormat/>
    <w:rsid w:val="00CD4C30"/>
    <w:pPr>
      <w:keepLines/>
      <w:spacing w:before="480" w:after="0" w:line="276" w:lineRule="auto"/>
      <w:outlineLvl w:val="9"/>
    </w:pPr>
    <w:rPr>
      <w:rFonts w:asciiTheme="majorHAnsi" w:eastAsiaTheme="majorEastAsia" w:hAnsiTheme="majorHAnsi" w:cstheme="majorBidi"/>
      <w:smallCaps w:val="0"/>
      <w:color w:val="365F91" w:themeColor="accent1" w:themeShade="BF"/>
      <w:kern w:val="0"/>
      <w:sz w:val="28"/>
      <w:szCs w:val="28"/>
      <w:lang w:eastAsia="ja-JP"/>
    </w:rPr>
  </w:style>
  <w:style w:type="paragraph" w:styleId="TOC3">
    <w:name w:val="toc 3"/>
    <w:basedOn w:val="Normal"/>
    <w:next w:val="Normal"/>
    <w:autoRedefine/>
    <w:uiPriority w:val="39"/>
    <w:unhideWhenUsed/>
    <w:rsid w:val="00CD4C30"/>
    <w:pPr>
      <w:spacing w:after="100"/>
      <w:ind w:left="440"/>
    </w:pPr>
  </w:style>
  <w:style w:type="paragraph" w:styleId="TableofFigures">
    <w:name w:val="table of figures"/>
    <w:basedOn w:val="Normal"/>
    <w:next w:val="Normal"/>
    <w:uiPriority w:val="99"/>
    <w:unhideWhenUsed/>
    <w:rsid w:val="00703478"/>
  </w:style>
  <w:style w:type="paragraph" w:customStyle="1" w:styleId="Default">
    <w:name w:val="Default"/>
    <w:rsid w:val="00D84C92"/>
    <w:pPr>
      <w:autoSpaceDE w:val="0"/>
      <w:autoSpaceDN w:val="0"/>
      <w:adjustRightInd w:val="0"/>
      <w:spacing w:after="0" w:line="240" w:lineRule="auto"/>
    </w:pPr>
    <w:rPr>
      <w:rFonts w:ascii="Calibri" w:hAnsi="Calibri" w:cs="Calibri"/>
      <w:color w:val="000000"/>
      <w:sz w:val="24"/>
      <w:szCs w:val="24"/>
    </w:rPr>
  </w:style>
  <w:style w:type="character" w:customStyle="1" w:styleId="UnresolvedMention">
    <w:name w:val="Unresolved Mention"/>
    <w:basedOn w:val="DefaultParagraphFont"/>
    <w:uiPriority w:val="99"/>
    <w:semiHidden/>
    <w:unhideWhenUsed/>
    <w:rsid w:val="004443C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67460">
      <w:bodyDiv w:val="1"/>
      <w:marLeft w:val="0"/>
      <w:marRight w:val="0"/>
      <w:marTop w:val="0"/>
      <w:marBottom w:val="0"/>
      <w:divBdr>
        <w:top w:val="none" w:sz="0" w:space="0" w:color="auto"/>
        <w:left w:val="none" w:sz="0" w:space="0" w:color="auto"/>
        <w:bottom w:val="none" w:sz="0" w:space="0" w:color="auto"/>
        <w:right w:val="none" w:sz="0" w:space="0" w:color="auto"/>
      </w:divBdr>
    </w:div>
    <w:div w:id="325400749">
      <w:bodyDiv w:val="1"/>
      <w:marLeft w:val="0"/>
      <w:marRight w:val="0"/>
      <w:marTop w:val="0"/>
      <w:marBottom w:val="0"/>
      <w:divBdr>
        <w:top w:val="none" w:sz="0" w:space="0" w:color="auto"/>
        <w:left w:val="none" w:sz="0" w:space="0" w:color="auto"/>
        <w:bottom w:val="none" w:sz="0" w:space="0" w:color="auto"/>
        <w:right w:val="none" w:sz="0" w:space="0" w:color="auto"/>
      </w:divBdr>
    </w:div>
    <w:div w:id="453401632">
      <w:bodyDiv w:val="1"/>
      <w:marLeft w:val="0"/>
      <w:marRight w:val="0"/>
      <w:marTop w:val="0"/>
      <w:marBottom w:val="0"/>
      <w:divBdr>
        <w:top w:val="none" w:sz="0" w:space="0" w:color="auto"/>
        <w:left w:val="none" w:sz="0" w:space="0" w:color="auto"/>
        <w:bottom w:val="none" w:sz="0" w:space="0" w:color="auto"/>
        <w:right w:val="none" w:sz="0" w:space="0" w:color="auto"/>
      </w:divBdr>
    </w:div>
    <w:div w:id="563222394">
      <w:bodyDiv w:val="1"/>
      <w:marLeft w:val="0"/>
      <w:marRight w:val="0"/>
      <w:marTop w:val="0"/>
      <w:marBottom w:val="0"/>
      <w:divBdr>
        <w:top w:val="none" w:sz="0" w:space="0" w:color="auto"/>
        <w:left w:val="none" w:sz="0" w:space="0" w:color="auto"/>
        <w:bottom w:val="none" w:sz="0" w:space="0" w:color="auto"/>
        <w:right w:val="none" w:sz="0" w:space="0" w:color="auto"/>
      </w:divBdr>
    </w:div>
    <w:div w:id="634406141">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243762602">
      <w:bodyDiv w:val="1"/>
      <w:marLeft w:val="0"/>
      <w:marRight w:val="0"/>
      <w:marTop w:val="0"/>
      <w:marBottom w:val="0"/>
      <w:divBdr>
        <w:top w:val="none" w:sz="0" w:space="0" w:color="auto"/>
        <w:left w:val="none" w:sz="0" w:space="0" w:color="auto"/>
        <w:bottom w:val="none" w:sz="0" w:space="0" w:color="auto"/>
        <w:right w:val="none" w:sz="0" w:space="0" w:color="auto"/>
      </w:divBdr>
    </w:div>
    <w:div w:id="1567181422">
      <w:bodyDiv w:val="1"/>
      <w:marLeft w:val="0"/>
      <w:marRight w:val="0"/>
      <w:marTop w:val="0"/>
      <w:marBottom w:val="0"/>
      <w:divBdr>
        <w:top w:val="none" w:sz="0" w:space="0" w:color="auto"/>
        <w:left w:val="none" w:sz="0" w:space="0" w:color="auto"/>
        <w:bottom w:val="none" w:sz="0" w:space="0" w:color="auto"/>
        <w:right w:val="none" w:sz="0" w:space="0" w:color="auto"/>
      </w:divBdr>
    </w:div>
    <w:div w:id="178318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altf.org/approved-measures/"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altf.org/" TargetMode="External"/><Relationship Id="rId17" Type="http://schemas.openxmlformats.org/officeDocument/2006/relationships/image" Target="media/image3.tmp"/><Relationship Id="rId2" Type="http://schemas.openxmlformats.org/officeDocument/2006/relationships/customXml" Target="../customXml/item2.xml"/><Relationship Id="rId16" Type="http://schemas.openxmlformats.org/officeDocument/2006/relationships/image" Target="media/image2.tmp"/><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pp.edu/~collins/partners/outlook-conference/documents/PKFConsulting.pdf" TargetMode="External"/><Relationship Id="rId5" Type="http://schemas.openxmlformats.org/officeDocument/2006/relationships/settings" Target="settings.xml"/><Relationship Id="rId15" Type="http://schemas.openxmlformats.org/officeDocument/2006/relationships/image" Target="cid:image002.png@01D235CA.4D94F7C0" TargetMode="External"/><Relationship Id="rId10" Type="http://schemas.openxmlformats.org/officeDocument/2006/relationships/hyperlink" Target="https://www.cpp.ed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1.png"/></Relationships>
</file>

<file path=word/_rels/endnotes.xml.rels><?xml version="1.0" encoding="UTF-8" standalone="yes"?>
<Relationships xmlns="http://schemas.openxmlformats.org/package/2006/relationships"><Relationship Id="rId3" Type="http://schemas.openxmlformats.org/officeDocument/2006/relationships/hyperlink" Target="http://pacinst.org/app/uploads/2013/02/appendix_d3.pdf" TargetMode="External"/><Relationship Id="rId2" Type="http://schemas.openxmlformats.org/officeDocument/2006/relationships/hyperlink" Target="http://www.waterrf.org/PublicReportLibrary/RFR90806_2000_241B.pdf" TargetMode="External"/><Relationship Id="rId1" Type="http://schemas.openxmlformats.org/officeDocument/2006/relationships/hyperlink" Target="https://www.cpp.edu/~collins/partners/outlook-conference/documents/PKFConsulting.pdf" TargetMode="External"/><Relationship Id="rId4" Type="http://schemas.openxmlformats.org/officeDocument/2006/relationships/hyperlink" Target="http://www.eia.gov/consumption/commercial/data/2012/bc/cfm/pba1.php"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06634"/>
    <w:rsid w:val="00082553"/>
    <w:rsid w:val="00115F35"/>
    <w:rsid w:val="0014474F"/>
    <w:rsid w:val="00146151"/>
    <w:rsid w:val="0019279A"/>
    <w:rsid w:val="00204A7F"/>
    <w:rsid w:val="002B514B"/>
    <w:rsid w:val="002C0C03"/>
    <w:rsid w:val="002E4827"/>
    <w:rsid w:val="002F1219"/>
    <w:rsid w:val="00300F4F"/>
    <w:rsid w:val="00311B0D"/>
    <w:rsid w:val="003151F4"/>
    <w:rsid w:val="00354665"/>
    <w:rsid w:val="00397E82"/>
    <w:rsid w:val="003A131F"/>
    <w:rsid w:val="003A4499"/>
    <w:rsid w:val="00427746"/>
    <w:rsid w:val="004C1C22"/>
    <w:rsid w:val="004F736F"/>
    <w:rsid w:val="00560392"/>
    <w:rsid w:val="00574A82"/>
    <w:rsid w:val="005C4E7F"/>
    <w:rsid w:val="00642A63"/>
    <w:rsid w:val="00664A8B"/>
    <w:rsid w:val="006B45D7"/>
    <w:rsid w:val="006B7FA8"/>
    <w:rsid w:val="006F7C82"/>
    <w:rsid w:val="007E669C"/>
    <w:rsid w:val="00811896"/>
    <w:rsid w:val="008211B5"/>
    <w:rsid w:val="00827C7D"/>
    <w:rsid w:val="008630DB"/>
    <w:rsid w:val="008667E7"/>
    <w:rsid w:val="00874653"/>
    <w:rsid w:val="008955A7"/>
    <w:rsid w:val="008F58BC"/>
    <w:rsid w:val="00903623"/>
    <w:rsid w:val="009E46FF"/>
    <w:rsid w:val="009F0294"/>
    <w:rsid w:val="00A4428D"/>
    <w:rsid w:val="00A5022A"/>
    <w:rsid w:val="00AA5890"/>
    <w:rsid w:val="00AE4C28"/>
    <w:rsid w:val="00AF015F"/>
    <w:rsid w:val="00B345E0"/>
    <w:rsid w:val="00B35C64"/>
    <w:rsid w:val="00B41E1A"/>
    <w:rsid w:val="00B73964"/>
    <w:rsid w:val="00B74704"/>
    <w:rsid w:val="00B91FB7"/>
    <w:rsid w:val="00BB21E8"/>
    <w:rsid w:val="00C947B8"/>
    <w:rsid w:val="00CA4108"/>
    <w:rsid w:val="00CA70B6"/>
    <w:rsid w:val="00CC728C"/>
    <w:rsid w:val="00D0496D"/>
    <w:rsid w:val="00D051F5"/>
    <w:rsid w:val="00D32692"/>
    <w:rsid w:val="00D40610"/>
    <w:rsid w:val="00D740BA"/>
    <w:rsid w:val="00DA1B13"/>
    <w:rsid w:val="00E07A82"/>
    <w:rsid w:val="00E2795D"/>
    <w:rsid w:val="00E97DD6"/>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4E7F"/>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2017-12-21T00:00:00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DE5486C-A8BB-476B-9121-1442C2969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22</Pages>
  <Words>5899</Words>
  <Characters>33627</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WPSCGNRWH170412A</vt:lpstr>
    </vt:vector>
  </TitlesOfParts>
  <Company>Southern California Gas Company</Company>
  <LinksUpToDate>false</LinksUpToDate>
  <CharactersWithSpaces>39448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WPSCGNRWH170412A</dc:title>
  <dc:subject/>
  <dc:creator>Jim Wyatt (PG&amp;E);Jason Wang (SCE)</dc:creator>
  <cp:keywords/>
  <dc:description/>
  <cp:lastModifiedBy>Mendoza, Matthew D</cp:lastModifiedBy>
  <cp:revision>42</cp:revision>
  <dcterms:created xsi:type="dcterms:W3CDTF">2017-12-27T18:16:00Z</dcterms:created>
  <dcterms:modified xsi:type="dcterms:W3CDTF">2017-12-28T17:06:00Z</dcterms:modified>
  <cp:contentStatus>Revision 1</cp:contentStatus>
</cp:coreProperties>
</file>