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6F55B" w14:textId="67908CB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F1FFA">
            <w:t>WPSCGNRWH1612</w:t>
          </w:r>
          <w:r w:rsidR="005A50B7">
            <w:t>2</w:t>
          </w:r>
          <w:r w:rsidR="009F1FFA">
            <w:t>2A</w:t>
          </w:r>
        </w:sdtContent>
      </w:sdt>
    </w:p>
    <w:bookmarkEnd w:id="0"/>
    <w:p w14:paraId="5026F55C" w14:textId="77777777" w:rsidR="00DA690B" w:rsidRPr="00500C4E" w:rsidRDefault="005A50B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2C5DB8">
            <w:rPr>
              <w:rStyle w:val="CaptionChar"/>
              <w:rFonts w:asciiTheme="minorHAnsi" w:hAnsiTheme="minorHAnsi" w:cstheme="minorHAnsi"/>
              <w:b/>
              <w:bCs w:val="0"/>
              <w:sz w:val="48"/>
              <w:szCs w:val="48"/>
            </w:rPr>
            <w:t>0</w:t>
          </w:r>
        </w:sdtContent>
      </w:sdt>
    </w:p>
    <w:p w14:paraId="5026F55D" w14:textId="77777777" w:rsidR="00285A0D" w:rsidRPr="00500C4E" w:rsidRDefault="00285A0D" w:rsidP="00DE5758">
      <w:pPr>
        <w:jc w:val="right"/>
        <w:rPr>
          <w:rFonts w:cstheme="minorHAnsi"/>
          <w:b/>
          <w:sz w:val="48"/>
          <w:szCs w:val="48"/>
        </w:rPr>
      </w:pPr>
    </w:p>
    <w:bookmarkStart w:id="2" w:name="SCE"/>
    <w:p w14:paraId="5026F55E" w14:textId="77777777" w:rsidR="00DA690B" w:rsidRPr="00500C4E" w:rsidRDefault="005A50B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2C5DB8">
            <w:rPr>
              <w:rFonts w:cstheme="minorHAnsi"/>
              <w:b/>
              <w:sz w:val="36"/>
              <w:szCs w:val="36"/>
            </w:rPr>
            <w:t>Southern California Gas Company</w:t>
          </w:r>
        </w:sdtContent>
      </w:sdt>
      <w:bookmarkEnd w:id="2"/>
    </w:p>
    <w:p w14:paraId="5026F55F" w14:textId="77777777" w:rsidR="00DA690B" w:rsidRPr="002C5DB8" w:rsidRDefault="002C5DB8" w:rsidP="00DA690B">
      <w:pPr>
        <w:rPr>
          <w:rFonts w:cstheme="minorHAnsi"/>
          <w:b/>
          <w:sz w:val="32"/>
          <w:szCs w:val="32"/>
        </w:rPr>
      </w:pPr>
      <w:r w:rsidRPr="002C5DB8">
        <w:rPr>
          <w:rFonts w:cstheme="minorHAnsi"/>
          <w:b/>
          <w:sz w:val="32"/>
          <w:szCs w:val="32"/>
        </w:rPr>
        <w:t xml:space="preserve">Customer Programs Department </w:t>
      </w:r>
    </w:p>
    <w:p w14:paraId="5026F560" w14:textId="77777777" w:rsidR="00DA690B" w:rsidRPr="00500C4E" w:rsidRDefault="00DA690B" w:rsidP="00DA690B">
      <w:pPr>
        <w:rPr>
          <w:rFonts w:cstheme="minorHAnsi"/>
        </w:rPr>
      </w:pPr>
    </w:p>
    <w:p w14:paraId="5026F561" w14:textId="77777777" w:rsidR="00DA690B" w:rsidRPr="00500C4E" w:rsidRDefault="009D0753" w:rsidP="009D0753">
      <w:pPr>
        <w:tabs>
          <w:tab w:val="left" w:pos="8190"/>
        </w:tabs>
        <w:rPr>
          <w:rFonts w:cstheme="minorHAnsi"/>
        </w:rPr>
      </w:pPr>
      <w:r w:rsidRPr="00500C4E">
        <w:rPr>
          <w:rFonts w:cstheme="minorHAnsi"/>
        </w:rPr>
        <w:tab/>
      </w:r>
    </w:p>
    <w:p w14:paraId="5026F562" w14:textId="77777777" w:rsidR="00DA690B" w:rsidRPr="00500C4E" w:rsidRDefault="00DA690B" w:rsidP="00DA690B">
      <w:pPr>
        <w:rPr>
          <w:rFonts w:cstheme="minorHAnsi"/>
        </w:rPr>
      </w:pPr>
    </w:p>
    <w:p w14:paraId="5026F563" w14:textId="77777777" w:rsidR="00DA690B" w:rsidRPr="00500C4E" w:rsidRDefault="00DA690B" w:rsidP="00DA690B">
      <w:pPr>
        <w:rPr>
          <w:rFonts w:cstheme="minorHAnsi"/>
        </w:rPr>
      </w:pPr>
    </w:p>
    <w:p w14:paraId="5026F564" w14:textId="77777777" w:rsidR="00DA690B" w:rsidRPr="00500C4E" w:rsidRDefault="00DA690B" w:rsidP="00DA690B">
      <w:pPr>
        <w:rPr>
          <w:rFonts w:cstheme="minorHAnsi"/>
        </w:rPr>
      </w:pPr>
    </w:p>
    <w:p w14:paraId="5026F565" w14:textId="77777777" w:rsidR="00DA690B" w:rsidRPr="00500C4E" w:rsidRDefault="00DA690B" w:rsidP="00DA690B">
      <w:pPr>
        <w:rPr>
          <w:rFonts w:cstheme="minorHAnsi"/>
        </w:rPr>
      </w:pPr>
    </w:p>
    <w:p w14:paraId="5026F566" w14:textId="77777777" w:rsidR="00DA690B" w:rsidRPr="00500C4E" w:rsidRDefault="00DA690B" w:rsidP="00DA690B">
      <w:pPr>
        <w:rPr>
          <w:rFonts w:cstheme="minorHAnsi"/>
        </w:rPr>
      </w:pPr>
    </w:p>
    <w:p w14:paraId="5026F567" w14:textId="278A665B" w:rsidR="00DA690B" w:rsidRPr="008C0FE5" w:rsidRDefault="00855C2D" w:rsidP="00DA690B">
      <w:pPr>
        <w:rPr>
          <w:rFonts w:cstheme="minorHAnsi"/>
          <w:b/>
          <w:sz w:val="56"/>
          <w:szCs w:val="72"/>
        </w:rPr>
      </w:pPr>
      <w:r>
        <w:rPr>
          <w:rFonts w:cstheme="minorHAnsi"/>
          <w:b/>
          <w:sz w:val="56"/>
          <w:szCs w:val="72"/>
        </w:rPr>
        <w:t xml:space="preserve">Aerators for </w:t>
      </w:r>
      <w:r w:rsidR="007718E9">
        <w:rPr>
          <w:rFonts w:cstheme="minorHAnsi"/>
          <w:b/>
          <w:sz w:val="56"/>
          <w:szCs w:val="72"/>
        </w:rPr>
        <w:t xml:space="preserve">Faucets in </w:t>
      </w:r>
      <w:r w:rsidR="00861ED5" w:rsidRPr="008C0FE5">
        <w:rPr>
          <w:rFonts w:cstheme="minorHAnsi"/>
          <w:b/>
          <w:sz w:val="56"/>
          <w:szCs w:val="72"/>
        </w:rPr>
        <w:t xml:space="preserve">Commercial </w:t>
      </w:r>
      <w:r>
        <w:rPr>
          <w:rFonts w:cstheme="minorHAnsi"/>
          <w:b/>
          <w:sz w:val="56"/>
          <w:szCs w:val="72"/>
        </w:rPr>
        <w:t>Buildings</w:t>
      </w:r>
    </w:p>
    <w:p w14:paraId="5026F568" w14:textId="77777777" w:rsidR="00E76B31" w:rsidRPr="00500C4E" w:rsidRDefault="00E76B31" w:rsidP="00E76B31">
      <w:pPr>
        <w:pStyle w:val="Reminders"/>
        <w:rPr>
          <w:rFonts w:asciiTheme="minorHAnsi" w:hAnsiTheme="minorHAnsi" w:cstheme="minorHAnsi"/>
          <w:i w:val="0"/>
          <w:szCs w:val="22"/>
        </w:rPr>
      </w:pPr>
    </w:p>
    <w:p w14:paraId="5026F56A" w14:textId="77777777" w:rsidR="00EF4E6B" w:rsidRPr="00500C4E" w:rsidRDefault="00EF4E6B" w:rsidP="00E76B31">
      <w:pPr>
        <w:pStyle w:val="Reminders"/>
        <w:rPr>
          <w:rFonts w:asciiTheme="minorHAnsi" w:hAnsiTheme="minorHAnsi" w:cstheme="minorHAnsi"/>
          <w:b/>
          <w:i w:val="0"/>
          <w:sz w:val="32"/>
          <w:szCs w:val="22"/>
        </w:rPr>
      </w:pPr>
    </w:p>
    <w:p w14:paraId="5026F586" w14:textId="295E9EDF"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bookmarkStart w:id="3" w:name="_GoBack"/>
      <w:bookmarkEnd w:id="3"/>
    </w:p>
    <w:p w14:paraId="5026F587" w14:textId="77777777" w:rsidR="00290ED8" w:rsidRPr="00500C4E" w:rsidRDefault="00290ED8" w:rsidP="00AC5309">
      <w:pPr>
        <w:pStyle w:val="Heading1"/>
      </w:pPr>
      <w:bookmarkStart w:id="4" w:name="_Toc304800192"/>
      <w:bookmarkStart w:id="5" w:name="_Toc324318330"/>
      <w:bookmarkStart w:id="6" w:name="_Toc324340474"/>
      <w:bookmarkStart w:id="7" w:name="_Toc324433427"/>
      <w:bookmarkStart w:id="8" w:name="_Toc478657378"/>
      <w:r w:rsidRPr="00500C4E">
        <w:lastRenderedPageBreak/>
        <w:t>At-a-Glance Summary</w:t>
      </w:r>
      <w:bookmarkEnd w:id="4"/>
      <w:bookmarkEnd w:id="5"/>
      <w:bookmarkEnd w:id="6"/>
      <w:bookmarkEnd w:id="7"/>
      <w:bookmarkEnd w:id="8"/>
    </w:p>
    <w:tbl>
      <w:tblPr>
        <w:tblStyle w:val="TableGrid1"/>
        <w:tblW w:w="5000" w:type="pct"/>
        <w:tblLook w:val="01E0" w:firstRow="1" w:lastRow="1" w:firstColumn="1" w:lastColumn="1" w:noHBand="0" w:noVBand="0"/>
      </w:tblPr>
      <w:tblGrid>
        <w:gridCol w:w="3506"/>
        <w:gridCol w:w="5844"/>
      </w:tblGrid>
      <w:tr w:rsidR="00AC5309" w:rsidRPr="00500C4E" w14:paraId="5026F58A" w14:textId="77777777" w:rsidTr="00920905">
        <w:trPr>
          <w:trHeight w:val="465"/>
        </w:trPr>
        <w:tc>
          <w:tcPr>
            <w:tcW w:w="1875" w:type="pct"/>
          </w:tcPr>
          <w:p w14:paraId="5026F588"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5026F589" w14:textId="5B580D72" w:rsidR="00AC5309" w:rsidRPr="00C83BDA" w:rsidRDefault="00C83BDA">
            <w:pPr>
              <w:rPr>
                <w:rFonts w:cstheme="minorHAnsi"/>
                <w:szCs w:val="20"/>
              </w:rPr>
            </w:pPr>
            <w:r w:rsidRPr="000236E6">
              <w:rPr>
                <w:rFonts w:cstheme="minorHAnsi"/>
                <w:szCs w:val="20"/>
              </w:rPr>
              <w:t>Com-Aerator-</w:t>
            </w:r>
            <w:r>
              <w:rPr>
                <w:rFonts w:cstheme="minorHAnsi"/>
                <w:szCs w:val="20"/>
              </w:rPr>
              <w:t>Public-</w:t>
            </w:r>
            <w:r w:rsidRPr="000236E6">
              <w:rPr>
                <w:rFonts w:cstheme="minorHAnsi"/>
                <w:szCs w:val="20"/>
              </w:rPr>
              <w:t>0.5 GPM</w:t>
            </w:r>
            <w:r>
              <w:rPr>
                <w:rFonts w:cstheme="minorHAnsi"/>
                <w:szCs w:val="20"/>
              </w:rPr>
              <w:t xml:space="preserve">, </w:t>
            </w:r>
            <w:r w:rsidRPr="000236E6">
              <w:rPr>
                <w:rFonts w:cstheme="minorHAnsi"/>
                <w:szCs w:val="20"/>
              </w:rPr>
              <w:t>Com-Aerator-</w:t>
            </w:r>
            <w:r>
              <w:rPr>
                <w:rFonts w:cstheme="minorHAnsi"/>
                <w:szCs w:val="20"/>
              </w:rPr>
              <w:t>Public-1.0</w:t>
            </w:r>
            <w:r w:rsidRPr="000236E6">
              <w:rPr>
                <w:rFonts w:cstheme="minorHAnsi"/>
                <w:szCs w:val="20"/>
              </w:rPr>
              <w:t xml:space="preserve"> GPM</w:t>
            </w:r>
            <w:r>
              <w:rPr>
                <w:rFonts w:cstheme="minorHAnsi"/>
                <w:szCs w:val="20"/>
              </w:rPr>
              <w:t xml:space="preserve">, </w:t>
            </w:r>
            <w:r w:rsidRPr="000236E6">
              <w:rPr>
                <w:rFonts w:cstheme="minorHAnsi"/>
                <w:szCs w:val="20"/>
              </w:rPr>
              <w:t>Com-Aerator-</w:t>
            </w:r>
            <w:r>
              <w:rPr>
                <w:rFonts w:cstheme="minorHAnsi"/>
                <w:szCs w:val="20"/>
              </w:rPr>
              <w:t>Private-</w:t>
            </w:r>
            <w:r w:rsidRPr="000236E6">
              <w:rPr>
                <w:rFonts w:cstheme="minorHAnsi"/>
                <w:szCs w:val="20"/>
              </w:rPr>
              <w:t>0.5 GPM</w:t>
            </w:r>
            <w:r>
              <w:rPr>
                <w:rFonts w:cstheme="minorHAnsi"/>
                <w:szCs w:val="20"/>
              </w:rPr>
              <w:t xml:space="preserve">, </w:t>
            </w:r>
            <w:r w:rsidRPr="000236E6">
              <w:rPr>
                <w:rFonts w:cstheme="minorHAnsi"/>
                <w:szCs w:val="20"/>
              </w:rPr>
              <w:t>Com-Aerator-</w:t>
            </w:r>
            <w:r>
              <w:rPr>
                <w:rFonts w:cstheme="minorHAnsi"/>
                <w:szCs w:val="20"/>
              </w:rPr>
              <w:t>Private-1.0</w:t>
            </w:r>
            <w:r w:rsidRPr="000236E6">
              <w:rPr>
                <w:rFonts w:cstheme="minorHAnsi"/>
                <w:szCs w:val="20"/>
              </w:rPr>
              <w:t xml:space="preserve"> GPM</w:t>
            </w:r>
          </w:p>
        </w:tc>
      </w:tr>
      <w:tr w:rsidR="00AC5309" w:rsidRPr="00500C4E" w14:paraId="5026F58D" w14:textId="77777777" w:rsidTr="00920905">
        <w:trPr>
          <w:trHeight w:val="465"/>
        </w:trPr>
        <w:tc>
          <w:tcPr>
            <w:tcW w:w="1875" w:type="pct"/>
          </w:tcPr>
          <w:p w14:paraId="5026F58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5026F58C" w14:textId="64607546" w:rsidR="00290ED8" w:rsidRPr="00500C4E" w:rsidRDefault="00FB3DD3">
            <w:pPr>
              <w:rPr>
                <w:rFonts w:cs="Arial"/>
                <w:color w:val="FF0000"/>
                <w:szCs w:val="20"/>
              </w:rPr>
            </w:pPr>
            <w:r w:rsidRPr="00FC4B51">
              <w:rPr>
                <w:rFonts w:cs="Arial"/>
                <w:szCs w:val="20"/>
              </w:rPr>
              <w:t xml:space="preserve">Installation of low-flow faucet aerators </w:t>
            </w:r>
            <w:r w:rsidR="002867CB">
              <w:rPr>
                <w:rFonts w:cs="Arial"/>
                <w:szCs w:val="20"/>
              </w:rPr>
              <w:t>(0.5 GPM, 1.0</w:t>
            </w:r>
            <w:r w:rsidR="00623FC6" w:rsidRPr="00FC4B51">
              <w:rPr>
                <w:rFonts w:cs="Arial"/>
                <w:szCs w:val="20"/>
              </w:rPr>
              <w:t xml:space="preserve"> </w:t>
            </w:r>
            <w:r w:rsidRPr="00FC4B51">
              <w:rPr>
                <w:rFonts w:cs="Arial"/>
                <w:szCs w:val="20"/>
              </w:rPr>
              <w:t xml:space="preserve">GPM flow rates) in commercial facilities to reduce water consumption and save energy associated with water heating </w:t>
            </w:r>
          </w:p>
        </w:tc>
      </w:tr>
      <w:tr w:rsidR="00AC5309" w:rsidRPr="00500C4E" w14:paraId="5026F590" w14:textId="77777777" w:rsidTr="00920905">
        <w:trPr>
          <w:trHeight w:val="465"/>
        </w:trPr>
        <w:tc>
          <w:tcPr>
            <w:tcW w:w="1875" w:type="pct"/>
          </w:tcPr>
          <w:p w14:paraId="5026F58E"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5026F58F" w14:textId="516E79E1" w:rsidR="00290ED8" w:rsidRPr="00337E3D" w:rsidRDefault="00456F7D" w:rsidP="00510858">
            <w:pPr>
              <w:rPr>
                <w:rFonts w:cs="Arial"/>
                <w:szCs w:val="20"/>
              </w:rPr>
            </w:pPr>
            <w:r w:rsidRPr="00337E3D">
              <w:rPr>
                <w:rFonts w:cs="Arial"/>
                <w:szCs w:val="20"/>
              </w:rPr>
              <w:t>Existing faucets</w:t>
            </w:r>
            <w:r w:rsidR="00510858" w:rsidRPr="00337E3D">
              <w:rPr>
                <w:rFonts w:cs="Arial"/>
                <w:szCs w:val="20"/>
              </w:rPr>
              <w:t xml:space="preserve"> with max flow rate of 2.2 GPM flow rate or greater</w:t>
            </w:r>
          </w:p>
        </w:tc>
      </w:tr>
      <w:tr w:rsidR="00D36798" w:rsidRPr="00500C4E" w14:paraId="5026F593" w14:textId="77777777" w:rsidTr="00920905">
        <w:trPr>
          <w:trHeight w:val="465"/>
        </w:trPr>
        <w:tc>
          <w:tcPr>
            <w:tcW w:w="1875" w:type="pct"/>
          </w:tcPr>
          <w:p w14:paraId="5026F591"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026F592" w14:textId="77777777" w:rsidR="00D36798" w:rsidRPr="00500C4E" w:rsidRDefault="00FB3DD3">
            <w:pPr>
              <w:rPr>
                <w:rFonts w:cs="Arial"/>
                <w:color w:val="FF0000"/>
                <w:szCs w:val="20"/>
              </w:rPr>
            </w:pPr>
            <w:r w:rsidRPr="00FC4B51">
              <w:rPr>
                <w:rFonts w:cs="Arial"/>
                <w:szCs w:val="20"/>
              </w:rPr>
              <w:t>Per fixture</w:t>
            </w:r>
          </w:p>
        </w:tc>
      </w:tr>
      <w:tr w:rsidR="00290ED8" w:rsidRPr="00500C4E" w14:paraId="5026F597" w14:textId="77777777" w:rsidTr="00920905">
        <w:trPr>
          <w:trHeight w:val="465"/>
        </w:trPr>
        <w:tc>
          <w:tcPr>
            <w:tcW w:w="1875" w:type="pct"/>
          </w:tcPr>
          <w:p w14:paraId="5026F594"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3405800" w14:textId="4D947C0F" w:rsidR="00D26DAD" w:rsidRPr="00D26DAD" w:rsidRDefault="00D26DAD">
            <w:pPr>
              <w:rPr>
                <w:rFonts w:cs="Arial"/>
                <w:szCs w:val="20"/>
              </w:rPr>
            </w:pPr>
            <w:r w:rsidRPr="00D26DAD">
              <w:rPr>
                <w:rFonts w:cs="Arial"/>
                <w:szCs w:val="20"/>
              </w:rPr>
              <w:t>Values averaged for all CA Climate Zones</w:t>
            </w:r>
            <w:r w:rsidR="00AA32DE">
              <w:rPr>
                <w:rFonts w:cs="Arial"/>
                <w:szCs w:val="20"/>
              </w:rPr>
              <w:t xml:space="preserve"> and faucet types</w:t>
            </w:r>
            <w:r w:rsidRPr="00D26DAD">
              <w:rPr>
                <w:rFonts w:cs="Arial"/>
                <w:szCs w:val="20"/>
              </w:rPr>
              <w:t>:</w:t>
            </w:r>
          </w:p>
          <w:p w14:paraId="5026F595" w14:textId="0A68CE0A" w:rsidR="00AC2F5B" w:rsidRPr="00171E14" w:rsidRDefault="00D26DAD" w:rsidP="00171E14">
            <w:pPr>
              <w:pStyle w:val="ListParagraph"/>
              <w:numPr>
                <w:ilvl w:val="0"/>
                <w:numId w:val="47"/>
              </w:numPr>
              <w:rPr>
                <w:rFonts w:cs="Arial"/>
                <w:szCs w:val="20"/>
              </w:rPr>
            </w:pPr>
            <w:r w:rsidRPr="00171E14">
              <w:rPr>
                <w:rFonts w:cs="Arial"/>
                <w:szCs w:val="20"/>
              </w:rPr>
              <w:t xml:space="preserve">0.5 GPM Aerator: </w:t>
            </w:r>
            <w:r w:rsidR="00AA32DE">
              <w:rPr>
                <w:rFonts w:cs="Arial"/>
                <w:szCs w:val="20"/>
              </w:rPr>
              <w:t>6.56</w:t>
            </w:r>
            <w:r w:rsidRPr="00171E14">
              <w:rPr>
                <w:rFonts w:cs="Arial"/>
                <w:szCs w:val="20"/>
              </w:rPr>
              <w:t xml:space="preserve"> therms/fixture</w:t>
            </w:r>
          </w:p>
          <w:p w14:paraId="37C92F9F" w14:textId="0E6D021E" w:rsidR="00D26DAD" w:rsidRPr="00171E14" w:rsidRDefault="002868C9" w:rsidP="00171E14">
            <w:pPr>
              <w:pStyle w:val="ListParagraph"/>
              <w:numPr>
                <w:ilvl w:val="0"/>
                <w:numId w:val="47"/>
              </w:numPr>
              <w:rPr>
                <w:rFonts w:cs="Arial"/>
                <w:szCs w:val="20"/>
              </w:rPr>
            </w:pPr>
            <w:r>
              <w:rPr>
                <w:rFonts w:cs="Arial"/>
                <w:szCs w:val="20"/>
              </w:rPr>
              <w:t xml:space="preserve">1.0 </w:t>
            </w:r>
            <w:r w:rsidR="00D26DAD" w:rsidRPr="00171E14">
              <w:rPr>
                <w:rFonts w:cs="Arial"/>
                <w:szCs w:val="20"/>
              </w:rPr>
              <w:t>GPM Aerator</w:t>
            </w:r>
            <w:r w:rsidR="00D26DAD" w:rsidRPr="009E3C75">
              <w:rPr>
                <w:rFonts w:cs="Arial"/>
                <w:szCs w:val="20"/>
              </w:rPr>
              <w:t xml:space="preserve">: </w:t>
            </w:r>
            <w:r w:rsidR="00AA32DE">
              <w:rPr>
                <w:rFonts w:cs="Arial"/>
                <w:szCs w:val="20"/>
              </w:rPr>
              <w:t>3.75</w:t>
            </w:r>
            <w:r w:rsidR="00D26DAD" w:rsidRPr="00171E14">
              <w:rPr>
                <w:rFonts w:cs="Arial"/>
                <w:szCs w:val="20"/>
              </w:rPr>
              <w:t xml:space="preserve"> therms/fixture</w:t>
            </w:r>
          </w:p>
          <w:p w14:paraId="5026F596" w14:textId="6F6E2A64" w:rsidR="00290ED8" w:rsidRPr="00500C4E" w:rsidRDefault="00D36798">
            <w:pPr>
              <w:rPr>
                <w:rFonts w:cs="Arial"/>
                <w:szCs w:val="20"/>
              </w:rPr>
            </w:pPr>
            <w:r w:rsidRPr="00500C4E">
              <w:rPr>
                <w:rFonts w:cs="Arial"/>
                <w:szCs w:val="20"/>
              </w:rPr>
              <w:t>Refer to Excel Calculation</w:t>
            </w:r>
            <w:r w:rsidR="00B54399">
              <w:rPr>
                <w:rFonts w:cs="Arial"/>
                <w:szCs w:val="20"/>
              </w:rPr>
              <w:t>s</w:t>
            </w:r>
            <w:r w:rsidRPr="00500C4E">
              <w:rPr>
                <w:rFonts w:cs="Arial"/>
                <w:szCs w:val="20"/>
              </w:rPr>
              <w:t xml:space="preserve"> </w:t>
            </w:r>
            <w:r w:rsidR="0005543D">
              <w:rPr>
                <w:rFonts w:cs="Arial"/>
                <w:szCs w:val="20"/>
              </w:rPr>
              <w:t>(</w:t>
            </w:r>
            <w:r w:rsidRPr="0005543D">
              <w:rPr>
                <w:rFonts w:cs="Arial"/>
                <w:b/>
                <w:i/>
                <w:szCs w:val="20"/>
              </w:rPr>
              <w:t>Attachment</w:t>
            </w:r>
            <w:r w:rsidR="0005543D" w:rsidRPr="0005543D">
              <w:rPr>
                <w:rFonts w:cs="Arial"/>
                <w:b/>
                <w:i/>
                <w:szCs w:val="20"/>
              </w:rPr>
              <w:t xml:space="preserve"> A</w:t>
            </w:r>
            <w:r w:rsidR="0005543D">
              <w:rPr>
                <w:rFonts w:cs="Arial"/>
                <w:szCs w:val="20"/>
              </w:rPr>
              <w:t>)</w:t>
            </w:r>
            <w:r w:rsidR="00171E14">
              <w:rPr>
                <w:rFonts w:cs="Arial"/>
                <w:szCs w:val="20"/>
              </w:rPr>
              <w:t xml:space="preserve"> for full savings results</w:t>
            </w:r>
            <w:r w:rsidR="00B54399">
              <w:rPr>
                <w:rFonts w:cs="Arial"/>
                <w:szCs w:val="20"/>
              </w:rPr>
              <w:t xml:space="preserve"> for all 16 climate zones. </w:t>
            </w:r>
          </w:p>
        </w:tc>
      </w:tr>
      <w:tr w:rsidR="00290ED8" w:rsidRPr="00500C4E" w14:paraId="5026F59B" w14:textId="77777777" w:rsidTr="00920905">
        <w:trPr>
          <w:trHeight w:val="465"/>
        </w:trPr>
        <w:tc>
          <w:tcPr>
            <w:tcW w:w="1875" w:type="pct"/>
          </w:tcPr>
          <w:p w14:paraId="5026F598"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026F59A" w14:textId="78217E33" w:rsidR="00290ED8" w:rsidRPr="00F25D9C" w:rsidRDefault="00F25D9C" w:rsidP="00F25D9C">
            <w:pPr>
              <w:rPr>
                <w:rFonts w:cs="Arial"/>
                <w:szCs w:val="20"/>
              </w:rPr>
            </w:pPr>
            <w:r w:rsidRPr="00F25D9C">
              <w:rPr>
                <w:rFonts w:cs="Arial"/>
                <w:szCs w:val="20"/>
              </w:rPr>
              <w:t>$7.17/unit</w:t>
            </w:r>
          </w:p>
        </w:tc>
      </w:tr>
      <w:tr w:rsidR="00AC5309" w:rsidRPr="00500C4E" w14:paraId="5026F59F" w14:textId="77777777" w:rsidTr="00920905">
        <w:trPr>
          <w:trHeight w:val="465"/>
        </w:trPr>
        <w:tc>
          <w:tcPr>
            <w:tcW w:w="1875" w:type="pct"/>
          </w:tcPr>
          <w:p w14:paraId="5026F59C"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5026F59E" w14:textId="76E3F377" w:rsidR="00290ED8" w:rsidRPr="00F25D9C" w:rsidRDefault="00F25D9C" w:rsidP="00AC2F5B">
            <w:pPr>
              <w:rPr>
                <w:rFonts w:cs="Arial"/>
                <w:szCs w:val="20"/>
              </w:rPr>
            </w:pPr>
            <w:r w:rsidRPr="00F25D9C">
              <w:rPr>
                <w:rFonts w:cs="Arial"/>
                <w:szCs w:val="20"/>
              </w:rPr>
              <w:t>$7.17/unit</w:t>
            </w:r>
          </w:p>
        </w:tc>
      </w:tr>
      <w:tr w:rsidR="00290ED8" w:rsidRPr="00500C4E" w14:paraId="5026F5A2" w14:textId="77777777" w:rsidTr="00920905">
        <w:trPr>
          <w:trHeight w:val="465"/>
        </w:trPr>
        <w:tc>
          <w:tcPr>
            <w:tcW w:w="1875" w:type="pct"/>
          </w:tcPr>
          <w:p w14:paraId="5026F5A0"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026F5A1" w14:textId="4AEE52EF" w:rsidR="00290ED8" w:rsidRPr="00500C4E" w:rsidRDefault="00732C52" w:rsidP="00CA70F7">
            <w:pPr>
              <w:rPr>
                <w:rFonts w:cs="Arial"/>
                <w:color w:val="FF0000"/>
                <w:szCs w:val="20"/>
              </w:rPr>
            </w:pPr>
            <w:r w:rsidRPr="003D5FE6">
              <w:rPr>
                <w:rFonts w:cs="Arial"/>
                <w:szCs w:val="20"/>
              </w:rPr>
              <w:t xml:space="preserve">EUL of faucet: 20 years (EUL ID: </w:t>
            </w:r>
            <w:r w:rsidRPr="003D5FE6">
              <w:rPr>
                <w:szCs w:val="20"/>
              </w:rPr>
              <w:t>WtrHt-WH-Faucet)</w:t>
            </w:r>
            <w:r w:rsidRPr="003D5FE6">
              <w:rPr>
                <w:szCs w:val="20"/>
              </w:rPr>
              <w:br/>
            </w:r>
            <w:r w:rsidRPr="003D5FE6">
              <w:rPr>
                <w:rFonts w:cs="Arial"/>
                <w:szCs w:val="20"/>
              </w:rPr>
              <w:t>Measure life = RUL of faucet = 6.67 years</w:t>
            </w:r>
          </w:p>
        </w:tc>
      </w:tr>
      <w:tr w:rsidR="00AC5309" w:rsidRPr="00500C4E" w14:paraId="5026F5A5" w14:textId="77777777" w:rsidTr="00920905">
        <w:trPr>
          <w:trHeight w:val="465"/>
        </w:trPr>
        <w:tc>
          <w:tcPr>
            <w:tcW w:w="1875" w:type="pct"/>
          </w:tcPr>
          <w:p w14:paraId="5026F5A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5026F5A4" w14:textId="77777777" w:rsidR="00290ED8" w:rsidRPr="00500C4E" w:rsidRDefault="001C1338">
            <w:pPr>
              <w:rPr>
                <w:rFonts w:cs="Arial"/>
                <w:color w:val="FF0000"/>
                <w:szCs w:val="20"/>
              </w:rPr>
            </w:pPr>
            <w:r w:rsidRPr="00FC4B51">
              <w:rPr>
                <w:szCs w:val="20"/>
              </w:rPr>
              <w:t>Retrofit Add-on (REA)</w:t>
            </w:r>
          </w:p>
        </w:tc>
      </w:tr>
      <w:tr w:rsidR="00290ED8" w:rsidRPr="00500C4E" w14:paraId="5026F5AA" w14:textId="77777777" w:rsidTr="00920905">
        <w:trPr>
          <w:trHeight w:val="465"/>
        </w:trPr>
        <w:tc>
          <w:tcPr>
            <w:tcW w:w="1875" w:type="pct"/>
          </w:tcPr>
          <w:p w14:paraId="5026F5A6"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5026F5A9" w14:textId="0F6BA63B" w:rsidR="00290ED8" w:rsidRPr="00C75333" w:rsidRDefault="00732C52">
            <w:pPr>
              <w:rPr>
                <w:szCs w:val="20"/>
              </w:rPr>
            </w:pPr>
            <w:r w:rsidRPr="00103802">
              <w:rPr>
                <w:szCs w:val="20"/>
              </w:rPr>
              <w:t>0.7 (DEER NTGR ID: All-Default&lt;=2yrs)</w:t>
            </w:r>
          </w:p>
        </w:tc>
      </w:tr>
      <w:tr w:rsidR="00290ED8" w:rsidRPr="00500C4E" w14:paraId="5026F5AD" w14:textId="77777777" w:rsidTr="00920905">
        <w:trPr>
          <w:trHeight w:val="465"/>
        </w:trPr>
        <w:tc>
          <w:tcPr>
            <w:tcW w:w="1875" w:type="pct"/>
          </w:tcPr>
          <w:p w14:paraId="5026F5A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5026F5AC"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5026F5AE" w14:textId="77777777" w:rsidR="00AC5309" w:rsidRPr="00500C4E" w:rsidRDefault="00AC5309">
      <w:pPr>
        <w:spacing w:after="200" w:line="276" w:lineRule="auto"/>
        <w:rPr>
          <w:rFonts w:cstheme="minorHAnsi"/>
          <w:b/>
          <w:bCs/>
          <w:smallCaps/>
          <w:kern w:val="32"/>
          <w:sz w:val="36"/>
          <w:szCs w:val="32"/>
        </w:rPr>
      </w:pPr>
    </w:p>
    <w:p w14:paraId="5026F5AF"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5026F5B0" w14:textId="77777777" w:rsidR="0088361D" w:rsidRPr="00500C4E" w:rsidRDefault="00EB34FC" w:rsidP="00C959CA">
      <w:pPr>
        <w:pStyle w:val="Heading1"/>
      </w:pPr>
      <w:bookmarkStart w:id="9" w:name="_Toc478657379"/>
      <w:r w:rsidRPr="00500C4E">
        <w:lastRenderedPageBreak/>
        <w:t>Revision History</w:t>
      </w:r>
      <w:bookmarkEnd w:id="9"/>
    </w:p>
    <w:tbl>
      <w:tblPr>
        <w:tblStyle w:val="TableGrid1"/>
        <w:tblW w:w="5000" w:type="pct"/>
        <w:tblLook w:val="01E0" w:firstRow="1" w:lastRow="1" w:firstColumn="1" w:lastColumn="1" w:noHBand="0" w:noVBand="0"/>
      </w:tblPr>
      <w:tblGrid>
        <w:gridCol w:w="524"/>
        <w:gridCol w:w="979"/>
        <w:gridCol w:w="1642"/>
        <w:gridCol w:w="6205"/>
      </w:tblGrid>
      <w:tr w:rsidR="003845E5" w:rsidRPr="00500C4E" w14:paraId="5026F5B5" w14:textId="77777777" w:rsidTr="00F777A1">
        <w:trPr>
          <w:trHeight w:val="20"/>
        </w:trPr>
        <w:tc>
          <w:tcPr>
            <w:tcW w:w="280" w:type="pct"/>
            <w:shd w:val="clear" w:color="auto" w:fill="D9D9D9" w:themeFill="background1" w:themeFillShade="D9"/>
          </w:tcPr>
          <w:p w14:paraId="5026F5B1" w14:textId="77777777"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5026F5B2" w14:textId="77777777" w:rsidR="00933188" w:rsidRPr="00500C4E" w:rsidRDefault="00933188" w:rsidP="005729C8">
            <w:pPr>
              <w:rPr>
                <w:rFonts w:cstheme="minorHAnsi"/>
                <w:b/>
                <w:bCs/>
                <w:szCs w:val="20"/>
              </w:rPr>
            </w:pPr>
            <w:r w:rsidRPr="00920905">
              <w:rPr>
                <w:rFonts w:cstheme="minorHAnsi"/>
                <w:b/>
                <w:szCs w:val="20"/>
              </w:rPr>
              <w:t>Date</w:t>
            </w:r>
          </w:p>
        </w:tc>
        <w:tc>
          <w:tcPr>
            <w:tcW w:w="878" w:type="pct"/>
            <w:shd w:val="clear" w:color="auto" w:fill="D9D9D9" w:themeFill="background1" w:themeFillShade="D9"/>
          </w:tcPr>
          <w:p w14:paraId="5026F5B3" w14:textId="77777777" w:rsidR="00933188" w:rsidRPr="00500C4E" w:rsidRDefault="003845E5" w:rsidP="003845E5">
            <w:pPr>
              <w:rPr>
                <w:rFonts w:cstheme="minorHAnsi"/>
                <w:b/>
                <w:bCs/>
                <w:szCs w:val="20"/>
              </w:rPr>
            </w:pPr>
            <w:r>
              <w:rPr>
                <w:rFonts w:cstheme="minorHAnsi"/>
                <w:b/>
                <w:szCs w:val="20"/>
              </w:rPr>
              <w:t>Author</w:t>
            </w:r>
          </w:p>
        </w:tc>
        <w:tc>
          <w:tcPr>
            <w:tcW w:w="3318" w:type="pct"/>
            <w:shd w:val="clear" w:color="auto" w:fill="D9D9D9" w:themeFill="background1" w:themeFillShade="D9"/>
          </w:tcPr>
          <w:p w14:paraId="5026F5B4"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5026F5BB" w14:textId="77777777" w:rsidTr="00F777A1">
        <w:trPr>
          <w:trHeight w:val="20"/>
        </w:trPr>
        <w:tc>
          <w:tcPr>
            <w:tcW w:w="280" w:type="pct"/>
          </w:tcPr>
          <w:p w14:paraId="5026F5B6" w14:textId="77777777" w:rsidR="00933188" w:rsidRPr="00B174DD" w:rsidRDefault="00933188" w:rsidP="005729C8">
            <w:pPr>
              <w:rPr>
                <w:rFonts w:cstheme="minorHAnsi"/>
                <w:color w:val="0070C0"/>
                <w:szCs w:val="20"/>
              </w:rPr>
            </w:pPr>
            <w:r w:rsidRPr="00FC4B51">
              <w:rPr>
                <w:rFonts w:cstheme="minorHAnsi"/>
                <w:szCs w:val="20"/>
              </w:rPr>
              <w:t>0</w:t>
            </w:r>
          </w:p>
        </w:tc>
        <w:tc>
          <w:tcPr>
            <w:tcW w:w="524" w:type="pct"/>
          </w:tcPr>
          <w:p w14:paraId="5026F5B7" w14:textId="77777777" w:rsidR="00933188" w:rsidRPr="00B174DD" w:rsidRDefault="009C7972" w:rsidP="005729C8">
            <w:pPr>
              <w:rPr>
                <w:rFonts w:cstheme="minorHAnsi"/>
                <w:color w:val="0070C0"/>
                <w:szCs w:val="20"/>
              </w:rPr>
            </w:pPr>
            <w:r w:rsidRPr="009C7972">
              <w:rPr>
                <w:rFonts w:cstheme="minorHAnsi"/>
                <w:szCs w:val="20"/>
              </w:rPr>
              <w:t>12/22</w:t>
            </w:r>
            <w:r w:rsidR="00E27C24" w:rsidRPr="009C7972">
              <w:rPr>
                <w:rFonts w:cstheme="minorHAnsi"/>
                <w:szCs w:val="20"/>
              </w:rPr>
              <w:t>/16</w:t>
            </w:r>
          </w:p>
        </w:tc>
        <w:tc>
          <w:tcPr>
            <w:tcW w:w="878" w:type="pct"/>
          </w:tcPr>
          <w:p w14:paraId="5026F5B8" w14:textId="77777777" w:rsidR="00933188" w:rsidRPr="00FC4B51" w:rsidRDefault="00E27C24" w:rsidP="001B2301">
            <w:pPr>
              <w:rPr>
                <w:rFonts w:cstheme="minorHAnsi"/>
                <w:szCs w:val="20"/>
              </w:rPr>
            </w:pPr>
            <w:r w:rsidRPr="00FC4B51">
              <w:rPr>
                <w:rFonts w:cstheme="minorHAnsi"/>
                <w:szCs w:val="20"/>
              </w:rPr>
              <w:t xml:space="preserve">Nicole Loo, SCG </w:t>
            </w:r>
          </w:p>
        </w:tc>
        <w:tc>
          <w:tcPr>
            <w:tcW w:w="3318" w:type="pct"/>
          </w:tcPr>
          <w:p w14:paraId="5026F5B9" w14:textId="77777777" w:rsidR="0003746D" w:rsidRPr="00FC4B51" w:rsidRDefault="006918D8" w:rsidP="00E27C24">
            <w:r>
              <w:t>Original work</w:t>
            </w:r>
            <w:r w:rsidR="00E27C24" w:rsidRPr="00FC4B51">
              <w:t xml:space="preserve">paper </w:t>
            </w:r>
          </w:p>
          <w:p w14:paraId="5026F5BA" w14:textId="77777777" w:rsidR="0036726C" w:rsidRPr="00FC4B51" w:rsidRDefault="0036726C" w:rsidP="00920905"/>
        </w:tc>
      </w:tr>
      <w:tr w:rsidR="00EC39FC" w:rsidRPr="00500C4E" w14:paraId="5026F5C0" w14:textId="77777777" w:rsidTr="00F777A1">
        <w:trPr>
          <w:trHeight w:val="20"/>
        </w:trPr>
        <w:tc>
          <w:tcPr>
            <w:tcW w:w="280" w:type="pct"/>
          </w:tcPr>
          <w:p w14:paraId="5026F5BC" w14:textId="77777777" w:rsidR="00EC39FC" w:rsidRPr="00B174DD" w:rsidRDefault="00EC39FC" w:rsidP="005729C8">
            <w:pPr>
              <w:rPr>
                <w:rFonts w:cstheme="minorHAnsi"/>
                <w:color w:val="0070C0"/>
                <w:szCs w:val="20"/>
              </w:rPr>
            </w:pPr>
          </w:p>
        </w:tc>
        <w:tc>
          <w:tcPr>
            <w:tcW w:w="524" w:type="pct"/>
          </w:tcPr>
          <w:p w14:paraId="5026F5BD" w14:textId="77777777" w:rsidR="00EC39FC" w:rsidRPr="00B174DD" w:rsidRDefault="00EC39FC" w:rsidP="005729C8">
            <w:pPr>
              <w:rPr>
                <w:rFonts w:cstheme="minorHAnsi"/>
                <w:color w:val="0070C0"/>
                <w:szCs w:val="20"/>
              </w:rPr>
            </w:pPr>
          </w:p>
        </w:tc>
        <w:tc>
          <w:tcPr>
            <w:tcW w:w="878" w:type="pct"/>
          </w:tcPr>
          <w:p w14:paraId="5026F5BE" w14:textId="77777777" w:rsidR="00EC39FC" w:rsidRPr="00B174DD" w:rsidRDefault="00EC39FC" w:rsidP="001B2301">
            <w:pPr>
              <w:rPr>
                <w:rFonts w:cstheme="minorHAnsi"/>
                <w:color w:val="0070C0"/>
                <w:szCs w:val="20"/>
              </w:rPr>
            </w:pPr>
          </w:p>
        </w:tc>
        <w:tc>
          <w:tcPr>
            <w:tcW w:w="3318" w:type="pct"/>
          </w:tcPr>
          <w:p w14:paraId="5026F5BF" w14:textId="77777777" w:rsidR="00EC39FC" w:rsidRPr="00B174DD" w:rsidRDefault="00EC39FC" w:rsidP="00E27C24">
            <w:pPr>
              <w:rPr>
                <w:color w:val="0070C0"/>
              </w:rPr>
            </w:pPr>
          </w:p>
        </w:tc>
      </w:tr>
    </w:tbl>
    <w:p w14:paraId="5026F5C1" w14:textId="77777777" w:rsidR="00E325BE" w:rsidRDefault="00800706" w:rsidP="00E325BE">
      <w:pPr>
        <w:pStyle w:val="Heading1"/>
      </w:pPr>
      <w:bookmarkStart w:id="10" w:name="_Toc478657380"/>
      <w:r>
        <w:t xml:space="preserve">Commission Staff </w:t>
      </w:r>
      <w:r w:rsidR="000C687D">
        <w:t>and Cal TF</w:t>
      </w:r>
      <w:r>
        <w:t xml:space="preserve"> Comment</w:t>
      </w:r>
      <w:r w:rsidR="001E1320">
        <w:t>s</w:t>
      </w:r>
      <w:bookmarkEnd w:id="10"/>
    </w:p>
    <w:tbl>
      <w:tblPr>
        <w:tblStyle w:val="TableGrid1"/>
        <w:tblW w:w="5000" w:type="pct"/>
        <w:tblLook w:val="01E0" w:firstRow="1" w:lastRow="1" w:firstColumn="1" w:lastColumn="1" w:noHBand="0" w:noVBand="0"/>
      </w:tblPr>
      <w:tblGrid>
        <w:gridCol w:w="524"/>
        <w:gridCol w:w="657"/>
        <w:gridCol w:w="1026"/>
        <w:gridCol w:w="1033"/>
        <w:gridCol w:w="3055"/>
        <w:gridCol w:w="3055"/>
      </w:tblGrid>
      <w:tr w:rsidR="008877AF" w:rsidRPr="00500C4E" w14:paraId="5026F5C8" w14:textId="77777777" w:rsidTr="00F90461">
        <w:trPr>
          <w:trHeight w:val="20"/>
        </w:trPr>
        <w:tc>
          <w:tcPr>
            <w:tcW w:w="280" w:type="pct"/>
            <w:shd w:val="clear" w:color="auto" w:fill="D9D9D9" w:themeFill="background1" w:themeFillShade="D9"/>
          </w:tcPr>
          <w:p w14:paraId="5026F5C2"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5026F5C3" w14:textId="77777777" w:rsidR="008877AF" w:rsidRPr="00090AC9" w:rsidRDefault="008877AF" w:rsidP="00EE4120">
            <w:pPr>
              <w:rPr>
                <w:b/>
                <w:szCs w:val="20"/>
              </w:rPr>
            </w:pPr>
            <w:r>
              <w:rPr>
                <w:b/>
                <w:szCs w:val="20"/>
              </w:rPr>
              <w:t>Party</w:t>
            </w:r>
          </w:p>
        </w:tc>
        <w:tc>
          <w:tcPr>
            <w:tcW w:w="549" w:type="pct"/>
            <w:shd w:val="clear" w:color="auto" w:fill="D9D9D9" w:themeFill="background1" w:themeFillShade="D9"/>
          </w:tcPr>
          <w:p w14:paraId="5026F5C4"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5026F5C5"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026F5C6" w14:textId="77777777" w:rsidR="008877AF" w:rsidRPr="00090AC9" w:rsidRDefault="008877AF" w:rsidP="004B01C9">
            <w:pPr>
              <w:rPr>
                <w:b/>
                <w:bCs/>
                <w:szCs w:val="20"/>
              </w:rPr>
            </w:pPr>
            <w:r w:rsidRPr="00090AC9">
              <w:rPr>
                <w:b/>
                <w:szCs w:val="20"/>
              </w:rPr>
              <w:t>Comments</w:t>
            </w:r>
          </w:p>
        </w:tc>
        <w:tc>
          <w:tcPr>
            <w:tcW w:w="1634" w:type="pct"/>
            <w:shd w:val="clear" w:color="auto" w:fill="D9D9D9" w:themeFill="background1" w:themeFillShade="D9"/>
          </w:tcPr>
          <w:p w14:paraId="5026F5C7" w14:textId="77777777" w:rsidR="008877AF" w:rsidRPr="00090AC9" w:rsidRDefault="008877AF" w:rsidP="004B01C9">
            <w:pPr>
              <w:rPr>
                <w:b/>
                <w:szCs w:val="20"/>
              </w:rPr>
            </w:pPr>
            <w:r>
              <w:rPr>
                <w:b/>
                <w:szCs w:val="20"/>
              </w:rPr>
              <w:t>WP Developer Response</w:t>
            </w:r>
          </w:p>
        </w:tc>
      </w:tr>
      <w:tr w:rsidR="008877AF" w:rsidRPr="00500C4E" w14:paraId="5026F5CF" w14:textId="77777777" w:rsidTr="00F90461">
        <w:trPr>
          <w:trHeight w:val="20"/>
        </w:trPr>
        <w:tc>
          <w:tcPr>
            <w:tcW w:w="280" w:type="pct"/>
          </w:tcPr>
          <w:p w14:paraId="5026F5C9" w14:textId="77777777" w:rsidR="008877AF" w:rsidRPr="00EE4120" w:rsidRDefault="008877AF" w:rsidP="004B01C9">
            <w:pPr>
              <w:rPr>
                <w:bCs/>
                <w:color w:val="FF0000"/>
              </w:rPr>
            </w:pPr>
          </w:p>
        </w:tc>
        <w:tc>
          <w:tcPr>
            <w:tcW w:w="351" w:type="pct"/>
          </w:tcPr>
          <w:p w14:paraId="5026F5CA" w14:textId="77777777" w:rsidR="008877AF" w:rsidRPr="00EE4120" w:rsidRDefault="008877AF" w:rsidP="004B01C9">
            <w:pPr>
              <w:rPr>
                <w:bCs/>
                <w:color w:val="FF0000"/>
                <w:szCs w:val="20"/>
              </w:rPr>
            </w:pPr>
          </w:p>
        </w:tc>
        <w:tc>
          <w:tcPr>
            <w:tcW w:w="549" w:type="pct"/>
          </w:tcPr>
          <w:p w14:paraId="5026F5CB" w14:textId="77777777" w:rsidR="008877AF" w:rsidRPr="00EE4120" w:rsidRDefault="008877AF" w:rsidP="004B01C9">
            <w:pPr>
              <w:rPr>
                <w:bCs/>
                <w:color w:val="FF0000"/>
                <w:szCs w:val="20"/>
              </w:rPr>
            </w:pPr>
          </w:p>
        </w:tc>
        <w:tc>
          <w:tcPr>
            <w:tcW w:w="552" w:type="pct"/>
          </w:tcPr>
          <w:p w14:paraId="5026F5CC" w14:textId="77777777" w:rsidR="008877AF" w:rsidRPr="00EE4120" w:rsidRDefault="008877AF" w:rsidP="004B01C9">
            <w:pPr>
              <w:rPr>
                <w:bCs/>
                <w:color w:val="FF0000"/>
                <w:szCs w:val="20"/>
              </w:rPr>
            </w:pPr>
          </w:p>
        </w:tc>
        <w:tc>
          <w:tcPr>
            <w:tcW w:w="1634" w:type="pct"/>
          </w:tcPr>
          <w:p w14:paraId="5026F5CD" w14:textId="77777777" w:rsidR="008877AF" w:rsidRPr="00EC39FC" w:rsidRDefault="008877AF" w:rsidP="00EC39FC">
            <w:pPr>
              <w:rPr>
                <w:bCs/>
                <w:color w:val="FF0000"/>
                <w:szCs w:val="20"/>
              </w:rPr>
            </w:pPr>
          </w:p>
        </w:tc>
        <w:tc>
          <w:tcPr>
            <w:tcW w:w="1634" w:type="pct"/>
          </w:tcPr>
          <w:p w14:paraId="5026F5CE" w14:textId="77777777" w:rsidR="008877AF" w:rsidRPr="00EC39FC" w:rsidRDefault="008877AF" w:rsidP="00EC39FC">
            <w:pPr>
              <w:rPr>
                <w:bCs/>
                <w:color w:val="FF0000"/>
                <w:szCs w:val="20"/>
              </w:rPr>
            </w:pPr>
          </w:p>
        </w:tc>
      </w:tr>
      <w:tr w:rsidR="00EC39FC" w:rsidRPr="00500C4E" w14:paraId="5026F5D6" w14:textId="77777777" w:rsidTr="00F90461">
        <w:trPr>
          <w:trHeight w:val="20"/>
        </w:trPr>
        <w:tc>
          <w:tcPr>
            <w:tcW w:w="280" w:type="pct"/>
          </w:tcPr>
          <w:p w14:paraId="5026F5D0" w14:textId="77777777" w:rsidR="00EC39FC" w:rsidRPr="00EE4120" w:rsidRDefault="00EC39FC" w:rsidP="004B01C9">
            <w:pPr>
              <w:rPr>
                <w:bCs/>
                <w:color w:val="FF0000"/>
              </w:rPr>
            </w:pPr>
          </w:p>
        </w:tc>
        <w:tc>
          <w:tcPr>
            <w:tcW w:w="351" w:type="pct"/>
          </w:tcPr>
          <w:p w14:paraId="5026F5D1" w14:textId="77777777" w:rsidR="00EC39FC" w:rsidRPr="00EE4120" w:rsidRDefault="00EC39FC" w:rsidP="004B01C9">
            <w:pPr>
              <w:rPr>
                <w:bCs/>
                <w:color w:val="FF0000"/>
                <w:szCs w:val="20"/>
              </w:rPr>
            </w:pPr>
          </w:p>
        </w:tc>
        <w:tc>
          <w:tcPr>
            <w:tcW w:w="549" w:type="pct"/>
          </w:tcPr>
          <w:p w14:paraId="5026F5D2" w14:textId="77777777" w:rsidR="00EC39FC" w:rsidRPr="00EE4120" w:rsidRDefault="00EC39FC" w:rsidP="004B01C9">
            <w:pPr>
              <w:rPr>
                <w:bCs/>
                <w:color w:val="FF0000"/>
                <w:szCs w:val="20"/>
              </w:rPr>
            </w:pPr>
          </w:p>
        </w:tc>
        <w:tc>
          <w:tcPr>
            <w:tcW w:w="552" w:type="pct"/>
          </w:tcPr>
          <w:p w14:paraId="5026F5D3" w14:textId="77777777" w:rsidR="00EC39FC" w:rsidRPr="00EE4120" w:rsidRDefault="00EC39FC" w:rsidP="004B01C9">
            <w:pPr>
              <w:rPr>
                <w:bCs/>
                <w:color w:val="FF0000"/>
                <w:szCs w:val="20"/>
              </w:rPr>
            </w:pPr>
          </w:p>
        </w:tc>
        <w:tc>
          <w:tcPr>
            <w:tcW w:w="1634" w:type="pct"/>
          </w:tcPr>
          <w:p w14:paraId="5026F5D4" w14:textId="77777777" w:rsidR="00EC39FC" w:rsidRPr="00EC39FC" w:rsidRDefault="00EC39FC" w:rsidP="00EC39FC">
            <w:pPr>
              <w:rPr>
                <w:bCs/>
                <w:color w:val="FF0000"/>
                <w:szCs w:val="20"/>
              </w:rPr>
            </w:pPr>
          </w:p>
        </w:tc>
        <w:tc>
          <w:tcPr>
            <w:tcW w:w="1634" w:type="pct"/>
          </w:tcPr>
          <w:p w14:paraId="5026F5D5" w14:textId="77777777" w:rsidR="00EC39FC" w:rsidRPr="00EC39FC" w:rsidRDefault="00EC39FC" w:rsidP="00EC39FC">
            <w:pPr>
              <w:rPr>
                <w:bCs/>
                <w:color w:val="FF0000"/>
                <w:szCs w:val="20"/>
              </w:rPr>
            </w:pPr>
          </w:p>
        </w:tc>
      </w:tr>
    </w:tbl>
    <w:p w14:paraId="5026F5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33C53BF3" w14:textId="0B77E4E0" w:rsidR="000A7558" w:rsidRPr="00E67B8D" w:rsidRDefault="00DA2822" w:rsidP="00E67B8D">
      <w:pPr>
        <w:spacing w:line="276" w:lineRule="auto"/>
        <w:rPr>
          <w:rFonts w:cs="Arial"/>
          <w:b/>
          <w:bCs/>
          <w:smallCaps/>
          <w:kern w:val="32"/>
          <w:sz w:val="36"/>
          <w:szCs w:val="20"/>
        </w:rPr>
      </w:pPr>
      <w:r>
        <w:rPr>
          <w:szCs w:val="20"/>
        </w:rPr>
        <w:br w:type="page"/>
      </w:r>
    </w:p>
    <w:sdt>
      <w:sdtPr>
        <w:rPr>
          <w:rFonts w:asciiTheme="minorHAnsi" w:eastAsia="Times New Roman" w:hAnsiTheme="minorHAnsi" w:cs="Times New Roman"/>
          <w:color w:val="auto"/>
          <w:sz w:val="22"/>
          <w:szCs w:val="24"/>
        </w:rPr>
        <w:id w:val="-1603873503"/>
        <w:docPartObj>
          <w:docPartGallery w:val="Table of Contents"/>
          <w:docPartUnique/>
        </w:docPartObj>
      </w:sdtPr>
      <w:sdtEndPr>
        <w:rPr>
          <w:b/>
          <w:bCs/>
          <w:noProof/>
        </w:rPr>
      </w:sdtEndPr>
      <w:sdtContent>
        <w:p w14:paraId="30999FC9" w14:textId="6C74998D" w:rsidR="000A7558" w:rsidRDefault="000A7558">
          <w:pPr>
            <w:pStyle w:val="TOCHeading"/>
          </w:pPr>
          <w:r>
            <w:t>Table of Contents</w:t>
          </w:r>
        </w:p>
        <w:p w14:paraId="27F1750A" w14:textId="6E790939" w:rsidR="00B4429C" w:rsidRDefault="000A7558">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478657378" w:history="1">
            <w:r w:rsidR="00B4429C" w:rsidRPr="009F54A4">
              <w:rPr>
                <w:rStyle w:val="Hyperlink"/>
                <w:noProof/>
              </w:rPr>
              <w:t>At-a-Glance Summary</w:t>
            </w:r>
            <w:r w:rsidR="00B4429C">
              <w:rPr>
                <w:noProof/>
                <w:webHidden/>
              </w:rPr>
              <w:tab/>
            </w:r>
            <w:r w:rsidR="00B4429C">
              <w:rPr>
                <w:noProof/>
                <w:webHidden/>
              </w:rPr>
              <w:fldChar w:fldCharType="begin"/>
            </w:r>
            <w:r w:rsidR="00B4429C">
              <w:rPr>
                <w:noProof/>
                <w:webHidden/>
              </w:rPr>
              <w:instrText xml:space="preserve"> PAGEREF _Toc478657378 \h </w:instrText>
            </w:r>
            <w:r w:rsidR="00B4429C">
              <w:rPr>
                <w:noProof/>
                <w:webHidden/>
              </w:rPr>
            </w:r>
            <w:r w:rsidR="00B4429C">
              <w:rPr>
                <w:noProof/>
                <w:webHidden/>
              </w:rPr>
              <w:fldChar w:fldCharType="separate"/>
            </w:r>
            <w:r w:rsidR="001D7F1F">
              <w:rPr>
                <w:noProof/>
                <w:webHidden/>
              </w:rPr>
              <w:t>2</w:t>
            </w:r>
            <w:r w:rsidR="00B4429C">
              <w:rPr>
                <w:noProof/>
                <w:webHidden/>
              </w:rPr>
              <w:fldChar w:fldCharType="end"/>
            </w:r>
          </w:hyperlink>
        </w:p>
        <w:p w14:paraId="7523DB71" w14:textId="781B1923" w:rsidR="00B4429C" w:rsidRDefault="005A50B7">
          <w:pPr>
            <w:pStyle w:val="TOC1"/>
            <w:tabs>
              <w:tab w:val="right" w:leader="dot" w:pos="9350"/>
            </w:tabs>
            <w:rPr>
              <w:rFonts w:eastAsiaTheme="minorEastAsia" w:cstheme="minorBidi"/>
              <w:noProof/>
              <w:szCs w:val="22"/>
            </w:rPr>
          </w:pPr>
          <w:hyperlink w:anchor="_Toc478657379" w:history="1">
            <w:r w:rsidR="00B4429C" w:rsidRPr="009F54A4">
              <w:rPr>
                <w:rStyle w:val="Hyperlink"/>
                <w:noProof/>
              </w:rPr>
              <w:t>Revision History</w:t>
            </w:r>
            <w:r w:rsidR="00B4429C">
              <w:rPr>
                <w:noProof/>
                <w:webHidden/>
              </w:rPr>
              <w:tab/>
            </w:r>
            <w:r w:rsidR="00B4429C">
              <w:rPr>
                <w:noProof/>
                <w:webHidden/>
              </w:rPr>
              <w:fldChar w:fldCharType="begin"/>
            </w:r>
            <w:r w:rsidR="00B4429C">
              <w:rPr>
                <w:noProof/>
                <w:webHidden/>
              </w:rPr>
              <w:instrText xml:space="preserve"> PAGEREF _Toc478657379 \h </w:instrText>
            </w:r>
            <w:r w:rsidR="00B4429C">
              <w:rPr>
                <w:noProof/>
                <w:webHidden/>
              </w:rPr>
            </w:r>
            <w:r w:rsidR="00B4429C">
              <w:rPr>
                <w:noProof/>
                <w:webHidden/>
              </w:rPr>
              <w:fldChar w:fldCharType="separate"/>
            </w:r>
            <w:r w:rsidR="001D7F1F">
              <w:rPr>
                <w:noProof/>
                <w:webHidden/>
              </w:rPr>
              <w:t>3</w:t>
            </w:r>
            <w:r w:rsidR="00B4429C">
              <w:rPr>
                <w:noProof/>
                <w:webHidden/>
              </w:rPr>
              <w:fldChar w:fldCharType="end"/>
            </w:r>
          </w:hyperlink>
        </w:p>
        <w:p w14:paraId="7BA683F2" w14:textId="0D9CBCA3" w:rsidR="00B4429C" w:rsidRDefault="005A50B7">
          <w:pPr>
            <w:pStyle w:val="TOC1"/>
            <w:tabs>
              <w:tab w:val="right" w:leader="dot" w:pos="9350"/>
            </w:tabs>
            <w:rPr>
              <w:rFonts w:eastAsiaTheme="minorEastAsia" w:cstheme="minorBidi"/>
              <w:noProof/>
              <w:szCs w:val="22"/>
            </w:rPr>
          </w:pPr>
          <w:hyperlink w:anchor="_Toc478657380" w:history="1">
            <w:r w:rsidR="00B4429C" w:rsidRPr="009F54A4">
              <w:rPr>
                <w:rStyle w:val="Hyperlink"/>
                <w:noProof/>
              </w:rPr>
              <w:t>Commission Staff and Cal TF Comments</w:t>
            </w:r>
            <w:r w:rsidR="00B4429C">
              <w:rPr>
                <w:noProof/>
                <w:webHidden/>
              </w:rPr>
              <w:tab/>
            </w:r>
            <w:r w:rsidR="00B4429C">
              <w:rPr>
                <w:noProof/>
                <w:webHidden/>
              </w:rPr>
              <w:fldChar w:fldCharType="begin"/>
            </w:r>
            <w:r w:rsidR="00B4429C">
              <w:rPr>
                <w:noProof/>
                <w:webHidden/>
              </w:rPr>
              <w:instrText xml:space="preserve"> PAGEREF _Toc478657380 \h </w:instrText>
            </w:r>
            <w:r w:rsidR="00B4429C">
              <w:rPr>
                <w:noProof/>
                <w:webHidden/>
              </w:rPr>
            </w:r>
            <w:r w:rsidR="00B4429C">
              <w:rPr>
                <w:noProof/>
                <w:webHidden/>
              </w:rPr>
              <w:fldChar w:fldCharType="separate"/>
            </w:r>
            <w:r w:rsidR="001D7F1F">
              <w:rPr>
                <w:noProof/>
                <w:webHidden/>
              </w:rPr>
              <w:t>3</w:t>
            </w:r>
            <w:r w:rsidR="00B4429C">
              <w:rPr>
                <w:noProof/>
                <w:webHidden/>
              </w:rPr>
              <w:fldChar w:fldCharType="end"/>
            </w:r>
          </w:hyperlink>
        </w:p>
        <w:p w14:paraId="3E20CB88" w14:textId="4E5B56B0" w:rsidR="00B4429C" w:rsidRDefault="005A50B7">
          <w:pPr>
            <w:pStyle w:val="TOC1"/>
            <w:tabs>
              <w:tab w:val="right" w:leader="dot" w:pos="9350"/>
            </w:tabs>
            <w:rPr>
              <w:rFonts w:eastAsiaTheme="minorEastAsia" w:cstheme="minorBidi"/>
              <w:noProof/>
              <w:szCs w:val="22"/>
            </w:rPr>
          </w:pPr>
          <w:hyperlink w:anchor="_Toc478657381" w:history="1">
            <w:r w:rsidR="00B4429C" w:rsidRPr="009F54A4">
              <w:rPr>
                <w:rStyle w:val="Hyperlink"/>
                <w:rFonts w:cstheme="minorHAnsi"/>
                <w:noProof/>
              </w:rPr>
              <w:t>Section 1. General Measure &amp; Baseline Data</w:t>
            </w:r>
            <w:r w:rsidR="00B4429C">
              <w:rPr>
                <w:noProof/>
                <w:webHidden/>
              </w:rPr>
              <w:tab/>
            </w:r>
            <w:r w:rsidR="00B4429C">
              <w:rPr>
                <w:noProof/>
                <w:webHidden/>
              </w:rPr>
              <w:fldChar w:fldCharType="begin"/>
            </w:r>
            <w:r w:rsidR="00B4429C">
              <w:rPr>
                <w:noProof/>
                <w:webHidden/>
              </w:rPr>
              <w:instrText xml:space="preserve"> PAGEREF _Toc478657381 \h </w:instrText>
            </w:r>
            <w:r w:rsidR="00B4429C">
              <w:rPr>
                <w:noProof/>
                <w:webHidden/>
              </w:rPr>
            </w:r>
            <w:r w:rsidR="00B4429C">
              <w:rPr>
                <w:noProof/>
                <w:webHidden/>
              </w:rPr>
              <w:fldChar w:fldCharType="separate"/>
            </w:r>
            <w:r w:rsidR="001D7F1F">
              <w:rPr>
                <w:noProof/>
                <w:webHidden/>
              </w:rPr>
              <w:t>5</w:t>
            </w:r>
            <w:r w:rsidR="00B4429C">
              <w:rPr>
                <w:noProof/>
                <w:webHidden/>
              </w:rPr>
              <w:fldChar w:fldCharType="end"/>
            </w:r>
          </w:hyperlink>
        </w:p>
        <w:p w14:paraId="0B2CFA8C" w14:textId="51260B4A" w:rsidR="00B4429C" w:rsidRDefault="005A50B7">
          <w:pPr>
            <w:pStyle w:val="TOC2"/>
            <w:tabs>
              <w:tab w:val="right" w:leader="dot" w:pos="9350"/>
            </w:tabs>
            <w:rPr>
              <w:rFonts w:eastAsiaTheme="minorEastAsia" w:cstheme="minorBidi"/>
              <w:noProof/>
              <w:szCs w:val="22"/>
            </w:rPr>
          </w:pPr>
          <w:hyperlink w:anchor="_Toc478657382" w:history="1">
            <w:r w:rsidR="00B4429C" w:rsidRPr="009F54A4">
              <w:rPr>
                <w:rStyle w:val="Hyperlink"/>
                <w:noProof/>
              </w:rPr>
              <w:t>1.1 Measure Description &amp; Background</w:t>
            </w:r>
            <w:r w:rsidR="00B4429C">
              <w:rPr>
                <w:noProof/>
                <w:webHidden/>
              </w:rPr>
              <w:tab/>
            </w:r>
            <w:r w:rsidR="00B4429C">
              <w:rPr>
                <w:noProof/>
                <w:webHidden/>
              </w:rPr>
              <w:fldChar w:fldCharType="begin"/>
            </w:r>
            <w:r w:rsidR="00B4429C">
              <w:rPr>
                <w:noProof/>
                <w:webHidden/>
              </w:rPr>
              <w:instrText xml:space="preserve"> PAGEREF _Toc478657382 \h </w:instrText>
            </w:r>
            <w:r w:rsidR="00B4429C">
              <w:rPr>
                <w:noProof/>
                <w:webHidden/>
              </w:rPr>
            </w:r>
            <w:r w:rsidR="00B4429C">
              <w:rPr>
                <w:noProof/>
                <w:webHidden/>
              </w:rPr>
              <w:fldChar w:fldCharType="separate"/>
            </w:r>
            <w:r w:rsidR="001D7F1F">
              <w:rPr>
                <w:noProof/>
                <w:webHidden/>
              </w:rPr>
              <w:t>5</w:t>
            </w:r>
            <w:r w:rsidR="00B4429C">
              <w:rPr>
                <w:noProof/>
                <w:webHidden/>
              </w:rPr>
              <w:fldChar w:fldCharType="end"/>
            </w:r>
          </w:hyperlink>
        </w:p>
        <w:p w14:paraId="5794940A" w14:textId="5901ADEF" w:rsidR="00B4429C" w:rsidRDefault="005A50B7">
          <w:pPr>
            <w:pStyle w:val="TOC2"/>
            <w:tabs>
              <w:tab w:val="right" w:leader="dot" w:pos="9350"/>
            </w:tabs>
            <w:rPr>
              <w:rFonts w:eastAsiaTheme="minorEastAsia" w:cstheme="minorBidi"/>
              <w:noProof/>
              <w:szCs w:val="22"/>
            </w:rPr>
          </w:pPr>
          <w:hyperlink w:anchor="_Toc478657383" w:history="1">
            <w:r w:rsidR="00B4429C" w:rsidRPr="009F54A4">
              <w:rPr>
                <w:rStyle w:val="Hyperlink"/>
                <w:noProof/>
              </w:rPr>
              <w:t>1.2 Technical Description</w:t>
            </w:r>
            <w:r w:rsidR="00B4429C">
              <w:rPr>
                <w:noProof/>
                <w:webHidden/>
              </w:rPr>
              <w:tab/>
            </w:r>
            <w:r w:rsidR="00B4429C">
              <w:rPr>
                <w:noProof/>
                <w:webHidden/>
              </w:rPr>
              <w:fldChar w:fldCharType="begin"/>
            </w:r>
            <w:r w:rsidR="00B4429C">
              <w:rPr>
                <w:noProof/>
                <w:webHidden/>
              </w:rPr>
              <w:instrText xml:space="preserve"> PAGEREF _Toc478657383 \h </w:instrText>
            </w:r>
            <w:r w:rsidR="00B4429C">
              <w:rPr>
                <w:noProof/>
                <w:webHidden/>
              </w:rPr>
            </w:r>
            <w:r w:rsidR="00B4429C">
              <w:rPr>
                <w:noProof/>
                <w:webHidden/>
              </w:rPr>
              <w:fldChar w:fldCharType="separate"/>
            </w:r>
            <w:r w:rsidR="001D7F1F">
              <w:rPr>
                <w:noProof/>
                <w:webHidden/>
              </w:rPr>
              <w:t>6</w:t>
            </w:r>
            <w:r w:rsidR="00B4429C">
              <w:rPr>
                <w:noProof/>
                <w:webHidden/>
              </w:rPr>
              <w:fldChar w:fldCharType="end"/>
            </w:r>
          </w:hyperlink>
        </w:p>
        <w:p w14:paraId="7A0032E6" w14:textId="21465198" w:rsidR="00B4429C" w:rsidRDefault="005A50B7">
          <w:pPr>
            <w:pStyle w:val="TOC2"/>
            <w:tabs>
              <w:tab w:val="right" w:leader="dot" w:pos="9350"/>
            </w:tabs>
            <w:rPr>
              <w:rFonts w:eastAsiaTheme="minorEastAsia" w:cstheme="minorBidi"/>
              <w:noProof/>
              <w:szCs w:val="22"/>
            </w:rPr>
          </w:pPr>
          <w:hyperlink w:anchor="_Toc478657384" w:history="1">
            <w:r w:rsidR="00B4429C" w:rsidRPr="009F54A4">
              <w:rPr>
                <w:rStyle w:val="Hyperlink"/>
                <w:noProof/>
              </w:rPr>
              <w:t>1.3 Installation Types and Delivery Mechanisms</w:t>
            </w:r>
            <w:r w:rsidR="00B4429C">
              <w:rPr>
                <w:noProof/>
                <w:webHidden/>
              </w:rPr>
              <w:tab/>
            </w:r>
            <w:r w:rsidR="00B4429C">
              <w:rPr>
                <w:noProof/>
                <w:webHidden/>
              </w:rPr>
              <w:fldChar w:fldCharType="begin"/>
            </w:r>
            <w:r w:rsidR="00B4429C">
              <w:rPr>
                <w:noProof/>
                <w:webHidden/>
              </w:rPr>
              <w:instrText xml:space="preserve"> PAGEREF _Toc478657384 \h </w:instrText>
            </w:r>
            <w:r w:rsidR="00B4429C">
              <w:rPr>
                <w:noProof/>
                <w:webHidden/>
              </w:rPr>
            </w:r>
            <w:r w:rsidR="00B4429C">
              <w:rPr>
                <w:noProof/>
                <w:webHidden/>
              </w:rPr>
              <w:fldChar w:fldCharType="separate"/>
            </w:r>
            <w:r w:rsidR="001D7F1F">
              <w:rPr>
                <w:noProof/>
                <w:webHidden/>
              </w:rPr>
              <w:t>6</w:t>
            </w:r>
            <w:r w:rsidR="00B4429C">
              <w:rPr>
                <w:noProof/>
                <w:webHidden/>
              </w:rPr>
              <w:fldChar w:fldCharType="end"/>
            </w:r>
          </w:hyperlink>
        </w:p>
        <w:p w14:paraId="74AD97A4" w14:textId="4ED7CEF4" w:rsidR="00B4429C" w:rsidRDefault="005A50B7">
          <w:pPr>
            <w:pStyle w:val="TOC2"/>
            <w:tabs>
              <w:tab w:val="right" w:leader="dot" w:pos="9350"/>
            </w:tabs>
            <w:rPr>
              <w:rFonts w:eastAsiaTheme="minorEastAsia" w:cstheme="minorBidi"/>
              <w:noProof/>
              <w:szCs w:val="22"/>
            </w:rPr>
          </w:pPr>
          <w:hyperlink w:anchor="_Toc478657385" w:history="1">
            <w:r w:rsidR="00B4429C" w:rsidRPr="009F54A4">
              <w:rPr>
                <w:rStyle w:val="Hyperlink"/>
                <w:rFonts w:cstheme="minorHAnsi"/>
                <w:noProof/>
              </w:rPr>
              <w:t>1.4 Measure Parameters</w:t>
            </w:r>
            <w:r w:rsidR="00B4429C">
              <w:rPr>
                <w:noProof/>
                <w:webHidden/>
              </w:rPr>
              <w:tab/>
            </w:r>
            <w:r w:rsidR="00B4429C">
              <w:rPr>
                <w:noProof/>
                <w:webHidden/>
              </w:rPr>
              <w:fldChar w:fldCharType="begin"/>
            </w:r>
            <w:r w:rsidR="00B4429C">
              <w:rPr>
                <w:noProof/>
                <w:webHidden/>
              </w:rPr>
              <w:instrText xml:space="preserve"> PAGEREF _Toc478657385 \h </w:instrText>
            </w:r>
            <w:r w:rsidR="00B4429C">
              <w:rPr>
                <w:noProof/>
                <w:webHidden/>
              </w:rPr>
            </w:r>
            <w:r w:rsidR="00B4429C">
              <w:rPr>
                <w:noProof/>
                <w:webHidden/>
              </w:rPr>
              <w:fldChar w:fldCharType="separate"/>
            </w:r>
            <w:r w:rsidR="001D7F1F">
              <w:rPr>
                <w:noProof/>
                <w:webHidden/>
              </w:rPr>
              <w:t>6</w:t>
            </w:r>
            <w:r w:rsidR="00B4429C">
              <w:rPr>
                <w:noProof/>
                <w:webHidden/>
              </w:rPr>
              <w:fldChar w:fldCharType="end"/>
            </w:r>
          </w:hyperlink>
        </w:p>
        <w:p w14:paraId="429F529C" w14:textId="1A70F1F8" w:rsidR="00B4429C" w:rsidRDefault="005A50B7">
          <w:pPr>
            <w:pStyle w:val="TOC3"/>
            <w:tabs>
              <w:tab w:val="right" w:leader="dot" w:pos="9350"/>
            </w:tabs>
            <w:rPr>
              <w:rFonts w:eastAsiaTheme="minorEastAsia" w:cstheme="minorBidi"/>
              <w:noProof/>
              <w:szCs w:val="22"/>
            </w:rPr>
          </w:pPr>
          <w:hyperlink w:anchor="_Toc478657386" w:history="1">
            <w:r w:rsidR="00B4429C" w:rsidRPr="009F54A4">
              <w:rPr>
                <w:rStyle w:val="Hyperlink"/>
                <w:noProof/>
              </w:rPr>
              <w:t>1.4.1 DEER Data</w:t>
            </w:r>
            <w:r w:rsidR="00B4429C">
              <w:rPr>
                <w:noProof/>
                <w:webHidden/>
              </w:rPr>
              <w:tab/>
            </w:r>
            <w:r w:rsidR="00B4429C">
              <w:rPr>
                <w:noProof/>
                <w:webHidden/>
              </w:rPr>
              <w:fldChar w:fldCharType="begin"/>
            </w:r>
            <w:r w:rsidR="00B4429C">
              <w:rPr>
                <w:noProof/>
                <w:webHidden/>
              </w:rPr>
              <w:instrText xml:space="preserve"> PAGEREF _Toc478657386 \h </w:instrText>
            </w:r>
            <w:r w:rsidR="00B4429C">
              <w:rPr>
                <w:noProof/>
                <w:webHidden/>
              </w:rPr>
            </w:r>
            <w:r w:rsidR="00B4429C">
              <w:rPr>
                <w:noProof/>
                <w:webHidden/>
              </w:rPr>
              <w:fldChar w:fldCharType="separate"/>
            </w:r>
            <w:r w:rsidR="001D7F1F">
              <w:rPr>
                <w:noProof/>
                <w:webHidden/>
              </w:rPr>
              <w:t>6</w:t>
            </w:r>
            <w:r w:rsidR="00B4429C">
              <w:rPr>
                <w:noProof/>
                <w:webHidden/>
              </w:rPr>
              <w:fldChar w:fldCharType="end"/>
            </w:r>
          </w:hyperlink>
        </w:p>
        <w:p w14:paraId="7530F107" w14:textId="17BBB20B" w:rsidR="00B4429C" w:rsidRDefault="005A50B7">
          <w:pPr>
            <w:pStyle w:val="TOC3"/>
            <w:tabs>
              <w:tab w:val="right" w:leader="dot" w:pos="9350"/>
            </w:tabs>
            <w:rPr>
              <w:rFonts w:eastAsiaTheme="minorEastAsia" w:cstheme="minorBidi"/>
              <w:noProof/>
              <w:szCs w:val="22"/>
            </w:rPr>
          </w:pPr>
          <w:hyperlink w:anchor="_Toc478657387" w:history="1">
            <w:r w:rsidR="00B4429C" w:rsidRPr="009F54A4">
              <w:rPr>
                <w:rStyle w:val="Hyperlink"/>
                <w:noProof/>
              </w:rPr>
              <w:t>1.4.2 Codes and Standards Analysis</w:t>
            </w:r>
            <w:r w:rsidR="00B4429C">
              <w:rPr>
                <w:noProof/>
                <w:webHidden/>
              </w:rPr>
              <w:tab/>
            </w:r>
            <w:r w:rsidR="00B4429C">
              <w:rPr>
                <w:noProof/>
                <w:webHidden/>
              </w:rPr>
              <w:fldChar w:fldCharType="begin"/>
            </w:r>
            <w:r w:rsidR="00B4429C">
              <w:rPr>
                <w:noProof/>
                <w:webHidden/>
              </w:rPr>
              <w:instrText xml:space="preserve"> PAGEREF _Toc478657387 \h </w:instrText>
            </w:r>
            <w:r w:rsidR="00B4429C">
              <w:rPr>
                <w:noProof/>
                <w:webHidden/>
              </w:rPr>
            </w:r>
            <w:r w:rsidR="00B4429C">
              <w:rPr>
                <w:noProof/>
                <w:webHidden/>
              </w:rPr>
              <w:fldChar w:fldCharType="separate"/>
            </w:r>
            <w:r w:rsidR="001D7F1F">
              <w:rPr>
                <w:noProof/>
                <w:webHidden/>
              </w:rPr>
              <w:t>8</w:t>
            </w:r>
            <w:r w:rsidR="00B4429C">
              <w:rPr>
                <w:noProof/>
                <w:webHidden/>
              </w:rPr>
              <w:fldChar w:fldCharType="end"/>
            </w:r>
          </w:hyperlink>
        </w:p>
        <w:p w14:paraId="719B88E2" w14:textId="0649E77F" w:rsidR="00B4429C" w:rsidRDefault="005A50B7">
          <w:pPr>
            <w:pStyle w:val="TOC2"/>
            <w:tabs>
              <w:tab w:val="right" w:leader="dot" w:pos="9350"/>
            </w:tabs>
            <w:rPr>
              <w:rFonts w:eastAsiaTheme="minorEastAsia" w:cstheme="minorBidi"/>
              <w:noProof/>
              <w:szCs w:val="22"/>
            </w:rPr>
          </w:pPr>
          <w:hyperlink w:anchor="_Toc478657388" w:history="1">
            <w:r w:rsidR="00B4429C" w:rsidRPr="009F54A4">
              <w:rPr>
                <w:rStyle w:val="Hyperlink"/>
                <w:rFonts w:cstheme="minorHAnsi"/>
                <w:noProof/>
              </w:rPr>
              <w:t>1.5 EM&amp;V, Market Potential, and Other Studies – Base Case and Measure Case Information</w:t>
            </w:r>
            <w:r w:rsidR="00B4429C">
              <w:rPr>
                <w:noProof/>
                <w:webHidden/>
              </w:rPr>
              <w:tab/>
            </w:r>
            <w:r w:rsidR="00B4429C">
              <w:rPr>
                <w:noProof/>
                <w:webHidden/>
              </w:rPr>
              <w:fldChar w:fldCharType="begin"/>
            </w:r>
            <w:r w:rsidR="00B4429C">
              <w:rPr>
                <w:noProof/>
                <w:webHidden/>
              </w:rPr>
              <w:instrText xml:space="preserve"> PAGEREF _Toc478657388 \h </w:instrText>
            </w:r>
            <w:r w:rsidR="00B4429C">
              <w:rPr>
                <w:noProof/>
                <w:webHidden/>
              </w:rPr>
            </w:r>
            <w:r w:rsidR="00B4429C">
              <w:rPr>
                <w:noProof/>
                <w:webHidden/>
              </w:rPr>
              <w:fldChar w:fldCharType="separate"/>
            </w:r>
            <w:r w:rsidR="001D7F1F">
              <w:rPr>
                <w:noProof/>
                <w:webHidden/>
              </w:rPr>
              <w:t>9</w:t>
            </w:r>
            <w:r w:rsidR="00B4429C">
              <w:rPr>
                <w:noProof/>
                <w:webHidden/>
              </w:rPr>
              <w:fldChar w:fldCharType="end"/>
            </w:r>
          </w:hyperlink>
        </w:p>
        <w:p w14:paraId="76DF434E" w14:textId="267EDC23" w:rsidR="00B4429C" w:rsidRDefault="005A50B7">
          <w:pPr>
            <w:pStyle w:val="TOC3"/>
            <w:tabs>
              <w:tab w:val="right" w:leader="dot" w:pos="9350"/>
            </w:tabs>
            <w:rPr>
              <w:rFonts w:eastAsiaTheme="minorEastAsia" w:cstheme="minorBidi"/>
              <w:noProof/>
              <w:szCs w:val="22"/>
            </w:rPr>
          </w:pPr>
          <w:hyperlink w:anchor="_Toc478657389" w:history="1">
            <w:r w:rsidR="00B4429C" w:rsidRPr="009F54A4">
              <w:rPr>
                <w:rStyle w:val="Hyperlink"/>
                <w:noProof/>
              </w:rPr>
              <w:t>1.5.1 Savings Calculations for Commercial Faucet Aerator: Baseline Water and Gas Consumption Estimates for Commercial Hot Water Applications</w:t>
            </w:r>
            <w:r w:rsidR="00B4429C">
              <w:rPr>
                <w:noProof/>
                <w:webHidden/>
              </w:rPr>
              <w:tab/>
            </w:r>
            <w:r w:rsidR="00B4429C">
              <w:rPr>
                <w:noProof/>
                <w:webHidden/>
              </w:rPr>
              <w:fldChar w:fldCharType="begin"/>
            </w:r>
            <w:r w:rsidR="00B4429C">
              <w:rPr>
                <w:noProof/>
                <w:webHidden/>
              </w:rPr>
              <w:instrText xml:space="preserve"> PAGEREF _Toc478657389 \h </w:instrText>
            </w:r>
            <w:r w:rsidR="00B4429C">
              <w:rPr>
                <w:noProof/>
                <w:webHidden/>
              </w:rPr>
            </w:r>
            <w:r w:rsidR="00B4429C">
              <w:rPr>
                <w:noProof/>
                <w:webHidden/>
              </w:rPr>
              <w:fldChar w:fldCharType="separate"/>
            </w:r>
            <w:r w:rsidR="001D7F1F">
              <w:rPr>
                <w:noProof/>
                <w:webHidden/>
              </w:rPr>
              <w:t>9</w:t>
            </w:r>
            <w:r w:rsidR="00B4429C">
              <w:rPr>
                <w:noProof/>
                <w:webHidden/>
              </w:rPr>
              <w:fldChar w:fldCharType="end"/>
            </w:r>
          </w:hyperlink>
        </w:p>
        <w:p w14:paraId="6E25F541" w14:textId="0BE1CAC4" w:rsidR="00B4429C" w:rsidRDefault="005A50B7">
          <w:pPr>
            <w:pStyle w:val="TOC3"/>
            <w:tabs>
              <w:tab w:val="right" w:leader="dot" w:pos="9350"/>
            </w:tabs>
            <w:rPr>
              <w:rFonts w:eastAsiaTheme="minorEastAsia" w:cstheme="minorBidi"/>
              <w:noProof/>
              <w:szCs w:val="22"/>
            </w:rPr>
          </w:pPr>
          <w:hyperlink w:anchor="_Toc478657390" w:history="1">
            <w:r w:rsidR="00B4429C" w:rsidRPr="009F54A4">
              <w:rPr>
                <w:rStyle w:val="Hyperlink"/>
                <w:noProof/>
              </w:rPr>
              <w:t>1.5.2 Water Consumption Patterns in Hospitals</w:t>
            </w:r>
            <w:r w:rsidR="00B4429C">
              <w:rPr>
                <w:noProof/>
                <w:webHidden/>
              </w:rPr>
              <w:tab/>
            </w:r>
            <w:r w:rsidR="00B4429C">
              <w:rPr>
                <w:noProof/>
                <w:webHidden/>
              </w:rPr>
              <w:fldChar w:fldCharType="begin"/>
            </w:r>
            <w:r w:rsidR="00B4429C">
              <w:rPr>
                <w:noProof/>
                <w:webHidden/>
              </w:rPr>
              <w:instrText xml:space="preserve"> PAGEREF _Toc478657390 \h </w:instrText>
            </w:r>
            <w:r w:rsidR="00B4429C">
              <w:rPr>
                <w:noProof/>
                <w:webHidden/>
              </w:rPr>
            </w:r>
            <w:r w:rsidR="00B4429C">
              <w:rPr>
                <w:noProof/>
                <w:webHidden/>
              </w:rPr>
              <w:fldChar w:fldCharType="separate"/>
            </w:r>
            <w:r w:rsidR="001D7F1F">
              <w:rPr>
                <w:noProof/>
                <w:webHidden/>
              </w:rPr>
              <w:t>10</w:t>
            </w:r>
            <w:r w:rsidR="00B4429C">
              <w:rPr>
                <w:noProof/>
                <w:webHidden/>
              </w:rPr>
              <w:fldChar w:fldCharType="end"/>
            </w:r>
          </w:hyperlink>
        </w:p>
        <w:p w14:paraId="413EAA6F" w14:textId="53ED92BE" w:rsidR="00B4429C" w:rsidRDefault="005A50B7">
          <w:pPr>
            <w:pStyle w:val="TOC3"/>
            <w:tabs>
              <w:tab w:val="right" w:leader="dot" w:pos="9350"/>
            </w:tabs>
            <w:rPr>
              <w:rFonts w:eastAsiaTheme="minorEastAsia" w:cstheme="minorBidi"/>
              <w:noProof/>
              <w:szCs w:val="22"/>
            </w:rPr>
          </w:pPr>
          <w:hyperlink w:anchor="_Toc478657391" w:history="1">
            <w:r w:rsidR="00B4429C" w:rsidRPr="009F54A4">
              <w:rPr>
                <w:rStyle w:val="Hyperlink"/>
                <w:noProof/>
              </w:rPr>
              <w:t>1.5.3 Existing Fixtures and Water Consumption Patterns in Hotels</w:t>
            </w:r>
            <w:r w:rsidR="00B4429C">
              <w:rPr>
                <w:noProof/>
                <w:webHidden/>
              </w:rPr>
              <w:tab/>
            </w:r>
            <w:r w:rsidR="00B4429C">
              <w:rPr>
                <w:noProof/>
                <w:webHidden/>
              </w:rPr>
              <w:fldChar w:fldCharType="begin"/>
            </w:r>
            <w:r w:rsidR="00B4429C">
              <w:rPr>
                <w:noProof/>
                <w:webHidden/>
              </w:rPr>
              <w:instrText xml:space="preserve"> PAGEREF _Toc478657391 \h </w:instrText>
            </w:r>
            <w:r w:rsidR="00B4429C">
              <w:rPr>
                <w:noProof/>
                <w:webHidden/>
              </w:rPr>
            </w:r>
            <w:r w:rsidR="00B4429C">
              <w:rPr>
                <w:noProof/>
                <w:webHidden/>
              </w:rPr>
              <w:fldChar w:fldCharType="separate"/>
            </w:r>
            <w:r w:rsidR="001D7F1F">
              <w:rPr>
                <w:noProof/>
                <w:webHidden/>
              </w:rPr>
              <w:t>11</w:t>
            </w:r>
            <w:r w:rsidR="00B4429C">
              <w:rPr>
                <w:noProof/>
                <w:webHidden/>
              </w:rPr>
              <w:fldChar w:fldCharType="end"/>
            </w:r>
          </w:hyperlink>
        </w:p>
        <w:p w14:paraId="1C1D4CDA" w14:textId="49965BEC" w:rsidR="00B4429C" w:rsidRDefault="005A50B7">
          <w:pPr>
            <w:pStyle w:val="TOC3"/>
            <w:tabs>
              <w:tab w:val="right" w:leader="dot" w:pos="9350"/>
            </w:tabs>
            <w:rPr>
              <w:rFonts w:eastAsiaTheme="minorEastAsia" w:cstheme="minorBidi"/>
              <w:noProof/>
              <w:szCs w:val="22"/>
            </w:rPr>
          </w:pPr>
          <w:hyperlink w:anchor="_Toc478657392" w:history="1">
            <w:r w:rsidR="00B4429C" w:rsidRPr="009F54A4">
              <w:rPr>
                <w:rStyle w:val="Hyperlink"/>
                <w:noProof/>
              </w:rPr>
              <w:t>1.5.4 Market Potential</w:t>
            </w:r>
            <w:r w:rsidR="00B4429C">
              <w:rPr>
                <w:noProof/>
                <w:webHidden/>
              </w:rPr>
              <w:tab/>
            </w:r>
            <w:r w:rsidR="00B4429C">
              <w:rPr>
                <w:noProof/>
                <w:webHidden/>
              </w:rPr>
              <w:fldChar w:fldCharType="begin"/>
            </w:r>
            <w:r w:rsidR="00B4429C">
              <w:rPr>
                <w:noProof/>
                <w:webHidden/>
              </w:rPr>
              <w:instrText xml:space="preserve"> PAGEREF _Toc478657392 \h </w:instrText>
            </w:r>
            <w:r w:rsidR="00B4429C">
              <w:rPr>
                <w:noProof/>
                <w:webHidden/>
              </w:rPr>
            </w:r>
            <w:r w:rsidR="00B4429C">
              <w:rPr>
                <w:noProof/>
                <w:webHidden/>
              </w:rPr>
              <w:fldChar w:fldCharType="separate"/>
            </w:r>
            <w:r w:rsidR="001D7F1F">
              <w:rPr>
                <w:noProof/>
                <w:webHidden/>
              </w:rPr>
              <w:t>12</w:t>
            </w:r>
            <w:r w:rsidR="00B4429C">
              <w:rPr>
                <w:noProof/>
                <w:webHidden/>
              </w:rPr>
              <w:fldChar w:fldCharType="end"/>
            </w:r>
          </w:hyperlink>
        </w:p>
        <w:p w14:paraId="2B1A0995" w14:textId="4E58D6E6" w:rsidR="00B4429C" w:rsidRDefault="005A50B7">
          <w:pPr>
            <w:pStyle w:val="TOC2"/>
            <w:tabs>
              <w:tab w:val="right" w:leader="dot" w:pos="9350"/>
            </w:tabs>
            <w:rPr>
              <w:rFonts w:eastAsiaTheme="minorEastAsia" w:cstheme="minorBidi"/>
              <w:noProof/>
              <w:szCs w:val="22"/>
            </w:rPr>
          </w:pPr>
          <w:hyperlink w:anchor="_Toc478657393" w:history="1">
            <w:r w:rsidR="00B4429C" w:rsidRPr="009F54A4">
              <w:rPr>
                <w:rStyle w:val="Hyperlink"/>
                <w:rFonts w:cstheme="minorHAnsi"/>
                <w:noProof/>
              </w:rPr>
              <w:t>1.6 Data Quality and Future Data Needs</w:t>
            </w:r>
            <w:r w:rsidR="00B4429C">
              <w:rPr>
                <w:noProof/>
                <w:webHidden/>
              </w:rPr>
              <w:tab/>
            </w:r>
            <w:r w:rsidR="00B4429C">
              <w:rPr>
                <w:noProof/>
                <w:webHidden/>
              </w:rPr>
              <w:fldChar w:fldCharType="begin"/>
            </w:r>
            <w:r w:rsidR="00B4429C">
              <w:rPr>
                <w:noProof/>
                <w:webHidden/>
              </w:rPr>
              <w:instrText xml:space="preserve"> PAGEREF _Toc478657393 \h </w:instrText>
            </w:r>
            <w:r w:rsidR="00B4429C">
              <w:rPr>
                <w:noProof/>
                <w:webHidden/>
              </w:rPr>
            </w:r>
            <w:r w:rsidR="00B4429C">
              <w:rPr>
                <w:noProof/>
                <w:webHidden/>
              </w:rPr>
              <w:fldChar w:fldCharType="separate"/>
            </w:r>
            <w:r w:rsidR="001D7F1F">
              <w:rPr>
                <w:noProof/>
                <w:webHidden/>
              </w:rPr>
              <w:t>12</w:t>
            </w:r>
            <w:r w:rsidR="00B4429C">
              <w:rPr>
                <w:noProof/>
                <w:webHidden/>
              </w:rPr>
              <w:fldChar w:fldCharType="end"/>
            </w:r>
          </w:hyperlink>
        </w:p>
        <w:p w14:paraId="20EE706C" w14:textId="56299F2E" w:rsidR="00B4429C" w:rsidRDefault="005A50B7">
          <w:pPr>
            <w:pStyle w:val="TOC1"/>
            <w:tabs>
              <w:tab w:val="right" w:leader="dot" w:pos="9350"/>
            </w:tabs>
            <w:rPr>
              <w:rFonts w:eastAsiaTheme="minorEastAsia" w:cstheme="minorBidi"/>
              <w:noProof/>
              <w:szCs w:val="22"/>
            </w:rPr>
          </w:pPr>
          <w:hyperlink w:anchor="_Toc478657394" w:history="1">
            <w:r w:rsidR="00B4429C" w:rsidRPr="009F54A4">
              <w:rPr>
                <w:rStyle w:val="Hyperlink"/>
                <w:rFonts w:cstheme="minorHAnsi"/>
                <w:noProof/>
              </w:rPr>
              <w:t>Section 2. Calculation Methodology</w:t>
            </w:r>
            <w:r w:rsidR="00B4429C">
              <w:rPr>
                <w:noProof/>
                <w:webHidden/>
              </w:rPr>
              <w:tab/>
            </w:r>
            <w:r w:rsidR="00B4429C">
              <w:rPr>
                <w:noProof/>
                <w:webHidden/>
              </w:rPr>
              <w:fldChar w:fldCharType="begin"/>
            </w:r>
            <w:r w:rsidR="00B4429C">
              <w:rPr>
                <w:noProof/>
                <w:webHidden/>
              </w:rPr>
              <w:instrText xml:space="preserve"> PAGEREF _Toc478657394 \h </w:instrText>
            </w:r>
            <w:r w:rsidR="00B4429C">
              <w:rPr>
                <w:noProof/>
                <w:webHidden/>
              </w:rPr>
            </w:r>
            <w:r w:rsidR="00B4429C">
              <w:rPr>
                <w:noProof/>
                <w:webHidden/>
              </w:rPr>
              <w:fldChar w:fldCharType="separate"/>
            </w:r>
            <w:r w:rsidR="001D7F1F">
              <w:rPr>
                <w:noProof/>
                <w:webHidden/>
              </w:rPr>
              <w:t>13</w:t>
            </w:r>
            <w:r w:rsidR="00B4429C">
              <w:rPr>
                <w:noProof/>
                <w:webHidden/>
              </w:rPr>
              <w:fldChar w:fldCharType="end"/>
            </w:r>
          </w:hyperlink>
        </w:p>
        <w:p w14:paraId="765BAA29" w14:textId="0ED58F8C" w:rsidR="00B4429C" w:rsidRDefault="005A50B7">
          <w:pPr>
            <w:pStyle w:val="TOC2"/>
            <w:tabs>
              <w:tab w:val="right" w:leader="dot" w:pos="9350"/>
            </w:tabs>
            <w:rPr>
              <w:rFonts w:eastAsiaTheme="minorEastAsia" w:cstheme="minorBidi"/>
              <w:noProof/>
              <w:szCs w:val="22"/>
            </w:rPr>
          </w:pPr>
          <w:hyperlink w:anchor="_Toc478657395" w:history="1">
            <w:r w:rsidR="00B4429C" w:rsidRPr="009F54A4">
              <w:rPr>
                <w:rStyle w:val="Hyperlink"/>
                <w:rFonts w:cstheme="minorHAnsi"/>
                <w:noProof/>
              </w:rPr>
              <w:t>2.1 Overview and Assumptions</w:t>
            </w:r>
            <w:r w:rsidR="00B4429C">
              <w:rPr>
                <w:noProof/>
                <w:webHidden/>
              </w:rPr>
              <w:tab/>
            </w:r>
            <w:r w:rsidR="00B4429C">
              <w:rPr>
                <w:noProof/>
                <w:webHidden/>
              </w:rPr>
              <w:fldChar w:fldCharType="begin"/>
            </w:r>
            <w:r w:rsidR="00B4429C">
              <w:rPr>
                <w:noProof/>
                <w:webHidden/>
              </w:rPr>
              <w:instrText xml:space="preserve"> PAGEREF _Toc478657395 \h </w:instrText>
            </w:r>
            <w:r w:rsidR="00B4429C">
              <w:rPr>
                <w:noProof/>
                <w:webHidden/>
              </w:rPr>
            </w:r>
            <w:r w:rsidR="00B4429C">
              <w:rPr>
                <w:noProof/>
                <w:webHidden/>
              </w:rPr>
              <w:fldChar w:fldCharType="separate"/>
            </w:r>
            <w:r w:rsidR="001D7F1F">
              <w:rPr>
                <w:noProof/>
                <w:webHidden/>
              </w:rPr>
              <w:t>13</w:t>
            </w:r>
            <w:r w:rsidR="00B4429C">
              <w:rPr>
                <w:noProof/>
                <w:webHidden/>
              </w:rPr>
              <w:fldChar w:fldCharType="end"/>
            </w:r>
          </w:hyperlink>
        </w:p>
        <w:p w14:paraId="359BD950" w14:textId="72B40420" w:rsidR="00B4429C" w:rsidRDefault="005A50B7">
          <w:pPr>
            <w:pStyle w:val="TOC2"/>
            <w:tabs>
              <w:tab w:val="right" w:leader="dot" w:pos="9350"/>
            </w:tabs>
            <w:rPr>
              <w:rFonts w:eastAsiaTheme="minorEastAsia" w:cstheme="minorBidi"/>
              <w:noProof/>
              <w:szCs w:val="22"/>
            </w:rPr>
          </w:pPr>
          <w:hyperlink w:anchor="_Toc478657396" w:history="1">
            <w:r w:rsidR="00B4429C" w:rsidRPr="009F54A4">
              <w:rPr>
                <w:rStyle w:val="Hyperlink"/>
                <w:rFonts w:cstheme="minorHAnsi"/>
                <w:noProof/>
              </w:rPr>
              <w:t>2.2 Gas Energy Savings Estimation Methodologies</w:t>
            </w:r>
            <w:r w:rsidR="00B4429C">
              <w:rPr>
                <w:noProof/>
                <w:webHidden/>
              </w:rPr>
              <w:tab/>
            </w:r>
            <w:r w:rsidR="00B4429C">
              <w:rPr>
                <w:noProof/>
                <w:webHidden/>
              </w:rPr>
              <w:fldChar w:fldCharType="begin"/>
            </w:r>
            <w:r w:rsidR="00B4429C">
              <w:rPr>
                <w:noProof/>
                <w:webHidden/>
              </w:rPr>
              <w:instrText xml:space="preserve"> PAGEREF _Toc478657396 \h </w:instrText>
            </w:r>
            <w:r w:rsidR="00B4429C">
              <w:rPr>
                <w:noProof/>
                <w:webHidden/>
              </w:rPr>
            </w:r>
            <w:r w:rsidR="00B4429C">
              <w:rPr>
                <w:noProof/>
                <w:webHidden/>
              </w:rPr>
              <w:fldChar w:fldCharType="separate"/>
            </w:r>
            <w:r w:rsidR="001D7F1F">
              <w:rPr>
                <w:noProof/>
                <w:webHidden/>
              </w:rPr>
              <w:t>14</w:t>
            </w:r>
            <w:r w:rsidR="00B4429C">
              <w:rPr>
                <w:noProof/>
                <w:webHidden/>
              </w:rPr>
              <w:fldChar w:fldCharType="end"/>
            </w:r>
          </w:hyperlink>
        </w:p>
        <w:p w14:paraId="36EC93A0" w14:textId="1E9882B4" w:rsidR="00B4429C" w:rsidRDefault="005A50B7">
          <w:pPr>
            <w:pStyle w:val="TOC2"/>
            <w:tabs>
              <w:tab w:val="right" w:leader="dot" w:pos="9350"/>
            </w:tabs>
            <w:rPr>
              <w:rFonts w:eastAsiaTheme="minorEastAsia" w:cstheme="minorBidi"/>
              <w:noProof/>
              <w:szCs w:val="22"/>
            </w:rPr>
          </w:pPr>
          <w:hyperlink w:anchor="_Toc478657397" w:history="1">
            <w:r w:rsidR="00B4429C" w:rsidRPr="009F54A4">
              <w:rPr>
                <w:rStyle w:val="Hyperlink"/>
                <w:rFonts w:cstheme="minorHAnsi"/>
                <w:noProof/>
              </w:rPr>
              <w:t>2.3 Sample Gas Savings Calculation</w:t>
            </w:r>
            <w:r w:rsidR="00B4429C">
              <w:rPr>
                <w:noProof/>
                <w:webHidden/>
              </w:rPr>
              <w:tab/>
            </w:r>
            <w:r w:rsidR="00B4429C">
              <w:rPr>
                <w:noProof/>
                <w:webHidden/>
              </w:rPr>
              <w:fldChar w:fldCharType="begin"/>
            </w:r>
            <w:r w:rsidR="00B4429C">
              <w:rPr>
                <w:noProof/>
                <w:webHidden/>
              </w:rPr>
              <w:instrText xml:space="preserve"> PAGEREF _Toc478657397 \h </w:instrText>
            </w:r>
            <w:r w:rsidR="00B4429C">
              <w:rPr>
                <w:noProof/>
                <w:webHidden/>
              </w:rPr>
            </w:r>
            <w:r w:rsidR="00B4429C">
              <w:rPr>
                <w:noProof/>
                <w:webHidden/>
              </w:rPr>
              <w:fldChar w:fldCharType="separate"/>
            </w:r>
            <w:r w:rsidR="001D7F1F">
              <w:rPr>
                <w:noProof/>
                <w:webHidden/>
              </w:rPr>
              <w:t>17</w:t>
            </w:r>
            <w:r w:rsidR="00B4429C">
              <w:rPr>
                <w:noProof/>
                <w:webHidden/>
              </w:rPr>
              <w:fldChar w:fldCharType="end"/>
            </w:r>
          </w:hyperlink>
        </w:p>
        <w:p w14:paraId="2CE8387E" w14:textId="6982F02A" w:rsidR="00B4429C" w:rsidRDefault="005A50B7">
          <w:pPr>
            <w:pStyle w:val="TOC2"/>
            <w:tabs>
              <w:tab w:val="right" w:leader="dot" w:pos="9350"/>
            </w:tabs>
            <w:rPr>
              <w:rFonts w:eastAsiaTheme="minorEastAsia" w:cstheme="minorBidi"/>
              <w:noProof/>
              <w:szCs w:val="22"/>
            </w:rPr>
          </w:pPr>
          <w:hyperlink w:anchor="_Toc478657398" w:history="1">
            <w:r w:rsidR="00B4429C" w:rsidRPr="009F54A4">
              <w:rPr>
                <w:rStyle w:val="Hyperlink"/>
                <w:rFonts w:cstheme="minorHAnsi"/>
                <w:noProof/>
              </w:rPr>
              <w:t>2.4 Water Savings Estimation Methodologies</w:t>
            </w:r>
            <w:r w:rsidR="00B4429C">
              <w:rPr>
                <w:noProof/>
                <w:webHidden/>
              </w:rPr>
              <w:tab/>
            </w:r>
            <w:r w:rsidR="00B4429C">
              <w:rPr>
                <w:noProof/>
                <w:webHidden/>
              </w:rPr>
              <w:fldChar w:fldCharType="begin"/>
            </w:r>
            <w:r w:rsidR="00B4429C">
              <w:rPr>
                <w:noProof/>
                <w:webHidden/>
              </w:rPr>
              <w:instrText xml:space="preserve"> PAGEREF _Toc478657398 \h </w:instrText>
            </w:r>
            <w:r w:rsidR="00B4429C">
              <w:rPr>
                <w:noProof/>
                <w:webHidden/>
              </w:rPr>
            </w:r>
            <w:r w:rsidR="00B4429C">
              <w:rPr>
                <w:noProof/>
                <w:webHidden/>
              </w:rPr>
              <w:fldChar w:fldCharType="separate"/>
            </w:r>
            <w:r w:rsidR="001D7F1F">
              <w:rPr>
                <w:noProof/>
                <w:webHidden/>
              </w:rPr>
              <w:t>18</w:t>
            </w:r>
            <w:r w:rsidR="00B4429C">
              <w:rPr>
                <w:noProof/>
                <w:webHidden/>
              </w:rPr>
              <w:fldChar w:fldCharType="end"/>
            </w:r>
          </w:hyperlink>
        </w:p>
        <w:p w14:paraId="63CC0BAB" w14:textId="18FBD266" w:rsidR="00B4429C" w:rsidRDefault="005A50B7">
          <w:pPr>
            <w:pStyle w:val="TOC1"/>
            <w:tabs>
              <w:tab w:val="right" w:leader="dot" w:pos="9350"/>
            </w:tabs>
            <w:rPr>
              <w:rFonts w:eastAsiaTheme="minorEastAsia" w:cstheme="minorBidi"/>
              <w:noProof/>
              <w:szCs w:val="22"/>
            </w:rPr>
          </w:pPr>
          <w:hyperlink w:anchor="_Toc478657399" w:history="1">
            <w:r w:rsidR="00B4429C" w:rsidRPr="009F54A4">
              <w:rPr>
                <w:rStyle w:val="Hyperlink"/>
                <w:rFonts w:cstheme="minorHAnsi"/>
                <w:noProof/>
              </w:rPr>
              <w:t>Section 3. Load Shapes</w:t>
            </w:r>
            <w:r w:rsidR="00B4429C">
              <w:rPr>
                <w:noProof/>
                <w:webHidden/>
              </w:rPr>
              <w:tab/>
            </w:r>
            <w:r w:rsidR="00B4429C">
              <w:rPr>
                <w:noProof/>
                <w:webHidden/>
              </w:rPr>
              <w:fldChar w:fldCharType="begin"/>
            </w:r>
            <w:r w:rsidR="00B4429C">
              <w:rPr>
                <w:noProof/>
                <w:webHidden/>
              </w:rPr>
              <w:instrText xml:space="preserve"> PAGEREF _Toc478657399 \h </w:instrText>
            </w:r>
            <w:r w:rsidR="00B4429C">
              <w:rPr>
                <w:noProof/>
                <w:webHidden/>
              </w:rPr>
            </w:r>
            <w:r w:rsidR="00B4429C">
              <w:rPr>
                <w:noProof/>
                <w:webHidden/>
              </w:rPr>
              <w:fldChar w:fldCharType="separate"/>
            </w:r>
            <w:r w:rsidR="001D7F1F">
              <w:rPr>
                <w:noProof/>
                <w:webHidden/>
              </w:rPr>
              <w:t>18</w:t>
            </w:r>
            <w:r w:rsidR="00B4429C">
              <w:rPr>
                <w:noProof/>
                <w:webHidden/>
              </w:rPr>
              <w:fldChar w:fldCharType="end"/>
            </w:r>
          </w:hyperlink>
        </w:p>
        <w:p w14:paraId="25E88D6B" w14:textId="5DDE17FB" w:rsidR="00B4429C" w:rsidRDefault="005A50B7">
          <w:pPr>
            <w:pStyle w:val="TOC1"/>
            <w:tabs>
              <w:tab w:val="right" w:leader="dot" w:pos="9350"/>
            </w:tabs>
            <w:rPr>
              <w:rFonts w:eastAsiaTheme="minorEastAsia" w:cstheme="minorBidi"/>
              <w:noProof/>
              <w:szCs w:val="22"/>
            </w:rPr>
          </w:pPr>
          <w:hyperlink w:anchor="_Toc478657400" w:history="1">
            <w:r w:rsidR="00B4429C" w:rsidRPr="009F54A4">
              <w:rPr>
                <w:rStyle w:val="Hyperlink"/>
                <w:noProof/>
              </w:rPr>
              <w:t>Section 4. Costs</w:t>
            </w:r>
            <w:r w:rsidR="00B4429C">
              <w:rPr>
                <w:noProof/>
                <w:webHidden/>
              </w:rPr>
              <w:tab/>
            </w:r>
            <w:r w:rsidR="00B4429C">
              <w:rPr>
                <w:noProof/>
                <w:webHidden/>
              </w:rPr>
              <w:fldChar w:fldCharType="begin"/>
            </w:r>
            <w:r w:rsidR="00B4429C">
              <w:rPr>
                <w:noProof/>
                <w:webHidden/>
              </w:rPr>
              <w:instrText xml:space="preserve"> PAGEREF _Toc478657400 \h </w:instrText>
            </w:r>
            <w:r w:rsidR="00B4429C">
              <w:rPr>
                <w:noProof/>
                <w:webHidden/>
              </w:rPr>
            </w:r>
            <w:r w:rsidR="00B4429C">
              <w:rPr>
                <w:noProof/>
                <w:webHidden/>
              </w:rPr>
              <w:fldChar w:fldCharType="separate"/>
            </w:r>
            <w:r w:rsidR="001D7F1F">
              <w:rPr>
                <w:noProof/>
                <w:webHidden/>
              </w:rPr>
              <w:t>19</w:t>
            </w:r>
            <w:r w:rsidR="00B4429C">
              <w:rPr>
                <w:noProof/>
                <w:webHidden/>
              </w:rPr>
              <w:fldChar w:fldCharType="end"/>
            </w:r>
          </w:hyperlink>
        </w:p>
        <w:p w14:paraId="658603BB" w14:textId="7C2D5830" w:rsidR="00B4429C" w:rsidRDefault="005A50B7">
          <w:pPr>
            <w:pStyle w:val="TOC2"/>
            <w:tabs>
              <w:tab w:val="right" w:leader="dot" w:pos="9350"/>
            </w:tabs>
            <w:rPr>
              <w:rFonts w:eastAsiaTheme="minorEastAsia" w:cstheme="minorBidi"/>
              <w:noProof/>
              <w:szCs w:val="22"/>
            </w:rPr>
          </w:pPr>
          <w:hyperlink w:anchor="_Toc478657401" w:history="1">
            <w:r w:rsidR="00B4429C" w:rsidRPr="009F54A4">
              <w:rPr>
                <w:rStyle w:val="Hyperlink"/>
                <w:rFonts w:cstheme="minorHAnsi"/>
                <w:noProof/>
              </w:rPr>
              <w:t>4.1 Base Case Cost</w:t>
            </w:r>
            <w:r w:rsidR="00B4429C">
              <w:rPr>
                <w:noProof/>
                <w:webHidden/>
              </w:rPr>
              <w:tab/>
            </w:r>
            <w:r w:rsidR="00B4429C">
              <w:rPr>
                <w:noProof/>
                <w:webHidden/>
              </w:rPr>
              <w:fldChar w:fldCharType="begin"/>
            </w:r>
            <w:r w:rsidR="00B4429C">
              <w:rPr>
                <w:noProof/>
                <w:webHidden/>
              </w:rPr>
              <w:instrText xml:space="preserve"> PAGEREF _Toc478657401 \h </w:instrText>
            </w:r>
            <w:r w:rsidR="00B4429C">
              <w:rPr>
                <w:noProof/>
                <w:webHidden/>
              </w:rPr>
            </w:r>
            <w:r w:rsidR="00B4429C">
              <w:rPr>
                <w:noProof/>
                <w:webHidden/>
              </w:rPr>
              <w:fldChar w:fldCharType="separate"/>
            </w:r>
            <w:r w:rsidR="001D7F1F">
              <w:rPr>
                <w:noProof/>
                <w:webHidden/>
              </w:rPr>
              <w:t>19</w:t>
            </w:r>
            <w:r w:rsidR="00B4429C">
              <w:rPr>
                <w:noProof/>
                <w:webHidden/>
              </w:rPr>
              <w:fldChar w:fldCharType="end"/>
            </w:r>
          </w:hyperlink>
        </w:p>
        <w:p w14:paraId="614A102C" w14:textId="4F93EE61" w:rsidR="00B4429C" w:rsidRDefault="005A50B7">
          <w:pPr>
            <w:pStyle w:val="TOC2"/>
            <w:tabs>
              <w:tab w:val="right" w:leader="dot" w:pos="9350"/>
            </w:tabs>
            <w:rPr>
              <w:rFonts w:eastAsiaTheme="minorEastAsia" w:cstheme="minorBidi"/>
              <w:noProof/>
              <w:szCs w:val="22"/>
            </w:rPr>
          </w:pPr>
          <w:hyperlink w:anchor="_Toc478657402" w:history="1">
            <w:r w:rsidR="00B4429C" w:rsidRPr="009F54A4">
              <w:rPr>
                <w:rStyle w:val="Hyperlink"/>
                <w:rFonts w:cstheme="minorHAnsi"/>
                <w:noProof/>
              </w:rPr>
              <w:t>4.2 Measure Case Cost</w:t>
            </w:r>
            <w:r w:rsidR="00B4429C">
              <w:rPr>
                <w:noProof/>
                <w:webHidden/>
              </w:rPr>
              <w:tab/>
            </w:r>
            <w:r w:rsidR="00B4429C">
              <w:rPr>
                <w:noProof/>
                <w:webHidden/>
              </w:rPr>
              <w:fldChar w:fldCharType="begin"/>
            </w:r>
            <w:r w:rsidR="00B4429C">
              <w:rPr>
                <w:noProof/>
                <w:webHidden/>
              </w:rPr>
              <w:instrText xml:space="preserve"> PAGEREF _Toc478657402 \h </w:instrText>
            </w:r>
            <w:r w:rsidR="00B4429C">
              <w:rPr>
                <w:noProof/>
                <w:webHidden/>
              </w:rPr>
            </w:r>
            <w:r w:rsidR="00B4429C">
              <w:rPr>
                <w:noProof/>
                <w:webHidden/>
              </w:rPr>
              <w:fldChar w:fldCharType="separate"/>
            </w:r>
            <w:r w:rsidR="001D7F1F">
              <w:rPr>
                <w:noProof/>
                <w:webHidden/>
              </w:rPr>
              <w:t>19</w:t>
            </w:r>
            <w:r w:rsidR="00B4429C">
              <w:rPr>
                <w:noProof/>
                <w:webHidden/>
              </w:rPr>
              <w:fldChar w:fldCharType="end"/>
            </w:r>
          </w:hyperlink>
        </w:p>
        <w:p w14:paraId="715B4FC2" w14:textId="450CE812" w:rsidR="00B4429C" w:rsidRDefault="005A50B7">
          <w:pPr>
            <w:pStyle w:val="TOC2"/>
            <w:tabs>
              <w:tab w:val="right" w:leader="dot" w:pos="9350"/>
            </w:tabs>
            <w:rPr>
              <w:rFonts w:eastAsiaTheme="minorEastAsia" w:cstheme="minorBidi"/>
              <w:noProof/>
              <w:szCs w:val="22"/>
            </w:rPr>
          </w:pPr>
          <w:hyperlink w:anchor="_Toc478657403" w:history="1">
            <w:r w:rsidR="00B4429C" w:rsidRPr="009F54A4">
              <w:rPr>
                <w:rStyle w:val="Hyperlink"/>
                <w:rFonts w:cstheme="minorHAnsi"/>
                <w:noProof/>
              </w:rPr>
              <w:t>4.3 Full and Incremental Measure Cost</w:t>
            </w:r>
            <w:r w:rsidR="00B4429C">
              <w:rPr>
                <w:noProof/>
                <w:webHidden/>
              </w:rPr>
              <w:tab/>
            </w:r>
            <w:r w:rsidR="00B4429C">
              <w:rPr>
                <w:noProof/>
                <w:webHidden/>
              </w:rPr>
              <w:fldChar w:fldCharType="begin"/>
            </w:r>
            <w:r w:rsidR="00B4429C">
              <w:rPr>
                <w:noProof/>
                <w:webHidden/>
              </w:rPr>
              <w:instrText xml:space="preserve"> PAGEREF _Toc478657403 \h </w:instrText>
            </w:r>
            <w:r w:rsidR="00B4429C">
              <w:rPr>
                <w:noProof/>
                <w:webHidden/>
              </w:rPr>
            </w:r>
            <w:r w:rsidR="00B4429C">
              <w:rPr>
                <w:noProof/>
                <w:webHidden/>
              </w:rPr>
              <w:fldChar w:fldCharType="separate"/>
            </w:r>
            <w:r w:rsidR="001D7F1F">
              <w:rPr>
                <w:noProof/>
                <w:webHidden/>
              </w:rPr>
              <w:t>19</w:t>
            </w:r>
            <w:r w:rsidR="00B4429C">
              <w:rPr>
                <w:noProof/>
                <w:webHidden/>
              </w:rPr>
              <w:fldChar w:fldCharType="end"/>
            </w:r>
          </w:hyperlink>
        </w:p>
        <w:p w14:paraId="570FB545" w14:textId="576DCCED" w:rsidR="00B4429C" w:rsidRDefault="005A50B7">
          <w:pPr>
            <w:pStyle w:val="TOC1"/>
            <w:tabs>
              <w:tab w:val="right" w:leader="dot" w:pos="9350"/>
            </w:tabs>
            <w:rPr>
              <w:rFonts w:eastAsiaTheme="minorEastAsia" w:cstheme="minorBidi"/>
              <w:noProof/>
              <w:szCs w:val="22"/>
            </w:rPr>
          </w:pPr>
          <w:hyperlink w:anchor="_Toc478657404" w:history="1">
            <w:r w:rsidR="00B4429C" w:rsidRPr="009F54A4">
              <w:rPr>
                <w:rStyle w:val="Hyperlink"/>
                <w:rFonts w:cstheme="minorHAnsi"/>
                <w:noProof/>
              </w:rPr>
              <w:t>Attachments</w:t>
            </w:r>
            <w:r w:rsidR="00B4429C">
              <w:rPr>
                <w:noProof/>
                <w:webHidden/>
              </w:rPr>
              <w:tab/>
            </w:r>
            <w:r w:rsidR="00B4429C">
              <w:rPr>
                <w:noProof/>
                <w:webHidden/>
              </w:rPr>
              <w:fldChar w:fldCharType="begin"/>
            </w:r>
            <w:r w:rsidR="00B4429C">
              <w:rPr>
                <w:noProof/>
                <w:webHidden/>
              </w:rPr>
              <w:instrText xml:space="preserve"> PAGEREF _Toc478657404 \h </w:instrText>
            </w:r>
            <w:r w:rsidR="00B4429C">
              <w:rPr>
                <w:noProof/>
                <w:webHidden/>
              </w:rPr>
            </w:r>
            <w:r w:rsidR="00B4429C">
              <w:rPr>
                <w:noProof/>
                <w:webHidden/>
              </w:rPr>
              <w:fldChar w:fldCharType="separate"/>
            </w:r>
            <w:r w:rsidR="001D7F1F">
              <w:rPr>
                <w:noProof/>
                <w:webHidden/>
              </w:rPr>
              <w:t>20</w:t>
            </w:r>
            <w:r w:rsidR="00B4429C">
              <w:rPr>
                <w:noProof/>
                <w:webHidden/>
              </w:rPr>
              <w:fldChar w:fldCharType="end"/>
            </w:r>
          </w:hyperlink>
        </w:p>
        <w:p w14:paraId="10A9F235" w14:textId="057FCBBA" w:rsidR="00B4429C" w:rsidRDefault="005A50B7">
          <w:pPr>
            <w:pStyle w:val="TOC1"/>
            <w:tabs>
              <w:tab w:val="right" w:leader="dot" w:pos="9350"/>
            </w:tabs>
            <w:rPr>
              <w:rFonts w:eastAsiaTheme="minorEastAsia" w:cstheme="minorBidi"/>
              <w:noProof/>
              <w:szCs w:val="22"/>
            </w:rPr>
          </w:pPr>
          <w:hyperlink w:anchor="_Toc478657405" w:history="1">
            <w:r w:rsidR="00B4429C" w:rsidRPr="009F54A4">
              <w:rPr>
                <w:rStyle w:val="Hyperlink"/>
                <w:rFonts w:cstheme="minorHAnsi"/>
                <w:noProof/>
              </w:rPr>
              <w:t>References</w:t>
            </w:r>
            <w:r w:rsidR="00B4429C">
              <w:rPr>
                <w:noProof/>
                <w:webHidden/>
              </w:rPr>
              <w:tab/>
            </w:r>
            <w:r w:rsidR="00B4429C">
              <w:rPr>
                <w:noProof/>
                <w:webHidden/>
              </w:rPr>
              <w:fldChar w:fldCharType="begin"/>
            </w:r>
            <w:r w:rsidR="00B4429C">
              <w:rPr>
                <w:noProof/>
                <w:webHidden/>
              </w:rPr>
              <w:instrText xml:space="preserve"> PAGEREF _Toc478657405 \h </w:instrText>
            </w:r>
            <w:r w:rsidR="00B4429C">
              <w:rPr>
                <w:noProof/>
                <w:webHidden/>
              </w:rPr>
            </w:r>
            <w:r w:rsidR="00B4429C">
              <w:rPr>
                <w:noProof/>
                <w:webHidden/>
              </w:rPr>
              <w:fldChar w:fldCharType="separate"/>
            </w:r>
            <w:r w:rsidR="001D7F1F">
              <w:rPr>
                <w:noProof/>
                <w:webHidden/>
              </w:rPr>
              <w:t>21</w:t>
            </w:r>
            <w:r w:rsidR="00B4429C">
              <w:rPr>
                <w:noProof/>
                <w:webHidden/>
              </w:rPr>
              <w:fldChar w:fldCharType="end"/>
            </w:r>
          </w:hyperlink>
        </w:p>
        <w:p w14:paraId="1093B8F1" w14:textId="639360B2" w:rsidR="000A7558" w:rsidRDefault="000A7558">
          <w:r>
            <w:rPr>
              <w:b/>
              <w:bCs/>
              <w:noProof/>
            </w:rPr>
            <w:fldChar w:fldCharType="end"/>
          </w:r>
        </w:p>
      </w:sdtContent>
    </w:sdt>
    <w:p w14:paraId="5026F5D9" w14:textId="03AB5A6C" w:rsidR="00E16609" w:rsidRPr="00500C4E" w:rsidRDefault="00E16609" w:rsidP="00E16609">
      <w:pPr>
        <w:pStyle w:val="Heading1"/>
        <w:rPr>
          <w:rFonts w:cstheme="minorHAnsi"/>
        </w:rPr>
      </w:pPr>
      <w:bookmarkStart w:id="11" w:name="_Toc478657381"/>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1"/>
    </w:p>
    <w:p w14:paraId="5026F5DA" w14:textId="77777777" w:rsidR="00E16609" w:rsidRPr="00500C4E" w:rsidRDefault="00824F1C" w:rsidP="00697868">
      <w:pPr>
        <w:pStyle w:val="Heading2"/>
        <w:rPr>
          <w:rFonts w:asciiTheme="minorHAnsi" w:hAnsiTheme="minorHAnsi"/>
        </w:rPr>
      </w:pPr>
      <w:bookmarkStart w:id="12" w:name="_Toc478657382"/>
      <w:bookmarkStart w:id="13"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2"/>
      <w:r w:rsidR="00E16609" w:rsidRPr="00500C4E">
        <w:rPr>
          <w:rFonts w:asciiTheme="minorHAnsi" w:hAnsiTheme="minorHAnsi"/>
        </w:rPr>
        <w:t xml:space="preserve"> </w:t>
      </w:r>
      <w:bookmarkEnd w:id="13"/>
    </w:p>
    <w:p w14:paraId="5026F5DC" w14:textId="77777777" w:rsidR="00CD1B6C" w:rsidRPr="00920905" w:rsidRDefault="00CD1B6C" w:rsidP="00CD1B6C">
      <w:pPr>
        <w:jc w:val="center"/>
        <w:rPr>
          <w:b/>
          <w:szCs w:val="22"/>
        </w:rPr>
      </w:pPr>
    </w:p>
    <w:p w14:paraId="5026F5DD" w14:textId="1D0E0768" w:rsidR="00486933" w:rsidRDefault="00486933" w:rsidP="00486933">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1</w:t>
      </w:r>
      <w:r w:rsidR="005A50B7">
        <w:rPr>
          <w:noProof/>
        </w:rPr>
        <w:fldChar w:fldCharType="end"/>
      </w:r>
      <w:r>
        <w:t>: Base, Standard, and Measure Cases</w:t>
      </w:r>
    </w:p>
    <w:tbl>
      <w:tblPr>
        <w:tblStyle w:val="TableGrid1"/>
        <w:tblW w:w="5000" w:type="pct"/>
        <w:tblLook w:val="04A0" w:firstRow="1" w:lastRow="0" w:firstColumn="1" w:lastColumn="0" w:noHBand="0" w:noVBand="1"/>
      </w:tblPr>
      <w:tblGrid>
        <w:gridCol w:w="2425"/>
        <w:gridCol w:w="6925"/>
      </w:tblGrid>
      <w:tr w:rsidR="005720F2" w:rsidRPr="00800706" w14:paraId="5026F5E0" w14:textId="77777777" w:rsidTr="007A1C57">
        <w:trPr>
          <w:trHeight w:val="20"/>
        </w:trPr>
        <w:tc>
          <w:tcPr>
            <w:tcW w:w="1297" w:type="pct"/>
            <w:shd w:val="clear" w:color="auto" w:fill="D9D9D9" w:themeFill="background1" w:themeFillShade="D9"/>
          </w:tcPr>
          <w:p w14:paraId="5026F5DE"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03" w:type="pct"/>
            <w:shd w:val="clear" w:color="auto" w:fill="D9D9D9" w:themeFill="background1" w:themeFillShade="D9"/>
          </w:tcPr>
          <w:p w14:paraId="5026F5DF"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7A1C57" w:rsidRPr="00800706" w14:paraId="5026F5E3" w14:textId="77777777" w:rsidTr="007A1C57">
        <w:trPr>
          <w:trHeight w:val="20"/>
        </w:trPr>
        <w:tc>
          <w:tcPr>
            <w:tcW w:w="1297" w:type="pct"/>
            <w:vMerge w:val="restart"/>
            <w:vAlign w:val="center"/>
          </w:tcPr>
          <w:p w14:paraId="5026F5E1" w14:textId="77777777" w:rsidR="007A1C57" w:rsidRPr="00920905" w:rsidRDefault="007A1C57" w:rsidP="00D71776">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03" w:type="pct"/>
          </w:tcPr>
          <w:p w14:paraId="5026F5E2" w14:textId="5AE3CBF5" w:rsidR="007A1C57" w:rsidRPr="003E28FD" w:rsidRDefault="007A1C57" w:rsidP="00920905">
            <w:pPr>
              <w:rPr>
                <w:szCs w:val="20"/>
              </w:rPr>
            </w:pPr>
            <w:r>
              <w:rPr>
                <w:szCs w:val="20"/>
              </w:rPr>
              <w:t xml:space="preserve">Public Lavatory </w:t>
            </w:r>
            <w:r w:rsidRPr="003E28FD">
              <w:rPr>
                <w:szCs w:val="20"/>
              </w:rPr>
              <w:t xml:space="preserve">Faucet Aerator for Commercial </w:t>
            </w:r>
            <w:r>
              <w:rPr>
                <w:szCs w:val="20"/>
              </w:rPr>
              <w:t>Buildings – 0.5 GPM Flow Rate</w:t>
            </w:r>
          </w:p>
        </w:tc>
      </w:tr>
      <w:tr w:rsidR="007A1C57" w:rsidRPr="00800706" w14:paraId="5026F5E6" w14:textId="77777777" w:rsidTr="007A1C57">
        <w:trPr>
          <w:trHeight w:val="170"/>
        </w:trPr>
        <w:tc>
          <w:tcPr>
            <w:tcW w:w="1297" w:type="pct"/>
            <w:vMerge/>
          </w:tcPr>
          <w:p w14:paraId="5026F5E4" w14:textId="77777777" w:rsidR="007A1C57" w:rsidRPr="00920905" w:rsidRDefault="007A1C57" w:rsidP="007A1C57">
            <w:pPr>
              <w:pStyle w:val="Reminders"/>
              <w:tabs>
                <w:tab w:val="num" w:pos="360"/>
              </w:tabs>
              <w:spacing w:before="0" w:after="0"/>
              <w:rPr>
                <w:rFonts w:asciiTheme="minorHAnsi" w:hAnsiTheme="minorHAnsi" w:cs="Arial"/>
                <w:i w:val="0"/>
                <w:color w:val="auto"/>
                <w:szCs w:val="20"/>
              </w:rPr>
            </w:pPr>
          </w:p>
        </w:tc>
        <w:tc>
          <w:tcPr>
            <w:tcW w:w="3703" w:type="pct"/>
          </w:tcPr>
          <w:p w14:paraId="5026F5E5" w14:textId="1C348A0A" w:rsidR="007A1C57" w:rsidRPr="003E28FD" w:rsidRDefault="007A1C57" w:rsidP="007A1C57">
            <w:pPr>
              <w:rPr>
                <w:szCs w:val="20"/>
              </w:rPr>
            </w:pPr>
            <w:r>
              <w:rPr>
                <w:szCs w:val="20"/>
              </w:rPr>
              <w:t xml:space="preserve">Public Lavatory </w:t>
            </w:r>
            <w:r w:rsidRPr="003E28FD">
              <w:rPr>
                <w:szCs w:val="20"/>
              </w:rPr>
              <w:t xml:space="preserve">Faucet Aerator for Commercial </w:t>
            </w:r>
            <w:r>
              <w:rPr>
                <w:szCs w:val="20"/>
              </w:rPr>
              <w:t>Buildings – 1.0 GPM Flow Rate</w:t>
            </w:r>
          </w:p>
        </w:tc>
      </w:tr>
      <w:tr w:rsidR="007A1C57" w:rsidRPr="00800706" w14:paraId="0B3ED2BD" w14:textId="77777777" w:rsidTr="007A1C57">
        <w:trPr>
          <w:trHeight w:val="170"/>
        </w:trPr>
        <w:tc>
          <w:tcPr>
            <w:tcW w:w="1297" w:type="pct"/>
            <w:vMerge/>
          </w:tcPr>
          <w:p w14:paraId="55794546" w14:textId="77777777" w:rsidR="007A1C57" w:rsidRPr="00920905" w:rsidRDefault="007A1C57" w:rsidP="007A1C57">
            <w:pPr>
              <w:pStyle w:val="Reminders"/>
              <w:tabs>
                <w:tab w:val="num" w:pos="360"/>
              </w:tabs>
              <w:spacing w:before="0" w:after="0"/>
              <w:rPr>
                <w:rFonts w:asciiTheme="minorHAnsi" w:hAnsiTheme="minorHAnsi" w:cs="Arial"/>
                <w:i w:val="0"/>
                <w:color w:val="auto"/>
                <w:szCs w:val="20"/>
              </w:rPr>
            </w:pPr>
          </w:p>
        </w:tc>
        <w:tc>
          <w:tcPr>
            <w:tcW w:w="3703" w:type="pct"/>
          </w:tcPr>
          <w:p w14:paraId="286379A7" w14:textId="30F15DD2" w:rsidR="007A1C57" w:rsidRDefault="007A1C57" w:rsidP="007A1C57">
            <w:pPr>
              <w:rPr>
                <w:szCs w:val="20"/>
              </w:rPr>
            </w:pPr>
            <w:r>
              <w:rPr>
                <w:szCs w:val="20"/>
              </w:rPr>
              <w:t xml:space="preserve">Private Lavatory </w:t>
            </w:r>
            <w:r w:rsidRPr="003E28FD">
              <w:rPr>
                <w:szCs w:val="20"/>
              </w:rPr>
              <w:t xml:space="preserve">Faucet Aerator for Commercial </w:t>
            </w:r>
            <w:r>
              <w:rPr>
                <w:szCs w:val="20"/>
              </w:rPr>
              <w:t>Buildings – 0.5 GPM Flow Rate</w:t>
            </w:r>
          </w:p>
        </w:tc>
      </w:tr>
      <w:tr w:rsidR="007A1C57" w:rsidRPr="00800706" w14:paraId="7477137A" w14:textId="77777777" w:rsidTr="007A1C57">
        <w:trPr>
          <w:trHeight w:val="170"/>
        </w:trPr>
        <w:tc>
          <w:tcPr>
            <w:tcW w:w="1297" w:type="pct"/>
            <w:vMerge/>
          </w:tcPr>
          <w:p w14:paraId="65A667E3" w14:textId="77777777" w:rsidR="007A1C57" w:rsidRPr="00920905" w:rsidRDefault="007A1C57" w:rsidP="007A1C57">
            <w:pPr>
              <w:pStyle w:val="Reminders"/>
              <w:tabs>
                <w:tab w:val="num" w:pos="360"/>
              </w:tabs>
              <w:spacing w:before="0" w:after="0"/>
              <w:rPr>
                <w:rFonts w:asciiTheme="minorHAnsi" w:hAnsiTheme="minorHAnsi" w:cs="Arial"/>
                <w:i w:val="0"/>
                <w:color w:val="auto"/>
                <w:szCs w:val="20"/>
              </w:rPr>
            </w:pPr>
          </w:p>
        </w:tc>
        <w:tc>
          <w:tcPr>
            <w:tcW w:w="3703" w:type="pct"/>
          </w:tcPr>
          <w:p w14:paraId="3BEC549E" w14:textId="30FE7D68" w:rsidR="007A1C57" w:rsidRDefault="007A1C57" w:rsidP="007A1C57">
            <w:pPr>
              <w:rPr>
                <w:szCs w:val="20"/>
              </w:rPr>
            </w:pPr>
            <w:r>
              <w:rPr>
                <w:szCs w:val="20"/>
              </w:rPr>
              <w:t xml:space="preserve">Private Lavatory </w:t>
            </w:r>
            <w:r w:rsidRPr="003E28FD">
              <w:rPr>
                <w:szCs w:val="20"/>
              </w:rPr>
              <w:t xml:space="preserve">Faucet Aerator for Commercial </w:t>
            </w:r>
            <w:r>
              <w:rPr>
                <w:szCs w:val="20"/>
              </w:rPr>
              <w:t>Buildings – 1.0 GPM Flow Rate</w:t>
            </w:r>
          </w:p>
        </w:tc>
      </w:tr>
      <w:tr w:rsidR="007A1C57" w:rsidRPr="00800706" w14:paraId="5026F5EC" w14:textId="77777777" w:rsidTr="007A1C57">
        <w:trPr>
          <w:trHeight w:val="20"/>
        </w:trPr>
        <w:tc>
          <w:tcPr>
            <w:tcW w:w="1297" w:type="pct"/>
          </w:tcPr>
          <w:p w14:paraId="5026F5EA" w14:textId="77777777" w:rsidR="007A1C57" w:rsidRPr="00920905" w:rsidRDefault="007A1C57" w:rsidP="007A1C57">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03" w:type="pct"/>
          </w:tcPr>
          <w:p w14:paraId="5026F5EB" w14:textId="30236C20" w:rsidR="007A1C57" w:rsidRPr="00337E3D" w:rsidRDefault="007A1C57" w:rsidP="007A1C57">
            <w:pPr>
              <w:rPr>
                <w:color w:val="0070C0"/>
                <w:szCs w:val="20"/>
              </w:rPr>
            </w:pPr>
            <w:r w:rsidRPr="00337E3D">
              <w:rPr>
                <w:szCs w:val="20"/>
              </w:rPr>
              <w:t xml:space="preserve">Faucet with 2.2 GPM max flow rate or greater  </w:t>
            </w:r>
          </w:p>
        </w:tc>
      </w:tr>
      <w:tr w:rsidR="007A1C57" w:rsidRPr="00800706" w14:paraId="5026F5EF" w14:textId="77777777" w:rsidTr="007A1C57">
        <w:trPr>
          <w:trHeight w:val="20"/>
        </w:trPr>
        <w:tc>
          <w:tcPr>
            <w:tcW w:w="1297" w:type="pct"/>
          </w:tcPr>
          <w:p w14:paraId="5026F5ED" w14:textId="77777777" w:rsidR="007A1C57" w:rsidRPr="00800706" w:rsidRDefault="007A1C57" w:rsidP="007A1C57">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03" w:type="pct"/>
          </w:tcPr>
          <w:p w14:paraId="5026F5EE" w14:textId="2A6D2669" w:rsidR="007A1C57" w:rsidRPr="003E28FD" w:rsidRDefault="007A1C57" w:rsidP="007A1C57">
            <w:pPr>
              <w:rPr>
                <w:szCs w:val="20"/>
              </w:rPr>
            </w:pPr>
            <w:r w:rsidRPr="003E28FD">
              <w:rPr>
                <w:szCs w:val="20"/>
              </w:rPr>
              <w:t xml:space="preserve">1.2 GPM </w:t>
            </w:r>
            <w:r>
              <w:rPr>
                <w:szCs w:val="20"/>
              </w:rPr>
              <w:t xml:space="preserve">max </w:t>
            </w:r>
            <w:r w:rsidRPr="003E28FD">
              <w:rPr>
                <w:szCs w:val="20"/>
              </w:rPr>
              <w:t xml:space="preserve">flow rate or lower depending on type of faucet (See </w:t>
            </w:r>
            <w:r w:rsidRPr="00E512DB">
              <w:rPr>
                <w:b/>
                <w:i/>
                <w:szCs w:val="20"/>
              </w:rPr>
              <w:fldChar w:fldCharType="begin"/>
            </w:r>
            <w:r w:rsidRPr="00E512DB">
              <w:rPr>
                <w:b/>
                <w:i/>
                <w:szCs w:val="20"/>
              </w:rPr>
              <w:instrText xml:space="preserve"> REF _Ref478049343 \h  \* MERGEFORMAT </w:instrText>
            </w:r>
            <w:r w:rsidRPr="00E512DB">
              <w:rPr>
                <w:b/>
                <w:i/>
                <w:szCs w:val="20"/>
              </w:rPr>
            </w:r>
            <w:r w:rsidRPr="00E512DB">
              <w:rPr>
                <w:b/>
                <w:i/>
                <w:szCs w:val="20"/>
              </w:rPr>
              <w:fldChar w:fldCharType="separate"/>
            </w:r>
            <w:r w:rsidRPr="00E512DB">
              <w:rPr>
                <w:b/>
                <w:i/>
              </w:rPr>
              <w:t xml:space="preserve">Figure </w:t>
            </w:r>
            <w:r w:rsidRPr="00E512DB">
              <w:rPr>
                <w:b/>
                <w:i/>
                <w:noProof/>
              </w:rPr>
              <w:t>1</w:t>
            </w:r>
            <w:r w:rsidRPr="00E512DB">
              <w:rPr>
                <w:b/>
                <w:i/>
                <w:szCs w:val="20"/>
              </w:rPr>
              <w:fldChar w:fldCharType="end"/>
            </w:r>
            <w:r w:rsidRPr="003E28FD">
              <w:rPr>
                <w:szCs w:val="20"/>
              </w:rPr>
              <w:t>)</w:t>
            </w:r>
          </w:p>
        </w:tc>
      </w:tr>
      <w:tr w:rsidR="007A1C57" w:rsidRPr="00800706" w14:paraId="61FE5BC8" w14:textId="77777777" w:rsidTr="007A1C57">
        <w:trPr>
          <w:trHeight w:val="20"/>
        </w:trPr>
        <w:tc>
          <w:tcPr>
            <w:tcW w:w="1297" w:type="pct"/>
          </w:tcPr>
          <w:p w14:paraId="27E55159" w14:textId="3254FA64" w:rsidR="007A1C57" w:rsidRDefault="007A1C57" w:rsidP="007A1C57">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 xml:space="preserve">Industry Standard Practice </w:t>
            </w:r>
          </w:p>
        </w:tc>
        <w:tc>
          <w:tcPr>
            <w:tcW w:w="3703" w:type="pct"/>
          </w:tcPr>
          <w:p w14:paraId="236E8559" w14:textId="07750EE9" w:rsidR="007A1C57" w:rsidRPr="003E28FD" w:rsidRDefault="007A1C57" w:rsidP="007A1C57">
            <w:pPr>
              <w:rPr>
                <w:szCs w:val="20"/>
              </w:rPr>
            </w:pPr>
            <w:r w:rsidRPr="00337E3D">
              <w:rPr>
                <w:szCs w:val="20"/>
              </w:rPr>
              <w:t xml:space="preserve">Faucet with 2.2 GPM max flow rate or greater  </w:t>
            </w:r>
          </w:p>
        </w:tc>
      </w:tr>
    </w:tbl>
    <w:p w14:paraId="5026F5F3" w14:textId="77777777" w:rsidR="00CD1B6C" w:rsidRPr="00CD1B6C" w:rsidRDefault="00CD1B6C" w:rsidP="00CD1B6C"/>
    <w:p w14:paraId="5026F5F4" w14:textId="574093B5" w:rsidR="00486933" w:rsidRDefault="00486933" w:rsidP="00486933">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2</w:t>
      </w:r>
      <w:r w:rsidR="005A50B7">
        <w:rPr>
          <w:noProof/>
        </w:rPr>
        <w:fldChar w:fldCharType="end"/>
      </w:r>
      <w:r>
        <w:t>: Measure and Codes</w:t>
      </w:r>
    </w:p>
    <w:tbl>
      <w:tblPr>
        <w:tblStyle w:val="TableGrid1"/>
        <w:tblW w:w="5000" w:type="pct"/>
        <w:tblLook w:val="04A0" w:firstRow="1" w:lastRow="0" w:firstColumn="1" w:lastColumn="0" w:noHBand="0" w:noVBand="1"/>
      </w:tblPr>
      <w:tblGrid>
        <w:gridCol w:w="2687"/>
        <w:gridCol w:w="804"/>
        <w:gridCol w:w="711"/>
        <w:gridCol w:w="680"/>
        <w:gridCol w:w="4468"/>
      </w:tblGrid>
      <w:tr w:rsidR="003A3170" w:rsidRPr="00800706" w14:paraId="5026F5F7" w14:textId="77777777" w:rsidTr="00A672CC">
        <w:tc>
          <w:tcPr>
            <w:tcW w:w="2607" w:type="pct"/>
            <w:gridSpan w:val="4"/>
            <w:shd w:val="clear" w:color="auto" w:fill="D9D9D9" w:themeFill="background1" w:themeFillShade="D9"/>
          </w:tcPr>
          <w:p w14:paraId="5026F5F5" w14:textId="77777777" w:rsidR="003A3170" w:rsidRPr="00920905" w:rsidRDefault="003A3170" w:rsidP="005729C8">
            <w:pPr>
              <w:rPr>
                <w:rFonts w:cstheme="minorHAnsi"/>
                <w:b/>
                <w:szCs w:val="20"/>
              </w:rPr>
            </w:pPr>
            <w:r w:rsidRPr="00920905">
              <w:rPr>
                <w:rFonts w:cstheme="minorHAnsi"/>
                <w:b/>
                <w:szCs w:val="20"/>
              </w:rPr>
              <w:t>Measure Codes</w:t>
            </w:r>
          </w:p>
        </w:tc>
        <w:tc>
          <w:tcPr>
            <w:tcW w:w="2393" w:type="pct"/>
            <w:vMerge w:val="restart"/>
            <w:shd w:val="clear" w:color="auto" w:fill="D9D9D9" w:themeFill="background1" w:themeFillShade="D9"/>
          </w:tcPr>
          <w:p w14:paraId="5026F5F6"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5026F5FD" w14:textId="77777777" w:rsidTr="00A672CC">
        <w:tc>
          <w:tcPr>
            <w:tcW w:w="1441" w:type="pct"/>
            <w:shd w:val="clear" w:color="auto" w:fill="F2F2F2" w:themeFill="background1" w:themeFillShade="F2"/>
          </w:tcPr>
          <w:p w14:paraId="5026F5F8" w14:textId="77777777" w:rsidR="003A3170" w:rsidRPr="00800706" w:rsidRDefault="003A3170" w:rsidP="00A672CC">
            <w:pPr>
              <w:jc w:val="center"/>
              <w:rPr>
                <w:rFonts w:cstheme="minorHAnsi"/>
                <w:szCs w:val="20"/>
              </w:rPr>
            </w:pPr>
            <w:r w:rsidRPr="00800706">
              <w:rPr>
                <w:rFonts w:cstheme="minorHAnsi"/>
                <w:szCs w:val="20"/>
              </w:rPr>
              <w:t>SCG</w:t>
            </w:r>
          </w:p>
        </w:tc>
        <w:tc>
          <w:tcPr>
            <w:tcW w:w="434" w:type="pct"/>
            <w:shd w:val="clear" w:color="auto" w:fill="F2F2F2" w:themeFill="background1" w:themeFillShade="F2"/>
          </w:tcPr>
          <w:p w14:paraId="5026F5F9" w14:textId="77777777" w:rsidR="003A3170" w:rsidRPr="00800706" w:rsidRDefault="003A3170" w:rsidP="00A672CC">
            <w:pPr>
              <w:jc w:val="center"/>
              <w:rPr>
                <w:rFonts w:cstheme="minorHAnsi"/>
                <w:szCs w:val="20"/>
              </w:rPr>
            </w:pPr>
            <w:r w:rsidRPr="00800706">
              <w:rPr>
                <w:rFonts w:cstheme="minorHAnsi"/>
                <w:szCs w:val="20"/>
              </w:rPr>
              <w:t>SDG&amp;E</w:t>
            </w:r>
          </w:p>
        </w:tc>
        <w:tc>
          <w:tcPr>
            <w:tcW w:w="384" w:type="pct"/>
            <w:shd w:val="clear" w:color="auto" w:fill="F2F2F2" w:themeFill="background1" w:themeFillShade="F2"/>
          </w:tcPr>
          <w:p w14:paraId="5026F5FA" w14:textId="77777777" w:rsidR="003A3170" w:rsidRPr="00800706" w:rsidRDefault="003A3170" w:rsidP="00A672CC">
            <w:pPr>
              <w:jc w:val="center"/>
              <w:rPr>
                <w:rFonts w:cstheme="minorHAnsi"/>
                <w:szCs w:val="20"/>
              </w:rPr>
            </w:pPr>
            <w:r w:rsidRPr="00800706">
              <w:rPr>
                <w:rFonts w:cstheme="minorHAnsi"/>
                <w:szCs w:val="20"/>
              </w:rPr>
              <w:t>SCE</w:t>
            </w:r>
          </w:p>
        </w:tc>
        <w:tc>
          <w:tcPr>
            <w:tcW w:w="348" w:type="pct"/>
            <w:shd w:val="clear" w:color="auto" w:fill="F2F2F2" w:themeFill="background1" w:themeFillShade="F2"/>
          </w:tcPr>
          <w:p w14:paraId="5026F5FB" w14:textId="77777777" w:rsidR="003A3170" w:rsidRPr="00800706" w:rsidRDefault="003A3170" w:rsidP="00A672CC">
            <w:pPr>
              <w:jc w:val="center"/>
              <w:rPr>
                <w:rFonts w:cstheme="minorHAnsi"/>
                <w:szCs w:val="20"/>
              </w:rPr>
            </w:pPr>
            <w:r w:rsidRPr="00800706">
              <w:rPr>
                <w:rFonts w:cstheme="minorHAnsi"/>
                <w:szCs w:val="20"/>
              </w:rPr>
              <w:t>PG&amp;E</w:t>
            </w:r>
          </w:p>
        </w:tc>
        <w:tc>
          <w:tcPr>
            <w:tcW w:w="2393" w:type="pct"/>
            <w:vMerge/>
          </w:tcPr>
          <w:p w14:paraId="5026F5FC" w14:textId="77777777" w:rsidR="003A3170" w:rsidRPr="00800706" w:rsidRDefault="003A3170" w:rsidP="005729C8">
            <w:pPr>
              <w:rPr>
                <w:rFonts w:cstheme="minorHAnsi"/>
                <w:szCs w:val="20"/>
              </w:rPr>
            </w:pPr>
          </w:p>
        </w:tc>
      </w:tr>
      <w:tr w:rsidR="00A672CC" w:rsidRPr="00800706" w14:paraId="5026F604" w14:textId="77777777" w:rsidTr="00A672CC">
        <w:trPr>
          <w:trHeight w:val="243"/>
        </w:trPr>
        <w:tc>
          <w:tcPr>
            <w:tcW w:w="1441" w:type="pct"/>
          </w:tcPr>
          <w:p w14:paraId="5026F5FE" w14:textId="5F69E1DF" w:rsidR="007A1C57" w:rsidRPr="000236E6" w:rsidRDefault="007A1C57" w:rsidP="007A1C57">
            <w:pPr>
              <w:rPr>
                <w:rFonts w:cstheme="minorHAnsi"/>
                <w:szCs w:val="20"/>
              </w:rPr>
            </w:pPr>
            <w:r w:rsidRPr="000236E6">
              <w:rPr>
                <w:rFonts w:cstheme="minorHAnsi"/>
                <w:szCs w:val="20"/>
              </w:rPr>
              <w:t>Com-Aerator-</w:t>
            </w:r>
            <w:r>
              <w:rPr>
                <w:rFonts w:cstheme="minorHAnsi"/>
                <w:szCs w:val="20"/>
              </w:rPr>
              <w:t>Public-</w:t>
            </w:r>
            <w:r w:rsidRPr="000236E6">
              <w:rPr>
                <w:rFonts w:cstheme="minorHAnsi"/>
                <w:szCs w:val="20"/>
              </w:rPr>
              <w:t>0.5 GPM</w:t>
            </w:r>
          </w:p>
          <w:p w14:paraId="5026F5FF" w14:textId="77777777" w:rsidR="007A1C57" w:rsidRPr="000236E6" w:rsidRDefault="007A1C57" w:rsidP="007A1C57">
            <w:pPr>
              <w:rPr>
                <w:rFonts w:cstheme="minorHAnsi"/>
                <w:szCs w:val="20"/>
              </w:rPr>
            </w:pPr>
          </w:p>
        </w:tc>
        <w:tc>
          <w:tcPr>
            <w:tcW w:w="434" w:type="pct"/>
          </w:tcPr>
          <w:p w14:paraId="5026F600" w14:textId="77777777" w:rsidR="007A1C57" w:rsidRPr="00920905" w:rsidRDefault="007A1C57" w:rsidP="007A1C57">
            <w:pPr>
              <w:rPr>
                <w:rFonts w:cstheme="minorHAnsi"/>
                <w:color w:val="FF0000"/>
                <w:szCs w:val="20"/>
              </w:rPr>
            </w:pPr>
          </w:p>
        </w:tc>
        <w:tc>
          <w:tcPr>
            <w:tcW w:w="384" w:type="pct"/>
          </w:tcPr>
          <w:p w14:paraId="5026F601" w14:textId="77777777" w:rsidR="007A1C57" w:rsidRPr="00920905" w:rsidRDefault="007A1C57" w:rsidP="007A1C57">
            <w:pPr>
              <w:rPr>
                <w:rFonts w:cstheme="minorHAnsi"/>
                <w:color w:val="FF0000"/>
                <w:szCs w:val="20"/>
              </w:rPr>
            </w:pPr>
          </w:p>
        </w:tc>
        <w:tc>
          <w:tcPr>
            <w:tcW w:w="348" w:type="pct"/>
          </w:tcPr>
          <w:p w14:paraId="5026F602" w14:textId="77777777" w:rsidR="007A1C57" w:rsidRPr="00920905" w:rsidRDefault="007A1C57" w:rsidP="007A1C57">
            <w:pPr>
              <w:rPr>
                <w:rFonts w:cstheme="minorHAnsi"/>
                <w:color w:val="FF0000"/>
                <w:szCs w:val="20"/>
              </w:rPr>
            </w:pPr>
          </w:p>
        </w:tc>
        <w:tc>
          <w:tcPr>
            <w:tcW w:w="2393" w:type="pct"/>
          </w:tcPr>
          <w:p w14:paraId="5026F603" w14:textId="55A82FAE" w:rsidR="007A1C57" w:rsidRPr="003E28FD" w:rsidRDefault="007A1C57" w:rsidP="007A1C57">
            <w:r>
              <w:rPr>
                <w:szCs w:val="20"/>
              </w:rPr>
              <w:t xml:space="preserve">Public Lavatory </w:t>
            </w:r>
            <w:r w:rsidRPr="003E28FD">
              <w:rPr>
                <w:szCs w:val="20"/>
              </w:rPr>
              <w:t xml:space="preserve">Faucet Aerator for Commercial </w:t>
            </w:r>
            <w:r>
              <w:rPr>
                <w:szCs w:val="20"/>
              </w:rPr>
              <w:t>Buildings – 0.5 GPM Flow Rate</w:t>
            </w:r>
          </w:p>
        </w:tc>
      </w:tr>
      <w:tr w:rsidR="00A672CC" w:rsidRPr="00800706" w14:paraId="5026F60A" w14:textId="77777777" w:rsidTr="00A672CC">
        <w:trPr>
          <w:trHeight w:val="243"/>
        </w:trPr>
        <w:tc>
          <w:tcPr>
            <w:tcW w:w="1441" w:type="pct"/>
          </w:tcPr>
          <w:p w14:paraId="5026F605" w14:textId="61A25CAE" w:rsidR="007A1C57" w:rsidRPr="000236E6" w:rsidRDefault="007A1C57" w:rsidP="007A1C57">
            <w:pPr>
              <w:rPr>
                <w:rFonts w:cstheme="minorHAnsi"/>
                <w:szCs w:val="20"/>
              </w:rPr>
            </w:pPr>
            <w:r w:rsidRPr="000236E6">
              <w:rPr>
                <w:rFonts w:cstheme="minorHAnsi"/>
                <w:szCs w:val="20"/>
              </w:rPr>
              <w:t>Com-Aerator-</w:t>
            </w:r>
            <w:r>
              <w:rPr>
                <w:rFonts w:cstheme="minorHAnsi"/>
                <w:szCs w:val="20"/>
              </w:rPr>
              <w:t>Public-</w:t>
            </w:r>
            <w:r w:rsidRPr="000236E6">
              <w:rPr>
                <w:rFonts w:cstheme="minorHAnsi"/>
                <w:szCs w:val="20"/>
              </w:rPr>
              <w:t>1.0 GPM</w:t>
            </w:r>
          </w:p>
        </w:tc>
        <w:tc>
          <w:tcPr>
            <w:tcW w:w="434" w:type="pct"/>
          </w:tcPr>
          <w:p w14:paraId="5026F606" w14:textId="77777777" w:rsidR="007A1C57" w:rsidRPr="00350BF1" w:rsidRDefault="007A1C57" w:rsidP="007A1C57">
            <w:pPr>
              <w:rPr>
                <w:rFonts w:cstheme="minorHAnsi"/>
                <w:szCs w:val="20"/>
              </w:rPr>
            </w:pPr>
          </w:p>
        </w:tc>
        <w:tc>
          <w:tcPr>
            <w:tcW w:w="384" w:type="pct"/>
          </w:tcPr>
          <w:p w14:paraId="5026F607" w14:textId="77777777" w:rsidR="007A1C57" w:rsidRPr="00350BF1" w:rsidRDefault="007A1C57" w:rsidP="007A1C57">
            <w:pPr>
              <w:rPr>
                <w:rFonts w:cstheme="minorHAnsi"/>
                <w:szCs w:val="20"/>
              </w:rPr>
            </w:pPr>
          </w:p>
        </w:tc>
        <w:tc>
          <w:tcPr>
            <w:tcW w:w="348" w:type="pct"/>
          </w:tcPr>
          <w:p w14:paraId="5026F608" w14:textId="77777777" w:rsidR="007A1C57" w:rsidRPr="00350BF1" w:rsidRDefault="007A1C57" w:rsidP="007A1C57">
            <w:pPr>
              <w:rPr>
                <w:rFonts w:cstheme="minorHAnsi"/>
                <w:szCs w:val="20"/>
              </w:rPr>
            </w:pPr>
          </w:p>
        </w:tc>
        <w:tc>
          <w:tcPr>
            <w:tcW w:w="2393" w:type="pct"/>
          </w:tcPr>
          <w:p w14:paraId="5026F609" w14:textId="3D17F946" w:rsidR="007A1C57" w:rsidRPr="003E28FD" w:rsidRDefault="007A1C57" w:rsidP="007A1C57">
            <w:r>
              <w:rPr>
                <w:szCs w:val="20"/>
              </w:rPr>
              <w:t xml:space="preserve">Public Lavatory </w:t>
            </w:r>
            <w:r w:rsidRPr="003E28FD">
              <w:rPr>
                <w:szCs w:val="20"/>
              </w:rPr>
              <w:t xml:space="preserve">Faucet Aerator for Commercial </w:t>
            </w:r>
            <w:r>
              <w:rPr>
                <w:szCs w:val="20"/>
              </w:rPr>
              <w:t>Buildings – 1.0 GPM Flow Rate</w:t>
            </w:r>
          </w:p>
        </w:tc>
      </w:tr>
      <w:tr w:rsidR="00A672CC" w:rsidRPr="00800706" w14:paraId="3C935A91" w14:textId="77777777" w:rsidTr="00A672CC">
        <w:trPr>
          <w:trHeight w:val="243"/>
        </w:trPr>
        <w:tc>
          <w:tcPr>
            <w:tcW w:w="1441" w:type="pct"/>
          </w:tcPr>
          <w:p w14:paraId="39B0F620" w14:textId="0A88524B" w:rsidR="007A1C57" w:rsidRPr="000236E6" w:rsidRDefault="007A1C57" w:rsidP="007A1C57">
            <w:pPr>
              <w:rPr>
                <w:rFonts w:cstheme="minorHAnsi"/>
                <w:szCs w:val="20"/>
              </w:rPr>
            </w:pPr>
            <w:r w:rsidRPr="000236E6">
              <w:rPr>
                <w:rFonts w:cstheme="minorHAnsi"/>
                <w:szCs w:val="20"/>
              </w:rPr>
              <w:t>Com-Aerator-</w:t>
            </w:r>
            <w:r>
              <w:rPr>
                <w:rFonts w:cstheme="minorHAnsi"/>
                <w:szCs w:val="20"/>
              </w:rPr>
              <w:t>Private-</w:t>
            </w:r>
            <w:r w:rsidRPr="000236E6">
              <w:rPr>
                <w:rFonts w:cstheme="minorHAnsi"/>
                <w:szCs w:val="20"/>
              </w:rPr>
              <w:t>0.5 GPM</w:t>
            </w:r>
          </w:p>
          <w:p w14:paraId="632763FE" w14:textId="77777777" w:rsidR="007A1C57" w:rsidRPr="000236E6" w:rsidRDefault="007A1C57" w:rsidP="007A1C57">
            <w:pPr>
              <w:rPr>
                <w:rFonts w:cstheme="minorHAnsi"/>
                <w:szCs w:val="20"/>
              </w:rPr>
            </w:pPr>
          </w:p>
        </w:tc>
        <w:tc>
          <w:tcPr>
            <w:tcW w:w="434" w:type="pct"/>
          </w:tcPr>
          <w:p w14:paraId="7933FB2F" w14:textId="77777777" w:rsidR="007A1C57" w:rsidRPr="00350BF1" w:rsidRDefault="007A1C57" w:rsidP="007A1C57">
            <w:pPr>
              <w:rPr>
                <w:rFonts w:cstheme="minorHAnsi"/>
                <w:szCs w:val="20"/>
              </w:rPr>
            </w:pPr>
          </w:p>
        </w:tc>
        <w:tc>
          <w:tcPr>
            <w:tcW w:w="384" w:type="pct"/>
          </w:tcPr>
          <w:p w14:paraId="5A383A33" w14:textId="77777777" w:rsidR="007A1C57" w:rsidRPr="00350BF1" w:rsidRDefault="007A1C57" w:rsidP="007A1C57">
            <w:pPr>
              <w:rPr>
                <w:rFonts w:cstheme="minorHAnsi"/>
                <w:szCs w:val="20"/>
              </w:rPr>
            </w:pPr>
          </w:p>
        </w:tc>
        <w:tc>
          <w:tcPr>
            <w:tcW w:w="348" w:type="pct"/>
          </w:tcPr>
          <w:p w14:paraId="3A1DA7BF" w14:textId="77777777" w:rsidR="007A1C57" w:rsidRPr="00350BF1" w:rsidRDefault="007A1C57" w:rsidP="007A1C57">
            <w:pPr>
              <w:rPr>
                <w:rFonts w:cstheme="minorHAnsi"/>
                <w:szCs w:val="20"/>
              </w:rPr>
            </w:pPr>
          </w:p>
        </w:tc>
        <w:tc>
          <w:tcPr>
            <w:tcW w:w="2393" w:type="pct"/>
          </w:tcPr>
          <w:p w14:paraId="1EB90F79" w14:textId="5BC2C2AD" w:rsidR="007A1C57" w:rsidRDefault="007A1C57" w:rsidP="007A1C57">
            <w:pPr>
              <w:rPr>
                <w:szCs w:val="20"/>
              </w:rPr>
            </w:pPr>
            <w:r>
              <w:rPr>
                <w:szCs w:val="20"/>
              </w:rPr>
              <w:t xml:space="preserve">Private Lavatory </w:t>
            </w:r>
            <w:r w:rsidRPr="003E28FD">
              <w:rPr>
                <w:szCs w:val="20"/>
              </w:rPr>
              <w:t xml:space="preserve">Faucet Aerator for Commercial </w:t>
            </w:r>
            <w:r>
              <w:rPr>
                <w:szCs w:val="20"/>
              </w:rPr>
              <w:t>Buildings – 0.5 GPM Flow Rate</w:t>
            </w:r>
          </w:p>
        </w:tc>
      </w:tr>
      <w:tr w:rsidR="00A672CC" w:rsidRPr="00800706" w14:paraId="6D5241F7" w14:textId="77777777" w:rsidTr="00A672CC">
        <w:trPr>
          <w:trHeight w:val="243"/>
        </w:trPr>
        <w:tc>
          <w:tcPr>
            <w:tcW w:w="1441" w:type="pct"/>
          </w:tcPr>
          <w:p w14:paraId="1C7883FF" w14:textId="1F770E86" w:rsidR="007A1C57" w:rsidRPr="000236E6" w:rsidRDefault="007A1C57" w:rsidP="007A1C57">
            <w:pPr>
              <w:rPr>
                <w:rFonts w:cstheme="minorHAnsi"/>
                <w:szCs w:val="20"/>
              </w:rPr>
            </w:pPr>
            <w:r w:rsidRPr="000236E6">
              <w:rPr>
                <w:rFonts w:cstheme="minorHAnsi"/>
                <w:szCs w:val="20"/>
              </w:rPr>
              <w:t>Com-Aerator-</w:t>
            </w:r>
            <w:r>
              <w:rPr>
                <w:rFonts w:cstheme="minorHAnsi"/>
                <w:szCs w:val="20"/>
              </w:rPr>
              <w:t>Private-</w:t>
            </w:r>
            <w:r w:rsidRPr="000236E6">
              <w:rPr>
                <w:rFonts w:cstheme="minorHAnsi"/>
                <w:szCs w:val="20"/>
              </w:rPr>
              <w:t>1.0 GPM</w:t>
            </w:r>
          </w:p>
        </w:tc>
        <w:tc>
          <w:tcPr>
            <w:tcW w:w="434" w:type="pct"/>
          </w:tcPr>
          <w:p w14:paraId="566C830F" w14:textId="77777777" w:rsidR="007A1C57" w:rsidRPr="00350BF1" w:rsidRDefault="007A1C57" w:rsidP="007A1C57">
            <w:pPr>
              <w:rPr>
                <w:rFonts w:cstheme="minorHAnsi"/>
                <w:szCs w:val="20"/>
              </w:rPr>
            </w:pPr>
          </w:p>
        </w:tc>
        <w:tc>
          <w:tcPr>
            <w:tcW w:w="384" w:type="pct"/>
          </w:tcPr>
          <w:p w14:paraId="1BECC3D9" w14:textId="77777777" w:rsidR="007A1C57" w:rsidRPr="00350BF1" w:rsidRDefault="007A1C57" w:rsidP="007A1C57">
            <w:pPr>
              <w:rPr>
                <w:rFonts w:cstheme="minorHAnsi"/>
                <w:szCs w:val="20"/>
              </w:rPr>
            </w:pPr>
          </w:p>
        </w:tc>
        <w:tc>
          <w:tcPr>
            <w:tcW w:w="348" w:type="pct"/>
          </w:tcPr>
          <w:p w14:paraId="652216CC" w14:textId="77777777" w:rsidR="007A1C57" w:rsidRPr="00350BF1" w:rsidRDefault="007A1C57" w:rsidP="007A1C57">
            <w:pPr>
              <w:rPr>
                <w:rFonts w:cstheme="minorHAnsi"/>
                <w:szCs w:val="20"/>
              </w:rPr>
            </w:pPr>
          </w:p>
        </w:tc>
        <w:tc>
          <w:tcPr>
            <w:tcW w:w="2393" w:type="pct"/>
          </w:tcPr>
          <w:p w14:paraId="67D18E70" w14:textId="59B3554A" w:rsidR="007A1C57" w:rsidRDefault="007A1C57" w:rsidP="007A1C57">
            <w:pPr>
              <w:rPr>
                <w:szCs w:val="20"/>
              </w:rPr>
            </w:pPr>
            <w:r>
              <w:rPr>
                <w:szCs w:val="20"/>
              </w:rPr>
              <w:t xml:space="preserve">Private Lavatory </w:t>
            </w:r>
            <w:r w:rsidRPr="003E28FD">
              <w:rPr>
                <w:szCs w:val="20"/>
              </w:rPr>
              <w:t xml:space="preserve">Faucet Aerator for Commercial </w:t>
            </w:r>
            <w:r>
              <w:rPr>
                <w:szCs w:val="20"/>
              </w:rPr>
              <w:t>Buildings – 1.0 GPM Flow Rate</w:t>
            </w:r>
          </w:p>
        </w:tc>
      </w:tr>
    </w:tbl>
    <w:p w14:paraId="5026F611" w14:textId="77777777" w:rsidR="00760CDC" w:rsidRPr="00800706" w:rsidRDefault="00760CDC" w:rsidP="00697868">
      <w:pPr>
        <w:pStyle w:val="Reminders"/>
        <w:rPr>
          <w:rFonts w:asciiTheme="minorHAnsi" w:hAnsiTheme="minorHAnsi" w:cstheme="minorHAnsi"/>
          <w:i w:val="0"/>
          <w:szCs w:val="22"/>
        </w:rPr>
      </w:pPr>
    </w:p>
    <w:p w14:paraId="5026F613" w14:textId="7E543B00" w:rsidR="00E208C6" w:rsidRDefault="00113092" w:rsidP="00697868">
      <w:pPr>
        <w:pStyle w:val="Reminders"/>
        <w:rPr>
          <w:rFonts w:asciiTheme="minorHAnsi" w:hAnsiTheme="minorHAnsi" w:cstheme="minorHAnsi"/>
          <w:b/>
          <w:i w:val="0"/>
          <w:color w:val="auto"/>
          <w:szCs w:val="22"/>
        </w:rPr>
      </w:pPr>
      <w:r w:rsidRPr="00E208C6">
        <w:rPr>
          <w:rFonts w:asciiTheme="minorHAnsi" w:hAnsiTheme="minorHAnsi" w:cstheme="minorHAnsi"/>
          <w:b/>
          <w:i w:val="0"/>
          <w:color w:val="auto"/>
          <w:szCs w:val="22"/>
        </w:rPr>
        <w:t>Eligibility R</w:t>
      </w:r>
      <w:r w:rsidR="00876FDE" w:rsidRPr="00E208C6">
        <w:rPr>
          <w:rFonts w:asciiTheme="minorHAnsi" w:hAnsiTheme="minorHAnsi" w:cstheme="minorHAnsi"/>
          <w:b/>
          <w:i w:val="0"/>
          <w:color w:val="auto"/>
          <w:szCs w:val="22"/>
        </w:rPr>
        <w:t>equirements</w:t>
      </w:r>
      <w:r w:rsidR="001B43A3" w:rsidRPr="00E208C6">
        <w:rPr>
          <w:rFonts w:asciiTheme="minorHAnsi" w:hAnsiTheme="minorHAnsi" w:cstheme="minorHAnsi"/>
          <w:b/>
          <w:i w:val="0"/>
          <w:color w:val="auto"/>
          <w:szCs w:val="22"/>
        </w:rPr>
        <w:t xml:space="preserve"> </w:t>
      </w:r>
    </w:p>
    <w:p w14:paraId="5026F615" w14:textId="69B50EB9" w:rsidR="00876FDE" w:rsidRDefault="00876FDE" w:rsidP="00697868">
      <w:pPr>
        <w:pStyle w:val="Reminders"/>
        <w:rPr>
          <w:rFonts w:asciiTheme="minorHAnsi" w:hAnsiTheme="minorHAnsi" w:cstheme="minorHAnsi"/>
          <w:i w:val="0"/>
          <w:color w:val="auto"/>
          <w:szCs w:val="22"/>
        </w:rPr>
      </w:pPr>
      <w:r w:rsidRPr="00E208C6">
        <w:rPr>
          <w:rFonts w:asciiTheme="minorHAnsi" w:hAnsiTheme="minorHAnsi" w:cstheme="minorHAnsi"/>
          <w:i w:val="0"/>
          <w:color w:val="auto"/>
          <w:szCs w:val="22"/>
        </w:rPr>
        <w:t xml:space="preserve">This energy efficiency measure is applicable to existing faucets in commercial buildings that </w:t>
      </w:r>
      <w:r w:rsidR="00754D3E">
        <w:rPr>
          <w:rFonts w:asciiTheme="minorHAnsi" w:hAnsiTheme="minorHAnsi" w:cstheme="minorHAnsi"/>
          <w:i w:val="0"/>
          <w:color w:val="auto"/>
          <w:szCs w:val="22"/>
        </w:rPr>
        <w:t xml:space="preserve">have a maximum flow rate of 2.2 GPM or greater. </w:t>
      </w:r>
    </w:p>
    <w:p w14:paraId="6202C152" w14:textId="77777777" w:rsidR="00AE0B88" w:rsidRPr="00E208C6" w:rsidRDefault="00AE0B88" w:rsidP="00697868">
      <w:pPr>
        <w:pStyle w:val="Reminders"/>
        <w:rPr>
          <w:rFonts w:asciiTheme="minorHAnsi" w:hAnsiTheme="minorHAnsi" w:cstheme="minorHAnsi"/>
          <w:i w:val="0"/>
          <w:color w:val="auto"/>
          <w:szCs w:val="22"/>
        </w:rPr>
      </w:pPr>
    </w:p>
    <w:p w14:paraId="5026F617" w14:textId="2CA0DE29" w:rsidR="001B43A3" w:rsidRDefault="00876FDE" w:rsidP="00697868">
      <w:pPr>
        <w:pStyle w:val="Reminders"/>
        <w:rPr>
          <w:rFonts w:asciiTheme="minorHAnsi" w:hAnsiTheme="minorHAnsi" w:cstheme="minorHAnsi"/>
          <w:i w:val="0"/>
          <w:color w:val="auto"/>
          <w:szCs w:val="22"/>
        </w:rPr>
      </w:pPr>
      <w:r w:rsidRPr="00E208C6">
        <w:rPr>
          <w:rFonts w:asciiTheme="minorHAnsi" w:hAnsiTheme="minorHAnsi" w:cstheme="minorHAnsi"/>
          <w:i w:val="0"/>
          <w:color w:val="auto"/>
          <w:szCs w:val="22"/>
        </w:rPr>
        <w:t>Only facilities that utilize natural gas powered water hea</w:t>
      </w:r>
      <w:r w:rsidR="007A0CB0">
        <w:rPr>
          <w:rFonts w:asciiTheme="minorHAnsi" w:hAnsiTheme="minorHAnsi" w:cstheme="minorHAnsi"/>
          <w:i w:val="0"/>
          <w:color w:val="auto"/>
          <w:szCs w:val="22"/>
        </w:rPr>
        <w:t xml:space="preserve">ting equipment are eligible </w:t>
      </w:r>
      <w:r w:rsidRPr="00E208C6">
        <w:rPr>
          <w:rFonts w:asciiTheme="minorHAnsi" w:hAnsiTheme="minorHAnsi" w:cstheme="minorHAnsi"/>
          <w:i w:val="0"/>
          <w:color w:val="auto"/>
          <w:szCs w:val="22"/>
        </w:rPr>
        <w:t>to receive</w:t>
      </w:r>
      <w:r w:rsidR="00AE0B88">
        <w:rPr>
          <w:rFonts w:asciiTheme="minorHAnsi" w:hAnsiTheme="minorHAnsi" w:cstheme="minorHAnsi"/>
          <w:i w:val="0"/>
          <w:color w:val="auto"/>
          <w:szCs w:val="22"/>
        </w:rPr>
        <w:t xml:space="preserve"> incentives for this measure.</w:t>
      </w:r>
      <w:r w:rsidR="007A0CB0">
        <w:rPr>
          <w:rFonts w:asciiTheme="minorHAnsi" w:hAnsiTheme="minorHAnsi" w:cstheme="minorHAnsi"/>
          <w:i w:val="0"/>
          <w:color w:val="auto"/>
          <w:szCs w:val="22"/>
        </w:rPr>
        <w:t xml:space="preserve"> Natural gas must be supplied</w:t>
      </w:r>
      <w:r w:rsidR="00DA2C06">
        <w:rPr>
          <w:rFonts w:asciiTheme="minorHAnsi" w:hAnsiTheme="minorHAnsi" w:cstheme="minorHAnsi"/>
          <w:i w:val="0"/>
          <w:color w:val="auto"/>
          <w:szCs w:val="22"/>
        </w:rPr>
        <w:t xml:space="preserve"> by </w:t>
      </w:r>
      <w:r w:rsidR="00D95770">
        <w:rPr>
          <w:rFonts w:asciiTheme="minorHAnsi" w:hAnsiTheme="minorHAnsi" w:cstheme="minorHAnsi"/>
          <w:i w:val="0"/>
          <w:color w:val="auto"/>
          <w:szCs w:val="22"/>
        </w:rPr>
        <w:t xml:space="preserve">an </w:t>
      </w:r>
      <w:r w:rsidR="0022083A">
        <w:rPr>
          <w:rFonts w:asciiTheme="minorHAnsi" w:hAnsiTheme="minorHAnsi" w:cstheme="minorHAnsi"/>
          <w:i w:val="0"/>
          <w:color w:val="auto"/>
          <w:szCs w:val="22"/>
        </w:rPr>
        <w:t>investor owned u</w:t>
      </w:r>
      <w:r w:rsidR="00DA2C06">
        <w:rPr>
          <w:rFonts w:asciiTheme="minorHAnsi" w:hAnsiTheme="minorHAnsi" w:cstheme="minorHAnsi"/>
          <w:i w:val="0"/>
          <w:color w:val="auto"/>
          <w:szCs w:val="22"/>
        </w:rPr>
        <w:t>tilities</w:t>
      </w:r>
      <w:r w:rsidR="007A0CB0">
        <w:rPr>
          <w:rFonts w:asciiTheme="minorHAnsi" w:hAnsiTheme="minorHAnsi" w:cstheme="minorHAnsi"/>
          <w:i w:val="0"/>
          <w:color w:val="auto"/>
          <w:szCs w:val="22"/>
        </w:rPr>
        <w:t xml:space="preserve"> (IOU). </w:t>
      </w:r>
    </w:p>
    <w:p w14:paraId="59062929" w14:textId="77777777" w:rsidR="00AE0B88" w:rsidRPr="00AE0B88" w:rsidRDefault="00AE0B88" w:rsidP="00697868">
      <w:pPr>
        <w:pStyle w:val="Reminders"/>
        <w:rPr>
          <w:rFonts w:asciiTheme="minorHAnsi" w:hAnsiTheme="minorHAnsi" w:cstheme="minorHAnsi"/>
          <w:i w:val="0"/>
          <w:color w:val="auto"/>
          <w:szCs w:val="22"/>
        </w:rPr>
      </w:pPr>
    </w:p>
    <w:p w14:paraId="5026F618" w14:textId="77777777" w:rsidR="00E208C6" w:rsidRDefault="00113092" w:rsidP="00697868">
      <w:pPr>
        <w:pStyle w:val="Reminders"/>
        <w:rPr>
          <w:rFonts w:asciiTheme="minorHAnsi" w:hAnsiTheme="minorHAnsi" w:cstheme="minorHAnsi"/>
          <w:b/>
          <w:i w:val="0"/>
          <w:color w:val="auto"/>
          <w:szCs w:val="22"/>
        </w:rPr>
      </w:pPr>
      <w:r w:rsidRPr="00E208C6">
        <w:rPr>
          <w:rFonts w:asciiTheme="minorHAnsi" w:hAnsiTheme="minorHAnsi" w:cstheme="minorHAnsi"/>
          <w:b/>
          <w:i w:val="0"/>
          <w:color w:val="auto"/>
          <w:szCs w:val="22"/>
        </w:rPr>
        <w:t xml:space="preserve">Implementation and Installation Requirements </w:t>
      </w:r>
    </w:p>
    <w:p w14:paraId="22AE7D20" w14:textId="77777777" w:rsidR="00B4429C" w:rsidRDefault="001B43A3" w:rsidP="00697868">
      <w:pPr>
        <w:pStyle w:val="Reminders"/>
        <w:rPr>
          <w:rFonts w:asciiTheme="minorHAnsi" w:hAnsiTheme="minorHAnsi" w:cstheme="minorHAnsi"/>
          <w:i w:val="0"/>
          <w:color w:val="000000" w:themeColor="text1"/>
          <w:szCs w:val="22"/>
        </w:rPr>
      </w:pPr>
      <w:r w:rsidRPr="00A1779C">
        <w:rPr>
          <w:rFonts w:asciiTheme="minorHAnsi" w:hAnsiTheme="minorHAnsi" w:cstheme="minorHAnsi"/>
          <w:i w:val="0"/>
          <w:color w:val="auto"/>
          <w:szCs w:val="22"/>
        </w:rPr>
        <w:t>This measure is to be implement</w:t>
      </w:r>
      <w:r w:rsidR="00F91251">
        <w:rPr>
          <w:rFonts w:asciiTheme="minorHAnsi" w:hAnsiTheme="minorHAnsi" w:cstheme="minorHAnsi"/>
          <w:i w:val="0"/>
          <w:color w:val="auto"/>
          <w:szCs w:val="22"/>
        </w:rPr>
        <w:t xml:space="preserve">ed at private or public lavatory faucets in </w:t>
      </w:r>
      <w:r w:rsidR="00AE0B88">
        <w:rPr>
          <w:rFonts w:asciiTheme="minorHAnsi" w:hAnsiTheme="minorHAnsi" w:cstheme="minorHAnsi"/>
          <w:i w:val="0"/>
          <w:color w:val="auto"/>
          <w:szCs w:val="22"/>
        </w:rPr>
        <w:t xml:space="preserve">commercial buildings </w:t>
      </w:r>
      <w:r w:rsidRPr="00A1779C">
        <w:rPr>
          <w:rFonts w:asciiTheme="minorHAnsi" w:hAnsiTheme="minorHAnsi" w:cstheme="minorHAnsi"/>
          <w:i w:val="0"/>
          <w:color w:val="auto"/>
          <w:szCs w:val="22"/>
        </w:rPr>
        <w:t xml:space="preserve">as a Retrofit Add-on (REA) measure for existing faucets that </w:t>
      </w:r>
      <w:r w:rsidR="00754D3E">
        <w:rPr>
          <w:rFonts w:asciiTheme="minorHAnsi" w:hAnsiTheme="minorHAnsi" w:cstheme="minorHAnsi"/>
          <w:i w:val="0"/>
          <w:color w:val="auto"/>
          <w:szCs w:val="22"/>
        </w:rPr>
        <w:t>have a maximum flow rate of 2.2 GPM or greater</w:t>
      </w:r>
      <w:r w:rsidRPr="00A1779C">
        <w:rPr>
          <w:rFonts w:asciiTheme="minorHAnsi" w:hAnsiTheme="minorHAnsi" w:cstheme="minorHAnsi"/>
          <w:i w:val="0"/>
          <w:color w:val="auto"/>
          <w:szCs w:val="22"/>
        </w:rPr>
        <w:t xml:space="preserve">. </w:t>
      </w:r>
      <w:r w:rsidRPr="00206E35">
        <w:rPr>
          <w:rFonts w:asciiTheme="minorHAnsi" w:hAnsiTheme="minorHAnsi" w:cstheme="minorHAnsi"/>
          <w:i w:val="0"/>
          <w:color w:val="000000" w:themeColor="text1"/>
          <w:szCs w:val="22"/>
        </w:rPr>
        <w:t xml:space="preserve">These building types include, but are </w:t>
      </w:r>
      <w:r w:rsidR="009611A5" w:rsidRPr="00206E35">
        <w:rPr>
          <w:rFonts w:asciiTheme="minorHAnsi" w:hAnsiTheme="minorHAnsi" w:cstheme="minorHAnsi"/>
          <w:i w:val="0"/>
          <w:color w:val="000000" w:themeColor="text1"/>
          <w:szCs w:val="22"/>
        </w:rPr>
        <w:t>not limited to, restaurants, hotels/motels</w:t>
      </w:r>
      <w:r w:rsidR="005F48CC">
        <w:rPr>
          <w:rFonts w:asciiTheme="minorHAnsi" w:hAnsiTheme="minorHAnsi" w:cstheme="minorHAnsi"/>
          <w:i w:val="0"/>
          <w:color w:val="000000" w:themeColor="text1"/>
          <w:szCs w:val="22"/>
        </w:rPr>
        <w:t>, schools</w:t>
      </w:r>
      <w:r w:rsidRPr="00206E35">
        <w:rPr>
          <w:rFonts w:asciiTheme="minorHAnsi" w:hAnsiTheme="minorHAnsi" w:cstheme="minorHAnsi"/>
          <w:i w:val="0"/>
          <w:color w:val="000000" w:themeColor="text1"/>
          <w:szCs w:val="22"/>
        </w:rPr>
        <w:t xml:space="preserve">, universities, university campus housing, retail and offices. </w:t>
      </w:r>
    </w:p>
    <w:p w14:paraId="16ACBA3E" w14:textId="77777777" w:rsidR="00B4429C" w:rsidRDefault="00B4429C" w:rsidP="00697868">
      <w:pPr>
        <w:pStyle w:val="Reminders"/>
        <w:rPr>
          <w:rFonts w:asciiTheme="minorHAnsi" w:hAnsiTheme="minorHAnsi" w:cstheme="minorHAnsi"/>
          <w:i w:val="0"/>
          <w:color w:val="000000" w:themeColor="text1"/>
          <w:szCs w:val="22"/>
        </w:rPr>
      </w:pPr>
    </w:p>
    <w:p w14:paraId="5170607D" w14:textId="60681C2B" w:rsidR="00B4429C" w:rsidRDefault="00F91251" w:rsidP="00697868">
      <w:pPr>
        <w:pStyle w:val="Reminders"/>
        <w:rPr>
          <w:rFonts w:asciiTheme="minorHAnsi" w:hAnsiTheme="minorHAnsi" w:cstheme="minorHAnsi"/>
          <w:i w:val="0"/>
          <w:color w:val="000000" w:themeColor="text1"/>
          <w:szCs w:val="22"/>
        </w:rPr>
      </w:pPr>
      <w:r>
        <w:rPr>
          <w:rFonts w:asciiTheme="minorHAnsi" w:hAnsiTheme="minorHAnsi" w:cstheme="minorHAnsi"/>
          <w:i w:val="0"/>
          <w:color w:val="000000" w:themeColor="text1"/>
          <w:szCs w:val="22"/>
        </w:rPr>
        <w:t xml:space="preserve">Private lavatory faucets </w:t>
      </w:r>
      <w:r w:rsidR="006C0E66">
        <w:rPr>
          <w:rFonts w:asciiTheme="minorHAnsi" w:hAnsiTheme="minorHAnsi" w:cstheme="minorHAnsi"/>
          <w:i w:val="0"/>
          <w:color w:val="000000" w:themeColor="text1"/>
          <w:szCs w:val="22"/>
        </w:rPr>
        <w:t xml:space="preserve">are defined as those that are </w:t>
      </w:r>
      <w:r w:rsidR="000701A9">
        <w:rPr>
          <w:rFonts w:asciiTheme="minorHAnsi" w:hAnsiTheme="minorHAnsi" w:cstheme="minorHAnsi"/>
          <w:i w:val="0"/>
          <w:color w:val="000000" w:themeColor="text1"/>
          <w:szCs w:val="22"/>
        </w:rPr>
        <w:t xml:space="preserve">found in </w:t>
      </w:r>
      <w:r w:rsidR="006C0E66">
        <w:rPr>
          <w:rFonts w:asciiTheme="minorHAnsi" w:hAnsiTheme="minorHAnsi" w:cstheme="minorHAnsi"/>
          <w:i w:val="0"/>
          <w:color w:val="000000" w:themeColor="text1"/>
          <w:szCs w:val="22"/>
        </w:rPr>
        <w:t xml:space="preserve">individual </w:t>
      </w:r>
      <w:r w:rsidR="000701A9">
        <w:rPr>
          <w:rFonts w:asciiTheme="minorHAnsi" w:hAnsiTheme="minorHAnsi" w:cstheme="minorHAnsi"/>
          <w:i w:val="0"/>
          <w:color w:val="000000" w:themeColor="text1"/>
          <w:szCs w:val="22"/>
        </w:rPr>
        <w:t xml:space="preserve">dwelling </w:t>
      </w:r>
      <w:r w:rsidR="006C0E66">
        <w:rPr>
          <w:rFonts w:asciiTheme="minorHAnsi" w:hAnsiTheme="minorHAnsi" w:cstheme="minorHAnsi"/>
          <w:i w:val="0"/>
          <w:color w:val="000000" w:themeColor="text1"/>
          <w:szCs w:val="22"/>
        </w:rPr>
        <w:t xml:space="preserve">units such as a hotel/motel guest room, dorm room, or nursing home room. Public lavatory faucets are defined as those found in bathrooms </w:t>
      </w:r>
      <w:r w:rsidR="000701A9">
        <w:rPr>
          <w:rFonts w:asciiTheme="minorHAnsi" w:hAnsiTheme="minorHAnsi" w:cstheme="minorHAnsi"/>
          <w:i w:val="0"/>
          <w:color w:val="000000" w:themeColor="text1"/>
          <w:szCs w:val="22"/>
        </w:rPr>
        <w:t xml:space="preserve">shared by </w:t>
      </w:r>
      <w:r w:rsidR="006C0E66">
        <w:rPr>
          <w:rFonts w:asciiTheme="minorHAnsi" w:hAnsiTheme="minorHAnsi" w:cstheme="minorHAnsi"/>
          <w:i w:val="0"/>
          <w:color w:val="000000" w:themeColor="text1"/>
          <w:szCs w:val="22"/>
        </w:rPr>
        <w:t xml:space="preserve">a communal area such as a school, restaurant, </w:t>
      </w:r>
      <w:r w:rsidR="000701A9">
        <w:rPr>
          <w:rFonts w:asciiTheme="minorHAnsi" w:hAnsiTheme="minorHAnsi" w:cstheme="minorHAnsi"/>
          <w:i w:val="0"/>
          <w:color w:val="000000" w:themeColor="text1"/>
          <w:szCs w:val="22"/>
        </w:rPr>
        <w:t>h</w:t>
      </w:r>
      <w:r w:rsidR="00D30E2C">
        <w:rPr>
          <w:rFonts w:asciiTheme="minorHAnsi" w:hAnsiTheme="minorHAnsi" w:cstheme="minorHAnsi"/>
          <w:i w:val="0"/>
          <w:color w:val="000000" w:themeColor="text1"/>
          <w:szCs w:val="22"/>
        </w:rPr>
        <w:t>otel lobby, or office building.</w:t>
      </w:r>
    </w:p>
    <w:p w14:paraId="150D93C9" w14:textId="77777777" w:rsidR="00740497" w:rsidRDefault="00740497" w:rsidP="00697868">
      <w:pPr>
        <w:pStyle w:val="Reminders"/>
        <w:rPr>
          <w:rFonts w:asciiTheme="minorHAnsi" w:hAnsiTheme="minorHAnsi" w:cstheme="minorHAnsi"/>
          <w:i w:val="0"/>
          <w:color w:val="000000" w:themeColor="text1"/>
          <w:szCs w:val="22"/>
        </w:rPr>
      </w:pPr>
    </w:p>
    <w:p w14:paraId="5026F61B" w14:textId="2E962759" w:rsidR="001B43A3" w:rsidRPr="00B4429C" w:rsidRDefault="009611A5" w:rsidP="00697868">
      <w:pPr>
        <w:pStyle w:val="Reminders"/>
        <w:rPr>
          <w:rFonts w:asciiTheme="minorHAnsi" w:hAnsiTheme="minorHAnsi" w:cstheme="minorHAnsi"/>
          <w:i w:val="0"/>
          <w:color w:val="000000" w:themeColor="text1"/>
          <w:szCs w:val="22"/>
        </w:rPr>
      </w:pPr>
      <w:r w:rsidRPr="00E208C6">
        <w:rPr>
          <w:rFonts w:asciiTheme="minorHAnsi" w:hAnsiTheme="minorHAnsi" w:cstheme="minorHAnsi"/>
          <w:i w:val="0"/>
          <w:color w:val="auto"/>
          <w:szCs w:val="22"/>
        </w:rPr>
        <w:lastRenderedPageBreak/>
        <w:t>Faucets at health care facilities</w:t>
      </w:r>
      <w:r w:rsidR="0022361D" w:rsidRPr="00E208C6">
        <w:rPr>
          <w:rFonts w:asciiTheme="minorHAnsi" w:hAnsiTheme="minorHAnsi" w:cstheme="minorHAnsi"/>
          <w:i w:val="0"/>
          <w:color w:val="auto"/>
          <w:szCs w:val="22"/>
        </w:rPr>
        <w:t xml:space="preserve"> that are subject to the Office of Statewide Health Planning and Development (OSHPD) code and regulation (e.g. hospitals, clinics, </w:t>
      </w:r>
      <w:r w:rsidR="00C804C8">
        <w:rPr>
          <w:rFonts w:asciiTheme="minorHAnsi" w:hAnsiTheme="minorHAnsi" w:cstheme="minorHAnsi"/>
          <w:i w:val="0"/>
          <w:color w:val="auto"/>
          <w:szCs w:val="22"/>
        </w:rPr>
        <w:t>skilled nursing facilities</w:t>
      </w:r>
      <w:r w:rsidR="0022361D" w:rsidRPr="00E208C6">
        <w:rPr>
          <w:rFonts w:asciiTheme="minorHAnsi" w:hAnsiTheme="minorHAnsi" w:cstheme="minorHAnsi"/>
          <w:i w:val="0"/>
          <w:color w:val="auto"/>
          <w:szCs w:val="22"/>
        </w:rPr>
        <w:t xml:space="preserve">) </w:t>
      </w:r>
      <w:r w:rsidRPr="00E208C6">
        <w:rPr>
          <w:rFonts w:asciiTheme="minorHAnsi" w:hAnsiTheme="minorHAnsi" w:cstheme="minorHAnsi"/>
          <w:i w:val="0"/>
          <w:color w:val="auto"/>
          <w:szCs w:val="22"/>
        </w:rPr>
        <w:t xml:space="preserve">are not applicable for this measure. </w:t>
      </w:r>
      <w:r w:rsidR="00EE6137" w:rsidRPr="00E208C6">
        <w:rPr>
          <w:rFonts w:asciiTheme="minorHAnsi" w:hAnsiTheme="minorHAnsi" w:cstheme="minorHAnsi"/>
          <w:i w:val="0"/>
          <w:color w:val="auto"/>
          <w:szCs w:val="22"/>
        </w:rPr>
        <w:t xml:space="preserve">The use of aerators is banned in the health care industry </w:t>
      </w:r>
      <w:r w:rsidR="00E208C6" w:rsidRPr="00E208C6">
        <w:rPr>
          <w:rFonts w:asciiTheme="minorHAnsi" w:hAnsiTheme="minorHAnsi" w:cstheme="minorHAnsi"/>
          <w:i w:val="0"/>
          <w:color w:val="auto"/>
          <w:szCs w:val="22"/>
        </w:rPr>
        <w:t xml:space="preserve">due </w:t>
      </w:r>
      <w:r w:rsidR="00EE6137" w:rsidRPr="00E208C6">
        <w:rPr>
          <w:rFonts w:asciiTheme="minorHAnsi" w:hAnsiTheme="minorHAnsi" w:cstheme="minorHAnsi"/>
          <w:i w:val="0"/>
          <w:color w:val="auto"/>
          <w:szCs w:val="22"/>
        </w:rPr>
        <w:t xml:space="preserve">to the aerator’s flow control methods and components. The mixing of air and water within the aerator allows airborne bacteria to become waterborne and, in warm stagnant conditions, promote bacterial growth. </w:t>
      </w:r>
      <w:r w:rsidR="0022361D" w:rsidRPr="00E208C6">
        <w:rPr>
          <w:rFonts w:asciiTheme="minorHAnsi" w:hAnsiTheme="minorHAnsi" w:cstheme="minorHAnsi"/>
          <w:i w:val="0"/>
          <w:color w:val="auto"/>
          <w:szCs w:val="22"/>
        </w:rPr>
        <w:t>Non-aerating laminar flow restrictors (LFRs) must be installed for faucets in these facilities.</w:t>
      </w:r>
      <w:r w:rsidR="0022361D" w:rsidRPr="00E208C6">
        <w:rPr>
          <w:rStyle w:val="EndnoteReference"/>
          <w:rFonts w:asciiTheme="minorHAnsi" w:hAnsiTheme="minorHAnsi" w:cstheme="minorHAnsi"/>
          <w:i w:val="0"/>
          <w:color w:val="auto"/>
          <w:szCs w:val="22"/>
        </w:rPr>
        <w:endnoteReference w:id="1"/>
      </w:r>
    </w:p>
    <w:p w14:paraId="5026F61C" w14:textId="77777777" w:rsidR="00D93476" w:rsidRPr="00E208C6" w:rsidRDefault="00D93476" w:rsidP="00697868">
      <w:pPr>
        <w:pStyle w:val="Reminders"/>
        <w:rPr>
          <w:rFonts w:asciiTheme="minorHAnsi" w:hAnsiTheme="minorHAnsi" w:cstheme="minorHAnsi"/>
          <w:i w:val="0"/>
          <w:color w:val="auto"/>
          <w:szCs w:val="22"/>
        </w:rPr>
      </w:pPr>
    </w:p>
    <w:p w14:paraId="5026F61E" w14:textId="6EEBAF59" w:rsidR="00D93476" w:rsidRPr="00AE0B88" w:rsidRDefault="00D93476" w:rsidP="00AE0B88">
      <w:pPr>
        <w:pStyle w:val="Reminders"/>
        <w:rPr>
          <w:rFonts w:asciiTheme="minorHAnsi" w:hAnsiTheme="minorHAnsi" w:cstheme="minorHAnsi"/>
          <w:i w:val="0"/>
          <w:color w:val="auto"/>
          <w:szCs w:val="22"/>
        </w:rPr>
      </w:pPr>
      <w:r w:rsidRPr="00E208C6">
        <w:rPr>
          <w:rFonts w:asciiTheme="minorHAnsi" w:hAnsiTheme="minorHAnsi" w:cstheme="minorHAnsi"/>
          <w:i w:val="0"/>
          <w:color w:val="auto"/>
          <w:szCs w:val="22"/>
        </w:rPr>
        <w:t>This measure is applicable to all California climat</w:t>
      </w:r>
      <w:r w:rsidR="00AE0B88">
        <w:rPr>
          <w:rFonts w:asciiTheme="minorHAnsi" w:hAnsiTheme="minorHAnsi" w:cstheme="minorHAnsi"/>
          <w:i w:val="0"/>
          <w:color w:val="auto"/>
          <w:szCs w:val="22"/>
        </w:rPr>
        <w:t xml:space="preserve">e zones and </w:t>
      </w:r>
      <w:r w:rsidR="002961D4">
        <w:rPr>
          <w:rFonts w:asciiTheme="minorHAnsi" w:hAnsiTheme="minorHAnsi" w:cstheme="minorHAnsi"/>
          <w:i w:val="0"/>
          <w:color w:val="auto"/>
          <w:szCs w:val="22"/>
        </w:rPr>
        <w:t xml:space="preserve">existing </w:t>
      </w:r>
      <w:r w:rsidR="00AE0B88">
        <w:rPr>
          <w:rFonts w:asciiTheme="minorHAnsi" w:hAnsiTheme="minorHAnsi" w:cstheme="minorHAnsi"/>
          <w:i w:val="0"/>
          <w:color w:val="auto"/>
          <w:szCs w:val="22"/>
        </w:rPr>
        <w:t>building vintages.</w:t>
      </w:r>
    </w:p>
    <w:p w14:paraId="5026F62C" w14:textId="77777777" w:rsidR="007F1D77" w:rsidRPr="00E734D0" w:rsidRDefault="00E16609" w:rsidP="00E734D0">
      <w:pPr>
        <w:pStyle w:val="Heading2"/>
        <w:rPr>
          <w:rFonts w:asciiTheme="minorHAnsi" w:hAnsiTheme="minorHAnsi"/>
        </w:rPr>
      </w:pPr>
      <w:bookmarkStart w:id="14" w:name="_Toc478657383"/>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4"/>
    </w:p>
    <w:p w14:paraId="3125C336" w14:textId="3FE3AC13" w:rsidR="0007104A" w:rsidRDefault="001E6436" w:rsidP="00073039">
      <w:pPr>
        <w:pStyle w:val="Reminders"/>
        <w:tabs>
          <w:tab w:val="num" w:pos="360"/>
        </w:tabs>
        <w:spacing w:after="0"/>
        <w:rPr>
          <w:rFonts w:asciiTheme="minorHAnsi" w:hAnsiTheme="minorHAnsi" w:cstheme="minorHAnsi"/>
          <w:i w:val="0"/>
          <w:color w:val="auto"/>
          <w:szCs w:val="22"/>
        </w:rPr>
      </w:pPr>
      <w:r w:rsidRPr="005E66FC">
        <w:rPr>
          <w:rFonts w:asciiTheme="minorHAnsi" w:hAnsiTheme="minorHAnsi" w:cstheme="minorHAnsi"/>
          <w:i w:val="0"/>
          <w:color w:val="auto"/>
          <w:szCs w:val="22"/>
        </w:rPr>
        <w:t>Aerators are add-on devices that are installed at the faucet</w:t>
      </w:r>
      <w:r w:rsidR="00955E73">
        <w:rPr>
          <w:rFonts w:asciiTheme="minorHAnsi" w:hAnsiTheme="minorHAnsi" w:cstheme="minorHAnsi"/>
          <w:i w:val="0"/>
          <w:color w:val="auto"/>
          <w:szCs w:val="22"/>
        </w:rPr>
        <w:t xml:space="preserve"> outlet</w:t>
      </w:r>
      <w:r w:rsidRPr="005E66FC">
        <w:rPr>
          <w:rFonts w:asciiTheme="minorHAnsi" w:hAnsiTheme="minorHAnsi" w:cstheme="minorHAnsi"/>
          <w:i w:val="0"/>
          <w:color w:val="auto"/>
          <w:szCs w:val="22"/>
        </w:rPr>
        <w:t xml:space="preserve"> to reduce the flow rate</w:t>
      </w:r>
      <w:r w:rsidR="0007104A">
        <w:rPr>
          <w:rFonts w:asciiTheme="minorHAnsi" w:hAnsiTheme="minorHAnsi" w:cstheme="minorHAnsi"/>
          <w:i w:val="0"/>
          <w:color w:val="auto"/>
          <w:szCs w:val="22"/>
        </w:rPr>
        <w:t xml:space="preserve"> of water</w:t>
      </w:r>
      <w:r w:rsidR="00CC5264" w:rsidRPr="005E66FC">
        <w:rPr>
          <w:rFonts w:asciiTheme="minorHAnsi" w:hAnsiTheme="minorHAnsi" w:cstheme="minorHAnsi"/>
          <w:i w:val="0"/>
          <w:color w:val="auto"/>
          <w:szCs w:val="22"/>
        </w:rPr>
        <w:t>.</w:t>
      </w:r>
      <w:r w:rsidR="00E734D0" w:rsidRPr="005E66FC">
        <w:rPr>
          <w:rFonts w:asciiTheme="minorHAnsi" w:hAnsiTheme="minorHAnsi" w:cstheme="minorHAnsi"/>
          <w:i w:val="0"/>
          <w:color w:val="auto"/>
          <w:szCs w:val="22"/>
        </w:rPr>
        <w:t xml:space="preserve"> Th</w:t>
      </w:r>
      <w:r w:rsidR="0007104A">
        <w:rPr>
          <w:rFonts w:asciiTheme="minorHAnsi" w:hAnsiTheme="minorHAnsi" w:cstheme="minorHAnsi"/>
          <w:i w:val="0"/>
          <w:color w:val="auto"/>
          <w:szCs w:val="22"/>
        </w:rPr>
        <w:t xml:space="preserve">is decrease in </w:t>
      </w:r>
      <w:r w:rsidR="00E734D0" w:rsidRPr="005E66FC">
        <w:rPr>
          <w:rFonts w:asciiTheme="minorHAnsi" w:hAnsiTheme="minorHAnsi" w:cstheme="minorHAnsi"/>
          <w:i w:val="0"/>
          <w:color w:val="auto"/>
          <w:szCs w:val="22"/>
        </w:rPr>
        <w:t>flow rate</w:t>
      </w:r>
      <w:r w:rsidR="0007104A">
        <w:rPr>
          <w:rFonts w:asciiTheme="minorHAnsi" w:hAnsiTheme="minorHAnsi" w:cstheme="minorHAnsi"/>
          <w:i w:val="0"/>
          <w:color w:val="auto"/>
          <w:szCs w:val="22"/>
        </w:rPr>
        <w:t xml:space="preserve"> </w:t>
      </w:r>
      <w:r w:rsidR="00E734D0" w:rsidRPr="005E66FC">
        <w:rPr>
          <w:rFonts w:asciiTheme="minorHAnsi" w:hAnsiTheme="minorHAnsi" w:cstheme="minorHAnsi"/>
          <w:i w:val="0"/>
          <w:color w:val="auto"/>
          <w:szCs w:val="22"/>
        </w:rPr>
        <w:t>result</w:t>
      </w:r>
      <w:r w:rsidR="0007104A">
        <w:rPr>
          <w:rFonts w:asciiTheme="minorHAnsi" w:hAnsiTheme="minorHAnsi" w:cstheme="minorHAnsi"/>
          <w:i w:val="0"/>
          <w:color w:val="auto"/>
          <w:szCs w:val="22"/>
        </w:rPr>
        <w:t>s</w:t>
      </w:r>
      <w:r w:rsidR="00E734D0" w:rsidRPr="005E66FC">
        <w:rPr>
          <w:rFonts w:asciiTheme="minorHAnsi" w:hAnsiTheme="minorHAnsi" w:cstheme="minorHAnsi"/>
          <w:i w:val="0"/>
          <w:color w:val="auto"/>
          <w:szCs w:val="22"/>
        </w:rPr>
        <w:t xml:space="preserve"> in a </w:t>
      </w:r>
      <w:r w:rsidR="0007104A">
        <w:rPr>
          <w:rFonts w:asciiTheme="minorHAnsi" w:hAnsiTheme="minorHAnsi" w:cstheme="minorHAnsi"/>
          <w:i w:val="0"/>
          <w:color w:val="auto"/>
          <w:szCs w:val="22"/>
        </w:rPr>
        <w:t xml:space="preserve">reduction of the </w:t>
      </w:r>
      <w:r w:rsidR="00CA3718">
        <w:rPr>
          <w:rFonts w:asciiTheme="minorHAnsi" w:hAnsiTheme="minorHAnsi" w:cstheme="minorHAnsi"/>
          <w:i w:val="0"/>
          <w:color w:val="auto"/>
          <w:szCs w:val="22"/>
        </w:rPr>
        <w:t>energy and</w:t>
      </w:r>
      <w:r w:rsidR="00CA3718" w:rsidRPr="005E66FC">
        <w:rPr>
          <w:rFonts w:asciiTheme="minorHAnsi" w:hAnsiTheme="minorHAnsi" w:cstheme="minorHAnsi"/>
          <w:i w:val="0"/>
          <w:color w:val="auto"/>
          <w:szCs w:val="22"/>
        </w:rPr>
        <w:t xml:space="preserve"> water</w:t>
      </w:r>
      <w:r w:rsidR="00955E73">
        <w:rPr>
          <w:rFonts w:asciiTheme="minorHAnsi" w:hAnsiTheme="minorHAnsi" w:cstheme="minorHAnsi"/>
          <w:i w:val="0"/>
          <w:color w:val="auto"/>
          <w:szCs w:val="22"/>
        </w:rPr>
        <w:t xml:space="preserve"> c</w:t>
      </w:r>
      <w:r w:rsidR="0007104A">
        <w:rPr>
          <w:rFonts w:asciiTheme="minorHAnsi" w:hAnsiTheme="minorHAnsi" w:cstheme="minorHAnsi"/>
          <w:i w:val="0"/>
          <w:color w:val="auto"/>
          <w:szCs w:val="22"/>
        </w:rPr>
        <w:t>onsumed by a faucet over a given operating time</w:t>
      </w:r>
      <w:r w:rsidR="00E734D0" w:rsidRPr="005E66FC">
        <w:rPr>
          <w:rFonts w:asciiTheme="minorHAnsi" w:hAnsiTheme="minorHAnsi" w:cstheme="minorHAnsi"/>
          <w:i w:val="0"/>
          <w:color w:val="auto"/>
          <w:szCs w:val="22"/>
        </w:rPr>
        <w:t>.</w:t>
      </w:r>
      <w:r w:rsidR="00BC51DD">
        <w:rPr>
          <w:rFonts w:asciiTheme="minorHAnsi" w:hAnsiTheme="minorHAnsi" w:cstheme="minorHAnsi"/>
          <w:i w:val="0"/>
          <w:color w:val="auto"/>
          <w:szCs w:val="22"/>
        </w:rPr>
        <w:t xml:space="preserve"> The energy savings is a result of the decreased hot water consumption by the faucet. </w:t>
      </w:r>
      <w:r w:rsidR="00E734D0" w:rsidRPr="005E66FC">
        <w:rPr>
          <w:rFonts w:asciiTheme="minorHAnsi" w:hAnsiTheme="minorHAnsi" w:cstheme="minorHAnsi"/>
          <w:i w:val="0"/>
          <w:color w:val="auto"/>
          <w:szCs w:val="22"/>
        </w:rPr>
        <w:t xml:space="preserve"> </w:t>
      </w:r>
      <w:r w:rsidR="0007104A">
        <w:rPr>
          <w:rFonts w:asciiTheme="minorHAnsi" w:hAnsiTheme="minorHAnsi" w:cstheme="minorHAnsi"/>
          <w:i w:val="0"/>
          <w:color w:val="auto"/>
          <w:szCs w:val="22"/>
        </w:rPr>
        <w:t xml:space="preserve">  </w:t>
      </w:r>
    </w:p>
    <w:p w14:paraId="5D486D44" w14:textId="77777777" w:rsidR="00BC51DD" w:rsidRPr="005E66FC" w:rsidRDefault="00BC51DD" w:rsidP="00697868">
      <w:pPr>
        <w:pStyle w:val="Reminders"/>
        <w:tabs>
          <w:tab w:val="num" w:pos="360"/>
        </w:tabs>
        <w:rPr>
          <w:rFonts w:asciiTheme="minorHAnsi" w:hAnsiTheme="minorHAnsi" w:cstheme="minorHAnsi"/>
          <w:i w:val="0"/>
          <w:color w:val="auto"/>
          <w:szCs w:val="22"/>
        </w:rPr>
      </w:pPr>
    </w:p>
    <w:p w14:paraId="5026F62F" w14:textId="77777777" w:rsidR="001E6436" w:rsidRPr="005E66FC" w:rsidRDefault="001E6436" w:rsidP="00073039">
      <w:pPr>
        <w:pStyle w:val="Reminders"/>
        <w:tabs>
          <w:tab w:val="num" w:pos="360"/>
        </w:tabs>
        <w:spacing w:before="0"/>
        <w:rPr>
          <w:rFonts w:asciiTheme="minorHAnsi" w:hAnsiTheme="minorHAnsi" w:cstheme="minorHAnsi"/>
          <w:i w:val="0"/>
          <w:color w:val="auto"/>
          <w:szCs w:val="22"/>
        </w:rPr>
      </w:pPr>
      <w:r w:rsidRPr="005E66FC">
        <w:rPr>
          <w:rFonts w:asciiTheme="minorHAnsi" w:hAnsiTheme="minorHAnsi" w:cstheme="minorHAnsi"/>
          <w:i w:val="0"/>
          <w:color w:val="auto"/>
          <w:szCs w:val="22"/>
        </w:rPr>
        <w:t>Aerators red</w:t>
      </w:r>
      <w:r w:rsidR="00E734D0" w:rsidRPr="005E66FC">
        <w:rPr>
          <w:rFonts w:asciiTheme="minorHAnsi" w:hAnsiTheme="minorHAnsi" w:cstheme="minorHAnsi"/>
          <w:i w:val="0"/>
          <w:color w:val="auto"/>
          <w:szCs w:val="22"/>
        </w:rPr>
        <w:t xml:space="preserve">uce the water coming through a faucet </w:t>
      </w:r>
      <w:r w:rsidRPr="005E66FC">
        <w:rPr>
          <w:rFonts w:asciiTheme="minorHAnsi" w:hAnsiTheme="minorHAnsi" w:cstheme="minorHAnsi"/>
          <w:i w:val="0"/>
          <w:color w:val="auto"/>
          <w:szCs w:val="22"/>
        </w:rPr>
        <w:t>by</w:t>
      </w:r>
      <w:r w:rsidR="00CC5264" w:rsidRPr="005E66FC">
        <w:rPr>
          <w:rFonts w:asciiTheme="minorHAnsi" w:hAnsiTheme="minorHAnsi" w:cstheme="minorHAnsi"/>
          <w:i w:val="0"/>
          <w:color w:val="auto"/>
          <w:szCs w:val="22"/>
        </w:rPr>
        <w:t xml:space="preserve"> mixing it with air. </w:t>
      </w:r>
      <w:r w:rsidR="00E734D0" w:rsidRPr="005E66FC">
        <w:rPr>
          <w:rFonts w:asciiTheme="minorHAnsi" w:hAnsiTheme="minorHAnsi" w:cstheme="minorHAnsi"/>
          <w:i w:val="0"/>
          <w:color w:val="auto"/>
          <w:szCs w:val="22"/>
        </w:rPr>
        <w:t>S</w:t>
      </w:r>
      <w:r w:rsidR="00CC5264" w:rsidRPr="005E66FC">
        <w:rPr>
          <w:rFonts w:asciiTheme="minorHAnsi" w:hAnsiTheme="minorHAnsi" w:cstheme="minorHAnsi"/>
          <w:i w:val="0"/>
          <w:color w:val="auto"/>
          <w:szCs w:val="22"/>
        </w:rPr>
        <w:t xml:space="preserve">creens </w:t>
      </w:r>
      <w:r w:rsidR="00E734D0" w:rsidRPr="005E66FC">
        <w:rPr>
          <w:rFonts w:asciiTheme="minorHAnsi" w:hAnsiTheme="minorHAnsi" w:cstheme="minorHAnsi"/>
          <w:i w:val="0"/>
          <w:color w:val="auto"/>
          <w:szCs w:val="22"/>
        </w:rPr>
        <w:t xml:space="preserve">are used </w:t>
      </w:r>
      <w:r w:rsidR="00CC5264" w:rsidRPr="005E66FC">
        <w:rPr>
          <w:rFonts w:asciiTheme="minorHAnsi" w:hAnsiTheme="minorHAnsi" w:cstheme="minorHAnsi"/>
          <w:i w:val="0"/>
          <w:color w:val="auto"/>
          <w:szCs w:val="22"/>
        </w:rPr>
        <w:t xml:space="preserve">to introduce air into the water stream, </w:t>
      </w:r>
      <w:r w:rsidR="00E734D0" w:rsidRPr="005E66FC">
        <w:rPr>
          <w:rFonts w:asciiTheme="minorHAnsi" w:hAnsiTheme="minorHAnsi" w:cstheme="minorHAnsi"/>
          <w:i w:val="0"/>
          <w:color w:val="auto"/>
          <w:szCs w:val="22"/>
        </w:rPr>
        <w:t xml:space="preserve">dividing </w:t>
      </w:r>
      <w:r w:rsidRPr="005E66FC">
        <w:rPr>
          <w:rFonts w:asciiTheme="minorHAnsi" w:hAnsiTheme="minorHAnsi" w:cstheme="minorHAnsi"/>
          <w:i w:val="0"/>
          <w:color w:val="auto"/>
          <w:szCs w:val="22"/>
        </w:rPr>
        <w:t>a</w:t>
      </w:r>
      <w:r w:rsidR="00CC5264" w:rsidRPr="005E66FC">
        <w:rPr>
          <w:rFonts w:asciiTheme="minorHAnsi" w:hAnsiTheme="minorHAnsi" w:cstheme="minorHAnsi"/>
          <w:i w:val="0"/>
          <w:color w:val="auto"/>
          <w:szCs w:val="22"/>
        </w:rPr>
        <w:t xml:space="preserve"> single stream </w:t>
      </w:r>
      <w:r w:rsidRPr="005E66FC">
        <w:rPr>
          <w:rFonts w:asciiTheme="minorHAnsi" w:hAnsiTheme="minorHAnsi" w:cstheme="minorHAnsi"/>
          <w:i w:val="0"/>
          <w:color w:val="auto"/>
          <w:szCs w:val="22"/>
        </w:rPr>
        <w:t>o</w:t>
      </w:r>
      <w:r w:rsidR="00CC5264" w:rsidRPr="005E66FC">
        <w:rPr>
          <w:rFonts w:asciiTheme="minorHAnsi" w:hAnsiTheme="minorHAnsi" w:cstheme="minorHAnsi"/>
          <w:i w:val="0"/>
          <w:color w:val="auto"/>
          <w:szCs w:val="22"/>
        </w:rPr>
        <w:t xml:space="preserve">f water into many tiny streams. </w:t>
      </w:r>
      <w:r w:rsidRPr="005E66FC">
        <w:rPr>
          <w:rFonts w:asciiTheme="minorHAnsi" w:hAnsiTheme="minorHAnsi" w:cstheme="minorHAnsi"/>
          <w:i w:val="0"/>
          <w:color w:val="auto"/>
          <w:szCs w:val="22"/>
        </w:rPr>
        <w:t>Since there is less space for the</w:t>
      </w:r>
      <w:r w:rsidR="00CC5264" w:rsidRPr="005E66FC">
        <w:rPr>
          <w:rFonts w:asciiTheme="minorHAnsi" w:hAnsiTheme="minorHAnsi" w:cstheme="minorHAnsi"/>
          <w:i w:val="0"/>
          <w:color w:val="auto"/>
          <w:szCs w:val="22"/>
        </w:rPr>
        <w:t xml:space="preserve"> </w:t>
      </w:r>
      <w:r w:rsidRPr="005E66FC">
        <w:rPr>
          <w:rFonts w:asciiTheme="minorHAnsi" w:hAnsiTheme="minorHAnsi" w:cstheme="minorHAnsi"/>
          <w:i w:val="0"/>
          <w:color w:val="auto"/>
          <w:szCs w:val="22"/>
        </w:rPr>
        <w:t>w</w:t>
      </w:r>
      <w:r w:rsidR="00CC5264" w:rsidRPr="005E66FC">
        <w:rPr>
          <w:rFonts w:asciiTheme="minorHAnsi" w:hAnsiTheme="minorHAnsi" w:cstheme="minorHAnsi"/>
          <w:i w:val="0"/>
          <w:color w:val="auto"/>
          <w:szCs w:val="22"/>
        </w:rPr>
        <w:t xml:space="preserve">ater to flow through, the </w:t>
      </w:r>
      <w:r w:rsidRPr="005E66FC">
        <w:rPr>
          <w:rFonts w:asciiTheme="minorHAnsi" w:hAnsiTheme="minorHAnsi" w:cstheme="minorHAnsi"/>
          <w:i w:val="0"/>
          <w:color w:val="auto"/>
          <w:szCs w:val="22"/>
        </w:rPr>
        <w:t xml:space="preserve">flow </w:t>
      </w:r>
      <w:r w:rsidR="00CC5264" w:rsidRPr="005E66FC">
        <w:rPr>
          <w:rFonts w:asciiTheme="minorHAnsi" w:hAnsiTheme="minorHAnsi" w:cstheme="minorHAnsi"/>
          <w:i w:val="0"/>
          <w:color w:val="auto"/>
          <w:szCs w:val="22"/>
        </w:rPr>
        <w:t xml:space="preserve">rate of the water coming out of the faucet </w:t>
      </w:r>
      <w:r w:rsidR="00B96BA8" w:rsidRPr="005E66FC">
        <w:rPr>
          <w:rFonts w:asciiTheme="minorHAnsi" w:hAnsiTheme="minorHAnsi" w:cstheme="minorHAnsi"/>
          <w:i w:val="0"/>
          <w:color w:val="auto"/>
          <w:szCs w:val="22"/>
        </w:rPr>
        <w:t>is reduced.</w:t>
      </w:r>
      <w:r w:rsidR="00B96BA8" w:rsidRPr="005E66FC">
        <w:rPr>
          <w:rStyle w:val="EndnoteReference"/>
          <w:rFonts w:asciiTheme="minorHAnsi" w:hAnsiTheme="minorHAnsi" w:cstheme="minorHAnsi"/>
          <w:i w:val="0"/>
          <w:color w:val="auto"/>
          <w:szCs w:val="22"/>
        </w:rPr>
        <w:endnoteReference w:id="2"/>
      </w:r>
    </w:p>
    <w:p w14:paraId="5026F630" w14:textId="77777777" w:rsidR="007B32C8" w:rsidRDefault="00697868" w:rsidP="007B32C8">
      <w:pPr>
        <w:pStyle w:val="Heading2"/>
        <w:rPr>
          <w:rFonts w:asciiTheme="minorHAnsi" w:hAnsiTheme="minorHAnsi"/>
        </w:rPr>
      </w:pPr>
      <w:bookmarkStart w:id="15" w:name="_Toc478657384"/>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5"/>
    </w:p>
    <w:p w14:paraId="5026F631" w14:textId="77777777" w:rsidR="007B32C8" w:rsidRPr="007B32C8" w:rsidRDefault="007B32C8" w:rsidP="007B32C8"/>
    <w:p w14:paraId="5026F632" w14:textId="7C9D0CD1" w:rsidR="00B679B4" w:rsidRDefault="00B679B4" w:rsidP="00B679B4">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3</w:t>
      </w:r>
      <w:r w:rsidR="005A50B7">
        <w:rPr>
          <w:noProof/>
        </w:rPr>
        <w:fldChar w:fldCharType="end"/>
      </w:r>
      <w:r>
        <w:t>: Installation Type Descriptions</w:t>
      </w:r>
    </w:p>
    <w:tbl>
      <w:tblPr>
        <w:tblStyle w:val="TableGrid1"/>
        <w:tblW w:w="5000" w:type="pct"/>
        <w:tblLayout w:type="fixed"/>
        <w:tblLook w:val="04A0" w:firstRow="1" w:lastRow="0" w:firstColumn="1" w:lastColumn="0" w:noHBand="0" w:noVBand="1"/>
      </w:tblPr>
      <w:tblGrid>
        <w:gridCol w:w="1615"/>
        <w:gridCol w:w="2250"/>
        <w:gridCol w:w="1711"/>
        <w:gridCol w:w="1801"/>
        <w:gridCol w:w="1973"/>
      </w:tblGrid>
      <w:tr w:rsidR="00B679B4" w:rsidRPr="00897643" w14:paraId="5026F636" w14:textId="77777777" w:rsidTr="00E53A9F">
        <w:trPr>
          <w:trHeight w:val="20"/>
        </w:trPr>
        <w:tc>
          <w:tcPr>
            <w:tcW w:w="864" w:type="pct"/>
            <w:vMerge w:val="restart"/>
            <w:shd w:val="clear" w:color="auto" w:fill="D9D9D9" w:themeFill="background1" w:themeFillShade="D9"/>
          </w:tcPr>
          <w:p w14:paraId="5026F633" w14:textId="77777777" w:rsidR="006F1B21" w:rsidRPr="00897643" w:rsidRDefault="006F1B21" w:rsidP="001B2301">
            <w:pPr>
              <w:rPr>
                <w:b/>
                <w:sz w:val="18"/>
                <w:szCs w:val="18"/>
              </w:rPr>
            </w:pPr>
            <w:r w:rsidRPr="00897643">
              <w:rPr>
                <w:b/>
                <w:sz w:val="18"/>
                <w:szCs w:val="18"/>
              </w:rPr>
              <w:t>Installation Type</w:t>
            </w:r>
          </w:p>
        </w:tc>
        <w:tc>
          <w:tcPr>
            <w:tcW w:w="2118" w:type="pct"/>
            <w:gridSpan w:val="2"/>
            <w:shd w:val="clear" w:color="auto" w:fill="D9D9D9" w:themeFill="background1" w:themeFillShade="D9"/>
          </w:tcPr>
          <w:p w14:paraId="5026F634" w14:textId="77777777" w:rsidR="006F1B21" w:rsidRPr="00897643" w:rsidRDefault="006F1B21" w:rsidP="001B2301">
            <w:pPr>
              <w:rPr>
                <w:b/>
                <w:sz w:val="18"/>
                <w:szCs w:val="18"/>
              </w:rPr>
            </w:pPr>
            <w:r w:rsidRPr="00897643">
              <w:rPr>
                <w:b/>
                <w:sz w:val="18"/>
                <w:szCs w:val="18"/>
              </w:rPr>
              <w:t>Savings</w:t>
            </w:r>
          </w:p>
        </w:tc>
        <w:tc>
          <w:tcPr>
            <w:tcW w:w="2019" w:type="pct"/>
            <w:gridSpan w:val="2"/>
            <w:shd w:val="clear" w:color="auto" w:fill="D9D9D9" w:themeFill="background1" w:themeFillShade="D9"/>
          </w:tcPr>
          <w:p w14:paraId="5026F635" w14:textId="77777777" w:rsidR="006F1B21" w:rsidRPr="00897643" w:rsidRDefault="006F1B21" w:rsidP="001B2301">
            <w:pPr>
              <w:rPr>
                <w:b/>
                <w:sz w:val="18"/>
                <w:szCs w:val="18"/>
              </w:rPr>
            </w:pPr>
            <w:r w:rsidRPr="00897643">
              <w:rPr>
                <w:b/>
                <w:sz w:val="18"/>
                <w:szCs w:val="18"/>
              </w:rPr>
              <w:t>Life</w:t>
            </w:r>
          </w:p>
        </w:tc>
      </w:tr>
      <w:tr w:rsidR="000E44CD" w:rsidRPr="00897643" w14:paraId="5026F63C" w14:textId="77777777" w:rsidTr="00E53A9F">
        <w:trPr>
          <w:trHeight w:val="20"/>
        </w:trPr>
        <w:tc>
          <w:tcPr>
            <w:tcW w:w="864" w:type="pct"/>
            <w:vMerge/>
            <w:shd w:val="clear" w:color="auto" w:fill="D9D9D9" w:themeFill="background1" w:themeFillShade="D9"/>
          </w:tcPr>
          <w:p w14:paraId="5026F637" w14:textId="77777777" w:rsidR="006F1B21" w:rsidRPr="00897643" w:rsidRDefault="006F1B21" w:rsidP="001B2301">
            <w:pPr>
              <w:rPr>
                <w:sz w:val="18"/>
                <w:szCs w:val="18"/>
              </w:rPr>
            </w:pPr>
          </w:p>
        </w:tc>
        <w:tc>
          <w:tcPr>
            <w:tcW w:w="1203" w:type="pct"/>
            <w:shd w:val="clear" w:color="auto" w:fill="F2F2F2" w:themeFill="background1" w:themeFillShade="F2"/>
          </w:tcPr>
          <w:p w14:paraId="5026F638" w14:textId="77777777" w:rsidR="006F1B21" w:rsidRPr="00897643" w:rsidRDefault="006F1B21" w:rsidP="001B2301">
            <w:pPr>
              <w:rPr>
                <w:sz w:val="18"/>
                <w:szCs w:val="18"/>
              </w:rPr>
            </w:pPr>
            <w:r w:rsidRPr="00897643">
              <w:rPr>
                <w:sz w:val="18"/>
                <w:szCs w:val="18"/>
              </w:rPr>
              <w:t>1</w:t>
            </w:r>
            <w:r w:rsidRPr="00897643">
              <w:rPr>
                <w:sz w:val="18"/>
                <w:szCs w:val="18"/>
                <w:vertAlign w:val="superscript"/>
              </w:rPr>
              <w:t>st</w:t>
            </w:r>
            <w:r w:rsidRPr="00897643">
              <w:rPr>
                <w:sz w:val="18"/>
                <w:szCs w:val="18"/>
              </w:rPr>
              <w:t xml:space="preserve"> Baseline (BL)</w:t>
            </w:r>
          </w:p>
        </w:tc>
        <w:tc>
          <w:tcPr>
            <w:tcW w:w="914" w:type="pct"/>
            <w:shd w:val="clear" w:color="auto" w:fill="F2F2F2" w:themeFill="background1" w:themeFillShade="F2"/>
          </w:tcPr>
          <w:p w14:paraId="5026F639" w14:textId="77777777" w:rsidR="006F1B21" w:rsidRPr="00897643" w:rsidRDefault="006F1B21" w:rsidP="001B2301">
            <w:pPr>
              <w:rPr>
                <w:sz w:val="18"/>
                <w:szCs w:val="18"/>
              </w:rPr>
            </w:pPr>
            <w:r w:rsidRPr="00897643">
              <w:rPr>
                <w:sz w:val="18"/>
                <w:szCs w:val="18"/>
              </w:rPr>
              <w:t>2</w:t>
            </w:r>
            <w:r w:rsidRPr="00897643">
              <w:rPr>
                <w:sz w:val="18"/>
                <w:szCs w:val="18"/>
                <w:vertAlign w:val="superscript"/>
              </w:rPr>
              <w:t>nd</w:t>
            </w:r>
            <w:r w:rsidRPr="00897643">
              <w:rPr>
                <w:sz w:val="18"/>
                <w:szCs w:val="18"/>
              </w:rPr>
              <w:t xml:space="preserve"> BL</w:t>
            </w:r>
          </w:p>
        </w:tc>
        <w:tc>
          <w:tcPr>
            <w:tcW w:w="963" w:type="pct"/>
            <w:shd w:val="clear" w:color="auto" w:fill="F2F2F2" w:themeFill="background1" w:themeFillShade="F2"/>
          </w:tcPr>
          <w:p w14:paraId="5026F63A" w14:textId="77777777" w:rsidR="006F1B21" w:rsidRPr="00897643" w:rsidRDefault="006F1B21" w:rsidP="001B2301">
            <w:pPr>
              <w:rPr>
                <w:sz w:val="18"/>
                <w:szCs w:val="18"/>
              </w:rPr>
            </w:pPr>
            <w:r w:rsidRPr="00897643">
              <w:rPr>
                <w:sz w:val="18"/>
                <w:szCs w:val="18"/>
              </w:rPr>
              <w:t>1</w:t>
            </w:r>
            <w:r w:rsidRPr="00897643">
              <w:rPr>
                <w:sz w:val="18"/>
                <w:szCs w:val="18"/>
                <w:vertAlign w:val="superscript"/>
              </w:rPr>
              <w:t>st</w:t>
            </w:r>
            <w:r w:rsidRPr="00897643">
              <w:rPr>
                <w:sz w:val="18"/>
                <w:szCs w:val="18"/>
              </w:rPr>
              <w:t xml:space="preserve"> BL</w:t>
            </w:r>
          </w:p>
        </w:tc>
        <w:tc>
          <w:tcPr>
            <w:tcW w:w="1056" w:type="pct"/>
            <w:shd w:val="clear" w:color="auto" w:fill="F2F2F2" w:themeFill="background1" w:themeFillShade="F2"/>
          </w:tcPr>
          <w:p w14:paraId="5026F63B" w14:textId="77777777" w:rsidR="006F1B21" w:rsidRPr="00897643" w:rsidRDefault="006F1B21" w:rsidP="001B2301">
            <w:pPr>
              <w:rPr>
                <w:sz w:val="18"/>
                <w:szCs w:val="18"/>
              </w:rPr>
            </w:pPr>
            <w:r w:rsidRPr="00897643">
              <w:rPr>
                <w:sz w:val="18"/>
                <w:szCs w:val="18"/>
              </w:rPr>
              <w:t>2</w:t>
            </w:r>
            <w:r w:rsidRPr="00897643">
              <w:rPr>
                <w:sz w:val="18"/>
                <w:szCs w:val="18"/>
                <w:vertAlign w:val="superscript"/>
              </w:rPr>
              <w:t>nd</w:t>
            </w:r>
            <w:r w:rsidRPr="00897643">
              <w:rPr>
                <w:sz w:val="18"/>
                <w:szCs w:val="18"/>
              </w:rPr>
              <w:t xml:space="preserve"> BL</w:t>
            </w:r>
          </w:p>
        </w:tc>
      </w:tr>
      <w:tr w:rsidR="000E44CD" w:rsidRPr="00897643" w14:paraId="5026F642" w14:textId="77777777" w:rsidTr="00E53A9F">
        <w:trPr>
          <w:trHeight w:val="20"/>
        </w:trPr>
        <w:tc>
          <w:tcPr>
            <w:tcW w:w="864" w:type="pct"/>
          </w:tcPr>
          <w:p w14:paraId="5026F63D" w14:textId="77777777" w:rsidR="005818D2" w:rsidRPr="00897643" w:rsidRDefault="005818D2">
            <w:pPr>
              <w:rPr>
                <w:sz w:val="18"/>
                <w:szCs w:val="18"/>
              </w:rPr>
            </w:pPr>
            <w:r w:rsidRPr="00897643">
              <w:rPr>
                <w:sz w:val="18"/>
                <w:szCs w:val="18"/>
              </w:rPr>
              <w:t>Retrofit Add-on (REA)</w:t>
            </w:r>
          </w:p>
        </w:tc>
        <w:tc>
          <w:tcPr>
            <w:tcW w:w="1203" w:type="pct"/>
          </w:tcPr>
          <w:p w14:paraId="5026F63E" w14:textId="60B1DA86" w:rsidR="005818D2" w:rsidRPr="00897643" w:rsidRDefault="005818D2" w:rsidP="00E53A9F">
            <w:pPr>
              <w:rPr>
                <w:sz w:val="18"/>
                <w:szCs w:val="18"/>
              </w:rPr>
            </w:pPr>
            <w:r w:rsidRPr="00897643">
              <w:rPr>
                <w:sz w:val="18"/>
                <w:szCs w:val="18"/>
              </w:rPr>
              <w:t>Above Customer Existing</w:t>
            </w:r>
            <w:r w:rsidR="00E53A9F">
              <w:rPr>
                <w:sz w:val="18"/>
                <w:szCs w:val="18"/>
              </w:rPr>
              <w:t xml:space="preserve"> (See </w:t>
            </w:r>
            <w:r w:rsidR="00E53A9F" w:rsidRPr="00E53A9F">
              <w:rPr>
                <w:b/>
                <w:i/>
                <w:sz w:val="18"/>
                <w:szCs w:val="18"/>
              </w:rPr>
              <w:t xml:space="preserve">Section </w:t>
            </w:r>
            <w:r w:rsidR="00E53A9F" w:rsidRPr="00E53A9F">
              <w:rPr>
                <w:b/>
                <w:i/>
                <w:sz w:val="18"/>
                <w:szCs w:val="18"/>
              </w:rPr>
              <w:fldChar w:fldCharType="begin"/>
            </w:r>
            <w:r w:rsidR="00E53A9F" w:rsidRPr="00E53A9F">
              <w:rPr>
                <w:b/>
                <w:i/>
                <w:sz w:val="18"/>
                <w:szCs w:val="18"/>
              </w:rPr>
              <w:instrText xml:space="preserve"> REF _Ref478547362 \h  \* MERGEFORMAT </w:instrText>
            </w:r>
            <w:r w:rsidR="00E53A9F" w:rsidRPr="00E53A9F">
              <w:rPr>
                <w:b/>
                <w:i/>
                <w:sz w:val="18"/>
                <w:szCs w:val="18"/>
              </w:rPr>
            </w:r>
            <w:r w:rsidR="00E53A9F" w:rsidRPr="00E53A9F">
              <w:rPr>
                <w:b/>
                <w:i/>
                <w:sz w:val="18"/>
                <w:szCs w:val="18"/>
              </w:rPr>
              <w:fldChar w:fldCharType="separate"/>
            </w:r>
            <w:r w:rsidR="00E53A9F" w:rsidRPr="00E53A9F">
              <w:rPr>
                <w:rFonts w:cstheme="minorHAnsi"/>
                <w:b/>
                <w:i/>
              </w:rPr>
              <w:t>2.1</w:t>
            </w:r>
            <w:r w:rsidR="00E53A9F" w:rsidRPr="00E53A9F">
              <w:rPr>
                <w:b/>
                <w:i/>
                <w:sz w:val="18"/>
                <w:szCs w:val="18"/>
              </w:rPr>
              <w:fldChar w:fldCharType="end"/>
            </w:r>
            <w:r w:rsidR="00E53A9F">
              <w:rPr>
                <w:sz w:val="18"/>
                <w:szCs w:val="18"/>
              </w:rPr>
              <w:t xml:space="preserve">) </w:t>
            </w:r>
          </w:p>
        </w:tc>
        <w:tc>
          <w:tcPr>
            <w:tcW w:w="914" w:type="pct"/>
          </w:tcPr>
          <w:p w14:paraId="5026F63F" w14:textId="66E6659D" w:rsidR="005818D2" w:rsidRPr="00897643" w:rsidRDefault="00E53A9F" w:rsidP="00E5625D">
            <w:pPr>
              <w:rPr>
                <w:sz w:val="18"/>
                <w:szCs w:val="18"/>
              </w:rPr>
            </w:pPr>
            <w:r>
              <w:rPr>
                <w:sz w:val="18"/>
                <w:szCs w:val="18"/>
              </w:rPr>
              <w:t>N/A</w:t>
            </w:r>
            <w:r w:rsidR="000E44CD">
              <w:rPr>
                <w:sz w:val="18"/>
                <w:szCs w:val="18"/>
              </w:rPr>
              <w:t xml:space="preserve"> (Above Code Baseline) </w:t>
            </w:r>
          </w:p>
        </w:tc>
        <w:tc>
          <w:tcPr>
            <w:tcW w:w="963" w:type="pct"/>
          </w:tcPr>
          <w:p w14:paraId="5026F640" w14:textId="632E47D8" w:rsidR="005818D2" w:rsidRPr="00897643" w:rsidRDefault="000E44CD" w:rsidP="00E5625D">
            <w:pPr>
              <w:rPr>
                <w:sz w:val="18"/>
                <w:szCs w:val="18"/>
              </w:rPr>
            </w:pPr>
            <w:r>
              <w:rPr>
                <w:sz w:val="18"/>
                <w:szCs w:val="18"/>
              </w:rPr>
              <w:t>R</w:t>
            </w:r>
            <w:r w:rsidR="005818D2" w:rsidRPr="00897643">
              <w:rPr>
                <w:sz w:val="18"/>
                <w:szCs w:val="18"/>
              </w:rPr>
              <w:t>UL</w:t>
            </w:r>
            <w:r>
              <w:rPr>
                <w:sz w:val="18"/>
                <w:szCs w:val="18"/>
              </w:rPr>
              <w:t xml:space="preserve"> (6.67 years)</w:t>
            </w:r>
          </w:p>
        </w:tc>
        <w:tc>
          <w:tcPr>
            <w:tcW w:w="1056" w:type="pct"/>
          </w:tcPr>
          <w:p w14:paraId="5026F641" w14:textId="3643AAFD" w:rsidR="005818D2" w:rsidRPr="00897643" w:rsidRDefault="000E44CD" w:rsidP="00E5625D">
            <w:pPr>
              <w:rPr>
                <w:sz w:val="18"/>
                <w:szCs w:val="18"/>
              </w:rPr>
            </w:pPr>
            <w:r>
              <w:rPr>
                <w:sz w:val="18"/>
                <w:szCs w:val="18"/>
              </w:rPr>
              <w:t>EUL – RUL (13.33 years)</w:t>
            </w:r>
          </w:p>
        </w:tc>
      </w:tr>
    </w:tbl>
    <w:p w14:paraId="5026F643" w14:textId="77777777" w:rsidR="001B2301" w:rsidRDefault="001B2301" w:rsidP="00697868">
      <w:pPr>
        <w:pStyle w:val="Reminders"/>
        <w:tabs>
          <w:tab w:val="num" w:pos="360"/>
        </w:tabs>
        <w:rPr>
          <w:rFonts w:asciiTheme="minorHAnsi" w:hAnsiTheme="minorHAnsi" w:cstheme="minorHAnsi"/>
          <w:i w:val="0"/>
          <w:szCs w:val="22"/>
        </w:rPr>
      </w:pPr>
    </w:p>
    <w:p w14:paraId="5026F644"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5026F64D" w14:textId="23108546" w:rsidR="001B2301" w:rsidRPr="00CD1B6C" w:rsidRDefault="001B2301" w:rsidP="00920905">
      <w:pPr>
        <w:rPr>
          <w:color w:val="0070C0"/>
        </w:rPr>
      </w:pPr>
    </w:p>
    <w:p w14:paraId="5026F64E" w14:textId="653B350C" w:rsidR="00B679B4" w:rsidRDefault="00B679B4" w:rsidP="00B679B4">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4</w:t>
      </w:r>
      <w:r w:rsidR="005A50B7">
        <w:rPr>
          <w:noProof/>
        </w:rPr>
        <w:fldChar w:fldCharType="end"/>
      </w:r>
      <w:r>
        <w:t>: 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5026F651" w14:textId="77777777" w:rsidTr="00920905">
        <w:tc>
          <w:tcPr>
            <w:tcW w:w="1297" w:type="pct"/>
            <w:shd w:val="clear" w:color="auto" w:fill="D9D9D9" w:themeFill="background1" w:themeFillShade="D9"/>
          </w:tcPr>
          <w:p w14:paraId="5026F64F"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5026F650" w14:textId="77777777" w:rsidR="001B2301" w:rsidRPr="00920905" w:rsidRDefault="001B2301" w:rsidP="001B2301">
            <w:pPr>
              <w:rPr>
                <w:b/>
                <w:sz w:val="18"/>
                <w:szCs w:val="18"/>
              </w:rPr>
            </w:pPr>
            <w:r w:rsidRPr="00920905">
              <w:rPr>
                <w:b/>
                <w:sz w:val="18"/>
                <w:szCs w:val="18"/>
              </w:rPr>
              <w:t>Description</w:t>
            </w:r>
          </w:p>
        </w:tc>
      </w:tr>
      <w:tr w:rsidR="001B2301" w:rsidRPr="00A3164A" w14:paraId="5026F654" w14:textId="77777777" w:rsidTr="00920905">
        <w:tc>
          <w:tcPr>
            <w:tcW w:w="1297" w:type="pct"/>
          </w:tcPr>
          <w:p w14:paraId="5026F652" w14:textId="484011CE" w:rsidR="001B2301" w:rsidRPr="00AC74B3" w:rsidRDefault="00AA4CDC" w:rsidP="00920905">
            <w:pPr>
              <w:autoSpaceDE w:val="0"/>
              <w:autoSpaceDN w:val="0"/>
              <w:adjustRightInd w:val="0"/>
              <w:spacing w:line="240" w:lineRule="atLeast"/>
              <w:rPr>
                <w:sz w:val="18"/>
                <w:szCs w:val="18"/>
              </w:rPr>
            </w:pPr>
            <w:r w:rsidRPr="00AC74B3">
              <w:rPr>
                <w:rFonts w:cs="Helv"/>
                <w:sz w:val="18"/>
                <w:szCs w:val="18"/>
              </w:rPr>
              <w:t>Direct Install</w:t>
            </w:r>
            <w:r w:rsidR="009E5D21">
              <w:rPr>
                <w:rFonts w:cs="Helv"/>
                <w:sz w:val="18"/>
                <w:szCs w:val="18"/>
              </w:rPr>
              <w:t xml:space="preserve"> (DirInstall</w:t>
            </w:r>
            <w:r w:rsidR="000D75B4" w:rsidRPr="00AC74B3">
              <w:rPr>
                <w:rFonts w:cs="Helv"/>
                <w:sz w:val="18"/>
                <w:szCs w:val="18"/>
              </w:rPr>
              <w:t>)</w:t>
            </w:r>
          </w:p>
        </w:tc>
        <w:tc>
          <w:tcPr>
            <w:tcW w:w="3703" w:type="pct"/>
          </w:tcPr>
          <w:p w14:paraId="5026F653" w14:textId="77777777" w:rsidR="001B2301" w:rsidRPr="00AC74B3" w:rsidRDefault="00AA4CDC" w:rsidP="00920905">
            <w:pPr>
              <w:autoSpaceDE w:val="0"/>
              <w:autoSpaceDN w:val="0"/>
              <w:adjustRightInd w:val="0"/>
              <w:rPr>
                <w:sz w:val="18"/>
                <w:szCs w:val="18"/>
              </w:rPr>
            </w:pPr>
            <w:r w:rsidRPr="00AC74B3">
              <w:rPr>
                <w:rFonts w:cs="Helv"/>
                <w:sz w:val="18"/>
                <w:szCs w:val="18"/>
              </w:rPr>
              <w:t xml:space="preserve">The program </w:t>
            </w:r>
            <w:r w:rsidRPr="00AC74B3">
              <w:rPr>
                <w:sz w:val="18"/>
                <w:szCs w:val="18"/>
              </w:rPr>
              <w:t>implements energy efficiency measures for qualifying customers, at no cost to the customer.</w:t>
            </w:r>
          </w:p>
        </w:tc>
      </w:tr>
    </w:tbl>
    <w:p w14:paraId="5026F658" w14:textId="77777777" w:rsidR="001B2301" w:rsidRPr="00500C4E" w:rsidRDefault="001B2301"/>
    <w:p w14:paraId="5026F659" w14:textId="77777777" w:rsidR="00E16609" w:rsidRPr="00500C4E" w:rsidRDefault="00824F1C" w:rsidP="00824F1C">
      <w:pPr>
        <w:pStyle w:val="Heading2"/>
        <w:rPr>
          <w:rFonts w:asciiTheme="minorHAnsi" w:hAnsiTheme="minorHAnsi" w:cstheme="minorHAnsi"/>
        </w:rPr>
      </w:pPr>
      <w:bookmarkStart w:id="16" w:name="_Toc214003084"/>
      <w:bookmarkStart w:id="17" w:name="_Toc478657385"/>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6"/>
      <w:r w:rsidR="00F810DD">
        <w:rPr>
          <w:rFonts w:asciiTheme="minorHAnsi" w:hAnsiTheme="minorHAnsi" w:cstheme="minorHAnsi"/>
        </w:rPr>
        <w:t>Parameters</w:t>
      </w:r>
      <w:bookmarkEnd w:id="17"/>
    </w:p>
    <w:p w14:paraId="5026F65A" w14:textId="77777777" w:rsidR="00324088" w:rsidRPr="004F2319" w:rsidRDefault="00F06CCF" w:rsidP="004F2319">
      <w:pPr>
        <w:pStyle w:val="Heading3"/>
        <w:rPr>
          <w:rFonts w:asciiTheme="minorHAnsi" w:hAnsiTheme="minorHAnsi"/>
        </w:rPr>
      </w:pPr>
      <w:bookmarkStart w:id="18" w:name="_Toc478657386"/>
      <w:r w:rsidRPr="00500C4E">
        <w:rPr>
          <w:rFonts w:asciiTheme="minorHAnsi" w:hAnsiTheme="minorHAnsi"/>
        </w:rPr>
        <w:t xml:space="preserve">1.4.1 DEER </w:t>
      </w:r>
      <w:r w:rsidR="00D86A9D">
        <w:rPr>
          <w:rFonts w:asciiTheme="minorHAnsi" w:hAnsiTheme="minorHAnsi"/>
        </w:rPr>
        <w:t>Data</w:t>
      </w:r>
      <w:bookmarkEnd w:id="18"/>
    </w:p>
    <w:p w14:paraId="5026F65B" w14:textId="77777777" w:rsidR="00324088" w:rsidRPr="00897643" w:rsidRDefault="00324088" w:rsidP="00324088">
      <w:r w:rsidRPr="00897643">
        <w:t xml:space="preserve">There is no DEER measure for faucet aerators in the commercial sector.  </w:t>
      </w:r>
    </w:p>
    <w:p w14:paraId="5026F65C" w14:textId="77777777" w:rsidR="00324088" w:rsidRPr="00897643" w:rsidRDefault="00324088" w:rsidP="00324088">
      <w:pPr>
        <w:pStyle w:val="ListParagraph"/>
      </w:pPr>
    </w:p>
    <w:p w14:paraId="5026F65D" w14:textId="77777777" w:rsidR="00324088" w:rsidRPr="00897643" w:rsidRDefault="00324088" w:rsidP="00324088">
      <w:r w:rsidRPr="00897643">
        <w:t>There are, however, two Non-DEER work papers that target the installation of faucet aerators in residential building types:</w:t>
      </w:r>
    </w:p>
    <w:p w14:paraId="5026F65E" w14:textId="77777777" w:rsidR="00324088" w:rsidRPr="00897643" w:rsidRDefault="00324088" w:rsidP="00324088"/>
    <w:p w14:paraId="5026F65F" w14:textId="77777777" w:rsidR="00324088" w:rsidRPr="00897643" w:rsidRDefault="00324088" w:rsidP="00324088">
      <w:pPr>
        <w:pStyle w:val="ListParagraph"/>
        <w:numPr>
          <w:ilvl w:val="0"/>
          <w:numId w:val="35"/>
        </w:numPr>
      </w:pPr>
      <w:r w:rsidRPr="00897643">
        <w:rPr>
          <w:i/>
        </w:rPr>
        <w:t>Faucet Aerators for Bathroom/Kitchen Sinks in Residential Buildings (WPSCGREWH120618A)</w:t>
      </w:r>
    </w:p>
    <w:p w14:paraId="5026F660" w14:textId="77777777" w:rsidR="00324088" w:rsidRPr="00897643" w:rsidRDefault="00324088" w:rsidP="00324088">
      <w:pPr>
        <w:pStyle w:val="ListParagraph"/>
        <w:numPr>
          <w:ilvl w:val="0"/>
          <w:numId w:val="35"/>
        </w:numPr>
      </w:pPr>
      <w:r w:rsidRPr="00897643">
        <w:rPr>
          <w:i/>
        </w:rPr>
        <w:t>Therm Savings Kit (SCGWP100309A)</w:t>
      </w:r>
    </w:p>
    <w:p w14:paraId="4192350F" w14:textId="2CBC0FF8" w:rsidR="007F3E33" w:rsidRDefault="00324088" w:rsidP="00E214C2">
      <w:r w:rsidRPr="00897643">
        <w:lastRenderedPageBreak/>
        <w:t xml:space="preserve">This work paper intends to depart from the Non-DEER faucet aerator work papers since it </w:t>
      </w:r>
      <w:bookmarkStart w:id="19" w:name="_Toc214003087"/>
      <w:r w:rsidR="007B32C8">
        <w:t xml:space="preserve">targets the commercial sector. </w:t>
      </w:r>
    </w:p>
    <w:p w14:paraId="5026F663" w14:textId="3A445608" w:rsidR="0052242F" w:rsidRDefault="0052242F" w:rsidP="0052242F">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5</w:t>
      </w:r>
      <w:r w:rsidR="005A50B7">
        <w:rPr>
          <w:noProof/>
        </w:rPr>
        <w:fldChar w:fldCharType="end"/>
      </w:r>
      <w:r>
        <w:t>: 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5026F666" w14:textId="77777777" w:rsidTr="00920905">
        <w:trPr>
          <w:trHeight w:val="20"/>
        </w:trPr>
        <w:tc>
          <w:tcPr>
            <w:tcW w:w="1548" w:type="pct"/>
            <w:shd w:val="clear" w:color="auto" w:fill="D9D9D9" w:themeFill="background1" w:themeFillShade="D9"/>
          </w:tcPr>
          <w:p w14:paraId="5026F664"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5026F665"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5026F669" w14:textId="77777777" w:rsidTr="00920905">
        <w:trPr>
          <w:trHeight w:val="20"/>
        </w:trPr>
        <w:tc>
          <w:tcPr>
            <w:tcW w:w="1548" w:type="pct"/>
          </w:tcPr>
          <w:p w14:paraId="5026F667" w14:textId="77777777" w:rsidR="00E326BA" w:rsidRPr="00897643" w:rsidRDefault="00E326BA" w:rsidP="00920905">
            <w:pPr>
              <w:rPr>
                <w:rFonts w:cs="Arial"/>
                <w:szCs w:val="20"/>
              </w:rPr>
            </w:pPr>
            <w:r w:rsidRPr="00897643">
              <w:rPr>
                <w:rFonts w:cs="Arial"/>
                <w:szCs w:val="20"/>
              </w:rPr>
              <w:t>Modified DEER methodology</w:t>
            </w:r>
          </w:p>
        </w:tc>
        <w:tc>
          <w:tcPr>
            <w:tcW w:w="3452" w:type="pct"/>
          </w:tcPr>
          <w:p w14:paraId="5026F668" w14:textId="77777777" w:rsidR="00324088" w:rsidRPr="00897643" w:rsidRDefault="001B5E6C" w:rsidP="00920905">
            <w:pPr>
              <w:rPr>
                <w:rFonts w:cs="Arial"/>
                <w:szCs w:val="20"/>
                <w:highlight w:val="yellow"/>
              </w:rPr>
            </w:pPr>
            <w:r w:rsidRPr="00897643">
              <w:rPr>
                <w:rFonts w:cs="Arial"/>
                <w:szCs w:val="20"/>
              </w:rPr>
              <w:t>No</w:t>
            </w:r>
            <w:r w:rsidR="00251E6B" w:rsidRPr="00897643">
              <w:rPr>
                <w:rFonts w:cs="Arial"/>
                <w:szCs w:val="20"/>
              </w:rPr>
              <w:t xml:space="preserve"> </w:t>
            </w:r>
          </w:p>
        </w:tc>
      </w:tr>
      <w:tr w:rsidR="00726AD5" w:rsidRPr="00500C4E" w14:paraId="5026F66C" w14:textId="77777777" w:rsidTr="00920905">
        <w:trPr>
          <w:trHeight w:val="20"/>
        </w:trPr>
        <w:tc>
          <w:tcPr>
            <w:tcW w:w="1548" w:type="pct"/>
          </w:tcPr>
          <w:p w14:paraId="5026F66A" w14:textId="77777777" w:rsidR="00E326BA" w:rsidRPr="00897643" w:rsidRDefault="00E326BA" w:rsidP="00920905">
            <w:pPr>
              <w:rPr>
                <w:rFonts w:cs="Arial"/>
                <w:szCs w:val="20"/>
              </w:rPr>
            </w:pPr>
            <w:r w:rsidRPr="00897643">
              <w:rPr>
                <w:rFonts w:cs="Arial"/>
                <w:szCs w:val="20"/>
              </w:rPr>
              <w:t>Scaled DEER measure</w:t>
            </w:r>
          </w:p>
        </w:tc>
        <w:tc>
          <w:tcPr>
            <w:tcW w:w="3452" w:type="pct"/>
          </w:tcPr>
          <w:p w14:paraId="5026F66B" w14:textId="77777777" w:rsidR="00E326BA" w:rsidRPr="00897643" w:rsidRDefault="00E326BA" w:rsidP="00920905">
            <w:pPr>
              <w:rPr>
                <w:rFonts w:cs="Arial"/>
                <w:szCs w:val="20"/>
                <w:highlight w:val="yellow"/>
              </w:rPr>
            </w:pPr>
            <w:r w:rsidRPr="00897643">
              <w:rPr>
                <w:rFonts w:cs="Arial"/>
                <w:szCs w:val="20"/>
              </w:rPr>
              <w:t>No</w:t>
            </w:r>
          </w:p>
        </w:tc>
      </w:tr>
      <w:tr w:rsidR="00726AD5" w:rsidRPr="00500C4E" w14:paraId="5026F66F" w14:textId="77777777" w:rsidTr="00920905">
        <w:trPr>
          <w:trHeight w:val="20"/>
        </w:trPr>
        <w:tc>
          <w:tcPr>
            <w:tcW w:w="1548" w:type="pct"/>
          </w:tcPr>
          <w:p w14:paraId="5026F66D" w14:textId="77777777" w:rsidR="00E326BA" w:rsidRPr="001B5E6C" w:rsidRDefault="00E326BA" w:rsidP="00920905">
            <w:pPr>
              <w:rPr>
                <w:rFonts w:cs="Arial"/>
                <w:color w:val="0070C0"/>
                <w:szCs w:val="20"/>
              </w:rPr>
            </w:pPr>
            <w:r w:rsidRPr="00E512DB">
              <w:rPr>
                <w:rFonts w:cs="Arial"/>
                <w:szCs w:val="20"/>
              </w:rPr>
              <w:t xml:space="preserve">DEER </w:t>
            </w:r>
            <w:r w:rsidR="009D10A4" w:rsidRPr="00E512DB">
              <w:rPr>
                <w:rFonts w:cs="Arial"/>
                <w:szCs w:val="20"/>
              </w:rPr>
              <w:t>B</w:t>
            </w:r>
            <w:r w:rsidRPr="00E512DB">
              <w:rPr>
                <w:rFonts w:cs="Arial"/>
                <w:szCs w:val="20"/>
              </w:rPr>
              <w:t xml:space="preserve">ase </w:t>
            </w:r>
            <w:r w:rsidR="009D10A4" w:rsidRPr="00E512DB">
              <w:rPr>
                <w:rFonts w:cs="Arial"/>
                <w:szCs w:val="20"/>
              </w:rPr>
              <w:t>C</w:t>
            </w:r>
            <w:r w:rsidRPr="00E512DB">
              <w:rPr>
                <w:rFonts w:cs="Arial"/>
                <w:szCs w:val="20"/>
              </w:rPr>
              <w:t>ase</w:t>
            </w:r>
          </w:p>
        </w:tc>
        <w:tc>
          <w:tcPr>
            <w:tcW w:w="3452" w:type="pct"/>
          </w:tcPr>
          <w:p w14:paraId="5026F66E" w14:textId="185C46DB" w:rsidR="00E326BA" w:rsidRPr="00D577A5" w:rsidRDefault="00E512DB" w:rsidP="00920905">
            <w:pPr>
              <w:rPr>
                <w:rFonts w:cs="Arial"/>
                <w:color w:val="0070C0"/>
                <w:szCs w:val="20"/>
                <w:highlight w:val="yellow"/>
              </w:rPr>
            </w:pPr>
            <w:r w:rsidRPr="00E512DB">
              <w:rPr>
                <w:rFonts w:cs="Arial"/>
                <w:szCs w:val="20"/>
              </w:rPr>
              <w:t>No</w:t>
            </w:r>
          </w:p>
        </w:tc>
      </w:tr>
      <w:tr w:rsidR="00726AD5" w:rsidRPr="00500C4E" w14:paraId="5026F672" w14:textId="77777777" w:rsidTr="00920905">
        <w:trPr>
          <w:trHeight w:val="20"/>
        </w:trPr>
        <w:tc>
          <w:tcPr>
            <w:tcW w:w="1548" w:type="pct"/>
          </w:tcPr>
          <w:p w14:paraId="5026F670" w14:textId="77777777" w:rsidR="00E326BA" w:rsidRPr="00897643" w:rsidRDefault="00E326BA" w:rsidP="00920905">
            <w:pPr>
              <w:rPr>
                <w:rFonts w:cs="Arial"/>
                <w:szCs w:val="20"/>
              </w:rPr>
            </w:pPr>
            <w:r w:rsidRPr="00897643">
              <w:rPr>
                <w:rFonts w:cs="Arial"/>
                <w:szCs w:val="20"/>
              </w:rPr>
              <w:t xml:space="preserve">DEER </w:t>
            </w:r>
            <w:r w:rsidR="009D10A4" w:rsidRPr="00897643">
              <w:rPr>
                <w:rFonts w:cs="Arial"/>
                <w:szCs w:val="20"/>
              </w:rPr>
              <w:t>M</w:t>
            </w:r>
            <w:r w:rsidRPr="00897643">
              <w:rPr>
                <w:rFonts w:cs="Arial"/>
                <w:szCs w:val="20"/>
              </w:rPr>
              <w:t xml:space="preserve">easure </w:t>
            </w:r>
            <w:r w:rsidR="009D10A4" w:rsidRPr="00897643">
              <w:rPr>
                <w:rFonts w:cs="Arial"/>
                <w:szCs w:val="20"/>
              </w:rPr>
              <w:t>C</w:t>
            </w:r>
            <w:r w:rsidRPr="00897643">
              <w:rPr>
                <w:rFonts w:cs="Arial"/>
                <w:szCs w:val="20"/>
              </w:rPr>
              <w:t>ase</w:t>
            </w:r>
          </w:p>
        </w:tc>
        <w:tc>
          <w:tcPr>
            <w:tcW w:w="3452" w:type="pct"/>
          </w:tcPr>
          <w:p w14:paraId="5026F671" w14:textId="77777777" w:rsidR="00E326BA" w:rsidRPr="00897643" w:rsidRDefault="00E326BA" w:rsidP="00920905">
            <w:pPr>
              <w:rPr>
                <w:rFonts w:cs="Arial"/>
                <w:szCs w:val="20"/>
                <w:highlight w:val="yellow"/>
              </w:rPr>
            </w:pPr>
            <w:r w:rsidRPr="00897643">
              <w:rPr>
                <w:rFonts w:cs="Arial"/>
                <w:szCs w:val="20"/>
              </w:rPr>
              <w:t>No</w:t>
            </w:r>
          </w:p>
        </w:tc>
      </w:tr>
      <w:tr w:rsidR="00726AD5" w:rsidRPr="00500C4E" w14:paraId="5026F675" w14:textId="77777777" w:rsidTr="00920905">
        <w:trPr>
          <w:trHeight w:val="20"/>
        </w:trPr>
        <w:tc>
          <w:tcPr>
            <w:tcW w:w="1548" w:type="pct"/>
          </w:tcPr>
          <w:p w14:paraId="5026F673" w14:textId="77777777" w:rsidR="00E326BA" w:rsidRPr="00E512DB" w:rsidRDefault="00E326BA" w:rsidP="00920905">
            <w:pPr>
              <w:rPr>
                <w:rFonts w:cs="Arial"/>
                <w:szCs w:val="20"/>
              </w:rPr>
            </w:pPr>
            <w:r w:rsidRPr="00E512DB">
              <w:rPr>
                <w:rFonts w:cs="Arial"/>
                <w:szCs w:val="20"/>
              </w:rPr>
              <w:t xml:space="preserve">DEER </w:t>
            </w:r>
            <w:r w:rsidR="009D10A4" w:rsidRPr="00E512DB">
              <w:rPr>
                <w:rFonts w:cs="Arial"/>
                <w:szCs w:val="20"/>
              </w:rPr>
              <w:t>B</w:t>
            </w:r>
            <w:r w:rsidRPr="00E512DB">
              <w:rPr>
                <w:rFonts w:cs="Arial"/>
                <w:szCs w:val="20"/>
              </w:rPr>
              <w:t xml:space="preserve">uilding </w:t>
            </w:r>
            <w:r w:rsidR="009D10A4" w:rsidRPr="00E512DB">
              <w:rPr>
                <w:rFonts w:cs="Arial"/>
                <w:szCs w:val="20"/>
              </w:rPr>
              <w:t>T</w:t>
            </w:r>
            <w:r w:rsidRPr="00E512DB">
              <w:rPr>
                <w:rFonts w:cs="Arial"/>
                <w:szCs w:val="20"/>
              </w:rPr>
              <w:t>ypes</w:t>
            </w:r>
          </w:p>
        </w:tc>
        <w:tc>
          <w:tcPr>
            <w:tcW w:w="3452" w:type="pct"/>
          </w:tcPr>
          <w:p w14:paraId="5026F674" w14:textId="77777777" w:rsidR="00E326BA" w:rsidRPr="00D577A5" w:rsidRDefault="009E566F" w:rsidP="009E566F">
            <w:pPr>
              <w:rPr>
                <w:rFonts w:cs="Arial"/>
                <w:color w:val="0070C0"/>
                <w:szCs w:val="20"/>
                <w:highlight w:val="yellow"/>
              </w:rPr>
            </w:pPr>
            <w:r w:rsidRPr="00E512DB">
              <w:rPr>
                <w:rFonts w:cs="Arial"/>
                <w:szCs w:val="20"/>
              </w:rPr>
              <w:t>Yes: Com</w:t>
            </w:r>
          </w:p>
        </w:tc>
      </w:tr>
      <w:tr w:rsidR="00726AD5" w:rsidRPr="00500C4E" w14:paraId="5026F678" w14:textId="77777777" w:rsidTr="00920905">
        <w:trPr>
          <w:trHeight w:val="20"/>
        </w:trPr>
        <w:tc>
          <w:tcPr>
            <w:tcW w:w="1548" w:type="pct"/>
          </w:tcPr>
          <w:p w14:paraId="5026F676" w14:textId="77777777" w:rsidR="00E326BA" w:rsidRPr="00897643" w:rsidRDefault="00E326BA" w:rsidP="00920905">
            <w:pPr>
              <w:rPr>
                <w:rFonts w:cs="Arial"/>
                <w:szCs w:val="20"/>
              </w:rPr>
            </w:pPr>
            <w:r w:rsidRPr="00897643">
              <w:rPr>
                <w:rFonts w:cs="Arial"/>
                <w:szCs w:val="20"/>
              </w:rPr>
              <w:t xml:space="preserve">DEER </w:t>
            </w:r>
            <w:r w:rsidR="009D10A4" w:rsidRPr="00897643">
              <w:rPr>
                <w:rFonts w:cs="Arial"/>
                <w:szCs w:val="20"/>
              </w:rPr>
              <w:t>O</w:t>
            </w:r>
            <w:r w:rsidRPr="00897643">
              <w:rPr>
                <w:rFonts w:cs="Arial"/>
                <w:szCs w:val="20"/>
              </w:rPr>
              <w:t xml:space="preserve">perating </w:t>
            </w:r>
            <w:r w:rsidR="009D10A4" w:rsidRPr="00897643">
              <w:rPr>
                <w:rFonts w:cs="Arial"/>
                <w:szCs w:val="20"/>
              </w:rPr>
              <w:t>H</w:t>
            </w:r>
            <w:r w:rsidRPr="00897643">
              <w:rPr>
                <w:rFonts w:cs="Arial"/>
                <w:szCs w:val="20"/>
              </w:rPr>
              <w:t>ours</w:t>
            </w:r>
          </w:p>
        </w:tc>
        <w:tc>
          <w:tcPr>
            <w:tcW w:w="3452" w:type="pct"/>
          </w:tcPr>
          <w:p w14:paraId="5026F677" w14:textId="77777777" w:rsidR="00E326BA" w:rsidRPr="00897643" w:rsidRDefault="00254671" w:rsidP="00920905">
            <w:pPr>
              <w:rPr>
                <w:rFonts w:cs="Arial"/>
                <w:szCs w:val="20"/>
                <w:highlight w:val="yellow"/>
              </w:rPr>
            </w:pPr>
            <w:r w:rsidRPr="00897643">
              <w:rPr>
                <w:rFonts w:cs="Arial"/>
                <w:szCs w:val="20"/>
              </w:rPr>
              <w:t>No</w:t>
            </w:r>
          </w:p>
        </w:tc>
      </w:tr>
      <w:tr w:rsidR="00726AD5" w:rsidRPr="00500C4E" w14:paraId="5026F67B" w14:textId="77777777" w:rsidTr="00920905">
        <w:trPr>
          <w:trHeight w:val="20"/>
        </w:trPr>
        <w:tc>
          <w:tcPr>
            <w:tcW w:w="1548" w:type="pct"/>
          </w:tcPr>
          <w:p w14:paraId="5026F679" w14:textId="77777777" w:rsidR="00505CEC" w:rsidRPr="00897643" w:rsidRDefault="00505CEC" w:rsidP="00920905">
            <w:pPr>
              <w:rPr>
                <w:rFonts w:cs="Arial"/>
                <w:szCs w:val="20"/>
              </w:rPr>
            </w:pPr>
            <w:r w:rsidRPr="00897643">
              <w:rPr>
                <w:rFonts w:cs="Arial"/>
                <w:szCs w:val="20"/>
              </w:rPr>
              <w:t xml:space="preserve">DEER </w:t>
            </w:r>
            <w:r w:rsidR="009D10A4" w:rsidRPr="00897643">
              <w:rPr>
                <w:rFonts w:cs="Arial"/>
                <w:szCs w:val="20"/>
              </w:rPr>
              <w:t>eQUEST P</w:t>
            </w:r>
            <w:r w:rsidRPr="00897643">
              <w:rPr>
                <w:rFonts w:cs="Arial"/>
                <w:szCs w:val="20"/>
              </w:rPr>
              <w:t>rototype</w:t>
            </w:r>
            <w:r w:rsidR="009D10A4" w:rsidRPr="00897643">
              <w:rPr>
                <w:rFonts w:cs="Arial"/>
                <w:szCs w:val="20"/>
              </w:rPr>
              <w:t>s</w:t>
            </w:r>
          </w:p>
        </w:tc>
        <w:tc>
          <w:tcPr>
            <w:tcW w:w="3452" w:type="pct"/>
          </w:tcPr>
          <w:p w14:paraId="5026F67A" w14:textId="77777777" w:rsidR="00505CEC" w:rsidRPr="00897643" w:rsidDel="00505CEC" w:rsidRDefault="00505CEC" w:rsidP="00920905">
            <w:pPr>
              <w:rPr>
                <w:rFonts w:cs="Arial"/>
                <w:szCs w:val="20"/>
                <w:highlight w:val="yellow"/>
              </w:rPr>
            </w:pPr>
            <w:r w:rsidRPr="00897643">
              <w:rPr>
                <w:rFonts w:cs="Arial"/>
                <w:szCs w:val="20"/>
              </w:rPr>
              <w:t>No</w:t>
            </w:r>
          </w:p>
        </w:tc>
      </w:tr>
      <w:tr w:rsidR="00D86A9D" w:rsidRPr="00500C4E" w14:paraId="5026F67E" w14:textId="77777777" w:rsidTr="00920905">
        <w:trPr>
          <w:trHeight w:val="20"/>
        </w:trPr>
        <w:tc>
          <w:tcPr>
            <w:tcW w:w="1548" w:type="pct"/>
          </w:tcPr>
          <w:p w14:paraId="5026F67C" w14:textId="77777777" w:rsidR="00D86A9D" w:rsidRPr="00897643" w:rsidRDefault="00D86A9D" w:rsidP="00175D14">
            <w:pPr>
              <w:rPr>
                <w:rFonts w:cs="Arial"/>
                <w:szCs w:val="20"/>
              </w:rPr>
            </w:pPr>
            <w:r w:rsidRPr="00897643">
              <w:rPr>
                <w:rFonts w:cs="Arial"/>
                <w:szCs w:val="20"/>
              </w:rPr>
              <w:t>DEER Version</w:t>
            </w:r>
          </w:p>
        </w:tc>
        <w:tc>
          <w:tcPr>
            <w:tcW w:w="3452" w:type="pct"/>
          </w:tcPr>
          <w:p w14:paraId="5026F67D" w14:textId="77777777" w:rsidR="00D86A9D" w:rsidRPr="00897643" w:rsidRDefault="003950DC" w:rsidP="00175D14">
            <w:pPr>
              <w:rPr>
                <w:rFonts w:cs="Arial"/>
                <w:szCs w:val="20"/>
                <w:highlight w:val="yellow"/>
              </w:rPr>
            </w:pPr>
            <w:r w:rsidRPr="00897643">
              <w:rPr>
                <w:rFonts w:cstheme="minorHAnsi"/>
                <w:szCs w:val="20"/>
              </w:rPr>
              <w:t>DEER 2014, READI v2.4.7</w:t>
            </w:r>
          </w:p>
        </w:tc>
      </w:tr>
      <w:tr w:rsidR="00726AD5" w:rsidRPr="00500C4E" w14:paraId="5026F681" w14:textId="77777777" w:rsidTr="00D577A5">
        <w:trPr>
          <w:trHeight w:val="70"/>
        </w:trPr>
        <w:tc>
          <w:tcPr>
            <w:tcW w:w="1548" w:type="pct"/>
          </w:tcPr>
          <w:p w14:paraId="5026F67F" w14:textId="77777777" w:rsidR="00E326BA" w:rsidRPr="00897643" w:rsidRDefault="00E326BA" w:rsidP="00920905">
            <w:pPr>
              <w:rPr>
                <w:rFonts w:cs="Arial"/>
                <w:szCs w:val="20"/>
              </w:rPr>
            </w:pPr>
            <w:r w:rsidRPr="00897643">
              <w:rPr>
                <w:rFonts w:cs="Arial"/>
                <w:szCs w:val="20"/>
              </w:rPr>
              <w:t>Reason for Deviation from DEER</w:t>
            </w:r>
          </w:p>
        </w:tc>
        <w:tc>
          <w:tcPr>
            <w:tcW w:w="3452" w:type="pct"/>
          </w:tcPr>
          <w:p w14:paraId="5026F680" w14:textId="77777777" w:rsidR="00E326BA" w:rsidRPr="00897643" w:rsidRDefault="00E326BA" w:rsidP="00920905">
            <w:pPr>
              <w:rPr>
                <w:rFonts w:cs="Arial"/>
                <w:szCs w:val="20"/>
                <w:highlight w:val="yellow"/>
              </w:rPr>
            </w:pPr>
            <w:r w:rsidRPr="00897643">
              <w:rPr>
                <w:rFonts w:cs="Arial"/>
                <w:szCs w:val="20"/>
              </w:rPr>
              <w:t>DEER does n</w:t>
            </w:r>
            <w:r w:rsidR="00324088" w:rsidRPr="00897643">
              <w:rPr>
                <w:rFonts w:cs="Arial"/>
                <w:szCs w:val="20"/>
              </w:rPr>
              <w:t xml:space="preserve">ot contain this type of measure for the commercial sector </w:t>
            </w:r>
          </w:p>
        </w:tc>
      </w:tr>
      <w:tr w:rsidR="00726AD5" w:rsidRPr="00500C4E" w14:paraId="5026F684" w14:textId="77777777" w:rsidTr="00920905">
        <w:trPr>
          <w:trHeight w:val="20"/>
        </w:trPr>
        <w:tc>
          <w:tcPr>
            <w:tcW w:w="1548" w:type="pct"/>
          </w:tcPr>
          <w:p w14:paraId="5026F682" w14:textId="77777777" w:rsidR="00E326BA" w:rsidRPr="00897643" w:rsidRDefault="00E326BA" w:rsidP="00920905">
            <w:pPr>
              <w:rPr>
                <w:rFonts w:cs="Arial"/>
                <w:szCs w:val="20"/>
              </w:rPr>
            </w:pPr>
            <w:r w:rsidRPr="00897643">
              <w:rPr>
                <w:rFonts w:cs="Arial"/>
                <w:szCs w:val="20"/>
              </w:rPr>
              <w:t xml:space="preserve">DEER </w:t>
            </w:r>
            <w:r w:rsidR="009D10A4" w:rsidRPr="00897643">
              <w:rPr>
                <w:rFonts w:cs="Arial"/>
                <w:szCs w:val="20"/>
              </w:rPr>
              <w:t xml:space="preserve">Measure </w:t>
            </w:r>
            <w:r w:rsidRPr="00897643">
              <w:rPr>
                <w:rFonts w:cs="Arial"/>
                <w:szCs w:val="20"/>
              </w:rPr>
              <w:t>ID</w:t>
            </w:r>
            <w:r w:rsidR="009D10A4" w:rsidRPr="00897643">
              <w:rPr>
                <w:rFonts w:cs="Arial"/>
                <w:szCs w:val="20"/>
              </w:rPr>
              <w:t>s</w:t>
            </w:r>
            <w:r w:rsidR="007A5F52" w:rsidRPr="00897643">
              <w:rPr>
                <w:rFonts w:cs="Arial"/>
                <w:szCs w:val="20"/>
              </w:rPr>
              <w:t xml:space="preserve"> Used</w:t>
            </w:r>
          </w:p>
        </w:tc>
        <w:tc>
          <w:tcPr>
            <w:tcW w:w="3452" w:type="pct"/>
          </w:tcPr>
          <w:p w14:paraId="5026F683" w14:textId="77777777" w:rsidR="00E326BA" w:rsidRPr="00897643" w:rsidRDefault="00324088" w:rsidP="00920905">
            <w:pPr>
              <w:rPr>
                <w:rFonts w:cs="Arial"/>
                <w:szCs w:val="20"/>
                <w:highlight w:val="yellow"/>
              </w:rPr>
            </w:pPr>
            <w:r w:rsidRPr="00897643">
              <w:rPr>
                <w:rFonts w:cs="Arial"/>
                <w:szCs w:val="20"/>
              </w:rPr>
              <w:t>N/A</w:t>
            </w:r>
          </w:p>
        </w:tc>
      </w:tr>
    </w:tbl>
    <w:p w14:paraId="5026F685" w14:textId="77777777" w:rsidR="00472250" w:rsidRPr="00500C4E" w:rsidRDefault="00472250" w:rsidP="00920905">
      <w:pPr>
        <w:pStyle w:val="Caption"/>
        <w:keepNext/>
        <w:rPr>
          <w:rFonts w:cstheme="minorHAnsi"/>
          <w:b w:val="0"/>
          <w:i/>
          <w:szCs w:val="22"/>
        </w:rPr>
      </w:pPr>
    </w:p>
    <w:p w14:paraId="5026F686" w14:textId="77777777" w:rsidR="00B3210C"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5026F687" w14:textId="77777777" w:rsidR="00977655" w:rsidRPr="00920905" w:rsidRDefault="000968C6" w:rsidP="007B32C8">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5026F688" w14:textId="1033E130" w:rsidR="007B32C8" w:rsidRDefault="007B32C8" w:rsidP="007B32C8">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6</w:t>
      </w:r>
      <w:r w:rsidR="005A50B7">
        <w:rPr>
          <w:noProof/>
        </w:rPr>
        <w:fldChar w:fldCharType="end"/>
      </w:r>
      <w:r>
        <w:t>: NTG Values</w:t>
      </w:r>
    </w:p>
    <w:tbl>
      <w:tblPr>
        <w:tblStyle w:val="TableGrid1"/>
        <w:tblW w:w="5000" w:type="pct"/>
        <w:tblLayout w:type="fixed"/>
        <w:tblLook w:val="01E0" w:firstRow="1" w:lastRow="1" w:firstColumn="1" w:lastColumn="1" w:noHBand="0" w:noVBand="0"/>
      </w:tblPr>
      <w:tblGrid>
        <w:gridCol w:w="1526"/>
        <w:gridCol w:w="3508"/>
        <w:gridCol w:w="812"/>
        <w:gridCol w:w="989"/>
        <w:gridCol w:w="1711"/>
        <w:gridCol w:w="804"/>
      </w:tblGrid>
      <w:tr w:rsidR="005F69D5" w:rsidRPr="00500C4E" w14:paraId="5026F68F" w14:textId="77777777" w:rsidTr="00801D39">
        <w:tc>
          <w:tcPr>
            <w:tcW w:w="816" w:type="pct"/>
            <w:shd w:val="clear" w:color="auto" w:fill="D9D9D9" w:themeFill="background1" w:themeFillShade="D9"/>
          </w:tcPr>
          <w:p w14:paraId="5026F689"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6" w:type="pct"/>
            <w:shd w:val="clear" w:color="auto" w:fill="D9D9D9" w:themeFill="background1" w:themeFillShade="D9"/>
          </w:tcPr>
          <w:p w14:paraId="5026F68A"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026F68B"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026F68C"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26F68D"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5026F68E"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026F697" w14:textId="77777777" w:rsidTr="00801D39">
        <w:tc>
          <w:tcPr>
            <w:tcW w:w="816" w:type="pct"/>
          </w:tcPr>
          <w:p w14:paraId="5026F690" w14:textId="77777777" w:rsidR="00907697" w:rsidRPr="00F357D6" w:rsidRDefault="00977655" w:rsidP="005729C8">
            <w:pPr>
              <w:rPr>
                <w:szCs w:val="20"/>
              </w:rPr>
            </w:pPr>
            <w:r w:rsidRPr="00F357D6">
              <w:rPr>
                <w:szCs w:val="20"/>
              </w:rPr>
              <w:t>All-Default&lt;=2yrs</w:t>
            </w:r>
          </w:p>
        </w:tc>
        <w:tc>
          <w:tcPr>
            <w:tcW w:w="1876" w:type="pct"/>
          </w:tcPr>
          <w:p w14:paraId="5026F691" w14:textId="77777777" w:rsidR="00907697" w:rsidRPr="00F357D6" w:rsidRDefault="00977655" w:rsidP="005729C8">
            <w:pPr>
              <w:rPr>
                <w:szCs w:val="20"/>
              </w:rPr>
            </w:pPr>
            <w:r w:rsidRPr="00F357D6">
              <w:rPr>
                <w:szCs w:val="20"/>
              </w:rPr>
              <w:t>All other EEM with no evaluated NTGR; new technology in program for 2 or fewer years</w:t>
            </w:r>
          </w:p>
        </w:tc>
        <w:tc>
          <w:tcPr>
            <w:tcW w:w="434" w:type="pct"/>
          </w:tcPr>
          <w:p w14:paraId="228DEFEF" w14:textId="77777777" w:rsidR="00391FBB" w:rsidRDefault="00391FBB" w:rsidP="005729C8">
            <w:pPr>
              <w:rPr>
                <w:szCs w:val="20"/>
              </w:rPr>
            </w:pPr>
            <w:r>
              <w:rPr>
                <w:szCs w:val="20"/>
              </w:rPr>
              <w:t>Any</w:t>
            </w:r>
          </w:p>
          <w:p w14:paraId="5026F692" w14:textId="6865C044" w:rsidR="00907697" w:rsidRPr="00F357D6" w:rsidRDefault="00907697" w:rsidP="005729C8">
            <w:pPr>
              <w:rPr>
                <w:szCs w:val="20"/>
              </w:rPr>
            </w:pPr>
          </w:p>
        </w:tc>
        <w:tc>
          <w:tcPr>
            <w:tcW w:w="529" w:type="pct"/>
          </w:tcPr>
          <w:p w14:paraId="5026F693" w14:textId="77777777" w:rsidR="00907697" w:rsidRPr="00F357D6" w:rsidRDefault="00907697" w:rsidP="005729C8">
            <w:pPr>
              <w:rPr>
                <w:szCs w:val="20"/>
              </w:rPr>
            </w:pPr>
            <w:r w:rsidRPr="00F357D6">
              <w:rPr>
                <w:szCs w:val="20"/>
              </w:rPr>
              <w:t>Any</w:t>
            </w:r>
          </w:p>
        </w:tc>
        <w:tc>
          <w:tcPr>
            <w:tcW w:w="915" w:type="pct"/>
          </w:tcPr>
          <w:p w14:paraId="5026F694" w14:textId="77777777" w:rsidR="00907697" w:rsidRPr="00F357D6" w:rsidRDefault="00907697" w:rsidP="005729C8">
            <w:pPr>
              <w:rPr>
                <w:szCs w:val="20"/>
              </w:rPr>
            </w:pPr>
            <w:r w:rsidRPr="00F357D6">
              <w:rPr>
                <w:szCs w:val="20"/>
              </w:rPr>
              <w:t>Any</w:t>
            </w:r>
          </w:p>
        </w:tc>
        <w:tc>
          <w:tcPr>
            <w:tcW w:w="430" w:type="pct"/>
          </w:tcPr>
          <w:p w14:paraId="5026F695" w14:textId="77777777" w:rsidR="00907697" w:rsidRPr="00F357D6" w:rsidRDefault="00977655" w:rsidP="005729C8">
            <w:pPr>
              <w:rPr>
                <w:szCs w:val="20"/>
              </w:rPr>
            </w:pPr>
            <w:r w:rsidRPr="00F357D6">
              <w:rPr>
                <w:szCs w:val="20"/>
              </w:rPr>
              <w:t>0.7</w:t>
            </w:r>
          </w:p>
          <w:p w14:paraId="5026F696" w14:textId="77777777" w:rsidR="00977655" w:rsidRPr="00F357D6" w:rsidRDefault="00977655" w:rsidP="005729C8">
            <w:pPr>
              <w:rPr>
                <w:szCs w:val="20"/>
              </w:rPr>
            </w:pPr>
          </w:p>
        </w:tc>
      </w:tr>
    </w:tbl>
    <w:p w14:paraId="5026F69F" w14:textId="77777777" w:rsidR="005079C3" w:rsidRDefault="005079C3" w:rsidP="00977655">
      <w:pPr>
        <w:rPr>
          <w:bCs/>
          <w:color w:val="0070C0"/>
          <w:szCs w:val="20"/>
        </w:rPr>
      </w:pPr>
    </w:p>
    <w:p w14:paraId="5026F6A0" w14:textId="77777777" w:rsidR="00977655" w:rsidRPr="00897643" w:rsidRDefault="005079C3" w:rsidP="00977655">
      <w:pPr>
        <w:rPr>
          <w:bCs/>
          <w:szCs w:val="20"/>
        </w:rPr>
      </w:pPr>
      <w:r w:rsidRPr="00897643">
        <w:rPr>
          <w:bCs/>
          <w:szCs w:val="20"/>
        </w:rPr>
        <w:t xml:space="preserve">DEER </w:t>
      </w:r>
      <w:r w:rsidR="00977655" w:rsidRPr="00897643">
        <w:rPr>
          <w:bCs/>
          <w:szCs w:val="20"/>
        </w:rPr>
        <w:t xml:space="preserve">NTG values </w:t>
      </w:r>
      <w:r w:rsidRPr="00897643">
        <w:rPr>
          <w:bCs/>
          <w:szCs w:val="20"/>
        </w:rPr>
        <w:t xml:space="preserve">for aerators do not apply because those </w:t>
      </w:r>
      <w:r w:rsidR="00977655" w:rsidRPr="00897643">
        <w:rPr>
          <w:bCs/>
          <w:szCs w:val="20"/>
        </w:rPr>
        <w:t>are targeted for residential markets.</w:t>
      </w:r>
    </w:p>
    <w:p w14:paraId="5026F6A1" w14:textId="77777777" w:rsidR="00C018E0" w:rsidRPr="00920905" w:rsidRDefault="00C018E0" w:rsidP="000968C6">
      <w:pPr>
        <w:pStyle w:val="Reminders"/>
        <w:rPr>
          <w:rFonts w:asciiTheme="minorHAnsi" w:hAnsiTheme="minorHAnsi" w:cstheme="minorHAnsi"/>
          <w:i w:val="0"/>
          <w:szCs w:val="22"/>
        </w:rPr>
      </w:pPr>
    </w:p>
    <w:p w14:paraId="5026F6A2"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026F6A3"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5026F6A4" w14:textId="77777777" w:rsidR="003003EC" w:rsidRPr="00500C4E" w:rsidRDefault="003003EC" w:rsidP="000968C6">
      <w:pPr>
        <w:pStyle w:val="Reminders"/>
        <w:rPr>
          <w:rFonts w:asciiTheme="minorHAnsi" w:hAnsiTheme="minorHAnsi" w:cstheme="minorHAnsi"/>
          <w:i w:val="0"/>
          <w:color w:val="auto"/>
          <w:szCs w:val="22"/>
        </w:rPr>
      </w:pPr>
    </w:p>
    <w:p w14:paraId="5026F6A5" w14:textId="77777777" w:rsidR="009A320F" w:rsidRPr="00897643" w:rsidRDefault="00897643"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5026F6A6" w14:textId="77777777" w:rsidR="00581999" w:rsidRPr="00897643"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5026F6A7" w14:textId="77777777" w:rsidR="00CD1B6C" w:rsidRPr="00920905" w:rsidRDefault="00CD1B6C" w:rsidP="00920905">
      <w:pPr>
        <w:pStyle w:val="NoSpacing"/>
      </w:pPr>
    </w:p>
    <w:p w14:paraId="5026F6A8" w14:textId="03F0814E" w:rsidR="007B32C8" w:rsidRDefault="007B32C8" w:rsidP="007B32C8">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7</w:t>
      </w:r>
      <w:r w:rsidR="005A50B7">
        <w:rPr>
          <w:noProof/>
        </w:rPr>
        <w:fldChar w:fldCharType="end"/>
      </w:r>
      <w:r>
        <w:t>: IR Values</w:t>
      </w:r>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87393E" w14:paraId="5026F6AF" w14:textId="77777777" w:rsidTr="007B32C8">
        <w:tc>
          <w:tcPr>
            <w:tcW w:w="723" w:type="pct"/>
            <w:shd w:val="clear" w:color="auto" w:fill="D9D9D9" w:themeFill="background1" w:themeFillShade="D9"/>
          </w:tcPr>
          <w:p w14:paraId="5026F6A9"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5" w:type="pct"/>
            <w:shd w:val="clear" w:color="auto" w:fill="D9D9D9" w:themeFill="background1" w:themeFillShade="D9"/>
          </w:tcPr>
          <w:p w14:paraId="5026F6AA"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5026F6AB"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5026F6AC"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5026F6AD"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5026F6AE"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5026F6B6" w14:textId="77777777" w:rsidTr="007B32C8">
        <w:tc>
          <w:tcPr>
            <w:tcW w:w="723" w:type="pct"/>
          </w:tcPr>
          <w:p w14:paraId="5026F6B0" w14:textId="77777777" w:rsidR="002F4E34" w:rsidRPr="00897643" w:rsidRDefault="002F4E34" w:rsidP="005729C8">
            <w:pPr>
              <w:rPr>
                <w:szCs w:val="20"/>
              </w:rPr>
            </w:pPr>
            <w:r w:rsidRPr="00897643">
              <w:rPr>
                <w:szCs w:val="20"/>
              </w:rPr>
              <w:t>Def-GSIA</w:t>
            </w:r>
          </w:p>
        </w:tc>
        <w:tc>
          <w:tcPr>
            <w:tcW w:w="1405" w:type="pct"/>
          </w:tcPr>
          <w:p w14:paraId="5026F6B1" w14:textId="77777777" w:rsidR="002F4E34" w:rsidRPr="00897643" w:rsidRDefault="002F4E34" w:rsidP="005729C8">
            <w:pPr>
              <w:rPr>
                <w:szCs w:val="20"/>
              </w:rPr>
            </w:pPr>
            <w:r w:rsidRPr="00897643">
              <w:rPr>
                <w:szCs w:val="20"/>
              </w:rPr>
              <w:t>Default GSIA values</w:t>
            </w:r>
          </w:p>
        </w:tc>
        <w:tc>
          <w:tcPr>
            <w:tcW w:w="688" w:type="pct"/>
          </w:tcPr>
          <w:p w14:paraId="5026F6B2" w14:textId="77777777" w:rsidR="002F4E34" w:rsidRPr="00897643" w:rsidRDefault="002F4E34" w:rsidP="005729C8">
            <w:pPr>
              <w:rPr>
                <w:szCs w:val="20"/>
              </w:rPr>
            </w:pPr>
            <w:r w:rsidRPr="00897643">
              <w:rPr>
                <w:szCs w:val="20"/>
              </w:rPr>
              <w:t>Any</w:t>
            </w:r>
          </w:p>
        </w:tc>
        <w:tc>
          <w:tcPr>
            <w:tcW w:w="858" w:type="pct"/>
          </w:tcPr>
          <w:p w14:paraId="5026F6B3" w14:textId="77777777" w:rsidR="002F4E34" w:rsidRPr="00897643" w:rsidRDefault="002F4E34" w:rsidP="005729C8">
            <w:pPr>
              <w:rPr>
                <w:szCs w:val="20"/>
              </w:rPr>
            </w:pPr>
            <w:r w:rsidRPr="00897643">
              <w:rPr>
                <w:szCs w:val="20"/>
              </w:rPr>
              <w:t>Any</w:t>
            </w:r>
          </w:p>
        </w:tc>
        <w:tc>
          <w:tcPr>
            <w:tcW w:w="693" w:type="pct"/>
          </w:tcPr>
          <w:p w14:paraId="5026F6B4" w14:textId="77777777" w:rsidR="002F4E34" w:rsidRPr="00897643" w:rsidRDefault="002F4E34" w:rsidP="005729C8">
            <w:pPr>
              <w:rPr>
                <w:szCs w:val="20"/>
              </w:rPr>
            </w:pPr>
            <w:r w:rsidRPr="00897643">
              <w:rPr>
                <w:szCs w:val="20"/>
              </w:rPr>
              <w:t>Any</w:t>
            </w:r>
          </w:p>
        </w:tc>
        <w:tc>
          <w:tcPr>
            <w:tcW w:w="634" w:type="pct"/>
          </w:tcPr>
          <w:p w14:paraId="5026F6B5" w14:textId="77777777" w:rsidR="002F4E34" w:rsidRPr="00897643" w:rsidRDefault="002F4E34" w:rsidP="005729C8">
            <w:pPr>
              <w:rPr>
                <w:szCs w:val="20"/>
              </w:rPr>
            </w:pPr>
            <w:r w:rsidRPr="00897643">
              <w:rPr>
                <w:szCs w:val="20"/>
              </w:rPr>
              <w:t>1</w:t>
            </w:r>
          </w:p>
        </w:tc>
      </w:tr>
    </w:tbl>
    <w:p w14:paraId="5026F6B7" w14:textId="77777777" w:rsidR="006B4A48" w:rsidRPr="00B05647" w:rsidRDefault="009A320F" w:rsidP="009A320F">
      <w:pPr>
        <w:pStyle w:val="Reminders"/>
        <w:tabs>
          <w:tab w:val="left" w:pos="2520"/>
        </w:tabs>
        <w:rPr>
          <w:rFonts w:asciiTheme="minorHAnsi" w:hAnsiTheme="minorHAnsi" w:cstheme="minorHAnsi"/>
          <w:b/>
          <w:i w:val="0"/>
          <w:color w:val="auto"/>
          <w:szCs w:val="22"/>
        </w:rPr>
      </w:pPr>
      <w:r>
        <w:rPr>
          <w:rFonts w:asciiTheme="minorHAnsi" w:hAnsiTheme="minorHAnsi" w:cstheme="minorHAnsi"/>
          <w:b/>
          <w:i w:val="0"/>
          <w:color w:val="auto"/>
          <w:szCs w:val="22"/>
        </w:rPr>
        <w:tab/>
      </w:r>
    </w:p>
    <w:p w14:paraId="5026F6B8" w14:textId="77777777" w:rsidR="00897643" w:rsidRPr="00897643" w:rsidRDefault="00897643" w:rsidP="00897643">
      <w:pPr>
        <w:pStyle w:val="Reminders"/>
        <w:spacing w:before="0" w:after="0"/>
        <w:rPr>
          <w:rFonts w:asciiTheme="minorHAnsi" w:hAnsiTheme="minorHAnsi" w:cstheme="minorHAnsi"/>
          <w:i w:val="0"/>
          <w:color w:val="auto"/>
          <w:szCs w:val="22"/>
        </w:rPr>
      </w:pPr>
      <w:r w:rsidRPr="00897643">
        <w:rPr>
          <w:rFonts w:asciiTheme="minorHAnsi" w:hAnsiTheme="minorHAnsi" w:cstheme="minorHAnsi"/>
          <w:i w:val="0"/>
          <w:color w:val="auto"/>
          <w:szCs w:val="22"/>
        </w:rPr>
        <w:t>GSIA values for residential aerators were not used because they do not realistically re</w:t>
      </w:r>
      <w:r>
        <w:rPr>
          <w:rFonts w:asciiTheme="minorHAnsi" w:hAnsiTheme="minorHAnsi" w:cstheme="minorHAnsi"/>
          <w:i w:val="0"/>
          <w:color w:val="auto"/>
          <w:szCs w:val="22"/>
        </w:rPr>
        <w:t xml:space="preserve">present the commercial market. </w:t>
      </w:r>
    </w:p>
    <w:p w14:paraId="5026F6B9" w14:textId="77777777" w:rsidR="00897643" w:rsidRDefault="00897643" w:rsidP="00581999">
      <w:pPr>
        <w:rPr>
          <w:rFonts w:cstheme="minorHAnsi"/>
          <w:b/>
          <w:szCs w:val="22"/>
        </w:rPr>
      </w:pPr>
    </w:p>
    <w:p w14:paraId="5026F6BA" w14:textId="36C030B1" w:rsidR="003B5420" w:rsidRDefault="008B1357" w:rsidP="00581999">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48788E71" w14:textId="77777777" w:rsidR="00792B36" w:rsidRDefault="00792B36" w:rsidP="003B5420">
      <w:pPr>
        <w:pStyle w:val="Reminder"/>
        <w:spacing w:before="0" w:after="0"/>
        <w:rPr>
          <w:rFonts w:asciiTheme="minorHAnsi" w:hAnsiTheme="minorHAnsi" w:cstheme="minorHAnsi"/>
          <w:i w:val="0"/>
          <w:color w:val="auto"/>
          <w:szCs w:val="22"/>
        </w:rPr>
      </w:pPr>
    </w:p>
    <w:p w14:paraId="5026F6BE" w14:textId="014ED61C" w:rsidR="003B5420" w:rsidRPr="006D3D4C" w:rsidRDefault="003B5420" w:rsidP="003B5420">
      <w:pPr>
        <w:pStyle w:val="Reminder"/>
        <w:spacing w:before="0" w:after="0"/>
        <w:rPr>
          <w:rFonts w:asciiTheme="minorHAnsi" w:hAnsiTheme="minorHAnsi" w:cstheme="minorHAnsi"/>
          <w:i w:val="0"/>
          <w:color w:val="auto"/>
          <w:szCs w:val="22"/>
        </w:rPr>
      </w:pPr>
      <w:r w:rsidRPr="006D3D4C">
        <w:rPr>
          <w:rFonts w:asciiTheme="minorHAnsi" w:hAnsiTheme="minorHAnsi" w:cstheme="minorHAnsi"/>
          <w:i w:val="0"/>
          <w:color w:val="auto"/>
          <w:szCs w:val="22"/>
        </w:rPr>
        <w:t>Based on the most recent guidance from the CPUC, this measure’s Retrofit Add-on (REA) status dictates that the Remaining Useful Life (RUL) should be used for the savings calculations. The RUL is equal to 1/3 of the EUL of the device being modified by the</w:t>
      </w:r>
      <w:r w:rsidR="008F1614" w:rsidRPr="006D3D4C">
        <w:rPr>
          <w:rFonts w:asciiTheme="minorHAnsi" w:hAnsiTheme="minorHAnsi" w:cstheme="minorHAnsi"/>
          <w:i w:val="0"/>
          <w:color w:val="auto"/>
          <w:szCs w:val="22"/>
        </w:rPr>
        <w:t xml:space="preserve"> measure addition, in this case, </w:t>
      </w:r>
      <w:r w:rsidRPr="006D3D4C">
        <w:rPr>
          <w:rFonts w:asciiTheme="minorHAnsi" w:hAnsiTheme="minorHAnsi" w:cstheme="minorHAnsi"/>
          <w:i w:val="0"/>
          <w:color w:val="auto"/>
          <w:szCs w:val="22"/>
        </w:rPr>
        <w:t xml:space="preserve">the faucet. The EUL of a </w:t>
      </w:r>
      <w:r w:rsidRPr="006D3D4C">
        <w:rPr>
          <w:rFonts w:asciiTheme="minorHAnsi" w:hAnsiTheme="minorHAnsi" w:cstheme="minorHAnsi"/>
          <w:i w:val="0"/>
          <w:color w:val="auto"/>
          <w:szCs w:val="22"/>
        </w:rPr>
        <w:lastRenderedPageBreak/>
        <w:t>faucet is 20 years based on plumbing publications and manufacturer warranties.</w:t>
      </w:r>
      <w:r w:rsidRPr="006D3D4C">
        <w:rPr>
          <w:rStyle w:val="EndnoteReference"/>
          <w:rFonts w:asciiTheme="minorHAnsi" w:hAnsiTheme="minorHAnsi" w:cstheme="minorHAnsi"/>
          <w:i w:val="0"/>
          <w:color w:val="auto"/>
          <w:szCs w:val="22"/>
        </w:rPr>
        <w:endnoteReference w:id="3"/>
      </w:r>
      <w:r w:rsidRPr="006D3D4C">
        <w:rPr>
          <w:rFonts w:asciiTheme="minorHAnsi" w:hAnsiTheme="minorHAnsi" w:cstheme="minorHAnsi"/>
          <w:i w:val="0"/>
          <w:color w:val="auto"/>
          <w:szCs w:val="22"/>
          <w:vertAlign w:val="superscript"/>
        </w:rPr>
        <w:t xml:space="preserve"> </w:t>
      </w:r>
      <w:r w:rsidRPr="006D3D4C">
        <w:rPr>
          <w:rStyle w:val="EndnoteReference"/>
          <w:rFonts w:asciiTheme="minorHAnsi" w:hAnsiTheme="minorHAnsi" w:cstheme="minorHAnsi"/>
          <w:i w:val="0"/>
          <w:color w:val="auto"/>
          <w:szCs w:val="22"/>
        </w:rPr>
        <w:endnoteReference w:id="4"/>
      </w:r>
      <w:r w:rsidRPr="006D3D4C">
        <w:rPr>
          <w:rFonts w:asciiTheme="minorHAnsi" w:hAnsiTheme="minorHAnsi" w:cstheme="minorHAnsi"/>
          <w:i w:val="0"/>
          <w:color w:val="auto"/>
          <w:szCs w:val="22"/>
          <w:vertAlign w:val="superscript"/>
        </w:rPr>
        <w:t xml:space="preserve"> </w:t>
      </w:r>
      <w:r w:rsidRPr="006D3D4C">
        <w:rPr>
          <w:rStyle w:val="EndnoteReference"/>
          <w:rFonts w:asciiTheme="minorHAnsi" w:hAnsiTheme="minorHAnsi" w:cstheme="minorHAnsi"/>
          <w:i w:val="0"/>
          <w:color w:val="auto"/>
          <w:szCs w:val="22"/>
        </w:rPr>
        <w:endnoteReference w:id="5"/>
      </w:r>
      <w:r w:rsidR="008F1614" w:rsidRPr="006D3D4C">
        <w:rPr>
          <w:rFonts w:asciiTheme="minorHAnsi" w:hAnsiTheme="minorHAnsi" w:cstheme="minorHAnsi"/>
          <w:i w:val="0"/>
          <w:color w:val="auto"/>
          <w:szCs w:val="22"/>
        </w:rPr>
        <w:t xml:space="preserve"> From this, the RUL </w:t>
      </w:r>
      <w:r w:rsidRPr="006D3D4C">
        <w:rPr>
          <w:rFonts w:asciiTheme="minorHAnsi" w:hAnsiTheme="minorHAnsi" w:cstheme="minorHAnsi"/>
          <w:i w:val="0"/>
          <w:color w:val="auto"/>
          <w:szCs w:val="22"/>
        </w:rPr>
        <w:t xml:space="preserve">is determined to be 6.67 years. </w:t>
      </w:r>
    </w:p>
    <w:p w14:paraId="5026F6BF" w14:textId="77777777" w:rsidR="006D3D4C" w:rsidRDefault="006D3D4C" w:rsidP="00920905">
      <w:pPr>
        <w:pStyle w:val="NoSpacing"/>
        <w:rPr>
          <w:rFonts w:eastAsia="Times New Roman" w:cstheme="minorHAnsi"/>
          <w:color w:val="FF0000"/>
        </w:rPr>
      </w:pPr>
    </w:p>
    <w:p w14:paraId="5026F6C0" w14:textId="77777777" w:rsidR="00CD1B6C" w:rsidRPr="007D2744" w:rsidRDefault="006A6D15" w:rsidP="007D2744">
      <w:pPr>
        <w:pStyle w:val="NoSpacing"/>
      </w:pPr>
      <w:r w:rsidRPr="0087393E">
        <w:t>The relevant EUL and RUL values for the measures in this work paper are in the table below.</w:t>
      </w:r>
    </w:p>
    <w:p w14:paraId="3E95018A" w14:textId="37FE6731" w:rsidR="002F1771" w:rsidRDefault="002F1771" w:rsidP="00F000C4">
      <w:pPr>
        <w:pStyle w:val="Caption"/>
        <w:keepNext/>
      </w:pPr>
    </w:p>
    <w:p w14:paraId="5026F6C2" w14:textId="5DF5ED14" w:rsidR="007D2744" w:rsidRDefault="007D2744" w:rsidP="007D2744">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8</w:t>
      </w:r>
      <w:r w:rsidR="005A50B7">
        <w:rPr>
          <w:noProof/>
        </w:rPr>
        <w:fldChar w:fldCharType="end"/>
      </w:r>
      <w:r>
        <w:t>: EUL and RUL Values</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7D2744" w:rsidRPr="006D3D4C" w14:paraId="5026F6C9" w14:textId="77777777" w:rsidTr="00920905">
        <w:tc>
          <w:tcPr>
            <w:tcW w:w="824" w:type="pct"/>
            <w:shd w:val="clear" w:color="auto" w:fill="D9D9D9" w:themeFill="background1" w:themeFillShade="D9"/>
          </w:tcPr>
          <w:p w14:paraId="5026F6C3" w14:textId="77777777" w:rsidR="008B1357" w:rsidRPr="006D3D4C" w:rsidRDefault="008B1357" w:rsidP="00BA2E7E">
            <w:pPr>
              <w:rPr>
                <w:rFonts w:cstheme="minorHAnsi"/>
                <w:b/>
                <w:szCs w:val="20"/>
              </w:rPr>
            </w:pPr>
            <w:r w:rsidRPr="006D3D4C">
              <w:rPr>
                <w:rFonts w:cstheme="minorHAnsi"/>
                <w:b/>
                <w:szCs w:val="20"/>
              </w:rPr>
              <w:t>EUL ID</w:t>
            </w:r>
          </w:p>
        </w:tc>
        <w:tc>
          <w:tcPr>
            <w:tcW w:w="1436" w:type="pct"/>
            <w:shd w:val="clear" w:color="auto" w:fill="D9D9D9" w:themeFill="background1" w:themeFillShade="D9"/>
          </w:tcPr>
          <w:p w14:paraId="5026F6C4" w14:textId="77777777" w:rsidR="008B1357" w:rsidRPr="006D3D4C" w:rsidRDefault="008B1357" w:rsidP="00BA2E7E">
            <w:pPr>
              <w:rPr>
                <w:rFonts w:cstheme="minorHAnsi"/>
                <w:b/>
                <w:szCs w:val="20"/>
              </w:rPr>
            </w:pPr>
            <w:r w:rsidRPr="006D3D4C">
              <w:rPr>
                <w:rFonts w:cstheme="minorHAnsi"/>
                <w:b/>
                <w:szCs w:val="20"/>
              </w:rPr>
              <w:t>Description</w:t>
            </w:r>
          </w:p>
        </w:tc>
        <w:tc>
          <w:tcPr>
            <w:tcW w:w="474" w:type="pct"/>
            <w:shd w:val="clear" w:color="auto" w:fill="D9D9D9" w:themeFill="background1" w:themeFillShade="D9"/>
          </w:tcPr>
          <w:p w14:paraId="5026F6C5" w14:textId="77777777" w:rsidR="008B1357" w:rsidRPr="006D3D4C" w:rsidRDefault="008B1357" w:rsidP="00BA2E7E">
            <w:pPr>
              <w:rPr>
                <w:rFonts w:cstheme="minorHAnsi"/>
                <w:b/>
                <w:szCs w:val="20"/>
              </w:rPr>
            </w:pPr>
            <w:r w:rsidRPr="006D3D4C">
              <w:rPr>
                <w:rFonts w:cstheme="minorHAnsi"/>
                <w:b/>
                <w:szCs w:val="20"/>
              </w:rPr>
              <w:t>Sector</w:t>
            </w:r>
          </w:p>
        </w:tc>
        <w:tc>
          <w:tcPr>
            <w:tcW w:w="676" w:type="pct"/>
            <w:shd w:val="clear" w:color="auto" w:fill="D9D9D9" w:themeFill="background1" w:themeFillShade="D9"/>
          </w:tcPr>
          <w:p w14:paraId="5026F6C6" w14:textId="77777777" w:rsidR="008B1357" w:rsidRPr="006D3D4C" w:rsidRDefault="00BA2E7E" w:rsidP="00BA2E7E">
            <w:pPr>
              <w:rPr>
                <w:rFonts w:cstheme="minorHAnsi"/>
                <w:b/>
                <w:szCs w:val="20"/>
              </w:rPr>
            </w:pPr>
            <w:r w:rsidRPr="006D3D4C">
              <w:rPr>
                <w:rFonts w:cstheme="minorHAnsi"/>
                <w:b/>
                <w:szCs w:val="20"/>
              </w:rPr>
              <w:t>UseCategory</w:t>
            </w:r>
          </w:p>
        </w:tc>
        <w:tc>
          <w:tcPr>
            <w:tcW w:w="813" w:type="pct"/>
            <w:shd w:val="clear" w:color="auto" w:fill="D9D9D9" w:themeFill="background1" w:themeFillShade="D9"/>
          </w:tcPr>
          <w:p w14:paraId="5026F6C7" w14:textId="77777777" w:rsidR="008B1357" w:rsidRPr="006D3D4C" w:rsidRDefault="008B1357" w:rsidP="00BA2E7E">
            <w:pPr>
              <w:rPr>
                <w:rFonts w:cstheme="minorHAnsi"/>
                <w:b/>
                <w:szCs w:val="20"/>
              </w:rPr>
            </w:pPr>
            <w:r w:rsidRPr="006D3D4C">
              <w:rPr>
                <w:rFonts w:cstheme="minorHAnsi"/>
                <w:b/>
                <w:szCs w:val="20"/>
              </w:rPr>
              <w:t>EUL (Years)</w:t>
            </w:r>
          </w:p>
        </w:tc>
        <w:tc>
          <w:tcPr>
            <w:tcW w:w="777" w:type="pct"/>
            <w:shd w:val="clear" w:color="auto" w:fill="D9D9D9" w:themeFill="background1" w:themeFillShade="D9"/>
          </w:tcPr>
          <w:p w14:paraId="5026F6C8" w14:textId="77777777" w:rsidR="008B1357" w:rsidRPr="006D3D4C" w:rsidRDefault="008B1357" w:rsidP="00BA2E7E">
            <w:pPr>
              <w:rPr>
                <w:rFonts w:cstheme="minorHAnsi"/>
                <w:b/>
                <w:szCs w:val="20"/>
              </w:rPr>
            </w:pPr>
            <w:r w:rsidRPr="006D3D4C">
              <w:rPr>
                <w:rFonts w:cstheme="minorHAnsi"/>
                <w:b/>
                <w:szCs w:val="20"/>
              </w:rPr>
              <w:t>RUL (Years)</w:t>
            </w:r>
          </w:p>
        </w:tc>
      </w:tr>
      <w:tr w:rsidR="007D2744" w:rsidRPr="006D3D4C" w14:paraId="5026F6D0" w14:textId="77777777" w:rsidTr="00920905">
        <w:trPr>
          <w:trHeight w:val="243"/>
        </w:trPr>
        <w:tc>
          <w:tcPr>
            <w:tcW w:w="824" w:type="pct"/>
          </w:tcPr>
          <w:p w14:paraId="5026F6CA" w14:textId="77777777" w:rsidR="00BA2E7E" w:rsidRPr="006D3D4C" w:rsidRDefault="003B5420" w:rsidP="00BA2E7E">
            <w:pPr>
              <w:rPr>
                <w:szCs w:val="20"/>
              </w:rPr>
            </w:pPr>
            <w:r w:rsidRPr="006D3D4C">
              <w:rPr>
                <w:szCs w:val="20"/>
              </w:rPr>
              <w:t>WtrHt-WH-Faucet</w:t>
            </w:r>
          </w:p>
        </w:tc>
        <w:tc>
          <w:tcPr>
            <w:tcW w:w="1436" w:type="pct"/>
          </w:tcPr>
          <w:p w14:paraId="5026F6CB" w14:textId="77777777" w:rsidR="00BA2E7E" w:rsidRPr="006D3D4C" w:rsidRDefault="003B5420" w:rsidP="00BA2E7E">
            <w:pPr>
              <w:rPr>
                <w:szCs w:val="20"/>
              </w:rPr>
            </w:pPr>
            <w:r w:rsidRPr="006D3D4C">
              <w:rPr>
                <w:szCs w:val="20"/>
              </w:rPr>
              <w:t>Faucet Effective Useful Life</w:t>
            </w:r>
          </w:p>
        </w:tc>
        <w:tc>
          <w:tcPr>
            <w:tcW w:w="474" w:type="pct"/>
          </w:tcPr>
          <w:p w14:paraId="5026F6CC" w14:textId="77777777" w:rsidR="00BA2E7E" w:rsidRPr="006D3D4C" w:rsidRDefault="00BA2E7E" w:rsidP="00BA2E7E">
            <w:pPr>
              <w:rPr>
                <w:szCs w:val="20"/>
              </w:rPr>
            </w:pPr>
            <w:r w:rsidRPr="006D3D4C">
              <w:rPr>
                <w:szCs w:val="20"/>
              </w:rPr>
              <w:t>Com</w:t>
            </w:r>
          </w:p>
        </w:tc>
        <w:tc>
          <w:tcPr>
            <w:tcW w:w="676" w:type="pct"/>
          </w:tcPr>
          <w:p w14:paraId="5026F6CD" w14:textId="77777777" w:rsidR="00BA2E7E" w:rsidRPr="006D3D4C" w:rsidRDefault="003B5420" w:rsidP="00BA2E7E">
            <w:pPr>
              <w:rPr>
                <w:szCs w:val="20"/>
              </w:rPr>
            </w:pPr>
            <w:r w:rsidRPr="006D3D4C">
              <w:rPr>
                <w:szCs w:val="20"/>
              </w:rPr>
              <w:t>SHW</w:t>
            </w:r>
          </w:p>
        </w:tc>
        <w:tc>
          <w:tcPr>
            <w:tcW w:w="813" w:type="pct"/>
          </w:tcPr>
          <w:p w14:paraId="5026F6CE" w14:textId="77777777" w:rsidR="00BA2E7E" w:rsidRPr="006D3D4C" w:rsidRDefault="003B5420" w:rsidP="00BA2E7E">
            <w:pPr>
              <w:rPr>
                <w:szCs w:val="20"/>
              </w:rPr>
            </w:pPr>
            <w:r w:rsidRPr="006D3D4C">
              <w:rPr>
                <w:szCs w:val="20"/>
              </w:rPr>
              <w:t>20</w:t>
            </w:r>
          </w:p>
        </w:tc>
        <w:tc>
          <w:tcPr>
            <w:tcW w:w="777" w:type="pct"/>
          </w:tcPr>
          <w:p w14:paraId="5026F6CF" w14:textId="77777777" w:rsidR="00BA2E7E" w:rsidRPr="006D3D4C" w:rsidRDefault="003B5420" w:rsidP="00BA2E7E">
            <w:pPr>
              <w:rPr>
                <w:szCs w:val="20"/>
              </w:rPr>
            </w:pPr>
            <w:r w:rsidRPr="006D3D4C">
              <w:rPr>
                <w:szCs w:val="20"/>
              </w:rPr>
              <w:t>6.67</w:t>
            </w:r>
          </w:p>
        </w:tc>
      </w:tr>
    </w:tbl>
    <w:p w14:paraId="5026F6D1" w14:textId="77777777" w:rsidR="005220DD" w:rsidRPr="005220DD" w:rsidRDefault="00F06CCF" w:rsidP="005220DD">
      <w:pPr>
        <w:pStyle w:val="Heading3"/>
        <w:rPr>
          <w:rFonts w:asciiTheme="minorHAnsi" w:hAnsiTheme="minorHAnsi"/>
        </w:rPr>
      </w:pPr>
      <w:bookmarkStart w:id="20" w:name="_Toc478657387"/>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20"/>
      <w:r w:rsidR="00E16609" w:rsidRPr="00500C4E">
        <w:rPr>
          <w:rFonts w:asciiTheme="minorHAnsi" w:hAnsiTheme="minorHAnsi"/>
        </w:rPr>
        <w:t xml:space="preserve"> </w:t>
      </w:r>
      <w:bookmarkEnd w:id="19"/>
    </w:p>
    <w:p w14:paraId="5026F6D2" w14:textId="77777777" w:rsidR="00CD1B6C" w:rsidRPr="00CA66D3" w:rsidRDefault="005220DD" w:rsidP="00CA66D3">
      <w:pPr>
        <w:pStyle w:val="Reminders"/>
        <w:rPr>
          <w:rFonts w:asciiTheme="minorHAnsi" w:hAnsiTheme="minorHAnsi" w:cstheme="minorHAnsi"/>
          <w:i w:val="0"/>
          <w:color w:val="auto"/>
          <w:szCs w:val="22"/>
        </w:rPr>
      </w:pPr>
      <w:r w:rsidRPr="005220DD">
        <w:rPr>
          <w:rFonts w:asciiTheme="minorHAnsi" w:hAnsiTheme="minorHAnsi" w:cstheme="minorHAnsi"/>
          <w:i w:val="0"/>
          <w:color w:val="auto"/>
          <w:szCs w:val="22"/>
        </w:rPr>
        <w:t xml:space="preserve">Standards for plumbing fittings and fixtures are outlined in California’s Title 20 Appliance Efficiency Program Codes. </w:t>
      </w:r>
    </w:p>
    <w:p w14:paraId="5026F6D3" w14:textId="62D80E51" w:rsidR="00CA66D3" w:rsidRDefault="00CA66D3" w:rsidP="00CA66D3">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9</w:t>
      </w:r>
      <w:r w:rsidR="005A50B7">
        <w:rPr>
          <w:noProof/>
        </w:rPr>
        <w:fldChar w:fldCharType="end"/>
      </w:r>
      <w:r>
        <w:t>: Code Summary</w:t>
      </w:r>
    </w:p>
    <w:tbl>
      <w:tblPr>
        <w:tblStyle w:val="TableGrid1"/>
        <w:tblW w:w="5000" w:type="pct"/>
        <w:tblLook w:val="04A0" w:firstRow="1" w:lastRow="0" w:firstColumn="1" w:lastColumn="0" w:noHBand="0" w:noVBand="1"/>
      </w:tblPr>
      <w:tblGrid>
        <w:gridCol w:w="2159"/>
        <w:gridCol w:w="5070"/>
        <w:gridCol w:w="2121"/>
      </w:tblGrid>
      <w:tr w:rsidR="00CA66D3" w:rsidRPr="005220DD" w14:paraId="5026F6D7" w14:textId="77777777" w:rsidTr="00920905">
        <w:tc>
          <w:tcPr>
            <w:tcW w:w="1155" w:type="pct"/>
            <w:shd w:val="clear" w:color="auto" w:fill="D9D9D9" w:themeFill="background1" w:themeFillShade="D9"/>
          </w:tcPr>
          <w:p w14:paraId="5026F6D4" w14:textId="77777777" w:rsidR="00881A42" w:rsidRPr="005220DD" w:rsidRDefault="00881A42" w:rsidP="00DF0D19">
            <w:pPr>
              <w:rPr>
                <w:rFonts w:cstheme="minorHAnsi"/>
                <w:b/>
                <w:szCs w:val="20"/>
              </w:rPr>
            </w:pPr>
            <w:r w:rsidRPr="005220DD">
              <w:rPr>
                <w:rFonts w:cstheme="minorHAnsi"/>
                <w:b/>
                <w:szCs w:val="20"/>
              </w:rPr>
              <w:t>Code</w:t>
            </w:r>
          </w:p>
        </w:tc>
        <w:tc>
          <w:tcPr>
            <w:tcW w:w="2711" w:type="pct"/>
            <w:shd w:val="clear" w:color="auto" w:fill="D9D9D9" w:themeFill="background1" w:themeFillShade="D9"/>
          </w:tcPr>
          <w:p w14:paraId="5026F6D5" w14:textId="77777777" w:rsidR="00881A42" w:rsidRPr="005220DD" w:rsidRDefault="00B614F1">
            <w:pPr>
              <w:rPr>
                <w:rFonts w:cstheme="minorHAnsi"/>
                <w:b/>
                <w:szCs w:val="20"/>
              </w:rPr>
            </w:pPr>
            <w:r w:rsidRPr="005220DD">
              <w:rPr>
                <w:rFonts w:cstheme="minorHAnsi"/>
                <w:b/>
                <w:szCs w:val="20"/>
              </w:rPr>
              <w:t>R</w:t>
            </w:r>
            <w:r w:rsidR="00881A42" w:rsidRPr="005220DD">
              <w:rPr>
                <w:rFonts w:cstheme="minorHAnsi"/>
                <w:b/>
                <w:szCs w:val="20"/>
              </w:rPr>
              <w:t>eference</w:t>
            </w:r>
          </w:p>
        </w:tc>
        <w:tc>
          <w:tcPr>
            <w:tcW w:w="1134" w:type="pct"/>
            <w:shd w:val="clear" w:color="auto" w:fill="D9D9D9" w:themeFill="background1" w:themeFillShade="D9"/>
          </w:tcPr>
          <w:p w14:paraId="5026F6D6" w14:textId="77777777" w:rsidR="00881A42" w:rsidRPr="005220DD" w:rsidRDefault="00881A42" w:rsidP="00DF0D19">
            <w:pPr>
              <w:rPr>
                <w:rFonts w:cstheme="minorHAnsi"/>
                <w:b/>
                <w:szCs w:val="20"/>
              </w:rPr>
            </w:pPr>
            <w:r w:rsidRPr="005220DD">
              <w:rPr>
                <w:rFonts w:cstheme="minorHAnsi"/>
                <w:b/>
                <w:szCs w:val="20"/>
              </w:rPr>
              <w:t>Effective Date</w:t>
            </w:r>
            <w:r w:rsidR="00CB04D2" w:rsidRPr="005220DD">
              <w:rPr>
                <w:rFonts w:cstheme="minorHAnsi"/>
                <w:b/>
                <w:szCs w:val="20"/>
              </w:rPr>
              <w:t>s</w:t>
            </w:r>
          </w:p>
        </w:tc>
      </w:tr>
      <w:tr w:rsidR="00CA66D3" w:rsidRPr="005220DD" w14:paraId="5026F6DB" w14:textId="77777777" w:rsidTr="00920905">
        <w:trPr>
          <w:trHeight w:val="243"/>
        </w:trPr>
        <w:tc>
          <w:tcPr>
            <w:tcW w:w="1155" w:type="pct"/>
          </w:tcPr>
          <w:p w14:paraId="5026F6D8" w14:textId="77777777" w:rsidR="00881A42" w:rsidRPr="005220DD" w:rsidRDefault="004B0D92" w:rsidP="00DF0D19">
            <w:pPr>
              <w:rPr>
                <w:rFonts w:cstheme="minorHAnsi"/>
                <w:szCs w:val="20"/>
              </w:rPr>
            </w:pPr>
            <w:r w:rsidRPr="005220DD">
              <w:rPr>
                <w:rFonts w:cstheme="minorHAnsi"/>
                <w:szCs w:val="20"/>
              </w:rPr>
              <w:t>Title 20 (2016</w:t>
            </w:r>
            <w:r w:rsidR="002C6C7A" w:rsidRPr="005220DD">
              <w:rPr>
                <w:rFonts w:cstheme="minorHAnsi"/>
                <w:szCs w:val="20"/>
              </w:rPr>
              <w:t>)</w:t>
            </w:r>
          </w:p>
        </w:tc>
        <w:tc>
          <w:tcPr>
            <w:tcW w:w="2711" w:type="pct"/>
          </w:tcPr>
          <w:p w14:paraId="5026F6D9" w14:textId="77777777" w:rsidR="00881A42" w:rsidRPr="005220DD" w:rsidRDefault="004B0D92" w:rsidP="00DF0D19">
            <w:pPr>
              <w:rPr>
                <w:rFonts w:cstheme="minorHAnsi"/>
                <w:szCs w:val="20"/>
              </w:rPr>
            </w:pPr>
            <w:r w:rsidRPr="005220DD">
              <w:rPr>
                <w:rFonts w:cstheme="minorHAnsi"/>
                <w:szCs w:val="20"/>
              </w:rPr>
              <w:t>Section 1605.1(h). Plumbing Fittings</w:t>
            </w:r>
          </w:p>
        </w:tc>
        <w:tc>
          <w:tcPr>
            <w:tcW w:w="1134" w:type="pct"/>
          </w:tcPr>
          <w:p w14:paraId="5026F6DA" w14:textId="77777777" w:rsidR="00881A42" w:rsidRPr="005220DD" w:rsidRDefault="00B3210C" w:rsidP="00DF0D19">
            <w:pPr>
              <w:rPr>
                <w:rFonts w:cstheme="minorHAnsi"/>
                <w:szCs w:val="20"/>
              </w:rPr>
            </w:pPr>
            <w:r w:rsidRPr="005220DD">
              <w:rPr>
                <w:rFonts w:cstheme="minorHAnsi"/>
                <w:szCs w:val="20"/>
              </w:rPr>
              <w:t xml:space="preserve">July </w:t>
            </w:r>
            <w:r w:rsidR="004B0D92" w:rsidRPr="005220DD">
              <w:rPr>
                <w:rFonts w:cstheme="minorHAnsi"/>
                <w:szCs w:val="20"/>
              </w:rPr>
              <w:t>1, 2016</w:t>
            </w:r>
          </w:p>
        </w:tc>
      </w:tr>
    </w:tbl>
    <w:p w14:paraId="5026F6DC" w14:textId="77777777" w:rsidR="00E0502B" w:rsidRDefault="00E0502B" w:rsidP="005220DD">
      <w:pPr>
        <w:rPr>
          <w:rFonts w:ascii="Arial Narrow" w:hAnsi="Arial Narrow" w:cs="Arial"/>
          <w:b/>
          <w:bCs/>
          <w:iCs/>
          <w:smallCaps/>
          <w:sz w:val="28"/>
          <w:szCs w:val="28"/>
        </w:rPr>
      </w:pPr>
      <w:bookmarkStart w:id="21" w:name="_Toc304800207"/>
      <w:bookmarkStart w:id="22" w:name="_Toc324318343"/>
      <w:bookmarkStart w:id="23" w:name="_Toc324340487"/>
      <w:bookmarkStart w:id="24" w:name="_Toc383441992"/>
      <w:bookmarkStart w:id="25" w:name="_Toc214003090"/>
    </w:p>
    <w:p w14:paraId="5026F6DD" w14:textId="72EB288A" w:rsidR="005220DD" w:rsidRPr="00AC79CF" w:rsidRDefault="00931249" w:rsidP="005220DD">
      <w:pPr>
        <w:rPr>
          <w:color w:val="0070C0"/>
        </w:rPr>
      </w:pPr>
      <w:r>
        <w:t xml:space="preserve">Applicable codes for this measure are </w:t>
      </w:r>
      <w:r w:rsidR="005220DD" w:rsidRPr="001B4F80">
        <w:t>stipulated in</w:t>
      </w:r>
      <w:r w:rsidR="00724FA7">
        <w:t xml:space="preserve"> </w:t>
      </w:r>
      <w:r w:rsidR="005220DD" w:rsidRPr="001B4F80">
        <w:t>Title 20 of the California Code of Regulations</w:t>
      </w:r>
      <w:r w:rsidR="00724FA7">
        <w:t xml:space="preserve"> Table H-3 and H-4 </w:t>
      </w:r>
      <w:r w:rsidR="00486933" w:rsidRPr="001B4F80">
        <w:t xml:space="preserve">in </w:t>
      </w:r>
      <w:r w:rsidR="001B4F80" w:rsidRPr="001B4F80">
        <w:rPr>
          <w:b/>
          <w:i/>
        </w:rPr>
        <w:fldChar w:fldCharType="begin"/>
      </w:r>
      <w:r w:rsidR="001B4F80" w:rsidRPr="001B4F80">
        <w:rPr>
          <w:b/>
          <w:i/>
        </w:rPr>
        <w:instrText xml:space="preserve"> REF _Ref478049343 \h  \* MERGEFORMAT </w:instrText>
      </w:r>
      <w:r w:rsidR="001B4F80" w:rsidRPr="001B4F80">
        <w:rPr>
          <w:b/>
          <w:i/>
        </w:rPr>
      </w:r>
      <w:r w:rsidR="001B4F80" w:rsidRPr="001B4F80">
        <w:rPr>
          <w:b/>
          <w:i/>
        </w:rPr>
        <w:fldChar w:fldCharType="separate"/>
      </w:r>
      <w:r w:rsidR="001B4F80" w:rsidRPr="001B4F80">
        <w:rPr>
          <w:b/>
          <w:i/>
        </w:rPr>
        <w:t xml:space="preserve">Figure </w:t>
      </w:r>
      <w:r w:rsidR="001B4F80" w:rsidRPr="001B4F80">
        <w:rPr>
          <w:b/>
          <w:i/>
          <w:noProof/>
        </w:rPr>
        <w:t>1</w:t>
      </w:r>
      <w:r w:rsidR="001B4F80" w:rsidRPr="001B4F80">
        <w:rPr>
          <w:b/>
          <w:i/>
        </w:rPr>
        <w:fldChar w:fldCharType="end"/>
      </w:r>
      <w:r w:rsidR="00486933" w:rsidRPr="001B4F80">
        <w:t xml:space="preserve">. </w:t>
      </w:r>
      <w:r w:rsidR="00067F26">
        <w:t xml:space="preserve">A </w:t>
      </w:r>
      <w:r w:rsidR="00501F39" w:rsidRPr="00067F26">
        <w:t xml:space="preserve">2.2 GPM maximum flow rate or greater is used as an eligibility requirement for this measure but is not used as a baseline in the savings calculations due to the strong evidence of higher pre-existing faucet flow rates from the results of the studies in </w:t>
      </w:r>
      <w:r w:rsidR="00501F39" w:rsidRPr="00067F26">
        <w:rPr>
          <w:b/>
          <w:i/>
        </w:rPr>
        <w:t xml:space="preserve">Section </w:t>
      </w:r>
      <w:r w:rsidR="00501F39" w:rsidRPr="00067F26">
        <w:rPr>
          <w:b/>
          <w:i/>
        </w:rPr>
        <w:fldChar w:fldCharType="begin"/>
      </w:r>
      <w:r w:rsidR="00501F39" w:rsidRPr="00067F26">
        <w:rPr>
          <w:b/>
          <w:i/>
        </w:rPr>
        <w:instrText xml:space="preserve"> REF _Ref478384482 \h  \* MERGEFORMAT </w:instrText>
      </w:r>
      <w:r w:rsidR="00501F39" w:rsidRPr="00067F26">
        <w:rPr>
          <w:b/>
          <w:i/>
        </w:rPr>
      </w:r>
      <w:r w:rsidR="00501F39" w:rsidRPr="00067F26">
        <w:rPr>
          <w:b/>
          <w:i/>
        </w:rPr>
        <w:fldChar w:fldCharType="separate"/>
      </w:r>
      <w:r w:rsidR="00501F39" w:rsidRPr="00067F26">
        <w:rPr>
          <w:rFonts w:cstheme="minorHAnsi"/>
          <w:b/>
          <w:i/>
        </w:rPr>
        <w:t>1.5.</w:t>
      </w:r>
      <w:r w:rsidR="00501F39" w:rsidRPr="00067F26">
        <w:rPr>
          <w:b/>
          <w:i/>
        </w:rPr>
        <w:fldChar w:fldCharType="end"/>
      </w:r>
      <w:r w:rsidR="00501F39" w:rsidRPr="00067F26">
        <w:t xml:space="preserve"> </w:t>
      </w:r>
    </w:p>
    <w:p w14:paraId="5026F6DE" w14:textId="77777777" w:rsidR="00CC49E1" w:rsidRDefault="00CC49E1" w:rsidP="005220DD"/>
    <w:p w14:paraId="5026F6DF" w14:textId="44789C29" w:rsidR="00CA66D3" w:rsidRDefault="00CC49E1" w:rsidP="00526E1B">
      <w:pPr>
        <w:keepNext/>
        <w:jc w:val="center"/>
      </w:pPr>
      <w:r>
        <w:rPr>
          <w:noProof/>
        </w:rPr>
        <w:drawing>
          <wp:inline distT="0" distB="0" distL="0" distR="0" wp14:anchorId="5026F8D9" wp14:editId="49ABCBA4">
            <wp:extent cx="4081193" cy="3807735"/>
            <wp:effectExtent l="0" t="0" r="0" b="2540"/>
            <wp:docPr id="2" name="Picture 2" descr="cid:image001.png@01D235CA.4D94F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35CA.4D94F7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171365" cy="3891865"/>
                    </a:xfrm>
                    <a:prstGeom prst="rect">
                      <a:avLst/>
                    </a:prstGeom>
                    <a:noFill/>
                    <a:ln>
                      <a:noFill/>
                    </a:ln>
                  </pic:spPr>
                </pic:pic>
              </a:graphicData>
            </a:graphic>
          </wp:inline>
        </w:drawing>
      </w:r>
    </w:p>
    <w:p w14:paraId="5026F6E0" w14:textId="2E18FF48" w:rsidR="00CC49E1" w:rsidRPr="00E32B05" w:rsidRDefault="00CA66D3" w:rsidP="00CA66D3">
      <w:pPr>
        <w:pStyle w:val="Caption"/>
        <w:jc w:val="center"/>
      </w:pPr>
      <w:bookmarkStart w:id="26" w:name="_Ref478049343"/>
      <w:r w:rsidRPr="00E32B05">
        <w:t xml:space="preserve">Figure </w:t>
      </w:r>
      <w:r w:rsidR="005A50B7">
        <w:fldChar w:fldCharType="begin"/>
      </w:r>
      <w:r w:rsidR="005A50B7">
        <w:instrText xml:space="preserve"> SEQ Figure \* ARABIC </w:instrText>
      </w:r>
      <w:r w:rsidR="005A50B7">
        <w:fldChar w:fldCharType="separate"/>
      </w:r>
      <w:r w:rsidR="00FF1788">
        <w:rPr>
          <w:noProof/>
        </w:rPr>
        <w:t>1</w:t>
      </w:r>
      <w:r w:rsidR="005A50B7">
        <w:rPr>
          <w:noProof/>
        </w:rPr>
        <w:fldChar w:fldCharType="end"/>
      </w:r>
      <w:bookmarkEnd w:id="26"/>
      <w:r w:rsidRPr="00E32B05">
        <w:t>: Title 20 Standards for Faucets and Aerators</w:t>
      </w:r>
    </w:p>
    <w:p w14:paraId="5026F6E1" w14:textId="77777777" w:rsidR="00572D2F" w:rsidRDefault="00572D2F" w:rsidP="00920905">
      <w:pPr>
        <w:pStyle w:val="Heading2"/>
        <w:rPr>
          <w:rFonts w:asciiTheme="minorHAnsi" w:hAnsiTheme="minorHAnsi" w:cstheme="minorHAnsi"/>
        </w:rPr>
      </w:pPr>
      <w:bookmarkStart w:id="27" w:name="_Ref478384482"/>
      <w:bookmarkStart w:id="28" w:name="_Toc478657388"/>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1"/>
      <w:bookmarkEnd w:id="22"/>
      <w:bookmarkEnd w:id="23"/>
      <w:bookmarkEnd w:id="24"/>
      <w:bookmarkEnd w:id="27"/>
      <w:bookmarkEnd w:id="28"/>
    </w:p>
    <w:p w14:paraId="3B69C5A8" w14:textId="421D7815" w:rsidR="00A50AFC" w:rsidRPr="001166B2" w:rsidRDefault="00A50AFC" w:rsidP="00920905">
      <w:pPr>
        <w:pStyle w:val="NoSpacing"/>
      </w:pPr>
      <w:r w:rsidRPr="001166B2">
        <w:t xml:space="preserve">The following studies were conducted to estimate baseline water and gas consumption for lavatory faucets in a variety of commercial building types. The results of these studies influence the underlying assumptions used in the savings calculations </w:t>
      </w:r>
      <w:r w:rsidR="001166B2">
        <w:t xml:space="preserve">as seen </w:t>
      </w:r>
      <w:r w:rsidRPr="001166B2">
        <w:t>in</w:t>
      </w:r>
      <w:r w:rsidR="00811C95">
        <w:t xml:space="preserve"> </w:t>
      </w:r>
      <w:r w:rsidR="00811C95" w:rsidRPr="00811C95">
        <w:rPr>
          <w:b/>
          <w:i/>
        </w:rPr>
        <w:fldChar w:fldCharType="begin"/>
      </w:r>
      <w:r w:rsidR="00811C95" w:rsidRPr="00811C95">
        <w:rPr>
          <w:b/>
          <w:i/>
        </w:rPr>
        <w:instrText xml:space="preserve"> REF _Ref478128909 \h  \* MERGEFORMAT </w:instrText>
      </w:r>
      <w:r w:rsidR="00811C95" w:rsidRPr="00811C95">
        <w:rPr>
          <w:b/>
          <w:i/>
        </w:rPr>
      </w:r>
      <w:r w:rsidR="00811C95" w:rsidRPr="00811C95">
        <w:rPr>
          <w:b/>
          <w:i/>
        </w:rPr>
        <w:fldChar w:fldCharType="separate"/>
      </w:r>
      <w:r w:rsidR="00811C95" w:rsidRPr="00811C95">
        <w:rPr>
          <w:rFonts w:cstheme="minorHAnsi"/>
          <w:b/>
          <w:i/>
        </w:rPr>
        <w:t xml:space="preserve">Section </w:t>
      </w:r>
      <w:r w:rsidR="001B307C">
        <w:rPr>
          <w:rFonts w:cstheme="minorHAnsi"/>
          <w:b/>
          <w:i/>
        </w:rPr>
        <w:t>2</w:t>
      </w:r>
      <w:r w:rsidR="00811C95" w:rsidRPr="00811C95">
        <w:rPr>
          <w:b/>
          <w:i/>
        </w:rPr>
        <w:fldChar w:fldCharType="end"/>
      </w:r>
      <w:r w:rsidRPr="001166B2">
        <w:t xml:space="preserve">. </w:t>
      </w:r>
    </w:p>
    <w:p w14:paraId="5026F6EB" w14:textId="017EB3A1" w:rsidR="00A1779C" w:rsidRDefault="00572D2F" w:rsidP="00A1779C">
      <w:pPr>
        <w:pStyle w:val="Heading3"/>
        <w:rPr>
          <w:rFonts w:asciiTheme="minorHAnsi" w:hAnsiTheme="minorHAnsi"/>
          <w:color w:val="0070C0"/>
        </w:rPr>
      </w:pPr>
      <w:bookmarkStart w:id="29" w:name="_Toc478657389"/>
      <w:r w:rsidRPr="00920905">
        <w:rPr>
          <w:rFonts w:asciiTheme="minorHAnsi" w:hAnsiTheme="minorHAnsi"/>
        </w:rPr>
        <w:t>1.</w:t>
      </w:r>
      <w:r w:rsidR="00A4411F" w:rsidRPr="00920905">
        <w:rPr>
          <w:rFonts w:asciiTheme="minorHAnsi" w:hAnsiTheme="minorHAnsi"/>
        </w:rPr>
        <w:t>5.1</w:t>
      </w:r>
      <w:r w:rsidR="003A5116">
        <w:rPr>
          <w:rFonts w:asciiTheme="minorHAnsi" w:hAnsiTheme="minorHAnsi"/>
        </w:rPr>
        <w:t xml:space="preserve"> </w:t>
      </w:r>
      <w:r w:rsidR="002B3D04" w:rsidRPr="008D7409">
        <w:rPr>
          <w:rFonts w:asciiTheme="minorHAnsi" w:hAnsiTheme="minorHAnsi"/>
          <w:color w:val="000000" w:themeColor="text1"/>
        </w:rPr>
        <w:t>Savings Calculations</w:t>
      </w:r>
      <w:r w:rsidR="00067F26">
        <w:rPr>
          <w:rFonts w:asciiTheme="minorHAnsi" w:hAnsiTheme="minorHAnsi"/>
          <w:color w:val="000000" w:themeColor="text1"/>
        </w:rPr>
        <w:t xml:space="preserve"> for Commercial Faucet Aerator: </w:t>
      </w:r>
      <w:r w:rsidR="002B3D04" w:rsidRPr="008D7409">
        <w:rPr>
          <w:rFonts w:asciiTheme="minorHAnsi" w:hAnsiTheme="minorHAnsi"/>
          <w:color w:val="000000" w:themeColor="text1"/>
        </w:rPr>
        <w:t>Baseline Water and Gas Consumption Estimates for Commercial Hot Water Applications</w:t>
      </w:r>
      <w:bookmarkEnd w:id="29"/>
      <w:r w:rsidR="001A1B6F" w:rsidRPr="008D7409">
        <w:rPr>
          <w:rFonts w:asciiTheme="minorHAnsi" w:hAnsiTheme="minorHAnsi"/>
          <w:color w:val="000000" w:themeColor="text1"/>
        </w:rPr>
        <w:t xml:space="preserve"> </w:t>
      </w:r>
    </w:p>
    <w:p w14:paraId="5026F6EC" w14:textId="77777777" w:rsidR="00A1779C" w:rsidRPr="00A1779C" w:rsidRDefault="00A1779C" w:rsidP="00A1779C"/>
    <w:p w14:paraId="5026F6ED" w14:textId="77777777" w:rsidR="008156D1" w:rsidRDefault="00A1779C" w:rsidP="00A1779C">
      <w:pPr>
        <w:rPr>
          <w:rFonts w:cs="Arial"/>
          <w:b/>
          <w:szCs w:val="22"/>
        </w:rPr>
      </w:pPr>
      <w:r w:rsidRPr="001D35E9">
        <w:rPr>
          <w:rFonts w:cs="Arial"/>
          <w:b/>
          <w:szCs w:val="22"/>
        </w:rPr>
        <w:t>Overview</w:t>
      </w:r>
    </w:p>
    <w:p w14:paraId="5026F6EE" w14:textId="77777777" w:rsidR="00CD3D67" w:rsidRPr="006A4356" w:rsidRDefault="00CD3D67" w:rsidP="00A1779C">
      <w:pPr>
        <w:rPr>
          <w:rFonts w:cs="Arial"/>
          <w:color w:val="000000" w:themeColor="text1"/>
          <w:szCs w:val="22"/>
        </w:rPr>
      </w:pPr>
      <w:r w:rsidRPr="006A4356">
        <w:rPr>
          <w:rFonts w:cs="Arial"/>
          <w:color w:val="000000" w:themeColor="text1"/>
          <w:szCs w:val="22"/>
        </w:rPr>
        <w:t xml:space="preserve">Baseline water and gas consumption </w:t>
      </w:r>
      <w:r w:rsidR="00233134" w:rsidRPr="006A4356">
        <w:rPr>
          <w:rFonts w:cs="Arial"/>
          <w:color w:val="000000" w:themeColor="text1"/>
          <w:szCs w:val="22"/>
        </w:rPr>
        <w:t xml:space="preserve">for lavatory faucets </w:t>
      </w:r>
      <w:r w:rsidRPr="006A4356">
        <w:rPr>
          <w:rFonts w:cs="Arial"/>
          <w:color w:val="000000" w:themeColor="text1"/>
          <w:szCs w:val="22"/>
        </w:rPr>
        <w:t xml:space="preserve">were estimated for 8 commercial facilities (5 hotels, 2 schools, 1 restaurant). These estimates were prepared by CLEAResult in March 2016 and were determined by reviewing multiple studies on water consumption in commercial buildings. The purpose of this study was to establish baseline </w:t>
      </w:r>
      <w:r w:rsidR="00233134" w:rsidRPr="006A4356">
        <w:rPr>
          <w:rFonts w:cs="Arial"/>
          <w:color w:val="000000" w:themeColor="text1"/>
          <w:szCs w:val="22"/>
        </w:rPr>
        <w:t xml:space="preserve">consumption values </w:t>
      </w:r>
      <w:r w:rsidRPr="006A4356">
        <w:rPr>
          <w:rFonts w:cs="Arial"/>
          <w:color w:val="000000" w:themeColor="text1"/>
          <w:szCs w:val="22"/>
        </w:rPr>
        <w:t xml:space="preserve">and </w:t>
      </w:r>
      <w:r w:rsidR="005C2260" w:rsidRPr="006A4356">
        <w:rPr>
          <w:rFonts w:cs="Arial"/>
          <w:color w:val="000000" w:themeColor="text1"/>
          <w:szCs w:val="22"/>
        </w:rPr>
        <w:t xml:space="preserve">estimate the savings that occur from the installation of low-flow faucet aerators. </w:t>
      </w:r>
    </w:p>
    <w:p w14:paraId="5026F6EF" w14:textId="77777777" w:rsidR="000262D9" w:rsidRDefault="000262D9" w:rsidP="000262D9">
      <w:pPr>
        <w:rPr>
          <w:rFonts w:cs="Arial"/>
          <w:color w:val="FF0000"/>
          <w:szCs w:val="22"/>
        </w:rPr>
      </w:pPr>
    </w:p>
    <w:p w14:paraId="5026F6F0" w14:textId="77777777" w:rsidR="000262D9" w:rsidRDefault="000262D9" w:rsidP="000262D9">
      <w:pPr>
        <w:rPr>
          <w:rFonts w:cs="Arial"/>
          <w:b/>
          <w:szCs w:val="22"/>
        </w:rPr>
      </w:pPr>
      <w:r w:rsidRPr="000262D9">
        <w:rPr>
          <w:rFonts w:cs="Arial"/>
          <w:b/>
          <w:szCs w:val="22"/>
        </w:rPr>
        <w:t>Techniques Used</w:t>
      </w:r>
    </w:p>
    <w:p w14:paraId="5026F6F1" w14:textId="77777777" w:rsidR="005C2260" w:rsidRPr="006A4356" w:rsidRDefault="005C2260" w:rsidP="000262D9">
      <w:pPr>
        <w:rPr>
          <w:rFonts w:cs="Arial"/>
          <w:color w:val="000000" w:themeColor="text1"/>
          <w:szCs w:val="22"/>
        </w:rPr>
      </w:pPr>
      <w:r w:rsidRPr="006A4356">
        <w:rPr>
          <w:rFonts w:cs="Arial"/>
          <w:color w:val="000000" w:themeColor="text1"/>
          <w:szCs w:val="22"/>
        </w:rPr>
        <w:t xml:space="preserve">Data from water conservation programs, published studies, and assumptions from statewide technical reference manuals were used to determine the average consumption of water per faucet per year. Engineering calculations and assumptions were used to derive water and energy savings associated with the reduction of flow rate due to the implementation of aerators. The base case was assumed to be existing faucets with a flow rate of 2.2 GPM, while the efficient case was assumed to be a faucet with an aerator installed with a flow rate of 0.5 GPM. </w:t>
      </w:r>
    </w:p>
    <w:p w14:paraId="5026F6F2" w14:textId="77777777" w:rsidR="005C2260" w:rsidRDefault="005C2260" w:rsidP="000262D9">
      <w:pPr>
        <w:rPr>
          <w:rFonts w:cs="Arial"/>
          <w:color w:val="0070C0"/>
          <w:szCs w:val="22"/>
        </w:rPr>
      </w:pPr>
    </w:p>
    <w:p w14:paraId="5026F6F3" w14:textId="77777777" w:rsidR="005C2260" w:rsidRPr="006A4356" w:rsidRDefault="005C2260" w:rsidP="000262D9">
      <w:pPr>
        <w:rPr>
          <w:rFonts w:cs="Arial"/>
          <w:color w:val="000000" w:themeColor="text1"/>
          <w:szCs w:val="22"/>
        </w:rPr>
      </w:pPr>
      <w:r w:rsidRPr="006A4356">
        <w:rPr>
          <w:rFonts w:cs="Arial"/>
          <w:color w:val="000000" w:themeColor="text1"/>
          <w:szCs w:val="22"/>
        </w:rPr>
        <w:t xml:space="preserve">For the hotels, the studies reviewed had indicated that water consumption in the 5 hotels were metered over a short-term period at a whole-building level or sub-metered by room then disaggregated to determine consumption at multiple end uses. These calculations also take occupancy rate of the hotel into account. </w:t>
      </w:r>
    </w:p>
    <w:p w14:paraId="5026F6F4" w14:textId="77777777" w:rsidR="005C2260" w:rsidRDefault="005C2260" w:rsidP="000262D9">
      <w:pPr>
        <w:rPr>
          <w:rFonts w:cs="Arial"/>
          <w:color w:val="0070C0"/>
          <w:szCs w:val="22"/>
        </w:rPr>
      </w:pPr>
    </w:p>
    <w:p w14:paraId="5026F6F5" w14:textId="77777777" w:rsidR="005C2260" w:rsidRDefault="005C2260" w:rsidP="000262D9">
      <w:pPr>
        <w:rPr>
          <w:rFonts w:cs="Arial"/>
          <w:color w:val="0070C0"/>
          <w:szCs w:val="22"/>
        </w:rPr>
      </w:pPr>
      <w:r w:rsidRPr="006A4356">
        <w:rPr>
          <w:rFonts w:cs="Arial"/>
          <w:color w:val="000000" w:themeColor="text1"/>
          <w:szCs w:val="22"/>
        </w:rPr>
        <w:t xml:space="preserve">For the schools, the studies indicated that water consumption was logged and bills were reviewed. These data points were then disaggregated into </w:t>
      </w:r>
      <w:r w:rsidR="00455514" w:rsidRPr="006A4356">
        <w:rPr>
          <w:rFonts w:cs="Arial"/>
          <w:color w:val="000000" w:themeColor="text1"/>
          <w:szCs w:val="22"/>
        </w:rPr>
        <w:t xml:space="preserve">annual consumption for </w:t>
      </w:r>
      <w:r w:rsidRPr="006A4356">
        <w:rPr>
          <w:rFonts w:cs="Arial"/>
          <w:color w:val="000000" w:themeColor="text1"/>
          <w:szCs w:val="22"/>
        </w:rPr>
        <w:t xml:space="preserve">multiple end uses. Consumption at lavatory faucets was based on number of flushes occurring per student or employee per day. </w:t>
      </w:r>
    </w:p>
    <w:p w14:paraId="5026F6F6" w14:textId="77777777" w:rsidR="005C2260" w:rsidRDefault="005C2260" w:rsidP="000262D9">
      <w:pPr>
        <w:rPr>
          <w:rFonts w:cs="Arial"/>
          <w:color w:val="0070C0"/>
          <w:szCs w:val="22"/>
        </w:rPr>
      </w:pPr>
    </w:p>
    <w:p w14:paraId="5026F6F7" w14:textId="77777777" w:rsidR="005C2260" w:rsidRPr="006A4356" w:rsidRDefault="005C2260" w:rsidP="000262D9">
      <w:pPr>
        <w:rPr>
          <w:rFonts w:cs="Arial"/>
          <w:color w:val="000000" w:themeColor="text1"/>
          <w:szCs w:val="22"/>
        </w:rPr>
      </w:pPr>
      <w:r w:rsidRPr="006A4356">
        <w:rPr>
          <w:rFonts w:cs="Arial"/>
          <w:color w:val="000000" w:themeColor="text1"/>
          <w:szCs w:val="22"/>
        </w:rPr>
        <w:t xml:space="preserve">For the restaurant, consumption at lavatory faucets was based on the number of flushes. </w:t>
      </w:r>
    </w:p>
    <w:p w14:paraId="5026F6F8" w14:textId="77777777" w:rsidR="000262D9" w:rsidRDefault="000262D9" w:rsidP="000262D9">
      <w:pPr>
        <w:rPr>
          <w:rFonts w:cs="Arial"/>
          <w:color w:val="FF0000"/>
          <w:szCs w:val="22"/>
        </w:rPr>
      </w:pPr>
    </w:p>
    <w:p w14:paraId="5026F6F9" w14:textId="77777777" w:rsidR="000262D9" w:rsidRDefault="000262D9" w:rsidP="000262D9">
      <w:pPr>
        <w:rPr>
          <w:rFonts w:cs="Arial"/>
          <w:b/>
          <w:szCs w:val="22"/>
        </w:rPr>
      </w:pPr>
      <w:r w:rsidRPr="000262D9">
        <w:rPr>
          <w:rFonts w:cs="Arial"/>
          <w:b/>
          <w:szCs w:val="22"/>
        </w:rPr>
        <w:t xml:space="preserve">Results and Impacts </w:t>
      </w:r>
    </w:p>
    <w:p w14:paraId="5026F6FA" w14:textId="63BEDB17" w:rsidR="000E334C" w:rsidRPr="00887735" w:rsidRDefault="00206E35" w:rsidP="000262D9">
      <w:pPr>
        <w:rPr>
          <w:rFonts w:cs="Arial"/>
          <w:color w:val="000000" w:themeColor="text1"/>
          <w:szCs w:val="22"/>
        </w:rPr>
      </w:pPr>
      <w:r w:rsidRPr="00887735">
        <w:rPr>
          <w:rFonts w:cs="Arial"/>
          <w:color w:val="000000" w:themeColor="text1"/>
          <w:szCs w:val="22"/>
        </w:rPr>
        <w:t xml:space="preserve">The results of this study provide baseline water and gas consumption estimates as well as </w:t>
      </w:r>
      <w:r w:rsidR="00887735" w:rsidRPr="00887735">
        <w:rPr>
          <w:rFonts w:cs="Arial"/>
          <w:color w:val="000000" w:themeColor="text1"/>
          <w:szCs w:val="22"/>
        </w:rPr>
        <w:t xml:space="preserve">the </w:t>
      </w:r>
      <w:r w:rsidRPr="00887735">
        <w:rPr>
          <w:rFonts w:cs="Arial"/>
          <w:color w:val="000000" w:themeColor="text1"/>
          <w:szCs w:val="22"/>
        </w:rPr>
        <w:t>estimated savings from the installation of aerators.</w:t>
      </w:r>
      <w:r w:rsidR="00887735" w:rsidRPr="00887735">
        <w:rPr>
          <w:rFonts w:cs="Arial"/>
          <w:color w:val="000000" w:themeColor="text1"/>
          <w:szCs w:val="22"/>
        </w:rPr>
        <w:t xml:space="preserve"> These results are summ</w:t>
      </w:r>
      <w:r w:rsidR="00E904B6">
        <w:rPr>
          <w:rFonts w:cs="Arial"/>
          <w:color w:val="000000" w:themeColor="text1"/>
          <w:szCs w:val="22"/>
        </w:rPr>
        <w:t xml:space="preserve">arized in </w:t>
      </w:r>
      <w:r w:rsidR="00E904B6" w:rsidRPr="003725F1">
        <w:rPr>
          <w:rFonts w:cs="Arial"/>
          <w:b/>
          <w:color w:val="000000" w:themeColor="text1"/>
          <w:szCs w:val="22"/>
        </w:rPr>
        <w:t>Table 11</w:t>
      </w:r>
      <w:r w:rsidR="00E904B6">
        <w:rPr>
          <w:rFonts w:cs="Arial"/>
          <w:color w:val="000000" w:themeColor="text1"/>
          <w:szCs w:val="22"/>
        </w:rPr>
        <w:t xml:space="preserve"> and </w:t>
      </w:r>
      <w:r w:rsidR="00E904B6" w:rsidRPr="003725F1">
        <w:rPr>
          <w:rFonts w:cs="Arial"/>
          <w:b/>
          <w:color w:val="000000" w:themeColor="text1"/>
          <w:szCs w:val="22"/>
        </w:rPr>
        <w:t>Table 12</w:t>
      </w:r>
      <w:r w:rsidR="00E904B6">
        <w:rPr>
          <w:rFonts w:cs="Arial"/>
          <w:color w:val="000000" w:themeColor="text1"/>
          <w:szCs w:val="22"/>
        </w:rPr>
        <w:t xml:space="preserve"> and are explained in full detail in </w:t>
      </w:r>
      <w:r w:rsidR="00E904B6" w:rsidRPr="00E904B6">
        <w:rPr>
          <w:rFonts w:cs="Arial"/>
          <w:b/>
          <w:i/>
          <w:color w:val="000000" w:themeColor="text1"/>
          <w:szCs w:val="22"/>
        </w:rPr>
        <w:t>Attachment B</w:t>
      </w:r>
      <w:r w:rsidR="00E904B6">
        <w:rPr>
          <w:rFonts w:cs="Arial"/>
          <w:color w:val="000000" w:themeColor="text1"/>
          <w:szCs w:val="22"/>
        </w:rPr>
        <w:t xml:space="preserve">. </w:t>
      </w:r>
      <w:r w:rsidR="00887735" w:rsidRPr="00887735">
        <w:rPr>
          <w:rFonts w:cs="Arial"/>
          <w:color w:val="000000" w:themeColor="text1"/>
          <w:szCs w:val="22"/>
        </w:rPr>
        <w:t xml:space="preserve"> </w:t>
      </w:r>
      <w:r w:rsidR="006A4356" w:rsidRPr="00887735">
        <w:rPr>
          <w:rFonts w:cs="Arial"/>
          <w:color w:val="000000" w:themeColor="text1"/>
          <w:szCs w:val="22"/>
        </w:rPr>
        <w:t xml:space="preserve"> </w:t>
      </w:r>
    </w:p>
    <w:p w14:paraId="5026F6FB" w14:textId="77777777" w:rsidR="006A4356" w:rsidRDefault="006A4356" w:rsidP="000262D9">
      <w:pPr>
        <w:rPr>
          <w:rFonts w:cs="Arial"/>
          <w:b/>
          <w:szCs w:val="22"/>
        </w:rPr>
      </w:pPr>
    </w:p>
    <w:p w14:paraId="5026F6FC" w14:textId="7EE8EFD5" w:rsidR="003C7670" w:rsidRDefault="003C7670" w:rsidP="003C7670">
      <w:pPr>
        <w:pStyle w:val="Caption"/>
        <w:keepNext/>
        <w:jc w:val="center"/>
      </w:pPr>
      <w:r>
        <w:lastRenderedPageBreak/>
        <w:t xml:space="preserve">Table </w:t>
      </w:r>
      <w:r w:rsidR="005A50B7">
        <w:fldChar w:fldCharType="begin"/>
      </w:r>
      <w:r w:rsidR="005A50B7">
        <w:instrText xml:space="preserve"> SEQ Table \* ARABIC </w:instrText>
      </w:r>
      <w:r w:rsidR="005A50B7">
        <w:fldChar w:fldCharType="separate"/>
      </w:r>
      <w:r w:rsidR="007E7EDB">
        <w:rPr>
          <w:noProof/>
        </w:rPr>
        <w:t>10</w:t>
      </w:r>
      <w:r w:rsidR="005A50B7">
        <w:rPr>
          <w:noProof/>
        </w:rPr>
        <w:fldChar w:fldCharType="end"/>
      </w:r>
      <w:r>
        <w:t>: CLEAResult Study Calculated Water Savings</w:t>
      </w:r>
      <w:r w:rsidR="00B61BFB">
        <w:t xml:space="preserve"> (per faucet)</w:t>
      </w:r>
    </w:p>
    <w:tbl>
      <w:tblPr>
        <w:tblW w:w="6840" w:type="dxa"/>
        <w:jc w:val="center"/>
        <w:tblLook w:val="04A0" w:firstRow="1" w:lastRow="0" w:firstColumn="1" w:lastColumn="0" w:noHBand="0" w:noVBand="1"/>
      </w:tblPr>
      <w:tblGrid>
        <w:gridCol w:w="1440"/>
        <w:gridCol w:w="1980"/>
        <w:gridCol w:w="1800"/>
        <w:gridCol w:w="1620"/>
      </w:tblGrid>
      <w:tr w:rsidR="000E334C" w:rsidRPr="002A1267" w14:paraId="5026F701" w14:textId="77777777" w:rsidTr="00840B5D">
        <w:trPr>
          <w:trHeight w:val="1215"/>
          <w:jc w:val="center"/>
        </w:trPr>
        <w:tc>
          <w:tcPr>
            <w:tcW w:w="1440" w:type="dxa"/>
            <w:tcBorders>
              <w:top w:val="nil"/>
              <w:left w:val="nil"/>
              <w:bottom w:val="nil"/>
              <w:right w:val="nil"/>
            </w:tcBorders>
            <w:shd w:val="clear" w:color="000000" w:fill="054B56"/>
            <w:noWrap/>
            <w:vAlign w:val="bottom"/>
            <w:hideMark/>
          </w:tcPr>
          <w:p w14:paraId="5026F6FD" w14:textId="77777777" w:rsidR="000E334C" w:rsidRPr="002A1267" w:rsidRDefault="000E334C" w:rsidP="009800FD">
            <w:pPr>
              <w:rPr>
                <w:rFonts w:ascii="Calibri" w:hAnsi="Calibri"/>
                <w:b/>
                <w:bCs/>
                <w:color w:val="FFFFFF"/>
              </w:rPr>
            </w:pPr>
            <w:r w:rsidRPr="002A1267">
              <w:rPr>
                <w:rFonts w:ascii="Calibri" w:hAnsi="Calibri"/>
                <w:b/>
                <w:bCs/>
                <w:color w:val="FFFFFF"/>
              </w:rPr>
              <w:t> </w:t>
            </w:r>
          </w:p>
        </w:tc>
        <w:tc>
          <w:tcPr>
            <w:tcW w:w="1980" w:type="dxa"/>
            <w:tcBorders>
              <w:top w:val="nil"/>
              <w:left w:val="nil"/>
              <w:bottom w:val="nil"/>
              <w:right w:val="nil"/>
            </w:tcBorders>
            <w:shd w:val="clear" w:color="000000" w:fill="054B56"/>
            <w:vAlign w:val="bottom"/>
            <w:hideMark/>
          </w:tcPr>
          <w:p w14:paraId="5026F6FE" w14:textId="77777777" w:rsidR="000E334C" w:rsidRPr="002A1267" w:rsidRDefault="000E334C" w:rsidP="009800FD">
            <w:pPr>
              <w:jc w:val="center"/>
              <w:rPr>
                <w:rFonts w:ascii="Calibri" w:hAnsi="Calibri"/>
                <w:b/>
                <w:bCs/>
                <w:color w:val="FFFFFF" w:themeColor="background1"/>
              </w:rPr>
            </w:pPr>
            <w:r w:rsidRPr="002A1267">
              <w:rPr>
                <w:rFonts w:ascii="Calibri" w:hAnsi="Calibri"/>
                <w:b/>
                <w:bCs/>
                <w:color w:val="FFFFFF" w:themeColor="background1"/>
              </w:rPr>
              <w:t>Baseline Water Consumption, U</w:t>
            </w:r>
            <w:r w:rsidRPr="002A1267">
              <w:rPr>
                <w:rFonts w:ascii="Calibri" w:hAnsi="Calibri"/>
                <w:b/>
                <w:color w:val="FFFFFF" w:themeColor="background1"/>
                <w:sz w:val="16"/>
                <w:szCs w:val="16"/>
              </w:rPr>
              <w:t>B</w:t>
            </w:r>
            <w:r w:rsidRPr="002A1267">
              <w:rPr>
                <w:rFonts w:ascii="Calibri" w:hAnsi="Calibri"/>
                <w:b/>
                <w:color w:val="FFFFFF" w:themeColor="background1"/>
              </w:rPr>
              <w:t xml:space="preserve"> (Gallons/Year)</w:t>
            </w:r>
          </w:p>
        </w:tc>
        <w:tc>
          <w:tcPr>
            <w:tcW w:w="1800" w:type="dxa"/>
            <w:tcBorders>
              <w:top w:val="nil"/>
              <w:left w:val="nil"/>
              <w:bottom w:val="nil"/>
              <w:right w:val="nil"/>
            </w:tcBorders>
            <w:shd w:val="clear" w:color="000000" w:fill="054B56"/>
            <w:vAlign w:val="bottom"/>
          </w:tcPr>
          <w:p w14:paraId="5026F6FF" w14:textId="77777777" w:rsidR="000E334C" w:rsidRPr="002A1267" w:rsidRDefault="000E334C" w:rsidP="009800FD">
            <w:pPr>
              <w:jc w:val="center"/>
              <w:rPr>
                <w:rFonts w:ascii="Calibri" w:hAnsi="Calibri"/>
                <w:b/>
                <w:bCs/>
                <w:color w:val="FFFFFF" w:themeColor="background1"/>
              </w:rPr>
            </w:pPr>
            <w:r w:rsidRPr="002A1267">
              <w:rPr>
                <w:rFonts w:ascii="Calibri" w:hAnsi="Calibri"/>
                <w:b/>
                <w:bCs/>
                <w:color w:val="FFFFFF" w:themeColor="background1"/>
              </w:rPr>
              <w:t>Post-Installation Water Consumption, U</w:t>
            </w:r>
            <w:r w:rsidRPr="002A1267">
              <w:rPr>
                <w:rFonts w:ascii="Calibri" w:hAnsi="Calibri"/>
                <w:b/>
                <w:color w:val="FFFFFF" w:themeColor="background1"/>
                <w:sz w:val="16"/>
                <w:szCs w:val="16"/>
              </w:rPr>
              <w:t>P</w:t>
            </w:r>
            <w:r w:rsidRPr="002A1267">
              <w:rPr>
                <w:rFonts w:ascii="Calibri" w:hAnsi="Calibri"/>
                <w:b/>
                <w:color w:val="FFFFFF" w:themeColor="background1"/>
              </w:rPr>
              <w:t xml:space="preserve"> (Gallons/Year)</w:t>
            </w:r>
          </w:p>
        </w:tc>
        <w:tc>
          <w:tcPr>
            <w:tcW w:w="1620" w:type="dxa"/>
            <w:tcBorders>
              <w:top w:val="nil"/>
              <w:left w:val="nil"/>
              <w:bottom w:val="nil"/>
              <w:right w:val="nil"/>
            </w:tcBorders>
            <w:shd w:val="clear" w:color="000000" w:fill="054B56"/>
            <w:vAlign w:val="bottom"/>
            <w:hideMark/>
          </w:tcPr>
          <w:p w14:paraId="5026F700" w14:textId="77777777" w:rsidR="000E334C" w:rsidRPr="002A1267" w:rsidRDefault="000E334C" w:rsidP="009800FD">
            <w:pPr>
              <w:jc w:val="center"/>
              <w:rPr>
                <w:rFonts w:ascii="Calibri" w:hAnsi="Calibri"/>
                <w:b/>
                <w:bCs/>
                <w:color w:val="FFFFFF" w:themeColor="background1"/>
              </w:rPr>
            </w:pPr>
            <w:r>
              <w:rPr>
                <w:rFonts w:ascii="Calibri" w:hAnsi="Calibri"/>
                <w:b/>
                <w:bCs/>
                <w:color w:val="FFFFFF" w:themeColor="background1"/>
              </w:rPr>
              <w:t>Water Savings</w:t>
            </w:r>
            <w:r w:rsidRPr="002A1267">
              <w:rPr>
                <w:rFonts w:ascii="Calibri" w:hAnsi="Calibri"/>
                <w:b/>
                <w:color w:val="FFFFFF" w:themeColor="background1"/>
              </w:rPr>
              <w:t xml:space="preserve"> (Gallons/Year)</w:t>
            </w:r>
          </w:p>
        </w:tc>
      </w:tr>
      <w:tr w:rsidR="000E334C" w:rsidRPr="002A1267" w14:paraId="5026F706" w14:textId="77777777" w:rsidTr="00840B5D">
        <w:trPr>
          <w:trHeight w:val="300"/>
          <w:jc w:val="center"/>
        </w:trPr>
        <w:tc>
          <w:tcPr>
            <w:tcW w:w="1440" w:type="dxa"/>
            <w:tcBorders>
              <w:top w:val="nil"/>
              <w:left w:val="nil"/>
              <w:bottom w:val="nil"/>
              <w:right w:val="nil"/>
            </w:tcBorders>
            <w:shd w:val="clear" w:color="000000" w:fill="054B56"/>
            <w:noWrap/>
            <w:vAlign w:val="bottom"/>
            <w:hideMark/>
          </w:tcPr>
          <w:p w14:paraId="5026F702" w14:textId="77777777" w:rsidR="000E334C" w:rsidRPr="002A1267" w:rsidRDefault="000E334C" w:rsidP="009800FD">
            <w:pPr>
              <w:rPr>
                <w:rFonts w:ascii="Calibri" w:hAnsi="Calibri"/>
                <w:b/>
                <w:bCs/>
                <w:color w:val="FFFFFF"/>
              </w:rPr>
            </w:pPr>
            <w:r w:rsidRPr="002A1267">
              <w:rPr>
                <w:rFonts w:ascii="Calibri" w:hAnsi="Calibri"/>
                <w:b/>
                <w:bCs/>
                <w:color w:val="FFFFFF"/>
              </w:rPr>
              <w:t>Hospitality</w:t>
            </w:r>
          </w:p>
        </w:tc>
        <w:tc>
          <w:tcPr>
            <w:tcW w:w="1980" w:type="dxa"/>
            <w:tcBorders>
              <w:top w:val="single" w:sz="8" w:space="0" w:color="auto"/>
              <w:left w:val="single" w:sz="8" w:space="0" w:color="auto"/>
              <w:bottom w:val="nil"/>
              <w:right w:val="nil"/>
            </w:tcBorders>
            <w:shd w:val="clear" w:color="auto" w:fill="auto"/>
            <w:noWrap/>
            <w:vAlign w:val="bottom"/>
            <w:hideMark/>
          </w:tcPr>
          <w:p w14:paraId="5026F703" w14:textId="77777777" w:rsidR="000E334C" w:rsidRPr="002A1267" w:rsidRDefault="000E334C" w:rsidP="009800FD">
            <w:pPr>
              <w:jc w:val="center"/>
              <w:rPr>
                <w:rFonts w:ascii="Calibri" w:hAnsi="Calibri"/>
                <w:color w:val="000000"/>
              </w:rPr>
            </w:pPr>
            <w:r>
              <w:rPr>
                <w:rFonts w:ascii="Calibri" w:hAnsi="Calibri"/>
                <w:color w:val="000000"/>
              </w:rPr>
              <w:t>1764</w:t>
            </w:r>
          </w:p>
        </w:tc>
        <w:tc>
          <w:tcPr>
            <w:tcW w:w="1800" w:type="dxa"/>
            <w:tcBorders>
              <w:top w:val="single" w:sz="8" w:space="0" w:color="auto"/>
              <w:left w:val="nil"/>
              <w:bottom w:val="nil"/>
              <w:right w:val="nil"/>
            </w:tcBorders>
            <w:vAlign w:val="bottom"/>
          </w:tcPr>
          <w:p w14:paraId="5026F704" w14:textId="77777777" w:rsidR="000E334C" w:rsidRDefault="000E334C" w:rsidP="009800FD">
            <w:pPr>
              <w:jc w:val="center"/>
              <w:rPr>
                <w:rFonts w:ascii="Calibri" w:hAnsi="Calibri"/>
                <w:color w:val="000000"/>
              </w:rPr>
            </w:pPr>
            <w:r>
              <w:rPr>
                <w:rFonts w:ascii="Calibri" w:hAnsi="Calibri"/>
                <w:color w:val="000000"/>
              </w:rPr>
              <w:t>401</w:t>
            </w:r>
          </w:p>
        </w:tc>
        <w:tc>
          <w:tcPr>
            <w:tcW w:w="1620" w:type="dxa"/>
            <w:tcBorders>
              <w:top w:val="single" w:sz="8" w:space="0" w:color="auto"/>
              <w:left w:val="nil"/>
              <w:bottom w:val="nil"/>
              <w:right w:val="single" w:sz="8" w:space="0" w:color="auto"/>
            </w:tcBorders>
            <w:shd w:val="clear" w:color="auto" w:fill="auto"/>
            <w:noWrap/>
            <w:vAlign w:val="bottom"/>
            <w:hideMark/>
          </w:tcPr>
          <w:p w14:paraId="5026F705" w14:textId="77777777" w:rsidR="000E334C" w:rsidRPr="002A1267" w:rsidRDefault="000E334C" w:rsidP="009800FD">
            <w:pPr>
              <w:jc w:val="center"/>
              <w:rPr>
                <w:rFonts w:ascii="Calibri" w:hAnsi="Calibri"/>
                <w:color w:val="000000"/>
              </w:rPr>
            </w:pPr>
            <w:r>
              <w:rPr>
                <w:rFonts w:ascii="Calibri" w:hAnsi="Calibri"/>
                <w:color w:val="000000"/>
              </w:rPr>
              <w:t>1363</w:t>
            </w:r>
          </w:p>
        </w:tc>
      </w:tr>
      <w:tr w:rsidR="000E334C" w:rsidRPr="002A1267" w14:paraId="5026F70B" w14:textId="77777777" w:rsidTr="00840B5D">
        <w:trPr>
          <w:trHeight w:val="300"/>
          <w:jc w:val="center"/>
        </w:trPr>
        <w:tc>
          <w:tcPr>
            <w:tcW w:w="1440" w:type="dxa"/>
            <w:tcBorders>
              <w:top w:val="nil"/>
              <w:left w:val="nil"/>
              <w:bottom w:val="nil"/>
              <w:right w:val="nil"/>
            </w:tcBorders>
            <w:shd w:val="clear" w:color="000000" w:fill="054B56"/>
            <w:noWrap/>
            <w:vAlign w:val="bottom"/>
            <w:hideMark/>
          </w:tcPr>
          <w:p w14:paraId="5026F707" w14:textId="77777777" w:rsidR="000E334C" w:rsidRPr="002A1267" w:rsidRDefault="000E334C" w:rsidP="009800FD">
            <w:pPr>
              <w:rPr>
                <w:rFonts w:ascii="Calibri" w:hAnsi="Calibri"/>
                <w:b/>
                <w:bCs/>
                <w:color w:val="FFFFFF"/>
              </w:rPr>
            </w:pPr>
            <w:r w:rsidRPr="002A1267">
              <w:rPr>
                <w:rFonts w:ascii="Calibri" w:hAnsi="Calibri"/>
                <w:b/>
                <w:bCs/>
                <w:color w:val="FFFFFF"/>
              </w:rPr>
              <w:t>Schools</w:t>
            </w:r>
          </w:p>
        </w:tc>
        <w:tc>
          <w:tcPr>
            <w:tcW w:w="1980" w:type="dxa"/>
            <w:tcBorders>
              <w:top w:val="single" w:sz="4" w:space="0" w:color="auto"/>
              <w:left w:val="single" w:sz="8" w:space="0" w:color="auto"/>
              <w:bottom w:val="single" w:sz="4" w:space="0" w:color="auto"/>
              <w:right w:val="nil"/>
            </w:tcBorders>
            <w:shd w:val="clear" w:color="auto" w:fill="auto"/>
            <w:noWrap/>
            <w:vAlign w:val="bottom"/>
            <w:hideMark/>
          </w:tcPr>
          <w:p w14:paraId="5026F708" w14:textId="77777777" w:rsidR="000E334C" w:rsidRPr="002A1267" w:rsidRDefault="000E334C" w:rsidP="009800FD">
            <w:pPr>
              <w:jc w:val="center"/>
              <w:rPr>
                <w:rFonts w:ascii="Calibri" w:hAnsi="Calibri"/>
                <w:color w:val="000000"/>
              </w:rPr>
            </w:pPr>
            <w:r>
              <w:rPr>
                <w:rFonts w:ascii="Calibri" w:hAnsi="Calibri"/>
                <w:color w:val="000000"/>
              </w:rPr>
              <w:t>1885</w:t>
            </w:r>
          </w:p>
        </w:tc>
        <w:tc>
          <w:tcPr>
            <w:tcW w:w="1800" w:type="dxa"/>
            <w:tcBorders>
              <w:top w:val="single" w:sz="4" w:space="0" w:color="auto"/>
              <w:left w:val="nil"/>
              <w:bottom w:val="single" w:sz="4" w:space="0" w:color="auto"/>
              <w:right w:val="nil"/>
            </w:tcBorders>
            <w:vAlign w:val="bottom"/>
          </w:tcPr>
          <w:p w14:paraId="5026F709" w14:textId="77777777" w:rsidR="000E334C" w:rsidRDefault="000E334C" w:rsidP="009800FD">
            <w:pPr>
              <w:jc w:val="center"/>
              <w:rPr>
                <w:rFonts w:ascii="Calibri" w:hAnsi="Calibri"/>
                <w:color w:val="000000"/>
              </w:rPr>
            </w:pPr>
            <w:r>
              <w:rPr>
                <w:rFonts w:ascii="Calibri" w:hAnsi="Calibri"/>
                <w:color w:val="000000"/>
              </w:rPr>
              <w:t>428</w:t>
            </w:r>
          </w:p>
        </w:tc>
        <w:tc>
          <w:tcPr>
            <w:tcW w:w="1620" w:type="dxa"/>
            <w:tcBorders>
              <w:top w:val="single" w:sz="4" w:space="0" w:color="auto"/>
              <w:left w:val="nil"/>
              <w:bottom w:val="single" w:sz="4" w:space="0" w:color="auto"/>
              <w:right w:val="single" w:sz="8" w:space="0" w:color="auto"/>
            </w:tcBorders>
            <w:shd w:val="clear" w:color="auto" w:fill="auto"/>
            <w:noWrap/>
            <w:vAlign w:val="bottom"/>
            <w:hideMark/>
          </w:tcPr>
          <w:p w14:paraId="5026F70A" w14:textId="77777777" w:rsidR="000E334C" w:rsidRPr="002A1267" w:rsidRDefault="000E334C" w:rsidP="009800FD">
            <w:pPr>
              <w:jc w:val="center"/>
              <w:rPr>
                <w:rFonts w:ascii="Calibri" w:hAnsi="Calibri"/>
                <w:color w:val="000000"/>
              </w:rPr>
            </w:pPr>
            <w:r>
              <w:rPr>
                <w:rFonts w:ascii="Calibri" w:hAnsi="Calibri"/>
                <w:color w:val="000000"/>
              </w:rPr>
              <w:t>1456</w:t>
            </w:r>
          </w:p>
        </w:tc>
      </w:tr>
      <w:tr w:rsidR="000E334C" w:rsidRPr="002A1267" w14:paraId="5026F710" w14:textId="77777777" w:rsidTr="00840B5D">
        <w:trPr>
          <w:trHeight w:val="315"/>
          <w:jc w:val="center"/>
        </w:trPr>
        <w:tc>
          <w:tcPr>
            <w:tcW w:w="1440" w:type="dxa"/>
            <w:tcBorders>
              <w:top w:val="nil"/>
              <w:left w:val="nil"/>
              <w:bottom w:val="nil"/>
              <w:right w:val="nil"/>
            </w:tcBorders>
            <w:shd w:val="clear" w:color="000000" w:fill="054B56"/>
            <w:noWrap/>
            <w:vAlign w:val="bottom"/>
            <w:hideMark/>
          </w:tcPr>
          <w:p w14:paraId="5026F70C" w14:textId="77777777" w:rsidR="000E334C" w:rsidRPr="002A1267" w:rsidRDefault="000E334C" w:rsidP="009800FD">
            <w:pPr>
              <w:rPr>
                <w:rFonts w:ascii="Calibri" w:hAnsi="Calibri"/>
                <w:b/>
                <w:bCs/>
                <w:color w:val="FFFFFF"/>
              </w:rPr>
            </w:pPr>
            <w:r w:rsidRPr="002A1267">
              <w:rPr>
                <w:rFonts w:ascii="Calibri" w:hAnsi="Calibri"/>
                <w:b/>
                <w:bCs/>
                <w:color w:val="FFFFFF"/>
              </w:rPr>
              <w:t>Restaurant</w:t>
            </w:r>
          </w:p>
        </w:tc>
        <w:tc>
          <w:tcPr>
            <w:tcW w:w="1980" w:type="dxa"/>
            <w:tcBorders>
              <w:top w:val="nil"/>
              <w:left w:val="single" w:sz="8" w:space="0" w:color="auto"/>
              <w:bottom w:val="single" w:sz="8" w:space="0" w:color="auto"/>
              <w:right w:val="nil"/>
            </w:tcBorders>
            <w:shd w:val="clear" w:color="auto" w:fill="auto"/>
            <w:noWrap/>
            <w:vAlign w:val="bottom"/>
            <w:hideMark/>
          </w:tcPr>
          <w:p w14:paraId="5026F70D" w14:textId="77777777" w:rsidR="000E334C" w:rsidRPr="002A1267" w:rsidRDefault="000E334C" w:rsidP="009800FD">
            <w:pPr>
              <w:jc w:val="center"/>
              <w:rPr>
                <w:rFonts w:ascii="Calibri" w:hAnsi="Calibri"/>
                <w:color w:val="000000"/>
              </w:rPr>
            </w:pPr>
            <w:r>
              <w:rPr>
                <w:rFonts w:ascii="Calibri" w:hAnsi="Calibri"/>
                <w:color w:val="000000"/>
              </w:rPr>
              <w:t>4637</w:t>
            </w:r>
          </w:p>
        </w:tc>
        <w:tc>
          <w:tcPr>
            <w:tcW w:w="1800" w:type="dxa"/>
            <w:tcBorders>
              <w:top w:val="nil"/>
              <w:left w:val="nil"/>
              <w:bottom w:val="single" w:sz="8" w:space="0" w:color="auto"/>
              <w:right w:val="nil"/>
            </w:tcBorders>
            <w:vAlign w:val="bottom"/>
          </w:tcPr>
          <w:p w14:paraId="5026F70E" w14:textId="77777777" w:rsidR="000E334C" w:rsidRDefault="000E334C" w:rsidP="009800FD">
            <w:pPr>
              <w:jc w:val="center"/>
              <w:rPr>
                <w:rFonts w:ascii="Calibri" w:hAnsi="Calibri"/>
                <w:color w:val="000000"/>
              </w:rPr>
            </w:pPr>
            <w:r>
              <w:rPr>
                <w:rFonts w:ascii="Calibri" w:hAnsi="Calibri"/>
                <w:color w:val="000000"/>
              </w:rPr>
              <w:t>1054</w:t>
            </w:r>
          </w:p>
        </w:tc>
        <w:tc>
          <w:tcPr>
            <w:tcW w:w="1620" w:type="dxa"/>
            <w:tcBorders>
              <w:top w:val="nil"/>
              <w:left w:val="nil"/>
              <w:bottom w:val="single" w:sz="8" w:space="0" w:color="auto"/>
              <w:right w:val="single" w:sz="8" w:space="0" w:color="auto"/>
            </w:tcBorders>
            <w:shd w:val="clear" w:color="auto" w:fill="auto"/>
            <w:noWrap/>
            <w:vAlign w:val="bottom"/>
            <w:hideMark/>
          </w:tcPr>
          <w:p w14:paraId="5026F70F" w14:textId="77777777" w:rsidR="000E334C" w:rsidRPr="002A1267" w:rsidRDefault="000E334C" w:rsidP="009800FD">
            <w:pPr>
              <w:jc w:val="center"/>
              <w:rPr>
                <w:rFonts w:ascii="Calibri" w:hAnsi="Calibri"/>
                <w:color w:val="000000"/>
              </w:rPr>
            </w:pPr>
            <w:r>
              <w:rPr>
                <w:rFonts w:ascii="Calibri" w:hAnsi="Calibri"/>
                <w:color w:val="000000"/>
              </w:rPr>
              <w:t>3583</w:t>
            </w:r>
          </w:p>
        </w:tc>
      </w:tr>
    </w:tbl>
    <w:p w14:paraId="5026F711" w14:textId="77777777" w:rsidR="000E334C" w:rsidRDefault="000E334C" w:rsidP="000262D9">
      <w:pPr>
        <w:rPr>
          <w:rFonts w:cs="Arial"/>
          <w:b/>
          <w:szCs w:val="22"/>
        </w:rPr>
      </w:pPr>
    </w:p>
    <w:p w14:paraId="5026F712" w14:textId="77777777" w:rsidR="000E334C" w:rsidRDefault="000E334C" w:rsidP="000262D9">
      <w:pPr>
        <w:rPr>
          <w:rFonts w:cs="Arial"/>
          <w:b/>
          <w:szCs w:val="22"/>
        </w:rPr>
      </w:pPr>
    </w:p>
    <w:p w14:paraId="5026F713" w14:textId="77777777" w:rsidR="000E334C" w:rsidRDefault="000E334C" w:rsidP="000262D9">
      <w:pPr>
        <w:rPr>
          <w:rFonts w:cs="Arial"/>
          <w:b/>
          <w:szCs w:val="22"/>
        </w:rPr>
      </w:pPr>
    </w:p>
    <w:p w14:paraId="5026F714" w14:textId="20C91431" w:rsidR="003C7670" w:rsidRDefault="003C7670" w:rsidP="003C7670">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11</w:t>
      </w:r>
      <w:r w:rsidR="005A50B7">
        <w:rPr>
          <w:noProof/>
        </w:rPr>
        <w:fldChar w:fldCharType="end"/>
      </w:r>
      <w:r>
        <w:t>: CLEAResult Study Calculated Energy Savings</w:t>
      </w:r>
      <w:r w:rsidR="00B61BFB">
        <w:t xml:space="preserve"> (per faucet)</w:t>
      </w:r>
    </w:p>
    <w:tbl>
      <w:tblPr>
        <w:tblW w:w="7273" w:type="dxa"/>
        <w:jc w:val="center"/>
        <w:tblLook w:val="04A0" w:firstRow="1" w:lastRow="0" w:firstColumn="1" w:lastColumn="0" w:noHBand="0" w:noVBand="1"/>
      </w:tblPr>
      <w:tblGrid>
        <w:gridCol w:w="1710"/>
        <w:gridCol w:w="2160"/>
        <w:gridCol w:w="1860"/>
        <w:gridCol w:w="1543"/>
      </w:tblGrid>
      <w:tr w:rsidR="000E334C" w:rsidRPr="007C7F09" w14:paraId="5026F719" w14:textId="77777777" w:rsidTr="00840B5D">
        <w:trPr>
          <w:trHeight w:val="1515"/>
          <w:jc w:val="center"/>
        </w:trPr>
        <w:tc>
          <w:tcPr>
            <w:tcW w:w="1710" w:type="dxa"/>
            <w:tcBorders>
              <w:top w:val="nil"/>
              <w:left w:val="nil"/>
              <w:bottom w:val="nil"/>
              <w:right w:val="nil"/>
            </w:tcBorders>
            <w:shd w:val="clear" w:color="000000" w:fill="054B56"/>
            <w:noWrap/>
            <w:vAlign w:val="bottom"/>
            <w:hideMark/>
          </w:tcPr>
          <w:p w14:paraId="5026F715" w14:textId="77777777" w:rsidR="000E334C" w:rsidRPr="007C7F09" w:rsidRDefault="000E334C" w:rsidP="009800FD">
            <w:pPr>
              <w:rPr>
                <w:rFonts w:ascii="Calibri" w:hAnsi="Calibri"/>
                <w:b/>
                <w:bCs/>
                <w:color w:val="FFFFFF"/>
              </w:rPr>
            </w:pPr>
            <w:r w:rsidRPr="007C7F09">
              <w:rPr>
                <w:rFonts w:ascii="Calibri" w:hAnsi="Calibri"/>
                <w:b/>
                <w:bCs/>
                <w:color w:val="FFFFFF"/>
              </w:rPr>
              <w:t> </w:t>
            </w:r>
          </w:p>
        </w:tc>
        <w:tc>
          <w:tcPr>
            <w:tcW w:w="2160" w:type="dxa"/>
            <w:tcBorders>
              <w:top w:val="nil"/>
              <w:left w:val="nil"/>
              <w:bottom w:val="nil"/>
              <w:right w:val="nil"/>
            </w:tcBorders>
            <w:shd w:val="clear" w:color="000000" w:fill="054B56"/>
            <w:vAlign w:val="bottom"/>
            <w:hideMark/>
          </w:tcPr>
          <w:p w14:paraId="5026F716" w14:textId="77777777" w:rsidR="000E334C" w:rsidRPr="007C7F09" w:rsidRDefault="000E334C" w:rsidP="009800FD">
            <w:pPr>
              <w:jc w:val="center"/>
              <w:rPr>
                <w:rFonts w:ascii="Calibri" w:hAnsi="Calibri"/>
                <w:b/>
                <w:bCs/>
                <w:color w:val="FFFFFF"/>
              </w:rPr>
            </w:pPr>
            <w:r w:rsidRPr="007C7F09">
              <w:rPr>
                <w:rFonts w:ascii="Calibri" w:hAnsi="Calibri"/>
                <w:b/>
                <w:bCs/>
                <w:color w:val="FFFFFF"/>
              </w:rPr>
              <w:t>Baseline Natural Gas Consumption (Therms/Year)</w:t>
            </w:r>
          </w:p>
        </w:tc>
        <w:tc>
          <w:tcPr>
            <w:tcW w:w="1860" w:type="dxa"/>
            <w:tcBorders>
              <w:top w:val="nil"/>
              <w:left w:val="nil"/>
              <w:bottom w:val="nil"/>
              <w:right w:val="nil"/>
            </w:tcBorders>
            <w:shd w:val="clear" w:color="000000" w:fill="054B56"/>
            <w:vAlign w:val="bottom"/>
            <w:hideMark/>
          </w:tcPr>
          <w:p w14:paraId="5026F717" w14:textId="77777777" w:rsidR="000E334C" w:rsidRPr="007C7F09" w:rsidRDefault="000E334C" w:rsidP="009800FD">
            <w:pPr>
              <w:jc w:val="center"/>
              <w:rPr>
                <w:rFonts w:ascii="Calibri" w:hAnsi="Calibri"/>
                <w:b/>
                <w:bCs/>
                <w:color w:val="FFFFFF"/>
              </w:rPr>
            </w:pPr>
            <w:r w:rsidRPr="007C7F09">
              <w:rPr>
                <w:rFonts w:ascii="Calibri" w:hAnsi="Calibri"/>
                <w:b/>
                <w:bCs/>
                <w:color w:val="FFFFFF"/>
              </w:rPr>
              <w:t>Post-Installation Natural Gas Consumption (Therms/Year)</w:t>
            </w:r>
          </w:p>
        </w:tc>
        <w:tc>
          <w:tcPr>
            <w:tcW w:w="1543" w:type="dxa"/>
            <w:tcBorders>
              <w:top w:val="nil"/>
              <w:left w:val="nil"/>
              <w:bottom w:val="nil"/>
              <w:right w:val="nil"/>
            </w:tcBorders>
            <w:shd w:val="clear" w:color="000000" w:fill="054B56"/>
            <w:vAlign w:val="bottom"/>
            <w:hideMark/>
          </w:tcPr>
          <w:p w14:paraId="5026F718" w14:textId="77777777" w:rsidR="000E334C" w:rsidRPr="007C7F09" w:rsidRDefault="000E334C" w:rsidP="009800FD">
            <w:pPr>
              <w:jc w:val="center"/>
              <w:rPr>
                <w:rFonts w:ascii="Calibri" w:hAnsi="Calibri"/>
                <w:b/>
                <w:bCs/>
                <w:color w:val="FFFFFF"/>
              </w:rPr>
            </w:pPr>
            <w:r w:rsidRPr="007C7F09">
              <w:rPr>
                <w:rFonts w:ascii="Calibri" w:hAnsi="Calibri"/>
                <w:b/>
                <w:bCs/>
                <w:color w:val="FFFFFF"/>
              </w:rPr>
              <w:t>Natural Gas Savings (Therms/Year)</w:t>
            </w:r>
          </w:p>
        </w:tc>
      </w:tr>
      <w:tr w:rsidR="000E334C" w:rsidRPr="007C7F09" w14:paraId="5026F71E" w14:textId="77777777" w:rsidTr="00840B5D">
        <w:trPr>
          <w:trHeight w:val="300"/>
          <w:jc w:val="center"/>
        </w:trPr>
        <w:tc>
          <w:tcPr>
            <w:tcW w:w="1710" w:type="dxa"/>
            <w:tcBorders>
              <w:top w:val="nil"/>
              <w:left w:val="nil"/>
              <w:bottom w:val="nil"/>
              <w:right w:val="nil"/>
            </w:tcBorders>
            <w:shd w:val="clear" w:color="000000" w:fill="054B56"/>
            <w:noWrap/>
            <w:vAlign w:val="bottom"/>
            <w:hideMark/>
          </w:tcPr>
          <w:p w14:paraId="5026F71A" w14:textId="77777777" w:rsidR="000E334C" w:rsidRPr="007C7F09" w:rsidRDefault="000E334C" w:rsidP="009800FD">
            <w:pPr>
              <w:rPr>
                <w:rFonts w:ascii="Calibri" w:hAnsi="Calibri"/>
                <w:b/>
                <w:bCs/>
                <w:color w:val="FFFFFF"/>
              </w:rPr>
            </w:pPr>
            <w:r w:rsidRPr="007C7F09">
              <w:rPr>
                <w:rFonts w:ascii="Calibri" w:hAnsi="Calibri"/>
                <w:b/>
                <w:bCs/>
                <w:color w:val="FFFFFF"/>
              </w:rPr>
              <w:t>Hospitality</w:t>
            </w:r>
          </w:p>
        </w:tc>
        <w:tc>
          <w:tcPr>
            <w:tcW w:w="2160" w:type="dxa"/>
            <w:tcBorders>
              <w:top w:val="single" w:sz="8" w:space="0" w:color="auto"/>
              <w:left w:val="single" w:sz="8" w:space="0" w:color="auto"/>
              <w:bottom w:val="nil"/>
              <w:right w:val="nil"/>
            </w:tcBorders>
            <w:shd w:val="clear" w:color="auto" w:fill="auto"/>
            <w:noWrap/>
            <w:vAlign w:val="bottom"/>
            <w:hideMark/>
          </w:tcPr>
          <w:p w14:paraId="5026F71B" w14:textId="77777777" w:rsidR="000E334C" w:rsidRDefault="000E334C" w:rsidP="009800FD">
            <w:pPr>
              <w:jc w:val="center"/>
              <w:rPr>
                <w:rFonts w:ascii="Calibri" w:hAnsi="Calibri"/>
                <w:color w:val="000000"/>
              </w:rPr>
            </w:pPr>
            <w:r>
              <w:rPr>
                <w:rFonts w:ascii="Calibri" w:hAnsi="Calibri"/>
                <w:color w:val="000000"/>
              </w:rPr>
              <w:t>7.68</w:t>
            </w:r>
          </w:p>
        </w:tc>
        <w:tc>
          <w:tcPr>
            <w:tcW w:w="1860" w:type="dxa"/>
            <w:tcBorders>
              <w:top w:val="single" w:sz="8" w:space="0" w:color="auto"/>
              <w:left w:val="nil"/>
              <w:bottom w:val="nil"/>
              <w:right w:val="nil"/>
            </w:tcBorders>
            <w:shd w:val="clear" w:color="auto" w:fill="auto"/>
            <w:noWrap/>
            <w:vAlign w:val="bottom"/>
            <w:hideMark/>
          </w:tcPr>
          <w:p w14:paraId="5026F71C" w14:textId="77777777" w:rsidR="000E334C" w:rsidRDefault="000E334C" w:rsidP="009800FD">
            <w:pPr>
              <w:jc w:val="center"/>
              <w:rPr>
                <w:rFonts w:ascii="Calibri" w:hAnsi="Calibri"/>
                <w:color w:val="000000"/>
              </w:rPr>
            </w:pPr>
            <w:r>
              <w:rPr>
                <w:rFonts w:ascii="Calibri" w:hAnsi="Calibri"/>
                <w:color w:val="000000"/>
              </w:rPr>
              <w:t>1.74</w:t>
            </w:r>
          </w:p>
        </w:tc>
        <w:tc>
          <w:tcPr>
            <w:tcW w:w="1543" w:type="dxa"/>
            <w:tcBorders>
              <w:top w:val="single" w:sz="8" w:space="0" w:color="auto"/>
              <w:left w:val="nil"/>
              <w:bottom w:val="nil"/>
              <w:right w:val="single" w:sz="8" w:space="0" w:color="auto"/>
            </w:tcBorders>
            <w:shd w:val="clear" w:color="auto" w:fill="auto"/>
            <w:noWrap/>
            <w:vAlign w:val="bottom"/>
            <w:hideMark/>
          </w:tcPr>
          <w:p w14:paraId="5026F71D" w14:textId="77777777" w:rsidR="000E334C" w:rsidRDefault="000E334C" w:rsidP="009800FD">
            <w:pPr>
              <w:jc w:val="center"/>
              <w:rPr>
                <w:rFonts w:ascii="Calibri" w:hAnsi="Calibri"/>
                <w:color w:val="000000"/>
              </w:rPr>
            </w:pPr>
            <w:r>
              <w:rPr>
                <w:rFonts w:ascii="Calibri" w:hAnsi="Calibri"/>
                <w:color w:val="000000"/>
              </w:rPr>
              <w:t>5.93</w:t>
            </w:r>
          </w:p>
        </w:tc>
      </w:tr>
      <w:tr w:rsidR="000E334C" w:rsidRPr="007C7F09" w14:paraId="5026F723" w14:textId="77777777" w:rsidTr="00840B5D">
        <w:trPr>
          <w:trHeight w:val="300"/>
          <w:jc w:val="center"/>
        </w:trPr>
        <w:tc>
          <w:tcPr>
            <w:tcW w:w="1710" w:type="dxa"/>
            <w:tcBorders>
              <w:top w:val="nil"/>
              <w:left w:val="nil"/>
              <w:bottom w:val="nil"/>
              <w:right w:val="nil"/>
            </w:tcBorders>
            <w:shd w:val="clear" w:color="000000" w:fill="054B56"/>
            <w:noWrap/>
            <w:vAlign w:val="bottom"/>
            <w:hideMark/>
          </w:tcPr>
          <w:p w14:paraId="5026F71F" w14:textId="77777777" w:rsidR="000E334C" w:rsidRPr="007C7F09" w:rsidRDefault="000E334C" w:rsidP="009800FD">
            <w:pPr>
              <w:rPr>
                <w:rFonts w:ascii="Calibri" w:hAnsi="Calibri"/>
                <w:b/>
                <w:bCs/>
                <w:color w:val="FFFFFF"/>
              </w:rPr>
            </w:pPr>
            <w:r w:rsidRPr="007C7F09">
              <w:rPr>
                <w:rFonts w:ascii="Calibri" w:hAnsi="Calibri"/>
                <w:b/>
                <w:bCs/>
                <w:color w:val="FFFFFF"/>
              </w:rPr>
              <w:t>Schools</w:t>
            </w:r>
          </w:p>
        </w:tc>
        <w:tc>
          <w:tcPr>
            <w:tcW w:w="2160" w:type="dxa"/>
            <w:tcBorders>
              <w:top w:val="single" w:sz="4" w:space="0" w:color="auto"/>
              <w:left w:val="single" w:sz="8" w:space="0" w:color="auto"/>
              <w:bottom w:val="single" w:sz="4" w:space="0" w:color="auto"/>
              <w:right w:val="nil"/>
            </w:tcBorders>
            <w:shd w:val="clear" w:color="auto" w:fill="auto"/>
            <w:noWrap/>
            <w:vAlign w:val="bottom"/>
            <w:hideMark/>
          </w:tcPr>
          <w:p w14:paraId="5026F720" w14:textId="77777777" w:rsidR="000E334C" w:rsidRDefault="000E334C" w:rsidP="009800FD">
            <w:pPr>
              <w:jc w:val="center"/>
              <w:rPr>
                <w:rFonts w:ascii="Calibri" w:hAnsi="Calibri"/>
                <w:color w:val="000000"/>
              </w:rPr>
            </w:pPr>
            <w:r>
              <w:rPr>
                <w:rFonts w:ascii="Calibri" w:hAnsi="Calibri"/>
                <w:color w:val="000000"/>
              </w:rPr>
              <w:t>8.07</w:t>
            </w:r>
          </w:p>
        </w:tc>
        <w:tc>
          <w:tcPr>
            <w:tcW w:w="1860" w:type="dxa"/>
            <w:tcBorders>
              <w:top w:val="single" w:sz="4" w:space="0" w:color="auto"/>
              <w:left w:val="nil"/>
              <w:bottom w:val="single" w:sz="4" w:space="0" w:color="auto"/>
              <w:right w:val="nil"/>
            </w:tcBorders>
            <w:shd w:val="clear" w:color="auto" w:fill="auto"/>
            <w:noWrap/>
            <w:vAlign w:val="bottom"/>
            <w:hideMark/>
          </w:tcPr>
          <w:p w14:paraId="5026F721" w14:textId="77777777" w:rsidR="000E334C" w:rsidRDefault="000E334C" w:rsidP="009800FD">
            <w:pPr>
              <w:jc w:val="center"/>
              <w:rPr>
                <w:rFonts w:ascii="Calibri" w:hAnsi="Calibri"/>
                <w:color w:val="000000"/>
              </w:rPr>
            </w:pPr>
            <w:r>
              <w:rPr>
                <w:rFonts w:ascii="Calibri" w:hAnsi="Calibri"/>
                <w:color w:val="000000"/>
              </w:rPr>
              <w:t>1.83</w:t>
            </w:r>
          </w:p>
        </w:tc>
        <w:tc>
          <w:tcPr>
            <w:tcW w:w="1543" w:type="dxa"/>
            <w:tcBorders>
              <w:top w:val="single" w:sz="4" w:space="0" w:color="auto"/>
              <w:left w:val="nil"/>
              <w:bottom w:val="single" w:sz="4" w:space="0" w:color="auto"/>
              <w:right w:val="single" w:sz="8" w:space="0" w:color="auto"/>
            </w:tcBorders>
            <w:shd w:val="clear" w:color="auto" w:fill="auto"/>
            <w:noWrap/>
            <w:vAlign w:val="bottom"/>
            <w:hideMark/>
          </w:tcPr>
          <w:p w14:paraId="5026F722" w14:textId="77777777" w:rsidR="000E334C" w:rsidRDefault="000E334C" w:rsidP="009800FD">
            <w:pPr>
              <w:jc w:val="center"/>
              <w:rPr>
                <w:rFonts w:ascii="Calibri" w:hAnsi="Calibri"/>
                <w:color w:val="000000"/>
              </w:rPr>
            </w:pPr>
            <w:r>
              <w:rPr>
                <w:rFonts w:ascii="Calibri" w:hAnsi="Calibri"/>
                <w:color w:val="000000"/>
              </w:rPr>
              <w:t>6.24</w:t>
            </w:r>
          </w:p>
        </w:tc>
      </w:tr>
      <w:tr w:rsidR="000E334C" w:rsidRPr="007C7F09" w14:paraId="5026F728" w14:textId="77777777" w:rsidTr="00840B5D">
        <w:trPr>
          <w:trHeight w:val="315"/>
          <w:jc w:val="center"/>
        </w:trPr>
        <w:tc>
          <w:tcPr>
            <w:tcW w:w="1710" w:type="dxa"/>
            <w:tcBorders>
              <w:top w:val="nil"/>
              <w:left w:val="nil"/>
              <w:bottom w:val="nil"/>
              <w:right w:val="nil"/>
            </w:tcBorders>
            <w:shd w:val="clear" w:color="000000" w:fill="054B56"/>
            <w:noWrap/>
            <w:vAlign w:val="bottom"/>
            <w:hideMark/>
          </w:tcPr>
          <w:p w14:paraId="5026F724" w14:textId="77777777" w:rsidR="000E334C" w:rsidRPr="007C7F09" w:rsidRDefault="000E334C" w:rsidP="009800FD">
            <w:pPr>
              <w:rPr>
                <w:rFonts w:ascii="Calibri" w:hAnsi="Calibri"/>
                <w:b/>
                <w:bCs/>
                <w:color w:val="FFFFFF"/>
              </w:rPr>
            </w:pPr>
            <w:r w:rsidRPr="007C7F09">
              <w:rPr>
                <w:rFonts w:ascii="Calibri" w:hAnsi="Calibri"/>
                <w:b/>
                <w:bCs/>
                <w:color w:val="FFFFFF"/>
              </w:rPr>
              <w:t>Restaurant</w:t>
            </w:r>
          </w:p>
        </w:tc>
        <w:tc>
          <w:tcPr>
            <w:tcW w:w="2160" w:type="dxa"/>
            <w:tcBorders>
              <w:top w:val="nil"/>
              <w:left w:val="single" w:sz="8" w:space="0" w:color="auto"/>
              <w:bottom w:val="single" w:sz="8" w:space="0" w:color="auto"/>
              <w:right w:val="nil"/>
            </w:tcBorders>
            <w:shd w:val="clear" w:color="auto" w:fill="auto"/>
            <w:noWrap/>
            <w:vAlign w:val="bottom"/>
            <w:hideMark/>
          </w:tcPr>
          <w:p w14:paraId="5026F725" w14:textId="77777777" w:rsidR="000E334C" w:rsidRDefault="000E334C" w:rsidP="009800FD">
            <w:pPr>
              <w:jc w:val="center"/>
              <w:rPr>
                <w:rFonts w:ascii="Calibri" w:hAnsi="Calibri"/>
                <w:color w:val="000000"/>
              </w:rPr>
            </w:pPr>
            <w:r>
              <w:rPr>
                <w:rFonts w:ascii="Calibri" w:hAnsi="Calibri"/>
                <w:color w:val="000000"/>
              </w:rPr>
              <w:t>20.07</w:t>
            </w:r>
          </w:p>
        </w:tc>
        <w:tc>
          <w:tcPr>
            <w:tcW w:w="1860" w:type="dxa"/>
            <w:tcBorders>
              <w:top w:val="nil"/>
              <w:left w:val="nil"/>
              <w:bottom w:val="single" w:sz="8" w:space="0" w:color="auto"/>
              <w:right w:val="nil"/>
            </w:tcBorders>
            <w:shd w:val="clear" w:color="auto" w:fill="auto"/>
            <w:noWrap/>
            <w:vAlign w:val="bottom"/>
            <w:hideMark/>
          </w:tcPr>
          <w:p w14:paraId="5026F726" w14:textId="77777777" w:rsidR="000E334C" w:rsidRDefault="000E334C" w:rsidP="009800FD">
            <w:pPr>
              <w:jc w:val="center"/>
              <w:rPr>
                <w:rFonts w:ascii="Calibri" w:hAnsi="Calibri"/>
                <w:color w:val="000000"/>
              </w:rPr>
            </w:pPr>
            <w:r>
              <w:rPr>
                <w:rFonts w:ascii="Calibri" w:hAnsi="Calibri"/>
                <w:color w:val="000000"/>
              </w:rPr>
              <w:t>4.56</w:t>
            </w:r>
          </w:p>
        </w:tc>
        <w:tc>
          <w:tcPr>
            <w:tcW w:w="1543" w:type="dxa"/>
            <w:tcBorders>
              <w:top w:val="nil"/>
              <w:left w:val="nil"/>
              <w:bottom w:val="single" w:sz="8" w:space="0" w:color="auto"/>
              <w:right w:val="single" w:sz="8" w:space="0" w:color="auto"/>
            </w:tcBorders>
            <w:shd w:val="clear" w:color="auto" w:fill="auto"/>
            <w:noWrap/>
            <w:vAlign w:val="bottom"/>
            <w:hideMark/>
          </w:tcPr>
          <w:p w14:paraId="5026F727" w14:textId="77777777" w:rsidR="000E334C" w:rsidRDefault="000E334C" w:rsidP="009800FD">
            <w:pPr>
              <w:jc w:val="center"/>
              <w:rPr>
                <w:rFonts w:ascii="Calibri" w:hAnsi="Calibri"/>
                <w:color w:val="000000"/>
              </w:rPr>
            </w:pPr>
            <w:r>
              <w:rPr>
                <w:rFonts w:ascii="Calibri" w:hAnsi="Calibri"/>
                <w:color w:val="000000"/>
              </w:rPr>
              <w:t>15.51</w:t>
            </w:r>
          </w:p>
        </w:tc>
      </w:tr>
    </w:tbl>
    <w:p w14:paraId="5026F729" w14:textId="77777777" w:rsidR="000E334C" w:rsidRDefault="000E334C" w:rsidP="000E334C">
      <w:pPr>
        <w:rPr>
          <w:rFonts w:cs="Arial"/>
          <w:b/>
          <w:szCs w:val="22"/>
        </w:rPr>
      </w:pPr>
    </w:p>
    <w:p w14:paraId="5026F72A" w14:textId="77777777" w:rsidR="009800FD" w:rsidRPr="008F7DD3" w:rsidRDefault="00F2059D" w:rsidP="000E334C">
      <w:pPr>
        <w:rPr>
          <w:rFonts w:cs="Arial"/>
          <w:szCs w:val="22"/>
        </w:rPr>
      </w:pPr>
      <w:r w:rsidRPr="008F7DD3">
        <w:rPr>
          <w:rFonts w:cs="Arial"/>
          <w:szCs w:val="22"/>
        </w:rPr>
        <w:t xml:space="preserve">The study also indicates that flow rates of up to 3.0 GPM were found at existing fixtures which </w:t>
      </w:r>
      <w:r w:rsidR="000E334C" w:rsidRPr="008F7DD3">
        <w:rPr>
          <w:rFonts w:cs="Arial"/>
          <w:szCs w:val="22"/>
        </w:rPr>
        <w:t xml:space="preserve">supports </w:t>
      </w:r>
      <w:r w:rsidRPr="008F7DD3">
        <w:rPr>
          <w:rFonts w:cs="Arial"/>
          <w:szCs w:val="22"/>
        </w:rPr>
        <w:t xml:space="preserve">the </w:t>
      </w:r>
      <w:r w:rsidR="000E334C" w:rsidRPr="008F7DD3">
        <w:rPr>
          <w:rFonts w:cs="Arial"/>
          <w:szCs w:val="22"/>
        </w:rPr>
        <w:t>claim that the Title 20 code is not considered an appropriate baseline flow rate due to strong evidence of a highe</w:t>
      </w:r>
      <w:r w:rsidRPr="008F7DD3">
        <w:rPr>
          <w:rFonts w:cs="Arial"/>
          <w:szCs w:val="22"/>
        </w:rPr>
        <w:t xml:space="preserve">r pre-existing flow rate. </w:t>
      </w:r>
    </w:p>
    <w:p w14:paraId="5026F731" w14:textId="0CCC764B" w:rsidR="00F75605" w:rsidRDefault="00F75605" w:rsidP="000E334C">
      <w:pPr>
        <w:rPr>
          <w:rFonts w:cs="Arial"/>
          <w:b/>
          <w:szCs w:val="22"/>
        </w:rPr>
      </w:pPr>
    </w:p>
    <w:p w14:paraId="5026F732" w14:textId="77777777" w:rsidR="009800FD" w:rsidRPr="00C86FE5" w:rsidRDefault="009800FD" w:rsidP="000E334C">
      <w:pPr>
        <w:rPr>
          <w:rFonts w:cs="Arial"/>
          <w:b/>
          <w:szCs w:val="22"/>
        </w:rPr>
      </w:pPr>
      <w:r w:rsidRPr="00C86FE5">
        <w:rPr>
          <w:rFonts w:cs="Arial"/>
          <w:b/>
          <w:szCs w:val="22"/>
        </w:rPr>
        <w:t>Concerns</w:t>
      </w:r>
    </w:p>
    <w:p w14:paraId="5026F733" w14:textId="77777777" w:rsidR="009800FD" w:rsidRPr="004F62F5" w:rsidRDefault="00021C1C" w:rsidP="009800FD">
      <w:pPr>
        <w:rPr>
          <w:rFonts w:cs="Arial"/>
          <w:color w:val="000000" w:themeColor="text1"/>
          <w:szCs w:val="22"/>
        </w:rPr>
      </w:pPr>
      <w:r w:rsidRPr="004F62F5">
        <w:rPr>
          <w:rFonts w:cs="Arial"/>
          <w:color w:val="000000" w:themeColor="text1"/>
          <w:szCs w:val="22"/>
        </w:rPr>
        <w:t xml:space="preserve">The sources reviewed for this study did not directly disaggregate </w:t>
      </w:r>
      <w:r w:rsidR="009800FD" w:rsidRPr="004F62F5">
        <w:rPr>
          <w:rFonts w:cs="Arial"/>
          <w:color w:val="000000" w:themeColor="text1"/>
          <w:szCs w:val="22"/>
        </w:rPr>
        <w:t>hot water consumption</w:t>
      </w:r>
      <w:r w:rsidRPr="004F62F5">
        <w:rPr>
          <w:rFonts w:cs="Arial"/>
          <w:color w:val="000000" w:themeColor="text1"/>
          <w:szCs w:val="22"/>
        </w:rPr>
        <w:t xml:space="preserve"> from overall water consumption. </w:t>
      </w:r>
      <w:r w:rsidR="00D75C90" w:rsidRPr="004F62F5">
        <w:rPr>
          <w:rFonts w:cs="Arial"/>
          <w:color w:val="000000" w:themeColor="text1"/>
          <w:szCs w:val="22"/>
        </w:rPr>
        <w:t xml:space="preserve">Other concerns include </w:t>
      </w:r>
      <w:r w:rsidRPr="004F62F5">
        <w:rPr>
          <w:rFonts w:cs="Arial"/>
          <w:color w:val="000000" w:themeColor="text1"/>
          <w:szCs w:val="22"/>
        </w:rPr>
        <w:t xml:space="preserve">the variation in purpose </w:t>
      </w:r>
      <w:r w:rsidR="00D75C90" w:rsidRPr="004F62F5">
        <w:rPr>
          <w:rFonts w:cs="Arial"/>
          <w:color w:val="000000" w:themeColor="text1"/>
          <w:szCs w:val="22"/>
        </w:rPr>
        <w:t>of</w:t>
      </w:r>
      <w:r w:rsidRPr="004F62F5">
        <w:rPr>
          <w:rFonts w:cs="Arial"/>
          <w:color w:val="000000" w:themeColor="text1"/>
          <w:szCs w:val="22"/>
        </w:rPr>
        <w:t xml:space="preserve"> the </w:t>
      </w:r>
      <w:r w:rsidR="00D75C90" w:rsidRPr="004F62F5">
        <w:rPr>
          <w:rFonts w:cs="Arial"/>
          <w:color w:val="000000" w:themeColor="text1"/>
          <w:szCs w:val="22"/>
        </w:rPr>
        <w:t>faucets</w:t>
      </w:r>
      <w:r w:rsidR="00351964" w:rsidRPr="004F62F5">
        <w:rPr>
          <w:rFonts w:cs="Arial"/>
          <w:color w:val="000000" w:themeColor="text1"/>
          <w:szCs w:val="22"/>
        </w:rPr>
        <w:t xml:space="preserve"> and the range in uses per day. </w:t>
      </w:r>
      <w:r w:rsidRPr="004F62F5">
        <w:rPr>
          <w:rFonts w:cs="Arial"/>
          <w:color w:val="000000" w:themeColor="text1"/>
          <w:szCs w:val="22"/>
        </w:rPr>
        <w:t xml:space="preserve">It is also not very clear how many faucets would actually benefit from the reduction in flow rate. Because of the limited </w:t>
      </w:r>
      <w:r w:rsidR="00351964" w:rsidRPr="004F62F5">
        <w:rPr>
          <w:rFonts w:cs="Arial"/>
          <w:color w:val="000000" w:themeColor="text1"/>
          <w:szCs w:val="22"/>
        </w:rPr>
        <w:t>sample size of commercial buildi</w:t>
      </w:r>
      <w:r w:rsidRPr="004F62F5">
        <w:rPr>
          <w:rFonts w:cs="Arial"/>
          <w:color w:val="000000" w:themeColor="text1"/>
          <w:szCs w:val="22"/>
        </w:rPr>
        <w:t xml:space="preserve">ngs and faucets, this study should </w:t>
      </w:r>
      <w:r w:rsidR="00351964" w:rsidRPr="004F62F5">
        <w:rPr>
          <w:rFonts w:cs="Arial"/>
          <w:color w:val="000000" w:themeColor="text1"/>
          <w:szCs w:val="22"/>
        </w:rPr>
        <w:t xml:space="preserve">be taken as a snapshot of the </w:t>
      </w:r>
      <w:r w:rsidRPr="004F62F5">
        <w:rPr>
          <w:rFonts w:cs="Arial"/>
          <w:color w:val="000000" w:themeColor="text1"/>
          <w:szCs w:val="22"/>
        </w:rPr>
        <w:t>commercial sector and not as a precise representation of the entire sector</w:t>
      </w:r>
      <w:r w:rsidR="00351964" w:rsidRPr="004F62F5">
        <w:rPr>
          <w:rFonts w:cs="Arial"/>
          <w:color w:val="000000" w:themeColor="text1"/>
          <w:szCs w:val="22"/>
        </w:rPr>
        <w:t xml:space="preserve">. </w:t>
      </w:r>
    </w:p>
    <w:p w14:paraId="5026F734" w14:textId="77777777" w:rsidR="001A1B6F" w:rsidRDefault="001A1B6F" w:rsidP="001A1B6F">
      <w:pPr>
        <w:rPr>
          <w:rFonts w:cs="Arial"/>
          <w:color w:val="FF0000"/>
          <w:szCs w:val="22"/>
        </w:rPr>
      </w:pPr>
    </w:p>
    <w:p w14:paraId="5026F735" w14:textId="77777777" w:rsidR="001A1B6F" w:rsidRPr="00920905" w:rsidRDefault="001A1B6F" w:rsidP="001A1B6F">
      <w:pPr>
        <w:pStyle w:val="Heading3"/>
        <w:rPr>
          <w:b w:val="0"/>
        </w:rPr>
      </w:pPr>
      <w:bookmarkStart w:id="30" w:name="_Ref478544356"/>
      <w:bookmarkStart w:id="31" w:name="_Ref478544362"/>
      <w:bookmarkStart w:id="32" w:name="_Toc478657390"/>
      <w:r w:rsidRPr="00920905">
        <w:rPr>
          <w:rFonts w:asciiTheme="minorHAnsi" w:hAnsiTheme="minorHAnsi"/>
        </w:rPr>
        <w:t>1.</w:t>
      </w:r>
      <w:r w:rsidR="00E74477">
        <w:rPr>
          <w:rFonts w:asciiTheme="minorHAnsi" w:hAnsiTheme="minorHAnsi"/>
        </w:rPr>
        <w:t xml:space="preserve">5.2 </w:t>
      </w:r>
      <w:r w:rsidR="00D56AE8" w:rsidRPr="00762366">
        <w:rPr>
          <w:rFonts w:asciiTheme="minorHAnsi" w:hAnsiTheme="minorHAnsi"/>
        </w:rPr>
        <w:t>W</w:t>
      </w:r>
      <w:r w:rsidR="008D7409" w:rsidRPr="00762366">
        <w:rPr>
          <w:rFonts w:asciiTheme="minorHAnsi" w:hAnsiTheme="minorHAnsi"/>
        </w:rPr>
        <w:t xml:space="preserve">ater Consumption Patterns </w:t>
      </w:r>
      <w:r w:rsidR="00D56AE8" w:rsidRPr="00762366">
        <w:rPr>
          <w:rFonts w:asciiTheme="minorHAnsi" w:hAnsiTheme="minorHAnsi"/>
        </w:rPr>
        <w:t>in Hospitals</w:t>
      </w:r>
      <w:bookmarkEnd w:id="30"/>
      <w:bookmarkEnd w:id="31"/>
      <w:bookmarkEnd w:id="32"/>
      <w:r w:rsidR="00D56AE8" w:rsidRPr="00762366">
        <w:rPr>
          <w:rFonts w:asciiTheme="minorHAnsi" w:hAnsiTheme="minorHAnsi"/>
        </w:rPr>
        <w:t xml:space="preserve"> </w:t>
      </w:r>
      <w:r w:rsidRPr="00762366">
        <w:rPr>
          <w:rFonts w:asciiTheme="minorHAnsi" w:hAnsiTheme="minorHAnsi"/>
        </w:rPr>
        <w:t xml:space="preserve">  </w:t>
      </w:r>
    </w:p>
    <w:p w14:paraId="5026F736" w14:textId="77777777" w:rsidR="00BE259A" w:rsidRDefault="00BE259A" w:rsidP="00BE259A">
      <w:pPr>
        <w:rPr>
          <w:rFonts w:cs="Arial"/>
          <w:b/>
          <w:szCs w:val="22"/>
        </w:rPr>
      </w:pPr>
      <w:r w:rsidRPr="001D35E9">
        <w:rPr>
          <w:rFonts w:cs="Arial"/>
          <w:b/>
          <w:szCs w:val="22"/>
        </w:rPr>
        <w:t>Overview</w:t>
      </w:r>
    </w:p>
    <w:p w14:paraId="5026F737" w14:textId="1A0C46AD" w:rsidR="0047130C" w:rsidRPr="00762366" w:rsidRDefault="00FC267F" w:rsidP="0047130C">
      <w:pPr>
        <w:rPr>
          <w:rFonts w:cs="Arial"/>
          <w:szCs w:val="22"/>
        </w:rPr>
      </w:pPr>
      <w:r w:rsidRPr="00762366">
        <w:rPr>
          <w:rFonts w:cs="Arial"/>
          <w:szCs w:val="22"/>
        </w:rPr>
        <w:t xml:space="preserve">Water consumption patterns were </w:t>
      </w:r>
      <w:r w:rsidR="0047130C" w:rsidRPr="00762366">
        <w:rPr>
          <w:rFonts w:cs="Arial"/>
          <w:szCs w:val="22"/>
        </w:rPr>
        <w:t xml:space="preserve">measured </w:t>
      </w:r>
      <w:r w:rsidR="00BB4E5E" w:rsidRPr="00762366">
        <w:rPr>
          <w:rFonts w:cs="Arial"/>
          <w:szCs w:val="22"/>
        </w:rPr>
        <w:t xml:space="preserve">and analyzed </w:t>
      </w:r>
      <w:r w:rsidR="00751D82" w:rsidRPr="00762366">
        <w:rPr>
          <w:rFonts w:cs="Arial"/>
          <w:szCs w:val="22"/>
        </w:rPr>
        <w:t>for 19</w:t>
      </w:r>
      <w:r w:rsidR="00D04520" w:rsidRPr="00762366">
        <w:rPr>
          <w:rFonts w:cs="Arial"/>
          <w:szCs w:val="22"/>
        </w:rPr>
        <w:t xml:space="preserve"> fa</w:t>
      </w:r>
      <w:r w:rsidR="00751D82" w:rsidRPr="00762366">
        <w:rPr>
          <w:rFonts w:cs="Arial"/>
          <w:szCs w:val="22"/>
        </w:rPr>
        <w:t xml:space="preserve">ucets at 3 hospitals over two </w:t>
      </w:r>
      <w:r w:rsidRPr="00762366">
        <w:rPr>
          <w:rFonts w:cs="Arial"/>
          <w:szCs w:val="22"/>
        </w:rPr>
        <w:t>10-day periods by Water Saver Solutions, Inc</w:t>
      </w:r>
      <w:r w:rsidR="00476B44" w:rsidRPr="00762366">
        <w:rPr>
          <w:rFonts w:cs="Arial"/>
          <w:szCs w:val="22"/>
        </w:rPr>
        <w:t>. in 2016</w:t>
      </w:r>
      <w:r w:rsidRPr="00762366">
        <w:rPr>
          <w:rFonts w:cs="Arial"/>
          <w:szCs w:val="22"/>
        </w:rPr>
        <w:t>. The first 10-day period measured basel</w:t>
      </w:r>
      <w:r w:rsidR="0021454A" w:rsidRPr="00762366">
        <w:rPr>
          <w:rFonts w:cs="Arial"/>
          <w:szCs w:val="22"/>
        </w:rPr>
        <w:t xml:space="preserve">ine water consumption patterns </w:t>
      </w:r>
      <w:r w:rsidRPr="00762366">
        <w:rPr>
          <w:rFonts w:cs="Arial"/>
          <w:szCs w:val="22"/>
        </w:rPr>
        <w:t xml:space="preserve">before the installation of flow control devices. The second 10-day period measured the post-installation consumption patterns. </w:t>
      </w:r>
      <w:r w:rsidR="0047130C" w:rsidRPr="00762366">
        <w:rPr>
          <w:rFonts w:cs="Arial"/>
          <w:szCs w:val="22"/>
        </w:rPr>
        <w:t xml:space="preserve">The purpose of this study was </w:t>
      </w:r>
      <w:r w:rsidR="00BB4E5E" w:rsidRPr="00762366">
        <w:rPr>
          <w:rFonts w:cs="Arial"/>
          <w:szCs w:val="22"/>
        </w:rPr>
        <w:t>to investigate existing water consumption patterns</w:t>
      </w:r>
      <w:r w:rsidR="0021454A" w:rsidRPr="00762366">
        <w:rPr>
          <w:rFonts w:cs="Arial"/>
          <w:szCs w:val="22"/>
        </w:rPr>
        <w:t xml:space="preserve"> </w:t>
      </w:r>
      <w:r w:rsidR="00BB4E5E" w:rsidRPr="00762366">
        <w:rPr>
          <w:rFonts w:cs="Arial"/>
          <w:szCs w:val="22"/>
        </w:rPr>
        <w:t>(e.g. time usage per day, gallons of water consumed per day, length of average usage instance, existing faucet flow rates)</w:t>
      </w:r>
      <w:r w:rsidR="0021454A" w:rsidRPr="00762366">
        <w:rPr>
          <w:rFonts w:cs="Arial"/>
          <w:szCs w:val="22"/>
        </w:rPr>
        <w:t xml:space="preserve"> at various faucet types and determine the impacts of installing </w:t>
      </w:r>
      <w:r w:rsidR="00F55836" w:rsidRPr="00762366">
        <w:rPr>
          <w:rFonts w:cs="Arial"/>
          <w:szCs w:val="22"/>
        </w:rPr>
        <w:t>faucet flow control devices</w:t>
      </w:r>
      <w:r w:rsidR="0021454A" w:rsidRPr="00762366">
        <w:rPr>
          <w:rFonts w:cs="Arial"/>
          <w:szCs w:val="22"/>
        </w:rPr>
        <w:t xml:space="preserve">. </w:t>
      </w:r>
    </w:p>
    <w:p w14:paraId="5026F738" w14:textId="77777777" w:rsidR="00BE259A" w:rsidRDefault="00BE259A" w:rsidP="00BE259A">
      <w:pPr>
        <w:rPr>
          <w:rFonts w:cs="Arial"/>
          <w:color w:val="FF0000"/>
          <w:szCs w:val="22"/>
        </w:rPr>
      </w:pPr>
    </w:p>
    <w:p w14:paraId="11E3F940" w14:textId="77777777" w:rsidR="00911ADB" w:rsidRDefault="00911ADB" w:rsidP="00BE259A">
      <w:pPr>
        <w:rPr>
          <w:rFonts w:cs="Arial"/>
          <w:b/>
          <w:szCs w:val="22"/>
        </w:rPr>
      </w:pPr>
    </w:p>
    <w:p w14:paraId="5026F739" w14:textId="5946F2F8" w:rsidR="00BE259A" w:rsidRDefault="00BE259A" w:rsidP="00BE259A">
      <w:pPr>
        <w:rPr>
          <w:rFonts w:cs="Arial"/>
          <w:b/>
          <w:szCs w:val="22"/>
        </w:rPr>
      </w:pPr>
      <w:r w:rsidRPr="000262D9">
        <w:rPr>
          <w:rFonts w:cs="Arial"/>
          <w:b/>
          <w:szCs w:val="22"/>
        </w:rPr>
        <w:lastRenderedPageBreak/>
        <w:t>Techniques Used</w:t>
      </w:r>
    </w:p>
    <w:p w14:paraId="5026F73A" w14:textId="77777777" w:rsidR="00AC6A51" w:rsidRPr="00762366" w:rsidRDefault="00935107" w:rsidP="002E5DDB">
      <w:pPr>
        <w:rPr>
          <w:rFonts w:cs="Arial"/>
          <w:szCs w:val="22"/>
        </w:rPr>
      </w:pPr>
      <w:r w:rsidRPr="00762366">
        <w:rPr>
          <w:rFonts w:cs="Arial"/>
          <w:szCs w:val="22"/>
        </w:rPr>
        <w:t>F</w:t>
      </w:r>
      <w:r w:rsidR="00F04606" w:rsidRPr="00762366">
        <w:rPr>
          <w:rFonts w:cs="Arial"/>
          <w:szCs w:val="22"/>
        </w:rPr>
        <w:t>au</w:t>
      </w:r>
      <w:r w:rsidR="007923AD" w:rsidRPr="00762366">
        <w:rPr>
          <w:rFonts w:cs="Arial"/>
          <w:szCs w:val="22"/>
        </w:rPr>
        <w:t xml:space="preserve">cets </w:t>
      </w:r>
      <w:r w:rsidR="00F04606" w:rsidRPr="00762366">
        <w:rPr>
          <w:rFonts w:cs="Arial"/>
          <w:szCs w:val="22"/>
        </w:rPr>
        <w:t xml:space="preserve">of various types </w:t>
      </w:r>
      <w:r w:rsidR="007923AD" w:rsidRPr="00762366">
        <w:rPr>
          <w:rFonts w:cs="Arial"/>
          <w:szCs w:val="22"/>
        </w:rPr>
        <w:t xml:space="preserve">at each hospital </w:t>
      </w:r>
      <w:r w:rsidR="00F04606" w:rsidRPr="00762366">
        <w:rPr>
          <w:rFonts w:cs="Arial"/>
          <w:szCs w:val="22"/>
        </w:rPr>
        <w:t>were spot checked and metered over two 10-day periods. These faucet types include: public restroom, private patient room, patient care, nurse stations, and scrub sinks.</w:t>
      </w:r>
    </w:p>
    <w:p w14:paraId="5026F73B" w14:textId="77777777" w:rsidR="002E5DDB" w:rsidRPr="00762366" w:rsidRDefault="002E5DDB" w:rsidP="002E5DDB">
      <w:pPr>
        <w:rPr>
          <w:rFonts w:cs="Arial"/>
          <w:szCs w:val="22"/>
        </w:rPr>
      </w:pPr>
    </w:p>
    <w:p w14:paraId="5026F73C" w14:textId="77777777" w:rsidR="00AC6A51" w:rsidRPr="00762366" w:rsidRDefault="00AC6A51" w:rsidP="002E5DDB">
      <w:pPr>
        <w:rPr>
          <w:rFonts w:cs="Arial"/>
          <w:szCs w:val="22"/>
        </w:rPr>
      </w:pPr>
      <w:r w:rsidRPr="00762366">
        <w:rPr>
          <w:rFonts w:cs="Arial"/>
          <w:szCs w:val="22"/>
        </w:rPr>
        <w:t xml:space="preserve">Faucets were spot checked using physical measurement techniques. </w:t>
      </w:r>
      <w:r w:rsidR="00F55836" w:rsidRPr="00762366">
        <w:rPr>
          <w:rFonts w:cs="Arial"/>
          <w:szCs w:val="22"/>
        </w:rPr>
        <w:t xml:space="preserve">Flow rate measurements were taken </w:t>
      </w:r>
      <w:r w:rsidR="007923AD" w:rsidRPr="00762366">
        <w:rPr>
          <w:rFonts w:cs="Arial"/>
          <w:szCs w:val="22"/>
        </w:rPr>
        <w:t xml:space="preserve">using digital flow meters or </w:t>
      </w:r>
      <w:r w:rsidR="002E5DDB" w:rsidRPr="00762366">
        <w:rPr>
          <w:rFonts w:cs="Arial"/>
          <w:szCs w:val="22"/>
        </w:rPr>
        <w:t xml:space="preserve">a </w:t>
      </w:r>
      <w:r w:rsidR="007923AD" w:rsidRPr="00762366">
        <w:rPr>
          <w:rFonts w:cs="Arial"/>
          <w:szCs w:val="22"/>
        </w:rPr>
        <w:t xml:space="preserve">flow rate measurement bag. </w:t>
      </w:r>
      <w:r w:rsidR="0061391A" w:rsidRPr="00762366">
        <w:rPr>
          <w:rFonts w:cs="Arial"/>
          <w:szCs w:val="22"/>
        </w:rPr>
        <w:t xml:space="preserve">Water temperature coming out </w:t>
      </w:r>
      <w:r w:rsidR="002E5DDB" w:rsidRPr="00762366">
        <w:rPr>
          <w:rFonts w:cs="Arial"/>
          <w:szCs w:val="22"/>
        </w:rPr>
        <w:t xml:space="preserve">of the faucet was determined </w:t>
      </w:r>
      <w:r w:rsidR="0061391A" w:rsidRPr="00762366">
        <w:rPr>
          <w:rFonts w:cs="Arial"/>
          <w:szCs w:val="22"/>
        </w:rPr>
        <w:t xml:space="preserve">using a temperature gun. </w:t>
      </w:r>
    </w:p>
    <w:p w14:paraId="5026F73D" w14:textId="77777777" w:rsidR="002E5DDB" w:rsidRPr="00762366" w:rsidRDefault="002E5DDB" w:rsidP="002E5DDB">
      <w:pPr>
        <w:rPr>
          <w:rFonts w:cs="Arial"/>
          <w:szCs w:val="22"/>
        </w:rPr>
      </w:pPr>
    </w:p>
    <w:p w14:paraId="5026F73E" w14:textId="77777777" w:rsidR="00BE259A" w:rsidRPr="00762366" w:rsidRDefault="00AC6A51" w:rsidP="002E5DDB">
      <w:pPr>
        <w:rPr>
          <w:rFonts w:cs="Arial"/>
          <w:szCs w:val="22"/>
        </w:rPr>
      </w:pPr>
      <w:r w:rsidRPr="00762366">
        <w:rPr>
          <w:rFonts w:cs="Arial"/>
          <w:szCs w:val="22"/>
        </w:rPr>
        <w:t>Flow meters and data loggers were al</w:t>
      </w:r>
      <w:r w:rsidR="002E5DDB" w:rsidRPr="00762366">
        <w:rPr>
          <w:rFonts w:cs="Arial"/>
          <w:szCs w:val="22"/>
        </w:rPr>
        <w:t xml:space="preserve">so installed to obtain more detailed </w:t>
      </w:r>
      <w:r w:rsidRPr="00762366">
        <w:rPr>
          <w:rFonts w:cs="Arial"/>
          <w:szCs w:val="22"/>
        </w:rPr>
        <w:t xml:space="preserve">consumption data at each faucet. These devices were calibrated to take measurements over two 10-day periods. </w:t>
      </w:r>
    </w:p>
    <w:p w14:paraId="5026F73F" w14:textId="77777777" w:rsidR="00BE259A" w:rsidRDefault="00BE259A" w:rsidP="00BE259A">
      <w:pPr>
        <w:rPr>
          <w:rFonts w:cs="Arial"/>
          <w:color w:val="FF0000"/>
          <w:szCs w:val="22"/>
        </w:rPr>
      </w:pPr>
    </w:p>
    <w:p w14:paraId="5026F740" w14:textId="77777777" w:rsidR="00BE259A" w:rsidRDefault="00BE259A" w:rsidP="00BE259A">
      <w:pPr>
        <w:rPr>
          <w:rFonts w:cs="Arial"/>
          <w:b/>
          <w:szCs w:val="22"/>
        </w:rPr>
      </w:pPr>
      <w:r>
        <w:rPr>
          <w:rFonts w:cs="Arial"/>
          <w:b/>
          <w:szCs w:val="22"/>
        </w:rPr>
        <w:t>Results and Impacts</w:t>
      </w:r>
    </w:p>
    <w:p w14:paraId="5026F741" w14:textId="10C2FFE3" w:rsidR="00F070CE" w:rsidRPr="00762366" w:rsidRDefault="00456876" w:rsidP="00BE259A">
      <w:pPr>
        <w:rPr>
          <w:rFonts w:cs="Arial"/>
          <w:szCs w:val="22"/>
        </w:rPr>
      </w:pPr>
      <w:r w:rsidRPr="00762366">
        <w:rPr>
          <w:rFonts w:cs="Arial"/>
          <w:szCs w:val="22"/>
        </w:rPr>
        <w:t xml:space="preserve">The results of this study provide useful information on the water consumption patterns at existing faucets in large hospitals. These results also help verify </w:t>
      </w:r>
      <w:r w:rsidR="00762366" w:rsidRPr="00762366">
        <w:rPr>
          <w:rFonts w:cs="Arial"/>
          <w:szCs w:val="22"/>
        </w:rPr>
        <w:t xml:space="preserve">the </w:t>
      </w:r>
      <w:r w:rsidRPr="00762366">
        <w:rPr>
          <w:rFonts w:cs="Arial"/>
          <w:szCs w:val="22"/>
        </w:rPr>
        <w:t>underlying assumptions made in the savings calculat</w:t>
      </w:r>
      <w:r w:rsidR="00EE0B68">
        <w:rPr>
          <w:rFonts w:cs="Arial"/>
          <w:szCs w:val="22"/>
        </w:rPr>
        <w:t>ions for this workpaper measure such as usage time, existing flow rate,</w:t>
      </w:r>
      <w:r w:rsidR="00157CA3">
        <w:rPr>
          <w:rFonts w:cs="Arial"/>
          <w:szCs w:val="22"/>
        </w:rPr>
        <w:t xml:space="preserve"> behavioral factor </w:t>
      </w:r>
      <w:r w:rsidR="00EE0B68">
        <w:rPr>
          <w:rFonts w:cs="Arial"/>
          <w:szCs w:val="22"/>
        </w:rPr>
        <w:t>and mixed water temperature</w:t>
      </w:r>
      <w:r w:rsidR="003F5555">
        <w:rPr>
          <w:rFonts w:cs="Arial"/>
          <w:szCs w:val="22"/>
        </w:rPr>
        <w:t xml:space="preserve"> coming out of a faucet</w:t>
      </w:r>
      <w:r w:rsidR="00EE0B68">
        <w:rPr>
          <w:rFonts w:cs="Arial"/>
          <w:szCs w:val="22"/>
        </w:rPr>
        <w:t>.</w:t>
      </w:r>
      <w:r w:rsidRPr="00762366">
        <w:rPr>
          <w:rFonts w:cs="Arial"/>
          <w:szCs w:val="22"/>
        </w:rPr>
        <w:t xml:space="preserve"> </w:t>
      </w:r>
      <w:r w:rsidR="0029754B" w:rsidRPr="00762366">
        <w:rPr>
          <w:rFonts w:cs="Arial"/>
          <w:szCs w:val="22"/>
        </w:rPr>
        <w:t xml:space="preserve">Moreover, the results of this study also reveal that faucet usage time is not significantly impacted by the installation of flow restrictors. </w:t>
      </w:r>
      <w:r w:rsidR="00157CA3">
        <w:rPr>
          <w:rFonts w:cs="Arial"/>
          <w:szCs w:val="22"/>
        </w:rPr>
        <w:t xml:space="preserve">A sample </w:t>
      </w:r>
      <w:r w:rsidR="009634B8">
        <w:rPr>
          <w:rFonts w:cs="Arial"/>
          <w:szCs w:val="22"/>
        </w:rPr>
        <w:t xml:space="preserve">subset </w:t>
      </w:r>
      <w:r w:rsidR="00157CA3">
        <w:rPr>
          <w:rFonts w:cs="Arial"/>
          <w:szCs w:val="22"/>
        </w:rPr>
        <w:t xml:space="preserve">of the data collected </w:t>
      </w:r>
      <w:r w:rsidR="002E5DDB" w:rsidRPr="00762366">
        <w:rPr>
          <w:rFonts w:cs="Arial"/>
          <w:szCs w:val="22"/>
        </w:rPr>
        <w:t xml:space="preserve">can be found in </w:t>
      </w:r>
      <w:r w:rsidR="00067F26" w:rsidRPr="00067F26">
        <w:rPr>
          <w:rFonts w:cs="Arial"/>
          <w:b/>
          <w:i/>
          <w:szCs w:val="22"/>
        </w:rPr>
        <w:t>Attachment C</w:t>
      </w:r>
      <w:r w:rsidR="0029754B" w:rsidRPr="00067F26">
        <w:rPr>
          <w:rFonts w:cs="Arial"/>
          <w:szCs w:val="22"/>
        </w:rPr>
        <w:t>.</w:t>
      </w:r>
      <w:r w:rsidR="0029754B" w:rsidRPr="00762366">
        <w:rPr>
          <w:rFonts w:cs="Arial"/>
          <w:szCs w:val="22"/>
        </w:rPr>
        <w:t xml:space="preserve"> </w:t>
      </w:r>
    </w:p>
    <w:p w14:paraId="5026F742" w14:textId="77777777" w:rsidR="002E5DDB" w:rsidRDefault="002E5DDB" w:rsidP="00BE259A">
      <w:pPr>
        <w:rPr>
          <w:rFonts w:cs="Arial"/>
          <w:color w:val="0070C0"/>
          <w:szCs w:val="22"/>
        </w:rPr>
      </w:pPr>
    </w:p>
    <w:p w14:paraId="5026F750" w14:textId="245A2E45" w:rsidR="00BE259A" w:rsidRPr="00C86FE5" w:rsidRDefault="00BE259A" w:rsidP="00BE259A">
      <w:pPr>
        <w:rPr>
          <w:rFonts w:cs="Arial"/>
          <w:b/>
          <w:szCs w:val="22"/>
        </w:rPr>
      </w:pPr>
      <w:r w:rsidRPr="00C86FE5">
        <w:rPr>
          <w:rFonts w:cs="Arial"/>
          <w:b/>
          <w:szCs w:val="22"/>
        </w:rPr>
        <w:t>Concerns</w:t>
      </w:r>
    </w:p>
    <w:p w14:paraId="5026F753" w14:textId="55A52476" w:rsidR="00BE259A" w:rsidRPr="00762366" w:rsidRDefault="006E1B78" w:rsidP="00BE259A">
      <w:pPr>
        <w:rPr>
          <w:rFonts w:cs="Arial"/>
          <w:szCs w:val="22"/>
        </w:rPr>
      </w:pPr>
      <w:r w:rsidRPr="00762366">
        <w:rPr>
          <w:rFonts w:cs="Arial"/>
          <w:szCs w:val="22"/>
        </w:rPr>
        <w:t>One concern would be the small sample si</w:t>
      </w:r>
      <w:r w:rsidR="0029754B" w:rsidRPr="00762366">
        <w:rPr>
          <w:rFonts w:cs="Arial"/>
          <w:szCs w:val="22"/>
        </w:rPr>
        <w:t>ze of faucets taken. Only</w:t>
      </w:r>
      <w:r w:rsidR="00ED35CC" w:rsidRPr="00762366">
        <w:rPr>
          <w:rFonts w:cs="Arial"/>
          <w:szCs w:val="22"/>
        </w:rPr>
        <w:t xml:space="preserve"> 6 or 7 </w:t>
      </w:r>
      <w:r w:rsidRPr="00762366">
        <w:rPr>
          <w:rFonts w:cs="Arial"/>
          <w:szCs w:val="22"/>
        </w:rPr>
        <w:t xml:space="preserve">faucets were monitored at each hospital and it is estimated that </w:t>
      </w:r>
      <w:r w:rsidR="00ED35CC" w:rsidRPr="00762366">
        <w:rPr>
          <w:rFonts w:cs="Arial"/>
          <w:szCs w:val="22"/>
        </w:rPr>
        <w:t xml:space="preserve">each of </w:t>
      </w:r>
      <w:r w:rsidRPr="00762366">
        <w:rPr>
          <w:rFonts w:cs="Arial"/>
          <w:szCs w:val="22"/>
        </w:rPr>
        <w:t xml:space="preserve">these </w:t>
      </w:r>
      <w:r w:rsidR="00ED35CC" w:rsidRPr="00762366">
        <w:rPr>
          <w:rFonts w:cs="Arial"/>
          <w:szCs w:val="22"/>
        </w:rPr>
        <w:t>facilities has anywhere from 400-8</w:t>
      </w:r>
      <w:r w:rsidRPr="00762366">
        <w:rPr>
          <w:rFonts w:cs="Arial"/>
          <w:szCs w:val="22"/>
        </w:rPr>
        <w:t>00 faucets. Thus, these results should be interpreted as a snapshot of the faucet consumption of a health care facility and not representative of all the faucets</w:t>
      </w:r>
      <w:r w:rsidR="0029754B" w:rsidRPr="00762366">
        <w:rPr>
          <w:rFonts w:cs="Arial"/>
          <w:szCs w:val="22"/>
        </w:rPr>
        <w:t xml:space="preserve"> of the entire facility as a who</w:t>
      </w:r>
      <w:r w:rsidRPr="00762366">
        <w:rPr>
          <w:rFonts w:cs="Arial"/>
          <w:szCs w:val="22"/>
        </w:rPr>
        <w:t>le. More monitoring is needed to determine how well the results</w:t>
      </w:r>
      <w:r w:rsidR="00ED35CC" w:rsidRPr="00762366">
        <w:rPr>
          <w:rFonts w:cs="Arial"/>
          <w:szCs w:val="22"/>
        </w:rPr>
        <w:t xml:space="preserve"> of these </w:t>
      </w:r>
      <w:r w:rsidR="0029754B" w:rsidRPr="00762366">
        <w:rPr>
          <w:rFonts w:cs="Arial"/>
          <w:szCs w:val="22"/>
        </w:rPr>
        <w:t xml:space="preserve">subsets of faucets </w:t>
      </w:r>
      <w:r w:rsidRPr="00762366">
        <w:rPr>
          <w:rFonts w:cs="Arial"/>
          <w:szCs w:val="22"/>
        </w:rPr>
        <w:t xml:space="preserve">represent all of the </w:t>
      </w:r>
      <w:r w:rsidR="0029754B" w:rsidRPr="00762366">
        <w:rPr>
          <w:rFonts w:cs="Arial"/>
          <w:szCs w:val="22"/>
        </w:rPr>
        <w:t>faucets</w:t>
      </w:r>
      <w:r w:rsidRPr="00762366">
        <w:rPr>
          <w:rFonts w:cs="Arial"/>
          <w:szCs w:val="22"/>
        </w:rPr>
        <w:t xml:space="preserve"> of the </w:t>
      </w:r>
      <w:r w:rsidR="0029754B" w:rsidRPr="00762366">
        <w:rPr>
          <w:rFonts w:cs="Arial"/>
          <w:szCs w:val="22"/>
        </w:rPr>
        <w:t xml:space="preserve">hospital as a whole </w:t>
      </w:r>
      <w:r w:rsidR="00456876" w:rsidRPr="00762366">
        <w:rPr>
          <w:rFonts w:cs="Arial"/>
          <w:szCs w:val="22"/>
        </w:rPr>
        <w:t xml:space="preserve">and how they scale to similar but smaller sized facilities such as clinics or nursing homes. </w:t>
      </w:r>
      <w:r w:rsidRPr="00762366">
        <w:rPr>
          <w:rFonts w:cs="Arial"/>
          <w:szCs w:val="22"/>
        </w:rPr>
        <w:t xml:space="preserve"> </w:t>
      </w:r>
    </w:p>
    <w:p w14:paraId="5026F754" w14:textId="77777777" w:rsidR="00BE259A" w:rsidRDefault="00BE259A" w:rsidP="001A1B6F">
      <w:pPr>
        <w:rPr>
          <w:rFonts w:cs="Arial"/>
          <w:color w:val="FF0000"/>
          <w:szCs w:val="22"/>
        </w:rPr>
      </w:pPr>
    </w:p>
    <w:p w14:paraId="5026F771" w14:textId="77777777" w:rsidR="00C86FE5" w:rsidRPr="00C86FE5" w:rsidRDefault="001A1B6F" w:rsidP="00C86FE5">
      <w:pPr>
        <w:pStyle w:val="Heading3"/>
        <w:rPr>
          <w:b w:val="0"/>
        </w:rPr>
      </w:pPr>
      <w:bookmarkStart w:id="33" w:name="_Ref478544442"/>
      <w:bookmarkStart w:id="34" w:name="_Toc478657391"/>
      <w:r w:rsidRPr="00920905">
        <w:rPr>
          <w:rFonts w:asciiTheme="minorHAnsi" w:hAnsiTheme="minorHAnsi"/>
        </w:rPr>
        <w:t>1.</w:t>
      </w:r>
      <w:r w:rsidR="00A14080">
        <w:rPr>
          <w:rFonts w:asciiTheme="minorHAnsi" w:hAnsiTheme="minorHAnsi"/>
        </w:rPr>
        <w:t xml:space="preserve">5.3 </w:t>
      </w:r>
      <w:r w:rsidR="00B06112" w:rsidRPr="00EE0B68">
        <w:rPr>
          <w:rFonts w:asciiTheme="minorHAnsi" w:hAnsiTheme="minorHAnsi"/>
        </w:rPr>
        <w:t xml:space="preserve">Existing Fixtures and </w:t>
      </w:r>
      <w:r w:rsidR="00C86FE5" w:rsidRPr="00EE0B68">
        <w:rPr>
          <w:rFonts w:asciiTheme="minorHAnsi" w:hAnsiTheme="minorHAnsi"/>
        </w:rPr>
        <w:t>W</w:t>
      </w:r>
      <w:r w:rsidR="00E74477" w:rsidRPr="00EE0B68">
        <w:rPr>
          <w:rFonts w:asciiTheme="minorHAnsi" w:hAnsiTheme="minorHAnsi"/>
        </w:rPr>
        <w:t>ater Consumption Pattern</w:t>
      </w:r>
      <w:r w:rsidR="00C86FE5" w:rsidRPr="00EE0B68">
        <w:rPr>
          <w:rFonts w:asciiTheme="minorHAnsi" w:hAnsiTheme="minorHAnsi"/>
        </w:rPr>
        <w:t>s in Hotels</w:t>
      </w:r>
      <w:bookmarkEnd w:id="33"/>
      <w:bookmarkEnd w:id="34"/>
      <w:r w:rsidR="00C86FE5" w:rsidRPr="00EE0B68">
        <w:rPr>
          <w:rFonts w:asciiTheme="minorHAnsi" w:hAnsiTheme="minorHAnsi"/>
        </w:rPr>
        <w:t xml:space="preserve"> </w:t>
      </w:r>
      <w:r w:rsidRPr="00EE0B68">
        <w:rPr>
          <w:rFonts w:asciiTheme="minorHAnsi" w:hAnsiTheme="minorHAnsi"/>
        </w:rPr>
        <w:t xml:space="preserve">  </w:t>
      </w:r>
    </w:p>
    <w:p w14:paraId="5026F772" w14:textId="77777777" w:rsidR="00E74477" w:rsidRDefault="00E74477" w:rsidP="001A1B6F">
      <w:pPr>
        <w:rPr>
          <w:rFonts w:cs="Arial"/>
          <w:color w:val="FF0000"/>
          <w:szCs w:val="22"/>
        </w:rPr>
      </w:pPr>
    </w:p>
    <w:p w14:paraId="5026F773" w14:textId="77777777" w:rsidR="00E74477" w:rsidRDefault="00E74477" w:rsidP="00E74477">
      <w:pPr>
        <w:rPr>
          <w:rFonts w:cs="Arial"/>
          <w:b/>
          <w:szCs w:val="22"/>
        </w:rPr>
      </w:pPr>
      <w:r w:rsidRPr="001D35E9">
        <w:rPr>
          <w:rFonts w:cs="Arial"/>
          <w:b/>
          <w:szCs w:val="22"/>
        </w:rPr>
        <w:t>Overview</w:t>
      </w:r>
    </w:p>
    <w:p w14:paraId="5026F774" w14:textId="047D8E26" w:rsidR="000531D7" w:rsidRPr="00EE0B68" w:rsidRDefault="000531D7" w:rsidP="00E74477">
      <w:pPr>
        <w:rPr>
          <w:rFonts w:cs="Arial"/>
          <w:szCs w:val="22"/>
        </w:rPr>
      </w:pPr>
      <w:r w:rsidRPr="00EE0B68">
        <w:rPr>
          <w:rFonts w:cs="Arial"/>
          <w:szCs w:val="22"/>
        </w:rPr>
        <w:t xml:space="preserve">Surveys were conducted by Blackstone Research Solutions, Inc. </w:t>
      </w:r>
      <w:r w:rsidR="00DF0F2A" w:rsidRPr="00EE0B68">
        <w:rPr>
          <w:rFonts w:cs="Arial"/>
          <w:szCs w:val="22"/>
        </w:rPr>
        <w:t xml:space="preserve">in 2016 </w:t>
      </w:r>
      <w:r w:rsidRPr="00EE0B68">
        <w:rPr>
          <w:rFonts w:cs="Arial"/>
          <w:szCs w:val="22"/>
        </w:rPr>
        <w:t>at five hotels to obtain information on the condition of the existing water fixtures at these s</w:t>
      </w:r>
      <w:r w:rsidR="00DF0F2A" w:rsidRPr="00EE0B68">
        <w:rPr>
          <w:rFonts w:cs="Arial"/>
          <w:szCs w:val="22"/>
        </w:rPr>
        <w:t xml:space="preserve">ites. Faucets at </w:t>
      </w:r>
      <w:r w:rsidR="00E220DA" w:rsidRPr="00EE0B68">
        <w:rPr>
          <w:rFonts w:cs="Arial"/>
          <w:szCs w:val="22"/>
        </w:rPr>
        <w:t>three</w:t>
      </w:r>
      <w:r w:rsidRPr="00EE0B68">
        <w:rPr>
          <w:rFonts w:cs="Arial"/>
          <w:szCs w:val="22"/>
        </w:rPr>
        <w:t xml:space="preserve"> of the five sites were also metered in order to gather data on water consumption patterns </w:t>
      </w:r>
      <w:r w:rsidR="00D963E0" w:rsidRPr="00EE0B68">
        <w:rPr>
          <w:rFonts w:cs="Arial"/>
          <w:szCs w:val="22"/>
        </w:rPr>
        <w:t xml:space="preserve">for these building types. </w:t>
      </w:r>
    </w:p>
    <w:p w14:paraId="5026F775" w14:textId="77777777" w:rsidR="00E74477" w:rsidRDefault="00E74477" w:rsidP="00E74477">
      <w:pPr>
        <w:rPr>
          <w:rFonts w:cs="Arial"/>
          <w:color w:val="FF0000"/>
          <w:szCs w:val="22"/>
        </w:rPr>
      </w:pPr>
    </w:p>
    <w:p w14:paraId="5026F776" w14:textId="77777777" w:rsidR="00E74477" w:rsidRDefault="00E74477" w:rsidP="00E74477">
      <w:pPr>
        <w:rPr>
          <w:rFonts w:cs="Arial"/>
          <w:b/>
          <w:szCs w:val="22"/>
        </w:rPr>
      </w:pPr>
      <w:r w:rsidRPr="000262D9">
        <w:rPr>
          <w:rFonts w:cs="Arial"/>
          <w:b/>
          <w:szCs w:val="22"/>
        </w:rPr>
        <w:t>Techniques Used</w:t>
      </w:r>
    </w:p>
    <w:p w14:paraId="5026F777" w14:textId="35F87133" w:rsidR="00C91817" w:rsidRPr="00EE0B68" w:rsidRDefault="00C91817" w:rsidP="00C91817">
      <w:pPr>
        <w:rPr>
          <w:rFonts w:cs="Arial"/>
          <w:szCs w:val="22"/>
        </w:rPr>
      </w:pPr>
      <w:r w:rsidRPr="00EE0B68">
        <w:rPr>
          <w:rFonts w:cs="Arial"/>
          <w:szCs w:val="22"/>
        </w:rPr>
        <w:t xml:space="preserve">Water fixtures of various types at each hotel </w:t>
      </w:r>
      <w:r w:rsidR="00E74477" w:rsidRPr="00EE0B68">
        <w:rPr>
          <w:rFonts w:cs="Arial"/>
          <w:szCs w:val="22"/>
        </w:rPr>
        <w:t xml:space="preserve">were spot checked </w:t>
      </w:r>
      <w:r w:rsidRPr="00EE0B68">
        <w:rPr>
          <w:rFonts w:cs="Arial"/>
          <w:szCs w:val="22"/>
        </w:rPr>
        <w:t>for flow rate and water temperature. Flow rate measur</w:t>
      </w:r>
      <w:r w:rsidR="00DF0F2A" w:rsidRPr="00EE0B68">
        <w:rPr>
          <w:rFonts w:cs="Arial"/>
          <w:szCs w:val="22"/>
        </w:rPr>
        <w:t xml:space="preserve">ements were taken using </w:t>
      </w:r>
      <w:r w:rsidRPr="00EE0B68">
        <w:rPr>
          <w:rFonts w:cs="Arial"/>
          <w:szCs w:val="22"/>
        </w:rPr>
        <w:t xml:space="preserve">a flow rate measurement bag. Water temperature coming out </w:t>
      </w:r>
      <w:r w:rsidR="0031292E" w:rsidRPr="00EE0B68">
        <w:rPr>
          <w:rFonts w:cs="Arial"/>
          <w:szCs w:val="22"/>
        </w:rPr>
        <w:t xml:space="preserve">of the fixture </w:t>
      </w:r>
      <w:r w:rsidRPr="00EE0B68">
        <w:rPr>
          <w:rFonts w:cs="Arial"/>
          <w:szCs w:val="22"/>
        </w:rPr>
        <w:t xml:space="preserve">was determined using a temperature gun. </w:t>
      </w:r>
    </w:p>
    <w:p w14:paraId="5026F778" w14:textId="77777777" w:rsidR="00E74477" w:rsidRPr="00DF0F2A" w:rsidRDefault="00E74477" w:rsidP="00E74477">
      <w:pPr>
        <w:rPr>
          <w:rFonts w:cs="Arial"/>
          <w:color w:val="0070C0"/>
          <w:szCs w:val="22"/>
        </w:rPr>
      </w:pPr>
    </w:p>
    <w:p w14:paraId="5026F779" w14:textId="640E4347" w:rsidR="00E74477" w:rsidRPr="00EE0B68" w:rsidRDefault="00E74477" w:rsidP="00E74477">
      <w:pPr>
        <w:rPr>
          <w:rFonts w:cs="Arial"/>
          <w:szCs w:val="22"/>
        </w:rPr>
      </w:pPr>
      <w:r w:rsidRPr="00EE0B68">
        <w:rPr>
          <w:rFonts w:cs="Arial"/>
          <w:szCs w:val="22"/>
        </w:rPr>
        <w:t xml:space="preserve">Flow meters and data loggers were also installed </w:t>
      </w:r>
      <w:r w:rsidR="00DF0F2A" w:rsidRPr="00EE0B68">
        <w:rPr>
          <w:rFonts w:cs="Arial"/>
          <w:szCs w:val="22"/>
        </w:rPr>
        <w:t xml:space="preserve">at guest room and public restroom faucets at three </w:t>
      </w:r>
      <w:r w:rsidR="0031292E" w:rsidRPr="00EE0B68">
        <w:rPr>
          <w:rFonts w:cs="Arial"/>
          <w:szCs w:val="22"/>
        </w:rPr>
        <w:t xml:space="preserve">hotels </w:t>
      </w:r>
      <w:r w:rsidRPr="00EE0B68">
        <w:rPr>
          <w:rFonts w:cs="Arial"/>
          <w:szCs w:val="22"/>
        </w:rPr>
        <w:t>to obtain more detailed consumption data at each faucet. These devices were calibrated to take measure</w:t>
      </w:r>
      <w:r w:rsidR="0031292E" w:rsidRPr="00EE0B68">
        <w:rPr>
          <w:rFonts w:cs="Arial"/>
          <w:szCs w:val="22"/>
        </w:rPr>
        <w:t xml:space="preserve">ments over a 10-day period. </w:t>
      </w:r>
    </w:p>
    <w:p w14:paraId="5026F77A" w14:textId="77777777" w:rsidR="00E74477" w:rsidRDefault="00E74477" w:rsidP="00E74477">
      <w:pPr>
        <w:rPr>
          <w:rFonts w:cs="Arial"/>
          <w:color w:val="FF0000"/>
          <w:szCs w:val="22"/>
        </w:rPr>
      </w:pPr>
    </w:p>
    <w:p w14:paraId="4F586CC1" w14:textId="77777777" w:rsidR="00911ADB" w:rsidRDefault="00911ADB" w:rsidP="00E74477">
      <w:pPr>
        <w:rPr>
          <w:rFonts w:cs="Arial"/>
          <w:b/>
          <w:szCs w:val="22"/>
        </w:rPr>
      </w:pPr>
    </w:p>
    <w:p w14:paraId="5026F77B" w14:textId="70678B50" w:rsidR="00E74477" w:rsidRDefault="00E74477" w:rsidP="00E74477">
      <w:pPr>
        <w:rPr>
          <w:rFonts w:cs="Arial"/>
          <w:b/>
          <w:szCs w:val="22"/>
        </w:rPr>
      </w:pPr>
      <w:r>
        <w:rPr>
          <w:rFonts w:cs="Arial"/>
          <w:b/>
          <w:szCs w:val="22"/>
        </w:rPr>
        <w:lastRenderedPageBreak/>
        <w:t>Results and Impacts</w:t>
      </w:r>
    </w:p>
    <w:p w14:paraId="3D3D00D1" w14:textId="4604CD3F" w:rsidR="00157CA3" w:rsidRPr="00762366" w:rsidRDefault="00E74477" w:rsidP="00157CA3">
      <w:pPr>
        <w:rPr>
          <w:rFonts w:cs="Arial"/>
          <w:szCs w:val="22"/>
        </w:rPr>
      </w:pPr>
      <w:r w:rsidRPr="00EE0B68">
        <w:rPr>
          <w:rFonts w:cs="Arial"/>
          <w:szCs w:val="22"/>
        </w:rPr>
        <w:t xml:space="preserve">The results of this study provide useful information on the water consumption patterns at existing faucets in </w:t>
      </w:r>
      <w:r w:rsidR="00DF0F2A" w:rsidRPr="00EE0B68">
        <w:rPr>
          <w:rFonts w:cs="Arial"/>
          <w:szCs w:val="22"/>
        </w:rPr>
        <w:t>hotels</w:t>
      </w:r>
      <w:r w:rsidR="00EE0B68" w:rsidRPr="00EE0B68">
        <w:rPr>
          <w:rFonts w:cs="Arial"/>
          <w:szCs w:val="22"/>
        </w:rPr>
        <w:t>.</w:t>
      </w:r>
      <w:r w:rsidR="00F66AA1">
        <w:rPr>
          <w:rFonts w:cs="Arial"/>
          <w:szCs w:val="22"/>
        </w:rPr>
        <w:t xml:space="preserve"> For one, it revealed that although a </w:t>
      </w:r>
      <w:r w:rsidR="00DE2336">
        <w:rPr>
          <w:rFonts w:cs="Arial"/>
          <w:szCs w:val="22"/>
        </w:rPr>
        <w:t xml:space="preserve">handful </w:t>
      </w:r>
      <w:r w:rsidR="00F66AA1">
        <w:rPr>
          <w:rFonts w:cs="Arial"/>
          <w:szCs w:val="22"/>
        </w:rPr>
        <w:t xml:space="preserve">of hotels may already have flow restrictors installed on their faucets, a majority of the hotels surveyed (3 of the 5 sites) did not. </w:t>
      </w:r>
      <w:r w:rsidR="00EE0B68" w:rsidRPr="00EE0B68">
        <w:rPr>
          <w:rFonts w:cs="Arial"/>
          <w:szCs w:val="22"/>
        </w:rPr>
        <w:t>These results also help verify the underlying assumptions made in the savings calculations for this workpaper measure such as usage time, existing flow rate,</w:t>
      </w:r>
      <w:r w:rsidR="00157CA3">
        <w:rPr>
          <w:rFonts w:cs="Arial"/>
          <w:szCs w:val="22"/>
        </w:rPr>
        <w:t xml:space="preserve"> behavioral factor </w:t>
      </w:r>
      <w:r w:rsidR="00EE0B68" w:rsidRPr="00EE0B68">
        <w:rPr>
          <w:rFonts w:cs="Arial"/>
          <w:szCs w:val="22"/>
        </w:rPr>
        <w:t>and mixed water temperature</w:t>
      </w:r>
      <w:r w:rsidR="001B307C">
        <w:rPr>
          <w:rFonts w:cs="Arial"/>
          <w:szCs w:val="22"/>
        </w:rPr>
        <w:t xml:space="preserve"> coming out of a faucet</w:t>
      </w:r>
      <w:r w:rsidR="00EE0B68" w:rsidRPr="00EE0B68">
        <w:rPr>
          <w:rFonts w:cs="Arial"/>
          <w:szCs w:val="22"/>
        </w:rPr>
        <w:t xml:space="preserve">. </w:t>
      </w:r>
      <w:r w:rsidR="00157CA3">
        <w:rPr>
          <w:rFonts w:cs="Arial"/>
          <w:szCs w:val="22"/>
        </w:rPr>
        <w:t xml:space="preserve">A sample </w:t>
      </w:r>
      <w:r w:rsidR="009634B8">
        <w:rPr>
          <w:rFonts w:cs="Arial"/>
          <w:szCs w:val="22"/>
        </w:rPr>
        <w:t xml:space="preserve">subset </w:t>
      </w:r>
      <w:r w:rsidR="00157CA3">
        <w:rPr>
          <w:rFonts w:cs="Arial"/>
          <w:szCs w:val="22"/>
        </w:rPr>
        <w:t xml:space="preserve">of the data collected </w:t>
      </w:r>
      <w:r w:rsidR="00157CA3" w:rsidRPr="00762366">
        <w:rPr>
          <w:rFonts w:cs="Arial"/>
          <w:szCs w:val="22"/>
        </w:rPr>
        <w:t xml:space="preserve">can be found in </w:t>
      </w:r>
      <w:r w:rsidR="00BB60B4" w:rsidRPr="00BB60B4">
        <w:rPr>
          <w:rFonts w:cs="Arial"/>
          <w:b/>
          <w:i/>
          <w:szCs w:val="22"/>
        </w:rPr>
        <w:t>Attachment D</w:t>
      </w:r>
      <w:r w:rsidR="00157CA3" w:rsidRPr="00762366">
        <w:rPr>
          <w:rFonts w:cs="Arial"/>
          <w:szCs w:val="22"/>
        </w:rPr>
        <w:t xml:space="preserve">. </w:t>
      </w:r>
    </w:p>
    <w:p w14:paraId="5026F782" w14:textId="7885BB3C" w:rsidR="0031292E" w:rsidRPr="00157CA3" w:rsidRDefault="0031292E" w:rsidP="0031292E">
      <w:pPr>
        <w:rPr>
          <w:rFonts w:cs="Arial"/>
          <w:szCs w:val="22"/>
        </w:rPr>
      </w:pPr>
    </w:p>
    <w:p w14:paraId="5026F783" w14:textId="6985B512" w:rsidR="0031292E" w:rsidRDefault="0031292E" w:rsidP="0031292E">
      <w:pPr>
        <w:rPr>
          <w:rFonts w:cs="Arial"/>
          <w:b/>
          <w:szCs w:val="22"/>
        </w:rPr>
      </w:pPr>
      <w:r>
        <w:rPr>
          <w:rFonts w:cs="Arial"/>
          <w:b/>
          <w:szCs w:val="22"/>
        </w:rPr>
        <w:t>Concerns</w:t>
      </w:r>
    </w:p>
    <w:p w14:paraId="5026F787" w14:textId="70F9BE4F" w:rsidR="00A14080" w:rsidRPr="00A73794" w:rsidRDefault="00E220DA" w:rsidP="00A14080">
      <w:pPr>
        <w:rPr>
          <w:rFonts w:cs="Arial"/>
          <w:b/>
          <w:szCs w:val="22"/>
        </w:rPr>
      </w:pPr>
      <w:r w:rsidRPr="00EE0B68">
        <w:rPr>
          <w:rFonts w:cs="Arial"/>
          <w:szCs w:val="22"/>
        </w:rPr>
        <w:t>Once again, the main concern about the quality of the data obtained would the limited number of hotels surveyed and faucets sampled.</w:t>
      </w:r>
      <w:r w:rsidR="00EE0B68" w:rsidRPr="00EE0B68">
        <w:rPr>
          <w:rFonts w:cs="Arial"/>
          <w:szCs w:val="22"/>
        </w:rPr>
        <w:t xml:space="preserve"> It was also difficult to ensure</w:t>
      </w:r>
      <w:r w:rsidRPr="00EE0B68">
        <w:rPr>
          <w:rFonts w:cs="Arial"/>
          <w:szCs w:val="22"/>
        </w:rPr>
        <w:t xml:space="preserve"> that the guest rooms were occupied during the duration of the metering. Thus, these results should be interpreted as a snapshot of the faucet consumption of a hospitality facility and not representative of all the faucets of the entire facility as a whole. More monitoring is needed to determine how well the results of these subsets of faucets represent all of the faucets of a hotel as a whole and how they scale to similar but smaller sized facilities such as motels. </w:t>
      </w:r>
    </w:p>
    <w:p w14:paraId="5026F788" w14:textId="77777777" w:rsidR="00A14080" w:rsidRPr="00B201E6" w:rsidRDefault="00A14080" w:rsidP="00A14080">
      <w:pPr>
        <w:pStyle w:val="Heading3"/>
        <w:rPr>
          <w:b w:val="0"/>
          <w:color w:val="000000" w:themeColor="text1"/>
        </w:rPr>
      </w:pPr>
      <w:bookmarkStart w:id="35" w:name="_Toc478657392"/>
      <w:r w:rsidRPr="00920905">
        <w:rPr>
          <w:rFonts w:asciiTheme="minorHAnsi" w:hAnsiTheme="minorHAnsi"/>
        </w:rPr>
        <w:t>1.</w:t>
      </w:r>
      <w:r w:rsidR="00DA2868">
        <w:rPr>
          <w:rFonts w:asciiTheme="minorHAnsi" w:hAnsiTheme="minorHAnsi"/>
        </w:rPr>
        <w:t xml:space="preserve">5.4 </w:t>
      </w:r>
      <w:r w:rsidR="00DA2868" w:rsidRPr="00B201E6">
        <w:rPr>
          <w:rFonts w:asciiTheme="minorHAnsi" w:hAnsiTheme="minorHAnsi"/>
          <w:color w:val="000000" w:themeColor="text1"/>
        </w:rPr>
        <w:t>Market Potential</w:t>
      </w:r>
      <w:bookmarkEnd w:id="35"/>
      <w:r w:rsidR="00DA2868" w:rsidRPr="00B201E6">
        <w:rPr>
          <w:rFonts w:asciiTheme="minorHAnsi" w:hAnsiTheme="minorHAnsi"/>
          <w:color w:val="000000" w:themeColor="text1"/>
        </w:rPr>
        <w:t xml:space="preserve"> </w:t>
      </w:r>
      <w:r w:rsidRPr="00B201E6">
        <w:rPr>
          <w:rFonts w:asciiTheme="minorHAnsi" w:hAnsiTheme="minorHAnsi"/>
          <w:color w:val="000000" w:themeColor="text1"/>
        </w:rPr>
        <w:t xml:space="preserve">   </w:t>
      </w:r>
    </w:p>
    <w:p w14:paraId="5026F789" w14:textId="77777777" w:rsidR="00DA2868" w:rsidRPr="00B201E6" w:rsidRDefault="00DA2868" w:rsidP="00DA2868">
      <w:pPr>
        <w:rPr>
          <w:rFonts w:cs="Arial"/>
          <w:color w:val="000000" w:themeColor="text1"/>
          <w:szCs w:val="22"/>
        </w:rPr>
      </w:pPr>
      <w:r w:rsidRPr="00B201E6">
        <w:rPr>
          <w:rFonts w:cs="Arial"/>
          <w:color w:val="000000" w:themeColor="text1"/>
          <w:szCs w:val="22"/>
        </w:rPr>
        <w:t>There are currently approximately 106,1</w:t>
      </w:r>
      <w:r w:rsidR="009E6ABD" w:rsidRPr="00B201E6">
        <w:rPr>
          <w:rFonts w:cs="Arial"/>
          <w:color w:val="000000" w:themeColor="text1"/>
          <w:szCs w:val="22"/>
        </w:rPr>
        <w:t xml:space="preserve">00 commercial </w:t>
      </w:r>
      <w:r w:rsidRPr="00B201E6">
        <w:rPr>
          <w:rFonts w:cs="Arial"/>
          <w:color w:val="000000" w:themeColor="text1"/>
          <w:szCs w:val="22"/>
        </w:rPr>
        <w:t>SCG customers that could benefit from this</w:t>
      </w:r>
      <w:r w:rsidR="009E6ABD" w:rsidRPr="00B201E6">
        <w:rPr>
          <w:rFonts w:cs="Arial"/>
          <w:color w:val="000000" w:themeColor="text1"/>
          <w:szCs w:val="22"/>
        </w:rPr>
        <w:t xml:space="preserve"> measure. An estimated number of faucets at each facility type was </w:t>
      </w:r>
      <w:r w:rsidRPr="00B201E6">
        <w:rPr>
          <w:rFonts w:cs="Arial"/>
          <w:color w:val="000000" w:themeColor="text1"/>
          <w:szCs w:val="22"/>
        </w:rPr>
        <w:t xml:space="preserve">established using NAICS codes and published studies. </w:t>
      </w:r>
    </w:p>
    <w:p w14:paraId="5026F78A" w14:textId="77777777" w:rsidR="00DA2868" w:rsidRPr="00B201E6" w:rsidRDefault="00DA2868" w:rsidP="00DA2868">
      <w:pPr>
        <w:rPr>
          <w:rFonts w:cs="Arial"/>
          <w:color w:val="000000" w:themeColor="text1"/>
          <w:szCs w:val="22"/>
        </w:rPr>
      </w:pPr>
    </w:p>
    <w:p w14:paraId="5026F78B" w14:textId="7537798D" w:rsidR="009E6ABD" w:rsidRPr="00B201E6" w:rsidRDefault="009E6ABD" w:rsidP="009E6ABD">
      <w:pPr>
        <w:pStyle w:val="Caption"/>
        <w:keepNext/>
        <w:jc w:val="center"/>
        <w:rPr>
          <w:color w:val="000000" w:themeColor="text1"/>
        </w:rPr>
      </w:pPr>
      <w:r w:rsidRPr="00B201E6">
        <w:rPr>
          <w:color w:val="000000" w:themeColor="text1"/>
        </w:rPr>
        <w:t xml:space="preserve">Table </w:t>
      </w:r>
      <w:r w:rsidRPr="00B201E6">
        <w:rPr>
          <w:color w:val="000000" w:themeColor="text1"/>
        </w:rPr>
        <w:fldChar w:fldCharType="begin"/>
      </w:r>
      <w:r w:rsidRPr="00B201E6">
        <w:rPr>
          <w:color w:val="000000" w:themeColor="text1"/>
        </w:rPr>
        <w:instrText xml:space="preserve"> SEQ Table \* ARABIC </w:instrText>
      </w:r>
      <w:r w:rsidRPr="00B201E6">
        <w:rPr>
          <w:color w:val="000000" w:themeColor="text1"/>
        </w:rPr>
        <w:fldChar w:fldCharType="separate"/>
      </w:r>
      <w:r w:rsidR="007E7EDB">
        <w:rPr>
          <w:noProof/>
          <w:color w:val="000000" w:themeColor="text1"/>
        </w:rPr>
        <w:t>12</w:t>
      </w:r>
      <w:r w:rsidRPr="00B201E6">
        <w:rPr>
          <w:color w:val="000000" w:themeColor="text1"/>
        </w:rPr>
        <w:fldChar w:fldCharType="end"/>
      </w:r>
      <w:r w:rsidRPr="00B201E6">
        <w:rPr>
          <w:color w:val="000000" w:themeColor="text1"/>
        </w:rPr>
        <w:t xml:space="preserve">: Estimated Market </w:t>
      </w:r>
    </w:p>
    <w:tbl>
      <w:tblPr>
        <w:tblStyle w:val="TableGrid1"/>
        <w:tblW w:w="4853" w:type="pct"/>
        <w:tblLook w:val="04A0" w:firstRow="1" w:lastRow="0" w:firstColumn="1" w:lastColumn="0" w:noHBand="0" w:noVBand="1"/>
      </w:tblPr>
      <w:tblGrid>
        <w:gridCol w:w="3182"/>
        <w:gridCol w:w="1831"/>
        <w:gridCol w:w="4062"/>
      </w:tblGrid>
      <w:tr w:rsidR="00DA2868" w:rsidRPr="00B201E6" w14:paraId="5026F78F" w14:textId="77777777" w:rsidTr="00DA2868">
        <w:trPr>
          <w:trHeight w:val="531"/>
        </w:trPr>
        <w:tc>
          <w:tcPr>
            <w:tcW w:w="1753" w:type="pct"/>
            <w:shd w:val="clear" w:color="auto" w:fill="D9D9D9" w:themeFill="background1" w:themeFillShade="D9"/>
          </w:tcPr>
          <w:p w14:paraId="5026F78C" w14:textId="77777777" w:rsidR="00DA2868" w:rsidRPr="00B201E6" w:rsidRDefault="00DA2868" w:rsidP="00DA2868">
            <w:pPr>
              <w:rPr>
                <w:rFonts w:cstheme="minorHAnsi"/>
                <w:b/>
                <w:color w:val="000000" w:themeColor="text1"/>
                <w:szCs w:val="20"/>
              </w:rPr>
            </w:pPr>
            <w:r w:rsidRPr="00B201E6">
              <w:rPr>
                <w:rFonts w:cstheme="minorHAnsi"/>
                <w:b/>
                <w:color w:val="000000" w:themeColor="text1"/>
                <w:szCs w:val="20"/>
              </w:rPr>
              <w:t>Target Markets</w:t>
            </w:r>
          </w:p>
        </w:tc>
        <w:tc>
          <w:tcPr>
            <w:tcW w:w="1009" w:type="pct"/>
            <w:shd w:val="clear" w:color="auto" w:fill="D9D9D9" w:themeFill="background1" w:themeFillShade="D9"/>
          </w:tcPr>
          <w:p w14:paraId="5026F78D" w14:textId="77777777" w:rsidR="00DA2868" w:rsidRPr="00B201E6" w:rsidRDefault="00DA2868" w:rsidP="00DA2868">
            <w:pPr>
              <w:rPr>
                <w:rFonts w:cstheme="minorHAnsi"/>
                <w:b/>
                <w:color w:val="000000" w:themeColor="text1"/>
                <w:szCs w:val="20"/>
              </w:rPr>
            </w:pPr>
            <w:r w:rsidRPr="00B201E6">
              <w:rPr>
                <w:rFonts w:cstheme="minorHAnsi"/>
                <w:b/>
                <w:color w:val="000000" w:themeColor="text1"/>
                <w:szCs w:val="20"/>
              </w:rPr>
              <w:t>Total Customer Counts by NAICS</w:t>
            </w:r>
          </w:p>
        </w:tc>
        <w:tc>
          <w:tcPr>
            <w:tcW w:w="2238" w:type="pct"/>
            <w:shd w:val="clear" w:color="auto" w:fill="D9D9D9" w:themeFill="background1" w:themeFillShade="D9"/>
          </w:tcPr>
          <w:p w14:paraId="5026F78E" w14:textId="77777777" w:rsidR="00DA2868" w:rsidRPr="00B201E6" w:rsidRDefault="00DA2868" w:rsidP="00DA2868">
            <w:pPr>
              <w:rPr>
                <w:rFonts w:cstheme="minorHAnsi"/>
                <w:b/>
                <w:color w:val="000000" w:themeColor="text1"/>
                <w:szCs w:val="20"/>
              </w:rPr>
            </w:pPr>
            <w:r w:rsidRPr="00B201E6">
              <w:rPr>
                <w:rFonts w:cstheme="minorHAnsi"/>
                <w:b/>
                <w:color w:val="000000" w:themeColor="text1"/>
                <w:szCs w:val="20"/>
              </w:rPr>
              <w:t>Total Estimated Faucets</w:t>
            </w:r>
          </w:p>
        </w:tc>
      </w:tr>
      <w:tr w:rsidR="00DA2868" w:rsidRPr="00B201E6" w14:paraId="5026F793" w14:textId="77777777" w:rsidTr="00DA2868">
        <w:trPr>
          <w:trHeight w:val="264"/>
        </w:trPr>
        <w:tc>
          <w:tcPr>
            <w:tcW w:w="1753" w:type="pct"/>
          </w:tcPr>
          <w:p w14:paraId="5026F790" w14:textId="77777777" w:rsidR="00DA2868" w:rsidRPr="00B201E6" w:rsidRDefault="00DA2868" w:rsidP="00DA2868">
            <w:pPr>
              <w:rPr>
                <w:color w:val="000000" w:themeColor="text1"/>
                <w:szCs w:val="20"/>
              </w:rPr>
            </w:pPr>
            <w:r w:rsidRPr="00B201E6">
              <w:rPr>
                <w:color w:val="000000" w:themeColor="text1"/>
                <w:szCs w:val="20"/>
              </w:rPr>
              <w:t>Restaurants</w:t>
            </w:r>
          </w:p>
        </w:tc>
        <w:tc>
          <w:tcPr>
            <w:tcW w:w="1009" w:type="pct"/>
          </w:tcPr>
          <w:p w14:paraId="5026F791" w14:textId="77777777" w:rsidR="00DA2868" w:rsidRPr="00B201E6" w:rsidRDefault="00DA2868" w:rsidP="00DA2868">
            <w:pPr>
              <w:rPr>
                <w:color w:val="000000" w:themeColor="text1"/>
                <w:szCs w:val="20"/>
              </w:rPr>
            </w:pPr>
            <w:r w:rsidRPr="00B201E6">
              <w:rPr>
                <w:color w:val="000000" w:themeColor="text1"/>
                <w:szCs w:val="20"/>
              </w:rPr>
              <w:t>34,000</w:t>
            </w:r>
          </w:p>
        </w:tc>
        <w:tc>
          <w:tcPr>
            <w:tcW w:w="2238" w:type="pct"/>
          </w:tcPr>
          <w:p w14:paraId="5026F792" w14:textId="77777777" w:rsidR="00DA2868" w:rsidRPr="00B201E6" w:rsidRDefault="00DA2868" w:rsidP="00DA2868">
            <w:pPr>
              <w:rPr>
                <w:color w:val="000000" w:themeColor="text1"/>
                <w:szCs w:val="20"/>
              </w:rPr>
            </w:pPr>
            <w:r w:rsidRPr="00B201E6">
              <w:rPr>
                <w:color w:val="000000" w:themeColor="text1"/>
                <w:szCs w:val="20"/>
              </w:rPr>
              <w:t>100,000</w:t>
            </w:r>
          </w:p>
        </w:tc>
      </w:tr>
      <w:tr w:rsidR="00DA2868" w:rsidRPr="00B201E6" w14:paraId="5026F797" w14:textId="77777777" w:rsidTr="00DA2868">
        <w:trPr>
          <w:trHeight w:val="264"/>
        </w:trPr>
        <w:tc>
          <w:tcPr>
            <w:tcW w:w="1753" w:type="pct"/>
          </w:tcPr>
          <w:p w14:paraId="5026F794" w14:textId="77777777" w:rsidR="00DA2868" w:rsidRPr="00B201E6" w:rsidRDefault="00DA2868" w:rsidP="00DA2868">
            <w:pPr>
              <w:rPr>
                <w:color w:val="000000" w:themeColor="text1"/>
                <w:szCs w:val="20"/>
              </w:rPr>
            </w:pPr>
            <w:r w:rsidRPr="00B201E6">
              <w:rPr>
                <w:color w:val="000000" w:themeColor="text1"/>
                <w:szCs w:val="20"/>
              </w:rPr>
              <w:t>Hotels/motels</w:t>
            </w:r>
          </w:p>
        </w:tc>
        <w:tc>
          <w:tcPr>
            <w:tcW w:w="1009" w:type="pct"/>
          </w:tcPr>
          <w:p w14:paraId="5026F795" w14:textId="77777777" w:rsidR="00DA2868" w:rsidRPr="00B201E6" w:rsidRDefault="00DA2868" w:rsidP="00DA2868">
            <w:pPr>
              <w:rPr>
                <w:color w:val="000000" w:themeColor="text1"/>
                <w:szCs w:val="20"/>
              </w:rPr>
            </w:pPr>
            <w:r w:rsidRPr="00B201E6">
              <w:rPr>
                <w:color w:val="000000" w:themeColor="text1"/>
                <w:szCs w:val="20"/>
              </w:rPr>
              <w:t>4,600</w:t>
            </w:r>
          </w:p>
        </w:tc>
        <w:tc>
          <w:tcPr>
            <w:tcW w:w="2238" w:type="pct"/>
          </w:tcPr>
          <w:p w14:paraId="5026F796" w14:textId="77777777" w:rsidR="00DA2868" w:rsidRPr="00B201E6" w:rsidRDefault="00DA2868" w:rsidP="00DA2868">
            <w:pPr>
              <w:rPr>
                <w:color w:val="000000" w:themeColor="text1"/>
                <w:szCs w:val="20"/>
              </w:rPr>
            </w:pPr>
            <w:r w:rsidRPr="00B201E6">
              <w:rPr>
                <w:color w:val="000000" w:themeColor="text1"/>
                <w:szCs w:val="20"/>
              </w:rPr>
              <w:t>885,000</w:t>
            </w:r>
          </w:p>
        </w:tc>
      </w:tr>
      <w:tr w:rsidR="00DA2868" w:rsidRPr="00B201E6" w14:paraId="5026F79B" w14:textId="77777777" w:rsidTr="00DA2868">
        <w:trPr>
          <w:trHeight w:val="264"/>
        </w:trPr>
        <w:tc>
          <w:tcPr>
            <w:tcW w:w="1753" w:type="pct"/>
          </w:tcPr>
          <w:p w14:paraId="5026F798" w14:textId="77777777" w:rsidR="00DA2868" w:rsidRPr="00B201E6" w:rsidRDefault="00DA2868" w:rsidP="00DA2868">
            <w:pPr>
              <w:rPr>
                <w:color w:val="000000" w:themeColor="text1"/>
                <w:szCs w:val="20"/>
              </w:rPr>
            </w:pPr>
            <w:r w:rsidRPr="00B201E6">
              <w:rPr>
                <w:color w:val="000000" w:themeColor="text1"/>
                <w:szCs w:val="20"/>
              </w:rPr>
              <w:t>Schools</w:t>
            </w:r>
          </w:p>
        </w:tc>
        <w:tc>
          <w:tcPr>
            <w:tcW w:w="1009" w:type="pct"/>
          </w:tcPr>
          <w:p w14:paraId="5026F799" w14:textId="77777777" w:rsidR="00DA2868" w:rsidRPr="00B201E6" w:rsidRDefault="00DA2868" w:rsidP="00DA2868">
            <w:pPr>
              <w:rPr>
                <w:color w:val="000000" w:themeColor="text1"/>
                <w:szCs w:val="20"/>
              </w:rPr>
            </w:pPr>
            <w:r w:rsidRPr="00B201E6">
              <w:rPr>
                <w:color w:val="000000" w:themeColor="text1"/>
                <w:szCs w:val="20"/>
              </w:rPr>
              <w:t>8,500</w:t>
            </w:r>
          </w:p>
        </w:tc>
        <w:tc>
          <w:tcPr>
            <w:tcW w:w="2238" w:type="pct"/>
          </w:tcPr>
          <w:p w14:paraId="5026F79A" w14:textId="77777777" w:rsidR="00DA2868" w:rsidRPr="00B201E6" w:rsidRDefault="00DA2868" w:rsidP="00DA2868">
            <w:pPr>
              <w:rPr>
                <w:color w:val="000000" w:themeColor="text1"/>
                <w:szCs w:val="20"/>
              </w:rPr>
            </w:pPr>
            <w:r w:rsidRPr="00B201E6">
              <w:rPr>
                <w:color w:val="000000" w:themeColor="text1"/>
                <w:szCs w:val="20"/>
              </w:rPr>
              <w:t>810,000</w:t>
            </w:r>
          </w:p>
        </w:tc>
      </w:tr>
      <w:tr w:rsidR="00DA2868" w:rsidRPr="00B201E6" w14:paraId="5026F79F" w14:textId="77777777" w:rsidTr="00DA2868">
        <w:trPr>
          <w:trHeight w:val="264"/>
        </w:trPr>
        <w:tc>
          <w:tcPr>
            <w:tcW w:w="1753" w:type="pct"/>
          </w:tcPr>
          <w:p w14:paraId="5026F79C" w14:textId="77777777" w:rsidR="00DA2868" w:rsidRPr="00B201E6" w:rsidRDefault="00DA2868" w:rsidP="00DA2868">
            <w:pPr>
              <w:rPr>
                <w:color w:val="000000" w:themeColor="text1"/>
                <w:szCs w:val="20"/>
              </w:rPr>
            </w:pPr>
            <w:r w:rsidRPr="00B201E6">
              <w:rPr>
                <w:color w:val="000000" w:themeColor="text1"/>
                <w:szCs w:val="20"/>
              </w:rPr>
              <w:t>Retail</w:t>
            </w:r>
          </w:p>
        </w:tc>
        <w:tc>
          <w:tcPr>
            <w:tcW w:w="1009" w:type="pct"/>
          </w:tcPr>
          <w:p w14:paraId="5026F79D" w14:textId="77777777" w:rsidR="00DA2868" w:rsidRPr="00B201E6" w:rsidRDefault="00DA2868" w:rsidP="00DA2868">
            <w:pPr>
              <w:rPr>
                <w:color w:val="000000" w:themeColor="text1"/>
                <w:szCs w:val="20"/>
              </w:rPr>
            </w:pPr>
            <w:r w:rsidRPr="00B201E6">
              <w:rPr>
                <w:color w:val="000000" w:themeColor="text1"/>
                <w:szCs w:val="20"/>
              </w:rPr>
              <w:t>21,000</w:t>
            </w:r>
          </w:p>
        </w:tc>
        <w:tc>
          <w:tcPr>
            <w:tcW w:w="2238" w:type="pct"/>
          </w:tcPr>
          <w:p w14:paraId="5026F79E" w14:textId="77777777" w:rsidR="00DA2868" w:rsidRPr="00B201E6" w:rsidRDefault="00DA2868" w:rsidP="00DA2868">
            <w:pPr>
              <w:rPr>
                <w:color w:val="000000" w:themeColor="text1"/>
                <w:szCs w:val="20"/>
              </w:rPr>
            </w:pPr>
            <w:r w:rsidRPr="00B201E6">
              <w:rPr>
                <w:color w:val="000000" w:themeColor="text1"/>
                <w:szCs w:val="20"/>
              </w:rPr>
              <w:t>42,000</w:t>
            </w:r>
          </w:p>
        </w:tc>
      </w:tr>
      <w:tr w:rsidR="00DA2868" w:rsidRPr="00B201E6" w14:paraId="5026F7A3" w14:textId="77777777" w:rsidTr="00DA2868">
        <w:trPr>
          <w:trHeight w:val="264"/>
        </w:trPr>
        <w:tc>
          <w:tcPr>
            <w:tcW w:w="1753" w:type="pct"/>
          </w:tcPr>
          <w:p w14:paraId="5026F7A0" w14:textId="77777777" w:rsidR="00DA2868" w:rsidRPr="00B201E6" w:rsidRDefault="00DA2868" w:rsidP="00DA2868">
            <w:pPr>
              <w:rPr>
                <w:color w:val="000000" w:themeColor="text1"/>
                <w:szCs w:val="20"/>
              </w:rPr>
            </w:pPr>
            <w:r w:rsidRPr="00B201E6">
              <w:rPr>
                <w:color w:val="000000" w:themeColor="text1"/>
                <w:szCs w:val="20"/>
              </w:rPr>
              <w:t>Office Buildings</w:t>
            </w:r>
          </w:p>
        </w:tc>
        <w:tc>
          <w:tcPr>
            <w:tcW w:w="1009" w:type="pct"/>
          </w:tcPr>
          <w:p w14:paraId="5026F7A1" w14:textId="77777777" w:rsidR="00DA2868" w:rsidRPr="00B201E6" w:rsidRDefault="00DA2868" w:rsidP="00DA2868">
            <w:pPr>
              <w:rPr>
                <w:color w:val="000000" w:themeColor="text1"/>
                <w:szCs w:val="20"/>
              </w:rPr>
            </w:pPr>
            <w:r w:rsidRPr="00B201E6">
              <w:rPr>
                <w:color w:val="000000" w:themeColor="text1"/>
                <w:szCs w:val="20"/>
              </w:rPr>
              <w:t>37,000</w:t>
            </w:r>
          </w:p>
        </w:tc>
        <w:tc>
          <w:tcPr>
            <w:tcW w:w="2238" w:type="pct"/>
          </w:tcPr>
          <w:p w14:paraId="5026F7A2" w14:textId="77777777" w:rsidR="00DA2868" w:rsidRPr="00B201E6" w:rsidRDefault="00DA2868" w:rsidP="00DA2868">
            <w:pPr>
              <w:rPr>
                <w:color w:val="000000" w:themeColor="text1"/>
                <w:szCs w:val="20"/>
              </w:rPr>
            </w:pPr>
            <w:r w:rsidRPr="00B201E6">
              <w:rPr>
                <w:color w:val="000000" w:themeColor="text1"/>
                <w:szCs w:val="20"/>
              </w:rPr>
              <w:t>74,000</w:t>
            </w:r>
          </w:p>
        </w:tc>
      </w:tr>
      <w:tr w:rsidR="00DA2868" w:rsidRPr="00B201E6" w14:paraId="5026F7A7" w14:textId="77777777" w:rsidTr="00DA2868">
        <w:trPr>
          <w:trHeight w:val="264"/>
        </w:trPr>
        <w:tc>
          <w:tcPr>
            <w:tcW w:w="1753" w:type="pct"/>
          </w:tcPr>
          <w:p w14:paraId="5026F7A4" w14:textId="77777777" w:rsidR="00DA2868" w:rsidRPr="00B201E6" w:rsidRDefault="00DA2868" w:rsidP="00DA2868">
            <w:pPr>
              <w:rPr>
                <w:color w:val="000000" w:themeColor="text1"/>
                <w:szCs w:val="20"/>
              </w:rPr>
            </w:pPr>
            <w:r w:rsidRPr="00B201E6">
              <w:rPr>
                <w:color w:val="000000" w:themeColor="text1"/>
                <w:szCs w:val="20"/>
              </w:rPr>
              <w:t>Fitness Centers</w:t>
            </w:r>
          </w:p>
        </w:tc>
        <w:tc>
          <w:tcPr>
            <w:tcW w:w="1009" w:type="pct"/>
          </w:tcPr>
          <w:p w14:paraId="5026F7A5" w14:textId="77777777" w:rsidR="00DA2868" w:rsidRPr="00B201E6" w:rsidRDefault="00DA2868" w:rsidP="00DA2868">
            <w:pPr>
              <w:rPr>
                <w:color w:val="000000" w:themeColor="text1"/>
                <w:szCs w:val="20"/>
              </w:rPr>
            </w:pPr>
            <w:r w:rsidRPr="00B201E6">
              <w:rPr>
                <w:color w:val="000000" w:themeColor="text1"/>
                <w:szCs w:val="20"/>
              </w:rPr>
              <w:t>1,000</w:t>
            </w:r>
          </w:p>
        </w:tc>
        <w:tc>
          <w:tcPr>
            <w:tcW w:w="2238" w:type="pct"/>
          </w:tcPr>
          <w:p w14:paraId="5026F7A6" w14:textId="77777777" w:rsidR="00DA2868" w:rsidRPr="00B201E6" w:rsidRDefault="00DA2868" w:rsidP="00DA2868">
            <w:pPr>
              <w:rPr>
                <w:color w:val="000000" w:themeColor="text1"/>
                <w:szCs w:val="20"/>
              </w:rPr>
            </w:pPr>
            <w:r w:rsidRPr="00B201E6">
              <w:rPr>
                <w:color w:val="000000" w:themeColor="text1"/>
                <w:szCs w:val="20"/>
              </w:rPr>
              <w:t>11,500</w:t>
            </w:r>
          </w:p>
        </w:tc>
      </w:tr>
      <w:tr w:rsidR="00DA2868" w:rsidRPr="00B201E6" w14:paraId="5026F7AB" w14:textId="77777777" w:rsidTr="00DA2868">
        <w:trPr>
          <w:trHeight w:val="264"/>
        </w:trPr>
        <w:tc>
          <w:tcPr>
            <w:tcW w:w="1753" w:type="pct"/>
            <w:shd w:val="clear" w:color="auto" w:fill="D9D9D9" w:themeFill="background1" w:themeFillShade="D9"/>
          </w:tcPr>
          <w:p w14:paraId="5026F7A8" w14:textId="77777777" w:rsidR="00DA2868" w:rsidRPr="00B201E6" w:rsidRDefault="00DA2868" w:rsidP="00DA2868">
            <w:pPr>
              <w:rPr>
                <w:b/>
                <w:color w:val="000000" w:themeColor="text1"/>
                <w:szCs w:val="20"/>
              </w:rPr>
            </w:pPr>
            <w:r w:rsidRPr="00B201E6">
              <w:rPr>
                <w:b/>
                <w:color w:val="000000" w:themeColor="text1"/>
                <w:szCs w:val="20"/>
              </w:rPr>
              <w:t>Totals</w:t>
            </w:r>
          </w:p>
        </w:tc>
        <w:tc>
          <w:tcPr>
            <w:tcW w:w="1009" w:type="pct"/>
            <w:shd w:val="clear" w:color="auto" w:fill="D9D9D9" w:themeFill="background1" w:themeFillShade="D9"/>
          </w:tcPr>
          <w:p w14:paraId="5026F7A9" w14:textId="77777777" w:rsidR="00DA2868" w:rsidRPr="00B201E6" w:rsidRDefault="00DA2868" w:rsidP="00DA2868">
            <w:pPr>
              <w:rPr>
                <w:b/>
                <w:color w:val="000000" w:themeColor="text1"/>
                <w:szCs w:val="20"/>
              </w:rPr>
            </w:pPr>
            <w:r w:rsidRPr="00B201E6">
              <w:rPr>
                <w:b/>
                <w:color w:val="000000" w:themeColor="text1"/>
                <w:szCs w:val="20"/>
              </w:rPr>
              <w:t>106,100</w:t>
            </w:r>
          </w:p>
        </w:tc>
        <w:tc>
          <w:tcPr>
            <w:tcW w:w="2238" w:type="pct"/>
            <w:shd w:val="clear" w:color="auto" w:fill="D9D9D9" w:themeFill="background1" w:themeFillShade="D9"/>
          </w:tcPr>
          <w:p w14:paraId="5026F7AA" w14:textId="77777777" w:rsidR="00DA2868" w:rsidRPr="00B201E6" w:rsidRDefault="00DA2868" w:rsidP="00DA2868">
            <w:pPr>
              <w:rPr>
                <w:b/>
                <w:color w:val="000000" w:themeColor="text1"/>
                <w:szCs w:val="20"/>
              </w:rPr>
            </w:pPr>
            <w:r w:rsidRPr="00B201E6">
              <w:rPr>
                <w:b/>
                <w:color w:val="000000" w:themeColor="text1"/>
                <w:szCs w:val="20"/>
              </w:rPr>
              <w:t>1,922,500</w:t>
            </w:r>
          </w:p>
        </w:tc>
      </w:tr>
    </w:tbl>
    <w:p w14:paraId="5026F7AC" w14:textId="77777777" w:rsidR="00B96A9F" w:rsidRDefault="00B96A9F" w:rsidP="00B660B5">
      <w:pPr>
        <w:rPr>
          <w:rFonts w:cstheme="minorHAnsi"/>
          <w:b/>
          <w:bCs/>
          <w:iCs/>
          <w:smallCaps/>
          <w:sz w:val="28"/>
          <w:szCs w:val="28"/>
        </w:rPr>
      </w:pPr>
    </w:p>
    <w:p w14:paraId="5026F7AD" w14:textId="77777777" w:rsidR="00B660B5" w:rsidRPr="00B201E6" w:rsidRDefault="00B660B5" w:rsidP="00B660B5">
      <w:pPr>
        <w:rPr>
          <w:color w:val="000000" w:themeColor="text1"/>
        </w:rPr>
      </w:pPr>
      <w:r w:rsidRPr="00B201E6">
        <w:rPr>
          <w:color w:val="000000" w:themeColor="text1"/>
        </w:rPr>
        <w:t xml:space="preserve">These estimations are likely conservative since they only include a subset of the commercial sector. However, it is also uncertain how many of these estimated faucets already have </w:t>
      </w:r>
      <w:r w:rsidR="006A1E02" w:rsidRPr="00B201E6">
        <w:rPr>
          <w:color w:val="000000" w:themeColor="text1"/>
        </w:rPr>
        <w:t xml:space="preserve">low </w:t>
      </w:r>
      <w:r w:rsidRPr="00B201E6">
        <w:rPr>
          <w:color w:val="000000" w:themeColor="text1"/>
        </w:rPr>
        <w:t xml:space="preserve">flow </w:t>
      </w:r>
      <w:r w:rsidR="006A1E02" w:rsidRPr="00B201E6">
        <w:rPr>
          <w:color w:val="000000" w:themeColor="text1"/>
        </w:rPr>
        <w:t xml:space="preserve">capabilities or flow </w:t>
      </w:r>
      <w:r w:rsidRPr="00B201E6">
        <w:rPr>
          <w:color w:val="000000" w:themeColor="text1"/>
        </w:rPr>
        <w:t>restricting</w:t>
      </w:r>
      <w:r w:rsidR="006A1E02" w:rsidRPr="00B201E6">
        <w:rPr>
          <w:color w:val="000000" w:themeColor="text1"/>
        </w:rPr>
        <w:t xml:space="preserve"> devices installed.</w:t>
      </w:r>
    </w:p>
    <w:p w14:paraId="5026F7AE" w14:textId="6AFC2347" w:rsidR="009844A1" w:rsidRDefault="009844A1" w:rsidP="009844A1">
      <w:pPr>
        <w:pStyle w:val="Heading2"/>
        <w:rPr>
          <w:rFonts w:asciiTheme="minorHAnsi" w:hAnsiTheme="minorHAnsi" w:cstheme="minorHAnsi"/>
        </w:rPr>
      </w:pPr>
      <w:bookmarkStart w:id="36" w:name="_Toc478657393"/>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36"/>
    </w:p>
    <w:p w14:paraId="0F0FFF62" w14:textId="7181F9B8" w:rsidR="00DF1391" w:rsidRDefault="00B637CF" w:rsidP="00E53513">
      <w:pPr>
        <w:rPr>
          <w:rFonts w:cs="Arial"/>
          <w:szCs w:val="22"/>
        </w:rPr>
      </w:pPr>
      <w:r w:rsidRPr="00921DA4">
        <w:t xml:space="preserve">Overall, </w:t>
      </w:r>
      <w:r w:rsidR="00BA1C03" w:rsidRPr="00921DA4">
        <w:t>the</w:t>
      </w:r>
      <w:r w:rsidR="00921DA4" w:rsidRPr="00921DA4">
        <w:t xml:space="preserve"> results of these studies are based on a limited sample size of data that was available to be collected. </w:t>
      </w:r>
      <w:r w:rsidR="00921DA4" w:rsidRPr="00921DA4">
        <w:rPr>
          <w:rFonts w:cs="Arial"/>
          <w:szCs w:val="22"/>
        </w:rPr>
        <w:t xml:space="preserve">Thus, these results should be interpreted as a snapshot of the faucet consumption patterns of the commercial sector and not representative of all the faucets of the entire sector as a whole. More monitoring is needed to determine how well the results of these subsets of faucets represent all of the faucets of the sector and how they scale to different sized buildings. </w:t>
      </w:r>
      <w:bookmarkStart w:id="37" w:name="_Ref478128909"/>
    </w:p>
    <w:p w14:paraId="22560713" w14:textId="417A16D5" w:rsidR="002532B4" w:rsidRDefault="002532B4" w:rsidP="00E53513">
      <w:pPr>
        <w:rPr>
          <w:rFonts w:cs="Arial"/>
          <w:szCs w:val="22"/>
        </w:rPr>
      </w:pPr>
    </w:p>
    <w:p w14:paraId="03CAB895" w14:textId="77777777" w:rsidR="002532B4" w:rsidRPr="00E53513" w:rsidRDefault="002532B4" w:rsidP="00E53513"/>
    <w:p w14:paraId="5026F7B4" w14:textId="7E9757CB" w:rsidR="00E16609" w:rsidRPr="00500C4E" w:rsidRDefault="00E16609" w:rsidP="00560934">
      <w:pPr>
        <w:pStyle w:val="Heading1"/>
        <w:keepNext w:val="0"/>
        <w:rPr>
          <w:rFonts w:cstheme="minorHAnsi"/>
        </w:rPr>
      </w:pPr>
      <w:bookmarkStart w:id="38" w:name="_Toc478657394"/>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25"/>
      <w:r w:rsidR="00755A45" w:rsidRPr="00500C4E">
        <w:rPr>
          <w:rFonts w:cstheme="minorHAnsi"/>
        </w:rPr>
        <w:t xml:space="preserve"> Methodology</w:t>
      </w:r>
      <w:bookmarkEnd w:id="37"/>
      <w:bookmarkEnd w:id="38"/>
    </w:p>
    <w:p w14:paraId="5026F7B6" w14:textId="77777777" w:rsidR="00C04C2C" w:rsidRPr="00025F59" w:rsidRDefault="00C04C2C" w:rsidP="00C04C2C">
      <w:pPr>
        <w:pStyle w:val="Heading2"/>
        <w:rPr>
          <w:rFonts w:asciiTheme="minorHAnsi" w:hAnsiTheme="minorHAnsi" w:cstheme="minorHAnsi"/>
        </w:rPr>
      </w:pPr>
      <w:bookmarkStart w:id="39" w:name="_Toc411237271"/>
      <w:bookmarkStart w:id="40" w:name="_Toc433722170"/>
      <w:bookmarkStart w:id="41" w:name="_Toc447894058"/>
      <w:bookmarkStart w:id="42" w:name="_Ref478128841"/>
      <w:bookmarkStart w:id="43" w:name="_Ref478128852"/>
      <w:bookmarkStart w:id="44" w:name="_Ref478128860"/>
      <w:bookmarkStart w:id="45" w:name="_Ref478547362"/>
      <w:bookmarkStart w:id="46" w:name="_Toc478657395"/>
      <w:r w:rsidRPr="00025F59">
        <w:rPr>
          <w:rFonts w:asciiTheme="minorHAnsi" w:hAnsiTheme="minorHAnsi" w:cstheme="minorHAnsi"/>
        </w:rPr>
        <w:t>2.1</w:t>
      </w:r>
      <w:bookmarkEnd w:id="39"/>
      <w:bookmarkEnd w:id="40"/>
      <w:r w:rsidRPr="00025F59">
        <w:rPr>
          <w:rFonts w:asciiTheme="minorHAnsi" w:hAnsiTheme="minorHAnsi" w:cstheme="minorHAnsi"/>
        </w:rPr>
        <w:t xml:space="preserve"> Overview and Assumptions</w:t>
      </w:r>
      <w:bookmarkEnd w:id="41"/>
      <w:bookmarkEnd w:id="42"/>
      <w:bookmarkEnd w:id="43"/>
      <w:bookmarkEnd w:id="44"/>
      <w:bookmarkEnd w:id="45"/>
      <w:bookmarkEnd w:id="46"/>
    </w:p>
    <w:p w14:paraId="5026F7B9" w14:textId="0A0A45AB" w:rsidR="00C04C2C" w:rsidRPr="00025F59" w:rsidRDefault="00C04C2C" w:rsidP="00C04C2C">
      <w:pPr>
        <w:pStyle w:val="Reminder"/>
        <w:spacing w:before="0" w:after="0"/>
        <w:rPr>
          <w:rFonts w:asciiTheme="minorHAnsi" w:hAnsiTheme="minorHAnsi" w:cstheme="minorHAnsi"/>
          <w:i w:val="0"/>
          <w:color w:val="auto"/>
          <w:szCs w:val="22"/>
        </w:rPr>
      </w:pPr>
      <w:r w:rsidRPr="00025F59">
        <w:rPr>
          <w:rFonts w:asciiTheme="minorHAnsi" w:hAnsiTheme="minorHAnsi" w:cstheme="minorHAnsi"/>
          <w:i w:val="0"/>
          <w:color w:val="auto"/>
          <w:szCs w:val="22"/>
        </w:rPr>
        <w:t>The control volume selected, as seen in</w:t>
      </w:r>
      <w:r w:rsidRPr="00025F59">
        <w:rPr>
          <w:rFonts w:asciiTheme="minorHAnsi" w:hAnsiTheme="minorHAnsi" w:cstheme="minorHAnsi"/>
          <w:b/>
          <w:color w:val="auto"/>
          <w:szCs w:val="22"/>
        </w:rPr>
        <w:t xml:space="preserve"> </w:t>
      </w:r>
      <w:r w:rsidR="00FB7137" w:rsidRPr="00FB7137">
        <w:rPr>
          <w:rFonts w:asciiTheme="minorHAnsi" w:hAnsiTheme="minorHAnsi" w:cstheme="minorHAnsi"/>
          <w:b/>
          <w:color w:val="auto"/>
          <w:szCs w:val="22"/>
        </w:rPr>
        <w:fldChar w:fldCharType="begin"/>
      </w:r>
      <w:r w:rsidR="00FB7137" w:rsidRPr="00FB7137">
        <w:rPr>
          <w:rFonts w:asciiTheme="minorHAnsi" w:hAnsiTheme="minorHAnsi" w:cstheme="minorHAnsi"/>
          <w:b/>
          <w:color w:val="auto"/>
          <w:szCs w:val="22"/>
        </w:rPr>
        <w:instrText xml:space="preserve"> REF _Ref478391863 \h  \* MERGEFORMAT </w:instrText>
      </w:r>
      <w:r w:rsidR="00FB7137" w:rsidRPr="00FB7137">
        <w:rPr>
          <w:rFonts w:asciiTheme="minorHAnsi" w:hAnsiTheme="minorHAnsi" w:cstheme="minorHAnsi"/>
          <w:b/>
          <w:color w:val="auto"/>
          <w:szCs w:val="22"/>
        </w:rPr>
      </w:r>
      <w:r w:rsidR="00FB7137" w:rsidRPr="00FB7137">
        <w:rPr>
          <w:rFonts w:asciiTheme="minorHAnsi" w:hAnsiTheme="minorHAnsi" w:cstheme="minorHAnsi"/>
          <w:b/>
          <w:color w:val="auto"/>
          <w:szCs w:val="22"/>
        </w:rPr>
        <w:fldChar w:fldCharType="separate"/>
      </w:r>
      <w:r w:rsidR="00FB7137" w:rsidRPr="00FB7137">
        <w:rPr>
          <w:rFonts w:asciiTheme="minorHAnsi" w:hAnsiTheme="minorHAnsi" w:cstheme="minorHAnsi"/>
          <w:b/>
          <w:color w:val="auto"/>
        </w:rPr>
        <w:t xml:space="preserve">Figure </w:t>
      </w:r>
      <w:r w:rsidR="00FB7137" w:rsidRPr="00FB7137">
        <w:rPr>
          <w:rFonts w:asciiTheme="minorHAnsi" w:hAnsiTheme="minorHAnsi" w:cstheme="minorHAnsi"/>
          <w:b/>
          <w:noProof/>
          <w:color w:val="auto"/>
        </w:rPr>
        <w:t>2</w:t>
      </w:r>
      <w:r w:rsidR="00FB7137" w:rsidRPr="00FB7137">
        <w:rPr>
          <w:rFonts w:asciiTheme="minorHAnsi" w:hAnsiTheme="minorHAnsi" w:cstheme="minorHAnsi"/>
          <w:b/>
          <w:color w:val="auto"/>
          <w:szCs w:val="22"/>
        </w:rPr>
        <w:fldChar w:fldCharType="end"/>
      </w:r>
      <w:r w:rsidR="00A234A0" w:rsidRPr="00025F59">
        <w:rPr>
          <w:rFonts w:asciiTheme="minorHAnsi" w:hAnsiTheme="minorHAnsi" w:cstheme="minorHAnsi"/>
          <w:b/>
          <w:i w:val="0"/>
          <w:color w:val="auto"/>
          <w:szCs w:val="22"/>
        </w:rPr>
        <w:t>,</w:t>
      </w:r>
      <w:r w:rsidR="00A234A0" w:rsidRPr="00025F59">
        <w:rPr>
          <w:rFonts w:asciiTheme="minorHAnsi" w:hAnsiTheme="minorHAnsi" w:cstheme="minorHAnsi"/>
          <w:i w:val="0"/>
          <w:color w:val="auto"/>
          <w:szCs w:val="22"/>
        </w:rPr>
        <w:t xml:space="preserve"> </w:t>
      </w:r>
      <w:r w:rsidRPr="00025F59">
        <w:rPr>
          <w:rFonts w:asciiTheme="minorHAnsi" w:hAnsiTheme="minorHAnsi" w:cstheme="minorHAnsi"/>
          <w:i w:val="0"/>
          <w:color w:val="auto"/>
          <w:szCs w:val="22"/>
        </w:rPr>
        <w:t xml:space="preserve">includes the incoming city make-up water, water heating </w:t>
      </w:r>
      <w:r w:rsidR="00A234A0" w:rsidRPr="00025F59">
        <w:rPr>
          <w:rFonts w:asciiTheme="minorHAnsi" w:hAnsiTheme="minorHAnsi" w:cstheme="minorHAnsi"/>
          <w:i w:val="0"/>
          <w:color w:val="auto"/>
          <w:szCs w:val="22"/>
        </w:rPr>
        <w:t xml:space="preserve">equipment </w:t>
      </w:r>
      <w:r w:rsidRPr="00025F59">
        <w:rPr>
          <w:rFonts w:asciiTheme="minorHAnsi" w:hAnsiTheme="minorHAnsi" w:cstheme="minorHAnsi"/>
          <w:i w:val="0"/>
          <w:color w:val="auto"/>
          <w:szCs w:val="22"/>
        </w:rPr>
        <w:t>(</w:t>
      </w:r>
      <w:r w:rsidR="009E2905" w:rsidRPr="00025F59">
        <w:rPr>
          <w:rFonts w:asciiTheme="minorHAnsi" w:hAnsiTheme="minorHAnsi" w:cstheme="minorHAnsi"/>
          <w:i w:val="0"/>
          <w:color w:val="auto"/>
          <w:szCs w:val="22"/>
        </w:rPr>
        <w:t xml:space="preserve">e.g. </w:t>
      </w:r>
      <w:r w:rsidRPr="00025F59">
        <w:rPr>
          <w:rFonts w:asciiTheme="minorHAnsi" w:hAnsiTheme="minorHAnsi" w:cstheme="minorHAnsi"/>
          <w:i w:val="0"/>
          <w:color w:val="auto"/>
          <w:szCs w:val="22"/>
        </w:rPr>
        <w:t>storage wa</w:t>
      </w:r>
      <w:r w:rsidR="00AA459C">
        <w:rPr>
          <w:rFonts w:asciiTheme="minorHAnsi" w:hAnsiTheme="minorHAnsi" w:cstheme="minorHAnsi"/>
          <w:i w:val="0"/>
          <w:color w:val="auto"/>
          <w:szCs w:val="22"/>
        </w:rPr>
        <w:t xml:space="preserve">ter heater, hot water boiler, </w:t>
      </w:r>
      <w:r w:rsidRPr="00025F59">
        <w:rPr>
          <w:rFonts w:asciiTheme="minorHAnsi" w:hAnsiTheme="minorHAnsi" w:cstheme="minorHAnsi"/>
          <w:i w:val="0"/>
          <w:color w:val="auto"/>
          <w:szCs w:val="22"/>
        </w:rPr>
        <w:t xml:space="preserve">steam boiler), and the outgoing heated water being supplied to the faucet. </w:t>
      </w:r>
    </w:p>
    <w:p w14:paraId="5026F7BA" w14:textId="77777777" w:rsidR="00C04C2C" w:rsidRDefault="00C04C2C" w:rsidP="00C04C2C">
      <w:pPr>
        <w:pStyle w:val="Reminder"/>
        <w:spacing w:before="0" w:after="0"/>
        <w:rPr>
          <w:rFonts w:asciiTheme="minorHAnsi" w:hAnsiTheme="minorHAnsi" w:cstheme="minorHAnsi"/>
          <w:i w:val="0"/>
          <w:color w:val="auto"/>
          <w:szCs w:val="22"/>
        </w:rPr>
      </w:pPr>
    </w:p>
    <w:p w14:paraId="5026F7BB" w14:textId="2792D639" w:rsidR="00A234A0" w:rsidRDefault="00C04C2C" w:rsidP="00A101C7">
      <w:pPr>
        <w:pStyle w:val="Reminder"/>
        <w:keepNext/>
        <w:spacing w:before="0" w:after="0"/>
        <w:jc w:val="center"/>
      </w:pPr>
      <w:r>
        <w:rPr>
          <w:rFonts w:asciiTheme="minorHAnsi" w:hAnsiTheme="minorHAnsi" w:cstheme="minorHAnsi"/>
          <w:i w:val="0"/>
          <w:noProof/>
          <w:color w:val="auto"/>
          <w:szCs w:val="22"/>
        </w:rPr>
        <w:drawing>
          <wp:inline distT="0" distB="0" distL="0" distR="0" wp14:anchorId="5026F8DB" wp14:editId="551A88DF">
            <wp:extent cx="4171950" cy="2353702"/>
            <wp:effectExtent l="0" t="0" r="0" b="8890"/>
            <wp:docPr id="1" name="Picture 1" descr="C:\Users\NYLoo\Desktop\Aerator 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YLoo\Desktop\Aerator CV.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87950" cy="2362729"/>
                    </a:xfrm>
                    <a:prstGeom prst="rect">
                      <a:avLst/>
                    </a:prstGeom>
                    <a:noFill/>
                    <a:ln>
                      <a:noFill/>
                    </a:ln>
                  </pic:spPr>
                </pic:pic>
              </a:graphicData>
            </a:graphic>
          </wp:inline>
        </w:drawing>
      </w:r>
    </w:p>
    <w:p w14:paraId="5026F7BC" w14:textId="670194F0" w:rsidR="00C04C2C" w:rsidRDefault="00A234A0" w:rsidP="00A234A0">
      <w:pPr>
        <w:pStyle w:val="Caption"/>
        <w:jc w:val="center"/>
        <w:rPr>
          <w:rFonts w:cstheme="minorHAnsi"/>
          <w:i/>
          <w:szCs w:val="22"/>
        </w:rPr>
      </w:pPr>
      <w:bookmarkStart w:id="47" w:name="_Ref478391863"/>
      <w:r>
        <w:t xml:space="preserve">Figure </w:t>
      </w:r>
      <w:r w:rsidR="005A50B7">
        <w:fldChar w:fldCharType="begin"/>
      </w:r>
      <w:r w:rsidR="005A50B7">
        <w:instrText xml:space="preserve"> SEQ Figure \* ARABIC </w:instrText>
      </w:r>
      <w:r w:rsidR="005A50B7">
        <w:fldChar w:fldCharType="separate"/>
      </w:r>
      <w:r w:rsidR="00FF1788">
        <w:rPr>
          <w:noProof/>
        </w:rPr>
        <w:t>2</w:t>
      </w:r>
      <w:r w:rsidR="005A50B7">
        <w:rPr>
          <w:noProof/>
        </w:rPr>
        <w:fldChar w:fldCharType="end"/>
      </w:r>
      <w:bookmarkEnd w:id="47"/>
      <w:r>
        <w:t>: Process Flow and Control Volume</w:t>
      </w:r>
    </w:p>
    <w:p w14:paraId="5026F7BD" w14:textId="77777777" w:rsidR="00CD1B6C" w:rsidRDefault="00CD1B6C" w:rsidP="00A91756">
      <w:pPr>
        <w:pStyle w:val="Reminder"/>
        <w:rPr>
          <w:rFonts w:asciiTheme="minorHAnsi" w:hAnsiTheme="minorHAnsi" w:cstheme="minorHAnsi"/>
          <w:i w:val="0"/>
          <w:color w:val="0070C0"/>
          <w:szCs w:val="22"/>
        </w:rPr>
      </w:pPr>
    </w:p>
    <w:p w14:paraId="5026F7BE" w14:textId="77777777" w:rsidR="006E4408" w:rsidRPr="00025F59" w:rsidRDefault="00A91756" w:rsidP="00A91756">
      <w:pPr>
        <w:pStyle w:val="Reminder"/>
        <w:rPr>
          <w:rFonts w:asciiTheme="minorHAnsi" w:hAnsiTheme="minorHAnsi" w:cstheme="minorHAnsi"/>
          <w:i w:val="0"/>
          <w:color w:val="auto"/>
          <w:szCs w:val="22"/>
        </w:rPr>
      </w:pPr>
      <w:r w:rsidRPr="00025F59">
        <w:rPr>
          <w:rFonts w:asciiTheme="minorHAnsi" w:hAnsiTheme="minorHAnsi" w:cstheme="minorHAnsi"/>
          <w:i w:val="0"/>
          <w:color w:val="auto"/>
          <w:szCs w:val="22"/>
        </w:rPr>
        <w:t xml:space="preserve">The temperature of the make-up water supplied to the water heating mode varies by climate zone as seen in the table below.  </w:t>
      </w:r>
    </w:p>
    <w:p w14:paraId="5026F7BF" w14:textId="77777777" w:rsidR="006E4408" w:rsidRDefault="006E4408" w:rsidP="00A91756">
      <w:pPr>
        <w:pStyle w:val="Reminder"/>
        <w:rPr>
          <w:rFonts w:asciiTheme="minorHAnsi" w:hAnsiTheme="minorHAnsi" w:cstheme="minorHAnsi"/>
          <w:i w:val="0"/>
          <w:color w:val="0070C0"/>
          <w:szCs w:val="22"/>
        </w:rPr>
      </w:pPr>
    </w:p>
    <w:p w14:paraId="5026F7C0" w14:textId="1B75F057" w:rsidR="006E4408" w:rsidRPr="006E4408" w:rsidRDefault="006E4408" w:rsidP="006E4408">
      <w:pPr>
        <w:pStyle w:val="Caption"/>
        <w:keepNext/>
        <w:jc w:val="center"/>
      </w:pPr>
      <w:bookmarkStart w:id="48" w:name="_Ref478125563"/>
      <w:r>
        <w:t xml:space="preserve">Table </w:t>
      </w:r>
      <w:r w:rsidR="005A50B7">
        <w:fldChar w:fldCharType="begin"/>
      </w:r>
      <w:r w:rsidR="005A50B7">
        <w:instrText xml:space="preserve"> SEQ Table \* ARABIC </w:instrText>
      </w:r>
      <w:r w:rsidR="005A50B7">
        <w:fldChar w:fldCharType="separate"/>
      </w:r>
      <w:r w:rsidR="007E7EDB">
        <w:rPr>
          <w:noProof/>
        </w:rPr>
        <w:t>13</w:t>
      </w:r>
      <w:r w:rsidR="005A50B7">
        <w:rPr>
          <w:noProof/>
        </w:rPr>
        <w:fldChar w:fldCharType="end"/>
      </w:r>
      <w:bookmarkEnd w:id="48"/>
      <w:r>
        <w:t>: Make-Up Water Temperature by Climate Zone</w:t>
      </w:r>
      <w:r w:rsidR="009A70FC">
        <w:rPr>
          <w:rStyle w:val="EndnoteReference"/>
        </w:rPr>
        <w:endnoteReference w:id="6"/>
      </w:r>
    </w:p>
    <w:tbl>
      <w:tblPr>
        <w:tblStyle w:val="TableGrid1"/>
        <w:tblW w:w="1770" w:type="pct"/>
        <w:jc w:val="center"/>
        <w:tblLayout w:type="fixed"/>
        <w:tblCellMar>
          <w:left w:w="115" w:type="dxa"/>
          <w:right w:w="115" w:type="dxa"/>
        </w:tblCellMar>
        <w:tblLook w:val="04A0" w:firstRow="1" w:lastRow="0" w:firstColumn="1" w:lastColumn="0" w:noHBand="0" w:noVBand="1"/>
      </w:tblPr>
      <w:tblGrid>
        <w:gridCol w:w="1654"/>
        <w:gridCol w:w="1656"/>
      </w:tblGrid>
      <w:tr w:rsidR="009E2905" w:rsidRPr="00500C4E" w14:paraId="5026F7C3" w14:textId="77777777" w:rsidTr="006E4408">
        <w:trPr>
          <w:trHeight w:val="32"/>
          <w:jc w:val="center"/>
        </w:trPr>
        <w:tc>
          <w:tcPr>
            <w:tcW w:w="2499" w:type="pct"/>
            <w:shd w:val="clear" w:color="auto" w:fill="D9D9D9" w:themeFill="background1" w:themeFillShade="D9"/>
          </w:tcPr>
          <w:p w14:paraId="5026F7C1" w14:textId="77777777" w:rsidR="009E2905" w:rsidRPr="00920905" w:rsidRDefault="009E2905" w:rsidP="00A1779C">
            <w:pPr>
              <w:tabs>
                <w:tab w:val="right" w:pos="2957"/>
              </w:tabs>
              <w:rPr>
                <w:rFonts w:cs="Arial"/>
                <w:b/>
                <w:szCs w:val="20"/>
              </w:rPr>
            </w:pPr>
            <w:r>
              <w:rPr>
                <w:rFonts w:cs="Arial"/>
                <w:b/>
                <w:szCs w:val="20"/>
              </w:rPr>
              <w:t>Climate Zone</w:t>
            </w:r>
          </w:p>
        </w:tc>
        <w:tc>
          <w:tcPr>
            <w:tcW w:w="2501" w:type="pct"/>
            <w:shd w:val="clear" w:color="auto" w:fill="D9D9D9" w:themeFill="background1" w:themeFillShade="D9"/>
          </w:tcPr>
          <w:p w14:paraId="5026F7C2" w14:textId="77777777" w:rsidR="009E2905" w:rsidRPr="00920905" w:rsidRDefault="009E2905" w:rsidP="00A1779C">
            <w:pPr>
              <w:rPr>
                <w:rFonts w:cs="Arial"/>
                <w:b/>
                <w:szCs w:val="20"/>
              </w:rPr>
            </w:pPr>
            <w:r>
              <w:rPr>
                <w:rFonts w:cs="Arial"/>
                <w:b/>
                <w:szCs w:val="20"/>
              </w:rPr>
              <w:t>Temperature (</w:t>
            </w:r>
            <w:r>
              <w:rPr>
                <w:rFonts w:ascii="Calibri" w:hAnsi="Calibri" w:cs="Arial"/>
                <w:b/>
                <w:szCs w:val="20"/>
              </w:rPr>
              <w:t>°</w:t>
            </w:r>
            <w:r>
              <w:rPr>
                <w:rFonts w:cs="Arial"/>
                <w:b/>
                <w:szCs w:val="20"/>
              </w:rPr>
              <w:t>F)</w:t>
            </w:r>
          </w:p>
        </w:tc>
      </w:tr>
      <w:tr w:rsidR="009E2905" w:rsidRPr="00500C4E" w14:paraId="5026F7C6" w14:textId="77777777" w:rsidTr="006E4408">
        <w:trPr>
          <w:trHeight w:val="32"/>
          <w:jc w:val="center"/>
        </w:trPr>
        <w:tc>
          <w:tcPr>
            <w:tcW w:w="2499" w:type="pct"/>
            <w:vAlign w:val="center"/>
          </w:tcPr>
          <w:p w14:paraId="5026F7C4" w14:textId="77777777" w:rsidR="009E2905" w:rsidRPr="009E2905" w:rsidRDefault="009E2905" w:rsidP="009E2905">
            <w:pPr>
              <w:jc w:val="center"/>
              <w:rPr>
                <w:rFonts w:cs="Arial"/>
                <w:szCs w:val="20"/>
              </w:rPr>
            </w:pPr>
            <w:r w:rsidRPr="009E2905">
              <w:rPr>
                <w:rFonts w:cs="Arial"/>
                <w:szCs w:val="20"/>
              </w:rPr>
              <w:t>1</w:t>
            </w:r>
          </w:p>
        </w:tc>
        <w:tc>
          <w:tcPr>
            <w:tcW w:w="2501" w:type="pct"/>
            <w:vAlign w:val="center"/>
          </w:tcPr>
          <w:p w14:paraId="5026F7C5" w14:textId="77777777" w:rsidR="009E2905" w:rsidRPr="009E2905" w:rsidRDefault="009E2905" w:rsidP="00A1779C">
            <w:pPr>
              <w:jc w:val="center"/>
            </w:pPr>
            <w:r w:rsidRPr="009E2905">
              <w:t>51.38</w:t>
            </w:r>
          </w:p>
        </w:tc>
      </w:tr>
      <w:tr w:rsidR="009E2905" w:rsidRPr="00500C4E" w14:paraId="5026F7C9" w14:textId="77777777" w:rsidTr="006E4408">
        <w:trPr>
          <w:trHeight w:val="32"/>
          <w:jc w:val="center"/>
        </w:trPr>
        <w:tc>
          <w:tcPr>
            <w:tcW w:w="2499" w:type="pct"/>
            <w:vAlign w:val="center"/>
          </w:tcPr>
          <w:p w14:paraId="5026F7C7" w14:textId="77777777" w:rsidR="009E2905" w:rsidRPr="009E2905" w:rsidRDefault="009E2905" w:rsidP="009E2905">
            <w:pPr>
              <w:jc w:val="center"/>
              <w:rPr>
                <w:rFonts w:cs="Arial"/>
                <w:szCs w:val="20"/>
              </w:rPr>
            </w:pPr>
            <w:r w:rsidRPr="009E2905">
              <w:rPr>
                <w:rFonts w:cs="Arial"/>
                <w:szCs w:val="20"/>
              </w:rPr>
              <w:t>2</w:t>
            </w:r>
          </w:p>
        </w:tc>
        <w:tc>
          <w:tcPr>
            <w:tcW w:w="2501" w:type="pct"/>
            <w:vAlign w:val="center"/>
          </w:tcPr>
          <w:p w14:paraId="5026F7C8" w14:textId="77777777" w:rsidR="009E2905" w:rsidRPr="009E2905" w:rsidRDefault="009E2905" w:rsidP="00A1779C">
            <w:pPr>
              <w:jc w:val="center"/>
            </w:pPr>
            <w:r w:rsidRPr="009E2905">
              <w:t>57.29</w:t>
            </w:r>
          </w:p>
        </w:tc>
      </w:tr>
      <w:tr w:rsidR="009E2905" w:rsidRPr="00500C4E" w14:paraId="5026F7CC" w14:textId="77777777" w:rsidTr="006E4408">
        <w:trPr>
          <w:trHeight w:val="32"/>
          <w:jc w:val="center"/>
        </w:trPr>
        <w:tc>
          <w:tcPr>
            <w:tcW w:w="2499" w:type="pct"/>
            <w:vAlign w:val="center"/>
          </w:tcPr>
          <w:p w14:paraId="5026F7CA" w14:textId="77777777" w:rsidR="009E2905" w:rsidRPr="009E2905" w:rsidRDefault="009E2905" w:rsidP="009E2905">
            <w:pPr>
              <w:jc w:val="center"/>
              <w:rPr>
                <w:rFonts w:cs="Arial"/>
                <w:szCs w:val="20"/>
              </w:rPr>
            </w:pPr>
            <w:r w:rsidRPr="009E2905">
              <w:rPr>
                <w:rFonts w:cs="Arial"/>
                <w:szCs w:val="20"/>
              </w:rPr>
              <w:t>3</w:t>
            </w:r>
          </w:p>
        </w:tc>
        <w:tc>
          <w:tcPr>
            <w:tcW w:w="2501" w:type="pct"/>
            <w:vAlign w:val="center"/>
          </w:tcPr>
          <w:p w14:paraId="5026F7CB" w14:textId="77777777" w:rsidR="009E2905" w:rsidRPr="009E2905" w:rsidRDefault="009E2905" w:rsidP="00A1779C">
            <w:pPr>
              <w:jc w:val="center"/>
            </w:pPr>
            <w:r w:rsidRPr="009E2905">
              <w:t>57.05</w:t>
            </w:r>
          </w:p>
        </w:tc>
      </w:tr>
      <w:tr w:rsidR="009E2905" w:rsidRPr="00500C4E" w14:paraId="5026F7CF" w14:textId="77777777" w:rsidTr="006E4408">
        <w:trPr>
          <w:trHeight w:val="32"/>
          <w:jc w:val="center"/>
        </w:trPr>
        <w:tc>
          <w:tcPr>
            <w:tcW w:w="2499" w:type="pct"/>
            <w:vAlign w:val="center"/>
          </w:tcPr>
          <w:p w14:paraId="5026F7CD" w14:textId="77777777" w:rsidR="009E2905" w:rsidRPr="009E2905" w:rsidRDefault="009E2905" w:rsidP="009E2905">
            <w:pPr>
              <w:jc w:val="center"/>
              <w:rPr>
                <w:rFonts w:cs="Arial"/>
                <w:szCs w:val="20"/>
              </w:rPr>
            </w:pPr>
            <w:r w:rsidRPr="009E2905">
              <w:rPr>
                <w:rFonts w:cs="Arial"/>
                <w:szCs w:val="20"/>
              </w:rPr>
              <w:t>4</w:t>
            </w:r>
          </w:p>
        </w:tc>
        <w:tc>
          <w:tcPr>
            <w:tcW w:w="2501" w:type="pct"/>
            <w:vAlign w:val="center"/>
          </w:tcPr>
          <w:p w14:paraId="5026F7CE" w14:textId="77777777" w:rsidR="009E2905" w:rsidRPr="009E2905" w:rsidRDefault="009E2905" w:rsidP="00A1779C">
            <w:pPr>
              <w:jc w:val="center"/>
            </w:pPr>
            <w:r w:rsidRPr="009E2905">
              <w:t>59.51</w:t>
            </w:r>
          </w:p>
        </w:tc>
      </w:tr>
      <w:tr w:rsidR="009E2905" w:rsidRPr="00500C4E" w14:paraId="5026F7D2" w14:textId="77777777" w:rsidTr="006E4408">
        <w:trPr>
          <w:trHeight w:val="32"/>
          <w:jc w:val="center"/>
        </w:trPr>
        <w:tc>
          <w:tcPr>
            <w:tcW w:w="2499" w:type="pct"/>
            <w:vAlign w:val="center"/>
          </w:tcPr>
          <w:p w14:paraId="5026F7D0" w14:textId="77777777" w:rsidR="009E2905" w:rsidRPr="009E2905" w:rsidRDefault="009E2905" w:rsidP="009E2905">
            <w:pPr>
              <w:jc w:val="center"/>
              <w:rPr>
                <w:rFonts w:cs="Arial"/>
                <w:szCs w:val="20"/>
              </w:rPr>
            </w:pPr>
            <w:r w:rsidRPr="009E2905">
              <w:rPr>
                <w:rFonts w:cs="Arial"/>
                <w:szCs w:val="20"/>
              </w:rPr>
              <w:t>5</w:t>
            </w:r>
          </w:p>
        </w:tc>
        <w:tc>
          <w:tcPr>
            <w:tcW w:w="2501" w:type="pct"/>
            <w:vAlign w:val="center"/>
          </w:tcPr>
          <w:p w14:paraId="5026F7D1" w14:textId="77777777" w:rsidR="009E2905" w:rsidRPr="009E2905" w:rsidRDefault="009E2905" w:rsidP="00A1779C">
            <w:pPr>
              <w:jc w:val="center"/>
              <w:rPr>
                <w:rFonts w:cs="Calibri"/>
                <w:szCs w:val="22"/>
              </w:rPr>
            </w:pPr>
            <w:r w:rsidRPr="009E2905">
              <w:rPr>
                <w:rFonts w:cs="Calibri"/>
                <w:szCs w:val="22"/>
              </w:rPr>
              <w:t>55.83</w:t>
            </w:r>
          </w:p>
        </w:tc>
      </w:tr>
      <w:tr w:rsidR="009E2905" w:rsidRPr="00500C4E" w14:paraId="5026F7D5" w14:textId="77777777" w:rsidTr="006E4408">
        <w:trPr>
          <w:trHeight w:val="32"/>
          <w:jc w:val="center"/>
        </w:trPr>
        <w:tc>
          <w:tcPr>
            <w:tcW w:w="2499" w:type="pct"/>
            <w:vAlign w:val="center"/>
          </w:tcPr>
          <w:p w14:paraId="5026F7D3" w14:textId="77777777" w:rsidR="009E2905" w:rsidRPr="009E2905" w:rsidRDefault="009E2905" w:rsidP="009E2905">
            <w:pPr>
              <w:jc w:val="center"/>
              <w:rPr>
                <w:rFonts w:cs="Arial"/>
                <w:szCs w:val="20"/>
              </w:rPr>
            </w:pPr>
            <w:r w:rsidRPr="009E2905">
              <w:rPr>
                <w:rFonts w:cs="Arial"/>
                <w:szCs w:val="20"/>
              </w:rPr>
              <w:t>6</w:t>
            </w:r>
          </w:p>
        </w:tc>
        <w:tc>
          <w:tcPr>
            <w:tcW w:w="2501" w:type="pct"/>
            <w:vAlign w:val="center"/>
          </w:tcPr>
          <w:p w14:paraId="5026F7D4" w14:textId="77777777" w:rsidR="009E2905" w:rsidRPr="009E2905" w:rsidRDefault="009E2905" w:rsidP="00A1779C">
            <w:pPr>
              <w:jc w:val="center"/>
              <w:rPr>
                <w:rFonts w:cs="Calibri"/>
                <w:szCs w:val="22"/>
              </w:rPr>
            </w:pPr>
            <w:r w:rsidRPr="009E2905">
              <w:rPr>
                <w:rFonts w:cs="Calibri"/>
                <w:szCs w:val="22"/>
              </w:rPr>
              <w:t>61.75</w:t>
            </w:r>
          </w:p>
        </w:tc>
      </w:tr>
      <w:tr w:rsidR="009E2905" w:rsidRPr="00500C4E" w14:paraId="5026F7D8" w14:textId="77777777" w:rsidTr="006E4408">
        <w:trPr>
          <w:trHeight w:val="32"/>
          <w:jc w:val="center"/>
        </w:trPr>
        <w:tc>
          <w:tcPr>
            <w:tcW w:w="2499" w:type="pct"/>
            <w:vAlign w:val="center"/>
          </w:tcPr>
          <w:p w14:paraId="5026F7D6" w14:textId="77777777" w:rsidR="009E2905" w:rsidRPr="009E2905" w:rsidRDefault="009E2905" w:rsidP="009E2905">
            <w:pPr>
              <w:jc w:val="center"/>
              <w:rPr>
                <w:rFonts w:cs="Arial"/>
                <w:szCs w:val="20"/>
              </w:rPr>
            </w:pPr>
            <w:r w:rsidRPr="009E2905">
              <w:rPr>
                <w:rFonts w:cs="Arial"/>
                <w:szCs w:val="20"/>
              </w:rPr>
              <w:t>7</w:t>
            </w:r>
          </w:p>
        </w:tc>
        <w:tc>
          <w:tcPr>
            <w:tcW w:w="2501" w:type="pct"/>
            <w:vAlign w:val="center"/>
          </w:tcPr>
          <w:p w14:paraId="5026F7D7" w14:textId="77777777" w:rsidR="009E2905" w:rsidRPr="009E2905" w:rsidRDefault="009E2905" w:rsidP="00A1779C">
            <w:pPr>
              <w:jc w:val="center"/>
              <w:rPr>
                <w:rFonts w:cs="Calibri"/>
                <w:szCs w:val="22"/>
              </w:rPr>
            </w:pPr>
            <w:r w:rsidRPr="009E2905">
              <w:rPr>
                <w:rFonts w:cs="Calibri"/>
                <w:szCs w:val="22"/>
              </w:rPr>
              <w:t>62.55</w:t>
            </w:r>
          </w:p>
        </w:tc>
      </w:tr>
      <w:tr w:rsidR="009E2905" w:rsidRPr="00500C4E" w14:paraId="5026F7DB" w14:textId="77777777" w:rsidTr="006E4408">
        <w:trPr>
          <w:trHeight w:val="32"/>
          <w:jc w:val="center"/>
        </w:trPr>
        <w:tc>
          <w:tcPr>
            <w:tcW w:w="2499" w:type="pct"/>
            <w:vAlign w:val="center"/>
          </w:tcPr>
          <w:p w14:paraId="5026F7D9" w14:textId="77777777" w:rsidR="009E2905" w:rsidRPr="009E2905" w:rsidRDefault="009E2905" w:rsidP="009E2905">
            <w:pPr>
              <w:jc w:val="center"/>
              <w:rPr>
                <w:rFonts w:cs="Arial"/>
                <w:szCs w:val="20"/>
              </w:rPr>
            </w:pPr>
            <w:r w:rsidRPr="009E2905">
              <w:rPr>
                <w:rFonts w:cs="Arial"/>
                <w:szCs w:val="20"/>
              </w:rPr>
              <w:t>8</w:t>
            </w:r>
          </w:p>
        </w:tc>
        <w:tc>
          <w:tcPr>
            <w:tcW w:w="2501" w:type="pct"/>
            <w:vAlign w:val="center"/>
          </w:tcPr>
          <w:p w14:paraId="5026F7DA" w14:textId="77777777" w:rsidR="009E2905" w:rsidRPr="009E2905" w:rsidRDefault="009E2905" w:rsidP="00A1779C">
            <w:pPr>
              <w:jc w:val="center"/>
              <w:rPr>
                <w:rFonts w:cs="Calibri"/>
                <w:szCs w:val="22"/>
              </w:rPr>
            </w:pPr>
            <w:r w:rsidRPr="009E2905">
              <w:rPr>
                <w:rFonts w:cs="Calibri"/>
                <w:szCs w:val="22"/>
              </w:rPr>
              <w:t>63.74</w:t>
            </w:r>
          </w:p>
        </w:tc>
      </w:tr>
      <w:tr w:rsidR="009E2905" w:rsidRPr="00500C4E" w14:paraId="5026F7DE" w14:textId="77777777" w:rsidTr="006E4408">
        <w:trPr>
          <w:trHeight w:val="112"/>
          <w:jc w:val="center"/>
        </w:trPr>
        <w:tc>
          <w:tcPr>
            <w:tcW w:w="2499" w:type="pct"/>
            <w:vAlign w:val="center"/>
          </w:tcPr>
          <w:p w14:paraId="5026F7DC" w14:textId="77777777" w:rsidR="009E2905" w:rsidRPr="009E2905" w:rsidRDefault="009E2905" w:rsidP="009E2905">
            <w:pPr>
              <w:jc w:val="center"/>
              <w:rPr>
                <w:rFonts w:cs="Arial"/>
                <w:szCs w:val="20"/>
              </w:rPr>
            </w:pPr>
            <w:r w:rsidRPr="009E2905">
              <w:rPr>
                <w:rFonts w:cs="Arial"/>
                <w:szCs w:val="20"/>
              </w:rPr>
              <w:t>9</w:t>
            </w:r>
          </w:p>
        </w:tc>
        <w:tc>
          <w:tcPr>
            <w:tcW w:w="2501" w:type="pct"/>
            <w:vAlign w:val="center"/>
          </w:tcPr>
          <w:p w14:paraId="5026F7DD" w14:textId="77777777" w:rsidR="009E2905" w:rsidRPr="009E2905" w:rsidRDefault="009E2905" w:rsidP="00A1779C">
            <w:pPr>
              <w:jc w:val="center"/>
              <w:rPr>
                <w:rFonts w:cs="Calibri"/>
                <w:szCs w:val="22"/>
              </w:rPr>
            </w:pPr>
            <w:r w:rsidRPr="009E2905">
              <w:rPr>
                <w:rFonts w:cs="Calibri"/>
                <w:szCs w:val="22"/>
              </w:rPr>
              <w:t>63.82</w:t>
            </w:r>
          </w:p>
        </w:tc>
      </w:tr>
      <w:tr w:rsidR="009E2905" w:rsidRPr="00500C4E" w14:paraId="5026F7E1" w14:textId="77777777" w:rsidTr="006E4408">
        <w:trPr>
          <w:trHeight w:val="32"/>
          <w:jc w:val="center"/>
        </w:trPr>
        <w:tc>
          <w:tcPr>
            <w:tcW w:w="2499" w:type="pct"/>
            <w:vAlign w:val="center"/>
          </w:tcPr>
          <w:p w14:paraId="5026F7DF" w14:textId="77777777" w:rsidR="009E2905" w:rsidRPr="009E2905" w:rsidRDefault="009E2905" w:rsidP="009E2905">
            <w:pPr>
              <w:jc w:val="center"/>
              <w:rPr>
                <w:rFonts w:cs="Arial"/>
                <w:szCs w:val="20"/>
              </w:rPr>
            </w:pPr>
            <w:r w:rsidRPr="009E2905">
              <w:rPr>
                <w:rFonts w:cs="Arial"/>
                <w:szCs w:val="20"/>
              </w:rPr>
              <w:t>10</w:t>
            </w:r>
          </w:p>
        </w:tc>
        <w:tc>
          <w:tcPr>
            <w:tcW w:w="2501" w:type="pct"/>
            <w:vAlign w:val="center"/>
          </w:tcPr>
          <w:p w14:paraId="5026F7E0" w14:textId="77777777" w:rsidR="009E2905" w:rsidRPr="009E2905" w:rsidRDefault="009E2905" w:rsidP="00A1779C">
            <w:pPr>
              <w:jc w:val="center"/>
              <w:rPr>
                <w:rFonts w:cs="Calibri"/>
                <w:szCs w:val="22"/>
              </w:rPr>
            </w:pPr>
            <w:r w:rsidRPr="009E2905">
              <w:rPr>
                <w:rFonts w:cs="Calibri"/>
                <w:szCs w:val="22"/>
              </w:rPr>
              <w:t>64.15</w:t>
            </w:r>
          </w:p>
        </w:tc>
      </w:tr>
      <w:tr w:rsidR="009E2905" w:rsidRPr="00500C4E" w14:paraId="5026F7E4" w14:textId="77777777" w:rsidTr="006E4408">
        <w:trPr>
          <w:trHeight w:val="32"/>
          <w:jc w:val="center"/>
        </w:trPr>
        <w:tc>
          <w:tcPr>
            <w:tcW w:w="2499" w:type="pct"/>
            <w:vAlign w:val="center"/>
          </w:tcPr>
          <w:p w14:paraId="5026F7E2" w14:textId="77777777" w:rsidR="009E2905" w:rsidRPr="009E2905" w:rsidRDefault="009E2905" w:rsidP="009E2905">
            <w:pPr>
              <w:jc w:val="center"/>
              <w:rPr>
                <w:rFonts w:cs="Arial"/>
                <w:szCs w:val="20"/>
              </w:rPr>
            </w:pPr>
            <w:r w:rsidRPr="009E2905">
              <w:rPr>
                <w:rFonts w:cs="Arial"/>
                <w:szCs w:val="20"/>
              </w:rPr>
              <w:t>11</w:t>
            </w:r>
          </w:p>
        </w:tc>
        <w:tc>
          <w:tcPr>
            <w:tcW w:w="2501" w:type="pct"/>
            <w:vAlign w:val="center"/>
          </w:tcPr>
          <w:p w14:paraId="5026F7E3" w14:textId="77777777" w:rsidR="009E2905" w:rsidRPr="009E2905" w:rsidRDefault="009E2905" w:rsidP="00A1779C">
            <w:pPr>
              <w:jc w:val="center"/>
              <w:rPr>
                <w:rFonts w:cs="Calibri"/>
                <w:szCs w:val="22"/>
              </w:rPr>
            </w:pPr>
            <w:r w:rsidRPr="009E2905">
              <w:rPr>
                <w:rFonts w:cs="Calibri"/>
                <w:szCs w:val="22"/>
              </w:rPr>
              <w:t>63.19</w:t>
            </w:r>
          </w:p>
        </w:tc>
      </w:tr>
      <w:tr w:rsidR="009E2905" w:rsidRPr="00500C4E" w14:paraId="5026F7E7" w14:textId="77777777" w:rsidTr="006E4408">
        <w:trPr>
          <w:trHeight w:val="32"/>
          <w:jc w:val="center"/>
        </w:trPr>
        <w:tc>
          <w:tcPr>
            <w:tcW w:w="2499" w:type="pct"/>
            <w:vAlign w:val="center"/>
          </w:tcPr>
          <w:p w14:paraId="5026F7E5" w14:textId="77777777" w:rsidR="009E2905" w:rsidRPr="009E2905" w:rsidRDefault="009E2905" w:rsidP="009E2905">
            <w:pPr>
              <w:jc w:val="center"/>
              <w:rPr>
                <w:rFonts w:cs="Arial"/>
                <w:szCs w:val="20"/>
              </w:rPr>
            </w:pPr>
            <w:r w:rsidRPr="009E2905">
              <w:rPr>
                <w:rFonts w:cs="Arial"/>
                <w:szCs w:val="20"/>
              </w:rPr>
              <w:t>12</w:t>
            </w:r>
          </w:p>
        </w:tc>
        <w:tc>
          <w:tcPr>
            <w:tcW w:w="2501" w:type="pct"/>
            <w:vAlign w:val="center"/>
          </w:tcPr>
          <w:p w14:paraId="5026F7E6" w14:textId="77777777" w:rsidR="009E2905" w:rsidRPr="009E2905" w:rsidRDefault="009E2905" w:rsidP="00A1779C">
            <w:pPr>
              <w:jc w:val="center"/>
              <w:rPr>
                <w:rFonts w:cs="Calibri"/>
                <w:szCs w:val="22"/>
              </w:rPr>
            </w:pPr>
            <w:r w:rsidRPr="009E2905">
              <w:rPr>
                <w:rFonts w:cs="Calibri"/>
                <w:szCs w:val="22"/>
              </w:rPr>
              <w:t>60.88</w:t>
            </w:r>
          </w:p>
        </w:tc>
      </w:tr>
      <w:tr w:rsidR="009E2905" w:rsidRPr="00500C4E" w14:paraId="5026F7EA" w14:textId="77777777" w:rsidTr="006E4408">
        <w:trPr>
          <w:trHeight w:val="32"/>
          <w:jc w:val="center"/>
        </w:trPr>
        <w:tc>
          <w:tcPr>
            <w:tcW w:w="2499" w:type="pct"/>
            <w:vAlign w:val="center"/>
          </w:tcPr>
          <w:p w14:paraId="5026F7E8" w14:textId="77777777" w:rsidR="009E2905" w:rsidRPr="009E2905" w:rsidRDefault="009E2905" w:rsidP="009E2905">
            <w:pPr>
              <w:jc w:val="center"/>
              <w:rPr>
                <w:rFonts w:cs="Arial"/>
                <w:szCs w:val="20"/>
              </w:rPr>
            </w:pPr>
            <w:r w:rsidRPr="009E2905">
              <w:rPr>
                <w:rFonts w:cs="Arial"/>
                <w:szCs w:val="20"/>
              </w:rPr>
              <w:t>13</w:t>
            </w:r>
          </w:p>
        </w:tc>
        <w:tc>
          <w:tcPr>
            <w:tcW w:w="2501" w:type="pct"/>
            <w:vAlign w:val="center"/>
          </w:tcPr>
          <w:p w14:paraId="5026F7E9" w14:textId="77777777" w:rsidR="009E2905" w:rsidRPr="009E2905" w:rsidRDefault="009E2905" w:rsidP="00A1779C">
            <w:pPr>
              <w:jc w:val="center"/>
              <w:rPr>
                <w:rFonts w:cs="Calibri"/>
                <w:szCs w:val="22"/>
              </w:rPr>
            </w:pPr>
            <w:r w:rsidRPr="009E2905">
              <w:rPr>
                <w:rFonts w:cs="Calibri"/>
                <w:szCs w:val="22"/>
              </w:rPr>
              <w:t>64.1</w:t>
            </w:r>
          </w:p>
        </w:tc>
      </w:tr>
      <w:tr w:rsidR="009E2905" w:rsidRPr="00500C4E" w14:paraId="5026F7ED" w14:textId="77777777" w:rsidTr="006E4408">
        <w:trPr>
          <w:trHeight w:val="32"/>
          <w:jc w:val="center"/>
        </w:trPr>
        <w:tc>
          <w:tcPr>
            <w:tcW w:w="2499" w:type="pct"/>
            <w:vAlign w:val="center"/>
          </w:tcPr>
          <w:p w14:paraId="5026F7EB" w14:textId="77777777" w:rsidR="009E2905" w:rsidRPr="009E2905" w:rsidRDefault="009E2905" w:rsidP="009E2905">
            <w:pPr>
              <w:jc w:val="center"/>
              <w:rPr>
                <w:rFonts w:cs="Arial"/>
                <w:szCs w:val="20"/>
              </w:rPr>
            </w:pPr>
            <w:r w:rsidRPr="009E2905">
              <w:rPr>
                <w:rFonts w:cs="Arial"/>
                <w:szCs w:val="20"/>
              </w:rPr>
              <w:t>14</w:t>
            </w:r>
          </w:p>
        </w:tc>
        <w:tc>
          <w:tcPr>
            <w:tcW w:w="2501" w:type="pct"/>
            <w:vAlign w:val="center"/>
          </w:tcPr>
          <w:p w14:paraId="5026F7EC" w14:textId="77777777" w:rsidR="009E2905" w:rsidRPr="009E2905" w:rsidRDefault="009E2905" w:rsidP="00A1779C">
            <w:pPr>
              <w:jc w:val="center"/>
              <w:rPr>
                <w:rFonts w:cs="Calibri"/>
                <w:szCs w:val="22"/>
              </w:rPr>
            </w:pPr>
            <w:r w:rsidRPr="009E2905">
              <w:rPr>
                <w:rFonts w:cs="Calibri"/>
                <w:szCs w:val="22"/>
              </w:rPr>
              <w:t>62.67</w:t>
            </w:r>
          </w:p>
        </w:tc>
      </w:tr>
      <w:tr w:rsidR="009E2905" w:rsidRPr="00500C4E" w14:paraId="5026F7F0" w14:textId="77777777" w:rsidTr="006E4408">
        <w:trPr>
          <w:trHeight w:val="32"/>
          <w:jc w:val="center"/>
        </w:trPr>
        <w:tc>
          <w:tcPr>
            <w:tcW w:w="2499" w:type="pct"/>
            <w:vAlign w:val="center"/>
          </w:tcPr>
          <w:p w14:paraId="5026F7EE" w14:textId="77777777" w:rsidR="009E2905" w:rsidRPr="009E2905" w:rsidRDefault="009E2905" w:rsidP="009E2905">
            <w:pPr>
              <w:jc w:val="center"/>
              <w:rPr>
                <w:rFonts w:cs="Arial"/>
                <w:szCs w:val="20"/>
              </w:rPr>
            </w:pPr>
            <w:r w:rsidRPr="009E2905">
              <w:rPr>
                <w:rFonts w:cs="Arial"/>
                <w:szCs w:val="20"/>
              </w:rPr>
              <w:t>15</w:t>
            </w:r>
          </w:p>
        </w:tc>
        <w:tc>
          <w:tcPr>
            <w:tcW w:w="2501" w:type="pct"/>
            <w:vAlign w:val="center"/>
          </w:tcPr>
          <w:p w14:paraId="5026F7EF" w14:textId="77777777" w:rsidR="009E2905" w:rsidRPr="009E2905" w:rsidRDefault="009E2905" w:rsidP="00A1779C">
            <w:pPr>
              <w:jc w:val="center"/>
              <w:rPr>
                <w:rFonts w:cs="Calibri"/>
                <w:szCs w:val="22"/>
              </w:rPr>
            </w:pPr>
            <w:r w:rsidRPr="009E2905">
              <w:rPr>
                <w:rFonts w:cs="Calibri"/>
                <w:szCs w:val="22"/>
              </w:rPr>
              <w:t>75.47</w:t>
            </w:r>
          </w:p>
        </w:tc>
      </w:tr>
      <w:tr w:rsidR="009E2905" w:rsidRPr="00500C4E" w14:paraId="5026F7F3" w14:textId="77777777" w:rsidTr="006E4408">
        <w:trPr>
          <w:trHeight w:val="32"/>
          <w:jc w:val="center"/>
        </w:trPr>
        <w:tc>
          <w:tcPr>
            <w:tcW w:w="2499" w:type="pct"/>
            <w:vAlign w:val="center"/>
          </w:tcPr>
          <w:p w14:paraId="5026F7F1" w14:textId="77777777" w:rsidR="009E2905" w:rsidRPr="009E2905" w:rsidRDefault="009E2905" w:rsidP="009E2905">
            <w:pPr>
              <w:jc w:val="center"/>
              <w:rPr>
                <w:rFonts w:cs="Arial"/>
                <w:szCs w:val="20"/>
              </w:rPr>
            </w:pPr>
            <w:r w:rsidRPr="009E2905">
              <w:rPr>
                <w:rFonts w:cs="Arial"/>
                <w:szCs w:val="20"/>
              </w:rPr>
              <w:t>16</w:t>
            </w:r>
          </w:p>
        </w:tc>
        <w:tc>
          <w:tcPr>
            <w:tcW w:w="2501" w:type="pct"/>
            <w:vAlign w:val="center"/>
          </w:tcPr>
          <w:p w14:paraId="5026F7F2" w14:textId="77777777" w:rsidR="009E2905" w:rsidRPr="009E2905" w:rsidRDefault="009E2905" w:rsidP="00A1779C">
            <w:pPr>
              <w:jc w:val="center"/>
              <w:rPr>
                <w:rFonts w:cs="Calibri"/>
                <w:szCs w:val="22"/>
              </w:rPr>
            </w:pPr>
            <w:r w:rsidRPr="009E2905">
              <w:rPr>
                <w:rFonts w:cs="Calibri"/>
                <w:szCs w:val="22"/>
              </w:rPr>
              <w:t>51.75</w:t>
            </w:r>
          </w:p>
        </w:tc>
      </w:tr>
    </w:tbl>
    <w:p w14:paraId="66E4C7B9" w14:textId="77777777" w:rsidR="00464072" w:rsidRDefault="00464072" w:rsidP="007A5C72"/>
    <w:p w14:paraId="3C2304F6" w14:textId="77777777" w:rsidR="0013738C" w:rsidRDefault="0013738C" w:rsidP="007A5C72"/>
    <w:p w14:paraId="5E36E41E" w14:textId="505409D0" w:rsidR="003313FE" w:rsidRPr="00B93BDD" w:rsidRDefault="003313FE" w:rsidP="007A5C72">
      <w:r>
        <w:lastRenderedPageBreak/>
        <w:t xml:space="preserve">The following assumptions are used in the calculations for this workpaper: </w:t>
      </w:r>
    </w:p>
    <w:p w14:paraId="11F81E11" w14:textId="12CF7CC5" w:rsidR="003313FE" w:rsidRPr="003313FE" w:rsidRDefault="003313FE" w:rsidP="003313FE">
      <w:pPr>
        <w:pStyle w:val="Reminder"/>
        <w:numPr>
          <w:ilvl w:val="0"/>
          <w:numId w:val="41"/>
        </w:numPr>
        <w:spacing w:before="0" w:after="0"/>
        <w:rPr>
          <w:rFonts w:asciiTheme="minorHAnsi" w:hAnsiTheme="minorHAnsi" w:cstheme="minorHAnsi"/>
          <w:i w:val="0"/>
          <w:color w:val="auto"/>
          <w:szCs w:val="22"/>
        </w:rPr>
      </w:pPr>
      <w:r w:rsidRPr="00AE3324">
        <w:rPr>
          <w:rFonts w:asciiTheme="minorHAnsi" w:hAnsiTheme="minorHAnsi" w:cstheme="minorHAnsi"/>
          <w:i w:val="0"/>
          <w:color w:val="auto"/>
          <w:szCs w:val="22"/>
        </w:rPr>
        <w:t>Average recovery efficiency of a large natural gas water heater (e.g. storage water heater</w:t>
      </w:r>
      <w:r>
        <w:rPr>
          <w:rFonts w:asciiTheme="minorHAnsi" w:hAnsiTheme="minorHAnsi" w:cstheme="minorHAnsi"/>
          <w:i w:val="0"/>
          <w:color w:val="auto"/>
          <w:szCs w:val="22"/>
        </w:rPr>
        <w:t>, hot water boiler</w:t>
      </w:r>
      <w:r w:rsidRPr="00AE3324">
        <w:rPr>
          <w:rFonts w:asciiTheme="minorHAnsi" w:hAnsiTheme="minorHAnsi" w:cstheme="minorHAnsi"/>
          <w:i w:val="0"/>
          <w:color w:val="auto"/>
          <w:szCs w:val="22"/>
        </w:rPr>
        <w:t xml:space="preserve">) is </w:t>
      </w:r>
      <w:r>
        <w:rPr>
          <w:rFonts w:asciiTheme="minorHAnsi" w:hAnsiTheme="minorHAnsi" w:cstheme="minorHAnsi"/>
          <w:i w:val="0"/>
          <w:color w:val="auto"/>
          <w:szCs w:val="22"/>
        </w:rPr>
        <w:t>76</w:t>
      </w:r>
      <w:r w:rsidRPr="00AE3324">
        <w:rPr>
          <w:rFonts w:asciiTheme="minorHAnsi" w:hAnsiTheme="minorHAnsi" w:cstheme="minorHAnsi"/>
          <w:i w:val="0"/>
          <w:color w:val="auto"/>
          <w:szCs w:val="22"/>
        </w:rPr>
        <w:t>%.</w:t>
      </w:r>
      <w:r w:rsidRPr="00AE3324">
        <w:rPr>
          <w:rStyle w:val="EndnoteReference"/>
          <w:rFonts w:asciiTheme="minorHAnsi" w:hAnsiTheme="minorHAnsi" w:cstheme="minorHAnsi"/>
          <w:i w:val="0"/>
          <w:color w:val="auto"/>
          <w:szCs w:val="22"/>
        </w:rPr>
        <w:endnoteReference w:id="7"/>
      </w:r>
      <w:r w:rsidRPr="00AE3324">
        <w:rPr>
          <w:rFonts w:asciiTheme="minorHAnsi" w:hAnsiTheme="minorHAnsi" w:cstheme="minorHAnsi"/>
          <w:i w:val="0"/>
          <w:color w:val="auto"/>
          <w:szCs w:val="22"/>
        </w:rPr>
        <w:t xml:space="preserve"> </w:t>
      </w:r>
      <w:r>
        <w:rPr>
          <w:rStyle w:val="EndnoteReference"/>
          <w:rFonts w:asciiTheme="minorHAnsi" w:hAnsiTheme="minorHAnsi" w:cstheme="minorHAnsi"/>
          <w:i w:val="0"/>
          <w:color w:val="auto"/>
          <w:szCs w:val="22"/>
        </w:rPr>
        <w:endnoteReference w:id="8"/>
      </w:r>
    </w:p>
    <w:p w14:paraId="5026F7F5" w14:textId="30D0A796" w:rsidR="007A5C72" w:rsidRPr="001B307C" w:rsidRDefault="007A5C72" w:rsidP="001B307C">
      <w:pPr>
        <w:pStyle w:val="ListParagraph"/>
        <w:numPr>
          <w:ilvl w:val="0"/>
          <w:numId w:val="41"/>
        </w:numPr>
        <w:rPr>
          <w:color w:val="0070C0"/>
        </w:rPr>
      </w:pPr>
      <w:r w:rsidRPr="008A55CA">
        <w:t xml:space="preserve">A mixed water temperature of </w:t>
      </w:r>
      <w:r w:rsidR="001B307C" w:rsidRPr="001B307C">
        <w:t>97.9</w:t>
      </w:r>
      <w:r w:rsidRPr="001B307C">
        <w:t xml:space="preserve">°F </w:t>
      </w:r>
      <w:r w:rsidRPr="008A55CA">
        <w:t xml:space="preserve">is considered an appropriate assumption for </w:t>
      </w:r>
      <w:r w:rsidR="00075639" w:rsidRPr="008A55CA">
        <w:t>faucet use</w:t>
      </w:r>
      <w:r w:rsidRPr="008A55CA">
        <w:t>.</w:t>
      </w:r>
      <w:r w:rsidR="003313FE">
        <w:t xml:space="preserve"> </w:t>
      </w:r>
      <w:r w:rsidR="001E4B9F">
        <w:t xml:space="preserve">This </w:t>
      </w:r>
      <w:r w:rsidR="009D05E1">
        <w:t xml:space="preserve">was determined from </w:t>
      </w:r>
      <w:r w:rsidR="001E4B9F">
        <w:t xml:space="preserve">physical water temperature measurements.  </w:t>
      </w:r>
    </w:p>
    <w:p w14:paraId="5026F7F7" w14:textId="4DA43922" w:rsidR="00D06C2C" w:rsidRPr="001B307C" w:rsidRDefault="007A5C72" w:rsidP="00D06C2C">
      <w:pPr>
        <w:pStyle w:val="PR3"/>
        <w:numPr>
          <w:ilvl w:val="0"/>
          <w:numId w:val="41"/>
        </w:numPr>
        <w:rPr>
          <w:rFonts w:asciiTheme="minorHAnsi" w:hAnsiTheme="minorHAnsi"/>
          <w:sz w:val="22"/>
          <w:szCs w:val="22"/>
        </w:rPr>
      </w:pPr>
      <w:r w:rsidRPr="001B307C">
        <w:rPr>
          <w:rFonts w:asciiTheme="minorHAnsi" w:hAnsiTheme="minorHAnsi"/>
          <w:sz w:val="22"/>
          <w:szCs w:val="22"/>
        </w:rPr>
        <w:t xml:space="preserve">The average annual operating time per faucet was estimated to be </w:t>
      </w:r>
      <w:r w:rsidR="003313FE">
        <w:rPr>
          <w:rFonts w:asciiTheme="minorHAnsi" w:hAnsiTheme="minorHAnsi"/>
          <w:sz w:val="22"/>
          <w:szCs w:val="22"/>
        </w:rPr>
        <w:t>35</w:t>
      </w:r>
      <w:r w:rsidRPr="001B307C">
        <w:rPr>
          <w:rFonts w:asciiTheme="minorHAnsi" w:hAnsiTheme="minorHAnsi"/>
          <w:sz w:val="22"/>
          <w:szCs w:val="22"/>
        </w:rPr>
        <w:t xml:space="preserve"> hours per year </w:t>
      </w:r>
      <w:r w:rsidR="003313FE">
        <w:rPr>
          <w:rFonts w:asciiTheme="minorHAnsi" w:hAnsiTheme="minorHAnsi"/>
          <w:sz w:val="22"/>
          <w:szCs w:val="22"/>
        </w:rPr>
        <w:t xml:space="preserve">for a public lavatory faucet (12.4 minutes of usage per day) and 11 hours per year for a private lavatory faucet (3.99 minutes of usage per day). </w:t>
      </w:r>
      <w:r w:rsidR="001E4B9F">
        <w:rPr>
          <w:rFonts w:asciiTheme="minorHAnsi" w:hAnsiTheme="minorHAnsi"/>
          <w:sz w:val="22"/>
          <w:szCs w:val="22"/>
        </w:rPr>
        <w:t xml:space="preserve">This was determined from analysis of metered data. </w:t>
      </w:r>
    </w:p>
    <w:p w14:paraId="56AAE4B9" w14:textId="78079D50" w:rsidR="0044629B" w:rsidRDefault="0094411C" w:rsidP="0044629B">
      <w:pPr>
        <w:pStyle w:val="PR3"/>
        <w:numPr>
          <w:ilvl w:val="0"/>
          <w:numId w:val="41"/>
        </w:numPr>
        <w:rPr>
          <w:rFonts w:asciiTheme="minorHAnsi" w:hAnsiTheme="minorHAnsi"/>
          <w:sz w:val="22"/>
          <w:szCs w:val="22"/>
        </w:rPr>
      </w:pPr>
      <w:r>
        <w:rPr>
          <w:rFonts w:asciiTheme="minorHAnsi" w:hAnsiTheme="minorHAnsi"/>
          <w:sz w:val="22"/>
          <w:szCs w:val="22"/>
        </w:rPr>
        <w:t>3.58 GPM is the a</w:t>
      </w:r>
      <w:r w:rsidR="0044629B">
        <w:rPr>
          <w:rFonts w:asciiTheme="minorHAnsi" w:hAnsiTheme="minorHAnsi"/>
          <w:sz w:val="22"/>
          <w:szCs w:val="22"/>
        </w:rPr>
        <w:t xml:space="preserve">verage </w:t>
      </w:r>
      <w:r>
        <w:rPr>
          <w:rFonts w:asciiTheme="minorHAnsi" w:hAnsiTheme="minorHAnsi"/>
          <w:sz w:val="22"/>
          <w:szCs w:val="22"/>
        </w:rPr>
        <w:t>maximum flow rate of an existing faucet</w:t>
      </w:r>
      <w:r w:rsidR="001E4B9F">
        <w:rPr>
          <w:rFonts w:asciiTheme="minorHAnsi" w:hAnsiTheme="minorHAnsi"/>
          <w:sz w:val="22"/>
          <w:szCs w:val="22"/>
        </w:rPr>
        <w:t>. This was determin</w:t>
      </w:r>
      <w:r>
        <w:rPr>
          <w:rFonts w:asciiTheme="minorHAnsi" w:hAnsiTheme="minorHAnsi"/>
          <w:sz w:val="22"/>
          <w:szCs w:val="22"/>
        </w:rPr>
        <w:t xml:space="preserve">ed by taking physical flow rate measurements of faucets when turned on to their full potential flow. </w:t>
      </w:r>
    </w:p>
    <w:p w14:paraId="3B48A54D" w14:textId="7C9A5BF4" w:rsidR="0044629B" w:rsidRDefault="0044629B" w:rsidP="00D74100">
      <w:pPr>
        <w:pStyle w:val="PR3"/>
        <w:numPr>
          <w:ilvl w:val="1"/>
          <w:numId w:val="41"/>
        </w:numPr>
        <w:rPr>
          <w:rFonts w:asciiTheme="minorHAnsi" w:hAnsiTheme="minorHAnsi"/>
          <w:sz w:val="22"/>
          <w:szCs w:val="22"/>
        </w:rPr>
      </w:pPr>
      <w:r>
        <w:rPr>
          <w:rFonts w:asciiTheme="minorHAnsi" w:hAnsiTheme="minorHAnsi"/>
          <w:sz w:val="22"/>
          <w:szCs w:val="22"/>
        </w:rPr>
        <w:t xml:space="preserve">An average behavioral factor of </w:t>
      </w:r>
      <w:r w:rsidRPr="00A16C3F">
        <w:rPr>
          <w:rFonts w:asciiTheme="minorHAnsi" w:hAnsiTheme="minorHAnsi"/>
          <w:sz w:val="22"/>
          <w:szCs w:val="22"/>
        </w:rPr>
        <w:t>0.</w:t>
      </w:r>
      <w:r w:rsidR="00A16C3F" w:rsidRPr="00A16C3F">
        <w:rPr>
          <w:rFonts w:asciiTheme="minorHAnsi" w:hAnsiTheme="minorHAnsi"/>
          <w:sz w:val="22"/>
          <w:szCs w:val="22"/>
        </w:rPr>
        <w:t>466</w:t>
      </w:r>
      <w:r>
        <w:rPr>
          <w:rFonts w:asciiTheme="minorHAnsi" w:hAnsiTheme="minorHAnsi"/>
          <w:sz w:val="22"/>
          <w:szCs w:val="22"/>
        </w:rPr>
        <w:t xml:space="preserve"> is applied to that maximum flow rate to </w:t>
      </w:r>
      <w:r w:rsidR="00781686">
        <w:rPr>
          <w:rFonts w:asciiTheme="minorHAnsi" w:hAnsiTheme="minorHAnsi"/>
          <w:sz w:val="22"/>
          <w:szCs w:val="22"/>
        </w:rPr>
        <w:t xml:space="preserve">account for human behavior in turning on a faucet since not every operator will turn the faucet on to its full potential flow rate. </w:t>
      </w:r>
    </w:p>
    <w:p w14:paraId="4FD79EEF" w14:textId="57453BA2" w:rsidR="00D74100" w:rsidRDefault="0094411C" w:rsidP="00D74100">
      <w:pPr>
        <w:pStyle w:val="PR3"/>
        <w:numPr>
          <w:ilvl w:val="1"/>
          <w:numId w:val="41"/>
        </w:numPr>
        <w:rPr>
          <w:rFonts w:asciiTheme="minorHAnsi" w:hAnsiTheme="minorHAnsi"/>
          <w:sz w:val="22"/>
          <w:szCs w:val="22"/>
        </w:rPr>
      </w:pPr>
      <w:r>
        <w:rPr>
          <w:rFonts w:asciiTheme="minorHAnsi" w:hAnsiTheme="minorHAnsi"/>
          <w:sz w:val="22"/>
          <w:szCs w:val="22"/>
        </w:rPr>
        <w:t xml:space="preserve">Thus, the baseline flow rate </w:t>
      </w:r>
      <w:r w:rsidR="00D74100">
        <w:rPr>
          <w:rFonts w:asciiTheme="minorHAnsi" w:hAnsiTheme="minorHAnsi"/>
          <w:sz w:val="22"/>
          <w:szCs w:val="22"/>
        </w:rPr>
        <w:t xml:space="preserve">used </w:t>
      </w:r>
      <w:r w:rsidR="00FF1788">
        <w:rPr>
          <w:rFonts w:asciiTheme="minorHAnsi" w:hAnsiTheme="minorHAnsi"/>
          <w:sz w:val="22"/>
          <w:szCs w:val="22"/>
        </w:rPr>
        <w:t xml:space="preserve">in </w:t>
      </w:r>
      <w:r>
        <w:rPr>
          <w:rFonts w:asciiTheme="minorHAnsi" w:hAnsiTheme="minorHAnsi"/>
          <w:sz w:val="22"/>
          <w:szCs w:val="22"/>
        </w:rPr>
        <w:t xml:space="preserve">the savings calculations </w:t>
      </w:r>
      <w:r w:rsidR="00956851">
        <w:rPr>
          <w:rFonts w:asciiTheme="minorHAnsi" w:hAnsiTheme="minorHAnsi"/>
          <w:sz w:val="22"/>
          <w:szCs w:val="22"/>
        </w:rPr>
        <w:t>is</w:t>
      </w:r>
      <w:r w:rsidR="00FF1788">
        <w:rPr>
          <w:rFonts w:asciiTheme="minorHAnsi" w:hAnsiTheme="minorHAnsi"/>
          <w:sz w:val="22"/>
          <w:szCs w:val="22"/>
        </w:rPr>
        <w:t xml:space="preserve"> </w:t>
      </w:r>
      <w:r w:rsidR="00A16C3F" w:rsidRPr="00A16C3F">
        <w:rPr>
          <w:rFonts w:asciiTheme="minorHAnsi" w:hAnsiTheme="minorHAnsi"/>
          <w:b/>
          <w:sz w:val="22"/>
          <w:szCs w:val="22"/>
        </w:rPr>
        <w:t>1.67</w:t>
      </w:r>
      <w:r w:rsidR="00D74100" w:rsidRPr="00986F76">
        <w:rPr>
          <w:rFonts w:asciiTheme="minorHAnsi" w:hAnsiTheme="minorHAnsi"/>
          <w:b/>
          <w:sz w:val="22"/>
          <w:szCs w:val="22"/>
        </w:rPr>
        <w:t xml:space="preserve"> GPM</w:t>
      </w:r>
      <w:r>
        <w:rPr>
          <w:rFonts w:asciiTheme="minorHAnsi" w:hAnsiTheme="minorHAnsi"/>
          <w:sz w:val="22"/>
          <w:szCs w:val="22"/>
        </w:rPr>
        <w:t xml:space="preserve">. This </w:t>
      </w:r>
      <w:r w:rsidR="001E4B9F">
        <w:rPr>
          <w:rFonts w:asciiTheme="minorHAnsi" w:hAnsiTheme="minorHAnsi"/>
          <w:sz w:val="22"/>
          <w:szCs w:val="22"/>
        </w:rPr>
        <w:t xml:space="preserve">was determined by analyzing the metered faucet usage data. </w:t>
      </w:r>
    </w:p>
    <w:p w14:paraId="152CA0E2" w14:textId="77777777" w:rsidR="003313FE" w:rsidRDefault="003313FE" w:rsidP="003313FE"/>
    <w:p w14:paraId="1D7E99A1" w14:textId="25FAADEA" w:rsidR="003313FE" w:rsidRDefault="003313FE" w:rsidP="003313FE">
      <w:r>
        <w:t>A</w:t>
      </w:r>
      <w:r w:rsidRPr="00B93BDD">
        <w:t xml:space="preserve">ssumptions </w:t>
      </w:r>
      <w:r>
        <w:t>2-4 were determined by analyzing</w:t>
      </w:r>
      <w:r w:rsidR="0094411C">
        <w:t xml:space="preserve"> the </w:t>
      </w:r>
      <w:r w:rsidR="0094411C">
        <w:rPr>
          <w:szCs w:val="22"/>
        </w:rPr>
        <w:t xml:space="preserve">data collected at hospitals and hotels in the studies detailed in </w:t>
      </w:r>
      <w:r w:rsidR="0094411C" w:rsidRPr="00956851">
        <w:rPr>
          <w:b/>
          <w:i/>
          <w:szCs w:val="22"/>
        </w:rPr>
        <w:t xml:space="preserve">Sections </w:t>
      </w:r>
      <w:r w:rsidR="0094411C" w:rsidRPr="00956851">
        <w:rPr>
          <w:b/>
          <w:i/>
          <w:szCs w:val="22"/>
        </w:rPr>
        <w:fldChar w:fldCharType="begin"/>
      </w:r>
      <w:r w:rsidR="0094411C" w:rsidRPr="00956851">
        <w:rPr>
          <w:b/>
          <w:i/>
          <w:szCs w:val="22"/>
        </w:rPr>
        <w:instrText xml:space="preserve"> REF _Ref478544362 \h  \* MERGEFORMAT </w:instrText>
      </w:r>
      <w:r w:rsidR="0094411C" w:rsidRPr="00956851">
        <w:rPr>
          <w:b/>
          <w:i/>
          <w:szCs w:val="22"/>
        </w:rPr>
      </w:r>
      <w:r w:rsidR="0094411C" w:rsidRPr="00956851">
        <w:rPr>
          <w:b/>
          <w:i/>
          <w:szCs w:val="22"/>
        </w:rPr>
        <w:fldChar w:fldCharType="separate"/>
      </w:r>
      <w:r w:rsidR="0094411C" w:rsidRPr="00956851">
        <w:rPr>
          <w:b/>
          <w:i/>
          <w:szCs w:val="22"/>
        </w:rPr>
        <w:t>1.5.2</w:t>
      </w:r>
      <w:r w:rsidR="0094411C" w:rsidRPr="00956851">
        <w:rPr>
          <w:b/>
          <w:i/>
          <w:szCs w:val="22"/>
        </w:rPr>
        <w:fldChar w:fldCharType="end"/>
      </w:r>
      <w:r w:rsidR="0094411C" w:rsidRPr="00956851">
        <w:rPr>
          <w:b/>
          <w:i/>
          <w:szCs w:val="22"/>
        </w:rPr>
        <w:t xml:space="preserve"> and  </w:t>
      </w:r>
      <w:r w:rsidR="0094411C" w:rsidRPr="00956851">
        <w:rPr>
          <w:b/>
          <w:i/>
          <w:szCs w:val="22"/>
        </w:rPr>
        <w:fldChar w:fldCharType="begin"/>
      </w:r>
      <w:r w:rsidR="0094411C" w:rsidRPr="00956851">
        <w:rPr>
          <w:b/>
          <w:i/>
          <w:szCs w:val="22"/>
        </w:rPr>
        <w:instrText xml:space="preserve"> REF _Ref478544442 \h  \* MERGEFORMAT </w:instrText>
      </w:r>
      <w:r w:rsidR="0094411C" w:rsidRPr="00956851">
        <w:rPr>
          <w:b/>
          <w:i/>
          <w:szCs w:val="22"/>
        </w:rPr>
      </w:r>
      <w:r w:rsidR="0094411C" w:rsidRPr="00956851">
        <w:rPr>
          <w:b/>
          <w:i/>
          <w:szCs w:val="22"/>
        </w:rPr>
        <w:fldChar w:fldCharType="separate"/>
      </w:r>
      <w:r w:rsidR="0094411C" w:rsidRPr="00956851">
        <w:rPr>
          <w:b/>
          <w:i/>
          <w:szCs w:val="22"/>
        </w:rPr>
        <w:t>1.5.3</w:t>
      </w:r>
      <w:r w:rsidR="0094411C" w:rsidRPr="00956851">
        <w:rPr>
          <w:b/>
          <w:i/>
          <w:szCs w:val="22"/>
        </w:rPr>
        <w:fldChar w:fldCharType="end"/>
      </w:r>
      <w:r w:rsidR="0094411C">
        <w:t xml:space="preserve"> </w:t>
      </w:r>
      <w:r w:rsidRPr="003313FE">
        <w:rPr>
          <w:b/>
          <w:i/>
        </w:rPr>
        <w:t xml:space="preserve">. </w:t>
      </w:r>
      <w:r>
        <w:t xml:space="preserve">Relevant portions of this analysis are included in </w:t>
      </w:r>
      <w:r w:rsidRPr="003313FE">
        <w:rPr>
          <w:b/>
          <w:i/>
        </w:rPr>
        <w:t>Attachment A</w:t>
      </w:r>
      <w:r>
        <w:t>.</w:t>
      </w:r>
    </w:p>
    <w:p w14:paraId="5026F7FD" w14:textId="24299C57" w:rsidR="007A5C72" w:rsidRPr="00CE2B69" w:rsidRDefault="007A5C72" w:rsidP="007A5C72">
      <w:pPr>
        <w:rPr>
          <w:color w:val="0070C0"/>
        </w:rPr>
      </w:pPr>
    </w:p>
    <w:p w14:paraId="5026F7FE" w14:textId="77777777" w:rsidR="00CE2B69" w:rsidRPr="002A41C3" w:rsidRDefault="00CE2B69" w:rsidP="00CE2B69">
      <w:pPr>
        <w:pStyle w:val="Heading2"/>
        <w:rPr>
          <w:rFonts w:asciiTheme="minorHAnsi" w:hAnsiTheme="minorHAnsi" w:cstheme="minorHAnsi"/>
        </w:rPr>
      </w:pPr>
      <w:bookmarkStart w:id="49" w:name="_Toc447894059"/>
      <w:bookmarkStart w:id="50" w:name="_Toc478657396"/>
      <w:r w:rsidRPr="002A41C3">
        <w:rPr>
          <w:rFonts w:asciiTheme="minorHAnsi" w:hAnsiTheme="minorHAnsi" w:cstheme="minorHAnsi"/>
        </w:rPr>
        <w:t>2.2 Gas Energy Savings Estimation Methodologies</w:t>
      </w:r>
      <w:bookmarkEnd w:id="49"/>
      <w:bookmarkEnd w:id="50"/>
      <w:r w:rsidRPr="002A41C3">
        <w:rPr>
          <w:rFonts w:asciiTheme="minorHAnsi" w:hAnsiTheme="minorHAnsi" w:cstheme="minorHAnsi"/>
        </w:rPr>
        <w:t xml:space="preserve"> </w:t>
      </w:r>
    </w:p>
    <w:p w14:paraId="6AF632A4" w14:textId="41A20839" w:rsidR="00FF1788" w:rsidRDefault="00CE2B69" w:rsidP="00FF1788">
      <w:r w:rsidRPr="002A41C3">
        <w:t>The savings calculation approach for this measure compares the energy consumption of the domestic hot water (DHW) system of the existing condition (faucets without aerators) with the proposed condition (faucets with aerators). This analysis is based on t</w:t>
      </w:r>
      <w:r w:rsidR="002C1508" w:rsidRPr="002A41C3">
        <w:t>he first law of thermodynamics (</w:t>
      </w:r>
      <w:r w:rsidR="00AD1C3D" w:rsidRPr="002A41C3">
        <w:t>conservation of energy</w:t>
      </w:r>
      <w:r w:rsidR="002C1508" w:rsidRPr="002A41C3">
        <w:t>)</w:t>
      </w:r>
      <w:r w:rsidR="00774BCD" w:rsidRPr="002A41C3">
        <w:t xml:space="preserve">. The installation of aerators reduces </w:t>
      </w:r>
      <w:r w:rsidR="002C1508" w:rsidRPr="002A41C3">
        <w:t>the mass flow rate of water</w:t>
      </w:r>
      <w:r w:rsidR="00774BCD" w:rsidRPr="002A41C3">
        <w:t xml:space="preserve"> demanded by the system</w:t>
      </w:r>
      <w:r w:rsidR="002C1508" w:rsidRPr="002A41C3">
        <w:t>, leading to a decrease in overal</w:t>
      </w:r>
      <w:r w:rsidR="00774BCD" w:rsidRPr="002A41C3">
        <w:t xml:space="preserve">l water consumption. This reduction in overall water consumption ultimately translates into energy savings since it results in a </w:t>
      </w:r>
      <w:r w:rsidR="002C1508" w:rsidRPr="002A41C3">
        <w:t>reduc</w:t>
      </w:r>
      <w:r w:rsidR="00774BCD" w:rsidRPr="002A41C3">
        <w:t xml:space="preserve">tion of </w:t>
      </w:r>
      <w:r w:rsidR="002C1508" w:rsidRPr="002A41C3">
        <w:t xml:space="preserve">the </w:t>
      </w:r>
      <w:r w:rsidR="00774BCD" w:rsidRPr="002A41C3">
        <w:t xml:space="preserve">thermal load of </w:t>
      </w:r>
      <w:r w:rsidRPr="002A41C3">
        <w:t>the system.</w:t>
      </w:r>
    </w:p>
    <w:p w14:paraId="509C02DC" w14:textId="769AA873" w:rsidR="00624AE1" w:rsidRDefault="00624AE1" w:rsidP="00FF1788"/>
    <w:p w14:paraId="6DBE45C3" w14:textId="78822909" w:rsidR="00FF1788" w:rsidRDefault="00455065" w:rsidP="005E1C97">
      <w:pPr>
        <w:keepNext/>
        <w:tabs>
          <w:tab w:val="left" w:pos="900"/>
        </w:tabs>
        <w:jc w:val="center"/>
      </w:pPr>
      <w:r>
        <w:rPr>
          <w:noProof/>
        </w:rPr>
        <w:drawing>
          <wp:inline distT="0" distB="0" distL="0" distR="0" wp14:anchorId="346D2931" wp14:editId="27ED494D">
            <wp:extent cx="4615132" cy="264137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29553" cy="2649628"/>
                    </a:xfrm>
                    <a:prstGeom prst="rect">
                      <a:avLst/>
                    </a:prstGeom>
                  </pic:spPr>
                </pic:pic>
              </a:graphicData>
            </a:graphic>
          </wp:inline>
        </w:drawing>
      </w:r>
      <w:r w:rsidR="00FF1788">
        <w:tab/>
      </w:r>
    </w:p>
    <w:p w14:paraId="5026F803" w14:textId="4425CA04" w:rsidR="00CE2B69" w:rsidRPr="002A41C3" w:rsidRDefault="00FF1788" w:rsidP="005E1C97">
      <w:pPr>
        <w:pStyle w:val="Caption"/>
        <w:jc w:val="center"/>
      </w:pPr>
      <w:bookmarkStart w:id="51" w:name="_Ref478391821"/>
      <w:r>
        <w:t xml:space="preserve">Figure </w:t>
      </w:r>
      <w:r w:rsidR="005A50B7">
        <w:fldChar w:fldCharType="begin"/>
      </w:r>
      <w:r w:rsidR="005A50B7">
        <w:instrText xml:space="preserve"> SEQ Figure \* ARABIC </w:instrText>
      </w:r>
      <w:r w:rsidR="005A50B7">
        <w:fldChar w:fldCharType="separate"/>
      </w:r>
      <w:r>
        <w:rPr>
          <w:noProof/>
        </w:rPr>
        <w:t>3</w:t>
      </w:r>
      <w:r w:rsidR="005A50B7">
        <w:rPr>
          <w:noProof/>
        </w:rPr>
        <w:fldChar w:fldCharType="end"/>
      </w:r>
      <w:bookmarkEnd w:id="51"/>
      <w:r>
        <w:t>: Existing DHW system before the installation of aerators</w:t>
      </w:r>
    </w:p>
    <w:p w14:paraId="5026F804" w14:textId="77777777" w:rsidR="00CE2B69" w:rsidRPr="00CD1B6C" w:rsidRDefault="00CE2B69" w:rsidP="00CE2B69">
      <w:pPr>
        <w:rPr>
          <w:color w:val="0070C0"/>
        </w:rPr>
      </w:pPr>
    </w:p>
    <w:p w14:paraId="5026F805" w14:textId="714587F5" w:rsidR="00F52806" w:rsidRDefault="00F52806" w:rsidP="00F52806">
      <w:pPr>
        <w:pStyle w:val="Caption"/>
        <w:keepNext/>
      </w:pPr>
      <w:r>
        <w:lastRenderedPageBreak/>
        <w:t xml:space="preserve">Equation </w:t>
      </w:r>
      <w:r w:rsidR="005A50B7">
        <w:fldChar w:fldCharType="begin"/>
      </w:r>
      <w:r w:rsidR="005A50B7">
        <w:instrText xml:space="preserve"> SEQ Equation \* ARABIC </w:instrText>
      </w:r>
      <w:r w:rsidR="005A50B7">
        <w:fldChar w:fldCharType="separate"/>
      </w:r>
      <w:r w:rsidR="009D7AB5">
        <w:rPr>
          <w:noProof/>
        </w:rPr>
        <w:t>1</w:t>
      </w:r>
      <w:r w:rsidR="005A50B7">
        <w:rPr>
          <w:noProof/>
        </w:rPr>
        <w:fldChar w:fldCharType="end"/>
      </w:r>
      <w:r>
        <w:t>: Annual Energy Consumption of Existing System (No Aerator)</w:t>
      </w:r>
    </w:p>
    <w:p w14:paraId="5026F806" w14:textId="77777777" w:rsidR="00F52806" w:rsidRPr="00F52806" w:rsidRDefault="00F52806" w:rsidP="00F52806"/>
    <w:p w14:paraId="5026F807" w14:textId="77777777" w:rsidR="00CE2B69" w:rsidRPr="002A41C3" w:rsidRDefault="005A50B7" w:rsidP="00CE2B69">
      <w:pPr>
        <w:rPr>
          <w:rFonts w:eastAsiaTheme="minorEastAsia"/>
        </w:rPr>
      </w:pPr>
      <m:oMathPara>
        <m:oMath>
          <m:sSub>
            <m:sSubPr>
              <m:ctrlPr>
                <w:rPr>
                  <w:rFonts w:ascii="Cambria Math" w:hAnsi="Cambria Math"/>
                  <w:i/>
                </w:rPr>
              </m:ctrlPr>
            </m:sSubPr>
            <m:e>
              <m:r>
                <w:rPr>
                  <w:rFonts w:ascii="Cambria Math" w:hAnsi="Cambria Math"/>
                </w:rPr>
                <m:t>EC</m:t>
              </m:r>
            </m:e>
            <m:sub>
              <m:r>
                <w:rPr>
                  <w:rFonts w:ascii="Cambria Math" w:hAnsi="Cambria Math"/>
                </w:rPr>
                <m:t>existing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DHW</m:t>
                  </m:r>
                </m:e>
                <m:sub>
                  <m:r>
                    <w:rPr>
                      <w:rFonts w:ascii="Cambria Math" w:hAnsi="Cambria Math"/>
                    </w:rPr>
                    <m:t>other</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loss</m:t>
                  </m:r>
                </m:sub>
              </m:sSub>
              <m:r>
                <w:rPr>
                  <w:rFonts w:ascii="Cambria Math" w:hAnsi="Cambria Math"/>
                </w:rPr>
                <m:t>+</m:t>
              </m:r>
              <m:sSub>
                <m:sSubPr>
                  <m:ctrlPr>
                    <w:rPr>
                      <w:rFonts w:ascii="Cambria Math" w:hAnsi="Cambria Math"/>
                      <w:i/>
                    </w:rPr>
                  </m:ctrlPr>
                </m:sSubPr>
                <m:e>
                  <m:r>
                    <w:rPr>
                      <w:rFonts w:ascii="Cambria Math" w:hAnsi="Cambria Math"/>
                    </w:rPr>
                    <m:t>Standing</m:t>
                  </m:r>
                </m:e>
                <m:sub>
                  <m:r>
                    <w:rPr>
                      <w:rFonts w:ascii="Cambria Math" w:hAnsi="Cambria Math"/>
                    </w:rPr>
                    <m:t>loss</m:t>
                  </m:r>
                </m:sub>
              </m:sSub>
              <m:r>
                <w:rPr>
                  <w:rFonts w:ascii="Cambria Math" w:hAnsi="Cambria Math"/>
                </w:rPr>
                <m:t xml:space="preserve">+ </m:t>
              </m:r>
              <m:sSub>
                <m:sSubPr>
                  <m:ctrlPr>
                    <w:rPr>
                      <w:rFonts w:ascii="Cambria Math" w:hAnsi="Cambria Math"/>
                      <w:i/>
                    </w:rPr>
                  </m:ctrlPr>
                </m:sSubPr>
                <m:e>
                  <m:r>
                    <w:rPr>
                      <w:rFonts w:ascii="Cambria Math" w:hAnsi="Cambria Math"/>
                    </w:rPr>
                    <m:t xml:space="preserve">Faucet Load </m:t>
                  </m:r>
                </m:e>
                <m:sub>
                  <m:r>
                    <w:rPr>
                      <w:rFonts w:ascii="Cambria Math" w:hAnsi="Cambria Math"/>
                    </w:rPr>
                    <m:t>existing</m:t>
                  </m:r>
                </m:sub>
              </m:sSub>
            </m:num>
            <m:den>
              <m:sSub>
                <m:sSubPr>
                  <m:ctrlPr>
                    <w:rPr>
                      <w:rFonts w:ascii="Cambria Math" w:hAnsi="Cambria Math"/>
                      <w:i/>
                    </w:rPr>
                  </m:ctrlPr>
                </m:sSubPr>
                <m:e>
                  <m:r>
                    <w:rPr>
                      <w:rFonts w:ascii="Cambria Math" w:hAnsi="Cambria Math"/>
                    </w:rPr>
                    <m:t>Eff</m:t>
                  </m:r>
                </m:e>
                <m:sub>
                  <m:r>
                    <w:rPr>
                      <w:rFonts w:ascii="Cambria Math" w:hAnsi="Cambria Math"/>
                    </w:rPr>
                    <m:t>th</m:t>
                  </m:r>
                </m:sub>
              </m:sSub>
            </m:den>
          </m:f>
        </m:oMath>
      </m:oMathPara>
    </w:p>
    <w:p w14:paraId="5026F808" w14:textId="77777777" w:rsidR="00CE2B69" w:rsidRPr="002A41C3" w:rsidRDefault="00CE2B69" w:rsidP="00CE2B69"/>
    <w:p w14:paraId="5026F80A" w14:textId="554316CD" w:rsidR="00CE2B69" w:rsidRPr="002A41C3" w:rsidRDefault="00CE2B69" w:rsidP="00CE2B69">
      <w:r w:rsidRPr="002A41C3">
        <w:t xml:space="preserve">Where, </w:t>
      </w:r>
    </w:p>
    <w:p w14:paraId="5026F80B" w14:textId="77777777" w:rsidR="00CE2B69" w:rsidRPr="002A41C3" w:rsidRDefault="005A50B7" w:rsidP="00CE2B69">
      <w:pPr>
        <w:jc w:val="center"/>
      </w:pPr>
      <m:oMath>
        <m:sSub>
          <m:sSubPr>
            <m:ctrlPr>
              <w:rPr>
                <w:rFonts w:ascii="Cambria Math" w:hAnsi="Cambria Math"/>
                <w:i/>
              </w:rPr>
            </m:ctrlPr>
          </m:sSubPr>
          <m:e>
            <m:r>
              <w:rPr>
                <w:rFonts w:ascii="Cambria Math" w:hAnsi="Cambria Math"/>
              </w:rPr>
              <m:t>EC</m:t>
            </m:r>
          </m:e>
          <m:sub>
            <m:r>
              <w:rPr>
                <w:rFonts w:ascii="Cambria Math" w:hAnsi="Cambria Math"/>
              </w:rPr>
              <m:t>existing</m:t>
            </m:r>
          </m:sub>
        </m:sSub>
      </m:oMath>
      <w:r w:rsidR="00CE2B69" w:rsidRPr="002A41C3">
        <w:t xml:space="preserve"> = annual energy consumption of the existing system,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Btu</m:t>
                </m:r>
              </m:num>
              <m:den>
                <m:r>
                  <w:rPr>
                    <w:rFonts w:ascii="Cambria Math" w:eastAsiaTheme="minorEastAsia" w:hAnsi="Cambria Math"/>
                    <w:szCs w:val="22"/>
                  </w:rPr>
                  <m:t>year</m:t>
                </m:r>
              </m:den>
            </m:f>
          </m:e>
        </m:d>
      </m:oMath>
    </w:p>
    <w:p w14:paraId="5026F80C" w14:textId="77777777" w:rsidR="00CE2B69" w:rsidRPr="002A41C3" w:rsidRDefault="005A50B7" w:rsidP="00CE2B69">
      <w:pPr>
        <w:jc w:val="center"/>
        <w:rPr>
          <w:rFonts w:eastAsiaTheme="minorEastAsia"/>
          <w:szCs w:val="22"/>
        </w:rPr>
      </w:pPr>
      <m:oMath>
        <m:sSub>
          <m:sSubPr>
            <m:ctrlPr>
              <w:rPr>
                <w:rFonts w:ascii="Cambria Math" w:hAnsi="Cambria Math"/>
                <w:i/>
              </w:rPr>
            </m:ctrlPr>
          </m:sSubPr>
          <m:e>
            <m:r>
              <w:rPr>
                <w:rFonts w:ascii="Cambria Math" w:hAnsi="Cambria Math"/>
              </w:rPr>
              <m:t>DHW</m:t>
            </m:r>
          </m:e>
          <m:sub>
            <m:r>
              <w:rPr>
                <w:rFonts w:ascii="Cambria Math" w:hAnsi="Cambria Math"/>
              </w:rPr>
              <m:t>other</m:t>
            </m:r>
          </m:sub>
        </m:sSub>
        <m:r>
          <w:rPr>
            <w:rFonts w:ascii="Cambria Math" w:hAnsi="Cambria Math"/>
          </w:rPr>
          <m:t xml:space="preserve"> </m:t>
        </m:r>
      </m:oMath>
      <w:r w:rsidR="00CE2B69" w:rsidRPr="002A41C3">
        <w:rPr>
          <w:rFonts w:eastAsiaTheme="minorEastAsia"/>
        </w:rPr>
        <w:t>= annual hot water loads of other hot water using devices (all loa</w:t>
      </w:r>
      <w:r w:rsidR="00CD1B6C" w:rsidRPr="002A41C3">
        <w:rPr>
          <w:rFonts w:eastAsiaTheme="minorEastAsia"/>
        </w:rPr>
        <w:t>ds except faucets receiving aerator</w:t>
      </w:r>
      <w:r w:rsidR="00CE2B69" w:rsidRPr="002A41C3">
        <w:rPr>
          <w:rFonts w:eastAsiaTheme="minorEastAsia"/>
        </w:rPr>
        <w:t xml:space="preserve">s),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Btu</m:t>
                </m:r>
              </m:num>
              <m:den>
                <m:r>
                  <w:rPr>
                    <w:rFonts w:ascii="Cambria Math" w:eastAsiaTheme="minorEastAsia" w:hAnsi="Cambria Math"/>
                    <w:szCs w:val="22"/>
                  </w:rPr>
                  <m:t>year</m:t>
                </m:r>
              </m:den>
            </m:f>
          </m:e>
        </m:d>
      </m:oMath>
    </w:p>
    <w:p w14:paraId="5026F80D" w14:textId="77777777" w:rsidR="00CE2B69" w:rsidRPr="002A41C3" w:rsidRDefault="005A50B7" w:rsidP="00CE2B69">
      <w:pPr>
        <w:jc w:val="center"/>
        <w:rPr>
          <w:rFonts w:eastAsiaTheme="minorEastAsia"/>
          <w:szCs w:val="22"/>
        </w:rPr>
      </w:pPr>
      <m:oMath>
        <m:sSub>
          <m:sSubPr>
            <m:ctrlPr>
              <w:rPr>
                <w:rFonts w:ascii="Cambria Math" w:hAnsi="Cambria Math"/>
                <w:i/>
              </w:rPr>
            </m:ctrlPr>
          </m:sSubPr>
          <m:e>
            <m:r>
              <w:rPr>
                <w:rFonts w:ascii="Cambria Math" w:hAnsi="Cambria Math"/>
              </w:rPr>
              <m:t>P</m:t>
            </m:r>
          </m:e>
          <m:sub>
            <m:r>
              <w:rPr>
                <w:rFonts w:ascii="Cambria Math" w:hAnsi="Cambria Math"/>
              </w:rPr>
              <m:t>loss</m:t>
            </m:r>
          </m:sub>
        </m:sSub>
      </m:oMath>
      <w:r w:rsidR="00CE2B69" w:rsidRPr="002A41C3">
        <w:rPr>
          <w:rFonts w:eastAsiaTheme="minorEastAsia"/>
        </w:rPr>
        <w:t xml:space="preserve"> = piping system distribution losses,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Btu</m:t>
                </m:r>
              </m:num>
              <m:den>
                <m:r>
                  <w:rPr>
                    <w:rFonts w:ascii="Cambria Math" w:eastAsiaTheme="minorEastAsia" w:hAnsi="Cambria Math"/>
                    <w:szCs w:val="22"/>
                  </w:rPr>
                  <m:t>year</m:t>
                </m:r>
              </m:den>
            </m:f>
          </m:e>
        </m:d>
      </m:oMath>
    </w:p>
    <w:p w14:paraId="5026F80E" w14:textId="77777777" w:rsidR="00CE2B69" w:rsidRPr="002A41C3" w:rsidRDefault="005A50B7" w:rsidP="00CE2B69">
      <w:pPr>
        <w:jc w:val="center"/>
        <w:rPr>
          <w:rFonts w:eastAsiaTheme="minorEastAsia"/>
          <w:szCs w:val="22"/>
        </w:rPr>
      </w:pPr>
      <m:oMath>
        <m:sSub>
          <m:sSubPr>
            <m:ctrlPr>
              <w:rPr>
                <w:rFonts w:ascii="Cambria Math" w:hAnsi="Cambria Math"/>
                <w:i/>
              </w:rPr>
            </m:ctrlPr>
          </m:sSubPr>
          <m:e>
            <m:r>
              <w:rPr>
                <w:rFonts w:ascii="Cambria Math" w:hAnsi="Cambria Math"/>
              </w:rPr>
              <m:t>Standing</m:t>
            </m:r>
          </m:e>
          <m:sub>
            <m:r>
              <w:rPr>
                <w:rFonts w:ascii="Cambria Math" w:hAnsi="Cambria Math"/>
              </w:rPr>
              <m:t>loss</m:t>
            </m:r>
          </m:sub>
        </m:sSub>
      </m:oMath>
      <w:r w:rsidR="00CE2B69" w:rsidRPr="002A41C3">
        <w:rPr>
          <w:rFonts w:eastAsiaTheme="minorEastAsia"/>
        </w:rPr>
        <w:t xml:space="preserve"> = standing loss of hot water heating system,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Btu</m:t>
                </m:r>
              </m:num>
              <m:den>
                <m:r>
                  <w:rPr>
                    <w:rFonts w:ascii="Cambria Math" w:eastAsiaTheme="minorEastAsia" w:hAnsi="Cambria Math"/>
                    <w:szCs w:val="22"/>
                  </w:rPr>
                  <m:t>year</m:t>
                </m:r>
              </m:den>
            </m:f>
          </m:e>
        </m:d>
      </m:oMath>
    </w:p>
    <w:p w14:paraId="5026F80F" w14:textId="77777777" w:rsidR="00CE2B69" w:rsidRPr="002A41C3" w:rsidRDefault="005A50B7" w:rsidP="00CE2B69">
      <w:pPr>
        <w:jc w:val="center"/>
        <w:rPr>
          <w:rFonts w:eastAsiaTheme="minorEastAsia"/>
          <w:szCs w:val="22"/>
        </w:rPr>
      </w:pPr>
      <m:oMath>
        <m:sSub>
          <m:sSubPr>
            <m:ctrlPr>
              <w:rPr>
                <w:rFonts w:ascii="Cambria Math" w:hAnsi="Cambria Math"/>
                <w:i/>
              </w:rPr>
            </m:ctrlPr>
          </m:sSubPr>
          <m:e>
            <m:r>
              <w:rPr>
                <w:rFonts w:ascii="Cambria Math" w:hAnsi="Cambria Math"/>
              </w:rPr>
              <m:t xml:space="preserve">Faucet Load </m:t>
            </m:r>
          </m:e>
          <m:sub>
            <m:r>
              <w:rPr>
                <w:rFonts w:ascii="Cambria Math" w:hAnsi="Cambria Math"/>
              </w:rPr>
              <m:t>existing</m:t>
            </m:r>
          </m:sub>
        </m:sSub>
      </m:oMath>
      <w:r w:rsidR="00CE2B69" w:rsidRPr="002A41C3">
        <w:rPr>
          <w:rFonts w:eastAsiaTheme="minorEastAsia"/>
        </w:rPr>
        <w:t xml:space="preserve"> = existing faucet load (without </w:t>
      </w:r>
      <w:r w:rsidR="00CD1B6C" w:rsidRPr="002A41C3">
        <w:rPr>
          <w:rFonts w:eastAsiaTheme="minorEastAsia"/>
        </w:rPr>
        <w:t xml:space="preserve">aerator </w:t>
      </w:r>
      <w:r w:rsidR="00CE2B69" w:rsidRPr="002A41C3">
        <w:rPr>
          <w:rFonts w:eastAsiaTheme="minorEastAsia"/>
        </w:rPr>
        <w:t xml:space="preserve">installed),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Btu</m:t>
                </m:r>
              </m:num>
              <m:den>
                <m:r>
                  <w:rPr>
                    <w:rFonts w:ascii="Cambria Math" w:eastAsiaTheme="minorEastAsia" w:hAnsi="Cambria Math"/>
                    <w:szCs w:val="22"/>
                  </w:rPr>
                  <m:t>year</m:t>
                </m:r>
              </m:den>
            </m:f>
          </m:e>
        </m:d>
      </m:oMath>
    </w:p>
    <w:p w14:paraId="5026F810" w14:textId="72B79266" w:rsidR="004E2C41" w:rsidRDefault="005A50B7" w:rsidP="004E2C41">
      <w:pPr>
        <w:jc w:val="center"/>
        <w:rPr>
          <w:rFonts w:eastAsiaTheme="minorEastAsia"/>
        </w:rPr>
      </w:pPr>
      <m:oMath>
        <m:sSub>
          <m:sSubPr>
            <m:ctrlPr>
              <w:rPr>
                <w:rFonts w:ascii="Cambria Math" w:hAnsi="Cambria Math"/>
                <w:i/>
              </w:rPr>
            </m:ctrlPr>
          </m:sSubPr>
          <m:e>
            <m:r>
              <w:rPr>
                <w:rFonts w:ascii="Cambria Math" w:hAnsi="Cambria Math"/>
              </w:rPr>
              <m:t>Eff</m:t>
            </m:r>
          </m:e>
          <m:sub>
            <m:r>
              <w:rPr>
                <w:rFonts w:ascii="Cambria Math" w:hAnsi="Cambria Math"/>
              </w:rPr>
              <m:t>th</m:t>
            </m:r>
          </m:sub>
        </m:sSub>
      </m:oMath>
      <w:r w:rsidR="00CE2B69" w:rsidRPr="002A41C3">
        <w:rPr>
          <w:rFonts w:eastAsiaTheme="minorEastAsia"/>
        </w:rPr>
        <w:t xml:space="preserve"> = thermal efficiency of water heating equipment</w:t>
      </w:r>
      <w:r w:rsidR="00C504BB">
        <w:rPr>
          <w:rFonts w:eastAsiaTheme="minorEastAsia"/>
        </w:rPr>
        <w:t>, [factor]</w:t>
      </w:r>
    </w:p>
    <w:p w14:paraId="7A363C4D" w14:textId="77777777" w:rsidR="00FB7137" w:rsidRPr="004E2C41" w:rsidRDefault="00FB7137" w:rsidP="004E2C41">
      <w:pPr>
        <w:jc w:val="center"/>
        <w:rPr>
          <w:rFonts w:eastAsiaTheme="minorEastAsia"/>
        </w:rPr>
      </w:pPr>
    </w:p>
    <w:p w14:paraId="5026F811" w14:textId="46090201" w:rsidR="004E2C41" w:rsidRDefault="005E1C97" w:rsidP="005E1C97">
      <w:pPr>
        <w:keepNext/>
        <w:jc w:val="center"/>
      </w:pPr>
      <w:r>
        <w:rPr>
          <w:noProof/>
        </w:rPr>
        <w:drawing>
          <wp:inline distT="0" distB="0" distL="0" distR="0" wp14:anchorId="69971E56" wp14:editId="0D600558">
            <wp:extent cx="4960398" cy="28384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69328" cy="2843560"/>
                    </a:xfrm>
                    <a:prstGeom prst="rect">
                      <a:avLst/>
                    </a:prstGeom>
                  </pic:spPr>
                </pic:pic>
              </a:graphicData>
            </a:graphic>
          </wp:inline>
        </w:drawing>
      </w:r>
    </w:p>
    <w:p w14:paraId="5026F812" w14:textId="56295F6D" w:rsidR="004E2C41" w:rsidRDefault="004E2C41" w:rsidP="004E2C41">
      <w:pPr>
        <w:pStyle w:val="Caption"/>
        <w:jc w:val="center"/>
      </w:pPr>
      <w:r>
        <w:t xml:space="preserve">Figure </w:t>
      </w:r>
      <w:r w:rsidR="005A50B7">
        <w:fldChar w:fldCharType="begin"/>
      </w:r>
      <w:r w:rsidR="005A50B7">
        <w:instrText xml:space="preserve"> SEQ Figure \* ARABIC </w:instrText>
      </w:r>
      <w:r w:rsidR="005A50B7">
        <w:fldChar w:fldCharType="separate"/>
      </w:r>
      <w:r w:rsidR="005E1C97">
        <w:rPr>
          <w:noProof/>
        </w:rPr>
        <w:t>4</w:t>
      </w:r>
      <w:r w:rsidR="005A50B7">
        <w:rPr>
          <w:noProof/>
        </w:rPr>
        <w:fldChar w:fldCharType="end"/>
      </w:r>
      <w:r>
        <w:t>: Proposed DHW system after the installation of aerators</w:t>
      </w:r>
    </w:p>
    <w:p w14:paraId="5026F813" w14:textId="77777777" w:rsidR="00CE2B69" w:rsidRPr="00431411" w:rsidRDefault="00CE2B69" w:rsidP="00CE2B69">
      <w:pPr>
        <w:rPr>
          <w:rFonts w:eastAsiaTheme="minorEastAsia"/>
          <w:b/>
          <w:color w:val="0070C0"/>
        </w:rPr>
      </w:pPr>
    </w:p>
    <w:p w14:paraId="5026F814" w14:textId="0A8AACAD" w:rsidR="00F52806" w:rsidRDefault="00F52806" w:rsidP="00F52806">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2</w:t>
      </w:r>
      <w:r w:rsidR="005A50B7">
        <w:rPr>
          <w:noProof/>
        </w:rPr>
        <w:fldChar w:fldCharType="end"/>
      </w:r>
      <w:r>
        <w:t>: Annual Energy Consumption of Proposed System (With Aerator)</w:t>
      </w:r>
    </w:p>
    <w:p w14:paraId="5026F815" w14:textId="77777777" w:rsidR="00F52806" w:rsidRPr="00F52806" w:rsidRDefault="00F52806" w:rsidP="00F52806"/>
    <w:p w14:paraId="5026F816" w14:textId="77777777" w:rsidR="00CE2B69" w:rsidRPr="004416EC" w:rsidRDefault="005A50B7" w:rsidP="00CE2B69">
      <w:pPr>
        <w:rPr>
          <w:rFonts w:eastAsiaTheme="minorEastAsia"/>
        </w:rPr>
      </w:pPr>
      <m:oMathPara>
        <m:oMath>
          <m:sSub>
            <m:sSubPr>
              <m:ctrlPr>
                <w:rPr>
                  <w:rFonts w:ascii="Cambria Math" w:hAnsi="Cambria Math"/>
                  <w:i/>
                </w:rPr>
              </m:ctrlPr>
            </m:sSubPr>
            <m:e>
              <m:r>
                <w:rPr>
                  <w:rFonts w:ascii="Cambria Math" w:hAnsi="Cambria Math"/>
                </w:rPr>
                <m:t>EC</m:t>
              </m:r>
            </m:e>
            <m:sub>
              <m:r>
                <w:rPr>
                  <w:rFonts w:ascii="Cambria Math" w:hAnsi="Cambria Math"/>
                </w:rPr>
                <m:t>proposed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DHW</m:t>
                  </m:r>
                </m:e>
                <m:sub>
                  <m:r>
                    <w:rPr>
                      <w:rFonts w:ascii="Cambria Math" w:hAnsi="Cambria Math"/>
                    </w:rPr>
                    <m:t>other</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loss</m:t>
                  </m:r>
                </m:sub>
              </m:sSub>
              <m:r>
                <w:rPr>
                  <w:rFonts w:ascii="Cambria Math" w:hAnsi="Cambria Math"/>
                </w:rPr>
                <m:t>+</m:t>
              </m:r>
              <m:sSub>
                <m:sSubPr>
                  <m:ctrlPr>
                    <w:rPr>
                      <w:rFonts w:ascii="Cambria Math" w:hAnsi="Cambria Math"/>
                      <w:i/>
                    </w:rPr>
                  </m:ctrlPr>
                </m:sSubPr>
                <m:e>
                  <m:r>
                    <w:rPr>
                      <w:rFonts w:ascii="Cambria Math" w:hAnsi="Cambria Math"/>
                    </w:rPr>
                    <m:t>Standing</m:t>
                  </m:r>
                </m:e>
                <m:sub>
                  <m:r>
                    <w:rPr>
                      <w:rFonts w:ascii="Cambria Math" w:hAnsi="Cambria Math"/>
                    </w:rPr>
                    <m:t>loss</m:t>
                  </m:r>
                </m:sub>
              </m:sSub>
              <m:r>
                <w:rPr>
                  <w:rFonts w:ascii="Cambria Math" w:hAnsi="Cambria Math"/>
                </w:rPr>
                <m:t xml:space="preserve">+ </m:t>
              </m:r>
              <m:sSub>
                <m:sSubPr>
                  <m:ctrlPr>
                    <w:rPr>
                      <w:rFonts w:ascii="Cambria Math" w:hAnsi="Cambria Math"/>
                      <w:i/>
                    </w:rPr>
                  </m:ctrlPr>
                </m:sSubPr>
                <m:e>
                  <m:r>
                    <w:rPr>
                      <w:rFonts w:ascii="Cambria Math" w:hAnsi="Cambria Math"/>
                    </w:rPr>
                    <m:t xml:space="preserve">Faucet Load </m:t>
                  </m:r>
                </m:e>
                <m:sub>
                  <m:r>
                    <w:rPr>
                      <w:rFonts w:ascii="Cambria Math" w:hAnsi="Cambria Math"/>
                    </w:rPr>
                    <m:t>proposed</m:t>
                  </m:r>
                </m:sub>
              </m:sSub>
            </m:num>
            <m:den>
              <m:sSub>
                <m:sSubPr>
                  <m:ctrlPr>
                    <w:rPr>
                      <w:rFonts w:ascii="Cambria Math" w:hAnsi="Cambria Math"/>
                      <w:i/>
                    </w:rPr>
                  </m:ctrlPr>
                </m:sSubPr>
                <m:e>
                  <m:r>
                    <w:rPr>
                      <w:rFonts w:ascii="Cambria Math" w:hAnsi="Cambria Math"/>
                    </w:rPr>
                    <m:t>Eff</m:t>
                  </m:r>
                </m:e>
                <m:sub>
                  <m:r>
                    <w:rPr>
                      <w:rFonts w:ascii="Cambria Math" w:hAnsi="Cambria Math"/>
                    </w:rPr>
                    <m:t>th</m:t>
                  </m:r>
                </m:sub>
              </m:sSub>
            </m:den>
          </m:f>
        </m:oMath>
      </m:oMathPara>
    </w:p>
    <w:p w14:paraId="5026F817" w14:textId="77777777" w:rsidR="00CE2B69" w:rsidRPr="004416EC" w:rsidRDefault="00CE2B69" w:rsidP="00CE2B69">
      <w:pPr>
        <w:rPr>
          <w:rFonts w:eastAsiaTheme="minorEastAsia"/>
        </w:rPr>
      </w:pPr>
    </w:p>
    <w:p w14:paraId="5026F818" w14:textId="77777777" w:rsidR="00CE2B69" w:rsidRPr="004416EC" w:rsidRDefault="00CE2B69" w:rsidP="00CE2B69">
      <w:pPr>
        <w:rPr>
          <w:rFonts w:eastAsiaTheme="minorEastAsia"/>
        </w:rPr>
      </w:pPr>
      <w:r w:rsidRPr="004416EC">
        <w:rPr>
          <w:rFonts w:eastAsiaTheme="minorEastAsia"/>
        </w:rPr>
        <w:t>The proposed faucet load is similar to the existing faucet load but at the lo</w:t>
      </w:r>
      <w:r w:rsidR="00A8117E" w:rsidRPr="004416EC">
        <w:rPr>
          <w:rFonts w:eastAsiaTheme="minorEastAsia"/>
        </w:rPr>
        <w:t xml:space="preserve">wer flow rate imposed by the aerator </w:t>
      </w:r>
      <w:r w:rsidRPr="004416EC">
        <w:rPr>
          <w:rFonts w:eastAsiaTheme="minorEastAsia"/>
        </w:rPr>
        <w:t xml:space="preserve">installed. </w:t>
      </w:r>
    </w:p>
    <w:p w14:paraId="5026F819" w14:textId="77777777" w:rsidR="00CE2B69" w:rsidRDefault="00CE2B69" w:rsidP="00CE2B69">
      <w:pPr>
        <w:rPr>
          <w:rFonts w:eastAsiaTheme="minorEastAsia"/>
        </w:rPr>
      </w:pPr>
    </w:p>
    <w:p w14:paraId="5026F81A" w14:textId="283B524F" w:rsidR="00CE2B69" w:rsidRPr="00F2767A" w:rsidRDefault="00CE2B69" w:rsidP="00CE2B69">
      <w:pPr>
        <w:rPr>
          <w:rFonts w:eastAsiaTheme="minorEastAsia"/>
        </w:rPr>
      </w:pPr>
      <w:r w:rsidRPr="00F2767A">
        <w:rPr>
          <w:rFonts w:eastAsiaTheme="minorEastAsia"/>
        </w:rPr>
        <w:t xml:space="preserve">It should be noted that only the </w:t>
      </w:r>
      <w:r w:rsidRPr="00F2767A">
        <w:rPr>
          <w:rFonts w:eastAsiaTheme="minorEastAsia"/>
          <w:i/>
        </w:rPr>
        <w:t xml:space="preserve">Faucet Load </w:t>
      </w:r>
      <w:r w:rsidR="004416EC" w:rsidRPr="00F2767A">
        <w:rPr>
          <w:rFonts w:eastAsiaTheme="minorEastAsia"/>
        </w:rPr>
        <w:t xml:space="preserve">term </w:t>
      </w:r>
      <w:r w:rsidRPr="00F2767A">
        <w:rPr>
          <w:rFonts w:eastAsiaTheme="minorEastAsia"/>
        </w:rPr>
        <w:t xml:space="preserve">in </w:t>
      </w:r>
      <w:r w:rsidR="009D7AB5">
        <w:rPr>
          <w:rFonts w:eastAsiaTheme="minorEastAsia"/>
          <w:b/>
        </w:rPr>
        <w:t>Equation 1</w:t>
      </w:r>
      <w:r w:rsidR="004416EC" w:rsidRPr="00F2767A">
        <w:rPr>
          <w:rFonts w:eastAsiaTheme="minorEastAsia"/>
          <w:b/>
        </w:rPr>
        <w:t xml:space="preserve"> </w:t>
      </w:r>
      <w:r w:rsidRPr="00F2767A">
        <w:rPr>
          <w:rFonts w:eastAsiaTheme="minorEastAsia"/>
        </w:rPr>
        <w:t>and</w:t>
      </w:r>
      <w:r w:rsidR="004416EC" w:rsidRPr="00F2767A">
        <w:rPr>
          <w:rFonts w:eastAsiaTheme="minorEastAsia"/>
        </w:rPr>
        <w:t xml:space="preserve"> </w:t>
      </w:r>
      <w:r w:rsidR="004416EC" w:rsidRPr="00F2767A">
        <w:rPr>
          <w:rFonts w:eastAsiaTheme="minorEastAsia"/>
          <w:b/>
        </w:rPr>
        <w:t>E</w:t>
      </w:r>
      <w:r w:rsidR="009D7AB5">
        <w:rPr>
          <w:rFonts w:eastAsiaTheme="minorEastAsia"/>
          <w:b/>
        </w:rPr>
        <w:t>quation 2</w:t>
      </w:r>
      <w:r w:rsidR="004416EC" w:rsidRPr="00F2767A">
        <w:rPr>
          <w:rFonts w:eastAsiaTheme="minorEastAsia"/>
        </w:rPr>
        <w:t xml:space="preserve"> </w:t>
      </w:r>
      <w:r w:rsidRPr="00F2767A">
        <w:rPr>
          <w:rFonts w:eastAsiaTheme="minorEastAsia"/>
        </w:rPr>
        <w:t>is affected by the installation of the</w:t>
      </w:r>
      <w:r w:rsidR="00A8117E" w:rsidRPr="00F2767A">
        <w:rPr>
          <w:rFonts w:eastAsiaTheme="minorEastAsia"/>
        </w:rPr>
        <w:t xml:space="preserve"> aerator</w:t>
      </w:r>
      <w:r w:rsidRPr="00F2767A">
        <w:rPr>
          <w:rFonts w:eastAsiaTheme="minorEastAsia"/>
        </w:rPr>
        <w:t xml:space="preserve">. </w:t>
      </w:r>
    </w:p>
    <w:p w14:paraId="5026F81B" w14:textId="77777777" w:rsidR="00CE2B69" w:rsidRPr="00F2767A" w:rsidRDefault="00CE2B69" w:rsidP="00CE2B69">
      <w:pPr>
        <w:rPr>
          <w:rFonts w:eastAsiaTheme="minorEastAsia"/>
        </w:rPr>
      </w:pPr>
    </w:p>
    <w:p w14:paraId="5026F81C" w14:textId="62E6B0A0" w:rsidR="00CE2B69" w:rsidRPr="00F2767A" w:rsidRDefault="00CE2B69" w:rsidP="00CE2B69">
      <w:pPr>
        <w:rPr>
          <w:rFonts w:eastAsiaTheme="minorEastAsia"/>
        </w:rPr>
      </w:pPr>
      <w:r w:rsidRPr="00F2767A">
        <w:rPr>
          <w:rFonts w:eastAsiaTheme="minorEastAsia"/>
        </w:rPr>
        <w:lastRenderedPageBreak/>
        <w:t>The annual energy savings is the difference between the annual energy consumption of the existing system and the annual energy consumption of the proposed system.</w:t>
      </w:r>
      <w:r w:rsidR="00F2767A" w:rsidRPr="00F2767A">
        <w:rPr>
          <w:rFonts w:eastAsiaTheme="minorEastAsia"/>
        </w:rPr>
        <w:t xml:space="preserve"> The terms for all the loads in </w:t>
      </w:r>
      <w:r w:rsidR="009D7AB5">
        <w:rPr>
          <w:rFonts w:eastAsiaTheme="minorEastAsia"/>
          <w:b/>
        </w:rPr>
        <w:t>Equation 1</w:t>
      </w:r>
      <w:r w:rsidR="00F2767A" w:rsidRPr="00F2767A">
        <w:rPr>
          <w:rFonts w:eastAsiaTheme="minorEastAsia"/>
          <w:b/>
        </w:rPr>
        <w:t xml:space="preserve"> </w:t>
      </w:r>
      <w:r w:rsidR="00F2767A" w:rsidRPr="00F2767A">
        <w:rPr>
          <w:rFonts w:eastAsiaTheme="minorEastAsia"/>
        </w:rPr>
        <w:t xml:space="preserve">and </w:t>
      </w:r>
      <w:r w:rsidR="009D7AB5">
        <w:rPr>
          <w:rFonts w:eastAsiaTheme="minorEastAsia"/>
          <w:b/>
        </w:rPr>
        <w:t>Equation 2</w:t>
      </w:r>
      <w:r w:rsidR="00F2767A" w:rsidRPr="00F2767A">
        <w:rPr>
          <w:rFonts w:eastAsiaTheme="minorEastAsia"/>
        </w:rPr>
        <w:t xml:space="preserve"> </w:t>
      </w:r>
      <w:r w:rsidRPr="00F2767A">
        <w:rPr>
          <w:rFonts w:eastAsiaTheme="minorEastAsia"/>
        </w:rPr>
        <w:t xml:space="preserve">except the </w:t>
      </w:r>
      <w:r w:rsidRPr="00F2767A">
        <w:rPr>
          <w:rFonts w:eastAsiaTheme="minorEastAsia"/>
          <w:i/>
        </w:rPr>
        <w:t>Faucet Load</w:t>
      </w:r>
      <w:r w:rsidRPr="00F2767A">
        <w:rPr>
          <w:rFonts w:eastAsiaTheme="minorEastAsia"/>
        </w:rPr>
        <w:t xml:space="preserve">, are eliminated when the energy consumption equations are subtracted, resulting in the equation below: </w:t>
      </w:r>
    </w:p>
    <w:p w14:paraId="5026F81D" w14:textId="77777777" w:rsidR="00CE2B69" w:rsidRPr="00262278" w:rsidRDefault="00CE2B69" w:rsidP="00CE2B69">
      <w:pPr>
        <w:rPr>
          <w:rFonts w:eastAsiaTheme="minorEastAsia"/>
          <w:b/>
          <w:color w:val="0070C0"/>
        </w:rPr>
      </w:pPr>
    </w:p>
    <w:p w14:paraId="5026F81E" w14:textId="531863C8" w:rsidR="00815189" w:rsidRDefault="00815189" w:rsidP="00815189">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3</w:t>
      </w:r>
      <w:r w:rsidR="005A50B7">
        <w:rPr>
          <w:noProof/>
        </w:rPr>
        <w:fldChar w:fldCharType="end"/>
      </w:r>
      <w:r w:rsidR="004F061C">
        <w:t>: Annual Energy Savings (ES)</w:t>
      </w:r>
    </w:p>
    <w:p w14:paraId="5026F81F" w14:textId="77777777" w:rsidR="00CE2B69" w:rsidRPr="00815189" w:rsidRDefault="00CE2B69" w:rsidP="00CE2B69">
      <w:pPr>
        <w:rPr>
          <w:rFonts w:eastAsiaTheme="minorEastAsia"/>
        </w:rPr>
      </w:pPr>
      <m:oMathPara>
        <m:oMath>
          <m:r>
            <w:rPr>
              <w:rFonts w:ascii="Cambria Math" w:eastAsiaTheme="minorEastAsia" w:hAnsi="Cambria Math"/>
            </w:rPr>
            <m:t xml:space="preserve">ES= </m:t>
          </m:r>
          <m:sSub>
            <m:sSubPr>
              <m:ctrlPr>
                <w:rPr>
                  <w:rFonts w:ascii="Cambria Math" w:eastAsiaTheme="minorEastAsia" w:hAnsi="Cambria Math"/>
                  <w:i/>
                </w:rPr>
              </m:ctrlPr>
            </m:sSubPr>
            <m:e>
              <m:r>
                <w:rPr>
                  <w:rFonts w:ascii="Cambria Math" w:eastAsiaTheme="minorEastAsia" w:hAnsi="Cambria Math"/>
                </w:rPr>
                <m:t>EC</m:t>
              </m:r>
            </m:e>
            <m:sub>
              <m:r>
                <w:rPr>
                  <w:rFonts w:ascii="Cambria Math" w:eastAsiaTheme="minorEastAsia" w:hAnsi="Cambria Math"/>
                </w:rPr>
                <m:t>existing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EC</m:t>
              </m:r>
            </m:e>
            <m:sub>
              <m:r>
                <w:rPr>
                  <w:rFonts w:ascii="Cambria Math" w:eastAsiaTheme="minorEastAsia" w:hAnsi="Cambria Math"/>
                </w:rPr>
                <m:t>proposed</m:t>
              </m:r>
            </m:sub>
          </m:sSub>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Existing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Proposed</m:t>
                  </m:r>
                </m:sub>
              </m:sSub>
            </m:num>
            <m:den>
              <m:sSub>
                <m:sSubPr>
                  <m:ctrlPr>
                    <w:rPr>
                      <w:rFonts w:ascii="Cambria Math" w:eastAsiaTheme="minorEastAsia" w:hAnsi="Cambria Math"/>
                      <w:i/>
                    </w:rPr>
                  </m:ctrlPr>
                </m:sSubPr>
                <m:e>
                  <m:r>
                    <w:rPr>
                      <w:rFonts w:ascii="Cambria Math" w:eastAsiaTheme="minorEastAsia" w:hAnsi="Cambria Math"/>
                    </w:rPr>
                    <m:t>Eff</m:t>
                  </m:r>
                </m:e>
                <m:sub>
                  <m:r>
                    <w:rPr>
                      <w:rFonts w:ascii="Cambria Math" w:eastAsiaTheme="minorEastAsia" w:hAnsi="Cambria Math"/>
                    </w:rPr>
                    <m:t>th</m:t>
                  </m:r>
                </m:sub>
              </m:sSub>
            </m:den>
          </m:f>
        </m:oMath>
      </m:oMathPara>
    </w:p>
    <w:p w14:paraId="5026F820" w14:textId="77777777" w:rsidR="00CE2B69" w:rsidRDefault="00CE2B69" w:rsidP="00CE2B69">
      <w:pPr>
        <w:rPr>
          <w:rFonts w:eastAsiaTheme="minorEastAsia"/>
        </w:rPr>
      </w:pPr>
    </w:p>
    <w:p w14:paraId="5026F821" w14:textId="7264133F" w:rsidR="00CE2B69" w:rsidRPr="004F061C" w:rsidRDefault="00CE2B69" w:rsidP="00CE2B69">
      <w:pPr>
        <w:rPr>
          <w:rFonts w:eastAsiaTheme="minorEastAsia"/>
        </w:rPr>
      </w:pPr>
      <w:r w:rsidRPr="004F061C">
        <w:rPr>
          <w:rFonts w:eastAsiaTheme="minorEastAsia"/>
        </w:rPr>
        <w:t xml:space="preserve">The faucet load can be determined by applying the energy flux equation, as seen in </w:t>
      </w:r>
      <w:r w:rsidR="00427C5C">
        <w:rPr>
          <w:rFonts w:eastAsiaTheme="minorEastAsia"/>
          <w:b/>
        </w:rPr>
        <w:t xml:space="preserve">Equation </w:t>
      </w:r>
      <w:r w:rsidR="0079738E">
        <w:rPr>
          <w:rFonts w:eastAsiaTheme="minorEastAsia"/>
          <w:b/>
        </w:rPr>
        <w:t>5</w:t>
      </w:r>
      <w:r w:rsidR="004F061C" w:rsidRPr="004F061C">
        <w:rPr>
          <w:rFonts w:eastAsiaTheme="minorEastAsia"/>
        </w:rPr>
        <w:t xml:space="preserve">. </w:t>
      </w:r>
    </w:p>
    <w:p w14:paraId="5026F822" w14:textId="77777777" w:rsidR="00CE2B69" w:rsidRDefault="00CE2B69" w:rsidP="00CE2B69">
      <w:pPr>
        <w:rPr>
          <w:b/>
          <w:u w:val="single"/>
        </w:rPr>
      </w:pPr>
    </w:p>
    <w:p w14:paraId="5026F823" w14:textId="55EB4ED6" w:rsidR="004F061C" w:rsidRDefault="004F061C" w:rsidP="004F061C">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4</w:t>
      </w:r>
      <w:r w:rsidR="005A50B7">
        <w:rPr>
          <w:noProof/>
        </w:rPr>
        <w:fldChar w:fldCharType="end"/>
      </w:r>
      <w:r>
        <w:t>: Mass Flow Rate</w:t>
      </w:r>
    </w:p>
    <w:p w14:paraId="5026F824" w14:textId="77777777" w:rsidR="00CE2B69" w:rsidRPr="004F061C" w:rsidRDefault="005A50B7" w:rsidP="00CE2B69">
      <m:oMathPara>
        <m:oMath>
          <m:acc>
            <m:accPr>
              <m:chr m:val="̇"/>
              <m:ctrlPr>
                <w:rPr>
                  <w:rFonts w:ascii="Cambria Math" w:hAnsi="Cambria Math"/>
                  <w:i/>
                </w:rPr>
              </m:ctrlPr>
            </m:accPr>
            <m:e>
              <m:r>
                <w:rPr>
                  <w:rFonts w:ascii="Cambria Math" w:hAnsi="Cambria Math"/>
                </w:rPr>
                <m:t>m</m:t>
              </m:r>
            </m:e>
          </m:acc>
          <m:r>
            <w:rPr>
              <w:rFonts w:ascii="Cambria Math" w:eastAsiaTheme="minorEastAsia" w:hAnsi="Cambria Math"/>
            </w:rPr>
            <m:t xml:space="preserve">= </m:t>
          </m:r>
          <m:acc>
            <m:accPr>
              <m:chr m:val="̇"/>
              <m:ctrlPr>
                <w:rPr>
                  <w:rFonts w:ascii="Cambria Math" w:eastAsiaTheme="minorEastAsia" w:hAnsi="Cambria Math"/>
                  <w:i/>
                </w:rPr>
              </m:ctrlPr>
            </m:accPr>
            <m:e>
              <m:r>
                <w:rPr>
                  <w:rFonts w:ascii="Cambria Math" w:eastAsiaTheme="minorEastAsia" w:hAnsi="Cambria Math"/>
                </w:rPr>
                <m:t>V</m:t>
              </m:r>
            </m:e>
          </m:acc>
          <m:r>
            <w:rPr>
              <w:rFonts w:ascii="Cambria Math" w:eastAsiaTheme="minorEastAsia" w:hAnsi="Cambria Math"/>
            </w:rPr>
            <m:t>*ρ</m:t>
          </m:r>
        </m:oMath>
      </m:oMathPara>
    </w:p>
    <w:p w14:paraId="5026F825" w14:textId="77777777" w:rsidR="00CE2B69" w:rsidRPr="00431411" w:rsidRDefault="00CE2B69" w:rsidP="00CE2B69">
      <w:pPr>
        <w:rPr>
          <w:color w:val="0070C0"/>
        </w:rPr>
      </w:pPr>
    </w:p>
    <w:p w14:paraId="5026F826" w14:textId="77777777" w:rsidR="00CE2B69" w:rsidRPr="004F061C" w:rsidRDefault="00CE2B69" w:rsidP="00CE2B69">
      <w:r w:rsidRPr="004F061C">
        <w:t xml:space="preserve">Where, </w:t>
      </w:r>
    </w:p>
    <w:p w14:paraId="5026F827" w14:textId="77777777" w:rsidR="00CE2B69" w:rsidRPr="004F061C" w:rsidRDefault="005A50B7" w:rsidP="00CE2B69">
      <w:pPr>
        <w:jc w:val="center"/>
        <w:rPr>
          <w:szCs w:val="22"/>
        </w:rPr>
      </w:pPr>
      <m:oMath>
        <m:acc>
          <m:accPr>
            <m:chr m:val="̇"/>
            <m:ctrlPr>
              <w:rPr>
                <w:rFonts w:ascii="Cambria Math" w:eastAsiaTheme="minorEastAsia" w:hAnsi="Cambria Math"/>
                <w:i/>
                <w:szCs w:val="22"/>
              </w:rPr>
            </m:ctrlPr>
          </m:accPr>
          <m:e>
            <m:r>
              <w:rPr>
                <w:rFonts w:ascii="Cambria Math" w:eastAsiaTheme="minorEastAsia" w:hAnsi="Cambria Math"/>
                <w:szCs w:val="22"/>
              </w:rPr>
              <m:t>m</m:t>
            </m:r>
          </m:e>
        </m:acc>
      </m:oMath>
      <w:r w:rsidR="00CE2B69" w:rsidRPr="004F061C">
        <w:rPr>
          <w:szCs w:val="22"/>
        </w:rPr>
        <w:t xml:space="preserve"> = mass flow rate,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lbm</m:t>
                </m:r>
              </m:num>
              <m:den>
                <m:r>
                  <w:rPr>
                    <w:rFonts w:ascii="Cambria Math" w:eastAsiaTheme="minorEastAsia" w:hAnsi="Cambria Math"/>
                    <w:szCs w:val="22"/>
                  </w:rPr>
                  <m:t>min</m:t>
                </m:r>
              </m:den>
            </m:f>
          </m:e>
        </m:d>
      </m:oMath>
    </w:p>
    <w:p w14:paraId="5026F828" w14:textId="77777777" w:rsidR="00CE2B69" w:rsidRPr="004F061C" w:rsidRDefault="005A50B7" w:rsidP="00CE2B69">
      <w:pPr>
        <w:jc w:val="center"/>
        <w:rPr>
          <w:szCs w:val="22"/>
        </w:rPr>
      </w:pPr>
      <m:oMath>
        <m:acc>
          <m:accPr>
            <m:chr m:val="̇"/>
            <m:ctrlPr>
              <w:rPr>
                <w:rFonts w:ascii="Cambria Math" w:eastAsiaTheme="minorEastAsia" w:hAnsi="Cambria Math"/>
                <w:i/>
                <w:szCs w:val="22"/>
              </w:rPr>
            </m:ctrlPr>
          </m:accPr>
          <m:e>
            <m:r>
              <w:rPr>
                <w:rFonts w:ascii="Cambria Math" w:eastAsiaTheme="minorEastAsia" w:hAnsi="Cambria Math"/>
                <w:szCs w:val="22"/>
              </w:rPr>
              <m:t>V</m:t>
            </m:r>
          </m:e>
        </m:acc>
      </m:oMath>
      <w:r w:rsidR="00CE2B69" w:rsidRPr="004F061C">
        <w:rPr>
          <w:szCs w:val="22"/>
        </w:rPr>
        <w:t xml:space="preserve"> = volume flow rate,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gal</m:t>
                </m:r>
              </m:num>
              <m:den>
                <m:r>
                  <w:rPr>
                    <w:rFonts w:ascii="Cambria Math" w:eastAsiaTheme="minorEastAsia" w:hAnsi="Cambria Math"/>
                    <w:szCs w:val="22"/>
                  </w:rPr>
                  <m:t>min</m:t>
                </m:r>
              </m:den>
            </m:f>
          </m:e>
        </m:d>
      </m:oMath>
    </w:p>
    <w:p w14:paraId="5026F829" w14:textId="77777777" w:rsidR="00CE2B69" w:rsidRPr="004F061C" w:rsidRDefault="00CE2B69" w:rsidP="00CE2B69">
      <w:pPr>
        <w:jc w:val="center"/>
        <w:rPr>
          <w:szCs w:val="22"/>
        </w:rPr>
      </w:pPr>
      <m:oMath>
        <m:r>
          <w:rPr>
            <w:rFonts w:ascii="Cambria Math" w:eastAsiaTheme="minorEastAsia" w:hAnsi="Cambria Math"/>
            <w:szCs w:val="22"/>
          </w:rPr>
          <m:t>ρ</m:t>
        </m:r>
      </m:oMath>
      <w:r w:rsidRPr="004F061C">
        <w:rPr>
          <w:szCs w:val="22"/>
        </w:rPr>
        <w:t xml:space="preserve"> = density of water,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lbm</m:t>
                </m:r>
              </m:num>
              <m:den>
                <m:r>
                  <w:rPr>
                    <w:rFonts w:ascii="Cambria Math" w:eastAsiaTheme="minorEastAsia" w:hAnsi="Cambria Math"/>
                    <w:szCs w:val="22"/>
                  </w:rPr>
                  <m:t>gal</m:t>
                </m:r>
              </m:den>
            </m:f>
          </m:e>
        </m:d>
      </m:oMath>
    </w:p>
    <w:p w14:paraId="5026F82A" w14:textId="77777777" w:rsidR="00CE2B69" w:rsidRPr="00431411" w:rsidRDefault="00CE2B69" w:rsidP="00CE2B69">
      <w:pPr>
        <w:rPr>
          <w:b/>
          <w:color w:val="0070C0"/>
        </w:rPr>
      </w:pPr>
    </w:p>
    <w:p w14:paraId="5026F82B" w14:textId="270A76A4" w:rsidR="004F061C" w:rsidRDefault="004F061C" w:rsidP="004F061C">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5</w:t>
      </w:r>
      <w:r w:rsidR="005A50B7">
        <w:rPr>
          <w:noProof/>
        </w:rPr>
        <w:fldChar w:fldCharType="end"/>
      </w:r>
      <w:r>
        <w:t>: Energy Flux</w:t>
      </w:r>
    </w:p>
    <w:p w14:paraId="5026F82C" w14:textId="77777777" w:rsidR="00CE2B69" w:rsidRPr="004F061C" w:rsidRDefault="005A50B7" w:rsidP="00CE2B69">
      <m:oMathPara>
        <m:oMath>
          <m:acc>
            <m:accPr>
              <m:chr m:val="̇"/>
              <m:ctrlPr>
                <w:rPr>
                  <w:rFonts w:ascii="Cambria Math" w:hAnsi="Cambria Math"/>
                  <w:i/>
                </w:rPr>
              </m:ctrlPr>
            </m:accPr>
            <m:e>
              <m:r>
                <w:rPr>
                  <w:rFonts w:ascii="Cambria Math" w:hAnsi="Cambria Math"/>
                </w:rPr>
                <m:t>Q</m:t>
              </m:r>
            </m:e>
          </m:acc>
          <m:r>
            <w:rPr>
              <w:rFonts w:ascii="Cambria Math" w:hAnsi="Cambria Math"/>
            </w:rPr>
            <m:t>=</m:t>
          </m:r>
          <m:acc>
            <m:accPr>
              <m:chr m:val="̇"/>
              <m:ctrlPr>
                <w:rPr>
                  <w:rFonts w:ascii="Cambria Math" w:hAnsi="Cambria Math"/>
                  <w:i/>
                </w:rPr>
              </m:ctrlPr>
            </m:accPr>
            <m:e>
              <m:r>
                <w:rPr>
                  <w:rFonts w:ascii="Cambria Math" w:hAnsi="Cambria Math"/>
                </w:rPr>
                <m:t>m</m:t>
              </m:r>
            </m:e>
          </m:acc>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oMath>
      </m:oMathPara>
    </w:p>
    <w:p w14:paraId="5026F82D" w14:textId="77777777" w:rsidR="00CE2B69" w:rsidRPr="004F061C" w:rsidRDefault="00CE2B69" w:rsidP="00CE2B69">
      <w:pPr>
        <w:rPr>
          <w:szCs w:val="22"/>
        </w:rPr>
      </w:pPr>
    </w:p>
    <w:p w14:paraId="5026F82E" w14:textId="77777777" w:rsidR="00CE2B69" w:rsidRPr="004F061C" w:rsidRDefault="00CE2B69" w:rsidP="00CE2B69">
      <w:pPr>
        <w:rPr>
          <w:szCs w:val="22"/>
        </w:rPr>
      </w:pPr>
      <w:r w:rsidRPr="004F061C">
        <w:rPr>
          <w:szCs w:val="22"/>
        </w:rPr>
        <w:t>Where,</w:t>
      </w:r>
    </w:p>
    <w:p w14:paraId="5026F82F" w14:textId="77777777" w:rsidR="00CE2B69" w:rsidRPr="004F061C" w:rsidRDefault="005A50B7" w:rsidP="00CE2B69">
      <w:pPr>
        <w:jc w:val="center"/>
        <w:rPr>
          <w:szCs w:val="22"/>
        </w:rPr>
      </w:pPr>
      <m:oMath>
        <m:acc>
          <m:accPr>
            <m:chr m:val="̇"/>
            <m:ctrlPr>
              <w:rPr>
                <w:rFonts w:ascii="Cambria Math" w:eastAsiaTheme="minorEastAsia" w:hAnsi="Cambria Math"/>
                <w:i/>
                <w:szCs w:val="22"/>
              </w:rPr>
            </m:ctrlPr>
          </m:accPr>
          <m:e>
            <m:r>
              <w:rPr>
                <w:rFonts w:ascii="Cambria Math" w:eastAsiaTheme="minorEastAsia" w:hAnsi="Cambria Math"/>
                <w:szCs w:val="22"/>
              </w:rPr>
              <m:t>Q</m:t>
            </m:r>
          </m:e>
        </m:acc>
      </m:oMath>
      <w:r w:rsidR="00CE2B69" w:rsidRPr="004F061C">
        <w:rPr>
          <w:szCs w:val="22"/>
        </w:rPr>
        <w:t xml:space="preserve"> = rate of enthalpy (heat) change,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Btu</m:t>
                </m:r>
              </m:num>
              <m:den>
                <m:r>
                  <w:rPr>
                    <w:rFonts w:ascii="Cambria Math" w:eastAsiaTheme="minorEastAsia" w:hAnsi="Cambria Math"/>
                    <w:szCs w:val="22"/>
                  </w:rPr>
                  <m:t>min</m:t>
                </m:r>
              </m:den>
            </m:f>
          </m:e>
        </m:d>
      </m:oMath>
    </w:p>
    <w:p w14:paraId="5026F830" w14:textId="77777777" w:rsidR="00CE2B69" w:rsidRPr="004F061C" w:rsidRDefault="005A50B7" w:rsidP="00CE2B69">
      <w:pPr>
        <w:jc w:val="center"/>
        <w:rPr>
          <w:szCs w:val="22"/>
        </w:rPr>
      </w:pPr>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p</m:t>
            </m:r>
          </m:sub>
        </m:sSub>
      </m:oMath>
      <w:r w:rsidR="00CE2B69" w:rsidRPr="004F061C">
        <w:rPr>
          <w:szCs w:val="22"/>
        </w:rPr>
        <w:t xml:space="preserve"> = specific heat at constant pressure,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Btu</m:t>
                </m:r>
              </m:num>
              <m:den>
                <m:r>
                  <w:rPr>
                    <w:rFonts w:ascii="Cambria Math" w:eastAsiaTheme="minorEastAsia" w:hAnsi="Cambria Math"/>
                    <w:szCs w:val="22"/>
                  </w:rPr>
                  <m:t>lbm∙℉</m:t>
                </m:r>
              </m:den>
            </m:f>
            <m:ctrlPr>
              <w:rPr>
                <w:rFonts w:ascii="Cambria Math" w:eastAsiaTheme="minorEastAsia" w:hAnsi="Cambria Math"/>
                <w:szCs w:val="22"/>
              </w:rPr>
            </m:ctrlPr>
          </m:e>
        </m:d>
      </m:oMath>
    </w:p>
    <w:p w14:paraId="5026F831" w14:textId="77777777" w:rsidR="00CE2B69" w:rsidRPr="004F061C" w:rsidRDefault="00CE2B69" w:rsidP="00CE2B69">
      <w:pPr>
        <w:jc w:val="center"/>
        <w:rPr>
          <w:szCs w:val="22"/>
        </w:rPr>
      </w:pPr>
      <m:oMath>
        <m:r>
          <w:rPr>
            <w:rFonts w:ascii="Cambria Math" w:hAnsi="Cambria Math"/>
            <w:szCs w:val="22"/>
          </w:rPr>
          <m:t>∆T</m:t>
        </m:r>
      </m:oMath>
      <w:r w:rsidRPr="004F061C">
        <w:rPr>
          <w:szCs w:val="22"/>
        </w:rPr>
        <w:t xml:space="preserve"> = temperature difference, </w:t>
      </w:r>
      <m:oMath>
        <m:d>
          <m:dPr>
            <m:begChr m:val="["/>
            <m:endChr m:val="]"/>
            <m:ctrlPr>
              <w:rPr>
                <w:rFonts w:ascii="Cambria Math" w:eastAsiaTheme="minorEastAsia" w:hAnsi="Cambria Math"/>
                <w:i/>
                <w:szCs w:val="22"/>
              </w:rPr>
            </m:ctrlPr>
          </m:dPr>
          <m:e>
            <m:r>
              <w:rPr>
                <w:rFonts w:ascii="Cambria Math" w:eastAsiaTheme="minorEastAsia" w:hAnsi="Cambria Math"/>
                <w:szCs w:val="22"/>
              </w:rPr>
              <m:t>℉</m:t>
            </m:r>
          </m:e>
        </m:d>
      </m:oMath>
    </w:p>
    <w:p w14:paraId="5026F832" w14:textId="77777777" w:rsidR="00CE2B69" w:rsidRDefault="00CE2B69" w:rsidP="00CE2B69"/>
    <w:p w14:paraId="5026F833" w14:textId="77777777" w:rsidR="00CE2B69" w:rsidRPr="004F061C" w:rsidRDefault="00CE2B69" w:rsidP="00CE2B69">
      <w:r w:rsidRPr="004F061C">
        <w:t xml:space="preserve">Applying the conversion factors, annual usage time, and water heating equipment efficiency, the heat flux equation becomes: </w:t>
      </w:r>
    </w:p>
    <w:p w14:paraId="5026F834" w14:textId="77777777" w:rsidR="00CE2B69" w:rsidRPr="004F061C" w:rsidRDefault="00CE2B69" w:rsidP="004F061C">
      <w:pPr>
        <w:rPr>
          <w:color w:val="0070C0"/>
        </w:rPr>
      </w:pPr>
    </w:p>
    <w:p w14:paraId="5026F835" w14:textId="3E868FB7" w:rsidR="004F061C" w:rsidRDefault="004F061C" w:rsidP="004F061C">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6</w:t>
      </w:r>
      <w:r w:rsidR="005A50B7">
        <w:rPr>
          <w:noProof/>
        </w:rPr>
        <w:fldChar w:fldCharType="end"/>
      </w:r>
      <w:r>
        <w:t xml:space="preserve">: Faucet Load </w:t>
      </w:r>
      <w:r w:rsidRPr="004F061C">
        <w:t>(</w:t>
      </w:r>
      <m:oMath>
        <m:acc>
          <m:accPr>
            <m:chr m:val="̇"/>
            <m:ctrlPr>
              <w:rPr>
                <w:rFonts w:ascii="Cambria Math" w:hAnsi="Cambria Math"/>
                <w:i/>
              </w:rPr>
            </m:ctrlPr>
          </m:accPr>
          <m:e>
            <m:r>
              <m:rPr>
                <m:sty m:val="bi"/>
              </m:rPr>
              <w:rPr>
                <w:rFonts w:ascii="Cambria Math" w:hAnsi="Cambria Math"/>
              </w:rPr>
              <m:t>Q</m:t>
            </m:r>
          </m:e>
        </m:acc>
      </m:oMath>
      <w:r w:rsidRPr="004F061C">
        <w:t>)</w:t>
      </w:r>
    </w:p>
    <w:p w14:paraId="5026F836" w14:textId="77777777" w:rsidR="004F061C" w:rsidRPr="004F061C" w:rsidRDefault="004F061C" w:rsidP="004F061C"/>
    <w:p w14:paraId="5026F838" w14:textId="55B73996" w:rsidR="00CE2B69" w:rsidRPr="002532B4" w:rsidRDefault="00CE2B69" w:rsidP="002532B4">
      <w:pPr>
        <w:pStyle w:val="ListParagraph"/>
      </w:pPr>
      <m:oMathPara>
        <m:oMathParaPr>
          <m:jc m:val="center"/>
        </m:oMathParaPr>
        <m:oMath>
          <m:r>
            <w:rPr>
              <w:rFonts w:ascii="Cambria Math" w:eastAsiaTheme="minorEastAsia" w:hAnsi="Cambria Math"/>
            </w:rPr>
            <m:t xml:space="preserve">Faucet Load= </m:t>
          </m:r>
          <m:f>
            <m:fPr>
              <m:ctrlPr>
                <w:rPr>
                  <w:rFonts w:ascii="Cambria Math" w:hAnsi="Cambria Math"/>
                  <w:i/>
                </w:rPr>
              </m:ctrlPr>
            </m:fPr>
            <m:num>
              <m:d>
                <m:dPr>
                  <m:ctrlPr>
                    <w:rPr>
                      <w:rFonts w:ascii="Cambria Math" w:hAnsi="Cambria Math"/>
                      <w:i/>
                    </w:rPr>
                  </m:ctrlPr>
                </m:dPr>
                <m:e>
                  <m:acc>
                    <m:accPr>
                      <m:chr m:val="̇"/>
                      <m:ctrlPr>
                        <w:rPr>
                          <w:rFonts w:ascii="Cambria Math" w:hAnsi="Cambria Math"/>
                          <w:i/>
                        </w:rPr>
                      </m:ctrlPr>
                    </m:accPr>
                    <m:e>
                      <m:r>
                        <w:rPr>
                          <w:rFonts w:ascii="Cambria Math" w:hAnsi="Cambria Math"/>
                        </w:rPr>
                        <m:t>m</m:t>
                      </m:r>
                    </m:e>
                  </m:acc>
                  <m:r>
                    <w:rPr>
                      <w:rFonts w:ascii="Cambria Math" w:hAnsi="Cambria Math"/>
                    </w:rPr>
                    <m:t>*</m:t>
                  </m:r>
                  <m:f>
                    <m:fPr>
                      <m:ctrlPr>
                        <w:rPr>
                          <w:rFonts w:ascii="Cambria Math" w:hAnsi="Cambria Math"/>
                          <w:i/>
                        </w:rPr>
                      </m:ctrlPr>
                    </m:fPr>
                    <m:num>
                      <m:r>
                        <w:rPr>
                          <w:rFonts w:ascii="Cambria Math" w:hAnsi="Cambria Math"/>
                        </w:rPr>
                        <m:t>60 min</m:t>
                      </m:r>
                    </m:num>
                    <m:den>
                      <m:r>
                        <w:rPr>
                          <w:rFonts w:ascii="Cambria Math" w:hAnsi="Cambria Math"/>
                        </w:rPr>
                        <m:t>hr</m:t>
                      </m:r>
                    </m:den>
                  </m:f>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1 therm</m:t>
                  </m:r>
                </m:num>
                <m:den>
                  <m:r>
                    <w:rPr>
                      <w:rFonts w:ascii="Cambria Math" w:hAnsi="Cambria Math"/>
                    </w:rPr>
                    <m:t>100,000 Btu</m:t>
                  </m:r>
                </m:den>
              </m:f>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mixed</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mu</m:t>
                      </m:r>
                    </m:sub>
                  </m:sSub>
                </m:e>
              </m:d>
              <m:r>
                <w:rPr>
                  <w:rFonts w:ascii="Cambria Math" w:hAnsi="Cambria Math"/>
                </w:rPr>
                <m:t>* τ</m:t>
              </m:r>
            </m:num>
            <m:den>
              <m:sSub>
                <m:sSubPr>
                  <m:ctrlPr>
                    <w:rPr>
                      <w:rFonts w:ascii="Cambria Math" w:hAnsi="Cambria Math"/>
                      <w:i/>
                    </w:rPr>
                  </m:ctrlPr>
                </m:sSubPr>
                <m:e>
                  <m:r>
                    <w:rPr>
                      <w:rFonts w:ascii="Cambria Math" w:hAnsi="Cambria Math"/>
                    </w:rPr>
                    <m:t>Eff</m:t>
                  </m:r>
                </m:e>
                <m:sub>
                  <m:r>
                    <w:rPr>
                      <w:rFonts w:ascii="Cambria Math" w:hAnsi="Cambria Math"/>
                    </w:rPr>
                    <m:t>th</m:t>
                  </m:r>
                </m:sub>
              </m:sSub>
            </m:den>
          </m:f>
          <m:r>
            <w:rPr>
              <w:rFonts w:ascii="Cambria Math" w:hAnsi="Cambria Math"/>
            </w:rPr>
            <m:t xml:space="preserve"> </m:t>
          </m:r>
          <m:r>
            <m:rPr>
              <m:sty m:val="p"/>
            </m:rPr>
            <w:rPr>
              <w:rFonts w:ascii="Cambria Math" w:hAnsi="Cambria Math"/>
            </w:rPr>
            <w:br/>
          </m:r>
        </m:oMath>
        <m:oMath>
          <m:r>
            <m:rPr>
              <m:sty m:val="p"/>
            </m:rPr>
            <w:rPr>
              <w:rFonts w:ascii="Cambria Math" w:eastAsiaTheme="minorEastAsia" w:hAnsi="Cambria Math"/>
            </w:rPr>
            <w:br/>
          </m:r>
        </m:oMath>
      </m:oMathPara>
      <w:r w:rsidRPr="004F061C">
        <w:rPr>
          <w:rFonts w:eastAsiaTheme="minorEastAsia"/>
          <w:szCs w:val="22"/>
        </w:rPr>
        <w:t>Where,</w:t>
      </w:r>
    </w:p>
    <w:p w14:paraId="5026F839" w14:textId="77777777" w:rsidR="00CE2B69" w:rsidRPr="004F061C" w:rsidRDefault="00CE2B69" w:rsidP="00CE2B69">
      <w:pPr>
        <w:jc w:val="center"/>
        <w:rPr>
          <w:szCs w:val="22"/>
        </w:rPr>
      </w:pPr>
      <m:oMath>
        <m:r>
          <w:rPr>
            <w:rFonts w:ascii="Cambria Math" w:eastAsiaTheme="minorEastAsia" w:hAnsi="Cambria Math"/>
          </w:rPr>
          <m:t>Faucet Load</m:t>
        </m:r>
      </m:oMath>
      <w:r w:rsidRPr="004F061C">
        <w:rPr>
          <w:szCs w:val="22"/>
        </w:rPr>
        <w:t xml:space="preserve"> = annual energy consumption per faucet,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therms</m:t>
                </m:r>
              </m:num>
              <m:den>
                <m:r>
                  <w:rPr>
                    <w:rFonts w:ascii="Cambria Math" w:eastAsiaTheme="minorEastAsia" w:hAnsi="Cambria Math"/>
                    <w:szCs w:val="22"/>
                  </w:rPr>
                  <m:t>year</m:t>
                </m:r>
              </m:den>
            </m:f>
          </m:e>
        </m:d>
      </m:oMath>
    </w:p>
    <w:p w14:paraId="5026F83A" w14:textId="77777777" w:rsidR="00CE2B69" w:rsidRPr="004F061C" w:rsidRDefault="005A50B7" w:rsidP="00CE2B69">
      <w:pPr>
        <w:jc w:val="center"/>
        <w:rPr>
          <w:szCs w:val="22"/>
        </w:rPr>
      </w:pPr>
      <m:oMath>
        <m:sSub>
          <m:sSubPr>
            <m:ctrlPr>
              <w:rPr>
                <w:rFonts w:ascii="Cambria Math" w:eastAsiaTheme="minorEastAsia" w:hAnsi="Cambria Math"/>
                <w:szCs w:val="22"/>
              </w:rPr>
            </m:ctrlPr>
          </m:sSubPr>
          <m:e>
            <m:r>
              <w:rPr>
                <w:rFonts w:ascii="Cambria Math" w:eastAsiaTheme="minorEastAsia" w:hAnsi="Cambria Math"/>
                <w:szCs w:val="22"/>
              </w:rPr>
              <m:t>T</m:t>
            </m:r>
          </m:e>
          <m:sub>
            <m:r>
              <w:rPr>
                <w:rFonts w:ascii="Cambria Math" w:eastAsiaTheme="minorEastAsia" w:hAnsi="Cambria Math"/>
                <w:szCs w:val="22"/>
              </w:rPr>
              <m:t>mixed</m:t>
            </m:r>
          </m:sub>
        </m:sSub>
      </m:oMath>
      <w:r w:rsidR="00CE2B69" w:rsidRPr="004F061C">
        <w:rPr>
          <w:szCs w:val="22"/>
        </w:rPr>
        <w:t xml:space="preserve"> = temperature of mixed water stream, </w:t>
      </w:r>
      <m:oMath>
        <m:d>
          <m:dPr>
            <m:begChr m:val="["/>
            <m:endChr m:val="]"/>
            <m:ctrlPr>
              <w:rPr>
                <w:rFonts w:ascii="Cambria Math" w:eastAsiaTheme="minorEastAsia" w:hAnsi="Cambria Math"/>
                <w:szCs w:val="22"/>
              </w:rPr>
            </m:ctrlPr>
          </m:dPr>
          <m:e>
            <m:r>
              <m:rPr>
                <m:sty m:val="p"/>
              </m:rPr>
              <w:rPr>
                <w:rFonts w:ascii="Cambria Math" w:eastAsiaTheme="minorEastAsia" w:hAnsi="Cambria Math"/>
                <w:szCs w:val="22"/>
              </w:rPr>
              <m:t>℉</m:t>
            </m:r>
          </m:e>
        </m:d>
      </m:oMath>
    </w:p>
    <w:p w14:paraId="5026F83B" w14:textId="62FD5195" w:rsidR="00CE2B69" w:rsidRPr="004F061C" w:rsidRDefault="005A50B7" w:rsidP="00CE2B69">
      <w:pPr>
        <w:jc w:val="center"/>
        <w:rPr>
          <w:szCs w:val="22"/>
        </w:rPr>
      </w:pPr>
      <m:oMath>
        <m:sSub>
          <m:sSubPr>
            <m:ctrlPr>
              <w:rPr>
                <w:rFonts w:ascii="Cambria Math" w:hAnsi="Cambria Math"/>
                <w:i/>
                <w:szCs w:val="22"/>
              </w:rPr>
            </m:ctrlPr>
          </m:sSubPr>
          <m:e>
            <m:r>
              <w:rPr>
                <w:rFonts w:ascii="Cambria Math" w:hAnsi="Cambria Math"/>
                <w:szCs w:val="22"/>
              </w:rPr>
              <m:t>T</m:t>
            </m:r>
          </m:e>
          <m:sub>
            <m:r>
              <w:rPr>
                <w:rFonts w:ascii="Cambria Math" w:hAnsi="Cambria Math"/>
                <w:szCs w:val="22"/>
              </w:rPr>
              <m:t>mu</m:t>
            </m:r>
          </m:sub>
        </m:sSub>
      </m:oMath>
      <w:r w:rsidR="00CE2B69" w:rsidRPr="004F061C">
        <w:rPr>
          <w:szCs w:val="22"/>
        </w:rPr>
        <w:t>= make-up water temperature (climate zone dependent, see</w:t>
      </w:r>
      <w:r w:rsidR="00431411" w:rsidRPr="004F061C">
        <w:rPr>
          <w:szCs w:val="22"/>
        </w:rPr>
        <w:t xml:space="preserve"> </w:t>
      </w:r>
      <w:r w:rsidR="00B645A4" w:rsidRPr="00B645A4">
        <w:rPr>
          <w:b/>
          <w:i/>
          <w:szCs w:val="22"/>
        </w:rPr>
        <w:fldChar w:fldCharType="begin"/>
      </w:r>
      <w:r w:rsidR="00B645A4" w:rsidRPr="00B645A4">
        <w:rPr>
          <w:b/>
          <w:i/>
          <w:szCs w:val="22"/>
        </w:rPr>
        <w:instrText xml:space="preserve"> REF _Ref478125563 \h  \* MERGEFORMAT </w:instrText>
      </w:r>
      <w:r w:rsidR="00B645A4" w:rsidRPr="00B645A4">
        <w:rPr>
          <w:b/>
          <w:i/>
          <w:szCs w:val="22"/>
        </w:rPr>
      </w:r>
      <w:r w:rsidR="00B645A4" w:rsidRPr="00B645A4">
        <w:rPr>
          <w:b/>
          <w:i/>
          <w:szCs w:val="22"/>
        </w:rPr>
        <w:fldChar w:fldCharType="separate"/>
      </w:r>
      <w:r w:rsidR="00B645A4" w:rsidRPr="00B645A4">
        <w:rPr>
          <w:b/>
          <w:i/>
        </w:rPr>
        <w:t xml:space="preserve">Table </w:t>
      </w:r>
      <w:r w:rsidR="00B645A4" w:rsidRPr="00B645A4">
        <w:rPr>
          <w:b/>
          <w:i/>
          <w:noProof/>
        </w:rPr>
        <w:t>14</w:t>
      </w:r>
      <w:r w:rsidR="00B645A4" w:rsidRPr="00B645A4">
        <w:rPr>
          <w:b/>
          <w:i/>
          <w:szCs w:val="22"/>
        </w:rPr>
        <w:fldChar w:fldCharType="end"/>
      </w:r>
      <w:r w:rsidR="00CE2B69" w:rsidRPr="004F061C">
        <w:rPr>
          <w:szCs w:val="22"/>
        </w:rPr>
        <w:t xml:space="preserve">), </w:t>
      </w:r>
      <m:oMath>
        <m:d>
          <m:dPr>
            <m:begChr m:val="["/>
            <m:endChr m:val="]"/>
            <m:ctrlPr>
              <w:rPr>
                <w:rFonts w:ascii="Cambria Math" w:eastAsiaTheme="minorEastAsia" w:hAnsi="Cambria Math"/>
                <w:i/>
                <w:szCs w:val="22"/>
              </w:rPr>
            </m:ctrlPr>
          </m:dPr>
          <m:e>
            <m:r>
              <w:rPr>
                <w:rFonts w:ascii="Cambria Math" w:eastAsiaTheme="minorEastAsia" w:hAnsi="Cambria Math"/>
                <w:szCs w:val="22"/>
              </w:rPr>
              <m:t>℉</m:t>
            </m:r>
          </m:e>
        </m:d>
      </m:oMath>
      <w:r w:rsidR="00CE2B69" w:rsidRPr="004F061C">
        <w:rPr>
          <w:szCs w:val="22"/>
        </w:rPr>
        <w:br/>
      </w:r>
      <m:oMath>
        <m:r>
          <w:rPr>
            <w:rFonts w:ascii="Cambria Math" w:hAnsi="Cambria Math"/>
            <w:szCs w:val="22"/>
          </w:rPr>
          <m:t>τ</m:t>
        </m:r>
      </m:oMath>
      <w:r w:rsidR="00CE2B69" w:rsidRPr="004F061C">
        <w:rPr>
          <w:szCs w:val="22"/>
        </w:rPr>
        <w:t xml:space="preserve"> = a</w:t>
      </w:r>
      <w:r w:rsidR="00A42D2B">
        <w:rPr>
          <w:szCs w:val="22"/>
        </w:rPr>
        <w:t xml:space="preserve">nnual operating </w:t>
      </w:r>
      <w:r w:rsidR="00CE2B69" w:rsidRPr="004F061C">
        <w:rPr>
          <w:szCs w:val="22"/>
        </w:rPr>
        <w:t xml:space="preserve">time, </w:t>
      </w:r>
      <m:oMath>
        <m:d>
          <m:dPr>
            <m:begChr m:val="["/>
            <m:endChr m:val="]"/>
            <m:ctrlPr>
              <w:rPr>
                <w:rFonts w:ascii="Cambria Math" w:hAnsi="Cambria Math"/>
                <w:i/>
                <w:szCs w:val="22"/>
              </w:rPr>
            </m:ctrlPr>
          </m:dPr>
          <m:e>
            <m:f>
              <m:fPr>
                <m:ctrlPr>
                  <w:rPr>
                    <w:rFonts w:ascii="Cambria Math" w:hAnsi="Cambria Math"/>
                    <w:i/>
                    <w:szCs w:val="22"/>
                  </w:rPr>
                </m:ctrlPr>
              </m:fPr>
              <m:num>
                <m:r>
                  <w:rPr>
                    <w:rFonts w:ascii="Cambria Math" w:hAnsi="Cambria Math"/>
                    <w:szCs w:val="22"/>
                  </w:rPr>
                  <m:t>hr</m:t>
                </m:r>
              </m:num>
              <m:den>
                <m:r>
                  <w:rPr>
                    <w:rFonts w:ascii="Cambria Math" w:hAnsi="Cambria Math"/>
                    <w:szCs w:val="22"/>
                  </w:rPr>
                  <m:t>yr</m:t>
                </m:r>
              </m:den>
            </m:f>
          </m:e>
        </m:d>
      </m:oMath>
    </w:p>
    <w:p w14:paraId="5026F83C" w14:textId="3192AEB8" w:rsidR="00CE2B69" w:rsidRPr="004F061C" w:rsidRDefault="005A50B7" w:rsidP="00CE2B69">
      <w:pPr>
        <w:jc w:val="center"/>
        <w:rPr>
          <w:szCs w:val="22"/>
        </w:rPr>
      </w:pPr>
      <m:oMath>
        <m:sSub>
          <m:sSubPr>
            <m:ctrlPr>
              <w:rPr>
                <w:rFonts w:ascii="Cambria Math" w:hAnsi="Cambria Math"/>
                <w:i/>
              </w:rPr>
            </m:ctrlPr>
          </m:sSubPr>
          <m:e>
            <m:r>
              <w:rPr>
                <w:rFonts w:ascii="Cambria Math" w:hAnsi="Cambria Math"/>
              </w:rPr>
              <m:t>Eff</m:t>
            </m:r>
          </m:e>
          <m:sub>
            <m:r>
              <w:rPr>
                <w:rFonts w:ascii="Cambria Math" w:hAnsi="Cambria Math"/>
              </w:rPr>
              <m:t>th</m:t>
            </m:r>
          </m:sub>
        </m:sSub>
      </m:oMath>
      <w:r w:rsidR="00CE2B69" w:rsidRPr="004F061C">
        <w:rPr>
          <w:szCs w:val="22"/>
        </w:rPr>
        <w:t xml:space="preserve">= thermal efficiency of </w:t>
      </w:r>
      <w:r w:rsidR="00DB69B2">
        <w:rPr>
          <w:szCs w:val="22"/>
        </w:rPr>
        <w:t xml:space="preserve">water heating </w:t>
      </w:r>
      <w:r w:rsidR="00CE2B69" w:rsidRPr="004F061C">
        <w:rPr>
          <w:szCs w:val="22"/>
        </w:rPr>
        <w:t>equipment, [factor]</w:t>
      </w:r>
    </w:p>
    <w:p w14:paraId="5026F83D" w14:textId="77777777" w:rsidR="00CE2B69" w:rsidRDefault="00CE2B69" w:rsidP="00CE2B69">
      <w:pPr>
        <w:pStyle w:val="ListParagraph"/>
        <w:rPr>
          <w:rFonts w:eastAsiaTheme="minorEastAsia"/>
          <w:sz w:val="20"/>
        </w:rPr>
      </w:pPr>
    </w:p>
    <w:p w14:paraId="5026F83E" w14:textId="77777777" w:rsidR="00CE2B69" w:rsidRPr="004F061C" w:rsidRDefault="00CE2B69" w:rsidP="00CE2B69">
      <w:pPr>
        <w:rPr>
          <w:rFonts w:eastAsiaTheme="minorEastAsia"/>
        </w:rPr>
      </w:pPr>
      <w:r w:rsidRPr="004F061C">
        <w:rPr>
          <w:rFonts w:eastAsiaTheme="minorEastAsia"/>
        </w:rPr>
        <w:lastRenderedPageBreak/>
        <w:t xml:space="preserve">The net savings is determined from the difference of the energy consumption of the bare faucet and the energy consumption </w:t>
      </w:r>
      <w:r w:rsidR="00431411" w:rsidRPr="004F061C">
        <w:rPr>
          <w:rFonts w:eastAsiaTheme="minorEastAsia"/>
        </w:rPr>
        <w:t>of the faucet with the aerator</w:t>
      </w:r>
      <w:r w:rsidRPr="004F061C">
        <w:rPr>
          <w:rFonts w:eastAsiaTheme="minorEastAsia"/>
        </w:rPr>
        <w:t xml:space="preserve"> installed. </w:t>
      </w:r>
    </w:p>
    <w:p w14:paraId="5026F83F" w14:textId="77777777" w:rsidR="00CE2B69" w:rsidRPr="00431411" w:rsidRDefault="00CE2B69" w:rsidP="00CE2B69">
      <w:pPr>
        <w:rPr>
          <w:rFonts w:eastAsiaTheme="minorEastAsia"/>
          <w:color w:val="0070C0"/>
        </w:rPr>
      </w:pPr>
    </w:p>
    <w:p w14:paraId="5026F840" w14:textId="0C635336" w:rsidR="004F061C" w:rsidRDefault="004F061C" w:rsidP="004F061C">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7</w:t>
      </w:r>
      <w:r w:rsidR="005A50B7">
        <w:rPr>
          <w:noProof/>
        </w:rPr>
        <w:fldChar w:fldCharType="end"/>
      </w:r>
      <w:r>
        <w:t>: Annual Net Energy Savings</w:t>
      </w:r>
    </w:p>
    <w:p w14:paraId="5026F841" w14:textId="77777777" w:rsidR="004F061C" w:rsidRPr="004F061C" w:rsidRDefault="004F061C" w:rsidP="004F061C"/>
    <w:p w14:paraId="5026F842" w14:textId="45E22D1E" w:rsidR="00CE2B69" w:rsidRPr="004F061C" w:rsidRDefault="005A50B7" w:rsidP="00CE2B69">
      <w:pPr>
        <w:rPr>
          <w:rFonts w:eastAsiaTheme="minorEastAsia"/>
        </w:rPr>
      </w:pPr>
      <m:oMathPara>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net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existing faucet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faucet with aerator</m:t>
              </m:r>
            </m:sub>
          </m:sSub>
        </m:oMath>
      </m:oMathPara>
    </w:p>
    <w:p w14:paraId="5026F844" w14:textId="37FE740B" w:rsidR="00431411" w:rsidRPr="00E90647" w:rsidRDefault="00431411" w:rsidP="00431411">
      <w:pPr>
        <w:pStyle w:val="Heading2"/>
        <w:rPr>
          <w:rFonts w:asciiTheme="minorHAnsi" w:hAnsiTheme="minorHAnsi" w:cstheme="minorHAnsi"/>
        </w:rPr>
      </w:pPr>
      <w:bookmarkStart w:id="52" w:name="_Toc447894060"/>
      <w:bookmarkStart w:id="53" w:name="_Toc478657397"/>
      <w:bookmarkStart w:id="54" w:name="_Toc214003093"/>
      <w:r w:rsidRPr="00E90647">
        <w:rPr>
          <w:rFonts w:asciiTheme="minorHAnsi" w:hAnsiTheme="minorHAnsi" w:cstheme="minorHAnsi"/>
        </w:rPr>
        <w:t>2.3 Sample Gas Savings Calculation</w:t>
      </w:r>
      <w:bookmarkEnd w:id="52"/>
      <w:bookmarkEnd w:id="53"/>
    </w:p>
    <w:p w14:paraId="5026F845" w14:textId="520561E7" w:rsidR="00431411" w:rsidRPr="00965B4C" w:rsidRDefault="00431411" w:rsidP="00431411">
      <w:pPr>
        <w:pStyle w:val="Reminders"/>
        <w:rPr>
          <w:rFonts w:asciiTheme="minorHAnsi" w:hAnsiTheme="minorHAnsi" w:cstheme="minorHAnsi"/>
          <w:i w:val="0"/>
          <w:color w:val="auto"/>
          <w:szCs w:val="22"/>
        </w:rPr>
      </w:pPr>
      <w:r w:rsidRPr="00965B4C">
        <w:rPr>
          <w:rFonts w:asciiTheme="minorHAnsi" w:hAnsiTheme="minorHAnsi" w:cstheme="minorHAnsi"/>
          <w:i w:val="0"/>
          <w:color w:val="auto"/>
          <w:szCs w:val="22"/>
        </w:rPr>
        <w:t>Assuming</w:t>
      </w:r>
      <w:r w:rsidR="00813823" w:rsidRPr="00965B4C">
        <w:rPr>
          <w:rFonts w:asciiTheme="minorHAnsi" w:hAnsiTheme="minorHAnsi" w:cstheme="minorHAnsi"/>
          <w:i w:val="0"/>
          <w:color w:val="auto"/>
          <w:szCs w:val="22"/>
        </w:rPr>
        <w:t xml:space="preserve"> that the typical flow rate coming out of a </w:t>
      </w:r>
      <w:r w:rsidRPr="00965B4C">
        <w:rPr>
          <w:rFonts w:asciiTheme="minorHAnsi" w:hAnsiTheme="minorHAnsi" w:cstheme="minorHAnsi"/>
          <w:i w:val="0"/>
          <w:color w:val="auto"/>
          <w:szCs w:val="22"/>
        </w:rPr>
        <w:t>fauc</w:t>
      </w:r>
      <w:r w:rsidR="0037484D" w:rsidRPr="00965B4C">
        <w:rPr>
          <w:rFonts w:asciiTheme="minorHAnsi" w:hAnsiTheme="minorHAnsi" w:cstheme="minorHAnsi"/>
          <w:i w:val="0"/>
          <w:color w:val="auto"/>
          <w:szCs w:val="22"/>
        </w:rPr>
        <w:t xml:space="preserve">et without an aerator is </w:t>
      </w:r>
      <w:r w:rsidR="00A13A81">
        <w:rPr>
          <w:rFonts w:asciiTheme="minorHAnsi" w:hAnsiTheme="minorHAnsi" w:cstheme="minorHAnsi"/>
          <w:i w:val="0"/>
          <w:color w:val="auto"/>
          <w:szCs w:val="22"/>
        </w:rPr>
        <w:t>1.67</w:t>
      </w:r>
      <w:r w:rsidR="0037484D" w:rsidRPr="00965B4C">
        <w:rPr>
          <w:rFonts w:asciiTheme="minorHAnsi" w:hAnsiTheme="minorHAnsi" w:cstheme="minorHAnsi"/>
          <w:i w:val="0"/>
          <w:color w:val="auto"/>
          <w:szCs w:val="22"/>
        </w:rPr>
        <w:t xml:space="preserve"> </w:t>
      </w:r>
      <w:r w:rsidR="0099755F" w:rsidRPr="00965B4C">
        <w:rPr>
          <w:rFonts w:asciiTheme="minorHAnsi" w:hAnsiTheme="minorHAnsi" w:cstheme="minorHAnsi"/>
          <w:i w:val="0"/>
          <w:color w:val="auto"/>
          <w:szCs w:val="22"/>
        </w:rPr>
        <w:t>GPM</w:t>
      </w:r>
      <w:r w:rsidR="00E90647" w:rsidRPr="00965B4C">
        <w:rPr>
          <w:rFonts w:asciiTheme="minorHAnsi" w:hAnsiTheme="minorHAnsi" w:cstheme="minorHAnsi"/>
          <w:i w:val="0"/>
          <w:color w:val="auto"/>
          <w:szCs w:val="22"/>
        </w:rPr>
        <w:t>, Climate Zone 9</w:t>
      </w:r>
      <w:r w:rsidR="00401BC5" w:rsidRPr="00965B4C">
        <w:rPr>
          <w:rFonts w:asciiTheme="minorHAnsi" w:hAnsiTheme="minorHAnsi" w:cstheme="minorHAnsi"/>
          <w:i w:val="0"/>
          <w:color w:val="auto"/>
          <w:szCs w:val="22"/>
        </w:rPr>
        <w:t xml:space="preserve"> (average make-up water temperature of 63.82°F)</w:t>
      </w:r>
      <w:r w:rsidRPr="00965B4C">
        <w:rPr>
          <w:rFonts w:asciiTheme="minorHAnsi" w:hAnsiTheme="minorHAnsi" w:cstheme="minorHAnsi"/>
          <w:i w:val="0"/>
          <w:color w:val="auto"/>
          <w:szCs w:val="22"/>
        </w:rPr>
        <w:t>, s</w:t>
      </w:r>
      <w:r w:rsidR="00253FC0" w:rsidRPr="00965B4C">
        <w:rPr>
          <w:rFonts w:asciiTheme="minorHAnsi" w:hAnsiTheme="minorHAnsi" w:cstheme="minorHAnsi"/>
          <w:i w:val="0"/>
          <w:color w:val="auto"/>
          <w:szCs w:val="22"/>
        </w:rPr>
        <w:t xml:space="preserve">torage type water heater with </w:t>
      </w:r>
      <w:r w:rsidR="009216DA">
        <w:rPr>
          <w:rFonts w:asciiTheme="minorHAnsi" w:hAnsiTheme="minorHAnsi" w:cstheme="minorHAnsi"/>
          <w:i w:val="0"/>
          <w:color w:val="auto"/>
          <w:szCs w:val="22"/>
        </w:rPr>
        <w:t>76</w:t>
      </w:r>
      <w:r w:rsidRPr="00965B4C">
        <w:rPr>
          <w:rFonts w:asciiTheme="minorHAnsi" w:hAnsiTheme="minorHAnsi" w:cstheme="minorHAnsi"/>
          <w:i w:val="0"/>
          <w:color w:val="auto"/>
          <w:szCs w:val="22"/>
        </w:rPr>
        <w:t>%</w:t>
      </w:r>
      <w:r w:rsidR="00401BC5" w:rsidRPr="00965B4C">
        <w:rPr>
          <w:rFonts w:asciiTheme="minorHAnsi" w:hAnsiTheme="minorHAnsi" w:cstheme="minorHAnsi"/>
          <w:i w:val="0"/>
          <w:color w:val="auto"/>
          <w:szCs w:val="22"/>
        </w:rPr>
        <w:t xml:space="preserve"> efficiency</w:t>
      </w:r>
      <w:r w:rsidRPr="00965B4C">
        <w:rPr>
          <w:rFonts w:asciiTheme="minorHAnsi" w:hAnsiTheme="minorHAnsi" w:cstheme="minorHAnsi"/>
          <w:i w:val="0"/>
          <w:color w:val="auto"/>
          <w:szCs w:val="22"/>
        </w:rPr>
        <w:t xml:space="preserve">, mixed water temperature coming out of the faucet of </w:t>
      </w:r>
      <w:r w:rsidR="00813823" w:rsidRPr="00965B4C">
        <w:rPr>
          <w:rFonts w:asciiTheme="minorHAnsi" w:hAnsiTheme="minorHAnsi" w:cstheme="minorHAnsi"/>
          <w:i w:val="0"/>
          <w:color w:val="auto"/>
          <w:szCs w:val="22"/>
        </w:rPr>
        <w:t>97.9</w:t>
      </w:r>
      <w:r w:rsidRPr="00965B4C">
        <w:rPr>
          <w:rFonts w:asciiTheme="minorHAnsi" w:hAnsiTheme="minorHAnsi" w:cstheme="minorHAnsi"/>
          <w:i w:val="0"/>
          <w:color w:val="auto"/>
          <w:szCs w:val="22"/>
        </w:rPr>
        <w:t xml:space="preserve">°F, and typical annual usage of </w:t>
      </w:r>
      <w:r w:rsidR="009216DA">
        <w:rPr>
          <w:rFonts w:asciiTheme="minorHAnsi" w:hAnsiTheme="minorHAnsi" w:cstheme="minorHAnsi"/>
          <w:i w:val="0"/>
          <w:color w:val="auto"/>
          <w:szCs w:val="22"/>
        </w:rPr>
        <w:t>35</w:t>
      </w:r>
      <w:r w:rsidRPr="00965B4C">
        <w:rPr>
          <w:rFonts w:asciiTheme="minorHAnsi" w:hAnsiTheme="minorHAnsi" w:cstheme="minorHAnsi"/>
          <w:i w:val="0"/>
          <w:color w:val="auto"/>
          <w:szCs w:val="22"/>
        </w:rPr>
        <w:t xml:space="preserve"> hours per year, the annual hot water load for a faucet w</w:t>
      </w:r>
      <w:r w:rsidR="0037484D" w:rsidRPr="00965B4C">
        <w:rPr>
          <w:rFonts w:asciiTheme="minorHAnsi" w:hAnsiTheme="minorHAnsi" w:cstheme="minorHAnsi"/>
          <w:i w:val="0"/>
          <w:color w:val="auto"/>
          <w:szCs w:val="22"/>
        </w:rPr>
        <w:t xml:space="preserve">ithout an aerator </w:t>
      </w:r>
      <w:r w:rsidRPr="00965B4C">
        <w:rPr>
          <w:rFonts w:asciiTheme="minorHAnsi" w:hAnsiTheme="minorHAnsi" w:cstheme="minorHAnsi"/>
          <w:i w:val="0"/>
          <w:color w:val="auto"/>
          <w:szCs w:val="22"/>
        </w:rPr>
        <w:t xml:space="preserve">is: </w:t>
      </w:r>
    </w:p>
    <w:p w14:paraId="5026F846" w14:textId="77777777" w:rsidR="00431411" w:rsidRPr="00965B4C" w:rsidRDefault="00431411" w:rsidP="00431411">
      <w:pPr>
        <w:pStyle w:val="Reminders"/>
        <w:jc w:val="center"/>
        <w:rPr>
          <w:rFonts w:asciiTheme="minorHAnsi" w:hAnsiTheme="minorHAnsi" w:cstheme="minorHAnsi"/>
          <w:i w:val="0"/>
          <w:color w:val="auto"/>
          <w:szCs w:val="22"/>
        </w:rPr>
      </w:pPr>
    </w:p>
    <w:p w14:paraId="5026F847" w14:textId="61012F6B" w:rsidR="00431411" w:rsidRPr="00965B4C" w:rsidRDefault="005A50B7" w:rsidP="00431411">
      <w:pPr>
        <w:jc w:val="center"/>
        <w:rPr>
          <w:rFonts w:cstheme="minorHAnsi"/>
        </w:rPr>
      </w:pPr>
      <m:oMathPara>
        <m:oMathParaPr>
          <m:jc m:val="center"/>
        </m:oMathPara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 xml:space="preserve">existing faucet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existing</m:t>
              </m:r>
            </m:sub>
          </m:sSub>
        </m:oMath>
      </m:oMathPara>
    </w:p>
    <w:p w14:paraId="5026F848" w14:textId="08C21948" w:rsidR="00431411" w:rsidRPr="00965B4C" w:rsidRDefault="00431411" w:rsidP="00431411">
      <w:pPr>
        <w:jc w:val="center"/>
        <w:rPr>
          <w:rFonts w:cstheme="minorHAnsi"/>
        </w:rPr>
      </w:pPr>
      <m:oMathPara>
        <m:oMathParaPr>
          <m:jc m:val="center"/>
        </m:oMathParaPr>
        <m:oMath>
          <m:r>
            <m:rPr>
              <m:sty m:val="p"/>
            </m:rPr>
            <w:rPr>
              <w:rFonts w:ascii="Cambria Math" w:eastAsiaTheme="minorEastAsia" w:hAnsi="Cambria Math"/>
            </w:rPr>
            <w:br/>
          </m:r>
        </m:oMath>
        <m:oMath>
          <m:r>
            <w:rPr>
              <w:rFonts w:ascii="Cambria Math" w:eastAsiaTheme="minorEastAsia" w:hAnsi="Cambria Math"/>
            </w:rPr>
            <m:t xml:space="preserve">= </m:t>
          </m:r>
          <m:f>
            <m:fPr>
              <m:ctrlPr>
                <w:rPr>
                  <w:rFonts w:ascii="Cambria Math" w:hAnsi="Cambria Math"/>
                  <w:i/>
                </w:rPr>
              </m:ctrlPr>
            </m:fPr>
            <m:num>
              <m:d>
                <m:dPr>
                  <m:ctrlPr>
                    <w:rPr>
                      <w:rFonts w:ascii="Cambria Math" w:hAnsi="Cambria Math"/>
                      <w:i/>
                    </w:rPr>
                  </m:ctrlPr>
                </m:dPr>
                <m:e>
                  <m:r>
                    <w:rPr>
                      <w:rFonts w:ascii="Cambria Math" w:hAnsi="Cambria Math"/>
                    </w:rPr>
                    <m:t xml:space="preserve">1.67 </m:t>
                  </m:r>
                  <m:f>
                    <m:fPr>
                      <m:ctrlPr>
                        <w:rPr>
                          <w:rFonts w:ascii="Cambria Math" w:hAnsi="Cambria Math"/>
                          <w:i/>
                        </w:rPr>
                      </m:ctrlPr>
                    </m:fPr>
                    <m:num>
                      <m:r>
                        <w:rPr>
                          <w:rFonts w:ascii="Cambria Math" w:hAnsi="Cambria Math"/>
                        </w:rPr>
                        <m:t>gal</m:t>
                      </m:r>
                    </m:num>
                    <m:den>
                      <m:r>
                        <w:rPr>
                          <w:rFonts w:ascii="Cambria Math" w:hAnsi="Cambria Math"/>
                        </w:rPr>
                        <m:t>min</m:t>
                      </m:r>
                    </m:den>
                  </m:f>
                  <m:r>
                    <w:rPr>
                      <w:rFonts w:ascii="Cambria Math" w:hAnsi="Cambria Math"/>
                    </w:rPr>
                    <m:t>*8.33</m:t>
                  </m:r>
                  <m:f>
                    <m:fPr>
                      <m:ctrlPr>
                        <w:rPr>
                          <w:rFonts w:ascii="Cambria Math" w:hAnsi="Cambria Math"/>
                          <w:i/>
                        </w:rPr>
                      </m:ctrlPr>
                    </m:fPr>
                    <m:num>
                      <m:r>
                        <w:rPr>
                          <w:rFonts w:ascii="Cambria Math" w:hAnsi="Cambria Math"/>
                        </w:rPr>
                        <m:t>lbm</m:t>
                      </m:r>
                    </m:num>
                    <m:den>
                      <m:r>
                        <w:rPr>
                          <w:rFonts w:ascii="Cambria Math" w:hAnsi="Cambria Math"/>
                        </w:rPr>
                        <m:t>gal</m:t>
                      </m:r>
                    </m:den>
                  </m:f>
                  <m:r>
                    <w:rPr>
                      <w:rFonts w:ascii="Cambria Math" w:hAnsi="Cambria Math"/>
                    </w:rPr>
                    <m:t>*</m:t>
                  </m:r>
                  <m:f>
                    <m:fPr>
                      <m:ctrlPr>
                        <w:rPr>
                          <w:rFonts w:ascii="Cambria Math" w:hAnsi="Cambria Math"/>
                          <w:i/>
                        </w:rPr>
                      </m:ctrlPr>
                    </m:fPr>
                    <m:num>
                      <m:r>
                        <w:rPr>
                          <w:rFonts w:ascii="Cambria Math" w:hAnsi="Cambria Math"/>
                        </w:rPr>
                        <m:t>60 min</m:t>
                      </m:r>
                    </m:num>
                    <m:den>
                      <m:r>
                        <w:rPr>
                          <w:rFonts w:ascii="Cambria Math" w:hAnsi="Cambria Math"/>
                        </w:rPr>
                        <m:t>hr</m:t>
                      </m:r>
                    </m:den>
                  </m:f>
                </m:e>
              </m:d>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Btu</m:t>
                      </m:r>
                    </m:num>
                    <m:den>
                      <m:r>
                        <w:rPr>
                          <w:rFonts w:ascii="Cambria Math" w:hAnsi="Cambria Math"/>
                        </w:rPr>
                        <m:t>lbm∙℉</m:t>
                      </m:r>
                    </m:den>
                  </m:f>
                  <m:r>
                    <w:rPr>
                      <w:rFonts w:ascii="Cambria Math" w:hAnsi="Cambria Math"/>
                    </w:rPr>
                    <m:t>*</m:t>
                  </m:r>
                  <m:f>
                    <m:fPr>
                      <m:ctrlPr>
                        <w:rPr>
                          <w:rFonts w:ascii="Cambria Math" w:hAnsi="Cambria Math"/>
                          <w:i/>
                        </w:rPr>
                      </m:ctrlPr>
                    </m:fPr>
                    <m:num>
                      <m:r>
                        <w:rPr>
                          <w:rFonts w:ascii="Cambria Math" w:hAnsi="Cambria Math"/>
                        </w:rPr>
                        <m:t>1 therm</m:t>
                      </m:r>
                    </m:num>
                    <m:den>
                      <m:r>
                        <w:rPr>
                          <w:rFonts w:ascii="Cambria Math" w:hAnsi="Cambria Math"/>
                        </w:rPr>
                        <m:t>100,000 Btu</m:t>
                      </m:r>
                    </m:den>
                  </m:f>
                </m:e>
              </m:d>
              <m:r>
                <w:rPr>
                  <w:rFonts w:ascii="Cambria Math" w:hAnsi="Cambria Math"/>
                </w:rPr>
                <m:t>*</m:t>
              </m:r>
              <m:d>
                <m:dPr>
                  <m:ctrlPr>
                    <w:rPr>
                      <w:rFonts w:ascii="Cambria Math" w:hAnsi="Cambria Math"/>
                      <w:i/>
                    </w:rPr>
                  </m:ctrlPr>
                </m:dPr>
                <m:e>
                  <m:r>
                    <w:rPr>
                      <w:rFonts w:ascii="Cambria Math" w:hAnsi="Cambria Math"/>
                    </w:rPr>
                    <m:t>97.9℉-63.82℉</m:t>
                  </m:r>
                </m:e>
              </m:d>
              <m:r>
                <w:rPr>
                  <w:rFonts w:ascii="Cambria Math" w:hAnsi="Cambria Math"/>
                </w:rPr>
                <m:t xml:space="preserve">*35 </m:t>
              </m:r>
              <m:f>
                <m:fPr>
                  <m:ctrlPr>
                    <w:rPr>
                      <w:rFonts w:ascii="Cambria Math" w:hAnsi="Cambria Math"/>
                      <w:i/>
                    </w:rPr>
                  </m:ctrlPr>
                </m:fPr>
                <m:num>
                  <m:r>
                    <w:rPr>
                      <w:rFonts w:ascii="Cambria Math" w:hAnsi="Cambria Math"/>
                    </w:rPr>
                    <m:t>hr</m:t>
                  </m:r>
                </m:num>
                <m:den>
                  <m:r>
                    <w:rPr>
                      <w:rFonts w:ascii="Cambria Math" w:hAnsi="Cambria Math"/>
                    </w:rPr>
                    <m:t>year</m:t>
                  </m:r>
                </m:den>
              </m:f>
            </m:num>
            <m:den>
              <m:r>
                <w:rPr>
                  <w:rFonts w:ascii="Cambria Math" w:hAnsi="Cambria Math"/>
                </w:rPr>
                <m:t>0.76</m:t>
              </m:r>
            </m:den>
          </m:f>
        </m:oMath>
      </m:oMathPara>
    </w:p>
    <w:p w14:paraId="5026F849" w14:textId="2A48BC8A" w:rsidR="00431411" w:rsidRPr="00965B4C" w:rsidRDefault="00431411" w:rsidP="00431411">
      <w:pPr>
        <w:jc w:val="center"/>
        <w:rPr>
          <w:rFonts w:eastAsiaTheme="minorEastAsia"/>
        </w:rPr>
      </w:pPr>
      <m:oMathPara>
        <m:oMathParaPr>
          <m:jc m:val="center"/>
        </m:oMathParaPr>
        <m:oMath>
          <m:r>
            <m:rPr>
              <m:sty m:val="p"/>
            </m:rPr>
            <w:rPr>
              <w:rFonts w:ascii="Cambria Math" w:eastAsiaTheme="minorEastAsia" w:hAnsi="Cambria Math"/>
            </w:rPr>
            <w:br/>
          </m:r>
        </m:oMath>
        <m:oMath>
          <m:r>
            <w:rPr>
              <w:rFonts w:ascii="Cambria Math" w:eastAsiaTheme="minorEastAsia" w:hAnsi="Cambria Math"/>
            </w:rPr>
            <m:t>=13.06</m:t>
          </m:r>
          <m:f>
            <m:fPr>
              <m:ctrlPr>
                <w:rPr>
                  <w:rFonts w:ascii="Cambria Math" w:eastAsiaTheme="minorEastAsia" w:hAnsi="Cambria Math"/>
                  <w:i/>
                </w:rPr>
              </m:ctrlPr>
            </m:fPr>
            <m:num>
              <m:r>
                <w:rPr>
                  <w:rFonts w:ascii="Cambria Math" w:eastAsiaTheme="minorEastAsia" w:hAnsi="Cambria Math"/>
                </w:rPr>
                <m:t>therms</m:t>
              </m:r>
            </m:num>
            <m:den>
              <m:r>
                <w:rPr>
                  <w:rFonts w:ascii="Cambria Math" w:eastAsiaTheme="minorEastAsia" w:hAnsi="Cambria Math"/>
                </w:rPr>
                <m:t>year</m:t>
              </m:r>
            </m:den>
          </m:f>
        </m:oMath>
      </m:oMathPara>
    </w:p>
    <w:p w14:paraId="5026F84A" w14:textId="77777777" w:rsidR="00431411" w:rsidRPr="00965B4C" w:rsidRDefault="00431411" w:rsidP="00431411">
      <w:pPr>
        <w:rPr>
          <w:rFonts w:eastAsiaTheme="minorEastAsia"/>
        </w:rPr>
      </w:pPr>
    </w:p>
    <w:p w14:paraId="5026F84B" w14:textId="068BB648" w:rsidR="00431411" w:rsidRPr="00965B4C" w:rsidRDefault="00431411" w:rsidP="00431411">
      <w:pPr>
        <w:rPr>
          <w:rFonts w:eastAsiaTheme="minorEastAsia"/>
        </w:rPr>
      </w:pPr>
      <w:r w:rsidRPr="00965B4C">
        <w:rPr>
          <w:rFonts w:eastAsiaTheme="minorEastAsia"/>
        </w:rPr>
        <w:t xml:space="preserve">Substituting the </w:t>
      </w:r>
      <w:r w:rsidR="00A13A81">
        <w:rPr>
          <w:rFonts w:eastAsiaTheme="minorEastAsia"/>
        </w:rPr>
        <w:t>1.67</w:t>
      </w:r>
      <w:r w:rsidR="0037484D" w:rsidRPr="00965B4C">
        <w:rPr>
          <w:rFonts w:eastAsiaTheme="minorEastAsia"/>
        </w:rPr>
        <w:t xml:space="preserve"> </w:t>
      </w:r>
      <w:r w:rsidR="0099755F" w:rsidRPr="00965B4C">
        <w:rPr>
          <w:rFonts w:eastAsiaTheme="minorEastAsia"/>
        </w:rPr>
        <w:t>GPM</w:t>
      </w:r>
      <w:r w:rsidRPr="00965B4C">
        <w:rPr>
          <w:rFonts w:eastAsiaTheme="minorEastAsia"/>
        </w:rPr>
        <w:t xml:space="preserve"> term for the flow</w:t>
      </w:r>
      <w:r w:rsidR="006B40F1" w:rsidRPr="00965B4C">
        <w:rPr>
          <w:rFonts w:eastAsiaTheme="minorEastAsia"/>
        </w:rPr>
        <w:t xml:space="preserve"> rate of the installed aerator</w:t>
      </w:r>
      <w:r w:rsidRPr="00965B4C">
        <w:rPr>
          <w:rFonts w:eastAsiaTheme="minorEastAsia"/>
        </w:rPr>
        <w:t xml:space="preserve"> (i.e. </w:t>
      </w:r>
      <w:r w:rsidR="0096587E" w:rsidRPr="00965B4C">
        <w:rPr>
          <w:rFonts w:eastAsiaTheme="minorEastAsia"/>
        </w:rPr>
        <w:t>0.5</w:t>
      </w:r>
      <w:r w:rsidRPr="00965B4C">
        <w:rPr>
          <w:rFonts w:eastAsiaTheme="minorEastAsia"/>
        </w:rPr>
        <w:t xml:space="preserve"> </w:t>
      </w:r>
      <w:r w:rsidR="0099755F" w:rsidRPr="00965B4C">
        <w:rPr>
          <w:rFonts w:eastAsiaTheme="minorEastAsia"/>
        </w:rPr>
        <w:t>GPM</w:t>
      </w:r>
      <w:r w:rsidRPr="00965B4C">
        <w:rPr>
          <w:rFonts w:eastAsiaTheme="minorEastAsia"/>
        </w:rPr>
        <w:t>) and leaving all remaining terms the same, the annual hot wat</w:t>
      </w:r>
      <w:r w:rsidR="0037484D" w:rsidRPr="00965B4C">
        <w:rPr>
          <w:rFonts w:eastAsiaTheme="minorEastAsia"/>
        </w:rPr>
        <w:t>er load for a faucet with an aerator</w:t>
      </w:r>
      <w:r w:rsidRPr="00965B4C">
        <w:rPr>
          <w:rFonts w:eastAsiaTheme="minorEastAsia"/>
        </w:rPr>
        <w:t xml:space="preserve"> is:</w:t>
      </w:r>
    </w:p>
    <w:p w14:paraId="5026F84C" w14:textId="77777777" w:rsidR="00431411" w:rsidRPr="00965B4C" w:rsidRDefault="00431411" w:rsidP="00431411">
      <w:pPr>
        <w:rPr>
          <w:rFonts w:eastAsiaTheme="minorEastAsia"/>
        </w:rPr>
      </w:pPr>
    </w:p>
    <w:p w14:paraId="5026F84D" w14:textId="5AF4D84D" w:rsidR="00431411" w:rsidRPr="00965B4C" w:rsidRDefault="005A50B7" w:rsidP="00431411">
      <w:pPr>
        <w:rPr>
          <w:rFonts w:eastAsiaTheme="minorEastAsia"/>
        </w:rPr>
      </w:pPr>
      <m:oMathPara>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 xml:space="preserve">faucet with aerator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 xml:space="preserve">proposed </m:t>
              </m:r>
            </m:sub>
          </m:sSub>
          <m:r>
            <w:rPr>
              <w:rFonts w:ascii="Cambria Math" w:eastAsiaTheme="minorEastAsia" w:hAnsi="Cambria Math"/>
            </w:rPr>
            <m:t>= 3.91</m:t>
          </m:r>
          <m:f>
            <m:fPr>
              <m:ctrlPr>
                <w:rPr>
                  <w:rFonts w:ascii="Cambria Math" w:eastAsiaTheme="minorEastAsia" w:hAnsi="Cambria Math"/>
                  <w:i/>
                </w:rPr>
              </m:ctrlPr>
            </m:fPr>
            <m:num>
              <m:r>
                <w:rPr>
                  <w:rFonts w:ascii="Cambria Math" w:eastAsiaTheme="minorEastAsia" w:hAnsi="Cambria Math"/>
                </w:rPr>
                <m:t>therms</m:t>
              </m:r>
            </m:num>
            <m:den>
              <m:r>
                <w:rPr>
                  <w:rFonts w:ascii="Cambria Math" w:eastAsiaTheme="minorEastAsia" w:hAnsi="Cambria Math"/>
                </w:rPr>
                <m:t>year</m:t>
              </m:r>
            </m:den>
          </m:f>
        </m:oMath>
      </m:oMathPara>
    </w:p>
    <w:p w14:paraId="5026F84E" w14:textId="77777777" w:rsidR="00431411" w:rsidRPr="00965B4C" w:rsidRDefault="00431411" w:rsidP="00431411">
      <w:pPr>
        <w:rPr>
          <w:rFonts w:eastAsiaTheme="minorEastAsia"/>
        </w:rPr>
      </w:pPr>
    </w:p>
    <w:p w14:paraId="5026F84F" w14:textId="77777777" w:rsidR="00431411" w:rsidRPr="00965B4C" w:rsidRDefault="00431411" w:rsidP="00431411">
      <w:pPr>
        <w:rPr>
          <w:rFonts w:eastAsiaTheme="minorEastAsia"/>
        </w:rPr>
      </w:pPr>
      <w:r w:rsidRPr="00965B4C">
        <w:rPr>
          <w:rFonts w:eastAsiaTheme="minorEastAsia"/>
        </w:rPr>
        <w:t xml:space="preserve">Thus, the natural gas energy savings for that faucet is: </w:t>
      </w:r>
    </w:p>
    <w:p w14:paraId="5026F850" w14:textId="77777777" w:rsidR="00431411" w:rsidRPr="00965B4C" w:rsidRDefault="00431411" w:rsidP="00431411">
      <w:pPr>
        <w:rPr>
          <w:rFonts w:eastAsiaTheme="minorEastAsia"/>
        </w:rPr>
      </w:pPr>
    </w:p>
    <w:p w14:paraId="5026F851" w14:textId="79A4944C" w:rsidR="00431411" w:rsidRPr="00965B4C" w:rsidRDefault="005A50B7" w:rsidP="00431411">
      <w:pPr>
        <w:rPr>
          <w:rFonts w:eastAsiaTheme="minorEastAsia"/>
        </w:rPr>
      </w:pPr>
      <m:oMathPara>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net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existing faucet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faucet with aerator</m:t>
              </m:r>
            </m:sub>
          </m:sSub>
          <m:r>
            <w:rPr>
              <w:rFonts w:ascii="Cambria Math" w:eastAsiaTheme="minorEastAsia" w:hAnsi="Cambria Math"/>
            </w:rPr>
            <m:t>=</m:t>
          </m:r>
          <m:r>
            <m:rPr>
              <m:sty m:val="bi"/>
            </m:rPr>
            <w:rPr>
              <w:rFonts w:ascii="Cambria Math" w:eastAsiaTheme="minorEastAsia" w:hAnsi="Cambria Math"/>
            </w:rPr>
            <m:t>9.15</m:t>
          </m:r>
          <m:f>
            <m:fPr>
              <m:ctrlPr>
                <w:rPr>
                  <w:rFonts w:ascii="Cambria Math" w:eastAsiaTheme="minorEastAsia" w:hAnsi="Cambria Math"/>
                  <w:b/>
                  <w:i/>
                </w:rPr>
              </m:ctrlPr>
            </m:fPr>
            <m:num>
              <m:r>
                <m:rPr>
                  <m:sty m:val="bi"/>
                </m:rPr>
                <w:rPr>
                  <w:rFonts w:ascii="Cambria Math" w:eastAsiaTheme="minorEastAsia" w:hAnsi="Cambria Math"/>
                </w:rPr>
                <m:t>therms</m:t>
              </m:r>
            </m:num>
            <m:den>
              <m:r>
                <m:rPr>
                  <m:sty m:val="bi"/>
                </m:rPr>
                <w:rPr>
                  <w:rFonts w:ascii="Cambria Math" w:eastAsiaTheme="minorEastAsia" w:hAnsi="Cambria Math"/>
                </w:rPr>
                <m:t>year</m:t>
              </m:r>
            </m:den>
          </m:f>
        </m:oMath>
      </m:oMathPara>
    </w:p>
    <w:p w14:paraId="5026F852" w14:textId="77777777" w:rsidR="00431411" w:rsidRPr="00CA6A91" w:rsidRDefault="00431411" w:rsidP="00431411">
      <w:pPr>
        <w:rPr>
          <w:color w:val="0070C0"/>
        </w:rPr>
      </w:pPr>
    </w:p>
    <w:p w14:paraId="5026F853" w14:textId="662E8EE1" w:rsidR="00431411" w:rsidRDefault="007E7EDB" w:rsidP="00431411">
      <w:pPr>
        <w:rPr>
          <w:rFonts w:eastAsiaTheme="minorEastAsia"/>
        </w:rPr>
      </w:pPr>
      <w:r w:rsidRPr="007E7EDB">
        <w:rPr>
          <w:rFonts w:eastAsiaTheme="minorEastAsia"/>
          <w:b/>
        </w:rPr>
        <w:t>Table 14</w:t>
      </w:r>
      <w:r>
        <w:rPr>
          <w:rFonts w:eastAsiaTheme="minorEastAsia"/>
        </w:rPr>
        <w:t xml:space="preserve"> shows the annual savings results per faucet</w:t>
      </w:r>
      <w:r w:rsidR="00CF1F03">
        <w:rPr>
          <w:rFonts w:eastAsiaTheme="minorEastAsia"/>
        </w:rPr>
        <w:t xml:space="preserve"> for each of the 16 climate zones</w:t>
      </w:r>
      <w:r>
        <w:rPr>
          <w:rFonts w:eastAsiaTheme="minorEastAsia"/>
        </w:rPr>
        <w:t xml:space="preserve">. </w:t>
      </w:r>
      <w:r w:rsidR="00674527">
        <w:rPr>
          <w:rFonts w:eastAsiaTheme="minorEastAsia"/>
        </w:rPr>
        <w:t>The full savings calculations and results are provided in</w:t>
      </w:r>
      <w:r w:rsidR="0037484D" w:rsidRPr="009A05DD">
        <w:rPr>
          <w:rFonts w:eastAsiaTheme="minorEastAsia"/>
        </w:rPr>
        <w:t xml:space="preserve"> </w:t>
      </w:r>
      <w:r w:rsidR="009560E1" w:rsidRPr="009A05DD">
        <w:rPr>
          <w:rFonts w:eastAsiaTheme="minorEastAsia"/>
          <w:b/>
          <w:i/>
        </w:rPr>
        <w:t>Attach</w:t>
      </w:r>
      <w:r w:rsidR="00674527">
        <w:rPr>
          <w:rFonts w:eastAsiaTheme="minorEastAsia"/>
          <w:b/>
          <w:i/>
        </w:rPr>
        <w:t>ment A</w:t>
      </w:r>
      <w:r w:rsidR="00431411" w:rsidRPr="009A05DD">
        <w:rPr>
          <w:rFonts w:eastAsiaTheme="minorEastAsia"/>
        </w:rPr>
        <w:t>.</w:t>
      </w:r>
    </w:p>
    <w:p w14:paraId="2E66A068" w14:textId="54C3A74C" w:rsidR="002A2475" w:rsidRDefault="002A2475" w:rsidP="00431411">
      <w:pPr>
        <w:rPr>
          <w:rFonts w:eastAsiaTheme="minorEastAsia"/>
        </w:rPr>
      </w:pPr>
    </w:p>
    <w:p w14:paraId="2170272C" w14:textId="4C1DBEA2" w:rsidR="007E7EDB" w:rsidRDefault="007E7EDB" w:rsidP="007E7EDB">
      <w:pPr>
        <w:pStyle w:val="Caption"/>
        <w:keepNext/>
        <w:jc w:val="center"/>
      </w:pPr>
      <w:r>
        <w:t xml:space="preserve">Table </w:t>
      </w:r>
      <w:r w:rsidR="005A50B7">
        <w:fldChar w:fldCharType="begin"/>
      </w:r>
      <w:r w:rsidR="005A50B7">
        <w:instrText xml:space="preserve"> SEQ Table \* ARABIC </w:instrText>
      </w:r>
      <w:r w:rsidR="005A50B7">
        <w:fldChar w:fldCharType="separate"/>
      </w:r>
      <w:r>
        <w:rPr>
          <w:noProof/>
        </w:rPr>
        <w:t>14</w:t>
      </w:r>
      <w:r w:rsidR="005A50B7">
        <w:rPr>
          <w:noProof/>
        </w:rPr>
        <w:fldChar w:fldCharType="end"/>
      </w:r>
      <w:r>
        <w:t>: Annual Savings Per Faucet</w:t>
      </w:r>
    </w:p>
    <w:tbl>
      <w:tblPr>
        <w:tblStyle w:val="TableGrid1"/>
        <w:tblW w:w="4428" w:type="pct"/>
        <w:jc w:val="center"/>
        <w:tblLayout w:type="fixed"/>
        <w:tblCellMar>
          <w:left w:w="115" w:type="dxa"/>
          <w:right w:w="115" w:type="dxa"/>
        </w:tblCellMar>
        <w:tblLook w:val="04A0" w:firstRow="1" w:lastRow="0" w:firstColumn="1" w:lastColumn="0" w:noHBand="0" w:noVBand="1"/>
      </w:tblPr>
      <w:tblGrid>
        <w:gridCol w:w="1656"/>
        <w:gridCol w:w="1656"/>
        <w:gridCol w:w="1656"/>
        <w:gridCol w:w="1656"/>
        <w:gridCol w:w="1656"/>
      </w:tblGrid>
      <w:tr w:rsidR="00D35F70" w:rsidRPr="00500C4E" w14:paraId="66271ED5" w14:textId="59A1511E" w:rsidTr="00D35F70">
        <w:trPr>
          <w:trHeight w:val="32"/>
          <w:jc w:val="center"/>
        </w:trPr>
        <w:tc>
          <w:tcPr>
            <w:tcW w:w="1000" w:type="pct"/>
            <w:vMerge w:val="restart"/>
            <w:shd w:val="clear" w:color="auto" w:fill="D9D9D9" w:themeFill="background1" w:themeFillShade="D9"/>
            <w:vAlign w:val="center"/>
          </w:tcPr>
          <w:p w14:paraId="13D8B04C" w14:textId="77777777" w:rsidR="00D35F70" w:rsidRPr="00920905" w:rsidRDefault="00D35F70" w:rsidP="00D35F70">
            <w:pPr>
              <w:tabs>
                <w:tab w:val="right" w:pos="2957"/>
              </w:tabs>
              <w:jc w:val="center"/>
              <w:rPr>
                <w:rFonts w:cs="Arial"/>
                <w:b/>
                <w:szCs w:val="20"/>
              </w:rPr>
            </w:pPr>
            <w:r>
              <w:rPr>
                <w:rFonts w:cs="Arial"/>
                <w:b/>
                <w:szCs w:val="20"/>
              </w:rPr>
              <w:t>Climate Zone</w:t>
            </w:r>
          </w:p>
        </w:tc>
        <w:tc>
          <w:tcPr>
            <w:tcW w:w="2000" w:type="pct"/>
            <w:gridSpan w:val="2"/>
            <w:shd w:val="clear" w:color="auto" w:fill="D9D9D9" w:themeFill="background1" w:themeFillShade="D9"/>
            <w:vAlign w:val="center"/>
          </w:tcPr>
          <w:p w14:paraId="2862C7F1" w14:textId="24E46512" w:rsidR="00D35F70" w:rsidRDefault="00D35F70" w:rsidP="00D35F70">
            <w:pPr>
              <w:jc w:val="center"/>
              <w:rPr>
                <w:rFonts w:cs="Arial"/>
                <w:b/>
                <w:szCs w:val="20"/>
              </w:rPr>
            </w:pPr>
            <w:r>
              <w:rPr>
                <w:rFonts w:cs="Arial"/>
                <w:b/>
                <w:szCs w:val="20"/>
              </w:rPr>
              <w:t>Public Lavatory</w:t>
            </w:r>
          </w:p>
        </w:tc>
        <w:tc>
          <w:tcPr>
            <w:tcW w:w="2000" w:type="pct"/>
            <w:gridSpan w:val="2"/>
            <w:shd w:val="clear" w:color="auto" w:fill="D9D9D9" w:themeFill="background1" w:themeFillShade="D9"/>
            <w:vAlign w:val="center"/>
          </w:tcPr>
          <w:p w14:paraId="1CB1C990" w14:textId="534FE543" w:rsidR="00D35F70" w:rsidRDefault="00D35F70" w:rsidP="00D35F70">
            <w:pPr>
              <w:jc w:val="center"/>
              <w:rPr>
                <w:rFonts w:cs="Arial"/>
                <w:b/>
                <w:szCs w:val="20"/>
              </w:rPr>
            </w:pPr>
            <w:r>
              <w:rPr>
                <w:rFonts w:cs="Arial"/>
                <w:b/>
                <w:szCs w:val="20"/>
              </w:rPr>
              <w:t>Private Lavatory</w:t>
            </w:r>
          </w:p>
        </w:tc>
      </w:tr>
      <w:tr w:rsidR="00D35F70" w:rsidRPr="00500C4E" w14:paraId="1284F370" w14:textId="77777777" w:rsidTr="00D35F70">
        <w:trPr>
          <w:trHeight w:val="32"/>
          <w:jc w:val="center"/>
        </w:trPr>
        <w:tc>
          <w:tcPr>
            <w:tcW w:w="1000" w:type="pct"/>
            <w:vMerge/>
            <w:shd w:val="clear" w:color="auto" w:fill="D9D9D9" w:themeFill="background1" w:themeFillShade="D9"/>
          </w:tcPr>
          <w:p w14:paraId="56BD23BA" w14:textId="77777777" w:rsidR="00D35F70" w:rsidRDefault="00D35F70" w:rsidP="00D35F70">
            <w:pPr>
              <w:tabs>
                <w:tab w:val="right" w:pos="2957"/>
              </w:tabs>
              <w:jc w:val="center"/>
              <w:rPr>
                <w:rFonts w:cs="Arial"/>
                <w:b/>
                <w:szCs w:val="20"/>
              </w:rPr>
            </w:pPr>
          </w:p>
        </w:tc>
        <w:tc>
          <w:tcPr>
            <w:tcW w:w="1000" w:type="pct"/>
            <w:shd w:val="clear" w:color="auto" w:fill="D9D9D9" w:themeFill="background1" w:themeFillShade="D9"/>
          </w:tcPr>
          <w:p w14:paraId="31108DDB" w14:textId="7BFCD55E" w:rsidR="00D35F70" w:rsidRDefault="00D35F70" w:rsidP="00D35F70">
            <w:pPr>
              <w:jc w:val="center"/>
              <w:rPr>
                <w:rFonts w:cs="Arial"/>
                <w:b/>
                <w:szCs w:val="20"/>
              </w:rPr>
            </w:pPr>
            <w:r>
              <w:rPr>
                <w:rFonts w:cs="Arial"/>
                <w:b/>
                <w:szCs w:val="20"/>
              </w:rPr>
              <w:t>0.5 GPM Aerator (therms/yr)</w:t>
            </w:r>
          </w:p>
        </w:tc>
        <w:tc>
          <w:tcPr>
            <w:tcW w:w="1000" w:type="pct"/>
            <w:shd w:val="clear" w:color="auto" w:fill="D9D9D9" w:themeFill="background1" w:themeFillShade="D9"/>
          </w:tcPr>
          <w:p w14:paraId="631EEAFD" w14:textId="2D9266CB" w:rsidR="00D35F70" w:rsidRDefault="00D35F70" w:rsidP="00D35F70">
            <w:pPr>
              <w:jc w:val="center"/>
              <w:rPr>
                <w:rFonts w:cs="Arial"/>
                <w:b/>
                <w:szCs w:val="20"/>
              </w:rPr>
            </w:pPr>
            <w:r>
              <w:rPr>
                <w:rFonts w:cs="Arial"/>
                <w:b/>
                <w:szCs w:val="20"/>
              </w:rPr>
              <w:t>1.0 GPM Aerator (therms/yr)</w:t>
            </w:r>
          </w:p>
        </w:tc>
        <w:tc>
          <w:tcPr>
            <w:tcW w:w="1000" w:type="pct"/>
            <w:shd w:val="clear" w:color="auto" w:fill="D9D9D9" w:themeFill="background1" w:themeFillShade="D9"/>
          </w:tcPr>
          <w:p w14:paraId="3429E359" w14:textId="470E7437" w:rsidR="00D35F70" w:rsidRDefault="00D35F70" w:rsidP="00D35F70">
            <w:pPr>
              <w:jc w:val="center"/>
              <w:rPr>
                <w:rFonts w:cs="Arial"/>
                <w:b/>
                <w:szCs w:val="20"/>
              </w:rPr>
            </w:pPr>
            <w:r>
              <w:rPr>
                <w:rFonts w:cs="Arial"/>
                <w:b/>
                <w:szCs w:val="20"/>
              </w:rPr>
              <w:t>0.5 GPM Aerator (therms/yr)</w:t>
            </w:r>
          </w:p>
        </w:tc>
        <w:tc>
          <w:tcPr>
            <w:tcW w:w="1000" w:type="pct"/>
            <w:shd w:val="clear" w:color="auto" w:fill="D9D9D9" w:themeFill="background1" w:themeFillShade="D9"/>
          </w:tcPr>
          <w:p w14:paraId="46039557" w14:textId="108D4A82" w:rsidR="00D35F70" w:rsidRDefault="00D35F70" w:rsidP="00D35F70">
            <w:pPr>
              <w:jc w:val="center"/>
              <w:rPr>
                <w:rFonts w:cs="Arial"/>
                <w:b/>
                <w:szCs w:val="20"/>
              </w:rPr>
            </w:pPr>
            <w:r>
              <w:rPr>
                <w:rFonts w:cs="Arial"/>
                <w:b/>
                <w:szCs w:val="20"/>
              </w:rPr>
              <w:t>1.0 GPM Aerator (therms/yr)</w:t>
            </w:r>
          </w:p>
        </w:tc>
      </w:tr>
      <w:tr w:rsidR="00D35F70" w:rsidRPr="00500C4E" w14:paraId="6330B57B" w14:textId="6B8E4EBC" w:rsidTr="00C50C36">
        <w:trPr>
          <w:trHeight w:val="32"/>
          <w:jc w:val="center"/>
        </w:trPr>
        <w:tc>
          <w:tcPr>
            <w:tcW w:w="1000" w:type="pct"/>
            <w:vAlign w:val="center"/>
          </w:tcPr>
          <w:p w14:paraId="05D6CAFE" w14:textId="77777777" w:rsidR="00D35F70" w:rsidRPr="009E2905" w:rsidRDefault="00D35F70" w:rsidP="00D35F70">
            <w:pPr>
              <w:jc w:val="center"/>
              <w:rPr>
                <w:rFonts w:cs="Arial"/>
                <w:szCs w:val="20"/>
              </w:rPr>
            </w:pPr>
            <w:r w:rsidRPr="009E2905">
              <w:rPr>
                <w:rFonts w:cs="Arial"/>
                <w:szCs w:val="20"/>
              </w:rPr>
              <w:t>1</w:t>
            </w:r>
          </w:p>
        </w:tc>
        <w:tc>
          <w:tcPr>
            <w:tcW w:w="1000" w:type="pct"/>
            <w:vAlign w:val="bottom"/>
          </w:tcPr>
          <w:p w14:paraId="1C361E2F" w14:textId="1A21A1BD" w:rsidR="00D35F70" w:rsidRPr="00D35F70" w:rsidRDefault="00D35F70" w:rsidP="00D35F70">
            <w:pPr>
              <w:jc w:val="center"/>
            </w:pPr>
            <w:r w:rsidRPr="00D35F70">
              <w:rPr>
                <w:rFonts w:ascii="Calibri" w:hAnsi="Calibri" w:cs="Calibri"/>
                <w:color w:val="000000"/>
                <w:szCs w:val="22"/>
              </w:rPr>
              <w:t>12.49</w:t>
            </w:r>
          </w:p>
        </w:tc>
        <w:tc>
          <w:tcPr>
            <w:tcW w:w="1000" w:type="pct"/>
            <w:vAlign w:val="bottom"/>
          </w:tcPr>
          <w:p w14:paraId="38C491BA" w14:textId="6A5E313D" w:rsidR="00D35F70" w:rsidRPr="00D35F70" w:rsidRDefault="00D35F70" w:rsidP="00D35F70">
            <w:pPr>
              <w:jc w:val="center"/>
            </w:pPr>
            <w:r w:rsidRPr="00D35F70">
              <w:rPr>
                <w:rFonts w:ascii="Calibri" w:hAnsi="Calibri" w:cs="Calibri"/>
                <w:color w:val="000000"/>
                <w:szCs w:val="22"/>
              </w:rPr>
              <w:t>7.15</w:t>
            </w:r>
          </w:p>
        </w:tc>
        <w:tc>
          <w:tcPr>
            <w:tcW w:w="1000" w:type="pct"/>
            <w:vAlign w:val="bottom"/>
          </w:tcPr>
          <w:p w14:paraId="0DAC72DE" w14:textId="1B196BE0"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4.02</w:t>
            </w:r>
          </w:p>
        </w:tc>
        <w:tc>
          <w:tcPr>
            <w:tcW w:w="1000" w:type="pct"/>
            <w:vAlign w:val="bottom"/>
          </w:tcPr>
          <w:p w14:paraId="4D6F6FB1" w14:textId="2498144E"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2.30</w:t>
            </w:r>
          </w:p>
        </w:tc>
      </w:tr>
      <w:tr w:rsidR="00D35F70" w:rsidRPr="00500C4E" w14:paraId="6C44682D" w14:textId="471CBAA2" w:rsidTr="00C50C36">
        <w:trPr>
          <w:trHeight w:val="32"/>
          <w:jc w:val="center"/>
        </w:trPr>
        <w:tc>
          <w:tcPr>
            <w:tcW w:w="1000" w:type="pct"/>
            <w:vAlign w:val="center"/>
          </w:tcPr>
          <w:p w14:paraId="5EAF29AA" w14:textId="77777777" w:rsidR="00D35F70" w:rsidRPr="009E2905" w:rsidRDefault="00D35F70" w:rsidP="00D35F70">
            <w:pPr>
              <w:jc w:val="center"/>
              <w:rPr>
                <w:rFonts w:cs="Arial"/>
                <w:szCs w:val="20"/>
              </w:rPr>
            </w:pPr>
            <w:r w:rsidRPr="009E2905">
              <w:rPr>
                <w:rFonts w:cs="Arial"/>
                <w:szCs w:val="20"/>
              </w:rPr>
              <w:t>2</w:t>
            </w:r>
          </w:p>
        </w:tc>
        <w:tc>
          <w:tcPr>
            <w:tcW w:w="1000" w:type="pct"/>
            <w:vAlign w:val="bottom"/>
          </w:tcPr>
          <w:p w14:paraId="00DE53E0" w14:textId="064CF0F6" w:rsidR="00D35F70" w:rsidRPr="00D35F70" w:rsidRDefault="00D35F70" w:rsidP="00D35F70">
            <w:pPr>
              <w:jc w:val="center"/>
            </w:pPr>
            <w:r w:rsidRPr="00D35F70">
              <w:rPr>
                <w:rFonts w:ascii="Calibri" w:hAnsi="Calibri" w:cs="Calibri"/>
                <w:color w:val="000000"/>
                <w:szCs w:val="22"/>
              </w:rPr>
              <w:t>10.90</w:t>
            </w:r>
          </w:p>
        </w:tc>
        <w:tc>
          <w:tcPr>
            <w:tcW w:w="1000" w:type="pct"/>
            <w:vAlign w:val="bottom"/>
          </w:tcPr>
          <w:p w14:paraId="055F3EFD" w14:textId="56CDA368" w:rsidR="00D35F70" w:rsidRPr="00D35F70" w:rsidRDefault="00D35F70" w:rsidP="00D35F70">
            <w:pPr>
              <w:jc w:val="center"/>
            </w:pPr>
            <w:r w:rsidRPr="00D35F70">
              <w:rPr>
                <w:rFonts w:ascii="Calibri" w:hAnsi="Calibri" w:cs="Calibri"/>
                <w:color w:val="000000"/>
                <w:szCs w:val="22"/>
              </w:rPr>
              <w:t>6.24</w:t>
            </w:r>
          </w:p>
        </w:tc>
        <w:tc>
          <w:tcPr>
            <w:tcW w:w="1000" w:type="pct"/>
            <w:vAlign w:val="bottom"/>
          </w:tcPr>
          <w:p w14:paraId="6691C967" w14:textId="394C3649"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3.51</w:t>
            </w:r>
          </w:p>
        </w:tc>
        <w:tc>
          <w:tcPr>
            <w:tcW w:w="1000" w:type="pct"/>
            <w:vAlign w:val="bottom"/>
          </w:tcPr>
          <w:p w14:paraId="3430B0D2" w14:textId="794FB6DE"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2.01</w:t>
            </w:r>
          </w:p>
        </w:tc>
      </w:tr>
      <w:tr w:rsidR="00D35F70" w:rsidRPr="00500C4E" w14:paraId="6495D8E0" w14:textId="4AFC2535" w:rsidTr="00C50C36">
        <w:trPr>
          <w:trHeight w:val="32"/>
          <w:jc w:val="center"/>
        </w:trPr>
        <w:tc>
          <w:tcPr>
            <w:tcW w:w="1000" w:type="pct"/>
            <w:vAlign w:val="center"/>
          </w:tcPr>
          <w:p w14:paraId="175D8235" w14:textId="77777777" w:rsidR="00D35F70" w:rsidRPr="009E2905" w:rsidRDefault="00D35F70" w:rsidP="00D35F70">
            <w:pPr>
              <w:jc w:val="center"/>
              <w:rPr>
                <w:rFonts w:cs="Arial"/>
                <w:szCs w:val="20"/>
              </w:rPr>
            </w:pPr>
            <w:r w:rsidRPr="009E2905">
              <w:rPr>
                <w:rFonts w:cs="Arial"/>
                <w:szCs w:val="20"/>
              </w:rPr>
              <w:t>3</w:t>
            </w:r>
          </w:p>
        </w:tc>
        <w:tc>
          <w:tcPr>
            <w:tcW w:w="1000" w:type="pct"/>
            <w:vAlign w:val="bottom"/>
          </w:tcPr>
          <w:p w14:paraId="7958F402" w14:textId="26CAF448" w:rsidR="00D35F70" w:rsidRPr="00D35F70" w:rsidRDefault="00D35F70" w:rsidP="00D35F70">
            <w:pPr>
              <w:jc w:val="center"/>
            </w:pPr>
            <w:r w:rsidRPr="00D35F70">
              <w:rPr>
                <w:rFonts w:ascii="Calibri" w:hAnsi="Calibri" w:cs="Calibri"/>
                <w:color w:val="000000"/>
                <w:szCs w:val="22"/>
              </w:rPr>
              <w:t>10.97</w:t>
            </w:r>
          </w:p>
        </w:tc>
        <w:tc>
          <w:tcPr>
            <w:tcW w:w="1000" w:type="pct"/>
            <w:vAlign w:val="bottom"/>
          </w:tcPr>
          <w:p w14:paraId="6E3AEEEB" w14:textId="44FDD992" w:rsidR="00D35F70" w:rsidRPr="00D35F70" w:rsidRDefault="00D35F70" w:rsidP="00D35F70">
            <w:pPr>
              <w:jc w:val="center"/>
            </w:pPr>
            <w:r w:rsidRPr="00D35F70">
              <w:rPr>
                <w:rFonts w:ascii="Calibri" w:hAnsi="Calibri" w:cs="Calibri"/>
                <w:color w:val="000000"/>
                <w:szCs w:val="22"/>
              </w:rPr>
              <w:t>6.28</w:t>
            </w:r>
          </w:p>
        </w:tc>
        <w:tc>
          <w:tcPr>
            <w:tcW w:w="1000" w:type="pct"/>
            <w:vAlign w:val="bottom"/>
          </w:tcPr>
          <w:p w14:paraId="483749D6" w14:textId="3BCB540E"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3.53</w:t>
            </w:r>
          </w:p>
        </w:tc>
        <w:tc>
          <w:tcPr>
            <w:tcW w:w="1000" w:type="pct"/>
            <w:vAlign w:val="bottom"/>
          </w:tcPr>
          <w:p w14:paraId="462C2F94" w14:textId="02276E3E"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2.02</w:t>
            </w:r>
          </w:p>
        </w:tc>
      </w:tr>
      <w:tr w:rsidR="00D35F70" w:rsidRPr="00500C4E" w14:paraId="675B22F1" w14:textId="282A2BFD" w:rsidTr="00C50C36">
        <w:trPr>
          <w:trHeight w:val="32"/>
          <w:jc w:val="center"/>
        </w:trPr>
        <w:tc>
          <w:tcPr>
            <w:tcW w:w="1000" w:type="pct"/>
            <w:vAlign w:val="center"/>
          </w:tcPr>
          <w:p w14:paraId="63ADF5CB" w14:textId="77777777" w:rsidR="00D35F70" w:rsidRPr="009E2905" w:rsidRDefault="00D35F70" w:rsidP="00D35F70">
            <w:pPr>
              <w:jc w:val="center"/>
              <w:rPr>
                <w:rFonts w:cs="Arial"/>
                <w:szCs w:val="20"/>
              </w:rPr>
            </w:pPr>
            <w:r w:rsidRPr="009E2905">
              <w:rPr>
                <w:rFonts w:cs="Arial"/>
                <w:szCs w:val="20"/>
              </w:rPr>
              <w:t>4</w:t>
            </w:r>
          </w:p>
        </w:tc>
        <w:tc>
          <w:tcPr>
            <w:tcW w:w="1000" w:type="pct"/>
            <w:vAlign w:val="bottom"/>
          </w:tcPr>
          <w:p w14:paraId="23BB6695" w14:textId="492BB955" w:rsidR="00D35F70" w:rsidRPr="00D35F70" w:rsidRDefault="00D35F70" w:rsidP="00D35F70">
            <w:pPr>
              <w:jc w:val="center"/>
            </w:pPr>
            <w:r w:rsidRPr="00D35F70">
              <w:rPr>
                <w:rFonts w:ascii="Calibri" w:hAnsi="Calibri" w:cs="Calibri"/>
                <w:color w:val="000000"/>
                <w:szCs w:val="22"/>
              </w:rPr>
              <w:t>10.30</w:t>
            </w:r>
          </w:p>
        </w:tc>
        <w:tc>
          <w:tcPr>
            <w:tcW w:w="1000" w:type="pct"/>
            <w:vAlign w:val="bottom"/>
          </w:tcPr>
          <w:p w14:paraId="268902CB" w14:textId="17125D43" w:rsidR="00D35F70" w:rsidRPr="00D35F70" w:rsidRDefault="00D35F70" w:rsidP="00D35F70">
            <w:pPr>
              <w:jc w:val="center"/>
            </w:pPr>
            <w:r w:rsidRPr="00D35F70">
              <w:rPr>
                <w:rFonts w:ascii="Calibri" w:hAnsi="Calibri" w:cs="Calibri"/>
                <w:color w:val="000000"/>
                <w:szCs w:val="22"/>
              </w:rPr>
              <w:t>5.90</w:t>
            </w:r>
          </w:p>
        </w:tc>
        <w:tc>
          <w:tcPr>
            <w:tcW w:w="1000" w:type="pct"/>
            <w:vAlign w:val="bottom"/>
          </w:tcPr>
          <w:p w14:paraId="236CCCBC" w14:textId="02646625"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3.32</w:t>
            </w:r>
          </w:p>
        </w:tc>
        <w:tc>
          <w:tcPr>
            <w:tcW w:w="1000" w:type="pct"/>
            <w:vAlign w:val="bottom"/>
          </w:tcPr>
          <w:p w14:paraId="74E65FF9" w14:textId="3DBD0349"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1.90</w:t>
            </w:r>
          </w:p>
        </w:tc>
      </w:tr>
      <w:tr w:rsidR="00D35F70" w:rsidRPr="00500C4E" w14:paraId="61A683B8" w14:textId="44FCD635" w:rsidTr="00C50C36">
        <w:trPr>
          <w:trHeight w:val="32"/>
          <w:jc w:val="center"/>
        </w:trPr>
        <w:tc>
          <w:tcPr>
            <w:tcW w:w="1000" w:type="pct"/>
            <w:vAlign w:val="center"/>
          </w:tcPr>
          <w:p w14:paraId="2E5855F6" w14:textId="77777777" w:rsidR="00D35F70" w:rsidRPr="009E2905" w:rsidRDefault="00D35F70" w:rsidP="00D35F70">
            <w:pPr>
              <w:jc w:val="center"/>
              <w:rPr>
                <w:rFonts w:cs="Arial"/>
                <w:szCs w:val="20"/>
              </w:rPr>
            </w:pPr>
            <w:r w:rsidRPr="009E2905">
              <w:rPr>
                <w:rFonts w:cs="Arial"/>
                <w:szCs w:val="20"/>
              </w:rPr>
              <w:t>5</w:t>
            </w:r>
          </w:p>
        </w:tc>
        <w:tc>
          <w:tcPr>
            <w:tcW w:w="1000" w:type="pct"/>
            <w:vAlign w:val="bottom"/>
          </w:tcPr>
          <w:p w14:paraId="0DE6931D" w14:textId="7F28BFF7" w:rsidR="00D35F70" w:rsidRPr="00D35F70" w:rsidRDefault="00D35F70" w:rsidP="00D35F70">
            <w:pPr>
              <w:jc w:val="center"/>
              <w:rPr>
                <w:rFonts w:cs="Calibri"/>
                <w:szCs w:val="22"/>
              </w:rPr>
            </w:pPr>
            <w:r w:rsidRPr="00D35F70">
              <w:rPr>
                <w:rFonts w:ascii="Calibri" w:hAnsi="Calibri" w:cs="Calibri"/>
                <w:color w:val="000000"/>
                <w:szCs w:val="22"/>
              </w:rPr>
              <w:t>11.29</w:t>
            </w:r>
          </w:p>
        </w:tc>
        <w:tc>
          <w:tcPr>
            <w:tcW w:w="1000" w:type="pct"/>
            <w:vAlign w:val="bottom"/>
          </w:tcPr>
          <w:p w14:paraId="3B463B2C" w14:textId="63233F7D" w:rsidR="00D35F70" w:rsidRPr="00D35F70" w:rsidRDefault="00D35F70" w:rsidP="00D35F70">
            <w:pPr>
              <w:jc w:val="center"/>
              <w:rPr>
                <w:rFonts w:cs="Calibri"/>
                <w:szCs w:val="22"/>
              </w:rPr>
            </w:pPr>
            <w:r w:rsidRPr="00D35F70">
              <w:rPr>
                <w:rFonts w:ascii="Calibri" w:hAnsi="Calibri" w:cs="Calibri"/>
                <w:color w:val="000000"/>
                <w:szCs w:val="22"/>
              </w:rPr>
              <w:t>6.47</w:t>
            </w:r>
          </w:p>
        </w:tc>
        <w:tc>
          <w:tcPr>
            <w:tcW w:w="1000" w:type="pct"/>
            <w:vAlign w:val="bottom"/>
          </w:tcPr>
          <w:p w14:paraId="61C9853A" w14:textId="60AF50BD"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3.63</w:t>
            </w:r>
          </w:p>
        </w:tc>
        <w:tc>
          <w:tcPr>
            <w:tcW w:w="1000" w:type="pct"/>
            <w:vAlign w:val="bottom"/>
          </w:tcPr>
          <w:p w14:paraId="32B287BF" w14:textId="1733DB4B"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2.08</w:t>
            </w:r>
          </w:p>
        </w:tc>
      </w:tr>
      <w:tr w:rsidR="00D35F70" w:rsidRPr="00500C4E" w14:paraId="173AAFE1" w14:textId="060E71B9" w:rsidTr="00C50C36">
        <w:trPr>
          <w:trHeight w:val="32"/>
          <w:jc w:val="center"/>
        </w:trPr>
        <w:tc>
          <w:tcPr>
            <w:tcW w:w="1000" w:type="pct"/>
            <w:vAlign w:val="center"/>
          </w:tcPr>
          <w:p w14:paraId="4C180EEC" w14:textId="77777777" w:rsidR="00D35F70" w:rsidRPr="009E2905" w:rsidRDefault="00D35F70" w:rsidP="00D35F70">
            <w:pPr>
              <w:jc w:val="center"/>
              <w:rPr>
                <w:rFonts w:cs="Arial"/>
                <w:szCs w:val="20"/>
              </w:rPr>
            </w:pPr>
            <w:r w:rsidRPr="009E2905">
              <w:rPr>
                <w:rFonts w:cs="Arial"/>
                <w:szCs w:val="20"/>
              </w:rPr>
              <w:t>6</w:t>
            </w:r>
          </w:p>
        </w:tc>
        <w:tc>
          <w:tcPr>
            <w:tcW w:w="1000" w:type="pct"/>
            <w:vAlign w:val="bottom"/>
          </w:tcPr>
          <w:p w14:paraId="52014ED9" w14:textId="53A109A9" w:rsidR="00D35F70" w:rsidRPr="00D35F70" w:rsidRDefault="00D35F70" w:rsidP="00D35F70">
            <w:pPr>
              <w:jc w:val="center"/>
              <w:rPr>
                <w:rFonts w:cs="Calibri"/>
                <w:szCs w:val="22"/>
              </w:rPr>
            </w:pPr>
            <w:r w:rsidRPr="00D35F70">
              <w:rPr>
                <w:rFonts w:ascii="Calibri" w:hAnsi="Calibri" w:cs="Calibri"/>
                <w:color w:val="000000"/>
                <w:szCs w:val="22"/>
              </w:rPr>
              <w:t>9.70</w:t>
            </w:r>
          </w:p>
        </w:tc>
        <w:tc>
          <w:tcPr>
            <w:tcW w:w="1000" w:type="pct"/>
            <w:vAlign w:val="bottom"/>
          </w:tcPr>
          <w:p w14:paraId="23C19E29" w14:textId="08520213" w:rsidR="00D35F70" w:rsidRPr="00D35F70" w:rsidRDefault="00D35F70" w:rsidP="00D35F70">
            <w:pPr>
              <w:jc w:val="center"/>
              <w:rPr>
                <w:rFonts w:cs="Calibri"/>
                <w:szCs w:val="22"/>
              </w:rPr>
            </w:pPr>
            <w:r w:rsidRPr="00D35F70">
              <w:rPr>
                <w:rFonts w:ascii="Calibri" w:hAnsi="Calibri" w:cs="Calibri"/>
                <w:color w:val="000000"/>
                <w:szCs w:val="22"/>
              </w:rPr>
              <w:t>5.56</w:t>
            </w:r>
          </w:p>
        </w:tc>
        <w:tc>
          <w:tcPr>
            <w:tcW w:w="1000" w:type="pct"/>
            <w:vAlign w:val="bottom"/>
          </w:tcPr>
          <w:p w14:paraId="72E2B206" w14:textId="40B93E73"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3.12</w:t>
            </w:r>
          </w:p>
        </w:tc>
        <w:tc>
          <w:tcPr>
            <w:tcW w:w="1000" w:type="pct"/>
            <w:vAlign w:val="bottom"/>
          </w:tcPr>
          <w:p w14:paraId="732D76AF" w14:textId="3B709993"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1.79</w:t>
            </w:r>
          </w:p>
        </w:tc>
      </w:tr>
      <w:tr w:rsidR="00D35F70" w:rsidRPr="00500C4E" w14:paraId="4E2915FB" w14:textId="322F056C" w:rsidTr="00C50C36">
        <w:trPr>
          <w:trHeight w:val="32"/>
          <w:jc w:val="center"/>
        </w:trPr>
        <w:tc>
          <w:tcPr>
            <w:tcW w:w="1000" w:type="pct"/>
            <w:vAlign w:val="center"/>
          </w:tcPr>
          <w:p w14:paraId="417A046F" w14:textId="77777777" w:rsidR="00D35F70" w:rsidRPr="009E2905" w:rsidRDefault="00D35F70" w:rsidP="00D35F70">
            <w:pPr>
              <w:jc w:val="center"/>
              <w:rPr>
                <w:rFonts w:cs="Arial"/>
                <w:szCs w:val="20"/>
              </w:rPr>
            </w:pPr>
            <w:r w:rsidRPr="009E2905">
              <w:rPr>
                <w:rFonts w:cs="Arial"/>
                <w:szCs w:val="20"/>
              </w:rPr>
              <w:lastRenderedPageBreak/>
              <w:t>7</w:t>
            </w:r>
          </w:p>
        </w:tc>
        <w:tc>
          <w:tcPr>
            <w:tcW w:w="1000" w:type="pct"/>
            <w:vAlign w:val="bottom"/>
          </w:tcPr>
          <w:p w14:paraId="0108EAEC" w14:textId="66C598D2" w:rsidR="00D35F70" w:rsidRPr="00D35F70" w:rsidRDefault="00D35F70" w:rsidP="00D35F70">
            <w:pPr>
              <w:jc w:val="center"/>
              <w:rPr>
                <w:rFonts w:cs="Calibri"/>
                <w:szCs w:val="22"/>
              </w:rPr>
            </w:pPr>
            <w:r w:rsidRPr="00D35F70">
              <w:rPr>
                <w:rFonts w:ascii="Calibri" w:hAnsi="Calibri" w:cs="Calibri"/>
                <w:color w:val="000000"/>
                <w:szCs w:val="22"/>
              </w:rPr>
              <w:t>9.49</w:t>
            </w:r>
          </w:p>
        </w:tc>
        <w:tc>
          <w:tcPr>
            <w:tcW w:w="1000" w:type="pct"/>
            <w:vAlign w:val="bottom"/>
          </w:tcPr>
          <w:p w14:paraId="1EAC9A79" w14:textId="4F24D765" w:rsidR="00D35F70" w:rsidRPr="00D35F70" w:rsidRDefault="00D35F70" w:rsidP="00D35F70">
            <w:pPr>
              <w:jc w:val="center"/>
              <w:rPr>
                <w:rFonts w:cs="Calibri"/>
                <w:szCs w:val="22"/>
              </w:rPr>
            </w:pPr>
            <w:r w:rsidRPr="00D35F70">
              <w:rPr>
                <w:rFonts w:ascii="Calibri" w:hAnsi="Calibri" w:cs="Calibri"/>
                <w:color w:val="000000"/>
                <w:szCs w:val="22"/>
              </w:rPr>
              <w:t>5.43</w:t>
            </w:r>
          </w:p>
        </w:tc>
        <w:tc>
          <w:tcPr>
            <w:tcW w:w="1000" w:type="pct"/>
            <w:vAlign w:val="bottom"/>
          </w:tcPr>
          <w:p w14:paraId="5B4158FA" w14:textId="1D9D9FD1"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3.05</w:t>
            </w:r>
          </w:p>
        </w:tc>
        <w:tc>
          <w:tcPr>
            <w:tcW w:w="1000" w:type="pct"/>
            <w:vAlign w:val="bottom"/>
          </w:tcPr>
          <w:p w14:paraId="50EFBECC" w14:textId="69C06142"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1.75</w:t>
            </w:r>
          </w:p>
        </w:tc>
      </w:tr>
      <w:tr w:rsidR="00D35F70" w:rsidRPr="00500C4E" w14:paraId="4D3E2F5F" w14:textId="18778BA7" w:rsidTr="00C50C36">
        <w:trPr>
          <w:trHeight w:val="32"/>
          <w:jc w:val="center"/>
        </w:trPr>
        <w:tc>
          <w:tcPr>
            <w:tcW w:w="1000" w:type="pct"/>
            <w:vAlign w:val="center"/>
          </w:tcPr>
          <w:p w14:paraId="193D2B82" w14:textId="77777777" w:rsidR="00D35F70" w:rsidRPr="009E2905" w:rsidRDefault="00D35F70" w:rsidP="00D35F70">
            <w:pPr>
              <w:jc w:val="center"/>
              <w:rPr>
                <w:rFonts w:cs="Arial"/>
                <w:szCs w:val="20"/>
              </w:rPr>
            </w:pPr>
            <w:r w:rsidRPr="009E2905">
              <w:rPr>
                <w:rFonts w:cs="Arial"/>
                <w:szCs w:val="20"/>
              </w:rPr>
              <w:t>8</w:t>
            </w:r>
          </w:p>
        </w:tc>
        <w:tc>
          <w:tcPr>
            <w:tcW w:w="1000" w:type="pct"/>
            <w:vAlign w:val="bottom"/>
          </w:tcPr>
          <w:p w14:paraId="5ABAD9B1" w14:textId="0B4BE7CA" w:rsidR="00D35F70" w:rsidRPr="00D35F70" w:rsidRDefault="00D35F70" w:rsidP="00D35F70">
            <w:pPr>
              <w:jc w:val="center"/>
              <w:rPr>
                <w:rFonts w:cs="Calibri"/>
                <w:szCs w:val="22"/>
              </w:rPr>
            </w:pPr>
            <w:r w:rsidRPr="00D35F70">
              <w:rPr>
                <w:rFonts w:ascii="Calibri" w:hAnsi="Calibri" w:cs="Calibri"/>
                <w:color w:val="000000"/>
                <w:szCs w:val="22"/>
              </w:rPr>
              <w:t>9.17</w:t>
            </w:r>
          </w:p>
        </w:tc>
        <w:tc>
          <w:tcPr>
            <w:tcW w:w="1000" w:type="pct"/>
            <w:vAlign w:val="bottom"/>
          </w:tcPr>
          <w:p w14:paraId="0BAFEAFB" w14:textId="5B784CC9" w:rsidR="00D35F70" w:rsidRPr="00D35F70" w:rsidRDefault="00D35F70" w:rsidP="00D35F70">
            <w:pPr>
              <w:jc w:val="center"/>
              <w:rPr>
                <w:rFonts w:cs="Calibri"/>
                <w:szCs w:val="22"/>
              </w:rPr>
            </w:pPr>
            <w:r w:rsidRPr="00D35F70">
              <w:rPr>
                <w:rFonts w:ascii="Calibri" w:hAnsi="Calibri" w:cs="Calibri"/>
                <w:color w:val="000000"/>
                <w:szCs w:val="22"/>
              </w:rPr>
              <w:t>5.25</w:t>
            </w:r>
          </w:p>
        </w:tc>
        <w:tc>
          <w:tcPr>
            <w:tcW w:w="1000" w:type="pct"/>
            <w:vAlign w:val="bottom"/>
          </w:tcPr>
          <w:p w14:paraId="00654F24" w14:textId="4308C6D4"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2.95</w:t>
            </w:r>
          </w:p>
        </w:tc>
        <w:tc>
          <w:tcPr>
            <w:tcW w:w="1000" w:type="pct"/>
            <w:vAlign w:val="bottom"/>
          </w:tcPr>
          <w:p w14:paraId="3D353C97" w14:textId="14601E69"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1.69</w:t>
            </w:r>
          </w:p>
        </w:tc>
      </w:tr>
      <w:tr w:rsidR="00D35F70" w:rsidRPr="00500C4E" w14:paraId="70A045B0" w14:textId="3E624C2A" w:rsidTr="00C50C36">
        <w:trPr>
          <w:trHeight w:val="112"/>
          <w:jc w:val="center"/>
        </w:trPr>
        <w:tc>
          <w:tcPr>
            <w:tcW w:w="1000" w:type="pct"/>
            <w:vAlign w:val="center"/>
          </w:tcPr>
          <w:p w14:paraId="65AC21B5" w14:textId="77777777" w:rsidR="00D35F70" w:rsidRPr="009E2905" w:rsidRDefault="00D35F70" w:rsidP="00D35F70">
            <w:pPr>
              <w:jc w:val="center"/>
              <w:rPr>
                <w:rFonts w:cs="Arial"/>
                <w:szCs w:val="20"/>
              </w:rPr>
            </w:pPr>
            <w:r w:rsidRPr="009E2905">
              <w:rPr>
                <w:rFonts w:cs="Arial"/>
                <w:szCs w:val="20"/>
              </w:rPr>
              <w:t>9</w:t>
            </w:r>
          </w:p>
        </w:tc>
        <w:tc>
          <w:tcPr>
            <w:tcW w:w="1000" w:type="pct"/>
            <w:vAlign w:val="bottom"/>
          </w:tcPr>
          <w:p w14:paraId="17960090" w14:textId="1CBD1516" w:rsidR="00D35F70" w:rsidRPr="00D35F70" w:rsidRDefault="00D35F70" w:rsidP="00D35F70">
            <w:pPr>
              <w:jc w:val="center"/>
              <w:rPr>
                <w:rFonts w:cs="Calibri"/>
                <w:szCs w:val="22"/>
              </w:rPr>
            </w:pPr>
            <w:r w:rsidRPr="00D35F70">
              <w:rPr>
                <w:rFonts w:ascii="Calibri" w:hAnsi="Calibri" w:cs="Calibri"/>
                <w:color w:val="000000"/>
                <w:szCs w:val="22"/>
              </w:rPr>
              <w:t>9.15</w:t>
            </w:r>
          </w:p>
        </w:tc>
        <w:tc>
          <w:tcPr>
            <w:tcW w:w="1000" w:type="pct"/>
            <w:vAlign w:val="bottom"/>
          </w:tcPr>
          <w:p w14:paraId="55D5E039" w14:textId="2FAB1349" w:rsidR="00D35F70" w:rsidRPr="00D35F70" w:rsidRDefault="00D35F70" w:rsidP="00D35F70">
            <w:pPr>
              <w:jc w:val="center"/>
              <w:rPr>
                <w:rFonts w:cs="Calibri"/>
                <w:szCs w:val="22"/>
              </w:rPr>
            </w:pPr>
            <w:r w:rsidRPr="00D35F70">
              <w:rPr>
                <w:rFonts w:ascii="Calibri" w:hAnsi="Calibri" w:cs="Calibri"/>
                <w:color w:val="000000"/>
                <w:szCs w:val="22"/>
              </w:rPr>
              <w:t>5.24</w:t>
            </w:r>
          </w:p>
        </w:tc>
        <w:tc>
          <w:tcPr>
            <w:tcW w:w="1000" w:type="pct"/>
            <w:vAlign w:val="bottom"/>
          </w:tcPr>
          <w:p w14:paraId="2A796B67" w14:textId="42C08BCE"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2.94</w:t>
            </w:r>
          </w:p>
        </w:tc>
        <w:tc>
          <w:tcPr>
            <w:tcW w:w="1000" w:type="pct"/>
            <w:vAlign w:val="bottom"/>
          </w:tcPr>
          <w:p w14:paraId="5C10C2E5" w14:textId="467B582B"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1.69</w:t>
            </w:r>
          </w:p>
        </w:tc>
      </w:tr>
      <w:tr w:rsidR="00D35F70" w:rsidRPr="00500C4E" w14:paraId="088F6C9D" w14:textId="0A11AAA7" w:rsidTr="00C50C36">
        <w:trPr>
          <w:trHeight w:val="32"/>
          <w:jc w:val="center"/>
        </w:trPr>
        <w:tc>
          <w:tcPr>
            <w:tcW w:w="1000" w:type="pct"/>
            <w:vAlign w:val="center"/>
          </w:tcPr>
          <w:p w14:paraId="4F9E65AD" w14:textId="77777777" w:rsidR="00D35F70" w:rsidRPr="009E2905" w:rsidRDefault="00D35F70" w:rsidP="00D35F70">
            <w:pPr>
              <w:jc w:val="center"/>
              <w:rPr>
                <w:rFonts w:cs="Arial"/>
                <w:szCs w:val="20"/>
              </w:rPr>
            </w:pPr>
            <w:r w:rsidRPr="009E2905">
              <w:rPr>
                <w:rFonts w:cs="Arial"/>
                <w:szCs w:val="20"/>
              </w:rPr>
              <w:t>10</w:t>
            </w:r>
          </w:p>
        </w:tc>
        <w:tc>
          <w:tcPr>
            <w:tcW w:w="1000" w:type="pct"/>
            <w:vAlign w:val="bottom"/>
          </w:tcPr>
          <w:p w14:paraId="0AAF77B1" w14:textId="263750D1" w:rsidR="00D35F70" w:rsidRPr="00D35F70" w:rsidRDefault="00D35F70" w:rsidP="00D35F70">
            <w:pPr>
              <w:jc w:val="center"/>
              <w:rPr>
                <w:rFonts w:cs="Calibri"/>
                <w:szCs w:val="22"/>
              </w:rPr>
            </w:pPr>
            <w:r w:rsidRPr="00D35F70">
              <w:rPr>
                <w:rFonts w:ascii="Calibri" w:hAnsi="Calibri" w:cs="Calibri"/>
                <w:color w:val="000000"/>
                <w:szCs w:val="22"/>
              </w:rPr>
              <w:t>9.06</w:t>
            </w:r>
          </w:p>
        </w:tc>
        <w:tc>
          <w:tcPr>
            <w:tcW w:w="1000" w:type="pct"/>
            <w:vAlign w:val="bottom"/>
          </w:tcPr>
          <w:p w14:paraId="3E6BC2E9" w14:textId="60703AF9" w:rsidR="00D35F70" w:rsidRPr="00D35F70" w:rsidRDefault="00D35F70" w:rsidP="00D35F70">
            <w:pPr>
              <w:jc w:val="center"/>
              <w:rPr>
                <w:rFonts w:cs="Calibri"/>
                <w:szCs w:val="22"/>
              </w:rPr>
            </w:pPr>
            <w:r w:rsidRPr="00D35F70">
              <w:rPr>
                <w:rFonts w:ascii="Calibri" w:hAnsi="Calibri" w:cs="Calibri"/>
                <w:color w:val="000000"/>
                <w:szCs w:val="22"/>
              </w:rPr>
              <w:t>5.19</w:t>
            </w:r>
          </w:p>
        </w:tc>
        <w:tc>
          <w:tcPr>
            <w:tcW w:w="1000" w:type="pct"/>
            <w:vAlign w:val="bottom"/>
          </w:tcPr>
          <w:p w14:paraId="7548AE88" w14:textId="6FC0410A"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2.92</w:t>
            </w:r>
          </w:p>
        </w:tc>
        <w:tc>
          <w:tcPr>
            <w:tcW w:w="1000" w:type="pct"/>
            <w:vAlign w:val="bottom"/>
          </w:tcPr>
          <w:p w14:paraId="62CC8BE0" w14:textId="04F2420A"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1.67</w:t>
            </w:r>
          </w:p>
        </w:tc>
      </w:tr>
      <w:tr w:rsidR="00D35F70" w:rsidRPr="00500C4E" w14:paraId="40BCD563" w14:textId="5C1F0DF4" w:rsidTr="00C50C36">
        <w:trPr>
          <w:trHeight w:val="32"/>
          <w:jc w:val="center"/>
        </w:trPr>
        <w:tc>
          <w:tcPr>
            <w:tcW w:w="1000" w:type="pct"/>
            <w:vAlign w:val="center"/>
          </w:tcPr>
          <w:p w14:paraId="01467611" w14:textId="77777777" w:rsidR="00D35F70" w:rsidRPr="009E2905" w:rsidRDefault="00D35F70" w:rsidP="00D35F70">
            <w:pPr>
              <w:jc w:val="center"/>
              <w:rPr>
                <w:rFonts w:cs="Arial"/>
                <w:szCs w:val="20"/>
              </w:rPr>
            </w:pPr>
            <w:r w:rsidRPr="009E2905">
              <w:rPr>
                <w:rFonts w:cs="Arial"/>
                <w:szCs w:val="20"/>
              </w:rPr>
              <w:t>11</w:t>
            </w:r>
          </w:p>
        </w:tc>
        <w:tc>
          <w:tcPr>
            <w:tcW w:w="1000" w:type="pct"/>
            <w:vAlign w:val="bottom"/>
          </w:tcPr>
          <w:p w14:paraId="072C120B" w14:textId="0C610A8E" w:rsidR="00D35F70" w:rsidRPr="00D35F70" w:rsidRDefault="00D35F70" w:rsidP="00D35F70">
            <w:pPr>
              <w:jc w:val="center"/>
              <w:rPr>
                <w:rFonts w:cs="Calibri"/>
                <w:szCs w:val="22"/>
              </w:rPr>
            </w:pPr>
            <w:r w:rsidRPr="00D35F70">
              <w:rPr>
                <w:rFonts w:ascii="Calibri" w:hAnsi="Calibri" w:cs="Calibri"/>
                <w:color w:val="000000"/>
                <w:szCs w:val="22"/>
              </w:rPr>
              <w:t>9.32</w:t>
            </w:r>
          </w:p>
        </w:tc>
        <w:tc>
          <w:tcPr>
            <w:tcW w:w="1000" w:type="pct"/>
            <w:vAlign w:val="bottom"/>
          </w:tcPr>
          <w:p w14:paraId="7BC6EBBB" w14:textId="4B59D4CB" w:rsidR="00D35F70" w:rsidRPr="00D35F70" w:rsidRDefault="00D35F70" w:rsidP="00D35F70">
            <w:pPr>
              <w:jc w:val="center"/>
              <w:rPr>
                <w:rFonts w:cs="Calibri"/>
                <w:szCs w:val="22"/>
              </w:rPr>
            </w:pPr>
            <w:r w:rsidRPr="00D35F70">
              <w:rPr>
                <w:rFonts w:ascii="Calibri" w:hAnsi="Calibri" w:cs="Calibri"/>
                <w:color w:val="000000"/>
                <w:szCs w:val="22"/>
              </w:rPr>
              <w:t>5.34</w:t>
            </w:r>
          </w:p>
        </w:tc>
        <w:tc>
          <w:tcPr>
            <w:tcW w:w="1000" w:type="pct"/>
            <w:vAlign w:val="bottom"/>
          </w:tcPr>
          <w:p w14:paraId="78DB2851" w14:textId="3D8C095B"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3.00</w:t>
            </w:r>
          </w:p>
        </w:tc>
        <w:tc>
          <w:tcPr>
            <w:tcW w:w="1000" w:type="pct"/>
            <w:vAlign w:val="bottom"/>
          </w:tcPr>
          <w:p w14:paraId="2E6733F7" w14:textId="5CDC39FF"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1.72</w:t>
            </w:r>
          </w:p>
        </w:tc>
      </w:tr>
      <w:tr w:rsidR="00D35F70" w:rsidRPr="00500C4E" w14:paraId="077B5D21" w14:textId="48415AE7" w:rsidTr="00C50C36">
        <w:trPr>
          <w:trHeight w:val="32"/>
          <w:jc w:val="center"/>
        </w:trPr>
        <w:tc>
          <w:tcPr>
            <w:tcW w:w="1000" w:type="pct"/>
            <w:vAlign w:val="center"/>
          </w:tcPr>
          <w:p w14:paraId="27530E72" w14:textId="77777777" w:rsidR="00D35F70" w:rsidRPr="009E2905" w:rsidRDefault="00D35F70" w:rsidP="00D35F70">
            <w:pPr>
              <w:jc w:val="center"/>
              <w:rPr>
                <w:rFonts w:cs="Arial"/>
                <w:szCs w:val="20"/>
              </w:rPr>
            </w:pPr>
            <w:r w:rsidRPr="009E2905">
              <w:rPr>
                <w:rFonts w:cs="Arial"/>
                <w:szCs w:val="20"/>
              </w:rPr>
              <w:t>12</w:t>
            </w:r>
          </w:p>
        </w:tc>
        <w:tc>
          <w:tcPr>
            <w:tcW w:w="1000" w:type="pct"/>
            <w:vAlign w:val="bottom"/>
          </w:tcPr>
          <w:p w14:paraId="385DF48B" w14:textId="56C02384" w:rsidR="00D35F70" w:rsidRPr="00D35F70" w:rsidRDefault="00D35F70" w:rsidP="00D35F70">
            <w:pPr>
              <w:jc w:val="center"/>
              <w:rPr>
                <w:rFonts w:cs="Calibri"/>
                <w:szCs w:val="22"/>
              </w:rPr>
            </w:pPr>
            <w:r w:rsidRPr="00D35F70">
              <w:rPr>
                <w:rFonts w:ascii="Calibri" w:hAnsi="Calibri" w:cs="Calibri"/>
                <w:color w:val="000000"/>
                <w:szCs w:val="22"/>
              </w:rPr>
              <w:t>9.94</w:t>
            </w:r>
          </w:p>
        </w:tc>
        <w:tc>
          <w:tcPr>
            <w:tcW w:w="1000" w:type="pct"/>
            <w:vAlign w:val="bottom"/>
          </w:tcPr>
          <w:p w14:paraId="088580CD" w14:textId="0D588ED7" w:rsidR="00D35F70" w:rsidRPr="00D35F70" w:rsidRDefault="00D35F70" w:rsidP="00D35F70">
            <w:pPr>
              <w:jc w:val="center"/>
              <w:rPr>
                <w:rFonts w:cs="Calibri"/>
                <w:szCs w:val="22"/>
              </w:rPr>
            </w:pPr>
            <w:r w:rsidRPr="00D35F70">
              <w:rPr>
                <w:rFonts w:ascii="Calibri" w:hAnsi="Calibri" w:cs="Calibri"/>
                <w:color w:val="000000"/>
                <w:szCs w:val="22"/>
              </w:rPr>
              <w:t>5.69</w:t>
            </w:r>
          </w:p>
        </w:tc>
        <w:tc>
          <w:tcPr>
            <w:tcW w:w="1000" w:type="pct"/>
            <w:vAlign w:val="bottom"/>
          </w:tcPr>
          <w:p w14:paraId="34475FC0" w14:textId="404FB11D"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3.20</w:t>
            </w:r>
          </w:p>
        </w:tc>
        <w:tc>
          <w:tcPr>
            <w:tcW w:w="1000" w:type="pct"/>
            <w:vAlign w:val="bottom"/>
          </w:tcPr>
          <w:p w14:paraId="0E493766" w14:textId="07A9C69A"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1.83</w:t>
            </w:r>
          </w:p>
        </w:tc>
      </w:tr>
      <w:tr w:rsidR="00D35F70" w:rsidRPr="00500C4E" w14:paraId="13B8247B" w14:textId="29DEF19D" w:rsidTr="00C50C36">
        <w:trPr>
          <w:trHeight w:val="32"/>
          <w:jc w:val="center"/>
        </w:trPr>
        <w:tc>
          <w:tcPr>
            <w:tcW w:w="1000" w:type="pct"/>
            <w:vAlign w:val="center"/>
          </w:tcPr>
          <w:p w14:paraId="22B06C4B" w14:textId="77777777" w:rsidR="00D35F70" w:rsidRPr="009E2905" w:rsidRDefault="00D35F70" w:rsidP="00D35F70">
            <w:pPr>
              <w:jc w:val="center"/>
              <w:rPr>
                <w:rFonts w:cs="Arial"/>
                <w:szCs w:val="20"/>
              </w:rPr>
            </w:pPr>
            <w:r w:rsidRPr="009E2905">
              <w:rPr>
                <w:rFonts w:cs="Arial"/>
                <w:szCs w:val="20"/>
              </w:rPr>
              <w:t>13</w:t>
            </w:r>
          </w:p>
        </w:tc>
        <w:tc>
          <w:tcPr>
            <w:tcW w:w="1000" w:type="pct"/>
            <w:vAlign w:val="bottom"/>
          </w:tcPr>
          <w:p w14:paraId="653740A7" w14:textId="61311155" w:rsidR="00D35F70" w:rsidRPr="00D35F70" w:rsidRDefault="00D35F70" w:rsidP="00D35F70">
            <w:pPr>
              <w:jc w:val="center"/>
              <w:rPr>
                <w:rFonts w:cs="Calibri"/>
                <w:szCs w:val="22"/>
              </w:rPr>
            </w:pPr>
            <w:r w:rsidRPr="00D35F70">
              <w:rPr>
                <w:rFonts w:ascii="Calibri" w:hAnsi="Calibri" w:cs="Calibri"/>
                <w:color w:val="000000"/>
                <w:szCs w:val="22"/>
              </w:rPr>
              <w:t>9.07</w:t>
            </w:r>
          </w:p>
        </w:tc>
        <w:tc>
          <w:tcPr>
            <w:tcW w:w="1000" w:type="pct"/>
            <w:vAlign w:val="bottom"/>
          </w:tcPr>
          <w:p w14:paraId="44B7CAA9" w14:textId="73047F2D" w:rsidR="00D35F70" w:rsidRPr="00D35F70" w:rsidRDefault="00D35F70" w:rsidP="00D35F70">
            <w:pPr>
              <w:jc w:val="center"/>
              <w:rPr>
                <w:rFonts w:cs="Calibri"/>
                <w:szCs w:val="22"/>
              </w:rPr>
            </w:pPr>
            <w:r w:rsidRPr="00D35F70">
              <w:rPr>
                <w:rFonts w:ascii="Calibri" w:hAnsi="Calibri" w:cs="Calibri"/>
                <w:color w:val="000000"/>
                <w:szCs w:val="22"/>
              </w:rPr>
              <w:t>5.20</w:t>
            </w:r>
          </w:p>
        </w:tc>
        <w:tc>
          <w:tcPr>
            <w:tcW w:w="1000" w:type="pct"/>
            <w:vAlign w:val="bottom"/>
          </w:tcPr>
          <w:p w14:paraId="42CCC643" w14:textId="4C4A8332"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2.92</w:t>
            </w:r>
          </w:p>
        </w:tc>
        <w:tc>
          <w:tcPr>
            <w:tcW w:w="1000" w:type="pct"/>
            <w:vAlign w:val="bottom"/>
          </w:tcPr>
          <w:p w14:paraId="68E7D84B" w14:textId="1734C90E"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1.67</w:t>
            </w:r>
          </w:p>
        </w:tc>
      </w:tr>
      <w:tr w:rsidR="00D35F70" w:rsidRPr="00500C4E" w14:paraId="241E08E3" w14:textId="2161A14B" w:rsidTr="00C50C36">
        <w:trPr>
          <w:trHeight w:val="32"/>
          <w:jc w:val="center"/>
        </w:trPr>
        <w:tc>
          <w:tcPr>
            <w:tcW w:w="1000" w:type="pct"/>
            <w:vAlign w:val="center"/>
          </w:tcPr>
          <w:p w14:paraId="1A5C460C" w14:textId="77777777" w:rsidR="00D35F70" w:rsidRPr="009E2905" w:rsidRDefault="00D35F70" w:rsidP="00D35F70">
            <w:pPr>
              <w:jc w:val="center"/>
              <w:rPr>
                <w:rFonts w:cs="Arial"/>
                <w:szCs w:val="20"/>
              </w:rPr>
            </w:pPr>
            <w:r w:rsidRPr="009E2905">
              <w:rPr>
                <w:rFonts w:cs="Arial"/>
                <w:szCs w:val="20"/>
              </w:rPr>
              <w:t>14</w:t>
            </w:r>
          </w:p>
        </w:tc>
        <w:tc>
          <w:tcPr>
            <w:tcW w:w="1000" w:type="pct"/>
            <w:vAlign w:val="bottom"/>
          </w:tcPr>
          <w:p w14:paraId="60F7F926" w14:textId="7C96A44A" w:rsidR="00D35F70" w:rsidRPr="00D35F70" w:rsidRDefault="00D35F70" w:rsidP="00D35F70">
            <w:pPr>
              <w:jc w:val="center"/>
              <w:rPr>
                <w:rFonts w:cs="Calibri"/>
                <w:szCs w:val="22"/>
              </w:rPr>
            </w:pPr>
            <w:r w:rsidRPr="00D35F70">
              <w:rPr>
                <w:rFonts w:ascii="Calibri" w:hAnsi="Calibri" w:cs="Calibri"/>
                <w:color w:val="000000"/>
                <w:szCs w:val="22"/>
              </w:rPr>
              <w:t>9.46</w:t>
            </w:r>
          </w:p>
        </w:tc>
        <w:tc>
          <w:tcPr>
            <w:tcW w:w="1000" w:type="pct"/>
            <w:vAlign w:val="bottom"/>
          </w:tcPr>
          <w:p w14:paraId="7A56AAEE" w14:textId="40AFF143" w:rsidR="00D35F70" w:rsidRPr="00D35F70" w:rsidRDefault="00D35F70" w:rsidP="00D35F70">
            <w:pPr>
              <w:jc w:val="center"/>
              <w:rPr>
                <w:rFonts w:cs="Calibri"/>
                <w:szCs w:val="22"/>
              </w:rPr>
            </w:pPr>
            <w:r w:rsidRPr="00D35F70">
              <w:rPr>
                <w:rFonts w:ascii="Calibri" w:hAnsi="Calibri" w:cs="Calibri"/>
                <w:color w:val="000000"/>
                <w:szCs w:val="22"/>
              </w:rPr>
              <w:t>5.42</w:t>
            </w:r>
          </w:p>
        </w:tc>
        <w:tc>
          <w:tcPr>
            <w:tcW w:w="1000" w:type="pct"/>
            <w:vAlign w:val="bottom"/>
          </w:tcPr>
          <w:p w14:paraId="354B8833" w14:textId="6197F0F3"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3.04</w:t>
            </w:r>
          </w:p>
        </w:tc>
        <w:tc>
          <w:tcPr>
            <w:tcW w:w="1000" w:type="pct"/>
            <w:vAlign w:val="bottom"/>
          </w:tcPr>
          <w:p w14:paraId="3975913D" w14:textId="5F11E005"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1.74</w:t>
            </w:r>
          </w:p>
        </w:tc>
      </w:tr>
      <w:tr w:rsidR="00D35F70" w:rsidRPr="00500C4E" w14:paraId="2A0D9D21" w14:textId="6E51A693" w:rsidTr="00C50C36">
        <w:trPr>
          <w:trHeight w:val="32"/>
          <w:jc w:val="center"/>
        </w:trPr>
        <w:tc>
          <w:tcPr>
            <w:tcW w:w="1000" w:type="pct"/>
            <w:vAlign w:val="center"/>
          </w:tcPr>
          <w:p w14:paraId="2F47BD64" w14:textId="77777777" w:rsidR="00D35F70" w:rsidRPr="009E2905" w:rsidRDefault="00D35F70" w:rsidP="00D35F70">
            <w:pPr>
              <w:jc w:val="center"/>
              <w:rPr>
                <w:rFonts w:cs="Arial"/>
                <w:szCs w:val="20"/>
              </w:rPr>
            </w:pPr>
            <w:r w:rsidRPr="009E2905">
              <w:rPr>
                <w:rFonts w:cs="Arial"/>
                <w:szCs w:val="20"/>
              </w:rPr>
              <w:t>15</w:t>
            </w:r>
          </w:p>
        </w:tc>
        <w:tc>
          <w:tcPr>
            <w:tcW w:w="1000" w:type="pct"/>
            <w:vAlign w:val="bottom"/>
          </w:tcPr>
          <w:p w14:paraId="6E395F65" w14:textId="6C4494C6" w:rsidR="00D35F70" w:rsidRPr="00D35F70" w:rsidRDefault="00D35F70" w:rsidP="00D35F70">
            <w:pPr>
              <w:jc w:val="center"/>
              <w:rPr>
                <w:rFonts w:cs="Calibri"/>
                <w:szCs w:val="22"/>
              </w:rPr>
            </w:pPr>
            <w:r w:rsidRPr="00D35F70">
              <w:rPr>
                <w:rFonts w:ascii="Calibri" w:hAnsi="Calibri" w:cs="Calibri"/>
                <w:color w:val="000000"/>
                <w:szCs w:val="22"/>
              </w:rPr>
              <w:t>6.02</w:t>
            </w:r>
          </w:p>
        </w:tc>
        <w:tc>
          <w:tcPr>
            <w:tcW w:w="1000" w:type="pct"/>
            <w:vAlign w:val="bottom"/>
          </w:tcPr>
          <w:p w14:paraId="1FFC8AB8" w14:textId="57B51337" w:rsidR="00D35F70" w:rsidRPr="00D35F70" w:rsidRDefault="00D35F70" w:rsidP="00D35F70">
            <w:pPr>
              <w:jc w:val="center"/>
              <w:rPr>
                <w:rFonts w:cs="Calibri"/>
                <w:szCs w:val="22"/>
              </w:rPr>
            </w:pPr>
            <w:r w:rsidRPr="00D35F70">
              <w:rPr>
                <w:rFonts w:ascii="Calibri" w:hAnsi="Calibri" w:cs="Calibri"/>
                <w:color w:val="000000"/>
                <w:szCs w:val="22"/>
              </w:rPr>
              <w:t>3.45</w:t>
            </w:r>
          </w:p>
        </w:tc>
        <w:tc>
          <w:tcPr>
            <w:tcW w:w="1000" w:type="pct"/>
            <w:vAlign w:val="bottom"/>
          </w:tcPr>
          <w:p w14:paraId="0F63DC6B" w14:textId="1D0387AD"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1.94</w:t>
            </w:r>
          </w:p>
        </w:tc>
        <w:tc>
          <w:tcPr>
            <w:tcW w:w="1000" w:type="pct"/>
            <w:vAlign w:val="bottom"/>
          </w:tcPr>
          <w:p w14:paraId="4D70584D" w14:textId="4BCC1A06"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1.11</w:t>
            </w:r>
          </w:p>
        </w:tc>
      </w:tr>
      <w:tr w:rsidR="00D35F70" w:rsidRPr="00500C4E" w14:paraId="24778D22" w14:textId="69F86866" w:rsidTr="00C50C36">
        <w:trPr>
          <w:trHeight w:val="32"/>
          <w:jc w:val="center"/>
        </w:trPr>
        <w:tc>
          <w:tcPr>
            <w:tcW w:w="1000" w:type="pct"/>
            <w:vAlign w:val="center"/>
          </w:tcPr>
          <w:p w14:paraId="6751C324" w14:textId="77777777" w:rsidR="00D35F70" w:rsidRPr="009E2905" w:rsidRDefault="00D35F70" w:rsidP="00D35F70">
            <w:pPr>
              <w:jc w:val="center"/>
              <w:rPr>
                <w:rFonts w:cs="Arial"/>
                <w:szCs w:val="20"/>
              </w:rPr>
            </w:pPr>
            <w:r w:rsidRPr="009E2905">
              <w:rPr>
                <w:rFonts w:cs="Arial"/>
                <w:szCs w:val="20"/>
              </w:rPr>
              <w:t>16</w:t>
            </w:r>
          </w:p>
        </w:tc>
        <w:tc>
          <w:tcPr>
            <w:tcW w:w="1000" w:type="pct"/>
            <w:vAlign w:val="bottom"/>
          </w:tcPr>
          <w:p w14:paraId="46B83935" w14:textId="5AF7DF8C" w:rsidR="00D35F70" w:rsidRPr="00D35F70" w:rsidRDefault="00D35F70" w:rsidP="00D35F70">
            <w:pPr>
              <w:jc w:val="center"/>
              <w:rPr>
                <w:rFonts w:cs="Calibri"/>
                <w:szCs w:val="22"/>
              </w:rPr>
            </w:pPr>
            <w:r w:rsidRPr="00D35F70">
              <w:rPr>
                <w:rFonts w:ascii="Calibri" w:hAnsi="Calibri" w:cs="Calibri"/>
                <w:color w:val="000000"/>
                <w:szCs w:val="22"/>
              </w:rPr>
              <w:t>12.39</w:t>
            </w:r>
          </w:p>
        </w:tc>
        <w:tc>
          <w:tcPr>
            <w:tcW w:w="1000" w:type="pct"/>
            <w:vAlign w:val="bottom"/>
          </w:tcPr>
          <w:p w14:paraId="7F2926BC" w14:textId="4FAB8AD8" w:rsidR="00D35F70" w:rsidRPr="00D35F70" w:rsidRDefault="00D35F70" w:rsidP="00D35F70">
            <w:pPr>
              <w:jc w:val="center"/>
              <w:rPr>
                <w:rFonts w:cs="Calibri"/>
                <w:szCs w:val="22"/>
              </w:rPr>
            </w:pPr>
            <w:r w:rsidRPr="00D35F70">
              <w:rPr>
                <w:rFonts w:ascii="Calibri" w:hAnsi="Calibri" w:cs="Calibri"/>
                <w:color w:val="000000"/>
                <w:szCs w:val="22"/>
              </w:rPr>
              <w:t>7.09</w:t>
            </w:r>
          </w:p>
        </w:tc>
        <w:tc>
          <w:tcPr>
            <w:tcW w:w="1000" w:type="pct"/>
            <w:vAlign w:val="bottom"/>
          </w:tcPr>
          <w:p w14:paraId="2DF53119" w14:textId="2B78B2D1"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3.99</w:t>
            </w:r>
          </w:p>
        </w:tc>
        <w:tc>
          <w:tcPr>
            <w:tcW w:w="1000" w:type="pct"/>
            <w:vAlign w:val="bottom"/>
          </w:tcPr>
          <w:p w14:paraId="79C9F681" w14:textId="700F3BD5" w:rsidR="00D35F70" w:rsidRPr="00D35F70" w:rsidRDefault="00D35F70" w:rsidP="00D35F70">
            <w:pPr>
              <w:jc w:val="center"/>
              <w:rPr>
                <w:rFonts w:ascii="Calibri" w:hAnsi="Calibri" w:cs="Calibri"/>
                <w:color w:val="000000"/>
                <w:szCs w:val="20"/>
              </w:rPr>
            </w:pPr>
            <w:r w:rsidRPr="00D35F70">
              <w:rPr>
                <w:rFonts w:ascii="Calibri" w:hAnsi="Calibri" w:cs="Calibri"/>
                <w:color w:val="000000"/>
                <w:szCs w:val="20"/>
              </w:rPr>
              <w:t>2.28</w:t>
            </w:r>
          </w:p>
        </w:tc>
      </w:tr>
    </w:tbl>
    <w:p w14:paraId="5026F854" w14:textId="1AFAED79" w:rsidR="003E0A1D" w:rsidRPr="003E0A1D" w:rsidRDefault="00450B48" w:rsidP="003E0A1D">
      <w:pPr>
        <w:pStyle w:val="Heading2"/>
        <w:rPr>
          <w:rFonts w:asciiTheme="minorHAnsi" w:hAnsiTheme="minorHAnsi" w:cstheme="minorHAnsi"/>
        </w:rPr>
      </w:pPr>
      <w:bookmarkStart w:id="55" w:name="_Toc447894061"/>
      <w:bookmarkStart w:id="56" w:name="_Toc478657398"/>
      <w:r w:rsidRPr="006E53F5">
        <w:rPr>
          <w:rFonts w:asciiTheme="minorHAnsi" w:hAnsiTheme="minorHAnsi" w:cstheme="minorHAnsi"/>
        </w:rPr>
        <w:t>2.4 Water Savings Estimation Methodologies</w:t>
      </w:r>
      <w:bookmarkEnd w:id="55"/>
      <w:bookmarkEnd w:id="56"/>
      <m:oMath>
        <m:r>
          <m:rPr>
            <m:sty m:val="b"/>
          </m:rPr>
          <w:rPr>
            <w:rFonts w:ascii="Cambria Math" w:eastAsiaTheme="minorEastAsia" w:hAnsi="Cambria Math"/>
            <w:color w:val="0070C0"/>
          </w:rPr>
          <w:br/>
        </m:r>
      </m:oMath>
    </w:p>
    <w:p w14:paraId="5026F855" w14:textId="15032584" w:rsidR="003E0A1D" w:rsidRDefault="003E0A1D" w:rsidP="003E0A1D">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8</w:t>
      </w:r>
      <w:r w:rsidR="005A50B7">
        <w:rPr>
          <w:noProof/>
        </w:rPr>
        <w:fldChar w:fldCharType="end"/>
      </w:r>
      <w:r>
        <w:t>: Annual Water Consumption (per faucet)</w:t>
      </w:r>
    </w:p>
    <w:p w14:paraId="5026F856" w14:textId="77777777" w:rsidR="00DA7FE7" w:rsidRPr="00DA7FE7" w:rsidRDefault="00DA7FE7" w:rsidP="00DA7FE7"/>
    <w:p w14:paraId="5026F857" w14:textId="77777777" w:rsidR="00450B48" w:rsidRPr="003E0A1D" w:rsidRDefault="00450B48" w:rsidP="00450B48">
      <w:pPr>
        <w:rPr>
          <w:rFonts w:eastAsiaTheme="minorEastAsia"/>
        </w:rPr>
      </w:pPr>
      <m:oMathPara>
        <m:oMath>
          <m:r>
            <w:rPr>
              <w:rFonts w:ascii="Cambria Math" w:eastAsiaTheme="minorEastAsia" w:hAnsi="Cambria Math"/>
            </w:rPr>
            <m:t xml:space="preserve">V= </m:t>
          </m:r>
          <m:acc>
            <m:accPr>
              <m:chr m:val="̇"/>
              <m:ctrlPr>
                <w:rPr>
                  <w:rFonts w:ascii="Cambria Math" w:eastAsiaTheme="minorEastAsia" w:hAnsi="Cambria Math"/>
                  <w:i/>
                </w:rPr>
              </m:ctrlPr>
            </m:accPr>
            <m:e>
              <m:r>
                <w:rPr>
                  <w:rFonts w:ascii="Cambria Math" w:eastAsiaTheme="minorEastAsia" w:hAnsi="Cambria Math"/>
                </w:rPr>
                <m:t>V</m:t>
              </m:r>
            </m:e>
          </m:ac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60 min</m:t>
              </m:r>
            </m:num>
            <m:den>
              <m:r>
                <w:rPr>
                  <w:rFonts w:ascii="Cambria Math" w:eastAsiaTheme="minorEastAsia" w:hAnsi="Cambria Math"/>
                </w:rPr>
                <m:t>hr</m:t>
              </m:r>
            </m:den>
          </m:f>
          <m:r>
            <w:rPr>
              <w:rFonts w:ascii="Cambria Math" w:eastAsiaTheme="minorEastAsia" w:hAnsi="Cambria Math"/>
            </w:rPr>
            <m:t>×τ</m:t>
          </m:r>
        </m:oMath>
      </m:oMathPara>
    </w:p>
    <w:p w14:paraId="5026F858" w14:textId="77777777" w:rsidR="00450B48" w:rsidRPr="003E0A1D" w:rsidRDefault="00450B48" w:rsidP="00450B48">
      <w:pPr>
        <w:rPr>
          <w:rFonts w:eastAsiaTheme="minorEastAsia"/>
          <w:szCs w:val="22"/>
        </w:rPr>
      </w:pPr>
      <w:r w:rsidRPr="003E0A1D">
        <w:rPr>
          <w:rFonts w:eastAsiaTheme="minorEastAsia"/>
          <w:szCs w:val="22"/>
        </w:rPr>
        <w:t>Where,</w:t>
      </w:r>
    </w:p>
    <w:p w14:paraId="5026F859" w14:textId="61D01F9A" w:rsidR="00450B48" w:rsidRPr="003E0A1D" w:rsidRDefault="00450B48" w:rsidP="00450B48">
      <w:pPr>
        <w:jc w:val="center"/>
        <w:rPr>
          <w:szCs w:val="22"/>
        </w:rPr>
      </w:pPr>
      <m:oMath>
        <m:r>
          <w:rPr>
            <w:rFonts w:ascii="Cambria Math" w:eastAsiaTheme="minorEastAsia" w:hAnsi="Cambria Math"/>
          </w:rPr>
          <m:t>V</m:t>
        </m:r>
      </m:oMath>
      <w:r w:rsidRPr="003E0A1D">
        <w:rPr>
          <w:szCs w:val="22"/>
        </w:rPr>
        <w:t xml:space="preserve"> = annual water consumption,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gallons</m:t>
                </m:r>
              </m:num>
              <m:den>
                <m:r>
                  <w:rPr>
                    <w:rFonts w:ascii="Cambria Math" w:eastAsiaTheme="minorEastAsia" w:hAnsi="Cambria Math"/>
                    <w:szCs w:val="22"/>
                  </w:rPr>
                  <m:t>year</m:t>
                </m:r>
              </m:den>
            </m:f>
          </m:e>
        </m:d>
      </m:oMath>
      <w:r w:rsidRPr="003E0A1D">
        <w:rPr>
          <w:szCs w:val="22"/>
        </w:rPr>
        <w:br/>
      </w:r>
      <m:oMath>
        <m:acc>
          <m:accPr>
            <m:chr m:val="̇"/>
            <m:ctrlPr>
              <w:rPr>
                <w:rFonts w:ascii="Cambria Math" w:eastAsiaTheme="minorEastAsia" w:hAnsi="Cambria Math"/>
                <w:i/>
                <w:szCs w:val="22"/>
              </w:rPr>
            </m:ctrlPr>
          </m:accPr>
          <m:e>
            <m:r>
              <w:rPr>
                <w:rFonts w:ascii="Cambria Math" w:eastAsiaTheme="minorEastAsia" w:hAnsi="Cambria Math"/>
                <w:szCs w:val="22"/>
              </w:rPr>
              <m:t>V</m:t>
            </m:r>
          </m:e>
        </m:acc>
      </m:oMath>
      <w:r w:rsidRPr="003E0A1D">
        <w:rPr>
          <w:szCs w:val="22"/>
        </w:rPr>
        <w:t xml:space="preserve"> = volume flow rate, </w:t>
      </w:r>
      <m:oMath>
        <m:d>
          <m:dPr>
            <m:begChr m:val="["/>
            <m:endChr m:val="]"/>
            <m:ctrlPr>
              <w:rPr>
                <w:rFonts w:ascii="Cambria Math" w:eastAsiaTheme="minorEastAsia" w:hAnsi="Cambria Math"/>
                <w:i/>
                <w:szCs w:val="22"/>
              </w:rPr>
            </m:ctrlPr>
          </m:dPr>
          <m:e>
            <m:f>
              <m:fPr>
                <m:ctrlPr>
                  <w:rPr>
                    <w:rFonts w:ascii="Cambria Math" w:eastAsiaTheme="minorEastAsia" w:hAnsi="Cambria Math"/>
                    <w:i/>
                    <w:szCs w:val="22"/>
                  </w:rPr>
                </m:ctrlPr>
              </m:fPr>
              <m:num>
                <m:r>
                  <w:rPr>
                    <w:rFonts w:ascii="Cambria Math" w:eastAsiaTheme="minorEastAsia" w:hAnsi="Cambria Math"/>
                    <w:szCs w:val="22"/>
                  </w:rPr>
                  <m:t>gal</m:t>
                </m:r>
              </m:num>
              <m:den>
                <m:r>
                  <w:rPr>
                    <w:rFonts w:ascii="Cambria Math" w:eastAsiaTheme="minorEastAsia" w:hAnsi="Cambria Math"/>
                    <w:szCs w:val="22"/>
                  </w:rPr>
                  <m:t>min</m:t>
                </m:r>
              </m:den>
            </m:f>
          </m:e>
        </m:d>
      </m:oMath>
      <w:r w:rsidRPr="003E0A1D">
        <w:rPr>
          <w:szCs w:val="22"/>
        </w:rPr>
        <w:br/>
      </w:r>
      <m:oMath>
        <m:r>
          <w:rPr>
            <w:rFonts w:ascii="Cambria Math" w:hAnsi="Cambria Math"/>
            <w:szCs w:val="22"/>
          </w:rPr>
          <m:t>τ</m:t>
        </m:r>
      </m:oMath>
      <w:r w:rsidRPr="003E0A1D">
        <w:rPr>
          <w:szCs w:val="22"/>
        </w:rPr>
        <w:t xml:space="preserve"> = annua</w:t>
      </w:r>
      <w:r w:rsidR="006034D5">
        <w:rPr>
          <w:szCs w:val="22"/>
        </w:rPr>
        <w:t xml:space="preserve">l operating </w:t>
      </w:r>
      <w:r w:rsidRPr="003E0A1D">
        <w:rPr>
          <w:szCs w:val="22"/>
        </w:rPr>
        <w:t xml:space="preserve">time, </w:t>
      </w:r>
      <m:oMath>
        <m:d>
          <m:dPr>
            <m:begChr m:val="["/>
            <m:endChr m:val="]"/>
            <m:ctrlPr>
              <w:rPr>
                <w:rFonts w:ascii="Cambria Math" w:hAnsi="Cambria Math"/>
                <w:i/>
                <w:szCs w:val="22"/>
              </w:rPr>
            </m:ctrlPr>
          </m:dPr>
          <m:e>
            <m:f>
              <m:fPr>
                <m:ctrlPr>
                  <w:rPr>
                    <w:rFonts w:ascii="Cambria Math" w:hAnsi="Cambria Math"/>
                    <w:i/>
                    <w:szCs w:val="22"/>
                  </w:rPr>
                </m:ctrlPr>
              </m:fPr>
              <m:num>
                <m:r>
                  <w:rPr>
                    <w:rFonts w:ascii="Cambria Math" w:hAnsi="Cambria Math"/>
                    <w:szCs w:val="22"/>
                  </w:rPr>
                  <m:t>hr</m:t>
                </m:r>
              </m:num>
              <m:den>
                <m:r>
                  <w:rPr>
                    <w:rFonts w:ascii="Cambria Math" w:hAnsi="Cambria Math"/>
                    <w:szCs w:val="22"/>
                  </w:rPr>
                  <m:t>yr</m:t>
                </m:r>
              </m:den>
            </m:f>
          </m:e>
        </m:d>
      </m:oMath>
    </w:p>
    <w:p w14:paraId="5026F85A" w14:textId="77777777" w:rsidR="00450B48" w:rsidRPr="00450B48" w:rsidRDefault="00450B48" w:rsidP="00450B48">
      <w:pPr>
        <w:rPr>
          <w:rFonts w:eastAsiaTheme="minorEastAsia"/>
          <w:b/>
          <w:color w:val="0070C0"/>
          <w:u w:val="single"/>
        </w:rPr>
      </w:pPr>
    </w:p>
    <w:p w14:paraId="5026F85C" w14:textId="4CF02D79" w:rsidR="00DA7FE7" w:rsidRDefault="00DA7FE7" w:rsidP="00DA7FE7">
      <w:pPr>
        <w:pStyle w:val="Caption"/>
        <w:keepNext/>
      </w:pPr>
      <w:r>
        <w:t xml:space="preserve">Equation </w:t>
      </w:r>
      <w:r w:rsidR="005A50B7">
        <w:fldChar w:fldCharType="begin"/>
      </w:r>
      <w:r w:rsidR="005A50B7">
        <w:instrText xml:space="preserve"> SEQ Equation \* ARABIC </w:instrText>
      </w:r>
      <w:r w:rsidR="005A50B7">
        <w:fldChar w:fldCharType="separate"/>
      </w:r>
      <w:r w:rsidR="009D7AB5">
        <w:rPr>
          <w:noProof/>
        </w:rPr>
        <w:t>9</w:t>
      </w:r>
      <w:r w:rsidR="005A50B7">
        <w:rPr>
          <w:noProof/>
        </w:rPr>
        <w:fldChar w:fldCharType="end"/>
      </w:r>
      <w:r>
        <w:t>: Annual Net Water Savings</w:t>
      </w:r>
    </w:p>
    <w:p w14:paraId="5026F85D" w14:textId="77777777" w:rsidR="00DA7FE7" w:rsidRPr="00DA7FE7" w:rsidRDefault="00DA7FE7" w:rsidP="00DA7FE7"/>
    <w:p w14:paraId="5026F85E" w14:textId="369708B1" w:rsidR="00450B48" w:rsidRPr="00DA7FE7" w:rsidRDefault="005A50B7" w:rsidP="00450B48">
      <w:pPr>
        <w:jc w:val="center"/>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net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existing faucet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faucet with aerator</m:t>
              </m:r>
            </m:sub>
          </m:sSub>
        </m:oMath>
      </m:oMathPara>
    </w:p>
    <w:p w14:paraId="5026F85F" w14:textId="77777777" w:rsidR="00450B48" w:rsidRPr="00450B48" w:rsidRDefault="00450B48" w:rsidP="00450B48">
      <w:pPr>
        <w:rPr>
          <w:color w:val="0070C0"/>
        </w:rPr>
      </w:pPr>
    </w:p>
    <w:p w14:paraId="5026F860" w14:textId="59BAB1A2" w:rsidR="00E0563D" w:rsidRDefault="00E0563D" w:rsidP="00FF297D">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15</w:t>
      </w:r>
      <w:r w:rsidR="005A50B7">
        <w:rPr>
          <w:noProof/>
        </w:rPr>
        <w:fldChar w:fldCharType="end"/>
      </w:r>
      <w:r>
        <w:t>: Commercial Aerator Annual Water Savings (per faucet)</w:t>
      </w:r>
    </w:p>
    <w:tbl>
      <w:tblPr>
        <w:tblStyle w:val="TableGrid"/>
        <w:tblW w:w="0" w:type="auto"/>
        <w:jc w:val="center"/>
        <w:tblLook w:val="04A0" w:firstRow="1" w:lastRow="0" w:firstColumn="1" w:lastColumn="0" w:noHBand="0" w:noVBand="1"/>
      </w:tblPr>
      <w:tblGrid>
        <w:gridCol w:w="1088"/>
        <w:gridCol w:w="1247"/>
        <w:gridCol w:w="1659"/>
        <w:gridCol w:w="1671"/>
      </w:tblGrid>
      <w:tr w:rsidR="00F30A57" w:rsidRPr="00450B48" w14:paraId="5026F867" w14:textId="77777777" w:rsidTr="00F30A57">
        <w:trPr>
          <w:trHeight w:val="315"/>
          <w:jc w:val="center"/>
        </w:trPr>
        <w:tc>
          <w:tcPr>
            <w:tcW w:w="1088" w:type="dxa"/>
            <w:vMerge w:val="restart"/>
            <w:shd w:val="clear" w:color="auto" w:fill="D9D9D9" w:themeFill="background1" w:themeFillShade="D9"/>
            <w:vAlign w:val="center"/>
            <w:hideMark/>
          </w:tcPr>
          <w:p w14:paraId="5026F861" w14:textId="77777777" w:rsidR="00F30A57" w:rsidRPr="00AD5BA1" w:rsidRDefault="00F30A57" w:rsidP="001E6436">
            <w:pPr>
              <w:jc w:val="center"/>
              <w:rPr>
                <w:b/>
                <w:bCs/>
                <w:color w:val="0070C0"/>
                <w:sz w:val="20"/>
              </w:rPr>
            </w:pPr>
            <w:r w:rsidRPr="00AD5BA1">
              <w:rPr>
                <w:b/>
                <w:bCs/>
                <w:sz w:val="20"/>
              </w:rPr>
              <w:t>Savings</w:t>
            </w:r>
          </w:p>
        </w:tc>
        <w:tc>
          <w:tcPr>
            <w:tcW w:w="1247" w:type="dxa"/>
            <w:shd w:val="clear" w:color="auto" w:fill="D9D9D9" w:themeFill="background1" w:themeFillShade="D9"/>
            <w:vAlign w:val="center"/>
            <w:hideMark/>
          </w:tcPr>
          <w:p w14:paraId="5026F862" w14:textId="2F958381" w:rsidR="00F30A57" w:rsidRPr="00AD5BA1" w:rsidRDefault="00F30A57" w:rsidP="001E6436">
            <w:pPr>
              <w:jc w:val="center"/>
              <w:rPr>
                <w:b/>
                <w:bCs/>
                <w:sz w:val="20"/>
              </w:rPr>
            </w:pPr>
            <w:r>
              <w:rPr>
                <w:b/>
                <w:bCs/>
                <w:sz w:val="20"/>
              </w:rPr>
              <w:t>Faucet Type</w:t>
            </w:r>
          </w:p>
        </w:tc>
        <w:tc>
          <w:tcPr>
            <w:tcW w:w="1659" w:type="dxa"/>
            <w:shd w:val="clear" w:color="auto" w:fill="D9D9D9" w:themeFill="background1" w:themeFillShade="D9"/>
            <w:noWrap/>
            <w:vAlign w:val="center"/>
            <w:hideMark/>
          </w:tcPr>
          <w:p w14:paraId="5026F865" w14:textId="5DD4656E" w:rsidR="00F30A57" w:rsidRPr="00AD5BA1" w:rsidRDefault="00F30A57" w:rsidP="001E6436">
            <w:pPr>
              <w:jc w:val="center"/>
              <w:rPr>
                <w:b/>
                <w:bCs/>
                <w:sz w:val="20"/>
              </w:rPr>
            </w:pPr>
            <w:r>
              <w:rPr>
                <w:b/>
                <w:bCs/>
                <w:sz w:val="20"/>
              </w:rPr>
              <w:t>1.0 GPM (gal/yr)</w:t>
            </w:r>
          </w:p>
        </w:tc>
        <w:tc>
          <w:tcPr>
            <w:tcW w:w="1671" w:type="dxa"/>
            <w:shd w:val="clear" w:color="auto" w:fill="D9D9D9" w:themeFill="background1" w:themeFillShade="D9"/>
            <w:noWrap/>
            <w:vAlign w:val="center"/>
            <w:hideMark/>
          </w:tcPr>
          <w:p w14:paraId="5026F866" w14:textId="535FCE77" w:rsidR="00F30A57" w:rsidRPr="00AD5BA1" w:rsidRDefault="00F30A57" w:rsidP="001E6436">
            <w:pPr>
              <w:jc w:val="center"/>
              <w:rPr>
                <w:b/>
                <w:bCs/>
                <w:sz w:val="20"/>
              </w:rPr>
            </w:pPr>
            <w:r w:rsidRPr="00AD5BA1">
              <w:rPr>
                <w:b/>
                <w:bCs/>
                <w:sz w:val="20"/>
              </w:rPr>
              <w:t>0.5 GPM</w:t>
            </w:r>
            <w:r>
              <w:rPr>
                <w:b/>
                <w:bCs/>
                <w:sz w:val="20"/>
              </w:rPr>
              <w:t xml:space="preserve"> (gal/yr)</w:t>
            </w:r>
          </w:p>
        </w:tc>
      </w:tr>
      <w:tr w:rsidR="00F30A57" w:rsidRPr="00450B48" w14:paraId="5026F86E" w14:textId="77777777" w:rsidTr="00F30A57">
        <w:trPr>
          <w:trHeight w:val="315"/>
          <w:jc w:val="center"/>
        </w:trPr>
        <w:tc>
          <w:tcPr>
            <w:tcW w:w="1088" w:type="dxa"/>
            <w:vMerge/>
            <w:shd w:val="clear" w:color="auto" w:fill="D9D9D9" w:themeFill="background1" w:themeFillShade="D9"/>
            <w:hideMark/>
          </w:tcPr>
          <w:p w14:paraId="5026F868" w14:textId="77777777" w:rsidR="00F30A57" w:rsidRPr="00450B48" w:rsidRDefault="00F30A57" w:rsidP="00F30A57">
            <w:pPr>
              <w:rPr>
                <w:b/>
                <w:bCs/>
                <w:color w:val="0070C0"/>
              </w:rPr>
            </w:pPr>
          </w:p>
        </w:tc>
        <w:tc>
          <w:tcPr>
            <w:tcW w:w="1247" w:type="dxa"/>
            <w:vAlign w:val="center"/>
            <w:hideMark/>
          </w:tcPr>
          <w:p w14:paraId="5026F869" w14:textId="3A1D9F96" w:rsidR="00F30A57" w:rsidRPr="00F30A57" w:rsidRDefault="00F30A57" w:rsidP="00F30A57">
            <w:pPr>
              <w:jc w:val="center"/>
              <w:rPr>
                <w:sz w:val="20"/>
                <w:szCs w:val="20"/>
              </w:rPr>
            </w:pPr>
            <w:r>
              <w:rPr>
                <w:sz w:val="20"/>
                <w:szCs w:val="20"/>
              </w:rPr>
              <w:t>Public</w:t>
            </w:r>
            <w:r w:rsidR="00FA43C5">
              <w:rPr>
                <w:sz w:val="20"/>
                <w:szCs w:val="20"/>
              </w:rPr>
              <w:t xml:space="preserve"> Lavatory</w:t>
            </w:r>
          </w:p>
        </w:tc>
        <w:tc>
          <w:tcPr>
            <w:tcW w:w="1659" w:type="dxa"/>
            <w:noWrap/>
            <w:vAlign w:val="bottom"/>
            <w:hideMark/>
          </w:tcPr>
          <w:p w14:paraId="5026F86C" w14:textId="0F643E3B" w:rsidR="00F30A57" w:rsidRPr="00F30A57" w:rsidRDefault="00F30A57" w:rsidP="00F30A57">
            <w:pPr>
              <w:jc w:val="center"/>
              <w:rPr>
                <w:sz w:val="20"/>
                <w:szCs w:val="20"/>
              </w:rPr>
            </w:pPr>
            <w:r w:rsidRPr="00F30A57">
              <w:rPr>
                <w:rFonts w:ascii="Calibri" w:hAnsi="Calibri" w:cs="Calibri"/>
                <w:color w:val="000000"/>
                <w:sz w:val="20"/>
                <w:szCs w:val="22"/>
              </w:rPr>
              <w:t xml:space="preserve">             </w:t>
            </w:r>
            <w:r>
              <w:rPr>
                <w:rFonts w:ascii="Calibri" w:hAnsi="Calibri" w:cs="Calibri"/>
                <w:color w:val="000000"/>
                <w:sz w:val="20"/>
                <w:szCs w:val="22"/>
              </w:rPr>
              <w:t xml:space="preserve">                          1,402</w:t>
            </w:r>
          </w:p>
        </w:tc>
        <w:tc>
          <w:tcPr>
            <w:tcW w:w="1671" w:type="dxa"/>
            <w:noWrap/>
            <w:vAlign w:val="bottom"/>
            <w:hideMark/>
          </w:tcPr>
          <w:p w14:paraId="5026F86D" w14:textId="14F0F272" w:rsidR="00F30A57" w:rsidRPr="00F30A57" w:rsidRDefault="00F30A57" w:rsidP="00F30A57">
            <w:pPr>
              <w:jc w:val="center"/>
              <w:rPr>
                <w:sz w:val="20"/>
                <w:szCs w:val="20"/>
              </w:rPr>
            </w:pPr>
            <w:r w:rsidRPr="00F30A57">
              <w:rPr>
                <w:rFonts w:ascii="Calibri" w:hAnsi="Calibri" w:cs="Calibri"/>
                <w:color w:val="000000"/>
                <w:sz w:val="20"/>
                <w:szCs w:val="22"/>
              </w:rPr>
              <w:t xml:space="preserve">                         2,449 </w:t>
            </w:r>
          </w:p>
        </w:tc>
      </w:tr>
      <w:tr w:rsidR="00F30A57" w:rsidRPr="00450B48" w14:paraId="0000F02C" w14:textId="77777777" w:rsidTr="00F30A57">
        <w:trPr>
          <w:trHeight w:val="315"/>
          <w:jc w:val="center"/>
        </w:trPr>
        <w:tc>
          <w:tcPr>
            <w:tcW w:w="1088" w:type="dxa"/>
            <w:vMerge/>
            <w:shd w:val="clear" w:color="auto" w:fill="D9D9D9" w:themeFill="background1" w:themeFillShade="D9"/>
          </w:tcPr>
          <w:p w14:paraId="43C299BB" w14:textId="77777777" w:rsidR="00F30A57" w:rsidRPr="00450B48" w:rsidRDefault="00F30A57" w:rsidP="00F30A57">
            <w:pPr>
              <w:rPr>
                <w:b/>
                <w:bCs/>
                <w:color w:val="0070C0"/>
              </w:rPr>
            </w:pPr>
          </w:p>
        </w:tc>
        <w:tc>
          <w:tcPr>
            <w:tcW w:w="1247" w:type="dxa"/>
            <w:vAlign w:val="center"/>
          </w:tcPr>
          <w:p w14:paraId="1B9061D1" w14:textId="28E5F084" w:rsidR="00F30A57" w:rsidRPr="00AD5BA1" w:rsidRDefault="00F30A57" w:rsidP="00F30A57">
            <w:pPr>
              <w:jc w:val="center"/>
              <w:rPr>
                <w:sz w:val="20"/>
                <w:szCs w:val="20"/>
              </w:rPr>
            </w:pPr>
            <w:r>
              <w:rPr>
                <w:sz w:val="20"/>
                <w:szCs w:val="20"/>
              </w:rPr>
              <w:t>Private</w:t>
            </w:r>
            <w:r w:rsidR="00FA43C5">
              <w:rPr>
                <w:sz w:val="20"/>
                <w:szCs w:val="20"/>
              </w:rPr>
              <w:t xml:space="preserve"> Lavatory</w:t>
            </w:r>
          </w:p>
        </w:tc>
        <w:tc>
          <w:tcPr>
            <w:tcW w:w="1659" w:type="dxa"/>
            <w:noWrap/>
            <w:vAlign w:val="bottom"/>
          </w:tcPr>
          <w:p w14:paraId="0D056253" w14:textId="7A91B07D" w:rsidR="00F30A57" w:rsidRPr="00F30A57" w:rsidRDefault="00F30A57" w:rsidP="00F30A57">
            <w:pPr>
              <w:jc w:val="center"/>
              <w:rPr>
                <w:sz w:val="20"/>
                <w:szCs w:val="20"/>
              </w:rPr>
            </w:pPr>
            <w:r w:rsidRPr="00F30A57">
              <w:rPr>
                <w:rFonts w:ascii="Calibri" w:hAnsi="Calibri" w:cs="Calibri"/>
                <w:color w:val="000000"/>
                <w:sz w:val="20"/>
                <w:szCs w:val="22"/>
              </w:rPr>
              <w:t xml:space="preserve">                                          451 </w:t>
            </w:r>
          </w:p>
        </w:tc>
        <w:tc>
          <w:tcPr>
            <w:tcW w:w="1671" w:type="dxa"/>
            <w:noWrap/>
            <w:vAlign w:val="bottom"/>
          </w:tcPr>
          <w:p w14:paraId="2299C400" w14:textId="422CAAA3" w:rsidR="00F30A57" w:rsidRPr="00F30A57" w:rsidRDefault="00F30A57" w:rsidP="00F30A57">
            <w:pPr>
              <w:jc w:val="center"/>
              <w:rPr>
                <w:sz w:val="20"/>
                <w:szCs w:val="20"/>
              </w:rPr>
            </w:pPr>
            <w:r w:rsidRPr="00F30A57">
              <w:rPr>
                <w:rFonts w:ascii="Calibri" w:hAnsi="Calibri" w:cs="Calibri"/>
                <w:color w:val="000000"/>
                <w:sz w:val="20"/>
                <w:szCs w:val="22"/>
              </w:rPr>
              <w:t xml:space="preserve">                            788 </w:t>
            </w:r>
          </w:p>
        </w:tc>
      </w:tr>
    </w:tbl>
    <w:p w14:paraId="5026F86F" w14:textId="77777777" w:rsidR="00450B48" w:rsidRPr="00450B48" w:rsidRDefault="00450B48" w:rsidP="00450B48">
      <w:pPr>
        <w:rPr>
          <w:color w:val="0070C0"/>
        </w:rPr>
      </w:pPr>
    </w:p>
    <w:p w14:paraId="19419646" w14:textId="385A6FF1" w:rsidR="0070618E" w:rsidRPr="00B4429C" w:rsidRDefault="00450B48" w:rsidP="00B4429C">
      <w:r w:rsidRPr="00DA4D90">
        <w:rPr>
          <w:rFonts w:eastAsiaTheme="minorEastAsia"/>
        </w:rPr>
        <w:t>See</w:t>
      </w:r>
      <w:r w:rsidRPr="00DA4D90">
        <w:rPr>
          <w:rFonts w:eastAsiaTheme="minorEastAsia"/>
          <w:b/>
          <w:i/>
        </w:rPr>
        <w:t xml:space="preserve"> </w:t>
      </w:r>
      <w:r w:rsidR="00DA4D90" w:rsidRPr="00DA4D90">
        <w:rPr>
          <w:rFonts w:eastAsiaTheme="minorEastAsia"/>
          <w:b/>
          <w:i/>
        </w:rPr>
        <w:t>Attachment A</w:t>
      </w:r>
      <w:r w:rsidRPr="00DA4D90">
        <w:rPr>
          <w:rFonts w:eastAsiaTheme="minorEastAsia"/>
          <w:b/>
          <w:i/>
        </w:rPr>
        <w:t xml:space="preserve"> </w:t>
      </w:r>
      <w:r w:rsidRPr="00DA4D90">
        <w:rPr>
          <w:rFonts w:eastAsiaTheme="minorEastAsia"/>
        </w:rPr>
        <w:t>for full savings calculations and results.</w:t>
      </w:r>
    </w:p>
    <w:p w14:paraId="5026F871" w14:textId="031A0BC1" w:rsidR="00E16609" w:rsidRDefault="00E16609" w:rsidP="00E16609">
      <w:pPr>
        <w:pStyle w:val="Heading1"/>
        <w:keepNext w:val="0"/>
        <w:rPr>
          <w:rFonts w:cstheme="minorHAnsi"/>
        </w:rPr>
      </w:pPr>
      <w:bookmarkStart w:id="57" w:name="_Toc478657399"/>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54"/>
      <w:r w:rsidRPr="00500C4E">
        <w:rPr>
          <w:rFonts w:cstheme="minorHAnsi"/>
        </w:rPr>
        <w:t>s</w:t>
      </w:r>
      <w:bookmarkEnd w:id="57"/>
    </w:p>
    <w:p w14:paraId="7FE3F9EB" w14:textId="77777777" w:rsidR="00CD6C0D" w:rsidRDefault="003E5E2C" w:rsidP="003E5E2C">
      <w:pPr>
        <w:pStyle w:val="Reminder"/>
        <w:spacing w:before="0" w:after="0"/>
        <w:rPr>
          <w:rFonts w:asciiTheme="minorHAnsi" w:hAnsiTheme="minorHAnsi" w:cstheme="minorHAnsi"/>
          <w:i w:val="0"/>
          <w:color w:val="auto"/>
          <w:szCs w:val="22"/>
        </w:rPr>
      </w:pPr>
      <w:r w:rsidRPr="009D5344">
        <w:rPr>
          <w:rFonts w:asciiTheme="minorHAnsi" w:hAnsiTheme="minorHAnsi" w:cstheme="minorHAnsi"/>
          <w:i w:val="0"/>
          <w:color w:val="auto"/>
          <w:szCs w:val="22"/>
        </w:rPr>
        <w:t>The hot water demand load profile for commercial building types can be found in DEER-WaterHeater-Calculator-v1.0 provided by DEER.</w:t>
      </w:r>
    </w:p>
    <w:p w14:paraId="5026F872" w14:textId="35F7D646" w:rsidR="003E5E2C" w:rsidRPr="009D5344" w:rsidRDefault="003E5E2C" w:rsidP="003E5E2C">
      <w:pPr>
        <w:pStyle w:val="Reminder"/>
        <w:spacing w:before="0" w:after="0"/>
        <w:rPr>
          <w:rFonts w:asciiTheme="minorHAnsi" w:hAnsiTheme="minorHAnsi" w:cstheme="minorHAnsi"/>
          <w:i w:val="0"/>
          <w:color w:val="auto"/>
          <w:szCs w:val="22"/>
        </w:rPr>
      </w:pPr>
      <w:r w:rsidRPr="009D5344">
        <w:rPr>
          <w:rFonts w:asciiTheme="minorHAnsi" w:hAnsiTheme="minorHAnsi" w:cstheme="minorHAnsi"/>
          <w:i w:val="0"/>
          <w:color w:val="auto"/>
          <w:szCs w:val="22"/>
        </w:rPr>
        <w:t xml:space="preserve"> </w:t>
      </w:r>
    </w:p>
    <w:p w14:paraId="5026F873" w14:textId="77777777" w:rsidR="005552C3" w:rsidRDefault="00F95E2F" w:rsidP="00920905">
      <w:pPr>
        <w:pStyle w:val="Heading1"/>
      </w:pPr>
      <w:bookmarkStart w:id="58" w:name="_Toc478657400"/>
      <w:r>
        <w:lastRenderedPageBreak/>
        <w:t>Section 4. Costs</w:t>
      </w:r>
      <w:bookmarkEnd w:id="58"/>
    </w:p>
    <w:p w14:paraId="5026F874" w14:textId="77777777" w:rsidR="00E16609" w:rsidRDefault="00E16609" w:rsidP="00824F1C">
      <w:pPr>
        <w:pStyle w:val="Heading2"/>
        <w:rPr>
          <w:rFonts w:asciiTheme="minorHAnsi" w:hAnsiTheme="minorHAnsi" w:cstheme="minorHAnsi"/>
        </w:rPr>
      </w:pPr>
      <w:bookmarkStart w:id="59" w:name="_MON_1399297811"/>
      <w:bookmarkStart w:id="60" w:name="_Toc214003097"/>
      <w:bookmarkStart w:id="61" w:name="_Toc478657401"/>
      <w:bookmarkEnd w:id="59"/>
      <w:r w:rsidRPr="00500C4E">
        <w:rPr>
          <w:rFonts w:asciiTheme="minorHAnsi" w:hAnsiTheme="minorHAnsi" w:cstheme="minorHAnsi"/>
        </w:rPr>
        <w:t>4.1 Base Case Cost</w:t>
      </w:r>
      <w:bookmarkEnd w:id="60"/>
      <w:bookmarkEnd w:id="61"/>
    </w:p>
    <w:p w14:paraId="5026F875" w14:textId="77777777" w:rsidR="00D43A23" w:rsidRPr="009D5344" w:rsidRDefault="00D43A23" w:rsidP="00D43A23">
      <w:bookmarkStart w:id="62" w:name="_Toc214003098"/>
      <w:r w:rsidRPr="009D5344">
        <w:t xml:space="preserve">Baseline costs are $0 since it is an REA measure and the base case would be to do nothing to the faucet. </w:t>
      </w:r>
    </w:p>
    <w:p w14:paraId="5026F876" w14:textId="77777777" w:rsidR="00DE6D38" w:rsidRPr="009D5344" w:rsidRDefault="009D5344" w:rsidP="009D5344">
      <w:pPr>
        <w:pStyle w:val="Heading2"/>
        <w:rPr>
          <w:rFonts w:asciiTheme="minorHAnsi" w:hAnsiTheme="minorHAnsi" w:cstheme="minorHAnsi"/>
        </w:rPr>
      </w:pPr>
      <w:bookmarkStart w:id="63" w:name="_Toc478657402"/>
      <w:r>
        <w:rPr>
          <w:rFonts w:asciiTheme="minorHAnsi" w:hAnsiTheme="minorHAnsi" w:cstheme="minorHAnsi"/>
        </w:rPr>
        <w:t>4.2 Measure Case Cost</w:t>
      </w:r>
      <w:bookmarkEnd w:id="63"/>
    </w:p>
    <w:p w14:paraId="5026F878" w14:textId="4FEB5682" w:rsidR="00FF297D" w:rsidRPr="00E67B8D" w:rsidRDefault="00155A0C" w:rsidP="00E67B8D">
      <w:pPr>
        <w:rPr>
          <w:color w:val="000000" w:themeColor="text1"/>
        </w:rPr>
      </w:pPr>
      <w:r w:rsidRPr="008555E7">
        <w:rPr>
          <w:color w:val="000000" w:themeColor="text1"/>
        </w:rPr>
        <w:t xml:space="preserve">These measure costs were </w:t>
      </w:r>
      <w:r w:rsidR="00E1132D" w:rsidRPr="008555E7">
        <w:rPr>
          <w:color w:val="000000" w:themeColor="text1"/>
        </w:rPr>
        <w:t xml:space="preserve">estimated by averaging </w:t>
      </w:r>
      <w:r w:rsidRPr="008555E7">
        <w:rPr>
          <w:color w:val="000000" w:themeColor="text1"/>
        </w:rPr>
        <w:t xml:space="preserve">existing third party direct install contractor costs </w:t>
      </w:r>
      <w:r w:rsidR="00E1132D" w:rsidRPr="008555E7">
        <w:rPr>
          <w:color w:val="000000" w:themeColor="text1"/>
        </w:rPr>
        <w:t>for aerator measures</w:t>
      </w:r>
      <w:r w:rsidR="00E67B8D">
        <w:rPr>
          <w:color w:val="000000" w:themeColor="text1"/>
        </w:rPr>
        <w:t xml:space="preserve">. </w:t>
      </w:r>
    </w:p>
    <w:p w14:paraId="5026F879" w14:textId="7FAFD21A" w:rsidR="00FF297D" w:rsidRPr="008555E7" w:rsidRDefault="00FF297D" w:rsidP="00FF297D">
      <w:pPr>
        <w:pStyle w:val="Caption"/>
        <w:keepNext/>
        <w:jc w:val="center"/>
        <w:rPr>
          <w:color w:val="000000" w:themeColor="text1"/>
        </w:rPr>
      </w:pPr>
      <w:r w:rsidRPr="008555E7">
        <w:rPr>
          <w:color w:val="000000" w:themeColor="text1"/>
        </w:rPr>
        <w:t xml:space="preserve">Table </w:t>
      </w:r>
      <w:r w:rsidR="004B4B0B" w:rsidRPr="008555E7">
        <w:rPr>
          <w:color w:val="000000" w:themeColor="text1"/>
        </w:rPr>
        <w:fldChar w:fldCharType="begin"/>
      </w:r>
      <w:r w:rsidR="004B4B0B" w:rsidRPr="008555E7">
        <w:rPr>
          <w:color w:val="000000" w:themeColor="text1"/>
        </w:rPr>
        <w:instrText xml:space="preserve"> SEQ Table \* ARABIC </w:instrText>
      </w:r>
      <w:r w:rsidR="004B4B0B" w:rsidRPr="008555E7">
        <w:rPr>
          <w:color w:val="000000" w:themeColor="text1"/>
        </w:rPr>
        <w:fldChar w:fldCharType="separate"/>
      </w:r>
      <w:r w:rsidR="007E7EDB">
        <w:rPr>
          <w:noProof/>
          <w:color w:val="000000" w:themeColor="text1"/>
        </w:rPr>
        <w:t>16</w:t>
      </w:r>
      <w:r w:rsidR="004B4B0B" w:rsidRPr="008555E7">
        <w:rPr>
          <w:noProof/>
          <w:color w:val="000000" w:themeColor="text1"/>
        </w:rPr>
        <w:fldChar w:fldCharType="end"/>
      </w:r>
      <w:r w:rsidR="00E1132D" w:rsidRPr="008555E7">
        <w:rPr>
          <w:color w:val="000000" w:themeColor="text1"/>
        </w:rPr>
        <w:t xml:space="preserve">: </w:t>
      </w:r>
      <w:r w:rsidRPr="008555E7">
        <w:rPr>
          <w:color w:val="000000" w:themeColor="text1"/>
        </w:rPr>
        <w:t>Proposed Measure Cost</w:t>
      </w:r>
      <w:r w:rsidR="00E1132D" w:rsidRPr="008555E7">
        <w:rPr>
          <w:color w:val="000000" w:themeColor="text1"/>
        </w:rPr>
        <w:t>s</w:t>
      </w:r>
    </w:p>
    <w:tbl>
      <w:tblPr>
        <w:tblStyle w:val="TableGrid1"/>
        <w:tblW w:w="4016" w:type="pct"/>
        <w:jc w:val="center"/>
        <w:tblLook w:val="04A0" w:firstRow="1" w:lastRow="0" w:firstColumn="1" w:lastColumn="0" w:noHBand="0" w:noVBand="1"/>
      </w:tblPr>
      <w:tblGrid>
        <w:gridCol w:w="1614"/>
        <w:gridCol w:w="1614"/>
        <w:gridCol w:w="1286"/>
        <w:gridCol w:w="1710"/>
        <w:gridCol w:w="1286"/>
      </w:tblGrid>
      <w:tr w:rsidR="008555E7" w:rsidRPr="008555E7" w14:paraId="5026F87F" w14:textId="77777777" w:rsidTr="00FF63D7">
        <w:trPr>
          <w:trHeight w:val="521"/>
          <w:jc w:val="center"/>
        </w:trPr>
        <w:tc>
          <w:tcPr>
            <w:tcW w:w="1075" w:type="pct"/>
            <w:shd w:val="clear" w:color="auto" w:fill="D9D9D9" w:themeFill="background1" w:themeFillShade="D9"/>
            <w:vAlign w:val="center"/>
          </w:tcPr>
          <w:p w14:paraId="5026F87A" w14:textId="77777777" w:rsidR="00E1132D" w:rsidRPr="008555E7" w:rsidRDefault="00E1132D" w:rsidP="00FF297D">
            <w:pPr>
              <w:jc w:val="center"/>
              <w:rPr>
                <w:rFonts w:cstheme="minorHAnsi"/>
                <w:b/>
                <w:color w:val="000000" w:themeColor="text1"/>
                <w:szCs w:val="20"/>
              </w:rPr>
            </w:pPr>
            <w:r w:rsidRPr="008555E7">
              <w:rPr>
                <w:rFonts w:cstheme="minorHAnsi"/>
                <w:b/>
                <w:color w:val="000000" w:themeColor="text1"/>
                <w:szCs w:val="20"/>
              </w:rPr>
              <w:t>Description</w:t>
            </w:r>
          </w:p>
        </w:tc>
        <w:tc>
          <w:tcPr>
            <w:tcW w:w="1075" w:type="pct"/>
            <w:shd w:val="clear" w:color="auto" w:fill="D9D9D9" w:themeFill="background1" w:themeFillShade="D9"/>
          </w:tcPr>
          <w:p w14:paraId="5026F87B" w14:textId="77777777" w:rsidR="00E1132D" w:rsidRPr="008555E7" w:rsidRDefault="00E1132D" w:rsidP="00FF297D">
            <w:pPr>
              <w:jc w:val="center"/>
              <w:rPr>
                <w:rFonts w:cstheme="minorHAnsi"/>
                <w:b/>
                <w:color w:val="000000" w:themeColor="text1"/>
                <w:szCs w:val="20"/>
              </w:rPr>
            </w:pPr>
            <w:r w:rsidRPr="008555E7">
              <w:rPr>
                <w:rFonts w:cstheme="minorHAnsi"/>
                <w:b/>
                <w:color w:val="000000" w:themeColor="text1"/>
                <w:szCs w:val="20"/>
              </w:rPr>
              <w:t>Delivery Method</w:t>
            </w:r>
          </w:p>
        </w:tc>
        <w:tc>
          <w:tcPr>
            <w:tcW w:w="856" w:type="pct"/>
            <w:shd w:val="clear" w:color="auto" w:fill="D9D9D9" w:themeFill="background1" w:themeFillShade="D9"/>
            <w:vAlign w:val="center"/>
          </w:tcPr>
          <w:p w14:paraId="5026F87C" w14:textId="77777777" w:rsidR="00E1132D" w:rsidRPr="008555E7" w:rsidRDefault="00E1132D" w:rsidP="00FF297D">
            <w:pPr>
              <w:jc w:val="center"/>
              <w:rPr>
                <w:rFonts w:cstheme="minorHAnsi"/>
                <w:b/>
                <w:color w:val="000000" w:themeColor="text1"/>
                <w:szCs w:val="20"/>
              </w:rPr>
            </w:pPr>
            <w:r w:rsidRPr="008555E7">
              <w:rPr>
                <w:rFonts w:cstheme="minorHAnsi"/>
                <w:b/>
                <w:color w:val="000000" w:themeColor="text1"/>
                <w:szCs w:val="20"/>
              </w:rPr>
              <w:t>Equipment Cost</w:t>
            </w:r>
          </w:p>
        </w:tc>
        <w:tc>
          <w:tcPr>
            <w:tcW w:w="1138" w:type="pct"/>
            <w:shd w:val="clear" w:color="auto" w:fill="D9D9D9" w:themeFill="background1" w:themeFillShade="D9"/>
            <w:vAlign w:val="center"/>
          </w:tcPr>
          <w:p w14:paraId="5026F87D" w14:textId="77777777" w:rsidR="00E1132D" w:rsidRPr="008555E7" w:rsidRDefault="00E1132D" w:rsidP="00FF297D">
            <w:pPr>
              <w:jc w:val="center"/>
              <w:rPr>
                <w:rFonts w:cstheme="minorHAnsi"/>
                <w:b/>
                <w:color w:val="000000" w:themeColor="text1"/>
                <w:szCs w:val="20"/>
              </w:rPr>
            </w:pPr>
            <w:r w:rsidRPr="008555E7">
              <w:rPr>
                <w:rFonts w:cstheme="minorHAnsi"/>
                <w:b/>
                <w:color w:val="000000" w:themeColor="text1"/>
                <w:szCs w:val="20"/>
              </w:rPr>
              <w:t>Labor/Installation Cost</w:t>
            </w:r>
          </w:p>
        </w:tc>
        <w:tc>
          <w:tcPr>
            <w:tcW w:w="856" w:type="pct"/>
            <w:shd w:val="clear" w:color="auto" w:fill="D9D9D9" w:themeFill="background1" w:themeFillShade="D9"/>
            <w:vAlign w:val="center"/>
          </w:tcPr>
          <w:p w14:paraId="5026F87E" w14:textId="77777777" w:rsidR="00E1132D" w:rsidRPr="008555E7" w:rsidRDefault="00E1132D" w:rsidP="00FF297D">
            <w:pPr>
              <w:jc w:val="center"/>
              <w:rPr>
                <w:rFonts w:cstheme="minorHAnsi"/>
                <w:b/>
                <w:color w:val="000000" w:themeColor="text1"/>
                <w:szCs w:val="20"/>
              </w:rPr>
            </w:pPr>
            <w:r w:rsidRPr="008555E7">
              <w:rPr>
                <w:rFonts w:cstheme="minorHAnsi"/>
                <w:b/>
                <w:color w:val="000000" w:themeColor="text1"/>
                <w:szCs w:val="20"/>
              </w:rPr>
              <w:t>Total Measure Cost</w:t>
            </w:r>
          </w:p>
        </w:tc>
      </w:tr>
      <w:tr w:rsidR="008555E7" w:rsidRPr="008555E7" w14:paraId="5026F885" w14:textId="77777777" w:rsidTr="00CB4136">
        <w:trPr>
          <w:trHeight w:val="257"/>
          <w:jc w:val="center"/>
        </w:trPr>
        <w:tc>
          <w:tcPr>
            <w:tcW w:w="1075" w:type="pct"/>
            <w:vAlign w:val="center"/>
          </w:tcPr>
          <w:p w14:paraId="5026F880" w14:textId="23ED065F" w:rsidR="00E1132D" w:rsidRPr="008555E7" w:rsidRDefault="00E1132D" w:rsidP="00CB4136">
            <w:pPr>
              <w:jc w:val="center"/>
              <w:rPr>
                <w:rFonts w:cs="Calibri"/>
                <w:color w:val="000000" w:themeColor="text1"/>
                <w:szCs w:val="22"/>
              </w:rPr>
            </w:pPr>
            <w:r w:rsidRPr="008555E7">
              <w:rPr>
                <w:rFonts w:cs="Calibri"/>
                <w:color w:val="000000" w:themeColor="text1"/>
                <w:szCs w:val="22"/>
              </w:rPr>
              <w:t>Faucet Aerator</w:t>
            </w:r>
            <w:r w:rsidR="00FF63D7">
              <w:rPr>
                <w:rFonts w:cs="Calibri"/>
                <w:color w:val="000000" w:themeColor="text1"/>
                <w:szCs w:val="22"/>
              </w:rPr>
              <w:t xml:space="preserve"> (0.5 or 1.0 GPM)</w:t>
            </w:r>
          </w:p>
        </w:tc>
        <w:tc>
          <w:tcPr>
            <w:tcW w:w="1075" w:type="pct"/>
            <w:vAlign w:val="center"/>
          </w:tcPr>
          <w:p w14:paraId="5026F881" w14:textId="77777777" w:rsidR="00E1132D" w:rsidRPr="008555E7" w:rsidRDefault="00E1132D" w:rsidP="00CB4136">
            <w:pPr>
              <w:jc w:val="center"/>
              <w:rPr>
                <w:rFonts w:cs="Calibri"/>
                <w:color w:val="000000" w:themeColor="text1"/>
                <w:szCs w:val="22"/>
              </w:rPr>
            </w:pPr>
            <w:r w:rsidRPr="008555E7">
              <w:rPr>
                <w:rFonts w:cs="Calibri"/>
                <w:color w:val="000000" w:themeColor="text1"/>
                <w:szCs w:val="22"/>
              </w:rPr>
              <w:t>Direct Install</w:t>
            </w:r>
          </w:p>
        </w:tc>
        <w:tc>
          <w:tcPr>
            <w:tcW w:w="856" w:type="pct"/>
            <w:vAlign w:val="center"/>
          </w:tcPr>
          <w:p w14:paraId="5026F882" w14:textId="5DB43891" w:rsidR="00E1132D" w:rsidRPr="008555E7" w:rsidRDefault="00FF4759" w:rsidP="00A1779C">
            <w:pPr>
              <w:jc w:val="center"/>
              <w:rPr>
                <w:color w:val="000000" w:themeColor="text1"/>
              </w:rPr>
            </w:pPr>
            <w:r>
              <w:rPr>
                <w:rFonts w:cs="Calibri"/>
                <w:color w:val="000000" w:themeColor="text1"/>
                <w:szCs w:val="22"/>
              </w:rPr>
              <w:t>$2.89</w:t>
            </w:r>
            <w:r w:rsidR="00E1132D" w:rsidRPr="008555E7">
              <w:rPr>
                <w:rFonts w:cs="Calibri"/>
                <w:color w:val="000000" w:themeColor="text1"/>
                <w:szCs w:val="22"/>
              </w:rPr>
              <w:t>/fixture</w:t>
            </w:r>
          </w:p>
        </w:tc>
        <w:tc>
          <w:tcPr>
            <w:tcW w:w="1138" w:type="pct"/>
            <w:vAlign w:val="center"/>
          </w:tcPr>
          <w:p w14:paraId="5026F883" w14:textId="3485AE9D" w:rsidR="00E1132D" w:rsidRPr="008555E7" w:rsidRDefault="00FF4759" w:rsidP="00A1779C">
            <w:pPr>
              <w:jc w:val="center"/>
              <w:rPr>
                <w:rFonts w:cs="Calibri"/>
                <w:color w:val="000000" w:themeColor="text1"/>
                <w:szCs w:val="22"/>
              </w:rPr>
            </w:pPr>
            <w:r>
              <w:rPr>
                <w:rFonts w:cs="Calibri"/>
                <w:color w:val="000000" w:themeColor="text1"/>
                <w:szCs w:val="22"/>
              </w:rPr>
              <w:t>$4.28</w:t>
            </w:r>
            <w:r w:rsidR="00E1132D" w:rsidRPr="008555E7">
              <w:rPr>
                <w:rFonts w:cs="Calibri"/>
                <w:color w:val="000000" w:themeColor="text1"/>
                <w:szCs w:val="22"/>
              </w:rPr>
              <w:t>/fixture</w:t>
            </w:r>
          </w:p>
        </w:tc>
        <w:tc>
          <w:tcPr>
            <w:tcW w:w="856" w:type="pct"/>
            <w:vAlign w:val="center"/>
          </w:tcPr>
          <w:p w14:paraId="5026F884" w14:textId="2B6070D3" w:rsidR="00E1132D" w:rsidRPr="008555E7" w:rsidRDefault="00FF4759" w:rsidP="00A1779C">
            <w:pPr>
              <w:jc w:val="center"/>
              <w:rPr>
                <w:rFonts w:cs="Calibri"/>
                <w:color w:val="000000" w:themeColor="text1"/>
                <w:szCs w:val="22"/>
              </w:rPr>
            </w:pPr>
            <w:r>
              <w:rPr>
                <w:rFonts w:cs="Calibri"/>
                <w:color w:val="000000" w:themeColor="text1"/>
                <w:szCs w:val="22"/>
              </w:rPr>
              <w:t>$7.17</w:t>
            </w:r>
            <w:r w:rsidR="00E1132D" w:rsidRPr="008555E7">
              <w:rPr>
                <w:rFonts w:cs="Calibri"/>
                <w:color w:val="000000" w:themeColor="text1"/>
                <w:szCs w:val="22"/>
              </w:rPr>
              <w:t>/fixture</w:t>
            </w:r>
          </w:p>
        </w:tc>
      </w:tr>
    </w:tbl>
    <w:p w14:paraId="5026F88C" w14:textId="77777777" w:rsidR="00CA4F8C" w:rsidRPr="008555E7" w:rsidRDefault="00CA4F8C" w:rsidP="00FE5FAF">
      <w:pPr>
        <w:rPr>
          <w:color w:val="000000" w:themeColor="text1"/>
        </w:rPr>
      </w:pPr>
    </w:p>
    <w:p w14:paraId="5026F88D" w14:textId="77777777" w:rsidR="00E16609" w:rsidRPr="008555E7" w:rsidRDefault="005A0E53" w:rsidP="00E16609">
      <w:pPr>
        <w:pStyle w:val="Heading2"/>
        <w:keepNext w:val="0"/>
        <w:rPr>
          <w:rFonts w:asciiTheme="minorHAnsi" w:hAnsiTheme="minorHAnsi" w:cstheme="minorHAnsi"/>
          <w:color w:val="000000" w:themeColor="text1"/>
        </w:rPr>
      </w:pPr>
      <w:bookmarkStart w:id="64" w:name="_Toc478657403"/>
      <w:r w:rsidRPr="008555E7">
        <w:rPr>
          <w:rFonts w:asciiTheme="minorHAnsi" w:hAnsiTheme="minorHAnsi" w:cstheme="minorHAnsi"/>
          <w:color w:val="000000" w:themeColor="text1"/>
        </w:rPr>
        <w:t>4.3</w:t>
      </w:r>
      <w:r w:rsidR="00E16609" w:rsidRPr="008555E7">
        <w:rPr>
          <w:rFonts w:asciiTheme="minorHAnsi" w:hAnsiTheme="minorHAnsi" w:cstheme="minorHAnsi"/>
          <w:color w:val="000000" w:themeColor="text1"/>
        </w:rPr>
        <w:t xml:space="preserve"> </w:t>
      </w:r>
      <w:r w:rsidR="002469DD" w:rsidRPr="008555E7">
        <w:rPr>
          <w:rFonts w:asciiTheme="minorHAnsi" w:hAnsiTheme="minorHAnsi" w:cstheme="minorHAnsi"/>
          <w:color w:val="000000" w:themeColor="text1"/>
        </w:rPr>
        <w:t xml:space="preserve">Full </w:t>
      </w:r>
      <w:r w:rsidRPr="008555E7">
        <w:rPr>
          <w:rFonts w:asciiTheme="minorHAnsi" w:hAnsiTheme="minorHAnsi" w:cstheme="minorHAnsi"/>
          <w:color w:val="000000" w:themeColor="text1"/>
        </w:rPr>
        <w:t>and Incremental</w:t>
      </w:r>
      <w:r w:rsidR="00E16609" w:rsidRPr="008555E7">
        <w:rPr>
          <w:rFonts w:asciiTheme="minorHAnsi" w:hAnsiTheme="minorHAnsi" w:cstheme="minorHAnsi"/>
          <w:color w:val="000000" w:themeColor="text1"/>
        </w:rPr>
        <w:t xml:space="preserve"> Measure Cost</w:t>
      </w:r>
      <w:bookmarkEnd w:id="62"/>
      <w:bookmarkEnd w:id="64"/>
    </w:p>
    <w:p w14:paraId="3EE741BC" w14:textId="264FD243" w:rsidR="00A22FEE" w:rsidRDefault="00A22FEE" w:rsidP="00A22FEE">
      <w:pPr>
        <w:pStyle w:val="Caption"/>
        <w:keepNext/>
        <w:jc w:val="center"/>
      </w:pPr>
      <w:r>
        <w:t xml:space="preserve">Table </w:t>
      </w:r>
      <w:r w:rsidR="005A50B7">
        <w:fldChar w:fldCharType="begin"/>
      </w:r>
      <w:r w:rsidR="005A50B7">
        <w:instrText xml:space="preserve"> SEQ Table \* ARABIC </w:instrText>
      </w:r>
      <w:r w:rsidR="005A50B7">
        <w:fldChar w:fldCharType="separate"/>
      </w:r>
      <w:r w:rsidR="007E7EDB">
        <w:rPr>
          <w:noProof/>
        </w:rPr>
        <w:t>17</w:t>
      </w:r>
      <w:r w:rsidR="005A50B7">
        <w:rPr>
          <w:noProof/>
        </w:rPr>
        <w:fldChar w:fldCharType="end"/>
      </w:r>
      <w:r>
        <w:t>: Full and Incremental Measure Cost 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8555E7" w14:paraId="5026F892" w14:textId="77777777" w:rsidTr="00D43A23">
        <w:tc>
          <w:tcPr>
            <w:tcW w:w="671" w:type="pct"/>
            <w:vMerge w:val="restart"/>
            <w:shd w:val="clear" w:color="auto" w:fill="D9D9D9" w:themeFill="background1" w:themeFillShade="D9"/>
          </w:tcPr>
          <w:p w14:paraId="5026F88F" w14:textId="77777777" w:rsidR="00211153" w:rsidRPr="008555E7" w:rsidRDefault="00211153" w:rsidP="00175D14">
            <w:pPr>
              <w:rPr>
                <w:rFonts w:cstheme="minorHAnsi"/>
                <w:b/>
                <w:color w:val="000000" w:themeColor="text1"/>
                <w:szCs w:val="20"/>
                <w:highlight w:val="yellow"/>
              </w:rPr>
            </w:pPr>
            <w:r w:rsidRPr="008555E7">
              <w:rPr>
                <w:rFonts w:cstheme="minorHAnsi"/>
                <w:b/>
                <w:color w:val="000000" w:themeColor="text1"/>
                <w:szCs w:val="20"/>
              </w:rPr>
              <w:t>Installation Type</w:t>
            </w:r>
          </w:p>
        </w:tc>
        <w:tc>
          <w:tcPr>
            <w:tcW w:w="1443" w:type="pct"/>
            <w:vMerge w:val="restart"/>
            <w:shd w:val="clear" w:color="auto" w:fill="D9D9D9" w:themeFill="background1" w:themeFillShade="D9"/>
          </w:tcPr>
          <w:p w14:paraId="5026F890" w14:textId="77777777" w:rsidR="00211153" w:rsidRPr="008555E7" w:rsidRDefault="00211153" w:rsidP="00175D14">
            <w:pPr>
              <w:rPr>
                <w:rFonts w:cstheme="minorHAnsi"/>
                <w:b/>
                <w:color w:val="000000" w:themeColor="text1"/>
                <w:szCs w:val="20"/>
              </w:rPr>
            </w:pPr>
            <w:r w:rsidRPr="008555E7">
              <w:rPr>
                <w:rFonts w:cstheme="minorHAnsi"/>
                <w:b/>
                <w:color w:val="000000" w:themeColor="text1"/>
                <w:szCs w:val="20"/>
              </w:rPr>
              <w:t>Incremental Measure Cost</w:t>
            </w:r>
          </w:p>
        </w:tc>
        <w:tc>
          <w:tcPr>
            <w:tcW w:w="2885" w:type="pct"/>
            <w:gridSpan w:val="2"/>
            <w:shd w:val="clear" w:color="auto" w:fill="D9D9D9" w:themeFill="background1" w:themeFillShade="D9"/>
          </w:tcPr>
          <w:p w14:paraId="5026F891" w14:textId="77777777" w:rsidR="00211153" w:rsidRPr="008555E7" w:rsidRDefault="00211153" w:rsidP="00175D14">
            <w:pPr>
              <w:rPr>
                <w:rFonts w:cstheme="minorHAnsi"/>
                <w:b/>
                <w:color w:val="000000" w:themeColor="text1"/>
                <w:szCs w:val="20"/>
                <w:highlight w:val="yellow"/>
              </w:rPr>
            </w:pPr>
            <w:r w:rsidRPr="008555E7">
              <w:rPr>
                <w:rFonts w:cstheme="minorHAnsi"/>
                <w:b/>
                <w:color w:val="000000" w:themeColor="text1"/>
                <w:szCs w:val="20"/>
              </w:rPr>
              <w:t>Full Measure Cost</w:t>
            </w:r>
          </w:p>
        </w:tc>
      </w:tr>
      <w:tr w:rsidR="00211153" w:rsidRPr="008555E7" w14:paraId="5026F897" w14:textId="77777777" w:rsidTr="00D43A23">
        <w:tc>
          <w:tcPr>
            <w:tcW w:w="671" w:type="pct"/>
            <w:vMerge/>
            <w:shd w:val="clear" w:color="auto" w:fill="D9D9D9" w:themeFill="background1" w:themeFillShade="D9"/>
          </w:tcPr>
          <w:p w14:paraId="5026F893" w14:textId="77777777" w:rsidR="00211153" w:rsidRPr="008555E7" w:rsidRDefault="00211153" w:rsidP="00175D14">
            <w:pPr>
              <w:rPr>
                <w:rFonts w:cstheme="minorHAnsi"/>
                <w:b/>
                <w:color w:val="000000" w:themeColor="text1"/>
                <w:szCs w:val="20"/>
              </w:rPr>
            </w:pPr>
          </w:p>
        </w:tc>
        <w:tc>
          <w:tcPr>
            <w:tcW w:w="1443" w:type="pct"/>
            <w:vMerge/>
            <w:shd w:val="clear" w:color="auto" w:fill="D9D9D9" w:themeFill="background1" w:themeFillShade="D9"/>
          </w:tcPr>
          <w:p w14:paraId="5026F894" w14:textId="77777777" w:rsidR="00211153" w:rsidRPr="008555E7" w:rsidRDefault="00211153" w:rsidP="00175D14">
            <w:pPr>
              <w:rPr>
                <w:rFonts w:cstheme="minorHAnsi"/>
                <w:b/>
                <w:color w:val="000000" w:themeColor="text1"/>
                <w:szCs w:val="20"/>
              </w:rPr>
            </w:pPr>
          </w:p>
        </w:tc>
        <w:tc>
          <w:tcPr>
            <w:tcW w:w="1396" w:type="pct"/>
            <w:shd w:val="clear" w:color="auto" w:fill="F2F2F2" w:themeFill="background1" w:themeFillShade="F2"/>
          </w:tcPr>
          <w:p w14:paraId="5026F895" w14:textId="77777777" w:rsidR="00211153" w:rsidRPr="008555E7" w:rsidRDefault="00211153" w:rsidP="00175D14">
            <w:pPr>
              <w:rPr>
                <w:rFonts w:cstheme="minorHAnsi"/>
                <w:b/>
                <w:color w:val="000000" w:themeColor="text1"/>
                <w:szCs w:val="20"/>
              </w:rPr>
            </w:pPr>
            <w:r w:rsidRPr="008555E7">
              <w:rPr>
                <w:rFonts w:cstheme="minorHAnsi"/>
                <w:b/>
                <w:color w:val="000000" w:themeColor="text1"/>
                <w:szCs w:val="20"/>
              </w:rPr>
              <w:t>1</w:t>
            </w:r>
            <w:r w:rsidRPr="008555E7">
              <w:rPr>
                <w:rFonts w:cstheme="minorHAnsi"/>
                <w:b/>
                <w:color w:val="000000" w:themeColor="text1"/>
                <w:szCs w:val="20"/>
                <w:vertAlign w:val="superscript"/>
              </w:rPr>
              <w:t>st</w:t>
            </w:r>
            <w:r w:rsidRPr="008555E7">
              <w:rPr>
                <w:rFonts w:cstheme="minorHAnsi"/>
                <w:b/>
                <w:color w:val="000000" w:themeColor="text1"/>
                <w:szCs w:val="20"/>
              </w:rPr>
              <w:t xml:space="preserve"> Baseline</w:t>
            </w:r>
          </w:p>
        </w:tc>
        <w:tc>
          <w:tcPr>
            <w:tcW w:w="1489" w:type="pct"/>
            <w:shd w:val="clear" w:color="auto" w:fill="F2F2F2" w:themeFill="background1" w:themeFillShade="F2"/>
          </w:tcPr>
          <w:p w14:paraId="5026F896" w14:textId="77777777" w:rsidR="00211153" w:rsidRPr="008555E7" w:rsidRDefault="00211153" w:rsidP="00175D14">
            <w:pPr>
              <w:rPr>
                <w:rFonts w:cstheme="minorHAnsi"/>
                <w:b/>
                <w:color w:val="000000" w:themeColor="text1"/>
                <w:szCs w:val="20"/>
              </w:rPr>
            </w:pPr>
            <w:r w:rsidRPr="008555E7">
              <w:rPr>
                <w:rFonts w:cstheme="minorHAnsi"/>
                <w:b/>
                <w:color w:val="000000" w:themeColor="text1"/>
                <w:szCs w:val="20"/>
              </w:rPr>
              <w:t>2</w:t>
            </w:r>
            <w:r w:rsidRPr="008555E7">
              <w:rPr>
                <w:rFonts w:cstheme="minorHAnsi"/>
                <w:b/>
                <w:color w:val="000000" w:themeColor="text1"/>
                <w:szCs w:val="20"/>
                <w:vertAlign w:val="superscript"/>
              </w:rPr>
              <w:t>nd</w:t>
            </w:r>
            <w:r w:rsidRPr="008555E7">
              <w:rPr>
                <w:rFonts w:cstheme="minorHAnsi"/>
                <w:b/>
                <w:color w:val="000000" w:themeColor="text1"/>
                <w:szCs w:val="20"/>
              </w:rPr>
              <w:t xml:space="preserve"> Baseline</w:t>
            </w:r>
          </w:p>
        </w:tc>
      </w:tr>
      <w:tr w:rsidR="00211153" w:rsidRPr="008555E7" w14:paraId="5026F89C" w14:textId="77777777" w:rsidTr="00D43A23">
        <w:tc>
          <w:tcPr>
            <w:tcW w:w="671" w:type="pct"/>
          </w:tcPr>
          <w:p w14:paraId="5026F898" w14:textId="77777777" w:rsidR="00211153" w:rsidRPr="008555E7" w:rsidRDefault="00211153" w:rsidP="00175D14">
            <w:pPr>
              <w:rPr>
                <w:rFonts w:cstheme="minorHAnsi"/>
                <w:color w:val="000000" w:themeColor="text1"/>
                <w:szCs w:val="20"/>
              </w:rPr>
            </w:pPr>
            <w:r w:rsidRPr="008555E7">
              <w:rPr>
                <w:rFonts w:cstheme="minorHAnsi"/>
                <w:color w:val="000000" w:themeColor="text1"/>
                <w:szCs w:val="20"/>
              </w:rPr>
              <w:t>REA</w:t>
            </w:r>
          </w:p>
        </w:tc>
        <w:tc>
          <w:tcPr>
            <w:tcW w:w="1443" w:type="pct"/>
          </w:tcPr>
          <w:p w14:paraId="5026F899" w14:textId="77777777" w:rsidR="00211153" w:rsidRPr="008555E7" w:rsidRDefault="00211153" w:rsidP="00175D14">
            <w:pPr>
              <w:rPr>
                <w:rFonts w:cstheme="minorHAnsi"/>
                <w:color w:val="000000" w:themeColor="text1"/>
                <w:szCs w:val="20"/>
              </w:rPr>
            </w:pPr>
            <w:r w:rsidRPr="008555E7">
              <w:rPr>
                <w:rFonts w:cstheme="minorHAnsi"/>
                <w:color w:val="000000" w:themeColor="text1"/>
                <w:szCs w:val="20"/>
              </w:rPr>
              <w:t>MEC + MLC</w:t>
            </w:r>
          </w:p>
        </w:tc>
        <w:tc>
          <w:tcPr>
            <w:tcW w:w="1396" w:type="pct"/>
          </w:tcPr>
          <w:p w14:paraId="5026F89A" w14:textId="77777777" w:rsidR="00211153" w:rsidRPr="008555E7" w:rsidRDefault="00211153" w:rsidP="00175D14">
            <w:pPr>
              <w:rPr>
                <w:rFonts w:cstheme="minorHAnsi"/>
                <w:color w:val="000000" w:themeColor="text1"/>
                <w:szCs w:val="20"/>
              </w:rPr>
            </w:pPr>
            <w:r w:rsidRPr="008555E7">
              <w:rPr>
                <w:rFonts w:cstheme="minorHAnsi"/>
                <w:color w:val="000000" w:themeColor="text1"/>
                <w:szCs w:val="20"/>
              </w:rPr>
              <w:t>MEC + MLC</w:t>
            </w:r>
          </w:p>
        </w:tc>
        <w:tc>
          <w:tcPr>
            <w:tcW w:w="1489" w:type="pct"/>
          </w:tcPr>
          <w:p w14:paraId="5026F89B" w14:textId="77777777" w:rsidR="00211153" w:rsidRPr="008555E7" w:rsidRDefault="00211153" w:rsidP="00175D14">
            <w:pPr>
              <w:rPr>
                <w:rFonts w:cstheme="minorHAnsi"/>
                <w:color w:val="000000" w:themeColor="text1"/>
                <w:szCs w:val="20"/>
              </w:rPr>
            </w:pPr>
            <w:r w:rsidRPr="008555E7">
              <w:rPr>
                <w:rFonts w:cstheme="minorHAnsi"/>
                <w:color w:val="000000" w:themeColor="text1"/>
                <w:szCs w:val="20"/>
              </w:rPr>
              <w:t>N/A</w:t>
            </w:r>
          </w:p>
        </w:tc>
      </w:tr>
    </w:tbl>
    <w:p w14:paraId="5026F89D" w14:textId="77777777" w:rsidR="002405CD" w:rsidRPr="008555E7" w:rsidRDefault="002405CD" w:rsidP="00920905">
      <w:pPr>
        <w:rPr>
          <w:color w:val="000000" w:themeColor="text1"/>
          <w:sz w:val="20"/>
          <w:szCs w:val="20"/>
        </w:rPr>
      </w:pPr>
      <w:r w:rsidRPr="008555E7">
        <w:rPr>
          <w:color w:val="000000" w:themeColor="text1"/>
          <w:sz w:val="20"/>
          <w:szCs w:val="20"/>
        </w:rPr>
        <w:t>MEC = Measure Equipment Cost</w:t>
      </w:r>
      <w:r w:rsidR="00594EF5" w:rsidRPr="008555E7">
        <w:rPr>
          <w:color w:val="000000" w:themeColor="text1"/>
          <w:sz w:val="20"/>
          <w:szCs w:val="20"/>
        </w:rPr>
        <w:t>;</w:t>
      </w:r>
      <w:r w:rsidRPr="008555E7">
        <w:rPr>
          <w:color w:val="000000" w:themeColor="text1"/>
          <w:sz w:val="20"/>
          <w:szCs w:val="20"/>
        </w:rPr>
        <w:t xml:space="preserve"> MLC = Measure Labor Cost</w:t>
      </w:r>
    </w:p>
    <w:p w14:paraId="5026F89E" w14:textId="77777777" w:rsidR="00FF73B4" w:rsidRPr="008555E7" w:rsidRDefault="00FF73B4">
      <w:pPr>
        <w:rPr>
          <w:rFonts w:cs="Arial"/>
          <w:color w:val="000000" w:themeColor="text1"/>
          <w:szCs w:val="22"/>
        </w:rPr>
      </w:pPr>
    </w:p>
    <w:p w14:paraId="5026F89F" w14:textId="4E648F24" w:rsidR="001A52A5" w:rsidRPr="008555E7" w:rsidRDefault="001A52A5" w:rsidP="001A52A5">
      <w:pPr>
        <w:pStyle w:val="Caption"/>
        <w:keepNext/>
        <w:jc w:val="center"/>
        <w:rPr>
          <w:color w:val="000000" w:themeColor="text1"/>
        </w:rPr>
      </w:pPr>
      <w:r w:rsidRPr="008555E7">
        <w:rPr>
          <w:color w:val="000000" w:themeColor="text1"/>
        </w:rPr>
        <w:t xml:space="preserve">Table </w:t>
      </w:r>
      <w:r w:rsidR="004B4B0B" w:rsidRPr="008555E7">
        <w:rPr>
          <w:color w:val="000000" w:themeColor="text1"/>
        </w:rPr>
        <w:fldChar w:fldCharType="begin"/>
      </w:r>
      <w:r w:rsidR="004B4B0B" w:rsidRPr="008555E7">
        <w:rPr>
          <w:color w:val="000000" w:themeColor="text1"/>
        </w:rPr>
        <w:instrText xml:space="preserve"> SEQ Table \* ARABIC </w:instrText>
      </w:r>
      <w:r w:rsidR="004B4B0B" w:rsidRPr="008555E7">
        <w:rPr>
          <w:color w:val="000000" w:themeColor="text1"/>
        </w:rPr>
        <w:fldChar w:fldCharType="separate"/>
      </w:r>
      <w:r w:rsidR="007E7EDB">
        <w:rPr>
          <w:noProof/>
          <w:color w:val="000000" w:themeColor="text1"/>
        </w:rPr>
        <w:t>18</w:t>
      </w:r>
      <w:r w:rsidR="004B4B0B" w:rsidRPr="008555E7">
        <w:rPr>
          <w:noProof/>
          <w:color w:val="000000" w:themeColor="text1"/>
        </w:rPr>
        <w:fldChar w:fldCharType="end"/>
      </w:r>
      <w:r w:rsidRPr="008555E7">
        <w:rPr>
          <w:color w:val="000000" w:themeColor="text1"/>
        </w:rPr>
        <w:t>: Full and Incremental Costs</w:t>
      </w:r>
    </w:p>
    <w:tbl>
      <w:tblPr>
        <w:tblStyle w:val="TableGrid1"/>
        <w:tblW w:w="5000" w:type="pct"/>
        <w:tblLook w:val="01E0" w:firstRow="1" w:lastRow="1" w:firstColumn="1" w:lastColumn="1" w:noHBand="0" w:noVBand="0"/>
      </w:tblPr>
      <w:tblGrid>
        <w:gridCol w:w="2302"/>
        <w:gridCol w:w="4131"/>
        <w:gridCol w:w="1668"/>
        <w:gridCol w:w="1249"/>
      </w:tblGrid>
      <w:tr w:rsidR="008555E7" w:rsidRPr="008555E7" w14:paraId="5026F8A3" w14:textId="77777777" w:rsidTr="00CD3F8D">
        <w:tc>
          <w:tcPr>
            <w:tcW w:w="1231" w:type="pct"/>
            <w:vMerge w:val="restart"/>
            <w:shd w:val="clear" w:color="auto" w:fill="D9D9D9" w:themeFill="background1" w:themeFillShade="D9"/>
          </w:tcPr>
          <w:p w14:paraId="5026F8A0" w14:textId="77777777" w:rsidR="00F74B33" w:rsidRPr="008555E7" w:rsidRDefault="00F74B33" w:rsidP="00175D14">
            <w:pPr>
              <w:rPr>
                <w:rFonts w:cstheme="minorHAnsi"/>
                <w:b/>
                <w:color w:val="000000" w:themeColor="text1"/>
                <w:szCs w:val="20"/>
                <w:highlight w:val="yellow"/>
              </w:rPr>
            </w:pPr>
            <w:r w:rsidRPr="008555E7">
              <w:rPr>
                <w:rFonts w:cstheme="minorHAnsi"/>
                <w:b/>
                <w:color w:val="000000" w:themeColor="text1"/>
                <w:szCs w:val="20"/>
              </w:rPr>
              <w:t>Installation Type</w:t>
            </w:r>
          </w:p>
        </w:tc>
        <w:tc>
          <w:tcPr>
            <w:tcW w:w="2209" w:type="pct"/>
            <w:vMerge w:val="restart"/>
            <w:shd w:val="clear" w:color="auto" w:fill="D9D9D9" w:themeFill="background1" w:themeFillShade="D9"/>
          </w:tcPr>
          <w:p w14:paraId="5026F8A1" w14:textId="77777777" w:rsidR="00F74B33" w:rsidRPr="008555E7" w:rsidRDefault="00F74B33" w:rsidP="00175D14">
            <w:pPr>
              <w:rPr>
                <w:rFonts w:cstheme="minorHAnsi"/>
                <w:b/>
                <w:color w:val="000000" w:themeColor="text1"/>
                <w:szCs w:val="20"/>
              </w:rPr>
            </w:pPr>
            <w:r w:rsidRPr="008555E7">
              <w:rPr>
                <w:rFonts w:cstheme="minorHAnsi"/>
                <w:b/>
                <w:color w:val="000000" w:themeColor="text1"/>
                <w:szCs w:val="20"/>
              </w:rPr>
              <w:t>Incremental Measure Cost</w:t>
            </w:r>
          </w:p>
        </w:tc>
        <w:tc>
          <w:tcPr>
            <w:tcW w:w="1560" w:type="pct"/>
            <w:gridSpan w:val="2"/>
            <w:shd w:val="clear" w:color="auto" w:fill="D9D9D9" w:themeFill="background1" w:themeFillShade="D9"/>
          </w:tcPr>
          <w:p w14:paraId="5026F8A2" w14:textId="77777777" w:rsidR="00F74B33" w:rsidRPr="008555E7" w:rsidRDefault="00F74B33" w:rsidP="00175D14">
            <w:pPr>
              <w:rPr>
                <w:rFonts w:cstheme="minorHAnsi"/>
                <w:b/>
                <w:color w:val="000000" w:themeColor="text1"/>
                <w:szCs w:val="20"/>
                <w:highlight w:val="yellow"/>
              </w:rPr>
            </w:pPr>
            <w:r w:rsidRPr="008555E7">
              <w:rPr>
                <w:rFonts w:cstheme="minorHAnsi"/>
                <w:b/>
                <w:color w:val="000000" w:themeColor="text1"/>
                <w:szCs w:val="20"/>
              </w:rPr>
              <w:t>Full Measure Cost</w:t>
            </w:r>
          </w:p>
        </w:tc>
      </w:tr>
      <w:tr w:rsidR="008555E7" w:rsidRPr="008555E7" w14:paraId="5026F8A8" w14:textId="77777777" w:rsidTr="00CD3F8D">
        <w:tc>
          <w:tcPr>
            <w:tcW w:w="1231" w:type="pct"/>
            <w:vMerge/>
            <w:shd w:val="clear" w:color="auto" w:fill="D9D9D9" w:themeFill="background1" w:themeFillShade="D9"/>
          </w:tcPr>
          <w:p w14:paraId="5026F8A4" w14:textId="77777777" w:rsidR="00F74B33" w:rsidRPr="008555E7" w:rsidRDefault="00F74B33" w:rsidP="00175D14">
            <w:pPr>
              <w:rPr>
                <w:rFonts w:cstheme="minorHAnsi"/>
                <w:b/>
                <w:color w:val="000000" w:themeColor="text1"/>
                <w:szCs w:val="20"/>
              </w:rPr>
            </w:pPr>
          </w:p>
        </w:tc>
        <w:tc>
          <w:tcPr>
            <w:tcW w:w="2209" w:type="pct"/>
            <w:vMerge/>
            <w:shd w:val="clear" w:color="auto" w:fill="D9D9D9" w:themeFill="background1" w:themeFillShade="D9"/>
          </w:tcPr>
          <w:p w14:paraId="5026F8A5" w14:textId="77777777" w:rsidR="00F74B33" w:rsidRPr="008555E7" w:rsidRDefault="00F74B33" w:rsidP="00175D14">
            <w:pPr>
              <w:rPr>
                <w:rFonts w:cstheme="minorHAnsi"/>
                <w:b/>
                <w:color w:val="000000" w:themeColor="text1"/>
                <w:szCs w:val="20"/>
              </w:rPr>
            </w:pPr>
          </w:p>
        </w:tc>
        <w:tc>
          <w:tcPr>
            <w:tcW w:w="892" w:type="pct"/>
            <w:shd w:val="clear" w:color="auto" w:fill="F2F2F2" w:themeFill="background1" w:themeFillShade="F2"/>
          </w:tcPr>
          <w:p w14:paraId="5026F8A6" w14:textId="77777777" w:rsidR="00F74B33" w:rsidRPr="008555E7" w:rsidRDefault="00F74B33" w:rsidP="00175D14">
            <w:pPr>
              <w:rPr>
                <w:rFonts w:cstheme="minorHAnsi"/>
                <w:b/>
                <w:color w:val="000000" w:themeColor="text1"/>
                <w:szCs w:val="20"/>
              </w:rPr>
            </w:pPr>
            <w:r w:rsidRPr="008555E7">
              <w:rPr>
                <w:rFonts w:cstheme="minorHAnsi"/>
                <w:b/>
                <w:color w:val="000000" w:themeColor="text1"/>
                <w:szCs w:val="20"/>
              </w:rPr>
              <w:t>1</w:t>
            </w:r>
            <w:r w:rsidRPr="008555E7">
              <w:rPr>
                <w:rFonts w:cstheme="minorHAnsi"/>
                <w:b/>
                <w:color w:val="000000" w:themeColor="text1"/>
                <w:szCs w:val="20"/>
                <w:vertAlign w:val="superscript"/>
              </w:rPr>
              <w:t>st</w:t>
            </w:r>
            <w:r w:rsidRPr="008555E7">
              <w:rPr>
                <w:rFonts w:cstheme="minorHAnsi"/>
                <w:b/>
                <w:color w:val="000000" w:themeColor="text1"/>
                <w:szCs w:val="20"/>
              </w:rPr>
              <w:t xml:space="preserve"> Baseline</w:t>
            </w:r>
          </w:p>
        </w:tc>
        <w:tc>
          <w:tcPr>
            <w:tcW w:w="668" w:type="pct"/>
            <w:shd w:val="clear" w:color="auto" w:fill="F2F2F2" w:themeFill="background1" w:themeFillShade="F2"/>
          </w:tcPr>
          <w:p w14:paraId="5026F8A7" w14:textId="77777777" w:rsidR="00F74B33" w:rsidRPr="008555E7" w:rsidRDefault="00F74B33" w:rsidP="00175D14">
            <w:pPr>
              <w:rPr>
                <w:rFonts w:cstheme="minorHAnsi"/>
                <w:b/>
                <w:color w:val="000000" w:themeColor="text1"/>
                <w:szCs w:val="20"/>
              </w:rPr>
            </w:pPr>
            <w:r w:rsidRPr="008555E7">
              <w:rPr>
                <w:rFonts w:cstheme="minorHAnsi"/>
                <w:b/>
                <w:color w:val="000000" w:themeColor="text1"/>
                <w:szCs w:val="20"/>
              </w:rPr>
              <w:t>2</w:t>
            </w:r>
            <w:r w:rsidRPr="008555E7">
              <w:rPr>
                <w:rFonts w:cstheme="minorHAnsi"/>
                <w:b/>
                <w:color w:val="000000" w:themeColor="text1"/>
                <w:szCs w:val="20"/>
                <w:vertAlign w:val="superscript"/>
              </w:rPr>
              <w:t>nd</w:t>
            </w:r>
            <w:r w:rsidRPr="008555E7">
              <w:rPr>
                <w:rFonts w:cstheme="minorHAnsi"/>
                <w:b/>
                <w:color w:val="000000" w:themeColor="text1"/>
                <w:szCs w:val="20"/>
              </w:rPr>
              <w:t xml:space="preserve"> Baseline</w:t>
            </w:r>
          </w:p>
        </w:tc>
      </w:tr>
      <w:tr w:rsidR="008555E7" w:rsidRPr="008555E7" w14:paraId="5026F8AD" w14:textId="77777777" w:rsidTr="00CD3F8D">
        <w:tc>
          <w:tcPr>
            <w:tcW w:w="1231" w:type="pct"/>
            <w:vAlign w:val="center"/>
          </w:tcPr>
          <w:p w14:paraId="5026F8A9" w14:textId="77777777" w:rsidR="00AA6A50" w:rsidRPr="008555E7" w:rsidRDefault="00AA6A50" w:rsidP="00CD3F8D">
            <w:pPr>
              <w:rPr>
                <w:rFonts w:cstheme="minorHAnsi"/>
                <w:color w:val="000000" w:themeColor="text1"/>
                <w:szCs w:val="20"/>
              </w:rPr>
            </w:pPr>
            <w:r w:rsidRPr="008555E7">
              <w:rPr>
                <w:rFonts w:cstheme="minorHAnsi"/>
                <w:color w:val="000000" w:themeColor="text1"/>
                <w:szCs w:val="20"/>
              </w:rPr>
              <w:t>REA</w:t>
            </w:r>
            <w:r w:rsidR="00CD3F8D" w:rsidRPr="008555E7">
              <w:rPr>
                <w:rFonts w:cstheme="minorHAnsi"/>
                <w:color w:val="000000" w:themeColor="text1"/>
                <w:szCs w:val="20"/>
              </w:rPr>
              <w:t xml:space="preserve">, Direct Install </w:t>
            </w:r>
          </w:p>
        </w:tc>
        <w:tc>
          <w:tcPr>
            <w:tcW w:w="2209" w:type="pct"/>
            <w:vAlign w:val="center"/>
          </w:tcPr>
          <w:p w14:paraId="5026F8AA" w14:textId="0281C559" w:rsidR="00AA6A50" w:rsidRPr="008555E7" w:rsidRDefault="00350431" w:rsidP="00CD3F8D">
            <w:pPr>
              <w:rPr>
                <w:rFonts w:cstheme="minorHAnsi"/>
                <w:color w:val="000000" w:themeColor="text1"/>
                <w:szCs w:val="20"/>
              </w:rPr>
            </w:pPr>
            <w:r>
              <w:rPr>
                <w:rFonts w:cstheme="minorHAnsi"/>
                <w:color w:val="000000" w:themeColor="text1"/>
                <w:szCs w:val="20"/>
              </w:rPr>
              <w:t>$2.89</w:t>
            </w:r>
            <w:r w:rsidR="00394C76" w:rsidRPr="008555E7">
              <w:rPr>
                <w:rFonts w:cstheme="minorHAnsi"/>
                <w:color w:val="000000" w:themeColor="text1"/>
                <w:szCs w:val="20"/>
              </w:rPr>
              <w:t>/</w:t>
            </w:r>
            <w:r>
              <w:rPr>
                <w:rFonts w:cstheme="minorHAnsi"/>
                <w:color w:val="000000" w:themeColor="text1"/>
                <w:szCs w:val="20"/>
              </w:rPr>
              <w:t>fixture + $4.28</w:t>
            </w:r>
            <w:r w:rsidR="001F1634" w:rsidRPr="008555E7">
              <w:rPr>
                <w:rFonts w:cstheme="minorHAnsi"/>
                <w:color w:val="000000" w:themeColor="text1"/>
                <w:szCs w:val="20"/>
              </w:rPr>
              <w:t xml:space="preserve">/fixture = </w:t>
            </w:r>
            <w:r>
              <w:rPr>
                <w:rFonts w:cstheme="minorHAnsi"/>
                <w:b/>
                <w:color w:val="000000" w:themeColor="text1"/>
                <w:szCs w:val="20"/>
              </w:rPr>
              <w:t>$7.17</w:t>
            </w:r>
            <w:r w:rsidR="001F1634" w:rsidRPr="008555E7">
              <w:rPr>
                <w:rFonts w:cstheme="minorHAnsi"/>
                <w:b/>
                <w:color w:val="000000" w:themeColor="text1"/>
                <w:szCs w:val="20"/>
              </w:rPr>
              <w:t xml:space="preserve"> per fixture</w:t>
            </w:r>
          </w:p>
        </w:tc>
        <w:tc>
          <w:tcPr>
            <w:tcW w:w="892" w:type="pct"/>
            <w:vAlign w:val="center"/>
          </w:tcPr>
          <w:p w14:paraId="5026F8AB" w14:textId="23B75D65" w:rsidR="00AA6A50" w:rsidRPr="008555E7" w:rsidRDefault="00350431" w:rsidP="00CD3F8D">
            <w:pPr>
              <w:rPr>
                <w:rFonts w:cstheme="minorHAnsi"/>
                <w:color w:val="000000" w:themeColor="text1"/>
                <w:szCs w:val="20"/>
              </w:rPr>
            </w:pPr>
            <w:r>
              <w:rPr>
                <w:rFonts w:cstheme="minorHAnsi"/>
                <w:color w:val="000000" w:themeColor="text1"/>
                <w:szCs w:val="20"/>
              </w:rPr>
              <w:t>$7.17</w:t>
            </w:r>
            <w:r w:rsidR="001F1634" w:rsidRPr="008555E7">
              <w:rPr>
                <w:rFonts w:cstheme="minorHAnsi"/>
                <w:color w:val="000000" w:themeColor="text1"/>
                <w:szCs w:val="20"/>
              </w:rPr>
              <w:t xml:space="preserve"> per fixture</w:t>
            </w:r>
          </w:p>
        </w:tc>
        <w:tc>
          <w:tcPr>
            <w:tcW w:w="668" w:type="pct"/>
            <w:vAlign w:val="center"/>
          </w:tcPr>
          <w:p w14:paraId="5026F8AC" w14:textId="77777777" w:rsidR="00AA6A50" w:rsidRPr="008555E7" w:rsidRDefault="00AA6A50" w:rsidP="00CD3F8D">
            <w:pPr>
              <w:rPr>
                <w:rFonts w:cstheme="minorHAnsi"/>
                <w:color w:val="000000" w:themeColor="text1"/>
                <w:szCs w:val="20"/>
              </w:rPr>
            </w:pPr>
            <w:r w:rsidRPr="008555E7">
              <w:rPr>
                <w:rFonts w:cstheme="minorHAnsi"/>
                <w:color w:val="000000" w:themeColor="text1"/>
                <w:szCs w:val="20"/>
              </w:rPr>
              <w:t>N/A</w:t>
            </w:r>
          </w:p>
        </w:tc>
      </w:tr>
    </w:tbl>
    <w:p w14:paraId="00A8ABCF" w14:textId="5AA01049" w:rsidR="00840AD2" w:rsidRDefault="00840AD2" w:rsidP="00E16609">
      <w:pPr>
        <w:pStyle w:val="Heading1"/>
        <w:rPr>
          <w:rFonts w:cstheme="minorHAnsi"/>
        </w:rPr>
      </w:pPr>
    </w:p>
    <w:p w14:paraId="499DB808" w14:textId="77777777" w:rsidR="00840AD2" w:rsidRDefault="00840AD2" w:rsidP="00840AD2">
      <w:pPr>
        <w:rPr>
          <w:kern w:val="32"/>
          <w:sz w:val="36"/>
          <w:szCs w:val="32"/>
        </w:rPr>
      </w:pPr>
      <w:r>
        <w:br w:type="page"/>
      </w:r>
    </w:p>
    <w:p w14:paraId="17508B49" w14:textId="77777777" w:rsidR="00840AD2" w:rsidRDefault="00840AD2" w:rsidP="00840AD2">
      <w:pPr>
        <w:pStyle w:val="Heading1"/>
        <w:rPr>
          <w:rFonts w:cstheme="minorHAnsi"/>
        </w:rPr>
      </w:pPr>
      <w:bookmarkStart w:id="65" w:name="_Toc478657404"/>
      <w:r w:rsidRPr="00500C4E">
        <w:rPr>
          <w:rFonts w:cstheme="minorHAnsi"/>
        </w:rPr>
        <w:lastRenderedPageBreak/>
        <w:t>Attachments</w:t>
      </w:r>
      <w:bookmarkEnd w:id="65"/>
    </w:p>
    <w:p w14:paraId="07FC2C11" w14:textId="77777777" w:rsidR="00840AD2" w:rsidRDefault="00840AD2" w:rsidP="00840AD2">
      <w:r>
        <w:t xml:space="preserve">Files included in a separate submission. </w:t>
      </w:r>
    </w:p>
    <w:p w14:paraId="703332A8" w14:textId="77777777" w:rsidR="00840AD2" w:rsidRPr="009F1FFA" w:rsidRDefault="00840AD2" w:rsidP="00840AD2">
      <w:pPr>
        <w:rPr>
          <w:b/>
        </w:rPr>
      </w:pPr>
    </w:p>
    <w:p w14:paraId="3D13482B" w14:textId="061FA2C7" w:rsidR="009F1FFA" w:rsidRDefault="009F1FFA" w:rsidP="009F1FFA">
      <w:pPr>
        <w:pStyle w:val="ListParagraph"/>
        <w:numPr>
          <w:ilvl w:val="0"/>
          <w:numId w:val="46"/>
        </w:numPr>
        <w:rPr>
          <w:b/>
        </w:rPr>
      </w:pPr>
      <w:r w:rsidRPr="009F1FFA">
        <w:rPr>
          <w:b/>
        </w:rPr>
        <w:t>WPSCGNRWH161222A —S</w:t>
      </w:r>
      <w:r w:rsidR="00096315">
        <w:rPr>
          <w:b/>
        </w:rPr>
        <w:t>avings Calculations</w:t>
      </w:r>
      <w:r w:rsidR="00564A1A">
        <w:rPr>
          <w:b/>
        </w:rPr>
        <w:t xml:space="preserve"> and </w:t>
      </w:r>
      <w:r w:rsidR="00C24760">
        <w:rPr>
          <w:b/>
        </w:rPr>
        <w:t>Assumptions</w:t>
      </w:r>
    </w:p>
    <w:p w14:paraId="4DA64361" w14:textId="77777777" w:rsidR="00BA0FFE" w:rsidRPr="009F1FFA" w:rsidRDefault="00BA0FFE" w:rsidP="00BA0FFE">
      <w:pPr>
        <w:pStyle w:val="ListParagraph"/>
        <w:rPr>
          <w:b/>
        </w:rPr>
      </w:pPr>
    </w:p>
    <w:p w14:paraId="7CD67C64" w14:textId="77777777" w:rsidR="00BA0FFE" w:rsidRDefault="009F1FFA" w:rsidP="00BA0FFE">
      <w:pPr>
        <w:pStyle w:val="ListParagraph"/>
        <w:numPr>
          <w:ilvl w:val="0"/>
          <w:numId w:val="46"/>
        </w:numPr>
        <w:rPr>
          <w:b/>
        </w:rPr>
      </w:pPr>
      <w:r w:rsidRPr="009F1FFA">
        <w:rPr>
          <w:b/>
        </w:rPr>
        <w:t>WPSCGNRWH161222A –CLEAResult Commercial Faucet Aerator Study</w:t>
      </w:r>
    </w:p>
    <w:p w14:paraId="00AD055A" w14:textId="0F9A83FA" w:rsidR="00840AD2" w:rsidRPr="00BA0FFE" w:rsidRDefault="009F1FFA" w:rsidP="00BA0FFE">
      <w:pPr>
        <w:rPr>
          <w:b/>
        </w:rPr>
      </w:pPr>
      <w:r w:rsidRPr="00BA0FFE">
        <w:rPr>
          <w:b/>
        </w:rPr>
        <w:t xml:space="preserve"> </w:t>
      </w:r>
    </w:p>
    <w:p w14:paraId="4B801563" w14:textId="2D0515BC" w:rsidR="00BA0FFE" w:rsidRPr="00BA0FFE" w:rsidRDefault="009F1FFA" w:rsidP="00BA0FFE">
      <w:pPr>
        <w:pStyle w:val="ListParagraph"/>
        <w:numPr>
          <w:ilvl w:val="0"/>
          <w:numId w:val="46"/>
        </w:numPr>
        <w:rPr>
          <w:b/>
        </w:rPr>
      </w:pPr>
      <w:r w:rsidRPr="009F1FFA">
        <w:rPr>
          <w:b/>
        </w:rPr>
        <w:t>WPSCGNRWH161222A —Sample Subset of Data Collected at Hospitals</w:t>
      </w:r>
    </w:p>
    <w:p w14:paraId="05E664EF" w14:textId="77777777" w:rsidR="00BA0FFE" w:rsidRPr="00BA0FFE" w:rsidRDefault="00BA0FFE" w:rsidP="00BA0FFE">
      <w:pPr>
        <w:pStyle w:val="ListParagraph"/>
        <w:rPr>
          <w:b/>
        </w:rPr>
      </w:pPr>
    </w:p>
    <w:p w14:paraId="4B108D05" w14:textId="4087CE60" w:rsidR="009F1FFA" w:rsidRPr="009F1FFA" w:rsidRDefault="009F1FFA" w:rsidP="00840AD2">
      <w:pPr>
        <w:pStyle w:val="ListParagraph"/>
        <w:numPr>
          <w:ilvl w:val="0"/>
          <w:numId w:val="46"/>
        </w:numPr>
        <w:rPr>
          <w:b/>
        </w:rPr>
      </w:pPr>
      <w:r w:rsidRPr="009F1FFA">
        <w:rPr>
          <w:b/>
        </w:rPr>
        <w:t xml:space="preserve">WPSCGNRWH161222A –Sample Subset of Data Collected at Hotels </w:t>
      </w:r>
    </w:p>
    <w:p w14:paraId="78A7DB96" w14:textId="18C84985" w:rsidR="00840AD2" w:rsidRDefault="00840AD2" w:rsidP="00E16609">
      <w:pPr>
        <w:pStyle w:val="Heading1"/>
        <w:rPr>
          <w:rFonts w:cstheme="minorHAnsi"/>
        </w:rPr>
      </w:pPr>
    </w:p>
    <w:p w14:paraId="5026F8D4" w14:textId="150C2917" w:rsidR="00C54EFF" w:rsidRPr="00A26E39" w:rsidRDefault="00840AD2" w:rsidP="00A26E39">
      <w:pPr>
        <w:rPr>
          <w:kern w:val="32"/>
          <w:sz w:val="36"/>
          <w:szCs w:val="32"/>
        </w:rPr>
      </w:pPr>
      <w:r>
        <w:br w:type="page"/>
      </w:r>
    </w:p>
    <w:p w14:paraId="5026F8D8" w14:textId="53EB768E" w:rsidR="00185C64" w:rsidRPr="003F26CC" w:rsidRDefault="00C54EFF" w:rsidP="003F26CC">
      <w:pPr>
        <w:pStyle w:val="Heading1"/>
        <w:spacing w:after="0"/>
        <w:rPr>
          <w:rFonts w:cstheme="minorHAnsi"/>
        </w:rPr>
      </w:pPr>
      <w:bookmarkStart w:id="66" w:name="_Toc478657405"/>
      <w:r w:rsidRPr="00500C4E">
        <w:rPr>
          <w:rFonts w:cstheme="minorHAnsi"/>
        </w:rPr>
        <w:lastRenderedPageBreak/>
        <w:t>References</w:t>
      </w:r>
      <w:bookmarkEnd w:id="66"/>
    </w:p>
    <w:sectPr w:rsidR="00185C64" w:rsidRPr="003F26CC"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EC894" w14:textId="77777777" w:rsidR="000C5443" w:rsidRDefault="000C5443" w:rsidP="00447D6E">
      <w:r>
        <w:separator/>
      </w:r>
    </w:p>
    <w:p w14:paraId="00B196E2" w14:textId="77777777" w:rsidR="000C5443" w:rsidRDefault="000C5443"/>
  </w:endnote>
  <w:endnote w:type="continuationSeparator" w:id="0">
    <w:p w14:paraId="74DD6827" w14:textId="77777777" w:rsidR="000C5443" w:rsidRDefault="000C5443" w:rsidP="00447D6E">
      <w:r>
        <w:continuationSeparator/>
      </w:r>
    </w:p>
    <w:p w14:paraId="6CF183E5" w14:textId="77777777" w:rsidR="000C5443" w:rsidRDefault="000C5443"/>
  </w:endnote>
  <w:endnote w:id="1">
    <w:p w14:paraId="5026F904" w14:textId="77777777" w:rsidR="00763C4D" w:rsidRPr="00464072" w:rsidRDefault="00763C4D">
      <w:pPr>
        <w:pStyle w:val="EndnoteText"/>
        <w:rPr>
          <w:rFonts w:asciiTheme="minorHAnsi" w:hAnsiTheme="minorHAnsi" w:cstheme="minorHAnsi"/>
          <w:sz w:val="22"/>
          <w:szCs w:val="22"/>
        </w:rPr>
      </w:pPr>
      <w:r w:rsidRPr="00464072">
        <w:rPr>
          <w:rStyle w:val="EndnoteReference"/>
          <w:rFonts w:asciiTheme="minorHAnsi" w:hAnsiTheme="minorHAnsi" w:cstheme="minorHAnsi"/>
          <w:sz w:val="22"/>
          <w:szCs w:val="22"/>
        </w:rPr>
        <w:endnoteRef/>
      </w:r>
      <w:r w:rsidRPr="00464072">
        <w:rPr>
          <w:rFonts w:asciiTheme="minorHAnsi" w:hAnsiTheme="minorHAnsi" w:cstheme="minorHAnsi"/>
          <w:sz w:val="22"/>
          <w:szCs w:val="22"/>
        </w:rPr>
        <w:t xml:space="preserve"> (2017, January 1). Section 210.0. </w:t>
      </w:r>
      <w:r w:rsidRPr="00464072">
        <w:rPr>
          <w:rFonts w:asciiTheme="minorHAnsi" w:hAnsiTheme="minorHAnsi" w:cstheme="minorHAnsi"/>
          <w:i/>
          <w:sz w:val="22"/>
          <w:szCs w:val="22"/>
        </w:rPr>
        <w:t>California Plumbing Code (Part 5, Title 24, California Code of Regulations</w:t>
      </w:r>
      <w:r w:rsidRPr="00464072">
        <w:rPr>
          <w:rFonts w:asciiTheme="minorHAnsi" w:hAnsiTheme="minorHAnsi" w:cstheme="minorHAnsi"/>
          <w:sz w:val="22"/>
          <w:szCs w:val="22"/>
        </w:rPr>
        <w:t xml:space="preserve">. </w:t>
      </w:r>
      <w:hyperlink r:id="rId1" w:history="1">
        <w:r w:rsidRPr="00464072">
          <w:rPr>
            <w:rStyle w:val="Hyperlink"/>
            <w:rFonts w:asciiTheme="minorHAnsi" w:hAnsiTheme="minorHAnsi" w:cstheme="minorHAnsi"/>
            <w:sz w:val="22"/>
            <w:szCs w:val="22"/>
          </w:rPr>
          <w:t>https://law.resource.org/pub/us/code/bsc.ca.gov/gov.ca.bsc.2016.05.pdf</w:t>
        </w:r>
      </w:hyperlink>
    </w:p>
    <w:p w14:paraId="5026F905" w14:textId="77777777" w:rsidR="00763C4D" w:rsidRPr="00464072" w:rsidRDefault="00763C4D">
      <w:pPr>
        <w:pStyle w:val="EndnoteText"/>
        <w:rPr>
          <w:rFonts w:asciiTheme="minorHAnsi" w:hAnsiTheme="minorHAnsi" w:cstheme="minorHAnsi"/>
          <w:sz w:val="22"/>
          <w:szCs w:val="22"/>
        </w:rPr>
      </w:pPr>
      <w:r w:rsidRPr="00464072">
        <w:rPr>
          <w:rFonts w:asciiTheme="minorHAnsi" w:hAnsiTheme="minorHAnsi" w:cstheme="minorHAnsi"/>
          <w:sz w:val="22"/>
          <w:szCs w:val="22"/>
        </w:rPr>
        <w:t xml:space="preserve"> </w:t>
      </w:r>
    </w:p>
  </w:endnote>
  <w:endnote w:id="2">
    <w:p w14:paraId="5026F906" w14:textId="77777777" w:rsidR="00763C4D" w:rsidRPr="00464072" w:rsidRDefault="00763C4D">
      <w:pPr>
        <w:pStyle w:val="EndnoteText"/>
        <w:rPr>
          <w:rFonts w:asciiTheme="minorHAnsi" w:hAnsiTheme="minorHAnsi" w:cstheme="minorHAnsi"/>
          <w:sz w:val="22"/>
          <w:szCs w:val="22"/>
        </w:rPr>
      </w:pPr>
      <w:r w:rsidRPr="00464072">
        <w:rPr>
          <w:rStyle w:val="EndnoteReference"/>
          <w:rFonts w:asciiTheme="minorHAnsi" w:hAnsiTheme="minorHAnsi" w:cstheme="minorHAnsi"/>
          <w:sz w:val="22"/>
          <w:szCs w:val="22"/>
        </w:rPr>
        <w:endnoteRef/>
      </w:r>
      <w:r w:rsidRPr="00464072">
        <w:rPr>
          <w:rFonts w:asciiTheme="minorHAnsi" w:hAnsiTheme="minorHAnsi" w:cstheme="minorHAnsi"/>
          <w:sz w:val="22"/>
          <w:szCs w:val="22"/>
        </w:rPr>
        <w:t xml:space="preserve"> Umesh, V., Sitaram, N. (2014, July). Hydraulic Performance of Faucet Aerator as Water Saving Device and Suggestions for its Improvements. </w:t>
      </w:r>
      <w:r w:rsidRPr="00464072">
        <w:rPr>
          <w:rFonts w:asciiTheme="minorHAnsi" w:hAnsiTheme="minorHAnsi" w:cstheme="minorHAnsi"/>
          <w:i/>
          <w:sz w:val="22"/>
          <w:szCs w:val="22"/>
        </w:rPr>
        <w:t>International Journal of Research in Engineering and Technology, Volume 3</w:t>
      </w:r>
      <w:r w:rsidRPr="00464072">
        <w:rPr>
          <w:rFonts w:asciiTheme="minorHAnsi" w:hAnsiTheme="minorHAnsi" w:cstheme="minorHAnsi"/>
          <w:sz w:val="22"/>
          <w:szCs w:val="22"/>
        </w:rPr>
        <w:t xml:space="preserve"> </w:t>
      </w:r>
      <w:r w:rsidRPr="00464072">
        <w:rPr>
          <w:rFonts w:asciiTheme="minorHAnsi" w:hAnsiTheme="minorHAnsi" w:cstheme="minorHAnsi"/>
          <w:i/>
          <w:sz w:val="22"/>
          <w:szCs w:val="22"/>
        </w:rPr>
        <w:t>(Issue 7)</w:t>
      </w:r>
      <w:r w:rsidRPr="00464072">
        <w:rPr>
          <w:rFonts w:asciiTheme="minorHAnsi" w:hAnsiTheme="minorHAnsi" w:cstheme="minorHAnsi"/>
          <w:sz w:val="22"/>
          <w:szCs w:val="22"/>
        </w:rPr>
        <w:t xml:space="preserve">. </w:t>
      </w:r>
      <w:hyperlink r:id="rId2" w:history="1">
        <w:r w:rsidRPr="00464072">
          <w:rPr>
            <w:rStyle w:val="Hyperlink"/>
            <w:rFonts w:asciiTheme="minorHAnsi" w:hAnsiTheme="minorHAnsi" w:cstheme="minorHAnsi"/>
            <w:sz w:val="22"/>
            <w:szCs w:val="22"/>
          </w:rPr>
          <w:t>http://www.academia.edu/7815182/HYDRAULIC_PEROFORMNACE_OF_FAUCET_AERATOR_AS_WATER_SAVING_DEVICE_AND_SUGGESTIONS_FOR_ITS_IMPROVEMENTS</w:t>
        </w:r>
      </w:hyperlink>
    </w:p>
    <w:p w14:paraId="5026F907" w14:textId="77777777" w:rsidR="00763C4D" w:rsidRPr="00464072" w:rsidRDefault="00763C4D">
      <w:pPr>
        <w:pStyle w:val="EndnoteText"/>
        <w:rPr>
          <w:rFonts w:asciiTheme="minorHAnsi" w:hAnsiTheme="minorHAnsi" w:cstheme="minorHAnsi"/>
          <w:sz w:val="22"/>
          <w:szCs w:val="22"/>
        </w:rPr>
      </w:pPr>
    </w:p>
  </w:endnote>
  <w:endnote w:id="3">
    <w:p w14:paraId="5026F908" w14:textId="77777777" w:rsidR="00763C4D" w:rsidRPr="00464072" w:rsidRDefault="00763C4D" w:rsidP="003B5420">
      <w:pPr>
        <w:pStyle w:val="EndnoteText"/>
        <w:rPr>
          <w:rFonts w:asciiTheme="minorHAnsi" w:hAnsiTheme="minorHAnsi" w:cstheme="minorHAnsi"/>
          <w:sz w:val="22"/>
          <w:szCs w:val="22"/>
        </w:rPr>
      </w:pPr>
      <w:r w:rsidRPr="00464072">
        <w:rPr>
          <w:rStyle w:val="EndnoteReference"/>
          <w:rFonts w:asciiTheme="minorHAnsi" w:hAnsiTheme="minorHAnsi" w:cstheme="minorHAnsi"/>
          <w:sz w:val="22"/>
          <w:szCs w:val="22"/>
        </w:rPr>
        <w:endnoteRef/>
      </w:r>
      <w:r w:rsidRPr="00464072">
        <w:rPr>
          <w:rFonts w:asciiTheme="minorHAnsi" w:hAnsiTheme="minorHAnsi" w:cstheme="minorHAnsi"/>
          <w:sz w:val="22"/>
          <w:szCs w:val="22"/>
        </w:rPr>
        <w:t xml:space="preserve"> National Association of Home Builders, Bank of America Home Equity. (2007, February). </w:t>
      </w:r>
      <w:r w:rsidRPr="00464072">
        <w:rPr>
          <w:rFonts w:asciiTheme="minorHAnsi" w:hAnsiTheme="minorHAnsi" w:cstheme="minorHAnsi"/>
          <w:i/>
          <w:sz w:val="22"/>
          <w:szCs w:val="22"/>
        </w:rPr>
        <w:t>Study of Life Expectancy of Home Components</w:t>
      </w:r>
      <w:r w:rsidRPr="00464072">
        <w:rPr>
          <w:rFonts w:asciiTheme="minorHAnsi" w:hAnsiTheme="minorHAnsi" w:cstheme="minorHAnsi"/>
          <w:sz w:val="22"/>
          <w:szCs w:val="22"/>
        </w:rPr>
        <w:t xml:space="preserve">, p. 12.  </w:t>
      </w:r>
    </w:p>
    <w:p w14:paraId="5026F909" w14:textId="77777777" w:rsidR="00763C4D" w:rsidRPr="00464072" w:rsidRDefault="00763C4D" w:rsidP="003B5420">
      <w:pPr>
        <w:pStyle w:val="EndnoteText"/>
        <w:rPr>
          <w:rFonts w:asciiTheme="minorHAnsi" w:hAnsiTheme="minorHAnsi" w:cstheme="minorHAnsi"/>
          <w:sz w:val="22"/>
          <w:szCs w:val="22"/>
        </w:rPr>
      </w:pPr>
    </w:p>
  </w:endnote>
  <w:endnote w:id="4">
    <w:p w14:paraId="5026F90A" w14:textId="77777777" w:rsidR="00763C4D" w:rsidRPr="00464072" w:rsidRDefault="00763C4D" w:rsidP="003B5420">
      <w:pPr>
        <w:pStyle w:val="EndnoteText"/>
        <w:rPr>
          <w:rFonts w:asciiTheme="minorHAnsi" w:hAnsiTheme="minorHAnsi" w:cstheme="minorHAnsi"/>
          <w:sz w:val="22"/>
          <w:szCs w:val="22"/>
        </w:rPr>
      </w:pPr>
      <w:r w:rsidRPr="00464072">
        <w:rPr>
          <w:rStyle w:val="EndnoteReference"/>
          <w:rFonts w:asciiTheme="minorHAnsi" w:hAnsiTheme="minorHAnsi" w:cstheme="minorHAnsi"/>
          <w:sz w:val="22"/>
          <w:szCs w:val="22"/>
        </w:rPr>
        <w:endnoteRef/>
      </w:r>
      <w:r w:rsidRPr="00464072">
        <w:rPr>
          <w:rFonts w:asciiTheme="minorHAnsi" w:hAnsiTheme="minorHAnsi" w:cstheme="minorHAnsi"/>
          <w:sz w:val="22"/>
          <w:szCs w:val="22"/>
        </w:rPr>
        <w:t xml:space="preserve"> Glacier Bay Faucets. 20 Year Warranty Guarantee. </w:t>
      </w:r>
    </w:p>
    <w:p w14:paraId="5026F90B" w14:textId="77777777" w:rsidR="00763C4D" w:rsidRPr="00464072" w:rsidRDefault="00763C4D" w:rsidP="003B5420">
      <w:pPr>
        <w:pStyle w:val="EndnoteText"/>
        <w:rPr>
          <w:rFonts w:asciiTheme="minorHAnsi" w:hAnsiTheme="minorHAnsi" w:cstheme="minorHAnsi"/>
          <w:sz w:val="22"/>
          <w:szCs w:val="22"/>
        </w:rPr>
      </w:pPr>
    </w:p>
  </w:endnote>
  <w:endnote w:id="5">
    <w:p w14:paraId="5026F90C" w14:textId="77777777" w:rsidR="00763C4D" w:rsidRPr="00464072" w:rsidRDefault="00763C4D" w:rsidP="003B5420">
      <w:pPr>
        <w:pStyle w:val="EndnoteText"/>
        <w:rPr>
          <w:rFonts w:asciiTheme="minorHAnsi" w:hAnsiTheme="minorHAnsi" w:cstheme="minorHAnsi"/>
          <w:sz w:val="22"/>
          <w:szCs w:val="22"/>
        </w:rPr>
      </w:pPr>
      <w:r w:rsidRPr="00464072">
        <w:rPr>
          <w:rStyle w:val="EndnoteReference"/>
          <w:rFonts w:asciiTheme="minorHAnsi" w:hAnsiTheme="minorHAnsi" w:cstheme="minorHAnsi"/>
          <w:sz w:val="22"/>
          <w:szCs w:val="22"/>
        </w:rPr>
        <w:endnoteRef/>
      </w:r>
      <w:r w:rsidRPr="00464072">
        <w:rPr>
          <w:rFonts w:asciiTheme="minorHAnsi" w:hAnsiTheme="minorHAnsi" w:cstheme="minorHAnsi"/>
          <w:sz w:val="22"/>
          <w:szCs w:val="22"/>
        </w:rPr>
        <w:t xml:space="preserve"> InterNACHI’s Standard Estimated Life Expectancy Chart for Homes. </w:t>
      </w:r>
      <w:hyperlink r:id="rId3" w:history="1">
        <w:r w:rsidRPr="00464072">
          <w:rPr>
            <w:rStyle w:val="Hyperlink"/>
            <w:rFonts w:asciiTheme="minorHAnsi" w:hAnsiTheme="minorHAnsi" w:cstheme="minorHAnsi"/>
            <w:sz w:val="22"/>
            <w:szCs w:val="22"/>
          </w:rPr>
          <w:t>http://www.nachi.org/life-expectancy.htm</w:t>
        </w:r>
      </w:hyperlink>
    </w:p>
    <w:p w14:paraId="5026F90D" w14:textId="77777777" w:rsidR="00763C4D" w:rsidRPr="00464072" w:rsidRDefault="00763C4D" w:rsidP="003B5420">
      <w:pPr>
        <w:pStyle w:val="EndnoteText"/>
        <w:rPr>
          <w:rFonts w:asciiTheme="minorHAnsi" w:hAnsiTheme="minorHAnsi" w:cstheme="minorHAnsi"/>
          <w:sz w:val="22"/>
          <w:szCs w:val="22"/>
        </w:rPr>
      </w:pPr>
    </w:p>
  </w:endnote>
  <w:endnote w:id="6">
    <w:p w14:paraId="3E774D56" w14:textId="4C7C7986" w:rsidR="00763C4D" w:rsidRPr="00464072" w:rsidRDefault="00763C4D">
      <w:pPr>
        <w:pStyle w:val="EndnoteText"/>
        <w:rPr>
          <w:rFonts w:asciiTheme="minorHAnsi" w:hAnsiTheme="minorHAnsi" w:cstheme="minorHAnsi"/>
          <w:sz w:val="22"/>
          <w:szCs w:val="22"/>
        </w:rPr>
      </w:pPr>
      <w:r w:rsidRPr="00464072">
        <w:rPr>
          <w:rStyle w:val="EndnoteReference"/>
          <w:rFonts w:asciiTheme="minorHAnsi" w:hAnsiTheme="minorHAnsi" w:cstheme="minorHAnsi"/>
          <w:sz w:val="22"/>
          <w:szCs w:val="22"/>
        </w:rPr>
        <w:endnoteRef/>
      </w:r>
      <w:r w:rsidRPr="00464072">
        <w:rPr>
          <w:rFonts w:asciiTheme="minorHAnsi" w:hAnsiTheme="minorHAnsi" w:cstheme="minorHAnsi"/>
          <w:sz w:val="22"/>
          <w:szCs w:val="22"/>
        </w:rPr>
        <w:t xml:space="preserve"> DEER-WaterHeater-Calculator-v1.0, CZ2010 Weather Files for 2013 Title-24</w:t>
      </w:r>
      <w:r w:rsidR="00633DCC">
        <w:rPr>
          <w:rFonts w:asciiTheme="minorHAnsi" w:hAnsiTheme="minorHAnsi" w:cstheme="minorHAnsi"/>
          <w:sz w:val="22"/>
          <w:szCs w:val="22"/>
        </w:rPr>
        <w:t>.</w:t>
      </w:r>
    </w:p>
    <w:p w14:paraId="5758497E" w14:textId="77777777" w:rsidR="00763C4D" w:rsidRPr="00464072" w:rsidRDefault="00763C4D">
      <w:pPr>
        <w:pStyle w:val="EndnoteText"/>
        <w:rPr>
          <w:rFonts w:asciiTheme="minorHAnsi" w:hAnsiTheme="minorHAnsi" w:cstheme="minorHAnsi"/>
          <w:sz w:val="22"/>
          <w:szCs w:val="22"/>
        </w:rPr>
      </w:pPr>
    </w:p>
  </w:endnote>
  <w:endnote w:id="7">
    <w:p w14:paraId="2B140A84" w14:textId="77777777" w:rsidR="003313FE" w:rsidRDefault="003313FE" w:rsidP="003313FE">
      <w:pPr>
        <w:pStyle w:val="EndnoteText"/>
        <w:rPr>
          <w:rFonts w:asciiTheme="minorHAnsi" w:hAnsiTheme="minorHAnsi" w:cstheme="minorHAnsi"/>
          <w:sz w:val="22"/>
          <w:szCs w:val="22"/>
        </w:rPr>
      </w:pPr>
      <w:r w:rsidRPr="00CF07AA">
        <w:rPr>
          <w:rStyle w:val="EndnoteReference"/>
          <w:rFonts w:asciiTheme="minorHAnsi" w:hAnsiTheme="minorHAnsi" w:cstheme="minorHAnsi"/>
          <w:sz w:val="22"/>
          <w:szCs w:val="22"/>
        </w:rPr>
        <w:endnoteRef/>
      </w:r>
      <w:r w:rsidRPr="00CF07AA">
        <w:rPr>
          <w:rFonts w:asciiTheme="minorHAnsi" w:hAnsiTheme="minorHAnsi" w:cstheme="minorHAnsi"/>
          <w:sz w:val="22"/>
          <w:szCs w:val="22"/>
        </w:rPr>
        <w:t xml:space="preserve"> </w:t>
      </w:r>
      <w:r w:rsidRPr="00CF07AA">
        <w:rPr>
          <w:rFonts w:asciiTheme="minorHAnsi" w:hAnsiTheme="minorHAnsi" w:cstheme="minorHAnsi"/>
          <w:i/>
          <w:sz w:val="22"/>
          <w:szCs w:val="22"/>
        </w:rPr>
        <w:t>DEER DHW Properties Worksheet</w:t>
      </w:r>
      <w:r w:rsidRPr="00CF07AA">
        <w:rPr>
          <w:rFonts w:asciiTheme="minorHAnsi" w:hAnsiTheme="minorHAnsi" w:cstheme="minorHAnsi"/>
          <w:sz w:val="22"/>
          <w:szCs w:val="22"/>
        </w:rPr>
        <w:t>.</w:t>
      </w:r>
      <w:r w:rsidRPr="00CF07AA">
        <w:rPr>
          <w:rFonts w:asciiTheme="minorHAnsi" w:hAnsiTheme="minorHAnsi" w:cstheme="minorHAnsi"/>
          <w:i/>
          <w:sz w:val="22"/>
          <w:szCs w:val="22"/>
        </w:rPr>
        <w:t xml:space="preserve"> </w:t>
      </w:r>
      <w:r w:rsidRPr="00CF07AA">
        <w:rPr>
          <w:rFonts w:asciiTheme="minorHAnsi" w:hAnsiTheme="minorHAnsi" w:cstheme="minorHAnsi"/>
          <w:sz w:val="22"/>
          <w:szCs w:val="22"/>
        </w:rPr>
        <w:t>DEER-WaterHeater-Calculator-v1.0.</w:t>
      </w:r>
    </w:p>
    <w:p w14:paraId="3AE43AF4" w14:textId="77777777" w:rsidR="003313FE" w:rsidRPr="00464072" w:rsidRDefault="003313FE" w:rsidP="003313FE">
      <w:pPr>
        <w:pStyle w:val="EndnoteText"/>
        <w:rPr>
          <w:rFonts w:asciiTheme="minorHAnsi" w:hAnsiTheme="minorHAnsi" w:cstheme="minorHAnsi"/>
          <w:sz w:val="22"/>
          <w:szCs w:val="22"/>
        </w:rPr>
      </w:pPr>
    </w:p>
  </w:endnote>
  <w:endnote w:id="8">
    <w:p w14:paraId="60B663AD" w14:textId="77777777" w:rsidR="003313FE" w:rsidRPr="00466EF8" w:rsidRDefault="003313FE" w:rsidP="003313FE">
      <w:pPr>
        <w:pStyle w:val="EndnoteText"/>
        <w:rPr>
          <w:rFonts w:asciiTheme="minorHAnsi" w:hAnsiTheme="minorHAnsi" w:cstheme="minorHAnsi"/>
          <w:sz w:val="22"/>
        </w:rPr>
      </w:pPr>
      <w:r w:rsidRPr="00466EF8">
        <w:rPr>
          <w:rStyle w:val="EndnoteReference"/>
          <w:rFonts w:asciiTheme="minorHAnsi" w:hAnsiTheme="minorHAnsi" w:cstheme="minorHAnsi"/>
          <w:sz w:val="22"/>
        </w:rPr>
        <w:endnoteRef/>
      </w:r>
      <w:r w:rsidRPr="00466EF8">
        <w:rPr>
          <w:rFonts w:asciiTheme="minorHAnsi" w:hAnsiTheme="minorHAnsi" w:cstheme="minorHAnsi"/>
          <w:sz w:val="22"/>
        </w:rPr>
        <w:t xml:space="preserve"> Itron, Inc., (2016, February 23). </w:t>
      </w:r>
      <w:r w:rsidRPr="006A6116">
        <w:rPr>
          <w:rFonts w:asciiTheme="minorHAnsi" w:hAnsiTheme="minorHAnsi" w:cstheme="minorHAnsi"/>
          <w:sz w:val="22"/>
        </w:rPr>
        <w:t xml:space="preserve">Combustion Efficiency Analysis, p. 4-9. </w:t>
      </w:r>
      <w:r w:rsidRPr="006A6116">
        <w:rPr>
          <w:rFonts w:asciiTheme="minorHAnsi" w:hAnsiTheme="minorHAnsi" w:cstheme="minorHAnsi"/>
          <w:i/>
          <w:sz w:val="22"/>
        </w:rPr>
        <w:t>2014 Nonresidential Downstream Deemed ESPI Pipe Insulation Impact Evaluation Report</w:t>
      </w:r>
      <w:r>
        <w:rPr>
          <w:rFonts w:asciiTheme="minorHAnsi" w:hAnsiTheme="minorHAnsi" w:cstheme="minorHAnsi"/>
          <w:sz w:val="22"/>
        </w:rPr>
        <w:t xml:space="preserve">. </w:t>
      </w:r>
    </w:p>
    <w:p w14:paraId="501AD729" w14:textId="77777777" w:rsidR="003313FE" w:rsidRDefault="003313FE" w:rsidP="003313F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6F8FE" w14:textId="3B86D155" w:rsidR="00763C4D" w:rsidRDefault="005A50B7" w:rsidP="00F571A6">
    <w:pPr>
      <w:pStyle w:val="Footer"/>
      <w:jc w:val="right"/>
      <w:rPr>
        <w:rFonts w:cstheme="minorHAnsi"/>
        <w:b/>
        <w:sz w:val="36"/>
        <w:szCs w:val="36"/>
      </w:rPr>
    </w:pPr>
    <w:sdt>
      <w:sdtPr>
        <w:rPr>
          <w:rFonts w:cstheme="minorHAnsi"/>
          <w:b/>
          <w:sz w:val="36"/>
          <w:szCs w:val="36"/>
        </w:rPr>
        <w:alias w:val="Date"/>
        <w:tag w:val=""/>
        <w:id w:val="1784382578"/>
        <w:placeholder>
          <w:docPart w:val="F35B0C5DED46403682E831B0B6DC2920"/>
        </w:placeholder>
        <w:dataBinding w:prefixMappings="xmlns:ns0='http://schemas.microsoft.com/office/2006/coverPageProps' " w:xpath="/ns0:CoverPageProperties[1]/ns0:PublishDate[1]" w:storeItemID="{55AF091B-3C7A-41E3-B477-F2FDAA23CFDA}"/>
        <w:date w:fullDate="2017-03-24T00:00:00Z">
          <w:dateFormat w:val="MMMM d, yyyy"/>
          <w:lid w:val="en-US"/>
          <w:storeMappedDataAs w:val="dateTime"/>
          <w:calendar w:val="gregorian"/>
        </w:date>
      </w:sdtPr>
      <w:sdtEndPr/>
      <w:sdtContent>
        <w:r w:rsidR="00763C4D">
          <w:rPr>
            <w:rFonts w:cstheme="minorHAnsi"/>
            <w:b/>
            <w:sz w:val="36"/>
            <w:szCs w:val="36"/>
          </w:rPr>
          <w:t>March 24, 2017</w:t>
        </w:r>
      </w:sdtContent>
    </w:sdt>
  </w:p>
  <w:p w14:paraId="5026F8FF" w14:textId="77777777" w:rsidR="00763C4D" w:rsidRPr="009500DC" w:rsidRDefault="00763C4D"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6F900" w14:textId="526A792E" w:rsidR="00763C4D" w:rsidRPr="009500DC" w:rsidRDefault="005A50B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Pr>
            <w:rFonts w:cstheme="minorHAnsi"/>
            <w:b/>
            <w:sz w:val="20"/>
            <w:szCs w:val="20"/>
          </w:rPr>
          <w:t>WPSCGNRWH161222A</w:t>
        </w:r>
      </w:sdtContent>
    </w:sdt>
    <w:r w:rsidR="00763C4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63C4D">
          <w:rPr>
            <w:rFonts w:cstheme="minorHAnsi"/>
            <w:b/>
            <w:sz w:val="20"/>
            <w:szCs w:val="20"/>
          </w:rPr>
          <w:t>Revision 0</w:t>
        </w:r>
      </w:sdtContent>
    </w:sdt>
    <w:r w:rsidR="00763C4D" w:rsidRPr="009500DC">
      <w:rPr>
        <w:rFonts w:cstheme="minorHAnsi"/>
        <w:b/>
        <w:sz w:val="20"/>
        <w:szCs w:val="20"/>
      </w:rPr>
      <w:tab/>
    </w:r>
    <w:r w:rsidR="00763C4D" w:rsidRPr="009500DC">
      <w:rPr>
        <w:rFonts w:cstheme="minorHAnsi"/>
        <w:b/>
        <w:sz w:val="20"/>
        <w:szCs w:val="20"/>
      </w:rPr>
      <w:fldChar w:fldCharType="begin"/>
    </w:r>
    <w:r w:rsidR="00763C4D" w:rsidRPr="009500DC">
      <w:rPr>
        <w:rFonts w:cstheme="minorHAnsi"/>
        <w:b/>
        <w:sz w:val="20"/>
        <w:szCs w:val="20"/>
      </w:rPr>
      <w:instrText xml:space="preserve"> PAGE   \* MERGEFORMAT </w:instrText>
    </w:r>
    <w:r w:rsidR="00763C4D" w:rsidRPr="009500DC">
      <w:rPr>
        <w:rFonts w:cstheme="minorHAnsi"/>
        <w:b/>
        <w:sz w:val="20"/>
        <w:szCs w:val="20"/>
      </w:rPr>
      <w:fldChar w:fldCharType="separate"/>
    </w:r>
    <w:r>
      <w:rPr>
        <w:rFonts w:cstheme="minorHAnsi"/>
        <w:b/>
        <w:noProof/>
        <w:sz w:val="20"/>
        <w:szCs w:val="20"/>
      </w:rPr>
      <w:t>2</w:t>
    </w:r>
    <w:r w:rsidR="00763C4D" w:rsidRPr="009500DC">
      <w:rPr>
        <w:rFonts w:cstheme="minorHAnsi"/>
        <w:b/>
        <w:noProof/>
        <w:sz w:val="20"/>
        <w:szCs w:val="20"/>
      </w:rPr>
      <w:fldChar w:fldCharType="end"/>
    </w:r>
    <w:r w:rsidR="00763C4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3-24T00:00:00Z">
          <w:dateFormat w:val="MMMM d, yyyy"/>
          <w:lid w:val="en-US"/>
          <w:storeMappedDataAs w:val="dateTime"/>
          <w:calendar w:val="gregorian"/>
        </w:date>
      </w:sdtPr>
      <w:sdtEndPr/>
      <w:sdtContent>
        <w:r w:rsidR="00763C4D">
          <w:rPr>
            <w:rFonts w:cstheme="minorHAnsi"/>
            <w:b/>
            <w:sz w:val="20"/>
            <w:szCs w:val="20"/>
          </w:rPr>
          <w:t>March 24, 2017</w:t>
        </w:r>
      </w:sdtContent>
    </w:sdt>
  </w:p>
  <w:p w14:paraId="5026F901" w14:textId="77777777" w:rsidR="00763C4D" w:rsidRPr="009500DC" w:rsidRDefault="005A50B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763C4D">
          <w:rPr>
            <w:rFonts w:cstheme="minorHAnsi"/>
            <w:b/>
            <w:sz w:val="20"/>
            <w:szCs w:val="20"/>
          </w:rPr>
          <w:t>Southern California Gas Company</w:t>
        </w:r>
      </w:sdtContent>
    </w:sdt>
  </w:p>
  <w:p w14:paraId="5026F902" w14:textId="77777777" w:rsidR="00763C4D" w:rsidRDefault="00763C4D"/>
  <w:p w14:paraId="5026F903" w14:textId="77777777" w:rsidR="00763C4D" w:rsidRDefault="00763C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2ECB6" w14:textId="77777777" w:rsidR="000C5443" w:rsidRDefault="000C5443" w:rsidP="00447D6E">
      <w:r>
        <w:separator/>
      </w:r>
    </w:p>
    <w:p w14:paraId="136FDDC2" w14:textId="77777777" w:rsidR="000C5443" w:rsidRDefault="000C5443"/>
  </w:footnote>
  <w:footnote w:type="continuationSeparator" w:id="0">
    <w:p w14:paraId="69710E9C" w14:textId="77777777" w:rsidR="000C5443" w:rsidRDefault="000C5443" w:rsidP="00447D6E">
      <w:r>
        <w:continuationSeparator/>
      </w:r>
    </w:p>
    <w:p w14:paraId="314A7441" w14:textId="77777777" w:rsidR="000C5443" w:rsidRDefault="000C54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5F821F9"/>
    <w:multiLevelType w:val="multilevel"/>
    <w:tmpl w:val="036CAF5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25C19D9"/>
    <w:multiLevelType w:val="multilevel"/>
    <w:tmpl w:val="7660B2FC"/>
    <w:lvl w:ilvl="0">
      <w:start w:val="1"/>
      <w:numFmt w:val="decimal"/>
      <w:pStyle w:val="WPSCT"/>
      <w:suff w:val="nothing"/>
      <w:lvlText w:val="SECTION %1 - "/>
      <w:lvlJc w:val="left"/>
      <w:pPr>
        <w:ind w:left="576" w:hanging="576"/>
      </w:pPr>
      <w:rPr>
        <w:rFonts w:ascii="Arial" w:hAnsi="Arial" w:cs="Times New Roman" w:hint="default"/>
        <w:b/>
        <w:i w:val="0"/>
        <w:sz w:val="20"/>
      </w:rPr>
    </w:lvl>
    <w:lvl w:ilvl="1">
      <w:start w:val="1"/>
      <w:numFmt w:val="decimalZero"/>
      <w:pStyle w:val="ART"/>
      <w:lvlText w:val="%1.%2"/>
      <w:lvlJc w:val="left"/>
      <w:pPr>
        <w:tabs>
          <w:tab w:val="num" w:pos="720"/>
        </w:tabs>
        <w:ind w:left="720" w:hanging="720"/>
      </w:pPr>
      <w:rPr>
        <w:b/>
        <w:i w:val="0"/>
      </w:rPr>
    </w:lvl>
    <w:lvl w:ilvl="2">
      <w:start w:val="1"/>
      <w:numFmt w:val="upperLetter"/>
      <w:pStyle w:val="PR1"/>
      <w:lvlText w:val="%3."/>
      <w:lvlJc w:val="left"/>
      <w:pPr>
        <w:tabs>
          <w:tab w:val="num" w:pos="1152"/>
        </w:tabs>
        <w:ind w:left="1152" w:hanging="432"/>
      </w:pPr>
      <w:rPr>
        <w:rFonts w:ascii="Arial" w:hAnsi="Arial" w:cs="Arial" w:hint="default"/>
        <w:color w:val="auto"/>
      </w:rPr>
    </w:lvl>
    <w:lvl w:ilvl="3">
      <w:start w:val="1"/>
      <w:numFmt w:val="decimal"/>
      <w:pStyle w:val="PR2"/>
      <w:lvlText w:val="%4."/>
      <w:lvlJc w:val="left"/>
      <w:pPr>
        <w:tabs>
          <w:tab w:val="num" w:pos="1584"/>
        </w:tabs>
        <w:ind w:left="1584" w:hanging="432"/>
      </w:pPr>
      <w:rPr>
        <w:rFonts w:ascii="Arial" w:hAnsi="Arial" w:cs="Times New Roman" w:hint="default"/>
        <w:b w:val="0"/>
        <w:i w:val="0"/>
        <w:sz w:val="20"/>
      </w:rPr>
    </w:lvl>
    <w:lvl w:ilvl="4">
      <w:start w:val="1"/>
      <w:numFmt w:val="lowerLetter"/>
      <w:pStyle w:val="PR3"/>
      <w:lvlText w:val="%5."/>
      <w:lvlJc w:val="left"/>
      <w:pPr>
        <w:tabs>
          <w:tab w:val="num" w:pos="2016"/>
        </w:tabs>
        <w:ind w:left="2016" w:hanging="432"/>
      </w:pPr>
      <w:rPr>
        <w:rFonts w:ascii="Arial" w:hAnsi="Arial" w:cs="Times New Roman" w:hint="default"/>
        <w:b w:val="0"/>
        <w:i w:val="0"/>
        <w:sz w:val="20"/>
      </w:rPr>
    </w:lvl>
    <w:lvl w:ilvl="5">
      <w:start w:val="1"/>
      <w:numFmt w:val="lowerRoman"/>
      <w:pStyle w:val="PR4"/>
      <w:lvlText w:val="%6."/>
      <w:lvlJc w:val="left"/>
      <w:pPr>
        <w:tabs>
          <w:tab w:val="num" w:pos="2700"/>
        </w:tabs>
        <w:ind w:left="2412" w:hanging="432"/>
      </w:pPr>
      <w:rPr>
        <w:rFonts w:ascii="Arial" w:hAnsi="Arial" w:cs="Times New Roman" w:hint="default"/>
        <w:b w:val="0"/>
        <w:i w:val="0"/>
        <w:sz w:val="20"/>
      </w:rPr>
    </w:lvl>
    <w:lvl w:ilvl="6">
      <w:start w:val="1"/>
      <w:numFmt w:val="lowerLetter"/>
      <w:pStyle w:val="PR5"/>
      <w:lvlText w:val="%7)"/>
      <w:lvlJc w:val="left"/>
      <w:pPr>
        <w:tabs>
          <w:tab w:val="num" w:pos="2880"/>
        </w:tabs>
        <w:ind w:left="2880" w:hanging="432"/>
      </w:pPr>
      <w:rPr>
        <w:rFonts w:ascii="Arial" w:hAnsi="Arial" w:cs="Times New Roman" w:hint="default"/>
        <w:b w:val="0"/>
        <w:i w:val="0"/>
        <w:sz w:val="20"/>
      </w:rPr>
    </w:lvl>
    <w:lvl w:ilvl="7">
      <w:start w:val="1"/>
      <w:numFmt w:val="lowerRoman"/>
      <w:pStyle w:val="PR6"/>
      <w:lvlText w:val="%8)"/>
      <w:lvlJc w:val="left"/>
      <w:pPr>
        <w:tabs>
          <w:tab w:val="num" w:pos="3600"/>
        </w:tabs>
        <w:ind w:left="3312" w:hanging="432"/>
      </w:pPr>
      <w:rPr>
        <w:rFonts w:ascii="Arial" w:hAnsi="Arial" w:cs="Times New Roman" w:hint="default"/>
        <w:b w:val="0"/>
        <w:i w:val="0"/>
        <w:sz w:val="20"/>
      </w:rPr>
    </w:lvl>
    <w:lvl w:ilvl="8">
      <w:start w:val="27"/>
      <w:numFmt w:val="lowerLetter"/>
      <w:pStyle w:val="PR7"/>
      <w:lvlText w:val="%9)"/>
      <w:lvlJc w:val="left"/>
      <w:pPr>
        <w:tabs>
          <w:tab w:val="num" w:pos="3744"/>
        </w:tabs>
        <w:ind w:left="3744" w:hanging="432"/>
      </w:pPr>
      <w:rPr>
        <w:rFonts w:ascii="Arial" w:hAnsi="Arial" w:cs="Times New Roman" w:hint="default"/>
        <w:b w:val="0"/>
        <w:i w:val="0"/>
        <w:sz w:val="20"/>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455A5"/>
    <w:multiLevelType w:val="hybridMultilevel"/>
    <w:tmpl w:val="AFA4DD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A71D27"/>
    <w:multiLevelType w:val="hybridMultilevel"/>
    <w:tmpl w:val="3490E2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A5D7E"/>
    <w:multiLevelType w:val="multilevel"/>
    <w:tmpl w:val="D5AA83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797445"/>
    <w:multiLevelType w:val="hybridMultilevel"/>
    <w:tmpl w:val="AD228E2C"/>
    <w:lvl w:ilvl="0" w:tplc="0409000F">
      <w:start w:val="1"/>
      <w:numFmt w:val="decimal"/>
      <w:lvlText w:val="%1."/>
      <w:lvlJc w:val="left"/>
      <w:pPr>
        <w:ind w:left="720" w:hanging="360"/>
      </w:pPr>
      <w:rPr>
        <w:rFonts w:hint="default"/>
        <w:color w:val="auto"/>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D6765A"/>
    <w:multiLevelType w:val="hybridMultilevel"/>
    <w:tmpl w:val="9A7E60FC"/>
    <w:lvl w:ilvl="0" w:tplc="2B06E632">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40BD3"/>
    <w:multiLevelType w:val="hybridMultilevel"/>
    <w:tmpl w:val="FD7631F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D577F6"/>
    <w:multiLevelType w:val="hybridMultilevel"/>
    <w:tmpl w:val="EE8E4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81C3C"/>
    <w:multiLevelType w:val="hybridMultilevel"/>
    <w:tmpl w:val="D9D206FC"/>
    <w:lvl w:ilvl="0" w:tplc="C67C15F2">
      <w:start w:val="1"/>
      <w:numFmt w:val="bullet"/>
      <w:lvlText w:val=""/>
      <w:lvlJc w:val="left"/>
      <w:pPr>
        <w:ind w:left="720" w:hanging="360"/>
      </w:pPr>
      <w:rPr>
        <w:rFonts w:ascii="Symbol" w:hAnsi="Symbol" w:hint="default"/>
        <w:color w:val="FF0000"/>
      </w:rPr>
    </w:lvl>
    <w:lvl w:ilvl="1" w:tplc="4454C7D0">
      <w:start w:val="1"/>
      <w:numFmt w:val="bullet"/>
      <w:lvlText w:val="o"/>
      <w:lvlJc w:val="left"/>
      <w:pPr>
        <w:ind w:left="1440" w:hanging="360"/>
      </w:pPr>
      <w:rPr>
        <w:rFonts w:ascii="Courier New" w:hAnsi="Courier New" w:cs="Courier New" w:hint="default"/>
        <w:color w:val="0070C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545250"/>
    <w:multiLevelType w:val="hybridMultilevel"/>
    <w:tmpl w:val="45DC7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977E32"/>
    <w:multiLevelType w:val="hybridMultilevel"/>
    <w:tmpl w:val="FDB6E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F7923"/>
    <w:multiLevelType w:val="hybridMultilevel"/>
    <w:tmpl w:val="0C00C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E90C0E"/>
    <w:multiLevelType w:val="hybridMultilevel"/>
    <w:tmpl w:val="D8DE5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9E3529"/>
    <w:multiLevelType w:val="hybridMultilevel"/>
    <w:tmpl w:val="5FBAE18E"/>
    <w:lvl w:ilvl="0" w:tplc="0409000F">
      <w:start w:val="1"/>
      <w:numFmt w:val="decimal"/>
      <w:lvlText w:val="%1."/>
      <w:lvlJc w:val="left"/>
      <w:pPr>
        <w:ind w:left="720" w:hanging="360"/>
      </w:pPr>
      <w:rPr>
        <w:rFonts w:hint="default"/>
        <w:b w:val="0"/>
        <w:color w:val="auto"/>
      </w:rPr>
    </w:lvl>
    <w:lvl w:ilvl="1" w:tplc="58AE786A">
      <w:start w:val="1"/>
      <w:numFmt w:val="decimal"/>
      <w:lvlText w:val="%2."/>
      <w:lvlJc w:val="left"/>
      <w:pPr>
        <w:ind w:left="1440" w:hanging="360"/>
      </w:pPr>
      <w:rPr>
        <w:rFonts w:hint="default"/>
        <w:b w:val="0"/>
      </w:rPr>
    </w:lvl>
    <w:lvl w:ilvl="2" w:tplc="52C826AE">
      <w:start w:val="1"/>
      <w:numFmt w:val="lowerLetter"/>
      <w:lvlText w:val="%3."/>
      <w:lvlJc w:val="left"/>
      <w:pPr>
        <w:ind w:left="2160" w:hanging="360"/>
      </w:pPr>
      <w:rPr>
        <w:rFonts w:hint="default"/>
        <w:b w:val="0"/>
      </w:rPr>
    </w:lvl>
    <w:lvl w:ilvl="3" w:tplc="0409001B">
      <w:start w:val="1"/>
      <w:numFmt w:val="lowerRoman"/>
      <w:lvlText w:val="%4."/>
      <w:lvlJc w:val="right"/>
      <w:pPr>
        <w:ind w:left="2880" w:hanging="360"/>
      </w:pPr>
      <w:rPr>
        <w:rFonts w:hint="default"/>
      </w:rPr>
    </w:lvl>
    <w:lvl w:ilvl="4" w:tplc="04090005">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3"/>
  </w:num>
  <w:num w:numId="10">
    <w:abstractNumId w:val="7"/>
  </w:num>
  <w:num w:numId="11">
    <w:abstractNumId w:val="25"/>
  </w:num>
  <w:num w:numId="12">
    <w:abstractNumId w:val="19"/>
  </w:num>
  <w:num w:numId="13">
    <w:abstractNumId w:val="12"/>
  </w:num>
  <w:num w:numId="14">
    <w:abstractNumId w:val="43"/>
  </w:num>
  <w:num w:numId="15">
    <w:abstractNumId w:val="9"/>
  </w:num>
  <w:num w:numId="16">
    <w:abstractNumId w:val="14"/>
  </w:num>
  <w:num w:numId="17">
    <w:abstractNumId w:val="6"/>
  </w:num>
  <w:num w:numId="18">
    <w:abstractNumId w:val="0"/>
  </w:num>
  <w:num w:numId="19">
    <w:abstractNumId w:val="41"/>
  </w:num>
  <w:num w:numId="20">
    <w:abstractNumId w:val="5"/>
  </w:num>
  <w:num w:numId="21">
    <w:abstractNumId w:val="30"/>
  </w:num>
  <w:num w:numId="22">
    <w:abstractNumId w:val="31"/>
  </w:num>
  <w:num w:numId="23">
    <w:abstractNumId w:val="44"/>
  </w:num>
  <w:num w:numId="24">
    <w:abstractNumId w:val="38"/>
  </w:num>
  <w:num w:numId="25">
    <w:abstractNumId w:val="15"/>
  </w:num>
  <w:num w:numId="26">
    <w:abstractNumId w:val="17"/>
  </w:num>
  <w:num w:numId="27">
    <w:abstractNumId w:val="34"/>
  </w:num>
  <w:num w:numId="28">
    <w:abstractNumId w:val="16"/>
  </w:num>
  <w:num w:numId="29">
    <w:abstractNumId w:val="8"/>
  </w:num>
  <w:num w:numId="30">
    <w:abstractNumId w:val="1"/>
  </w:num>
  <w:num w:numId="31">
    <w:abstractNumId w:val="45"/>
  </w:num>
  <w:num w:numId="32">
    <w:abstractNumId w:val="27"/>
  </w:num>
  <w:num w:numId="33">
    <w:abstractNumId w:val="37"/>
  </w:num>
  <w:num w:numId="34">
    <w:abstractNumId w:val="11"/>
  </w:num>
  <w:num w:numId="35">
    <w:abstractNumId w:val="32"/>
  </w:num>
  <w:num w:numId="36">
    <w:abstractNumId w:val="40"/>
  </w:num>
  <w:num w:numId="37">
    <w:abstractNumId w:val="26"/>
  </w:num>
  <w:num w:numId="38">
    <w:abstractNumId w:val="42"/>
  </w:num>
  <w:num w:numId="39">
    <w:abstractNumId w:val="28"/>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41">
    <w:abstractNumId w:val="29"/>
  </w:num>
  <w:num w:numId="42">
    <w:abstractNumId w:val="33"/>
  </w:num>
  <w:num w:numId="43">
    <w:abstractNumId w:val="35"/>
  </w:num>
  <w:num w:numId="44">
    <w:abstractNumId w:val="36"/>
  </w:num>
  <w:num w:numId="45">
    <w:abstractNumId w:val="39"/>
  </w:num>
  <w:num w:numId="46">
    <w:abstractNumId w:val="18"/>
  </w:num>
  <w:num w:numId="47">
    <w:abstractNumId w:val="10"/>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0D5D"/>
    <w:rsid w:val="00013F71"/>
    <w:rsid w:val="0001453F"/>
    <w:rsid w:val="000173BF"/>
    <w:rsid w:val="00021C1C"/>
    <w:rsid w:val="000236E6"/>
    <w:rsid w:val="00024252"/>
    <w:rsid w:val="000245B5"/>
    <w:rsid w:val="00025F59"/>
    <w:rsid w:val="000262D9"/>
    <w:rsid w:val="00027183"/>
    <w:rsid w:val="00033EA1"/>
    <w:rsid w:val="0003746D"/>
    <w:rsid w:val="0004020F"/>
    <w:rsid w:val="00041510"/>
    <w:rsid w:val="00041C4D"/>
    <w:rsid w:val="000436CB"/>
    <w:rsid w:val="00047E7A"/>
    <w:rsid w:val="00052E17"/>
    <w:rsid w:val="000531D7"/>
    <w:rsid w:val="000533E8"/>
    <w:rsid w:val="0005543D"/>
    <w:rsid w:val="00056947"/>
    <w:rsid w:val="00061A8E"/>
    <w:rsid w:val="00063047"/>
    <w:rsid w:val="00064CB3"/>
    <w:rsid w:val="00067A81"/>
    <w:rsid w:val="00067F26"/>
    <w:rsid w:val="000701A9"/>
    <w:rsid w:val="00070BEE"/>
    <w:rsid w:val="0007104A"/>
    <w:rsid w:val="00071CB2"/>
    <w:rsid w:val="00072040"/>
    <w:rsid w:val="00073039"/>
    <w:rsid w:val="00075639"/>
    <w:rsid w:val="00076DF4"/>
    <w:rsid w:val="00076F51"/>
    <w:rsid w:val="00082111"/>
    <w:rsid w:val="00086F7F"/>
    <w:rsid w:val="0009074D"/>
    <w:rsid w:val="00092497"/>
    <w:rsid w:val="0009456D"/>
    <w:rsid w:val="0009592B"/>
    <w:rsid w:val="00096315"/>
    <w:rsid w:val="000968C6"/>
    <w:rsid w:val="000A2865"/>
    <w:rsid w:val="000A43C4"/>
    <w:rsid w:val="000A63C9"/>
    <w:rsid w:val="000A7558"/>
    <w:rsid w:val="000B3765"/>
    <w:rsid w:val="000B3E07"/>
    <w:rsid w:val="000B655B"/>
    <w:rsid w:val="000B67E7"/>
    <w:rsid w:val="000C0000"/>
    <w:rsid w:val="000C18CC"/>
    <w:rsid w:val="000C5443"/>
    <w:rsid w:val="000C687D"/>
    <w:rsid w:val="000C7ED1"/>
    <w:rsid w:val="000D23CF"/>
    <w:rsid w:val="000D637A"/>
    <w:rsid w:val="000D75B4"/>
    <w:rsid w:val="000D7857"/>
    <w:rsid w:val="000D789A"/>
    <w:rsid w:val="000E334C"/>
    <w:rsid w:val="000E44CD"/>
    <w:rsid w:val="000E4B5F"/>
    <w:rsid w:val="000E6EA5"/>
    <w:rsid w:val="000E706D"/>
    <w:rsid w:val="000F0ACE"/>
    <w:rsid w:val="000F130A"/>
    <w:rsid w:val="000F46AC"/>
    <w:rsid w:val="000F4FD8"/>
    <w:rsid w:val="000F6182"/>
    <w:rsid w:val="000F71C2"/>
    <w:rsid w:val="0010060C"/>
    <w:rsid w:val="001017BA"/>
    <w:rsid w:val="00103802"/>
    <w:rsid w:val="00107242"/>
    <w:rsid w:val="00111CC5"/>
    <w:rsid w:val="001124AD"/>
    <w:rsid w:val="00113092"/>
    <w:rsid w:val="00113114"/>
    <w:rsid w:val="001166B2"/>
    <w:rsid w:val="00117A37"/>
    <w:rsid w:val="001206F7"/>
    <w:rsid w:val="001235CF"/>
    <w:rsid w:val="001236C1"/>
    <w:rsid w:val="001319A8"/>
    <w:rsid w:val="00133EE8"/>
    <w:rsid w:val="0013738C"/>
    <w:rsid w:val="00140278"/>
    <w:rsid w:val="00140B30"/>
    <w:rsid w:val="00143AAF"/>
    <w:rsid w:val="00144229"/>
    <w:rsid w:val="00147155"/>
    <w:rsid w:val="00153CB3"/>
    <w:rsid w:val="00154C3B"/>
    <w:rsid w:val="00155A0C"/>
    <w:rsid w:val="00156344"/>
    <w:rsid w:val="00157CA3"/>
    <w:rsid w:val="00160158"/>
    <w:rsid w:val="00165357"/>
    <w:rsid w:val="00171E14"/>
    <w:rsid w:val="001722B7"/>
    <w:rsid w:val="001727D9"/>
    <w:rsid w:val="00174BB4"/>
    <w:rsid w:val="00175D14"/>
    <w:rsid w:val="00175D5B"/>
    <w:rsid w:val="00176A84"/>
    <w:rsid w:val="00180D24"/>
    <w:rsid w:val="001811EE"/>
    <w:rsid w:val="0018418D"/>
    <w:rsid w:val="00185AD4"/>
    <w:rsid w:val="00185C64"/>
    <w:rsid w:val="00196291"/>
    <w:rsid w:val="00197928"/>
    <w:rsid w:val="001979AF"/>
    <w:rsid w:val="001A0EB4"/>
    <w:rsid w:val="001A1A86"/>
    <w:rsid w:val="001A1B6F"/>
    <w:rsid w:val="001A3A8D"/>
    <w:rsid w:val="001A52A5"/>
    <w:rsid w:val="001A5F62"/>
    <w:rsid w:val="001B015E"/>
    <w:rsid w:val="001B1241"/>
    <w:rsid w:val="001B2301"/>
    <w:rsid w:val="001B307C"/>
    <w:rsid w:val="001B43A3"/>
    <w:rsid w:val="001B4F80"/>
    <w:rsid w:val="001B5E6C"/>
    <w:rsid w:val="001B618B"/>
    <w:rsid w:val="001C1338"/>
    <w:rsid w:val="001C4140"/>
    <w:rsid w:val="001C444E"/>
    <w:rsid w:val="001C5A94"/>
    <w:rsid w:val="001D2317"/>
    <w:rsid w:val="001D3223"/>
    <w:rsid w:val="001D33EF"/>
    <w:rsid w:val="001D35E9"/>
    <w:rsid w:val="001D4659"/>
    <w:rsid w:val="001D5AB3"/>
    <w:rsid w:val="001D7F1F"/>
    <w:rsid w:val="001E0519"/>
    <w:rsid w:val="001E0829"/>
    <w:rsid w:val="001E1320"/>
    <w:rsid w:val="001E4B9F"/>
    <w:rsid w:val="001E556A"/>
    <w:rsid w:val="001E6436"/>
    <w:rsid w:val="001F05CE"/>
    <w:rsid w:val="001F1634"/>
    <w:rsid w:val="001F1905"/>
    <w:rsid w:val="001F200A"/>
    <w:rsid w:val="001F4A65"/>
    <w:rsid w:val="001F5FB5"/>
    <w:rsid w:val="00200A12"/>
    <w:rsid w:val="00200DF3"/>
    <w:rsid w:val="00205133"/>
    <w:rsid w:val="00205C45"/>
    <w:rsid w:val="00206E35"/>
    <w:rsid w:val="0021035B"/>
    <w:rsid w:val="00211153"/>
    <w:rsid w:val="00212112"/>
    <w:rsid w:val="00212B8D"/>
    <w:rsid w:val="0021454A"/>
    <w:rsid w:val="00214E6D"/>
    <w:rsid w:val="00217157"/>
    <w:rsid w:val="0022016B"/>
    <w:rsid w:val="0022083A"/>
    <w:rsid w:val="002223D8"/>
    <w:rsid w:val="00222CCC"/>
    <w:rsid w:val="0022361D"/>
    <w:rsid w:val="00225823"/>
    <w:rsid w:val="002264CF"/>
    <w:rsid w:val="0023254A"/>
    <w:rsid w:val="00233134"/>
    <w:rsid w:val="002344FB"/>
    <w:rsid w:val="00236216"/>
    <w:rsid w:val="002405CD"/>
    <w:rsid w:val="00240B74"/>
    <w:rsid w:val="002426BD"/>
    <w:rsid w:val="00243B62"/>
    <w:rsid w:val="0024597B"/>
    <w:rsid w:val="0024647E"/>
    <w:rsid w:val="0024675B"/>
    <w:rsid w:val="002469DD"/>
    <w:rsid w:val="00247180"/>
    <w:rsid w:val="00250EB0"/>
    <w:rsid w:val="00251E6B"/>
    <w:rsid w:val="00251F92"/>
    <w:rsid w:val="00252CC8"/>
    <w:rsid w:val="002532B4"/>
    <w:rsid w:val="00253FC0"/>
    <w:rsid w:val="00254671"/>
    <w:rsid w:val="00257D36"/>
    <w:rsid w:val="00262278"/>
    <w:rsid w:val="00263B28"/>
    <w:rsid w:val="00263C1C"/>
    <w:rsid w:val="00265E70"/>
    <w:rsid w:val="00271415"/>
    <w:rsid w:val="00272B75"/>
    <w:rsid w:val="00274FBE"/>
    <w:rsid w:val="002762E1"/>
    <w:rsid w:val="002811BC"/>
    <w:rsid w:val="00283DE8"/>
    <w:rsid w:val="0028518A"/>
    <w:rsid w:val="00285552"/>
    <w:rsid w:val="00285966"/>
    <w:rsid w:val="00285A0D"/>
    <w:rsid w:val="002864E3"/>
    <w:rsid w:val="002867CB"/>
    <w:rsid w:val="002868C9"/>
    <w:rsid w:val="00290ED8"/>
    <w:rsid w:val="00295119"/>
    <w:rsid w:val="002961D4"/>
    <w:rsid w:val="00296B49"/>
    <w:rsid w:val="0029754B"/>
    <w:rsid w:val="002A03FC"/>
    <w:rsid w:val="002A0451"/>
    <w:rsid w:val="002A1399"/>
    <w:rsid w:val="002A1843"/>
    <w:rsid w:val="002A2475"/>
    <w:rsid w:val="002A24FA"/>
    <w:rsid w:val="002A3D26"/>
    <w:rsid w:val="002A41C3"/>
    <w:rsid w:val="002A505E"/>
    <w:rsid w:val="002A5081"/>
    <w:rsid w:val="002A523E"/>
    <w:rsid w:val="002A5F7E"/>
    <w:rsid w:val="002B03D0"/>
    <w:rsid w:val="002B0D27"/>
    <w:rsid w:val="002B1ADF"/>
    <w:rsid w:val="002B3D04"/>
    <w:rsid w:val="002B502E"/>
    <w:rsid w:val="002B657B"/>
    <w:rsid w:val="002C04EC"/>
    <w:rsid w:val="002C1508"/>
    <w:rsid w:val="002C2853"/>
    <w:rsid w:val="002C3295"/>
    <w:rsid w:val="002C444C"/>
    <w:rsid w:val="002C458F"/>
    <w:rsid w:val="002C5DB8"/>
    <w:rsid w:val="002C6C20"/>
    <w:rsid w:val="002C6C7A"/>
    <w:rsid w:val="002C7F78"/>
    <w:rsid w:val="002D3201"/>
    <w:rsid w:val="002D4D3C"/>
    <w:rsid w:val="002D4F82"/>
    <w:rsid w:val="002D5277"/>
    <w:rsid w:val="002D67C9"/>
    <w:rsid w:val="002D71CF"/>
    <w:rsid w:val="002D71FA"/>
    <w:rsid w:val="002D73AF"/>
    <w:rsid w:val="002E4322"/>
    <w:rsid w:val="002E4614"/>
    <w:rsid w:val="002E4FD9"/>
    <w:rsid w:val="002E5B58"/>
    <w:rsid w:val="002E5DDB"/>
    <w:rsid w:val="002F1437"/>
    <w:rsid w:val="002F1771"/>
    <w:rsid w:val="002F3270"/>
    <w:rsid w:val="002F3943"/>
    <w:rsid w:val="002F4E34"/>
    <w:rsid w:val="002F57D5"/>
    <w:rsid w:val="002F6A42"/>
    <w:rsid w:val="002F79E7"/>
    <w:rsid w:val="003003EC"/>
    <w:rsid w:val="0030280C"/>
    <w:rsid w:val="003030E4"/>
    <w:rsid w:val="003035E3"/>
    <w:rsid w:val="0030363A"/>
    <w:rsid w:val="0031292E"/>
    <w:rsid w:val="0031358D"/>
    <w:rsid w:val="00317970"/>
    <w:rsid w:val="00317EB0"/>
    <w:rsid w:val="00320BC1"/>
    <w:rsid w:val="00320E16"/>
    <w:rsid w:val="00323BF5"/>
    <w:rsid w:val="00324088"/>
    <w:rsid w:val="00330CD9"/>
    <w:rsid w:val="003313FE"/>
    <w:rsid w:val="00332700"/>
    <w:rsid w:val="0033482D"/>
    <w:rsid w:val="00334D69"/>
    <w:rsid w:val="003358BD"/>
    <w:rsid w:val="00337E3D"/>
    <w:rsid w:val="0034084A"/>
    <w:rsid w:val="00344E88"/>
    <w:rsid w:val="00345D80"/>
    <w:rsid w:val="00345EB7"/>
    <w:rsid w:val="003471D4"/>
    <w:rsid w:val="003500AB"/>
    <w:rsid w:val="00350431"/>
    <w:rsid w:val="00350BF1"/>
    <w:rsid w:val="00351964"/>
    <w:rsid w:val="00351EB8"/>
    <w:rsid w:val="00352BB8"/>
    <w:rsid w:val="00352EF9"/>
    <w:rsid w:val="003530D6"/>
    <w:rsid w:val="00353937"/>
    <w:rsid w:val="00353C49"/>
    <w:rsid w:val="003540B1"/>
    <w:rsid w:val="003557E9"/>
    <w:rsid w:val="003560BA"/>
    <w:rsid w:val="00356A6C"/>
    <w:rsid w:val="003616E8"/>
    <w:rsid w:val="003642F2"/>
    <w:rsid w:val="00364CC6"/>
    <w:rsid w:val="00364D23"/>
    <w:rsid w:val="003650F6"/>
    <w:rsid w:val="0036714A"/>
    <w:rsid w:val="0036726C"/>
    <w:rsid w:val="003672D0"/>
    <w:rsid w:val="003725F1"/>
    <w:rsid w:val="0037484D"/>
    <w:rsid w:val="00375753"/>
    <w:rsid w:val="003772A8"/>
    <w:rsid w:val="003832D2"/>
    <w:rsid w:val="0038377D"/>
    <w:rsid w:val="003845E5"/>
    <w:rsid w:val="003874B5"/>
    <w:rsid w:val="00391FBB"/>
    <w:rsid w:val="00393137"/>
    <w:rsid w:val="00394C76"/>
    <w:rsid w:val="003950DC"/>
    <w:rsid w:val="00395DC3"/>
    <w:rsid w:val="00397406"/>
    <w:rsid w:val="003A121E"/>
    <w:rsid w:val="003A2114"/>
    <w:rsid w:val="003A3170"/>
    <w:rsid w:val="003A360E"/>
    <w:rsid w:val="003A4F58"/>
    <w:rsid w:val="003A5116"/>
    <w:rsid w:val="003A7C4A"/>
    <w:rsid w:val="003B18F1"/>
    <w:rsid w:val="003B2180"/>
    <w:rsid w:val="003B5152"/>
    <w:rsid w:val="003B5420"/>
    <w:rsid w:val="003C1F9D"/>
    <w:rsid w:val="003C569B"/>
    <w:rsid w:val="003C7670"/>
    <w:rsid w:val="003D17A4"/>
    <w:rsid w:val="003D17FF"/>
    <w:rsid w:val="003D2871"/>
    <w:rsid w:val="003D5B83"/>
    <w:rsid w:val="003D5FE6"/>
    <w:rsid w:val="003E0A1D"/>
    <w:rsid w:val="003E0ADC"/>
    <w:rsid w:val="003E28FD"/>
    <w:rsid w:val="003E5E2C"/>
    <w:rsid w:val="003E6E47"/>
    <w:rsid w:val="003F0623"/>
    <w:rsid w:val="003F2067"/>
    <w:rsid w:val="003F26CC"/>
    <w:rsid w:val="003F3303"/>
    <w:rsid w:val="003F33DE"/>
    <w:rsid w:val="003F3A41"/>
    <w:rsid w:val="003F3B79"/>
    <w:rsid w:val="003F4531"/>
    <w:rsid w:val="003F5555"/>
    <w:rsid w:val="003F56F0"/>
    <w:rsid w:val="003F5BE4"/>
    <w:rsid w:val="003F67E9"/>
    <w:rsid w:val="003F6E16"/>
    <w:rsid w:val="00401031"/>
    <w:rsid w:val="00401BC5"/>
    <w:rsid w:val="004023B7"/>
    <w:rsid w:val="004045A0"/>
    <w:rsid w:val="00405ACB"/>
    <w:rsid w:val="00412EFD"/>
    <w:rsid w:val="00413CDB"/>
    <w:rsid w:val="00415DF2"/>
    <w:rsid w:val="004200FE"/>
    <w:rsid w:val="0042011F"/>
    <w:rsid w:val="00420561"/>
    <w:rsid w:val="00421183"/>
    <w:rsid w:val="00421BA6"/>
    <w:rsid w:val="00421C17"/>
    <w:rsid w:val="00424DED"/>
    <w:rsid w:val="00424FFF"/>
    <w:rsid w:val="00425127"/>
    <w:rsid w:val="00426CDE"/>
    <w:rsid w:val="00427C5C"/>
    <w:rsid w:val="00431411"/>
    <w:rsid w:val="00433EA1"/>
    <w:rsid w:val="00435188"/>
    <w:rsid w:val="00437C43"/>
    <w:rsid w:val="004416EC"/>
    <w:rsid w:val="00441957"/>
    <w:rsid w:val="00443D32"/>
    <w:rsid w:val="0044629B"/>
    <w:rsid w:val="004469DD"/>
    <w:rsid w:val="00446D30"/>
    <w:rsid w:val="004476B2"/>
    <w:rsid w:val="00447CE5"/>
    <w:rsid w:val="00447D6E"/>
    <w:rsid w:val="0045048F"/>
    <w:rsid w:val="00450B48"/>
    <w:rsid w:val="0045181B"/>
    <w:rsid w:val="00452133"/>
    <w:rsid w:val="00452C7A"/>
    <w:rsid w:val="0045362F"/>
    <w:rsid w:val="00455065"/>
    <w:rsid w:val="004552A3"/>
    <w:rsid w:val="00455514"/>
    <w:rsid w:val="00456876"/>
    <w:rsid w:val="00456B53"/>
    <w:rsid w:val="00456F7D"/>
    <w:rsid w:val="00461409"/>
    <w:rsid w:val="00461D2E"/>
    <w:rsid w:val="0046286E"/>
    <w:rsid w:val="00464072"/>
    <w:rsid w:val="00464159"/>
    <w:rsid w:val="004643C4"/>
    <w:rsid w:val="004666BB"/>
    <w:rsid w:val="00466EF8"/>
    <w:rsid w:val="004673A2"/>
    <w:rsid w:val="0047098E"/>
    <w:rsid w:val="00471234"/>
    <w:rsid w:val="004712ED"/>
    <w:rsid w:val="0047130C"/>
    <w:rsid w:val="00472250"/>
    <w:rsid w:val="0047437C"/>
    <w:rsid w:val="00476B44"/>
    <w:rsid w:val="00477522"/>
    <w:rsid w:val="0047797A"/>
    <w:rsid w:val="00480E7B"/>
    <w:rsid w:val="004843E5"/>
    <w:rsid w:val="00484BF6"/>
    <w:rsid w:val="00486933"/>
    <w:rsid w:val="0049052C"/>
    <w:rsid w:val="00492D87"/>
    <w:rsid w:val="00493457"/>
    <w:rsid w:val="00494628"/>
    <w:rsid w:val="00494704"/>
    <w:rsid w:val="0049566B"/>
    <w:rsid w:val="00497338"/>
    <w:rsid w:val="00497937"/>
    <w:rsid w:val="004A1650"/>
    <w:rsid w:val="004A4EA8"/>
    <w:rsid w:val="004A51F2"/>
    <w:rsid w:val="004B01C9"/>
    <w:rsid w:val="004B0D92"/>
    <w:rsid w:val="004B1184"/>
    <w:rsid w:val="004B4A3A"/>
    <w:rsid w:val="004B4B0B"/>
    <w:rsid w:val="004B5CE5"/>
    <w:rsid w:val="004B692D"/>
    <w:rsid w:val="004B750E"/>
    <w:rsid w:val="004C2244"/>
    <w:rsid w:val="004C2364"/>
    <w:rsid w:val="004C23F1"/>
    <w:rsid w:val="004D069A"/>
    <w:rsid w:val="004D78BE"/>
    <w:rsid w:val="004E01F5"/>
    <w:rsid w:val="004E1747"/>
    <w:rsid w:val="004E297E"/>
    <w:rsid w:val="004E2C41"/>
    <w:rsid w:val="004E6C15"/>
    <w:rsid w:val="004E76CA"/>
    <w:rsid w:val="004E7CF4"/>
    <w:rsid w:val="004F061C"/>
    <w:rsid w:val="004F1698"/>
    <w:rsid w:val="004F2319"/>
    <w:rsid w:val="004F62F5"/>
    <w:rsid w:val="00500C4E"/>
    <w:rsid w:val="00501F39"/>
    <w:rsid w:val="00505CEC"/>
    <w:rsid w:val="005079C3"/>
    <w:rsid w:val="0051020F"/>
    <w:rsid w:val="00510858"/>
    <w:rsid w:val="00513CAB"/>
    <w:rsid w:val="00515961"/>
    <w:rsid w:val="005164BA"/>
    <w:rsid w:val="00516CF5"/>
    <w:rsid w:val="00517442"/>
    <w:rsid w:val="005220DD"/>
    <w:rsid w:val="0052242F"/>
    <w:rsid w:val="00523597"/>
    <w:rsid w:val="00523736"/>
    <w:rsid w:val="00525C22"/>
    <w:rsid w:val="00526E1B"/>
    <w:rsid w:val="00532530"/>
    <w:rsid w:val="00532E07"/>
    <w:rsid w:val="00535CA4"/>
    <w:rsid w:val="00543B4E"/>
    <w:rsid w:val="005476F6"/>
    <w:rsid w:val="00551D72"/>
    <w:rsid w:val="005540B6"/>
    <w:rsid w:val="005552C3"/>
    <w:rsid w:val="00555E76"/>
    <w:rsid w:val="00560934"/>
    <w:rsid w:val="0056179C"/>
    <w:rsid w:val="00563D7B"/>
    <w:rsid w:val="00563E58"/>
    <w:rsid w:val="0056442E"/>
    <w:rsid w:val="00564960"/>
    <w:rsid w:val="00564A1A"/>
    <w:rsid w:val="00570654"/>
    <w:rsid w:val="00570F38"/>
    <w:rsid w:val="00572089"/>
    <w:rsid w:val="005720F2"/>
    <w:rsid w:val="005729C8"/>
    <w:rsid w:val="00572D2F"/>
    <w:rsid w:val="005734A4"/>
    <w:rsid w:val="005818D2"/>
    <w:rsid w:val="00581999"/>
    <w:rsid w:val="0058446E"/>
    <w:rsid w:val="00592115"/>
    <w:rsid w:val="00594EF5"/>
    <w:rsid w:val="00594F19"/>
    <w:rsid w:val="005A0E53"/>
    <w:rsid w:val="005A1078"/>
    <w:rsid w:val="005A35E2"/>
    <w:rsid w:val="005A4658"/>
    <w:rsid w:val="005A496B"/>
    <w:rsid w:val="005A50B7"/>
    <w:rsid w:val="005A7BA3"/>
    <w:rsid w:val="005B28C1"/>
    <w:rsid w:val="005B3CA2"/>
    <w:rsid w:val="005B6344"/>
    <w:rsid w:val="005C1C74"/>
    <w:rsid w:val="005C2260"/>
    <w:rsid w:val="005C2E48"/>
    <w:rsid w:val="005C3F23"/>
    <w:rsid w:val="005C46DD"/>
    <w:rsid w:val="005C6AC3"/>
    <w:rsid w:val="005C74AE"/>
    <w:rsid w:val="005D4DD7"/>
    <w:rsid w:val="005E12A9"/>
    <w:rsid w:val="005E1C97"/>
    <w:rsid w:val="005E37BF"/>
    <w:rsid w:val="005E66FC"/>
    <w:rsid w:val="005E6CE2"/>
    <w:rsid w:val="005F139E"/>
    <w:rsid w:val="005F48CC"/>
    <w:rsid w:val="005F69D5"/>
    <w:rsid w:val="005F6D24"/>
    <w:rsid w:val="00602799"/>
    <w:rsid w:val="00602F18"/>
    <w:rsid w:val="006034D5"/>
    <w:rsid w:val="006046DE"/>
    <w:rsid w:val="006069FD"/>
    <w:rsid w:val="006073C8"/>
    <w:rsid w:val="00607C30"/>
    <w:rsid w:val="006110F3"/>
    <w:rsid w:val="00611402"/>
    <w:rsid w:val="00612041"/>
    <w:rsid w:val="0061391A"/>
    <w:rsid w:val="00614AFF"/>
    <w:rsid w:val="00621ABA"/>
    <w:rsid w:val="0062322A"/>
    <w:rsid w:val="00623FC6"/>
    <w:rsid w:val="00624AE1"/>
    <w:rsid w:val="00631157"/>
    <w:rsid w:val="00633DCC"/>
    <w:rsid w:val="0063455C"/>
    <w:rsid w:val="00634C6A"/>
    <w:rsid w:val="00637574"/>
    <w:rsid w:val="006404E6"/>
    <w:rsid w:val="0064215C"/>
    <w:rsid w:val="006447B2"/>
    <w:rsid w:val="00644BAE"/>
    <w:rsid w:val="0064680F"/>
    <w:rsid w:val="0064729D"/>
    <w:rsid w:val="00647ABE"/>
    <w:rsid w:val="006516BA"/>
    <w:rsid w:val="00664B05"/>
    <w:rsid w:val="00665C04"/>
    <w:rsid w:val="0066682D"/>
    <w:rsid w:val="006669AF"/>
    <w:rsid w:val="00670A35"/>
    <w:rsid w:val="0067231A"/>
    <w:rsid w:val="00674527"/>
    <w:rsid w:val="006746FE"/>
    <w:rsid w:val="00675F00"/>
    <w:rsid w:val="006760BA"/>
    <w:rsid w:val="00676E9F"/>
    <w:rsid w:val="00680934"/>
    <w:rsid w:val="006851BF"/>
    <w:rsid w:val="00685D5C"/>
    <w:rsid w:val="0068669E"/>
    <w:rsid w:val="006918D8"/>
    <w:rsid w:val="0069264D"/>
    <w:rsid w:val="00693091"/>
    <w:rsid w:val="0069578B"/>
    <w:rsid w:val="0069625B"/>
    <w:rsid w:val="0069652B"/>
    <w:rsid w:val="00697868"/>
    <w:rsid w:val="006A055F"/>
    <w:rsid w:val="006A126F"/>
    <w:rsid w:val="006A14E9"/>
    <w:rsid w:val="006A1E02"/>
    <w:rsid w:val="006A2A65"/>
    <w:rsid w:val="006A4356"/>
    <w:rsid w:val="006A5293"/>
    <w:rsid w:val="006A6116"/>
    <w:rsid w:val="006A67E4"/>
    <w:rsid w:val="006A6D15"/>
    <w:rsid w:val="006B0DF3"/>
    <w:rsid w:val="006B0F11"/>
    <w:rsid w:val="006B27FA"/>
    <w:rsid w:val="006B40F1"/>
    <w:rsid w:val="006B469B"/>
    <w:rsid w:val="006B47A5"/>
    <w:rsid w:val="006B4A48"/>
    <w:rsid w:val="006C0E66"/>
    <w:rsid w:val="006C2C55"/>
    <w:rsid w:val="006C36EA"/>
    <w:rsid w:val="006C430A"/>
    <w:rsid w:val="006D2809"/>
    <w:rsid w:val="006D3D4C"/>
    <w:rsid w:val="006D4055"/>
    <w:rsid w:val="006D4738"/>
    <w:rsid w:val="006D4C4E"/>
    <w:rsid w:val="006E011E"/>
    <w:rsid w:val="006E169F"/>
    <w:rsid w:val="006E1B78"/>
    <w:rsid w:val="006E27A3"/>
    <w:rsid w:val="006E3342"/>
    <w:rsid w:val="006E4408"/>
    <w:rsid w:val="006E4B12"/>
    <w:rsid w:val="006E53F5"/>
    <w:rsid w:val="006E65D0"/>
    <w:rsid w:val="006F1B21"/>
    <w:rsid w:val="006F21E8"/>
    <w:rsid w:val="006F417F"/>
    <w:rsid w:val="006F78D5"/>
    <w:rsid w:val="006F7FE2"/>
    <w:rsid w:val="0070056F"/>
    <w:rsid w:val="0070091B"/>
    <w:rsid w:val="007048AC"/>
    <w:rsid w:val="0070618E"/>
    <w:rsid w:val="0070735A"/>
    <w:rsid w:val="00710DEC"/>
    <w:rsid w:val="007117AA"/>
    <w:rsid w:val="00724FA7"/>
    <w:rsid w:val="00726338"/>
    <w:rsid w:val="00726AD5"/>
    <w:rsid w:val="00730135"/>
    <w:rsid w:val="0073278E"/>
    <w:rsid w:val="00732C52"/>
    <w:rsid w:val="007339A4"/>
    <w:rsid w:val="00733C7D"/>
    <w:rsid w:val="00734BFF"/>
    <w:rsid w:val="00740497"/>
    <w:rsid w:val="00740761"/>
    <w:rsid w:val="00745F77"/>
    <w:rsid w:val="00745FB3"/>
    <w:rsid w:val="00746204"/>
    <w:rsid w:val="007464DE"/>
    <w:rsid w:val="00746EE2"/>
    <w:rsid w:val="00751D82"/>
    <w:rsid w:val="007529EA"/>
    <w:rsid w:val="00754D3E"/>
    <w:rsid w:val="00755A45"/>
    <w:rsid w:val="00760CDC"/>
    <w:rsid w:val="00762366"/>
    <w:rsid w:val="0076276D"/>
    <w:rsid w:val="00763C4D"/>
    <w:rsid w:val="00764D0D"/>
    <w:rsid w:val="00766074"/>
    <w:rsid w:val="007677BD"/>
    <w:rsid w:val="007718E9"/>
    <w:rsid w:val="007722B9"/>
    <w:rsid w:val="00774BCD"/>
    <w:rsid w:val="00775CC4"/>
    <w:rsid w:val="00775CDF"/>
    <w:rsid w:val="00775D50"/>
    <w:rsid w:val="00777C53"/>
    <w:rsid w:val="00780853"/>
    <w:rsid w:val="00781686"/>
    <w:rsid w:val="00785506"/>
    <w:rsid w:val="00786939"/>
    <w:rsid w:val="00786E92"/>
    <w:rsid w:val="00791A06"/>
    <w:rsid w:val="007923AD"/>
    <w:rsid w:val="00792B36"/>
    <w:rsid w:val="007933F1"/>
    <w:rsid w:val="0079738E"/>
    <w:rsid w:val="007A0CB0"/>
    <w:rsid w:val="007A1C57"/>
    <w:rsid w:val="007A408C"/>
    <w:rsid w:val="007A5C72"/>
    <w:rsid w:val="007A5F52"/>
    <w:rsid w:val="007B090A"/>
    <w:rsid w:val="007B1417"/>
    <w:rsid w:val="007B1DA7"/>
    <w:rsid w:val="007B1F40"/>
    <w:rsid w:val="007B32C8"/>
    <w:rsid w:val="007B4B13"/>
    <w:rsid w:val="007C18EE"/>
    <w:rsid w:val="007C3A00"/>
    <w:rsid w:val="007D0627"/>
    <w:rsid w:val="007D2744"/>
    <w:rsid w:val="007E015C"/>
    <w:rsid w:val="007E21F2"/>
    <w:rsid w:val="007E2CDA"/>
    <w:rsid w:val="007E43F8"/>
    <w:rsid w:val="007E5076"/>
    <w:rsid w:val="007E656B"/>
    <w:rsid w:val="007E7EDB"/>
    <w:rsid w:val="007F1D77"/>
    <w:rsid w:val="007F2997"/>
    <w:rsid w:val="007F3CCE"/>
    <w:rsid w:val="007F3E33"/>
    <w:rsid w:val="007F50E8"/>
    <w:rsid w:val="007F54E2"/>
    <w:rsid w:val="007F6B09"/>
    <w:rsid w:val="007F7636"/>
    <w:rsid w:val="007F7FBA"/>
    <w:rsid w:val="0080020E"/>
    <w:rsid w:val="00800319"/>
    <w:rsid w:val="0080044E"/>
    <w:rsid w:val="00800706"/>
    <w:rsid w:val="0080189A"/>
    <w:rsid w:val="00801D39"/>
    <w:rsid w:val="00801F7F"/>
    <w:rsid w:val="00802540"/>
    <w:rsid w:val="00803C2B"/>
    <w:rsid w:val="0080568D"/>
    <w:rsid w:val="00811095"/>
    <w:rsid w:val="00811945"/>
    <w:rsid w:val="00811C95"/>
    <w:rsid w:val="0081301F"/>
    <w:rsid w:val="00813823"/>
    <w:rsid w:val="00814E09"/>
    <w:rsid w:val="00815189"/>
    <w:rsid w:val="008156D1"/>
    <w:rsid w:val="00821623"/>
    <w:rsid w:val="00824F1C"/>
    <w:rsid w:val="00826688"/>
    <w:rsid w:val="00826CB5"/>
    <w:rsid w:val="0083369B"/>
    <w:rsid w:val="00835D38"/>
    <w:rsid w:val="00840AD2"/>
    <w:rsid w:val="00840B5D"/>
    <w:rsid w:val="00842F42"/>
    <w:rsid w:val="00847A4E"/>
    <w:rsid w:val="00847F8C"/>
    <w:rsid w:val="008555E7"/>
    <w:rsid w:val="00855C2D"/>
    <w:rsid w:val="00861ED5"/>
    <w:rsid w:val="00866025"/>
    <w:rsid w:val="00871918"/>
    <w:rsid w:val="00871D79"/>
    <w:rsid w:val="0087393E"/>
    <w:rsid w:val="00874538"/>
    <w:rsid w:val="00876FDE"/>
    <w:rsid w:val="008772D4"/>
    <w:rsid w:val="0087759E"/>
    <w:rsid w:val="00881A42"/>
    <w:rsid w:val="00882386"/>
    <w:rsid w:val="0088361D"/>
    <w:rsid w:val="00885E0A"/>
    <w:rsid w:val="0088603B"/>
    <w:rsid w:val="00887735"/>
    <w:rsid w:val="008877AF"/>
    <w:rsid w:val="0089231B"/>
    <w:rsid w:val="00892ABF"/>
    <w:rsid w:val="00893FC3"/>
    <w:rsid w:val="0089577B"/>
    <w:rsid w:val="00895E05"/>
    <w:rsid w:val="0089728F"/>
    <w:rsid w:val="00897643"/>
    <w:rsid w:val="008A30DA"/>
    <w:rsid w:val="008A55CA"/>
    <w:rsid w:val="008A5C6A"/>
    <w:rsid w:val="008A752B"/>
    <w:rsid w:val="008B0802"/>
    <w:rsid w:val="008B1024"/>
    <w:rsid w:val="008B1357"/>
    <w:rsid w:val="008B1CB2"/>
    <w:rsid w:val="008B28C8"/>
    <w:rsid w:val="008B2DF3"/>
    <w:rsid w:val="008B3F66"/>
    <w:rsid w:val="008C0FE5"/>
    <w:rsid w:val="008C2E0E"/>
    <w:rsid w:val="008C4DE0"/>
    <w:rsid w:val="008C6BBD"/>
    <w:rsid w:val="008D3930"/>
    <w:rsid w:val="008D67F9"/>
    <w:rsid w:val="008D68A5"/>
    <w:rsid w:val="008D734D"/>
    <w:rsid w:val="008D7409"/>
    <w:rsid w:val="008D7A19"/>
    <w:rsid w:val="008E17CC"/>
    <w:rsid w:val="008E25B1"/>
    <w:rsid w:val="008E382C"/>
    <w:rsid w:val="008E4680"/>
    <w:rsid w:val="008E56FB"/>
    <w:rsid w:val="008F1614"/>
    <w:rsid w:val="008F2167"/>
    <w:rsid w:val="008F33B4"/>
    <w:rsid w:val="008F4982"/>
    <w:rsid w:val="008F6298"/>
    <w:rsid w:val="008F7DD3"/>
    <w:rsid w:val="008F7E6C"/>
    <w:rsid w:val="0090077A"/>
    <w:rsid w:val="00900F47"/>
    <w:rsid w:val="00904ADA"/>
    <w:rsid w:val="00904EFB"/>
    <w:rsid w:val="00907697"/>
    <w:rsid w:val="00910A69"/>
    <w:rsid w:val="00911ADB"/>
    <w:rsid w:val="009138A0"/>
    <w:rsid w:val="0091424C"/>
    <w:rsid w:val="00914C87"/>
    <w:rsid w:val="00917DE4"/>
    <w:rsid w:val="00920905"/>
    <w:rsid w:val="009216DA"/>
    <w:rsid w:val="00921DA4"/>
    <w:rsid w:val="00922B85"/>
    <w:rsid w:val="009254C0"/>
    <w:rsid w:val="00930725"/>
    <w:rsid w:val="00930CDC"/>
    <w:rsid w:val="0093106E"/>
    <w:rsid w:val="00931249"/>
    <w:rsid w:val="00931581"/>
    <w:rsid w:val="00931E45"/>
    <w:rsid w:val="00933188"/>
    <w:rsid w:val="00934C67"/>
    <w:rsid w:val="00935107"/>
    <w:rsid w:val="00935AF9"/>
    <w:rsid w:val="009367A7"/>
    <w:rsid w:val="0093740F"/>
    <w:rsid w:val="00937F91"/>
    <w:rsid w:val="009403A5"/>
    <w:rsid w:val="009408A3"/>
    <w:rsid w:val="0094411C"/>
    <w:rsid w:val="009500DC"/>
    <w:rsid w:val="00950B68"/>
    <w:rsid w:val="00951923"/>
    <w:rsid w:val="00953441"/>
    <w:rsid w:val="00955E73"/>
    <w:rsid w:val="009560E1"/>
    <w:rsid w:val="00956851"/>
    <w:rsid w:val="00957269"/>
    <w:rsid w:val="00960EBF"/>
    <w:rsid w:val="009611A5"/>
    <w:rsid w:val="009634B8"/>
    <w:rsid w:val="0096587E"/>
    <w:rsid w:val="00965B4C"/>
    <w:rsid w:val="00972C81"/>
    <w:rsid w:val="00976233"/>
    <w:rsid w:val="009766E6"/>
    <w:rsid w:val="00977655"/>
    <w:rsid w:val="00977797"/>
    <w:rsid w:val="009800FD"/>
    <w:rsid w:val="00980128"/>
    <w:rsid w:val="009824E9"/>
    <w:rsid w:val="009826E5"/>
    <w:rsid w:val="00983578"/>
    <w:rsid w:val="009844A1"/>
    <w:rsid w:val="00986E20"/>
    <w:rsid w:val="00986F76"/>
    <w:rsid w:val="00987452"/>
    <w:rsid w:val="00987985"/>
    <w:rsid w:val="00991266"/>
    <w:rsid w:val="0099161B"/>
    <w:rsid w:val="00993625"/>
    <w:rsid w:val="00995479"/>
    <w:rsid w:val="00995CB0"/>
    <w:rsid w:val="009963F3"/>
    <w:rsid w:val="0099755F"/>
    <w:rsid w:val="00997E77"/>
    <w:rsid w:val="009A05DD"/>
    <w:rsid w:val="009A0851"/>
    <w:rsid w:val="009A2734"/>
    <w:rsid w:val="009A320F"/>
    <w:rsid w:val="009A70FC"/>
    <w:rsid w:val="009B2A02"/>
    <w:rsid w:val="009B2B3B"/>
    <w:rsid w:val="009B2B61"/>
    <w:rsid w:val="009B5012"/>
    <w:rsid w:val="009B5B7B"/>
    <w:rsid w:val="009B6DB6"/>
    <w:rsid w:val="009C1457"/>
    <w:rsid w:val="009C1777"/>
    <w:rsid w:val="009C2C86"/>
    <w:rsid w:val="009C6374"/>
    <w:rsid w:val="009C6FE0"/>
    <w:rsid w:val="009C7972"/>
    <w:rsid w:val="009D05E1"/>
    <w:rsid w:val="009D0753"/>
    <w:rsid w:val="009D10A4"/>
    <w:rsid w:val="009D5131"/>
    <w:rsid w:val="009D5344"/>
    <w:rsid w:val="009D605A"/>
    <w:rsid w:val="009D6F71"/>
    <w:rsid w:val="009D7AB5"/>
    <w:rsid w:val="009E1263"/>
    <w:rsid w:val="009E1802"/>
    <w:rsid w:val="009E1CDE"/>
    <w:rsid w:val="009E27BA"/>
    <w:rsid w:val="009E2905"/>
    <w:rsid w:val="009E2B06"/>
    <w:rsid w:val="009E3829"/>
    <w:rsid w:val="009E3C75"/>
    <w:rsid w:val="009E51E2"/>
    <w:rsid w:val="009E566F"/>
    <w:rsid w:val="009E5D21"/>
    <w:rsid w:val="009E6ABD"/>
    <w:rsid w:val="009E747B"/>
    <w:rsid w:val="009F12BA"/>
    <w:rsid w:val="009F13B2"/>
    <w:rsid w:val="009F1FFA"/>
    <w:rsid w:val="009F407C"/>
    <w:rsid w:val="009F7A61"/>
    <w:rsid w:val="00A05AF4"/>
    <w:rsid w:val="00A06D00"/>
    <w:rsid w:val="00A101C7"/>
    <w:rsid w:val="00A11800"/>
    <w:rsid w:val="00A11C16"/>
    <w:rsid w:val="00A13A81"/>
    <w:rsid w:val="00A14080"/>
    <w:rsid w:val="00A1423E"/>
    <w:rsid w:val="00A15EAE"/>
    <w:rsid w:val="00A16526"/>
    <w:rsid w:val="00A16C3F"/>
    <w:rsid w:val="00A17664"/>
    <w:rsid w:val="00A1779C"/>
    <w:rsid w:val="00A20FAF"/>
    <w:rsid w:val="00A22577"/>
    <w:rsid w:val="00A22FEE"/>
    <w:rsid w:val="00A234A0"/>
    <w:rsid w:val="00A24520"/>
    <w:rsid w:val="00A26DD1"/>
    <w:rsid w:val="00A26E39"/>
    <w:rsid w:val="00A27163"/>
    <w:rsid w:val="00A27F6C"/>
    <w:rsid w:val="00A3164A"/>
    <w:rsid w:val="00A34773"/>
    <w:rsid w:val="00A34CCF"/>
    <w:rsid w:val="00A36506"/>
    <w:rsid w:val="00A37F42"/>
    <w:rsid w:val="00A42D2B"/>
    <w:rsid w:val="00A4411F"/>
    <w:rsid w:val="00A44D33"/>
    <w:rsid w:val="00A47D35"/>
    <w:rsid w:val="00A500D6"/>
    <w:rsid w:val="00A50788"/>
    <w:rsid w:val="00A50AFC"/>
    <w:rsid w:val="00A523FF"/>
    <w:rsid w:val="00A5289A"/>
    <w:rsid w:val="00A54756"/>
    <w:rsid w:val="00A54C66"/>
    <w:rsid w:val="00A574DF"/>
    <w:rsid w:val="00A57D36"/>
    <w:rsid w:val="00A60B3E"/>
    <w:rsid w:val="00A60E0B"/>
    <w:rsid w:val="00A61BB6"/>
    <w:rsid w:val="00A65734"/>
    <w:rsid w:val="00A6687F"/>
    <w:rsid w:val="00A672CC"/>
    <w:rsid w:val="00A67704"/>
    <w:rsid w:val="00A67907"/>
    <w:rsid w:val="00A71089"/>
    <w:rsid w:val="00A73794"/>
    <w:rsid w:val="00A73CC1"/>
    <w:rsid w:val="00A77DFB"/>
    <w:rsid w:val="00A80270"/>
    <w:rsid w:val="00A8117E"/>
    <w:rsid w:val="00A82DB1"/>
    <w:rsid w:val="00A83FA7"/>
    <w:rsid w:val="00A84127"/>
    <w:rsid w:val="00A86DA2"/>
    <w:rsid w:val="00A90DFC"/>
    <w:rsid w:val="00A91756"/>
    <w:rsid w:val="00A91BF3"/>
    <w:rsid w:val="00A972ED"/>
    <w:rsid w:val="00A976B0"/>
    <w:rsid w:val="00AA0A9C"/>
    <w:rsid w:val="00AA16C0"/>
    <w:rsid w:val="00AA32DE"/>
    <w:rsid w:val="00AA459C"/>
    <w:rsid w:val="00AA4CDC"/>
    <w:rsid w:val="00AA6A50"/>
    <w:rsid w:val="00AB21D4"/>
    <w:rsid w:val="00AB21F5"/>
    <w:rsid w:val="00AB3386"/>
    <w:rsid w:val="00AB36DB"/>
    <w:rsid w:val="00AB7906"/>
    <w:rsid w:val="00AC0B1D"/>
    <w:rsid w:val="00AC2F5B"/>
    <w:rsid w:val="00AC3DAD"/>
    <w:rsid w:val="00AC5309"/>
    <w:rsid w:val="00AC5B97"/>
    <w:rsid w:val="00AC6A51"/>
    <w:rsid w:val="00AC74B3"/>
    <w:rsid w:val="00AC79CF"/>
    <w:rsid w:val="00AD1C3D"/>
    <w:rsid w:val="00AD3119"/>
    <w:rsid w:val="00AD4DD0"/>
    <w:rsid w:val="00AD5BA1"/>
    <w:rsid w:val="00AD5E8E"/>
    <w:rsid w:val="00AD6C2D"/>
    <w:rsid w:val="00AE0A8D"/>
    <w:rsid w:val="00AE0B88"/>
    <w:rsid w:val="00AE1E0D"/>
    <w:rsid w:val="00AE30C6"/>
    <w:rsid w:val="00AE3324"/>
    <w:rsid w:val="00AE5B39"/>
    <w:rsid w:val="00AF6342"/>
    <w:rsid w:val="00B01DD4"/>
    <w:rsid w:val="00B03807"/>
    <w:rsid w:val="00B05110"/>
    <w:rsid w:val="00B053FB"/>
    <w:rsid w:val="00B05647"/>
    <w:rsid w:val="00B06112"/>
    <w:rsid w:val="00B07BA4"/>
    <w:rsid w:val="00B07EE5"/>
    <w:rsid w:val="00B14209"/>
    <w:rsid w:val="00B174DD"/>
    <w:rsid w:val="00B201E6"/>
    <w:rsid w:val="00B21CC5"/>
    <w:rsid w:val="00B22B91"/>
    <w:rsid w:val="00B26778"/>
    <w:rsid w:val="00B26B83"/>
    <w:rsid w:val="00B30687"/>
    <w:rsid w:val="00B317E3"/>
    <w:rsid w:val="00B3210C"/>
    <w:rsid w:val="00B32479"/>
    <w:rsid w:val="00B33D5E"/>
    <w:rsid w:val="00B33FE2"/>
    <w:rsid w:val="00B360EC"/>
    <w:rsid w:val="00B403ED"/>
    <w:rsid w:val="00B4065F"/>
    <w:rsid w:val="00B4244F"/>
    <w:rsid w:val="00B4429C"/>
    <w:rsid w:val="00B45091"/>
    <w:rsid w:val="00B45447"/>
    <w:rsid w:val="00B46CE0"/>
    <w:rsid w:val="00B50415"/>
    <w:rsid w:val="00B52D77"/>
    <w:rsid w:val="00B54399"/>
    <w:rsid w:val="00B614F1"/>
    <w:rsid w:val="00B61BFB"/>
    <w:rsid w:val="00B637CF"/>
    <w:rsid w:val="00B645A4"/>
    <w:rsid w:val="00B660B5"/>
    <w:rsid w:val="00B679B4"/>
    <w:rsid w:val="00B7094B"/>
    <w:rsid w:val="00B71575"/>
    <w:rsid w:val="00B719FD"/>
    <w:rsid w:val="00B71C51"/>
    <w:rsid w:val="00B77C52"/>
    <w:rsid w:val="00B866B4"/>
    <w:rsid w:val="00B93BDD"/>
    <w:rsid w:val="00B94226"/>
    <w:rsid w:val="00B96A9F"/>
    <w:rsid w:val="00B96BA8"/>
    <w:rsid w:val="00BA0A8C"/>
    <w:rsid w:val="00BA0CEB"/>
    <w:rsid w:val="00BA0FFE"/>
    <w:rsid w:val="00BA1C03"/>
    <w:rsid w:val="00BA2383"/>
    <w:rsid w:val="00BA2E7E"/>
    <w:rsid w:val="00BA590A"/>
    <w:rsid w:val="00BA5FE4"/>
    <w:rsid w:val="00BA68EA"/>
    <w:rsid w:val="00BB0B39"/>
    <w:rsid w:val="00BB30D1"/>
    <w:rsid w:val="00BB39D8"/>
    <w:rsid w:val="00BB3F77"/>
    <w:rsid w:val="00BB4943"/>
    <w:rsid w:val="00BB4E5E"/>
    <w:rsid w:val="00BB5F75"/>
    <w:rsid w:val="00BB60B4"/>
    <w:rsid w:val="00BC1B5D"/>
    <w:rsid w:val="00BC51DD"/>
    <w:rsid w:val="00BC636E"/>
    <w:rsid w:val="00BC6524"/>
    <w:rsid w:val="00BC73C0"/>
    <w:rsid w:val="00BD250D"/>
    <w:rsid w:val="00BD2F80"/>
    <w:rsid w:val="00BD3931"/>
    <w:rsid w:val="00BD5B88"/>
    <w:rsid w:val="00BD5F58"/>
    <w:rsid w:val="00BE0AEB"/>
    <w:rsid w:val="00BE259A"/>
    <w:rsid w:val="00BE7D99"/>
    <w:rsid w:val="00BF0AF8"/>
    <w:rsid w:val="00BF2377"/>
    <w:rsid w:val="00BF3E98"/>
    <w:rsid w:val="00C018E0"/>
    <w:rsid w:val="00C02EBD"/>
    <w:rsid w:val="00C04C2C"/>
    <w:rsid w:val="00C05AAF"/>
    <w:rsid w:val="00C118C7"/>
    <w:rsid w:val="00C12901"/>
    <w:rsid w:val="00C16810"/>
    <w:rsid w:val="00C176F5"/>
    <w:rsid w:val="00C20877"/>
    <w:rsid w:val="00C20E7B"/>
    <w:rsid w:val="00C21456"/>
    <w:rsid w:val="00C24760"/>
    <w:rsid w:val="00C24D03"/>
    <w:rsid w:val="00C25E61"/>
    <w:rsid w:val="00C2718B"/>
    <w:rsid w:val="00C31B86"/>
    <w:rsid w:val="00C35598"/>
    <w:rsid w:val="00C35A1B"/>
    <w:rsid w:val="00C37A85"/>
    <w:rsid w:val="00C413F3"/>
    <w:rsid w:val="00C44C5C"/>
    <w:rsid w:val="00C504BB"/>
    <w:rsid w:val="00C51971"/>
    <w:rsid w:val="00C52471"/>
    <w:rsid w:val="00C54EFF"/>
    <w:rsid w:val="00C55D03"/>
    <w:rsid w:val="00C61FA1"/>
    <w:rsid w:val="00C6308E"/>
    <w:rsid w:val="00C63548"/>
    <w:rsid w:val="00C63F96"/>
    <w:rsid w:val="00C65450"/>
    <w:rsid w:val="00C65880"/>
    <w:rsid w:val="00C677AF"/>
    <w:rsid w:val="00C67E59"/>
    <w:rsid w:val="00C72B8B"/>
    <w:rsid w:val="00C72CB5"/>
    <w:rsid w:val="00C741B8"/>
    <w:rsid w:val="00C7477B"/>
    <w:rsid w:val="00C75333"/>
    <w:rsid w:val="00C75D70"/>
    <w:rsid w:val="00C75E65"/>
    <w:rsid w:val="00C76D4F"/>
    <w:rsid w:val="00C804C8"/>
    <w:rsid w:val="00C805BC"/>
    <w:rsid w:val="00C80F41"/>
    <w:rsid w:val="00C837D6"/>
    <w:rsid w:val="00C83BDA"/>
    <w:rsid w:val="00C86E4B"/>
    <w:rsid w:val="00C86FE5"/>
    <w:rsid w:val="00C87556"/>
    <w:rsid w:val="00C90B31"/>
    <w:rsid w:val="00C91817"/>
    <w:rsid w:val="00C959CA"/>
    <w:rsid w:val="00C95D16"/>
    <w:rsid w:val="00C96944"/>
    <w:rsid w:val="00CA2AB4"/>
    <w:rsid w:val="00CA3718"/>
    <w:rsid w:val="00CA4F8C"/>
    <w:rsid w:val="00CA66D3"/>
    <w:rsid w:val="00CA6A91"/>
    <w:rsid w:val="00CA70F7"/>
    <w:rsid w:val="00CA744C"/>
    <w:rsid w:val="00CB0100"/>
    <w:rsid w:val="00CB04D2"/>
    <w:rsid w:val="00CB4136"/>
    <w:rsid w:val="00CB6247"/>
    <w:rsid w:val="00CC49E1"/>
    <w:rsid w:val="00CC5264"/>
    <w:rsid w:val="00CD1B6C"/>
    <w:rsid w:val="00CD3D67"/>
    <w:rsid w:val="00CD3F8D"/>
    <w:rsid w:val="00CD5B3E"/>
    <w:rsid w:val="00CD66F0"/>
    <w:rsid w:val="00CD6C0D"/>
    <w:rsid w:val="00CD7EFE"/>
    <w:rsid w:val="00CE0C66"/>
    <w:rsid w:val="00CE28CF"/>
    <w:rsid w:val="00CE2B69"/>
    <w:rsid w:val="00CE2D8F"/>
    <w:rsid w:val="00CE4386"/>
    <w:rsid w:val="00CE4CDC"/>
    <w:rsid w:val="00CE57C2"/>
    <w:rsid w:val="00CE5BEB"/>
    <w:rsid w:val="00CE6785"/>
    <w:rsid w:val="00CE69E9"/>
    <w:rsid w:val="00CE6DA7"/>
    <w:rsid w:val="00CE71F2"/>
    <w:rsid w:val="00CF07AA"/>
    <w:rsid w:val="00CF1F03"/>
    <w:rsid w:val="00CF1FCB"/>
    <w:rsid w:val="00CF27B3"/>
    <w:rsid w:val="00CF3F65"/>
    <w:rsid w:val="00CF464D"/>
    <w:rsid w:val="00CF58A5"/>
    <w:rsid w:val="00D04520"/>
    <w:rsid w:val="00D06C2C"/>
    <w:rsid w:val="00D10AD1"/>
    <w:rsid w:val="00D13C3F"/>
    <w:rsid w:val="00D17EF4"/>
    <w:rsid w:val="00D2023B"/>
    <w:rsid w:val="00D23770"/>
    <w:rsid w:val="00D23B4C"/>
    <w:rsid w:val="00D25074"/>
    <w:rsid w:val="00D26DAD"/>
    <w:rsid w:val="00D30E2C"/>
    <w:rsid w:val="00D34517"/>
    <w:rsid w:val="00D35F70"/>
    <w:rsid w:val="00D36798"/>
    <w:rsid w:val="00D43A23"/>
    <w:rsid w:val="00D47C8D"/>
    <w:rsid w:val="00D47E80"/>
    <w:rsid w:val="00D51B76"/>
    <w:rsid w:val="00D51F51"/>
    <w:rsid w:val="00D54C37"/>
    <w:rsid w:val="00D56AE8"/>
    <w:rsid w:val="00D57141"/>
    <w:rsid w:val="00D577A5"/>
    <w:rsid w:val="00D61D40"/>
    <w:rsid w:val="00D70563"/>
    <w:rsid w:val="00D70D89"/>
    <w:rsid w:val="00D71776"/>
    <w:rsid w:val="00D72051"/>
    <w:rsid w:val="00D7380B"/>
    <w:rsid w:val="00D73E30"/>
    <w:rsid w:val="00D74100"/>
    <w:rsid w:val="00D75C90"/>
    <w:rsid w:val="00D75D77"/>
    <w:rsid w:val="00D7639E"/>
    <w:rsid w:val="00D76D0D"/>
    <w:rsid w:val="00D77231"/>
    <w:rsid w:val="00D835EF"/>
    <w:rsid w:val="00D85D2F"/>
    <w:rsid w:val="00D85F09"/>
    <w:rsid w:val="00D86A9D"/>
    <w:rsid w:val="00D86DE6"/>
    <w:rsid w:val="00D93476"/>
    <w:rsid w:val="00D93F16"/>
    <w:rsid w:val="00D95770"/>
    <w:rsid w:val="00D963E0"/>
    <w:rsid w:val="00DA089A"/>
    <w:rsid w:val="00DA11A0"/>
    <w:rsid w:val="00DA2822"/>
    <w:rsid w:val="00DA2868"/>
    <w:rsid w:val="00DA2C06"/>
    <w:rsid w:val="00DA2EB1"/>
    <w:rsid w:val="00DA4D90"/>
    <w:rsid w:val="00DA5AD6"/>
    <w:rsid w:val="00DA690B"/>
    <w:rsid w:val="00DA7225"/>
    <w:rsid w:val="00DA7FE7"/>
    <w:rsid w:val="00DB44E9"/>
    <w:rsid w:val="00DB69B2"/>
    <w:rsid w:val="00DC1966"/>
    <w:rsid w:val="00DC2854"/>
    <w:rsid w:val="00DC3259"/>
    <w:rsid w:val="00DD0523"/>
    <w:rsid w:val="00DE2336"/>
    <w:rsid w:val="00DE3B0C"/>
    <w:rsid w:val="00DE5758"/>
    <w:rsid w:val="00DE5FCF"/>
    <w:rsid w:val="00DE6D38"/>
    <w:rsid w:val="00DF0D19"/>
    <w:rsid w:val="00DF0F2A"/>
    <w:rsid w:val="00DF1391"/>
    <w:rsid w:val="00DF298C"/>
    <w:rsid w:val="00DF2EE9"/>
    <w:rsid w:val="00DF37BE"/>
    <w:rsid w:val="00DF3860"/>
    <w:rsid w:val="00DF6FD8"/>
    <w:rsid w:val="00DF72A4"/>
    <w:rsid w:val="00E0502B"/>
    <w:rsid w:val="00E0563D"/>
    <w:rsid w:val="00E05A80"/>
    <w:rsid w:val="00E06A37"/>
    <w:rsid w:val="00E071A5"/>
    <w:rsid w:val="00E072B7"/>
    <w:rsid w:val="00E07752"/>
    <w:rsid w:val="00E1132D"/>
    <w:rsid w:val="00E1162E"/>
    <w:rsid w:val="00E13EBD"/>
    <w:rsid w:val="00E16285"/>
    <w:rsid w:val="00E16609"/>
    <w:rsid w:val="00E16F08"/>
    <w:rsid w:val="00E208C6"/>
    <w:rsid w:val="00E214C2"/>
    <w:rsid w:val="00E220DA"/>
    <w:rsid w:val="00E233F3"/>
    <w:rsid w:val="00E24722"/>
    <w:rsid w:val="00E25AC7"/>
    <w:rsid w:val="00E26B34"/>
    <w:rsid w:val="00E272FF"/>
    <w:rsid w:val="00E27C24"/>
    <w:rsid w:val="00E31468"/>
    <w:rsid w:val="00E314BA"/>
    <w:rsid w:val="00E325BE"/>
    <w:rsid w:val="00E326BA"/>
    <w:rsid w:val="00E32B05"/>
    <w:rsid w:val="00E34202"/>
    <w:rsid w:val="00E35B59"/>
    <w:rsid w:val="00E37F72"/>
    <w:rsid w:val="00E40BE5"/>
    <w:rsid w:val="00E40CF9"/>
    <w:rsid w:val="00E42A30"/>
    <w:rsid w:val="00E43483"/>
    <w:rsid w:val="00E45B44"/>
    <w:rsid w:val="00E512DB"/>
    <w:rsid w:val="00E53513"/>
    <w:rsid w:val="00E53A9F"/>
    <w:rsid w:val="00E5625D"/>
    <w:rsid w:val="00E60314"/>
    <w:rsid w:val="00E60CC0"/>
    <w:rsid w:val="00E64439"/>
    <w:rsid w:val="00E648BB"/>
    <w:rsid w:val="00E67ACA"/>
    <w:rsid w:val="00E67B8D"/>
    <w:rsid w:val="00E70A94"/>
    <w:rsid w:val="00E734D0"/>
    <w:rsid w:val="00E74477"/>
    <w:rsid w:val="00E76B31"/>
    <w:rsid w:val="00E81F3E"/>
    <w:rsid w:val="00E844BB"/>
    <w:rsid w:val="00E84C48"/>
    <w:rsid w:val="00E853E3"/>
    <w:rsid w:val="00E859BD"/>
    <w:rsid w:val="00E86B70"/>
    <w:rsid w:val="00E874EB"/>
    <w:rsid w:val="00E87C8F"/>
    <w:rsid w:val="00E900AC"/>
    <w:rsid w:val="00E904B6"/>
    <w:rsid w:val="00E90647"/>
    <w:rsid w:val="00E924C3"/>
    <w:rsid w:val="00E954EE"/>
    <w:rsid w:val="00E96759"/>
    <w:rsid w:val="00EA0DA3"/>
    <w:rsid w:val="00EA30B1"/>
    <w:rsid w:val="00EA340D"/>
    <w:rsid w:val="00EA3686"/>
    <w:rsid w:val="00EA4437"/>
    <w:rsid w:val="00EA4D87"/>
    <w:rsid w:val="00EA7E73"/>
    <w:rsid w:val="00EB34FC"/>
    <w:rsid w:val="00EB76E1"/>
    <w:rsid w:val="00EC0F19"/>
    <w:rsid w:val="00EC19DA"/>
    <w:rsid w:val="00EC2499"/>
    <w:rsid w:val="00EC39FC"/>
    <w:rsid w:val="00ED2080"/>
    <w:rsid w:val="00ED35CC"/>
    <w:rsid w:val="00ED3A5E"/>
    <w:rsid w:val="00ED5265"/>
    <w:rsid w:val="00EE0B68"/>
    <w:rsid w:val="00EE3A2D"/>
    <w:rsid w:val="00EE4120"/>
    <w:rsid w:val="00EE6137"/>
    <w:rsid w:val="00EE6604"/>
    <w:rsid w:val="00EE7253"/>
    <w:rsid w:val="00EF0594"/>
    <w:rsid w:val="00EF1170"/>
    <w:rsid w:val="00EF2151"/>
    <w:rsid w:val="00EF22FF"/>
    <w:rsid w:val="00EF2E8A"/>
    <w:rsid w:val="00EF3452"/>
    <w:rsid w:val="00EF4E6B"/>
    <w:rsid w:val="00EF5416"/>
    <w:rsid w:val="00EF6517"/>
    <w:rsid w:val="00F000C4"/>
    <w:rsid w:val="00F04606"/>
    <w:rsid w:val="00F0597B"/>
    <w:rsid w:val="00F059F9"/>
    <w:rsid w:val="00F06CCF"/>
    <w:rsid w:val="00F070CE"/>
    <w:rsid w:val="00F1053D"/>
    <w:rsid w:val="00F110D5"/>
    <w:rsid w:val="00F11E63"/>
    <w:rsid w:val="00F12733"/>
    <w:rsid w:val="00F12C08"/>
    <w:rsid w:val="00F15888"/>
    <w:rsid w:val="00F166A8"/>
    <w:rsid w:val="00F171E1"/>
    <w:rsid w:val="00F2059D"/>
    <w:rsid w:val="00F20DCF"/>
    <w:rsid w:val="00F25B36"/>
    <w:rsid w:val="00F25D9C"/>
    <w:rsid w:val="00F269D0"/>
    <w:rsid w:val="00F2767A"/>
    <w:rsid w:val="00F3052A"/>
    <w:rsid w:val="00F30A57"/>
    <w:rsid w:val="00F3203A"/>
    <w:rsid w:val="00F341E3"/>
    <w:rsid w:val="00F357D6"/>
    <w:rsid w:val="00F35D09"/>
    <w:rsid w:val="00F411EB"/>
    <w:rsid w:val="00F42D80"/>
    <w:rsid w:val="00F4304D"/>
    <w:rsid w:val="00F45541"/>
    <w:rsid w:val="00F46612"/>
    <w:rsid w:val="00F46748"/>
    <w:rsid w:val="00F4752B"/>
    <w:rsid w:val="00F476E8"/>
    <w:rsid w:val="00F50453"/>
    <w:rsid w:val="00F5179E"/>
    <w:rsid w:val="00F52806"/>
    <w:rsid w:val="00F541AE"/>
    <w:rsid w:val="00F55836"/>
    <w:rsid w:val="00F56792"/>
    <w:rsid w:val="00F571A6"/>
    <w:rsid w:val="00F6018B"/>
    <w:rsid w:val="00F60265"/>
    <w:rsid w:val="00F6076D"/>
    <w:rsid w:val="00F60E32"/>
    <w:rsid w:val="00F61F80"/>
    <w:rsid w:val="00F644FF"/>
    <w:rsid w:val="00F65ABA"/>
    <w:rsid w:val="00F65E15"/>
    <w:rsid w:val="00F66AA1"/>
    <w:rsid w:val="00F719B4"/>
    <w:rsid w:val="00F7242E"/>
    <w:rsid w:val="00F74B33"/>
    <w:rsid w:val="00F75605"/>
    <w:rsid w:val="00F777A1"/>
    <w:rsid w:val="00F8085E"/>
    <w:rsid w:val="00F810DD"/>
    <w:rsid w:val="00F81EFE"/>
    <w:rsid w:val="00F822A1"/>
    <w:rsid w:val="00F845C6"/>
    <w:rsid w:val="00F90461"/>
    <w:rsid w:val="00F91251"/>
    <w:rsid w:val="00F92294"/>
    <w:rsid w:val="00F95E2F"/>
    <w:rsid w:val="00F96DEB"/>
    <w:rsid w:val="00FA1872"/>
    <w:rsid w:val="00FA43C5"/>
    <w:rsid w:val="00FA4AE4"/>
    <w:rsid w:val="00FA4F34"/>
    <w:rsid w:val="00FB2590"/>
    <w:rsid w:val="00FB34FB"/>
    <w:rsid w:val="00FB3DD3"/>
    <w:rsid w:val="00FB4805"/>
    <w:rsid w:val="00FB7137"/>
    <w:rsid w:val="00FC267F"/>
    <w:rsid w:val="00FC4B51"/>
    <w:rsid w:val="00FD5A8C"/>
    <w:rsid w:val="00FD7ED0"/>
    <w:rsid w:val="00FE22BF"/>
    <w:rsid w:val="00FE286E"/>
    <w:rsid w:val="00FE3233"/>
    <w:rsid w:val="00FE4232"/>
    <w:rsid w:val="00FE4C68"/>
    <w:rsid w:val="00FE569C"/>
    <w:rsid w:val="00FE5FAF"/>
    <w:rsid w:val="00FE6D74"/>
    <w:rsid w:val="00FF1788"/>
    <w:rsid w:val="00FF1EAA"/>
    <w:rsid w:val="00FF297D"/>
    <w:rsid w:val="00FF4759"/>
    <w:rsid w:val="00FF48E8"/>
    <w:rsid w:val="00FF5210"/>
    <w:rsid w:val="00FF5CFD"/>
    <w:rsid w:val="00FF63D7"/>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26F55B"/>
  <w15:docId w15:val="{102C648A-1F15-424F-A1F1-BCD65769E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B5420"/>
    <w:rPr>
      <w:color w:val="800080" w:themeColor="followedHyperlink"/>
      <w:u w:val="single"/>
    </w:rPr>
  </w:style>
  <w:style w:type="paragraph" w:customStyle="1" w:styleId="PR1">
    <w:name w:val="PR1"/>
    <w:basedOn w:val="ART"/>
    <w:rsid w:val="007A5C72"/>
    <w:pPr>
      <w:numPr>
        <w:ilvl w:val="2"/>
      </w:numPr>
      <w:outlineLvl w:val="2"/>
    </w:pPr>
    <w:rPr>
      <w:b w:val="0"/>
      <w:caps w:val="0"/>
    </w:rPr>
  </w:style>
  <w:style w:type="paragraph" w:customStyle="1" w:styleId="ART">
    <w:name w:val="ART"/>
    <w:basedOn w:val="Normal"/>
    <w:next w:val="PR1"/>
    <w:rsid w:val="007A5C72"/>
    <w:pPr>
      <w:numPr>
        <w:ilvl w:val="1"/>
        <w:numId w:val="40"/>
      </w:numPr>
      <w:suppressAutoHyphens/>
      <w:spacing w:before="240"/>
      <w:outlineLvl w:val="1"/>
    </w:pPr>
    <w:rPr>
      <w:rFonts w:ascii="Arial" w:eastAsia="Batang" w:hAnsi="Arial"/>
      <w:b/>
      <w:caps/>
      <w:sz w:val="20"/>
      <w:szCs w:val="20"/>
    </w:rPr>
  </w:style>
  <w:style w:type="paragraph" w:customStyle="1" w:styleId="PR2">
    <w:name w:val="PR2"/>
    <w:basedOn w:val="PR1"/>
    <w:rsid w:val="007A5C72"/>
    <w:pPr>
      <w:numPr>
        <w:ilvl w:val="3"/>
      </w:numPr>
      <w:spacing w:before="0"/>
      <w:outlineLvl w:val="3"/>
    </w:pPr>
  </w:style>
  <w:style w:type="paragraph" w:customStyle="1" w:styleId="PR3">
    <w:name w:val="PR3"/>
    <w:basedOn w:val="PR1"/>
    <w:rsid w:val="007A5C72"/>
    <w:pPr>
      <w:numPr>
        <w:ilvl w:val="4"/>
      </w:numPr>
      <w:spacing w:before="0"/>
      <w:outlineLvl w:val="4"/>
    </w:pPr>
  </w:style>
  <w:style w:type="paragraph" w:customStyle="1" w:styleId="PR4">
    <w:name w:val="PR4"/>
    <w:basedOn w:val="PR1"/>
    <w:rsid w:val="007A5C72"/>
    <w:pPr>
      <w:numPr>
        <w:ilvl w:val="5"/>
      </w:numPr>
      <w:tabs>
        <w:tab w:val="clear" w:pos="2700"/>
        <w:tab w:val="left" w:pos="2448"/>
        <w:tab w:val="num" w:pos="2736"/>
      </w:tabs>
      <w:spacing w:before="0"/>
      <w:ind w:left="2448"/>
      <w:outlineLvl w:val="5"/>
    </w:pPr>
  </w:style>
  <w:style w:type="paragraph" w:customStyle="1" w:styleId="PR5">
    <w:name w:val="PR5"/>
    <w:basedOn w:val="PR1"/>
    <w:rsid w:val="007A5C72"/>
    <w:pPr>
      <w:numPr>
        <w:ilvl w:val="6"/>
      </w:numPr>
      <w:spacing w:before="0"/>
      <w:outlineLvl w:val="6"/>
    </w:pPr>
  </w:style>
  <w:style w:type="paragraph" w:customStyle="1" w:styleId="PR6">
    <w:name w:val="PR6"/>
    <w:basedOn w:val="PR1"/>
    <w:rsid w:val="007A5C72"/>
    <w:pPr>
      <w:numPr>
        <w:ilvl w:val="7"/>
      </w:numPr>
      <w:tabs>
        <w:tab w:val="left" w:pos="3744"/>
      </w:tabs>
      <w:spacing w:before="0"/>
      <w:outlineLvl w:val="7"/>
    </w:pPr>
  </w:style>
  <w:style w:type="paragraph" w:customStyle="1" w:styleId="PR7">
    <w:name w:val="PR7"/>
    <w:basedOn w:val="PR6"/>
    <w:rsid w:val="007A5C72"/>
    <w:pPr>
      <w:numPr>
        <w:ilvl w:val="8"/>
      </w:numPr>
      <w:tabs>
        <w:tab w:val="left" w:pos="4464"/>
      </w:tabs>
    </w:pPr>
  </w:style>
  <w:style w:type="paragraph" w:customStyle="1" w:styleId="WPSCT">
    <w:name w:val="WPSCT"/>
    <w:basedOn w:val="Normal"/>
    <w:next w:val="ART"/>
    <w:qFormat/>
    <w:rsid w:val="007A5C72"/>
    <w:pPr>
      <w:numPr>
        <w:numId w:val="40"/>
      </w:numPr>
      <w:suppressAutoHyphens/>
      <w:spacing w:before="240"/>
      <w:outlineLvl w:val="0"/>
    </w:pPr>
    <w:rPr>
      <w:rFonts w:ascii="Arial" w:eastAsia="Batang" w:hAnsi="Arial"/>
      <w:b/>
      <w:caps/>
      <w:sz w:val="20"/>
      <w:szCs w:val="20"/>
    </w:rPr>
  </w:style>
  <w:style w:type="paragraph" w:styleId="TOCHeading">
    <w:name w:val="TOC Heading"/>
    <w:basedOn w:val="Heading1"/>
    <w:next w:val="Normal"/>
    <w:uiPriority w:val="39"/>
    <w:unhideWhenUsed/>
    <w:qFormat/>
    <w:rsid w:val="000A7558"/>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0A7558"/>
    <w:pPr>
      <w:spacing w:after="100"/>
    </w:pPr>
  </w:style>
  <w:style w:type="paragraph" w:styleId="TOC2">
    <w:name w:val="toc 2"/>
    <w:basedOn w:val="Normal"/>
    <w:next w:val="Normal"/>
    <w:autoRedefine/>
    <w:uiPriority w:val="39"/>
    <w:unhideWhenUsed/>
    <w:rsid w:val="000A7558"/>
    <w:pPr>
      <w:spacing w:after="100"/>
      <w:ind w:left="220"/>
    </w:pPr>
  </w:style>
  <w:style w:type="paragraph" w:styleId="TOC3">
    <w:name w:val="toc 3"/>
    <w:basedOn w:val="Normal"/>
    <w:next w:val="Normal"/>
    <w:autoRedefine/>
    <w:uiPriority w:val="39"/>
    <w:unhideWhenUsed/>
    <w:rsid w:val="000A755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956">
      <w:bodyDiv w:val="1"/>
      <w:marLeft w:val="0"/>
      <w:marRight w:val="0"/>
      <w:marTop w:val="0"/>
      <w:marBottom w:val="0"/>
      <w:divBdr>
        <w:top w:val="none" w:sz="0" w:space="0" w:color="auto"/>
        <w:left w:val="none" w:sz="0" w:space="0" w:color="auto"/>
        <w:bottom w:val="none" w:sz="0" w:space="0" w:color="auto"/>
        <w:right w:val="none" w:sz="0" w:space="0" w:color="auto"/>
      </w:divBdr>
    </w:div>
    <w:div w:id="354159045">
      <w:bodyDiv w:val="1"/>
      <w:marLeft w:val="0"/>
      <w:marRight w:val="0"/>
      <w:marTop w:val="0"/>
      <w:marBottom w:val="0"/>
      <w:divBdr>
        <w:top w:val="none" w:sz="0" w:space="0" w:color="auto"/>
        <w:left w:val="none" w:sz="0" w:space="0" w:color="auto"/>
        <w:bottom w:val="none" w:sz="0" w:space="0" w:color="auto"/>
        <w:right w:val="none" w:sz="0" w:space="0" w:color="auto"/>
      </w:divBdr>
    </w:div>
    <w:div w:id="368842515">
      <w:bodyDiv w:val="1"/>
      <w:marLeft w:val="0"/>
      <w:marRight w:val="0"/>
      <w:marTop w:val="0"/>
      <w:marBottom w:val="0"/>
      <w:divBdr>
        <w:top w:val="none" w:sz="0" w:space="0" w:color="auto"/>
        <w:left w:val="none" w:sz="0" w:space="0" w:color="auto"/>
        <w:bottom w:val="none" w:sz="0" w:space="0" w:color="auto"/>
        <w:right w:val="none" w:sz="0" w:space="0" w:color="auto"/>
      </w:divBdr>
    </w:div>
    <w:div w:id="43170982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165572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cid:image001.png@01D235CA.4D94F7C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www.caltf.or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png"/></Relationships>
</file>

<file path=word/_rels/endnotes.xml.rels><?xml version="1.0" encoding="UTF-8" standalone="yes"?>
<Relationships xmlns="http://schemas.openxmlformats.org/package/2006/relationships"><Relationship Id="rId3" Type="http://schemas.openxmlformats.org/officeDocument/2006/relationships/hyperlink" Target="http://www.nachi.org/life-expectancy.htm" TargetMode="External"/><Relationship Id="rId2" Type="http://schemas.openxmlformats.org/officeDocument/2006/relationships/hyperlink" Target="http://www.academia.edu/7815182/HYDRAULIC_PEROFORMNACE_OF_FAUCET_AERATOR_AS_WATER_SAVING_DEVICE_AND_SUGGESTIONS_FOR_ITS_IMPROVEMENTS" TargetMode="External"/><Relationship Id="rId1" Type="http://schemas.openxmlformats.org/officeDocument/2006/relationships/hyperlink" Target="https://law.resource.org/pub/us/code/bsc.ca.gov/gov.ca.bsc.2016.05.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37A8"/>
    <w:rsid w:val="00034945"/>
    <w:rsid w:val="00146151"/>
    <w:rsid w:val="00164614"/>
    <w:rsid w:val="00204A7F"/>
    <w:rsid w:val="002661B5"/>
    <w:rsid w:val="002B514B"/>
    <w:rsid w:val="002C0C03"/>
    <w:rsid w:val="002D12F6"/>
    <w:rsid w:val="002E7E6A"/>
    <w:rsid w:val="00303FB5"/>
    <w:rsid w:val="00311B0D"/>
    <w:rsid w:val="00313B72"/>
    <w:rsid w:val="00361795"/>
    <w:rsid w:val="003773F7"/>
    <w:rsid w:val="003A131F"/>
    <w:rsid w:val="003F027A"/>
    <w:rsid w:val="00420477"/>
    <w:rsid w:val="0047791B"/>
    <w:rsid w:val="0048113D"/>
    <w:rsid w:val="004C539E"/>
    <w:rsid w:val="0050677E"/>
    <w:rsid w:val="0052424B"/>
    <w:rsid w:val="00525B0E"/>
    <w:rsid w:val="0054027E"/>
    <w:rsid w:val="00560392"/>
    <w:rsid w:val="0058300D"/>
    <w:rsid w:val="00593DC8"/>
    <w:rsid w:val="005E4C1C"/>
    <w:rsid w:val="006B7FA8"/>
    <w:rsid w:val="006C2AB5"/>
    <w:rsid w:val="006E56E5"/>
    <w:rsid w:val="007B1241"/>
    <w:rsid w:val="007C3EA0"/>
    <w:rsid w:val="008112B0"/>
    <w:rsid w:val="008211B5"/>
    <w:rsid w:val="00850E7C"/>
    <w:rsid w:val="00874653"/>
    <w:rsid w:val="008955A7"/>
    <w:rsid w:val="008C235A"/>
    <w:rsid w:val="009A3636"/>
    <w:rsid w:val="00A5022A"/>
    <w:rsid w:val="00A65C56"/>
    <w:rsid w:val="00AA673C"/>
    <w:rsid w:val="00AE4C28"/>
    <w:rsid w:val="00B101FB"/>
    <w:rsid w:val="00B62374"/>
    <w:rsid w:val="00B73964"/>
    <w:rsid w:val="00B74704"/>
    <w:rsid w:val="00BC2EC1"/>
    <w:rsid w:val="00C40911"/>
    <w:rsid w:val="00C947B8"/>
    <w:rsid w:val="00CA3886"/>
    <w:rsid w:val="00CC30CB"/>
    <w:rsid w:val="00D0496D"/>
    <w:rsid w:val="00D051F5"/>
    <w:rsid w:val="00D11030"/>
    <w:rsid w:val="00D40610"/>
    <w:rsid w:val="00DF2DA7"/>
    <w:rsid w:val="00E12EA5"/>
    <w:rsid w:val="00E51A93"/>
    <w:rsid w:val="00EC59D9"/>
    <w:rsid w:val="00F02AC6"/>
    <w:rsid w:val="00F06A75"/>
    <w:rsid w:val="00F12CAC"/>
    <w:rsid w:val="00F46149"/>
    <w:rsid w:val="00F7350A"/>
    <w:rsid w:val="00F75E18"/>
    <w:rsid w:val="00FA1450"/>
    <w:rsid w:val="00FA5A52"/>
    <w:rsid w:val="00FF32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12F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509A6BBDB8F404FA47C84CAE4F7D2C0">
    <w:name w:val="6509A6BBDB8F404FA47C84CAE4F7D2C0"/>
    <w:rsid w:val="0047791B"/>
    <w:pPr>
      <w:spacing w:after="160" w:line="259" w:lineRule="auto"/>
    </w:pPr>
  </w:style>
  <w:style w:type="paragraph" w:customStyle="1" w:styleId="68E3642296474EB6A26B7EFDE0DF7F1D">
    <w:name w:val="68E3642296474EB6A26B7EFDE0DF7F1D"/>
    <w:rsid w:val="0047791B"/>
    <w:pPr>
      <w:spacing w:after="160" w:line="259" w:lineRule="auto"/>
    </w:pPr>
  </w:style>
  <w:style w:type="paragraph" w:customStyle="1" w:styleId="ED0207C17A7A4C52AC39255E86428718">
    <w:name w:val="ED0207C17A7A4C52AC39255E86428718"/>
    <w:rsid w:val="0047791B"/>
    <w:pPr>
      <w:spacing w:after="160" w:line="259" w:lineRule="auto"/>
    </w:pPr>
  </w:style>
  <w:style w:type="paragraph" w:customStyle="1" w:styleId="48987EF6EBF34064B797703AA9A29F5A">
    <w:name w:val="48987EF6EBF34064B797703AA9A29F5A"/>
    <w:rsid w:val="004779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D33EA1-7FFA-4023-B664-48B97C97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21</Pages>
  <Words>5007</Words>
  <Characters>28540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WPSCGNRWH16122A</vt:lpstr>
    </vt:vector>
  </TitlesOfParts>
  <Company>Southern California Gas Company</Company>
  <LinksUpToDate>false</LinksUpToDate>
  <CharactersWithSpaces>33481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WPSCGNRWH161222A</dc:title>
  <dc:creator>Jim Wyatt (PG&amp;E);Jason Wang (SCE)</dc:creator>
  <cp:lastModifiedBy>Loo, Nicole Y</cp:lastModifiedBy>
  <cp:revision>105</cp:revision>
  <dcterms:created xsi:type="dcterms:W3CDTF">2017-03-29T17:58:00Z</dcterms:created>
  <dcterms:modified xsi:type="dcterms:W3CDTF">2017-04-14T17:33:00Z</dcterms:modified>
  <cp:contentStatus>Revision 0</cp:contentStatus>
</cp:coreProperties>
</file>