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721DE" w14:textId="77777777" w:rsidR="0047154F" w:rsidRDefault="0047154F" w:rsidP="0047154F">
      <w:pPr>
        <w:pStyle w:val="paragraph"/>
        <w:spacing w:before="0" w:beforeAutospacing="0" w:after="0" w:afterAutospacing="0"/>
        <w:jc w:val="right"/>
        <w:textAlignment w:val="baseline"/>
        <w:rPr>
          <w:rFonts w:ascii="Segoe UI" w:hAnsi="Segoe UI" w:cs="Segoe UI"/>
          <w:sz w:val="18"/>
          <w:szCs w:val="18"/>
        </w:rPr>
      </w:pPr>
      <w:bookmarkStart w:id="0" w:name="_Toc153189647"/>
      <w:bookmarkStart w:id="1" w:name="_Toc214003082"/>
      <w:r>
        <w:rPr>
          <w:rStyle w:val="normaltextrun"/>
          <w:rFonts w:ascii="Arial" w:hAnsi="Arial" w:cs="Arial"/>
          <w:b/>
          <w:bCs/>
          <w:sz w:val="48"/>
          <w:szCs w:val="48"/>
        </w:rPr>
        <w:t>Workpaper WPSCGNRWH121113A</w:t>
      </w:r>
      <w:r>
        <w:rPr>
          <w:rStyle w:val="eop"/>
          <w:rFonts w:ascii="Arial" w:hAnsi="Arial" w:cs="Arial"/>
          <w:sz w:val="48"/>
          <w:szCs w:val="48"/>
        </w:rPr>
        <w:t> </w:t>
      </w:r>
    </w:p>
    <w:p w14:paraId="029B3F02" w14:textId="5BB29827" w:rsidR="0047154F" w:rsidRDefault="0047154F" w:rsidP="0047154F">
      <w:pPr>
        <w:pStyle w:val="paragraph"/>
        <w:spacing w:before="0" w:beforeAutospacing="0" w:after="0" w:afterAutospacing="0"/>
        <w:jc w:val="right"/>
        <w:textAlignment w:val="baseline"/>
        <w:rPr>
          <w:rFonts w:ascii="Segoe UI" w:hAnsi="Segoe UI" w:cs="Segoe UI"/>
          <w:sz w:val="18"/>
          <w:szCs w:val="18"/>
        </w:rPr>
      </w:pPr>
      <w:r>
        <w:rPr>
          <w:rStyle w:val="normaltextrun"/>
          <w:rFonts w:ascii="Arial" w:hAnsi="Arial" w:cs="Arial"/>
          <w:b/>
          <w:bCs/>
          <w:sz w:val="48"/>
          <w:szCs w:val="48"/>
        </w:rPr>
        <w:t>Revision 4</w:t>
      </w:r>
      <w:r>
        <w:rPr>
          <w:rStyle w:val="eop"/>
          <w:rFonts w:ascii="Arial" w:hAnsi="Arial" w:cs="Arial"/>
          <w:sz w:val="48"/>
          <w:szCs w:val="48"/>
        </w:rPr>
        <w:t> </w:t>
      </w:r>
    </w:p>
    <w:p w14:paraId="18CCDEDC" w14:textId="77777777" w:rsidR="0047154F" w:rsidRDefault="0047154F" w:rsidP="0047154F">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2"/>
          <w:szCs w:val="22"/>
        </w:rPr>
        <w:t> </w:t>
      </w:r>
    </w:p>
    <w:bookmarkEnd w:id="0"/>
    <w:p w14:paraId="2A5A5F3E" w14:textId="77777777" w:rsidR="00285A0D" w:rsidRPr="00500C4E" w:rsidRDefault="00285A0D" w:rsidP="00DE5758">
      <w:pPr>
        <w:jc w:val="right"/>
        <w:rPr>
          <w:rFonts w:cstheme="minorHAnsi"/>
          <w:b/>
          <w:sz w:val="48"/>
          <w:szCs w:val="48"/>
        </w:rPr>
      </w:pPr>
    </w:p>
    <w:bookmarkStart w:id="2" w:name="SCE"/>
    <w:p w14:paraId="6804A87C" w14:textId="538E6F1C" w:rsidR="00DA690B" w:rsidRPr="00500C4E" w:rsidRDefault="00174AA5"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47154F">
            <w:rPr>
              <w:rFonts w:cstheme="minorHAnsi"/>
              <w:b/>
              <w:sz w:val="36"/>
              <w:szCs w:val="36"/>
            </w:rPr>
            <w:t>Southern California Gas Company</w:t>
          </w:r>
        </w:sdtContent>
      </w:sdt>
      <w:bookmarkEnd w:id="2"/>
    </w:p>
    <w:p w14:paraId="15C08A85" w14:textId="77777777" w:rsidR="00DA690B" w:rsidRPr="00500C4E" w:rsidRDefault="00DA690B" w:rsidP="00DA690B">
      <w:pPr>
        <w:rPr>
          <w:rFonts w:cstheme="minorHAnsi"/>
        </w:rPr>
      </w:pPr>
    </w:p>
    <w:p w14:paraId="168ED242" w14:textId="77777777" w:rsidR="00DA690B" w:rsidRPr="00500C4E" w:rsidRDefault="00DA690B" w:rsidP="00DA690B">
      <w:pPr>
        <w:rPr>
          <w:rFonts w:cstheme="minorHAnsi"/>
        </w:rPr>
      </w:pPr>
    </w:p>
    <w:p w14:paraId="0024DB76" w14:textId="77777777" w:rsidR="00DA690B" w:rsidRPr="00500C4E" w:rsidRDefault="009D0753" w:rsidP="009D0753">
      <w:pPr>
        <w:tabs>
          <w:tab w:val="left" w:pos="8190"/>
        </w:tabs>
        <w:rPr>
          <w:rFonts w:cstheme="minorHAnsi"/>
        </w:rPr>
      </w:pPr>
      <w:r w:rsidRPr="00500C4E">
        <w:rPr>
          <w:rFonts w:cstheme="minorHAnsi"/>
        </w:rPr>
        <w:tab/>
      </w:r>
    </w:p>
    <w:p w14:paraId="2103FB29" w14:textId="77777777" w:rsidR="00DA690B" w:rsidRPr="00500C4E" w:rsidRDefault="00DA690B" w:rsidP="00DA690B">
      <w:pPr>
        <w:rPr>
          <w:rFonts w:cstheme="minorHAnsi"/>
        </w:rPr>
      </w:pPr>
    </w:p>
    <w:p w14:paraId="30C71DB4" w14:textId="77777777" w:rsidR="00DA690B" w:rsidRPr="00500C4E" w:rsidRDefault="00DA690B" w:rsidP="00DA690B">
      <w:pPr>
        <w:rPr>
          <w:rFonts w:cstheme="minorHAnsi"/>
        </w:rPr>
      </w:pPr>
    </w:p>
    <w:p w14:paraId="61CB4107" w14:textId="77777777" w:rsidR="00DA690B" w:rsidRPr="00500C4E" w:rsidRDefault="00DA690B" w:rsidP="00DA690B">
      <w:pPr>
        <w:rPr>
          <w:rFonts w:cstheme="minorHAnsi"/>
        </w:rPr>
      </w:pPr>
    </w:p>
    <w:p w14:paraId="4D8AA40D" w14:textId="77777777" w:rsidR="00DA690B" w:rsidRPr="00500C4E" w:rsidRDefault="00DA690B" w:rsidP="00DA690B">
      <w:pPr>
        <w:rPr>
          <w:rFonts w:cstheme="minorHAnsi"/>
        </w:rPr>
      </w:pPr>
    </w:p>
    <w:p w14:paraId="5AC45FE3" w14:textId="77777777" w:rsidR="00DA690B" w:rsidRPr="00500C4E" w:rsidRDefault="00DA690B" w:rsidP="00DA690B">
      <w:pPr>
        <w:rPr>
          <w:rFonts w:cstheme="minorHAnsi"/>
        </w:rPr>
      </w:pPr>
    </w:p>
    <w:p w14:paraId="3A9F6726" w14:textId="77777777" w:rsidR="00E76B31" w:rsidRPr="00500C4E" w:rsidRDefault="004C526B" w:rsidP="00E76B31">
      <w:pPr>
        <w:pStyle w:val="Reminders"/>
        <w:rPr>
          <w:rFonts w:asciiTheme="minorHAnsi" w:hAnsiTheme="minorHAnsi" w:cstheme="minorHAnsi"/>
          <w:i w:val="0"/>
          <w:szCs w:val="22"/>
        </w:rPr>
      </w:pPr>
      <w:r w:rsidRPr="004C526B">
        <w:rPr>
          <w:rFonts w:asciiTheme="minorHAnsi" w:hAnsiTheme="minorHAnsi" w:cstheme="minorHAnsi"/>
          <w:b/>
          <w:i w:val="0"/>
          <w:color w:val="auto"/>
          <w:sz w:val="72"/>
          <w:szCs w:val="72"/>
        </w:rPr>
        <w:t>Low-Flow Pre-Rinse Spray Valves</w:t>
      </w:r>
    </w:p>
    <w:p w14:paraId="1044F4EC" w14:textId="77777777" w:rsidR="00EF4E6B" w:rsidRDefault="00EF4E6B" w:rsidP="00E76B31">
      <w:pPr>
        <w:pStyle w:val="Reminders"/>
        <w:rPr>
          <w:rFonts w:asciiTheme="minorHAnsi" w:hAnsiTheme="minorHAnsi" w:cstheme="minorHAnsi"/>
          <w:b/>
          <w:i w:val="0"/>
          <w:sz w:val="32"/>
          <w:szCs w:val="22"/>
        </w:rPr>
      </w:pPr>
    </w:p>
    <w:p w14:paraId="4074CC97" w14:textId="77777777" w:rsidR="0091595E" w:rsidRPr="00500C4E" w:rsidRDefault="0091595E" w:rsidP="00E76B31">
      <w:pPr>
        <w:pStyle w:val="Reminders"/>
        <w:rPr>
          <w:rFonts w:asciiTheme="minorHAnsi" w:hAnsiTheme="minorHAnsi" w:cstheme="minorHAnsi"/>
          <w:b/>
          <w:i w:val="0"/>
          <w:sz w:val="32"/>
          <w:szCs w:val="22"/>
        </w:rPr>
      </w:pPr>
    </w:p>
    <w:p w14:paraId="4D66B647" w14:textId="77777777" w:rsidR="00523736" w:rsidRPr="00500C4E" w:rsidRDefault="00523736" w:rsidP="00E76B31">
      <w:pPr>
        <w:pStyle w:val="Reminders"/>
        <w:rPr>
          <w:rFonts w:asciiTheme="minorHAnsi" w:hAnsiTheme="minorHAnsi" w:cstheme="minorHAnsi"/>
          <w:b/>
          <w:i w:val="0"/>
          <w:sz w:val="32"/>
          <w:szCs w:val="22"/>
        </w:rPr>
        <w:sectPr w:rsidR="00523736" w:rsidRPr="00500C4E" w:rsidSect="007E1340">
          <w:footerReference w:type="default" r:id="rId12"/>
          <w:endnotePr>
            <w:numFmt w:val="decimal"/>
          </w:endnotePr>
          <w:pgSz w:w="12240" w:h="15840"/>
          <w:pgMar w:top="1440" w:right="1440" w:bottom="1440" w:left="1440" w:header="720" w:footer="720" w:gutter="0"/>
          <w:cols w:space="720"/>
          <w:docGrid w:linePitch="360"/>
        </w:sectPr>
      </w:pPr>
    </w:p>
    <w:p w14:paraId="786B8EA1"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AC5309" w:rsidRPr="00500C4E" w14:paraId="6D0E0561" w14:textId="77777777" w:rsidTr="00920905">
        <w:trPr>
          <w:trHeight w:val="465"/>
        </w:trPr>
        <w:tc>
          <w:tcPr>
            <w:tcW w:w="1875" w:type="pct"/>
          </w:tcPr>
          <w:p w14:paraId="514BADEC"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5F5C2541" w14:textId="72DB9C6A" w:rsidR="00AC5309" w:rsidRPr="00500C4E" w:rsidRDefault="0045529E">
            <w:pPr>
              <w:rPr>
                <w:rFonts w:cs="Arial"/>
                <w:bCs/>
                <w:color w:val="FF0000"/>
                <w:szCs w:val="20"/>
              </w:rPr>
            </w:pPr>
            <w:r>
              <w:rPr>
                <w:rFonts w:cs="Arial"/>
                <w:b/>
                <w:bCs/>
                <w:color w:val="FF0000"/>
                <w:szCs w:val="20"/>
              </w:rPr>
              <w:t>TBD</w:t>
            </w:r>
          </w:p>
        </w:tc>
      </w:tr>
      <w:tr w:rsidR="00AC5309" w:rsidRPr="00500C4E" w14:paraId="5DA22C9C" w14:textId="77777777" w:rsidTr="00920905">
        <w:trPr>
          <w:trHeight w:val="465"/>
        </w:trPr>
        <w:tc>
          <w:tcPr>
            <w:tcW w:w="1875" w:type="pct"/>
          </w:tcPr>
          <w:p w14:paraId="4DF1411D" w14:textId="77777777" w:rsidR="00290ED8" w:rsidRPr="00A36101" w:rsidRDefault="00290ED8">
            <w:pPr>
              <w:rPr>
                <w:rStyle w:val="Strong"/>
                <w:rFonts w:asciiTheme="minorHAnsi" w:hAnsiTheme="minorHAnsi"/>
                <w:sz w:val="20"/>
                <w:szCs w:val="20"/>
              </w:rPr>
            </w:pPr>
            <w:r w:rsidRPr="00A36101">
              <w:rPr>
                <w:rStyle w:val="Strong"/>
                <w:rFonts w:asciiTheme="minorHAnsi" w:hAnsiTheme="minorHAnsi"/>
                <w:sz w:val="20"/>
                <w:szCs w:val="20"/>
              </w:rPr>
              <w:t>Measure</w:t>
            </w:r>
            <w:r w:rsidR="001D3223" w:rsidRPr="00A36101">
              <w:rPr>
                <w:rStyle w:val="Strong"/>
                <w:rFonts w:asciiTheme="minorHAnsi" w:hAnsiTheme="minorHAnsi"/>
                <w:sz w:val="20"/>
                <w:szCs w:val="20"/>
              </w:rPr>
              <w:t xml:space="preserve"> </w:t>
            </w:r>
            <w:r w:rsidRPr="00A36101">
              <w:rPr>
                <w:rStyle w:val="Strong"/>
                <w:rFonts w:asciiTheme="minorHAnsi" w:hAnsiTheme="minorHAnsi"/>
                <w:sz w:val="20"/>
                <w:szCs w:val="20"/>
              </w:rPr>
              <w:t>Description</w:t>
            </w:r>
          </w:p>
        </w:tc>
        <w:tc>
          <w:tcPr>
            <w:tcW w:w="3125" w:type="pct"/>
          </w:tcPr>
          <w:p w14:paraId="3B5BDE83" w14:textId="77777777" w:rsidR="00D66BB0" w:rsidRPr="00A36101" w:rsidRDefault="00D66BB0" w:rsidP="00D66BB0">
            <w:pPr>
              <w:rPr>
                <w:rFonts w:cs="Arial"/>
                <w:szCs w:val="20"/>
              </w:rPr>
            </w:pPr>
            <w:r w:rsidRPr="00A36101">
              <w:rPr>
                <w:rFonts w:cs="Arial"/>
                <w:szCs w:val="20"/>
              </w:rPr>
              <w:t xml:space="preserve">Commercial Pre-Rinse Spray Valve (PRSV) </w:t>
            </w:r>
          </w:p>
          <w:p w14:paraId="4E740D6C" w14:textId="0E09EA6C" w:rsidR="00290ED8" w:rsidRPr="00A36101" w:rsidRDefault="001B7F13" w:rsidP="00C76EB4">
            <w:pPr>
              <w:pStyle w:val="ListParagraph"/>
              <w:numPr>
                <w:ilvl w:val="0"/>
                <w:numId w:val="45"/>
              </w:numPr>
              <w:rPr>
                <w:rFonts w:cs="Arial"/>
                <w:szCs w:val="20"/>
              </w:rPr>
            </w:pPr>
            <w:r>
              <w:rPr>
                <w:rFonts w:cs="Arial"/>
                <w:szCs w:val="20"/>
              </w:rPr>
              <w:t xml:space="preserve">0.75 – </w:t>
            </w:r>
            <w:r w:rsidR="00D66BB0" w:rsidRPr="00A36101">
              <w:rPr>
                <w:rFonts w:cs="Arial"/>
                <w:szCs w:val="20"/>
              </w:rPr>
              <w:t>1.07 gpm flow rate</w:t>
            </w:r>
          </w:p>
          <w:p w14:paraId="5533CD29" w14:textId="77777777" w:rsidR="00D66BB0" w:rsidRPr="00A36101" w:rsidRDefault="00D66BB0" w:rsidP="00D66BB0">
            <w:pPr>
              <w:rPr>
                <w:rFonts w:cs="Arial"/>
                <w:szCs w:val="20"/>
              </w:rPr>
            </w:pPr>
            <w:r w:rsidRPr="00A36101">
              <w:rPr>
                <w:rFonts w:cs="Arial"/>
                <w:szCs w:val="20"/>
              </w:rPr>
              <w:t xml:space="preserve">Commercial Pre-Rinse Spray Valve (PRSV) </w:t>
            </w:r>
          </w:p>
          <w:p w14:paraId="3F52916F" w14:textId="2BA5ECD3" w:rsidR="00D66BB0" w:rsidRPr="00C76EB4" w:rsidRDefault="001B7F13" w:rsidP="00C76EB4">
            <w:pPr>
              <w:pStyle w:val="ListParagraph"/>
              <w:numPr>
                <w:ilvl w:val="0"/>
                <w:numId w:val="45"/>
              </w:numPr>
              <w:rPr>
                <w:rFonts w:cs="Arial"/>
                <w:szCs w:val="20"/>
              </w:rPr>
            </w:pPr>
            <w:r>
              <w:rPr>
                <w:rFonts w:cs="Arial"/>
                <w:szCs w:val="20"/>
              </w:rPr>
              <w:t xml:space="preserve">&lt; </w:t>
            </w:r>
            <w:r w:rsidR="00D66BB0" w:rsidRPr="00A36101">
              <w:rPr>
                <w:rFonts w:cs="Arial"/>
                <w:szCs w:val="20"/>
              </w:rPr>
              <w:t>0.7</w:t>
            </w:r>
            <w:r w:rsidR="007E1340" w:rsidRPr="00A36101">
              <w:rPr>
                <w:rFonts w:cs="Arial"/>
                <w:szCs w:val="20"/>
              </w:rPr>
              <w:t>5 gpm flow rate</w:t>
            </w:r>
          </w:p>
        </w:tc>
      </w:tr>
      <w:tr w:rsidR="00AC5309" w:rsidRPr="00500C4E" w14:paraId="49A8AE53" w14:textId="77777777" w:rsidTr="00920905">
        <w:trPr>
          <w:trHeight w:val="465"/>
        </w:trPr>
        <w:tc>
          <w:tcPr>
            <w:tcW w:w="1875" w:type="pct"/>
          </w:tcPr>
          <w:p w14:paraId="31963BFB"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6B87E7D2" w14:textId="77777777" w:rsidR="00290ED8" w:rsidRPr="005411C9" w:rsidRDefault="005411C9">
            <w:pPr>
              <w:rPr>
                <w:rFonts w:cs="Arial"/>
                <w:szCs w:val="20"/>
              </w:rPr>
            </w:pPr>
            <w:r w:rsidRPr="005411C9">
              <w:rPr>
                <w:rFonts w:cs="Arial"/>
                <w:szCs w:val="20"/>
              </w:rPr>
              <w:t>DOE 2019 Minimum Federal Standard:</w:t>
            </w:r>
          </w:p>
          <w:p w14:paraId="2B6E831D" w14:textId="31A44741" w:rsidR="005411C9" w:rsidRPr="00E173F9" w:rsidRDefault="005411C9" w:rsidP="00E173F9">
            <w:pPr>
              <w:pStyle w:val="ListParagraph"/>
              <w:numPr>
                <w:ilvl w:val="0"/>
                <w:numId w:val="45"/>
              </w:numPr>
              <w:rPr>
                <w:rFonts w:cs="Arial"/>
                <w:szCs w:val="20"/>
              </w:rPr>
            </w:pPr>
            <w:r w:rsidRPr="00A36101">
              <w:rPr>
                <w:rFonts w:cs="Arial"/>
                <w:szCs w:val="20"/>
              </w:rPr>
              <w:t>1.20 gpm flow rate</w:t>
            </w:r>
          </w:p>
        </w:tc>
      </w:tr>
      <w:tr w:rsidR="00D36798" w:rsidRPr="00500C4E" w14:paraId="774F1146" w14:textId="77777777" w:rsidTr="00920905">
        <w:trPr>
          <w:trHeight w:val="465"/>
        </w:trPr>
        <w:tc>
          <w:tcPr>
            <w:tcW w:w="1875" w:type="pct"/>
          </w:tcPr>
          <w:p w14:paraId="6734883B" w14:textId="77777777"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655B36B8" w14:textId="77777777" w:rsidR="00D36798" w:rsidRPr="00500C4E" w:rsidRDefault="005411C9">
            <w:pPr>
              <w:rPr>
                <w:rFonts w:cs="Arial"/>
                <w:color w:val="FF0000"/>
                <w:szCs w:val="20"/>
              </w:rPr>
            </w:pPr>
            <w:r>
              <w:rPr>
                <w:rFonts w:cs="Arial"/>
                <w:szCs w:val="20"/>
              </w:rPr>
              <w:t>Each</w:t>
            </w:r>
          </w:p>
        </w:tc>
      </w:tr>
      <w:tr w:rsidR="00290ED8" w:rsidRPr="00500C4E" w14:paraId="0E5F4CD3" w14:textId="77777777" w:rsidTr="00920905">
        <w:trPr>
          <w:trHeight w:val="465"/>
        </w:trPr>
        <w:tc>
          <w:tcPr>
            <w:tcW w:w="1875" w:type="pct"/>
          </w:tcPr>
          <w:p w14:paraId="2F56A1DE"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67C84211" w14:textId="6E0C8E7C" w:rsidR="00290ED8" w:rsidRDefault="00D36798">
            <w:pPr>
              <w:rPr>
                <w:rFonts w:cs="Arial"/>
                <w:szCs w:val="20"/>
              </w:rPr>
            </w:pPr>
            <w:r w:rsidRPr="00500C4E">
              <w:rPr>
                <w:rFonts w:cs="Arial"/>
                <w:szCs w:val="20"/>
              </w:rPr>
              <w:t>Refer to Excel Calculation Attachment</w:t>
            </w:r>
            <w:r w:rsidR="001B47ED">
              <w:rPr>
                <w:rFonts w:cs="Arial"/>
                <w:szCs w:val="20"/>
              </w:rPr>
              <w:t xml:space="preserve"> </w:t>
            </w:r>
          </w:p>
          <w:p w14:paraId="50CCD0ED" w14:textId="77777777" w:rsidR="0065348B" w:rsidRDefault="0065348B">
            <w:pPr>
              <w:rPr>
                <w:rFonts w:cs="Arial"/>
                <w:szCs w:val="20"/>
              </w:rPr>
            </w:pPr>
          </w:p>
          <w:p w14:paraId="263A695F" w14:textId="77777777" w:rsidR="0065348B" w:rsidRDefault="0065348B">
            <w:pPr>
              <w:rPr>
                <w:rFonts w:cs="Arial"/>
                <w:szCs w:val="20"/>
              </w:rPr>
            </w:pPr>
            <w:r>
              <w:rPr>
                <w:rFonts w:cs="Arial"/>
                <w:szCs w:val="20"/>
              </w:rPr>
              <w:t>Average Savings:</w:t>
            </w:r>
          </w:p>
          <w:p w14:paraId="5971CAE5" w14:textId="349544A7" w:rsidR="0065348B" w:rsidRDefault="0065348B" w:rsidP="00C24003">
            <w:pPr>
              <w:pStyle w:val="ListParagraph"/>
              <w:numPr>
                <w:ilvl w:val="0"/>
                <w:numId w:val="45"/>
              </w:numPr>
              <w:rPr>
                <w:rFonts w:cs="Arial"/>
                <w:szCs w:val="20"/>
              </w:rPr>
            </w:pPr>
            <w:r>
              <w:rPr>
                <w:rFonts w:cs="Arial"/>
                <w:szCs w:val="20"/>
              </w:rPr>
              <w:t>PRSV = 0.75 – 1.07 gpm: 17.2 Therms/year</w:t>
            </w:r>
          </w:p>
          <w:p w14:paraId="0F8F7A9B" w14:textId="2101FA6B" w:rsidR="0065348B" w:rsidRPr="0065348B" w:rsidRDefault="0065348B" w:rsidP="00C24003">
            <w:pPr>
              <w:pStyle w:val="ListParagraph"/>
              <w:numPr>
                <w:ilvl w:val="0"/>
                <w:numId w:val="45"/>
              </w:numPr>
              <w:rPr>
                <w:rFonts w:cs="Arial"/>
                <w:szCs w:val="20"/>
              </w:rPr>
            </w:pPr>
            <w:r>
              <w:rPr>
                <w:rFonts w:cs="Arial"/>
                <w:szCs w:val="20"/>
              </w:rPr>
              <w:t>PRSV = &lt;.75 gpm: 59.6 Therms/year</w:t>
            </w:r>
          </w:p>
        </w:tc>
      </w:tr>
      <w:tr w:rsidR="00290ED8" w:rsidRPr="00500C4E" w14:paraId="65B682DF" w14:textId="77777777" w:rsidTr="00920905">
        <w:trPr>
          <w:trHeight w:val="465"/>
        </w:trPr>
        <w:tc>
          <w:tcPr>
            <w:tcW w:w="1875" w:type="pct"/>
          </w:tcPr>
          <w:p w14:paraId="7912FD2F" w14:textId="77777777"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73E9A0F1" w14:textId="54D58687" w:rsidR="0065348B" w:rsidRPr="0065348B" w:rsidRDefault="0065348B" w:rsidP="00C24003">
            <w:pPr>
              <w:rPr>
                <w:rFonts w:cs="Arial"/>
                <w:szCs w:val="20"/>
              </w:rPr>
            </w:pPr>
            <w:r w:rsidRPr="0065348B">
              <w:rPr>
                <w:rFonts w:cs="Arial"/>
                <w:szCs w:val="20"/>
              </w:rPr>
              <w:t xml:space="preserve">PRSV = 0.75 – 1.07 gpm: </w:t>
            </w:r>
            <w:r>
              <w:rPr>
                <w:rFonts w:cs="Arial"/>
                <w:szCs w:val="20"/>
              </w:rPr>
              <w:t>$22 per unit</w:t>
            </w:r>
          </w:p>
          <w:p w14:paraId="14EA287F" w14:textId="16A95177" w:rsidR="0065348B" w:rsidRDefault="0065348B" w:rsidP="0065348B">
            <w:pPr>
              <w:rPr>
                <w:rFonts w:cs="Arial"/>
                <w:szCs w:val="20"/>
              </w:rPr>
            </w:pPr>
            <w:r>
              <w:rPr>
                <w:rFonts w:cs="Arial"/>
                <w:szCs w:val="20"/>
              </w:rPr>
              <w:t>PRSV = &lt;.75 gpm: $28 per unit</w:t>
            </w:r>
          </w:p>
          <w:p w14:paraId="446805E2" w14:textId="2226CEF1" w:rsidR="00290ED8" w:rsidRPr="00500C4E" w:rsidRDefault="00290ED8" w:rsidP="00AC2F5B">
            <w:pPr>
              <w:rPr>
                <w:rFonts w:cs="Arial"/>
                <w:szCs w:val="20"/>
              </w:rPr>
            </w:pPr>
          </w:p>
        </w:tc>
      </w:tr>
      <w:tr w:rsidR="00AC5309" w:rsidRPr="00500C4E" w14:paraId="312EEDA4" w14:textId="77777777" w:rsidTr="00920905">
        <w:trPr>
          <w:trHeight w:val="465"/>
        </w:trPr>
        <w:tc>
          <w:tcPr>
            <w:tcW w:w="1875" w:type="pct"/>
          </w:tcPr>
          <w:p w14:paraId="25C781B3"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0D37CFE3" w14:textId="2FDA1FD8" w:rsidR="00290ED8" w:rsidRPr="00500C4E" w:rsidRDefault="0065348B" w:rsidP="00AC2F5B">
            <w:pPr>
              <w:rPr>
                <w:rFonts w:cs="Arial"/>
                <w:szCs w:val="20"/>
              </w:rPr>
            </w:pPr>
            <w:r>
              <w:rPr>
                <w:rFonts w:cs="Arial"/>
                <w:szCs w:val="20"/>
              </w:rPr>
              <w:t>For Normal Replacement measures, the FMC is equal to the IMC.</w:t>
            </w:r>
          </w:p>
        </w:tc>
      </w:tr>
      <w:tr w:rsidR="00290ED8" w:rsidRPr="00500C4E" w14:paraId="056A3D9C" w14:textId="77777777" w:rsidTr="00920905">
        <w:trPr>
          <w:trHeight w:val="465"/>
        </w:trPr>
        <w:tc>
          <w:tcPr>
            <w:tcW w:w="1875" w:type="pct"/>
          </w:tcPr>
          <w:p w14:paraId="705F6C90" w14:textId="77777777"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17D4D52A" w14:textId="7E00366C" w:rsidR="005411C9" w:rsidRDefault="005411C9" w:rsidP="005411C9">
            <w:pPr>
              <w:rPr>
                <w:rFonts w:cs="Arial"/>
                <w:szCs w:val="20"/>
              </w:rPr>
            </w:pPr>
            <w:r w:rsidRPr="005411C9">
              <w:rPr>
                <w:rFonts w:cs="Arial"/>
                <w:szCs w:val="20"/>
              </w:rPr>
              <w:t xml:space="preserve">Source: </w:t>
            </w:r>
            <w:r w:rsidR="001B47ED" w:rsidRPr="001B47ED">
              <w:rPr>
                <w:rFonts w:cs="Arial"/>
                <w:szCs w:val="20"/>
              </w:rPr>
              <w:t>SBW (2007) Impact and Process Evaluation Final Report for the CUWCC Pre-Rinse Spray Valve Program (Phase II)</w:t>
            </w:r>
            <w:r w:rsidR="00A81090">
              <w:rPr>
                <w:rFonts w:cs="Arial"/>
                <w:szCs w:val="20"/>
              </w:rPr>
              <w:t>:</w:t>
            </w:r>
          </w:p>
          <w:p w14:paraId="6934D4C7" w14:textId="77777777" w:rsidR="00927F66" w:rsidRPr="005411C9" w:rsidRDefault="00927F66" w:rsidP="005411C9">
            <w:pPr>
              <w:rPr>
                <w:rFonts w:cs="Arial"/>
                <w:szCs w:val="20"/>
              </w:rPr>
            </w:pPr>
          </w:p>
          <w:p w14:paraId="5B0261AE" w14:textId="5E04668D" w:rsidR="00290ED8" w:rsidRPr="005411C9" w:rsidRDefault="00EE26A0" w:rsidP="005411C9">
            <w:pPr>
              <w:rPr>
                <w:rFonts w:cs="Arial"/>
                <w:szCs w:val="20"/>
              </w:rPr>
            </w:pPr>
            <w:r>
              <w:rPr>
                <w:rFonts w:cs="Arial"/>
                <w:szCs w:val="20"/>
              </w:rPr>
              <w:t>EUL</w:t>
            </w:r>
            <w:r w:rsidR="00927F66">
              <w:rPr>
                <w:rFonts w:cs="Arial"/>
                <w:szCs w:val="20"/>
              </w:rPr>
              <w:t xml:space="preserve"> ID: </w:t>
            </w:r>
            <w:r w:rsidR="00927F66" w:rsidRPr="00927F66">
              <w:rPr>
                <w:rFonts w:cs="Arial"/>
                <w:szCs w:val="20"/>
              </w:rPr>
              <w:t>Cook-LowPreRinse</w:t>
            </w:r>
            <w:r w:rsidR="00927F66">
              <w:rPr>
                <w:rFonts w:cs="Arial"/>
                <w:szCs w:val="20"/>
              </w:rPr>
              <w:t xml:space="preserve"> = </w:t>
            </w:r>
            <w:r w:rsidR="00D77D78" w:rsidRPr="005411C9">
              <w:rPr>
                <w:rFonts w:cs="Arial"/>
                <w:szCs w:val="20"/>
              </w:rPr>
              <w:t>5-year</w:t>
            </w:r>
            <w:r w:rsidR="005411C9" w:rsidRPr="005411C9">
              <w:rPr>
                <w:rFonts w:cs="Arial"/>
                <w:szCs w:val="20"/>
              </w:rPr>
              <w:t xml:space="preserve"> EUL</w:t>
            </w:r>
          </w:p>
        </w:tc>
      </w:tr>
      <w:tr w:rsidR="00AC5309" w:rsidRPr="00500C4E" w14:paraId="039EFAC8" w14:textId="77777777" w:rsidTr="00920905">
        <w:trPr>
          <w:trHeight w:val="465"/>
        </w:trPr>
        <w:tc>
          <w:tcPr>
            <w:tcW w:w="1875" w:type="pct"/>
          </w:tcPr>
          <w:p w14:paraId="57CA44A4"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05B81F8C" w14:textId="1F11D0F7" w:rsidR="00290ED8" w:rsidRPr="005411C9" w:rsidRDefault="001C1338">
            <w:pPr>
              <w:rPr>
                <w:rFonts w:cs="Arial"/>
                <w:szCs w:val="20"/>
              </w:rPr>
            </w:pPr>
            <w:r w:rsidRPr="005411C9">
              <w:rPr>
                <w:szCs w:val="20"/>
              </w:rPr>
              <w:t>New Construction (</w:t>
            </w:r>
            <w:r w:rsidR="00C65450" w:rsidRPr="005411C9">
              <w:rPr>
                <w:szCs w:val="20"/>
              </w:rPr>
              <w:t>NC</w:t>
            </w:r>
            <w:r w:rsidRPr="005411C9">
              <w:rPr>
                <w:szCs w:val="20"/>
              </w:rPr>
              <w:t xml:space="preserve">), </w:t>
            </w:r>
            <w:r w:rsidR="00ED7226">
              <w:rPr>
                <w:szCs w:val="20"/>
              </w:rPr>
              <w:t>Normal</w:t>
            </w:r>
            <w:r w:rsidR="00F94D14">
              <w:rPr>
                <w:szCs w:val="20"/>
              </w:rPr>
              <w:t xml:space="preserve"> Replacement</w:t>
            </w:r>
            <w:r w:rsidRPr="005411C9">
              <w:rPr>
                <w:szCs w:val="20"/>
              </w:rPr>
              <w:t xml:space="preserve"> (</w:t>
            </w:r>
            <w:r w:rsidR="00F94D14">
              <w:rPr>
                <w:szCs w:val="20"/>
              </w:rPr>
              <w:t>NR</w:t>
            </w:r>
            <w:r w:rsidRPr="005411C9">
              <w:rPr>
                <w:szCs w:val="20"/>
              </w:rPr>
              <w:t>)</w:t>
            </w:r>
          </w:p>
        </w:tc>
      </w:tr>
      <w:tr w:rsidR="00290ED8" w:rsidRPr="00500C4E" w14:paraId="26449BD5" w14:textId="77777777" w:rsidTr="00920905">
        <w:trPr>
          <w:trHeight w:val="465"/>
        </w:trPr>
        <w:tc>
          <w:tcPr>
            <w:tcW w:w="1875" w:type="pct"/>
          </w:tcPr>
          <w:p w14:paraId="0507719F" w14:textId="77777777" w:rsidR="00290ED8" w:rsidRPr="005B6E5E" w:rsidRDefault="001C1338">
            <w:pPr>
              <w:rPr>
                <w:rStyle w:val="Strong"/>
                <w:rFonts w:asciiTheme="minorHAnsi" w:hAnsiTheme="minorHAnsi"/>
                <w:sz w:val="20"/>
                <w:szCs w:val="20"/>
              </w:rPr>
            </w:pPr>
            <w:r w:rsidRPr="005B6E5E">
              <w:rPr>
                <w:rStyle w:val="Strong"/>
                <w:rFonts w:asciiTheme="minorHAnsi" w:hAnsiTheme="minorHAnsi"/>
                <w:sz w:val="20"/>
                <w:szCs w:val="20"/>
              </w:rPr>
              <w:t>Net-to-Gross Ratio</w:t>
            </w:r>
          </w:p>
        </w:tc>
        <w:tc>
          <w:tcPr>
            <w:tcW w:w="3125" w:type="pct"/>
          </w:tcPr>
          <w:p w14:paraId="099EA5A0" w14:textId="77777777" w:rsidR="00290ED8" w:rsidRPr="005B6E5E" w:rsidRDefault="001C1338">
            <w:pPr>
              <w:rPr>
                <w:rFonts w:cs="Arial"/>
                <w:szCs w:val="20"/>
              </w:rPr>
            </w:pPr>
            <w:r w:rsidRPr="005B6E5E">
              <w:rPr>
                <w:rFonts w:cs="Arial"/>
                <w:szCs w:val="20"/>
              </w:rPr>
              <w:t xml:space="preserve">0.6 (DEER NTGR ID: </w:t>
            </w:r>
            <w:r w:rsidRPr="005B6E5E">
              <w:rPr>
                <w:szCs w:val="20"/>
              </w:rPr>
              <w:t>Com-Default&gt;2yrs)</w:t>
            </w:r>
          </w:p>
        </w:tc>
      </w:tr>
      <w:tr w:rsidR="00290ED8" w:rsidRPr="00500C4E" w14:paraId="28530D1B" w14:textId="77777777" w:rsidTr="00920905">
        <w:trPr>
          <w:trHeight w:val="465"/>
        </w:trPr>
        <w:tc>
          <w:tcPr>
            <w:tcW w:w="1875" w:type="pct"/>
          </w:tcPr>
          <w:p w14:paraId="311AF067"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718577D5" w14:textId="77777777" w:rsidR="00061A8E" w:rsidRPr="00920905" w:rsidRDefault="005411C9">
            <w:pPr>
              <w:rPr>
                <w:rFonts w:cs="Arial"/>
                <w:szCs w:val="20"/>
              </w:rPr>
            </w:pPr>
            <w:r>
              <w:rPr>
                <w:rFonts w:cs="Arial"/>
                <w:szCs w:val="20"/>
              </w:rPr>
              <w:t>None</w:t>
            </w:r>
          </w:p>
        </w:tc>
      </w:tr>
    </w:tbl>
    <w:p w14:paraId="152A9FD9" w14:textId="77777777" w:rsidR="00AC5309" w:rsidRPr="00500C4E" w:rsidRDefault="00AC5309">
      <w:pPr>
        <w:spacing w:after="200" w:line="276" w:lineRule="auto"/>
        <w:rPr>
          <w:rFonts w:cstheme="minorHAnsi"/>
          <w:b/>
          <w:bCs/>
          <w:smallCaps/>
          <w:kern w:val="32"/>
          <w:sz w:val="36"/>
          <w:szCs w:val="32"/>
        </w:rPr>
      </w:pPr>
    </w:p>
    <w:p w14:paraId="1F4315E9"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6BAC4975" w14:textId="21216493" w:rsidR="0088361D" w:rsidRDefault="00EB34FC" w:rsidP="00C959CA">
      <w:pPr>
        <w:pStyle w:val="Heading1"/>
      </w:pPr>
      <w:r w:rsidRPr="00500C4E">
        <w:lastRenderedPageBreak/>
        <w:t>Revision History</w:t>
      </w:r>
    </w:p>
    <w:tbl>
      <w:tblPr>
        <w:tblStyle w:val="TableGrid1"/>
        <w:tblW w:w="9576" w:type="dxa"/>
        <w:tblLook w:val="04A0" w:firstRow="1" w:lastRow="0" w:firstColumn="1" w:lastColumn="0" w:noHBand="0" w:noVBand="1"/>
      </w:tblPr>
      <w:tblGrid>
        <w:gridCol w:w="967"/>
        <w:gridCol w:w="1141"/>
        <w:gridCol w:w="5312"/>
        <w:gridCol w:w="2156"/>
      </w:tblGrid>
      <w:tr w:rsidR="0047154F" w:rsidRPr="0047154F" w14:paraId="4789AE53" w14:textId="77777777" w:rsidTr="0047154F">
        <w:tc>
          <w:tcPr>
            <w:tcW w:w="967" w:type="dxa"/>
            <w:hideMark/>
          </w:tcPr>
          <w:p w14:paraId="1B5E21D5" w14:textId="77777777" w:rsidR="0047154F" w:rsidRPr="0047154F" w:rsidRDefault="0047154F" w:rsidP="0047154F">
            <w:pPr>
              <w:jc w:val="center"/>
              <w:textAlignment w:val="baseline"/>
              <w:rPr>
                <w:rFonts w:ascii="Segoe UI" w:hAnsi="Segoe UI" w:cs="Segoe UI"/>
                <w:b/>
                <w:bCs/>
                <w:sz w:val="18"/>
                <w:szCs w:val="18"/>
              </w:rPr>
            </w:pPr>
            <w:r w:rsidRPr="0047154F">
              <w:rPr>
                <w:rFonts w:ascii="Arial" w:hAnsi="Arial" w:cs="Arial"/>
                <w:b/>
                <w:bCs/>
                <w:sz w:val="18"/>
                <w:szCs w:val="18"/>
              </w:rPr>
              <w:t>Revision No. </w:t>
            </w:r>
          </w:p>
        </w:tc>
        <w:tc>
          <w:tcPr>
            <w:tcW w:w="1057" w:type="dxa"/>
            <w:hideMark/>
          </w:tcPr>
          <w:p w14:paraId="0544AD64" w14:textId="77777777" w:rsidR="0047154F" w:rsidRPr="0047154F" w:rsidRDefault="0047154F" w:rsidP="0047154F">
            <w:pPr>
              <w:textAlignment w:val="baseline"/>
              <w:rPr>
                <w:rFonts w:ascii="Segoe UI" w:hAnsi="Segoe UI" w:cs="Segoe UI"/>
                <w:b/>
                <w:bCs/>
                <w:sz w:val="18"/>
                <w:szCs w:val="18"/>
              </w:rPr>
            </w:pPr>
            <w:r w:rsidRPr="0047154F">
              <w:rPr>
                <w:rFonts w:ascii="Arial" w:hAnsi="Arial" w:cs="Arial"/>
                <w:b/>
                <w:bCs/>
                <w:sz w:val="18"/>
                <w:szCs w:val="18"/>
              </w:rPr>
              <w:t>Date </w:t>
            </w:r>
          </w:p>
        </w:tc>
        <w:tc>
          <w:tcPr>
            <w:tcW w:w="5374" w:type="dxa"/>
            <w:hideMark/>
          </w:tcPr>
          <w:p w14:paraId="36BC93F8" w14:textId="77777777" w:rsidR="0047154F" w:rsidRPr="0047154F" w:rsidRDefault="0047154F" w:rsidP="0047154F">
            <w:pPr>
              <w:textAlignment w:val="baseline"/>
              <w:rPr>
                <w:rFonts w:ascii="Segoe UI" w:hAnsi="Segoe UI" w:cs="Segoe UI"/>
                <w:sz w:val="18"/>
                <w:szCs w:val="18"/>
              </w:rPr>
            </w:pPr>
            <w:r w:rsidRPr="0047154F">
              <w:rPr>
                <w:rFonts w:ascii="Arial" w:hAnsi="Arial" w:cs="Arial"/>
                <w:b/>
                <w:bCs/>
                <w:sz w:val="18"/>
                <w:szCs w:val="18"/>
              </w:rPr>
              <w:t>Description</w:t>
            </w:r>
            <w:r w:rsidRPr="0047154F">
              <w:rPr>
                <w:rFonts w:ascii="Arial" w:hAnsi="Arial" w:cs="Arial"/>
                <w:sz w:val="18"/>
                <w:szCs w:val="18"/>
              </w:rPr>
              <w:t> </w:t>
            </w:r>
          </w:p>
        </w:tc>
        <w:tc>
          <w:tcPr>
            <w:tcW w:w="2178" w:type="dxa"/>
            <w:hideMark/>
          </w:tcPr>
          <w:p w14:paraId="7B85653C" w14:textId="77777777" w:rsidR="0047154F" w:rsidRPr="0047154F" w:rsidRDefault="0047154F" w:rsidP="0047154F">
            <w:pPr>
              <w:jc w:val="both"/>
              <w:textAlignment w:val="baseline"/>
              <w:rPr>
                <w:rFonts w:ascii="Segoe UI" w:hAnsi="Segoe UI" w:cs="Segoe UI"/>
                <w:sz w:val="18"/>
                <w:szCs w:val="18"/>
              </w:rPr>
            </w:pPr>
            <w:r w:rsidRPr="0047154F">
              <w:rPr>
                <w:rFonts w:ascii="Arial" w:hAnsi="Arial" w:cs="Arial"/>
                <w:b/>
                <w:bCs/>
                <w:sz w:val="18"/>
                <w:szCs w:val="18"/>
              </w:rPr>
              <w:t>Author</w:t>
            </w:r>
            <w:r w:rsidRPr="0047154F">
              <w:rPr>
                <w:rFonts w:ascii="Arial" w:hAnsi="Arial" w:cs="Arial"/>
                <w:sz w:val="18"/>
                <w:szCs w:val="18"/>
              </w:rPr>
              <w:t> </w:t>
            </w:r>
          </w:p>
        </w:tc>
      </w:tr>
      <w:tr w:rsidR="004F0CCD" w:rsidRPr="0047154F" w14:paraId="28004C96" w14:textId="77777777" w:rsidTr="0047154F">
        <w:tc>
          <w:tcPr>
            <w:tcW w:w="967" w:type="dxa"/>
            <w:hideMark/>
          </w:tcPr>
          <w:p w14:paraId="07F185FD" w14:textId="77777777" w:rsidR="0047154F" w:rsidRPr="0065348B" w:rsidRDefault="0047154F" w:rsidP="0047154F">
            <w:pPr>
              <w:jc w:val="center"/>
              <w:textAlignment w:val="baseline"/>
              <w:rPr>
                <w:rFonts w:cstheme="minorBidi"/>
              </w:rPr>
            </w:pPr>
            <w:r w:rsidRPr="0065348B">
              <w:rPr>
                <w:rFonts w:cstheme="minorBidi"/>
                <w:sz w:val="22"/>
              </w:rPr>
              <w:t>0 </w:t>
            </w:r>
          </w:p>
        </w:tc>
        <w:tc>
          <w:tcPr>
            <w:tcW w:w="1057" w:type="dxa"/>
            <w:hideMark/>
          </w:tcPr>
          <w:p w14:paraId="57ADFA99" w14:textId="77777777" w:rsidR="0047154F" w:rsidRPr="0065348B" w:rsidRDefault="0047154F" w:rsidP="0047154F">
            <w:pPr>
              <w:textAlignment w:val="baseline"/>
              <w:rPr>
                <w:rFonts w:cstheme="minorBidi"/>
              </w:rPr>
            </w:pPr>
            <w:r w:rsidRPr="0065348B">
              <w:rPr>
                <w:rFonts w:cstheme="minorBidi"/>
                <w:sz w:val="22"/>
              </w:rPr>
              <w:t>December 21, 2012 </w:t>
            </w:r>
          </w:p>
        </w:tc>
        <w:tc>
          <w:tcPr>
            <w:tcW w:w="5374" w:type="dxa"/>
            <w:hideMark/>
          </w:tcPr>
          <w:p w14:paraId="4873A88E" w14:textId="77777777" w:rsidR="0047154F" w:rsidRPr="0065348B" w:rsidRDefault="0047154F" w:rsidP="0047154F">
            <w:pPr>
              <w:textAlignment w:val="baseline"/>
              <w:rPr>
                <w:rFonts w:cstheme="minorBidi"/>
              </w:rPr>
            </w:pPr>
            <w:r w:rsidRPr="0065348B">
              <w:rPr>
                <w:rFonts w:cstheme="minorBidi"/>
                <w:sz w:val="22"/>
              </w:rPr>
              <w:t>Original release </w:t>
            </w:r>
          </w:p>
        </w:tc>
        <w:tc>
          <w:tcPr>
            <w:tcW w:w="2178" w:type="dxa"/>
            <w:hideMark/>
          </w:tcPr>
          <w:p w14:paraId="18163BC9" w14:textId="77777777" w:rsidR="0047154F" w:rsidRPr="0065348B" w:rsidRDefault="0047154F" w:rsidP="0047154F">
            <w:pPr>
              <w:jc w:val="both"/>
              <w:textAlignment w:val="baseline"/>
              <w:rPr>
                <w:rFonts w:cstheme="minorBidi"/>
              </w:rPr>
            </w:pPr>
            <w:r w:rsidRPr="0065348B">
              <w:rPr>
                <w:rFonts w:cstheme="minorBidi"/>
                <w:sz w:val="22"/>
              </w:rPr>
              <w:t>Kyle Dunn (MWE2) </w:t>
            </w:r>
          </w:p>
        </w:tc>
      </w:tr>
      <w:tr w:rsidR="004F0CCD" w:rsidRPr="0047154F" w14:paraId="342289BC" w14:textId="77777777" w:rsidTr="0047154F">
        <w:tc>
          <w:tcPr>
            <w:tcW w:w="967" w:type="dxa"/>
            <w:hideMark/>
          </w:tcPr>
          <w:p w14:paraId="2E86E3AB" w14:textId="77777777" w:rsidR="0047154F" w:rsidRPr="0065348B" w:rsidRDefault="0047154F" w:rsidP="0047154F">
            <w:pPr>
              <w:jc w:val="center"/>
              <w:textAlignment w:val="baseline"/>
              <w:rPr>
                <w:rFonts w:cstheme="minorBidi"/>
              </w:rPr>
            </w:pPr>
            <w:r w:rsidRPr="0065348B">
              <w:rPr>
                <w:rFonts w:cstheme="minorBidi"/>
                <w:sz w:val="22"/>
              </w:rPr>
              <w:t>1 </w:t>
            </w:r>
          </w:p>
        </w:tc>
        <w:tc>
          <w:tcPr>
            <w:tcW w:w="1057" w:type="dxa"/>
            <w:hideMark/>
          </w:tcPr>
          <w:p w14:paraId="07D8F469" w14:textId="77777777" w:rsidR="0047154F" w:rsidRPr="0065348B" w:rsidRDefault="0047154F" w:rsidP="0047154F">
            <w:pPr>
              <w:textAlignment w:val="baseline"/>
              <w:rPr>
                <w:rFonts w:cstheme="minorBidi"/>
              </w:rPr>
            </w:pPr>
            <w:r w:rsidRPr="0065348B">
              <w:rPr>
                <w:rFonts w:cstheme="minorBidi"/>
                <w:sz w:val="22"/>
              </w:rPr>
              <w:t>January 11, 2013 </w:t>
            </w:r>
          </w:p>
        </w:tc>
        <w:tc>
          <w:tcPr>
            <w:tcW w:w="5374" w:type="dxa"/>
            <w:hideMark/>
          </w:tcPr>
          <w:p w14:paraId="29251917" w14:textId="77777777" w:rsidR="0047154F" w:rsidRPr="0065348B" w:rsidRDefault="0047154F" w:rsidP="0047154F">
            <w:pPr>
              <w:textAlignment w:val="baseline"/>
              <w:rPr>
                <w:rFonts w:cstheme="minorBidi"/>
              </w:rPr>
            </w:pPr>
            <w:r w:rsidRPr="0065348B">
              <w:rPr>
                <w:rFonts w:cstheme="minorBidi"/>
                <w:sz w:val="22"/>
              </w:rPr>
              <w:t>Replaced description and savings for average qualifying PRSV of 1.11 GPM with separate descriptions and savings for 1.07 GPM and 1.15 GPM PRSVs </w:t>
            </w:r>
          </w:p>
        </w:tc>
        <w:tc>
          <w:tcPr>
            <w:tcW w:w="2178" w:type="dxa"/>
            <w:hideMark/>
          </w:tcPr>
          <w:p w14:paraId="0F4062FF" w14:textId="0C188254" w:rsidR="0047154F" w:rsidRPr="0065348B" w:rsidRDefault="0047154F" w:rsidP="0047154F">
            <w:pPr>
              <w:textAlignment w:val="baseline"/>
              <w:rPr>
                <w:rFonts w:cstheme="minorBidi"/>
              </w:rPr>
            </w:pPr>
            <w:r w:rsidRPr="0065348B">
              <w:rPr>
                <w:rFonts w:cstheme="minorBidi"/>
                <w:sz w:val="22"/>
              </w:rPr>
              <w:t xml:space="preserve">Kyle Dunn (MWE2) </w:t>
            </w:r>
          </w:p>
        </w:tc>
      </w:tr>
      <w:tr w:rsidR="004F0CCD" w:rsidRPr="0047154F" w14:paraId="590129D6" w14:textId="77777777" w:rsidTr="0047154F">
        <w:tc>
          <w:tcPr>
            <w:tcW w:w="967" w:type="dxa"/>
            <w:hideMark/>
          </w:tcPr>
          <w:p w14:paraId="2C0AB482" w14:textId="77777777" w:rsidR="0047154F" w:rsidRPr="0065348B" w:rsidRDefault="0047154F" w:rsidP="0047154F">
            <w:pPr>
              <w:jc w:val="center"/>
              <w:textAlignment w:val="baseline"/>
              <w:rPr>
                <w:rFonts w:cstheme="minorBidi"/>
              </w:rPr>
            </w:pPr>
            <w:r w:rsidRPr="0065348B">
              <w:rPr>
                <w:rFonts w:cstheme="minorBidi"/>
                <w:sz w:val="22"/>
              </w:rPr>
              <w:t>2 </w:t>
            </w:r>
          </w:p>
        </w:tc>
        <w:tc>
          <w:tcPr>
            <w:tcW w:w="1057" w:type="dxa"/>
            <w:hideMark/>
          </w:tcPr>
          <w:p w14:paraId="31BBB672" w14:textId="77777777" w:rsidR="0047154F" w:rsidRPr="0065348B" w:rsidRDefault="0047154F" w:rsidP="0047154F">
            <w:pPr>
              <w:textAlignment w:val="baseline"/>
              <w:rPr>
                <w:rFonts w:cstheme="minorBidi"/>
              </w:rPr>
            </w:pPr>
            <w:r w:rsidRPr="0065348B">
              <w:rPr>
                <w:rFonts w:cstheme="minorBidi"/>
                <w:sz w:val="22"/>
              </w:rPr>
              <w:t>June 16, 2014 </w:t>
            </w:r>
          </w:p>
        </w:tc>
        <w:tc>
          <w:tcPr>
            <w:tcW w:w="5374" w:type="dxa"/>
            <w:hideMark/>
          </w:tcPr>
          <w:p w14:paraId="0952F761" w14:textId="77777777" w:rsidR="0047154F" w:rsidRPr="0065348B" w:rsidRDefault="0047154F" w:rsidP="0047154F">
            <w:pPr>
              <w:textAlignment w:val="baseline"/>
              <w:rPr>
                <w:rFonts w:cstheme="minorBidi"/>
              </w:rPr>
            </w:pPr>
            <w:r w:rsidRPr="0065348B">
              <w:rPr>
                <w:rFonts w:cstheme="minorBidi"/>
                <w:sz w:val="22"/>
              </w:rPr>
              <w:t>Added prescriptive rebate to the delivery method. Provided new cost data for the prescriptive rebate. </w:t>
            </w:r>
          </w:p>
        </w:tc>
        <w:tc>
          <w:tcPr>
            <w:tcW w:w="2178" w:type="dxa"/>
            <w:hideMark/>
          </w:tcPr>
          <w:p w14:paraId="4EE8EE0C" w14:textId="77777777" w:rsidR="0047154F" w:rsidRPr="0065348B" w:rsidRDefault="0047154F" w:rsidP="0047154F">
            <w:pPr>
              <w:textAlignment w:val="baseline"/>
              <w:rPr>
                <w:rFonts w:cstheme="minorBidi"/>
              </w:rPr>
            </w:pPr>
            <w:r w:rsidRPr="0065348B">
              <w:rPr>
                <w:rFonts w:cstheme="minorBidi"/>
                <w:sz w:val="22"/>
              </w:rPr>
              <w:t>Joseph Pan (SCG) </w:t>
            </w:r>
          </w:p>
        </w:tc>
      </w:tr>
      <w:tr w:rsidR="004F0CCD" w:rsidRPr="0047154F" w14:paraId="2A7BD502" w14:textId="77777777" w:rsidTr="0047154F">
        <w:tc>
          <w:tcPr>
            <w:tcW w:w="967" w:type="dxa"/>
            <w:hideMark/>
          </w:tcPr>
          <w:p w14:paraId="1CAECAAA" w14:textId="77777777" w:rsidR="0047154F" w:rsidRPr="0065348B" w:rsidRDefault="0047154F" w:rsidP="0047154F">
            <w:pPr>
              <w:jc w:val="center"/>
              <w:textAlignment w:val="baseline"/>
              <w:rPr>
                <w:rFonts w:cstheme="minorBidi"/>
              </w:rPr>
            </w:pPr>
            <w:r w:rsidRPr="0065348B">
              <w:rPr>
                <w:rFonts w:cstheme="minorBidi"/>
                <w:sz w:val="22"/>
              </w:rPr>
              <w:t>3 </w:t>
            </w:r>
          </w:p>
        </w:tc>
        <w:tc>
          <w:tcPr>
            <w:tcW w:w="1057" w:type="dxa"/>
            <w:hideMark/>
          </w:tcPr>
          <w:p w14:paraId="78A1A004" w14:textId="77777777" w:rsidR="0047154F" w:rsidRPr="0065348B" w:rsidRDefault="0047154F" w:rsidP="0047154F">
            <w:pPr>
              <w:textAlignment w:val="baseline"/>
              <w:rPr>
                <w:rFonts w:cstheme="minorBidi"/>
              </w:rPr>
            </w:pPr>
            <w:r w:rsidRPr="0065348B">
              <w:rPr>
                <w:rFonts w:cstheme="minorBidi"/>
                <w:sz w:val="22"/>
              </w:rPr>
              <w:t>July 30, 2014 </w:t>
            </w:r>
          </w:p>
        </w:tc>
        <w:tc>
          <w:tcPr>
            <w:tcW w:w="5374" w:type="dxa"/>
            <w:hideMark/>
          </w:tcPr>
          <w:p w14:paraId="6B84A57F" w14:textId="77777777" w:rsidR="0047154F" w:rsidRPr="0065348B" w:rsidRDefault="0047154F" w:rsidP="0047154F">
            <w:pPr>
              <w:textAlignment w:val="baseline"/>
              <w:rPr>
                <w:rFonts w:cstheme="minorBidi"/>
              </w:rPr>
            </w:pPr>
            <w:r w:rsidRPr="0065348B">
              <w:rPr>
                <w:rFonts w:cstheme="minorBidi"/>
                <w:sz w:val="22"/>
              </w:rPr>
              <w:t>Removed 1.07 and 1.15 GPM measures. Added 1.28 GPM measure. </w:t>
            </w:r>
          </w:p>
        </w:tc>
        <w:tc>
          <w:tcPr>
            <w:tcW w:w="2178" w:type="dxa"/>
            <w:hideMark/>
          </w:tcPr>
          <w:p w14:paraId="5ACDF6A4" w14:textId="77777777" w:rsidR="0047154F" w:rsidRPr="0065348B" w:rsidRDefault="0047154F" w:rsidP="0047154F">
            <w:pPr>
              <w:textAlignment w:val="baseline"/>
              <w:rPr>
                <w:rFonts w:cstheme="minorBidi"/>
              </w:rPr>
            </w:pPr>
            <w:r w:rsidRPr="0065348B">
              <w:rPr>
                <w:rFonts w:cstheme="minorBidi"/>
                <w:sz w:val="22"/>
              </w:rPr>
              <w:t>Joseph Pan (SCG) </w:t>
            </w:r>
          </w:p>
        </w:tc>
      </w:tr>
      <w:tr w:rsidR="003845E5" w:rsidRPr="00EE2D2F" w14:paraId="10A257B7" w14:textId="77777777" w:rsidTr="00EE2D2F">
        <w:tblPrEx>
          <w:tblLook w:val="01E0" w:firstRow="1" w:lastRow="1" w:firstColumn="1" w:lastColumn="1" w:noHBand="0" w:noVBand="0"/>
        </w:tblPrEx>
        <w:trPr>
          <w:trHeight w:val="872"/>
        </w:trPr>
        <w:tc>
          <w:tcPr>
            <w:tcW w:w="967" w:type="dxa"/>
          </w:tcPr>
          <w:p w14:paraId="09EF0975" w14:textId="510C9FEE" w:rsidR="0036726C" w:rsidRPr="00EE2D2F" w:rsidRDefault="0047154F" w:rsidP="0065348B">
            <w:pPr>
              <w:jc w:val="center"/>
              <w:rPr>
                <w:rFonts w:cstheme="minorHAnsi"/>
                <w:sz w:val="22"/>
                <w:szCs w:val="22"/>
              </w:rPr>
            </w:pPr>
            <w:r w:rsidRPr="00EE2D2F">
              <w:rPr>
                <w:rFonts w:cstheme="minorHAnsi"/>
                <w:sz w:val="22"/>
                <w:szCs w:val="22"/>
              </w:rPr>
              <w:t>4</w:t>
            </w:r>
          </w:p>
        </w:tc>
        <w:tc>
          <w:tcPr>
            <w:tcW w:w="1057" w:type="dxa"/>
          </w:tcPr>
          <w:p w14:paraId="324A869A" w14:textId="738FA548" w:rsidR="0036726C" w:rsidRPr="00EE2D2F" w:rsidRDefault="004F0CCD" w:rsidP="005729C8">
            <w:pPr>
              <w:rPr>
                <w:rFonts w:cstheme="minorHAnsi"/>
                <w:sz w:val="22"/>
                <w:szCs w:val="22"/>
              </w:rPr>
            </w:pPr>
            <w:r w:rsidRPr="00EE2D2F">
              <w:rPr>
                <w:rFonts w:cstheme="minorHAnsi"/>
                <w:sz w:val="22"/>
                <w:szCs w:val="22"/>
              </w:rPr>
              <w:t>December 6, 20</w:t>
            </w:r>
            <w:r w:rsidR="005B6E5E" w:rsidRPr="00EE2D2F">
              <w:rPr>
                <w:rFonts w:cstheme="minorHAnsi"/>
                <w:sz w:val="22"/>
                <w:szCs w:val="22"/>
              </w:rPr>
              <w:t>18</w:t>
            </w:r>
          </w:p>
        </w:tc>
        <w:tc>
          <w:tcPr>
            <w:tcW w:w="5374" w:type="dxa"/>
          </w:tcPr>
          <w:p w14:paraId="4C378666" w14:textId="77777777" w:rsidR="0047154F" w:rsidRPr="00EE2D2F" w:rsidRDefault="0047154F" w:rsidP="0047154F">
            <w:pPr>
              <w:rPr>
                <w:rFonts w:cstheme="minorBidi"/>
                <w:sz w:val="22"/>
                <w:szCs w:val="22"/>
              </w:rPr>
            </w:pPr>
            <w:r w:rsidRPr="00EE2D2F">
              <w:rPr>
                <w:rFonts w:cstheme="minorBidi"/>
                <w:sz w:val="22"/>
                <w:szCs w:val="22"/>
              </w:rPr>
              <w:t xml:space="preserve">Revision to accommodate the 2019 DOE federal minimum standard.  Separation of a single measure into two measures based on flow criteria: </w:t>
            </w:r>
          </w:p>
          <w:p w14:paraId="701A8527" w14:textId="46630196" w:rsidR="0036726C" w:rsidRPr="00EE2D2F" w:rsidRDefault="0047154F" w:rsidP="0047154F">
            <w:pPr>
              <w:rPr>
                <w:rFonts w:cstheme="minorHAnsi"/>
                <w:sz w:val="22"/>
                <w:szCs w:val="22"/>
              </w:rPr>
            </w:pPr>
            <w:r w:rsidRPr="00EE2D2F">
              <w:rPr>
                <w:rFonts w:cstheme="minorHAnsi"/>
                <w:bCs/>
                <w:sz w:val="22"/>
                <w:szCs w:val="22"/>
              </w:rPr>
              <w:t>&lt;0.75 gpm and 0.75 – 1.07 gpm.</w:t>
            </w:r>
          </w:p>
        </w:tc>
        <w:tc>
          <w:tcPr>
            <w:tcW w:w="2178" w:type="dxa"/>
          </w:tcPr>
          <w:p w14:paraId="447326BF" w14:textId="729C36F6" w:rsidR="0036726C" w:rsidRPr="00EE2D2F" w:rsidRDefault="0047154F" w:rsidP="005729C8">
            <w:pPr>
              <w:rPr>
                <w:rFonts w:cstheme="minorHAnsi"/>
                <w:bCs/>
                <w:sz w:val="22"/>
                <w:szCs w:val="22"/>
              </w:rPr>
            </w:pPr>
            <w:r w:rsidRPr="00EE2D2F">
              <w:rPr>
                <w:rFonts w:cstheme="minorHAnsi"/>
                <w:sz w:val="22"/>
                <w:szCs w:val="22"/>
              </w:rPr>
              <w:t>Denis Livchak (Frontier Energy)</w:t>
            </w:r>
            <w:r w:rsidRPr="00EE2D2F">
              <w:rPr>
                <w:rFonts w:ascii="Arial" w:hAnsi="Arial" w:cs="Arial"/>
                <w:sz w:val="22"/>
                <w:szCs w:val="22"/>
              </w:rPr>
              <w:t> </w:t>
            </w:r>
          </w:p>
        </w:tc>
      </w:tr>
    </w:tbl>
    <w:p w14:paraId="576447D4" w14:textId="77777777" w:rsidR="00D53B3E" w:rsidRPr="00EE2D2F" w:rsidRDefault="00D53B3E" w:rsidP="00E16609">
      <w:pPr>
        <w:pStyle w:val="Heading1"/>
        <w:rPr>
          <w:sz w:val="22"/>
          <w:szCs w:val="22"/>
        </w:rPr>
      </w:pPr>
    </w:p>
    <w:p w14:paraId="6BDD2AEA" w14:textId="65C8DD1F" w:rsidR="00D53B3E" w:rsidRDefault="00D53B3E" w:rsidP="00E16609">
      <w:pPr>
        <w:pStyle w:val="Heading1"/>
        <w:rPr>
          <w:sz w:val="20"/>
          <w:szCs w:val="20"/>
        </w:rPr>
      </w:pPr>
    </w:p>
    <w:p w14:paraId="65D7E2A0" w14:textId="261DF156" w:rsidR="00D53B3E" w:rsidRDefault="00D53B3E" w:rsidP="0065348B"/>
    <w:p w14:paraId="65C04895" w14:textId="1CAD5BE4" w:rsidR="00D53B3E" w:rsidRDefault="00D53B3E" w:rsidP="0065348B"/>
    <w:p w14:paraId="41AAF28D" w14:textId="5627D1F4" w:rsidR="00D53B3E" w:rsidRDefault="00D53B3E" w:rsidP="0065348B"/>
    <w:p w14:paraId="50AE6976" w14:textId="77777777" w:rsidR="00D53B3E" w:rsidRPr="0065348B" w:rsidRDefault="00D53B3E" w:rsidP="0065348B"/>
    <w:p w14:paraId="0FFB6C75" w14:textId="77777777" w:rsidR="00D53B3E" w:rsidRDefault="00D53B3E" w:rsidP="00E16609">
      <w:pPr>
        <w:pStyle w:val="Heading1"/>
        <w:rPr>
          <w:sz w:val="20"/>
          <w:szCs w:val="20"/>
        </w:rPr>
      </w:pPr>
    </w:p>
    <w:p w14:paraId="657D33E5" w14:textId="77777777" w:rsidR="00D53B3E" w:rsidRDefault="00D53B3E" w:rsidP="00E16609">
      <w:pPr>
        <w:pStyle w:val="Heading1"/>
        <w:rPr>
          <w:sz w:val="20"/>
          <w:szCs w:val="20"/>
        </w:rPr>
      </w:pPr>
    </w:p>
    <w:p w14:paraId="7DD3A2A6" w14:textId="77777777" w:rsidR="00D53B3E" w:rsidRDefault="00D53B3E" w:rsidP="00E16609">
      <w:pPr>
        <w:pStyle w:val="Heading1"/>
        <w:rPr>
          <w:sz w:val="20"/>
          <w:szCs w:val="20"/>
        </w:rPr>
      </w:pPr>
    </w:p>
    <w:p w14:paraId="52955DB3" w14:textId="47388E38" w:rsidR="00D53B3E" w:rsidRPr="0065348B" w:rsidRDefault="00D53B3E" w:rsidP="0065348B"/>
    <w:p w14:paraId="31F30899" w14:textId="77777777" w:rsidR="00D53B3E" w:rsidRDefault="00D53B3E" w:rsidP="00E16609">
      <w:pPr>
        <w:pStyle w:val="Heading1"/>
        <w:rPr>
          <w:sz w:val="20"/>
          <w:szCs w:val="20"/>
        </w:rPr>
      </w:pPr>
    </w:p>
    <w:p w14:paraId="0F861FAE" w14:textId="126FF371" w:rsidR="00D53B3E" w:rsidRDefault="00D53B3E" w:rsidP="00E16609">
      <w:pPr>
        <w:pStyle w:val="Heading1"/>
        <w:rPr>
          <w:sz w:val="20"/>
          <w:szCs w:val="20"/>
        </w:rPr>
      </w:pPr>
    </w:p>
    <w:p w14:paraId="6BDAE2A1" w14:textId="47353D9D" w:rsidR="00D53B3E" w:rsidRDefault="00D53B3E" w:rsidP="0065348B"/>
    <w:p w14:paraId="60898514" w14:textId="16C33054" w:rsidR="00D53B3E" w:rsidRDefault="00D53B3E" w:rsidP="0065348B"/>
    <w:p w14:paraId="357A551B" w14:textId="00EEB89A" w:rsidR="00D53B3E" w:rsidRDefault="00D53B3E" w:rsidP="0065348B"/>
    <w:p w14:paraId="612C91B6" w14:textId="4AD1ED87" w:rsidR="00D53B3E" w:rsidRDefault="00D53B3E" w:rsidP="0065348B"/>
    <w:p w14:paraId="72922064" w14:textId="77777777" w:rsidR="001976A8" w:rsidRPr="0065348B" w:rsidRDefault="001976A8" w:rsidP="0065348B"/>
    <w:p w14:paraId="11D90CC2" w14:textId="3A32595B"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ECB289F" w14:textId="77777777" w:rsidR="00E16609" w:rsidRPr="00500C4E" w:rsidRDefault="00824F1C" w:rsidP="00C76EB4">
      <w:pPr>
        <w:pStyle w:val="Heading2"/>
        <w:spacing w:after="0"/>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62E233CD" w14:textId="74916ACF" w:rsidR="0091595E" w:rsidRPr="0091595E" w:rsidRDefault="0091595E" w:rsidP="00920905">
      <w:pPr>
        <w:rPr>
          <w:rFonts w:cstheme="minorHAnsi"/>
          <w:szCs w:val="22"/>
        </w:rPr>
      </w:pPr>
      <w:r w:rsidRPr="0091595E">
        <w:rPr>
          <w:rFonts w:cstheme="minorHAnsi"/>
          <w:szCs w:val="22"/>
        </w:rPr>
        <w:t xml:space="preserve">This work paper </w:t>
      </w:r>
      <w:r w:rsidR="003408B9" w:rsidRPr="0091595E">
        <w:rPr>
          <w:rFonts w:cstheme="minorHAnsi"/>
          <w:szCs w:val="22"/>
        </w:rPr>
        <w:t>d</w:t>
      </w:r>
      <w:r w:rsidR="003408B9">
        <w:rPr>
          <w:rFonts w:cstheme="minorHAnsi"/>
          <w:szCs w:val="22"/>
        </w:rPr>
        <w:t>etails</w:t>
      </w:r>
      <w:r w:rsidR="003408B9" w:rsidRPr="0091595E">
        <w:rPr>
          <w:rFonts w:cstheme="minorHAnsi"/>
          <w:szCs w:val="22"/>
        </w:rPr>
        <w:t xml:space="preserve"> </w:t>
      </w:r>
      <w:r w:rsidRPr="0091595E">
        <w:rPr>
          <w:rFonts w:cstheme="minorHAnsi"/>
          <w:szCs w:val="22"/>
        </w:rPr>
        <w:t xml:space="preserve">the </w:t>
      </w:r>
      <w:r w:rsidR="003408B9">
        <w:rPr>
          <w:rFonts w:cstheme="minorHAnsi"/>
          <w:szCs w:val="22"/>
        </w:rPr>
        <w:t>purchase of new or replacement</w:t>
      </w:r>
      <w:r w:rsidRPr="0091595E">
        <w:rPr>
          <w:rFonts w:cstheme="minorHAnsi"/>
          <w:szCs w:val="22"/>
        </w:rPr>
        <w:t xml:space="preserve"> </w:t>
      </w:r>
      <w:r w:rsidR="00EC6880">
        <w:rPr>
          <w:rFonts w:cstheme="minorHAnsi"/>
          <w:szCs w:val="22"/>
        </w:rPr>
        <w:t>c</w:t>
      </w:r>
      <w:r w:rsidR="00EC6880" w:rsidRPr="0091595E">
        <w:rPr>
          <w:rFonts w:cstheme="minorHAnsi"/>
          <w:szCs w:val="22"/>
        </w:rPr>
        <w:t xml:space="preserve">ommercial </w:t>
      </w:r>
      <w:r w:rsidR="003408B9">
        <w:rPr>
          <w:rFonts w:cstheme="minorHAnsi"/>
          <w:szCs w:val="22"/>
        </w:rPr>
        <w:t xml:space="preserve">low-flow </w:t>
      </w:r>
      <w:r w:rsidR="00EC6880">
        <w:rPr>
          <w:rFonts w:cstheme="minorHAnsi"/>
          <w:szCs w:val="22"/>
        </w:rPr>
        <w:t>p</w:t>
      </w:r>
      <w:r w:rsidRPr="0091595E">
        <w:rPr>
          <w:rFonts w:cstheme="minorHAnsi"/>
          <w:szCs w:val="22"/>
        </w:rPr>
        <w:t>re-</w:t>
      </w:r>
      <w:r w:rsidR="00EC6880">
        <w:rPr>
          <w:rFonts w:cstheme="minorHAnsi"/>
          <w:szCs w:val="22"/>
        </w:rPr>
        <w:t>r</w:t>
      </w:r>
      <w:r w:rsidRPr="0091595E">
        <w:rPr>
          <w:rFonts w:cstheme="minorHAnsi"/>
          <w:szCs w:val="22"/>
        </w:rPr>
        <w:t xml:space="preserve">inse </w:t>
      </w:r>
      <w:r w:rsidR="00EC6880">
        <w:rPr>
          <w:rFonts w:cstheme="minorHAnsi"/>
          <w:szCs w:val="22"/>
        </w:rPr>
        <w:t>s</w:t>
      </w:r>
      <w:r w:rsidRPr="0091595E">
        <w:rPr>
          <w:rFonts w:cstheme="minorHAnsi"/>
          <w:szCs w:val="22"/>
        </w:rPr>
        <w:t xml:space="preserve">pray </w:t>
      </w:r>
      <w:r w:rsidR="00EC6880">
        <w:rPr>
          <w:rFonts w:cstheme="minorHAnsi"/>
          <w:szCs w:val="22"/>
        </w:rPr>
        <w:t>v</w:t>
      </w:r>
      <w:r w:rsidRPr="0091595E">
        <w:rPr>
          <w:rFonts w:cstheme="minorHAnsi"/>
          <w:szCs w:val="22"/>
        </w:rPr>
        <w:t>alves</w:t>
      </w:r>
      <w:r w:rsidR="0059403B">
        <w:rPr>
          <w:rFonts w:cstheme="minorHAnsi"/>
          <w:szCs w:val="22"/>
        </w:rPr>
        <w:t xml:space="preserve"> (PRSV)</w:t>
      </w:r>
      <w:r w:rsidRPr="0091595E">
        <w:rPr>
          <w:rFonts w:cstheme="minorHAnsi"/>
          <w:szCs w:val="22"/>
        </w:rPr>
        <w:t xml:space="preserve">. </w:t>
      </w:r>
      <w:r w:rsidR="0059403B">
        <w:rPr>
          <w:rFonts w:cstheme="minorHAnsi"/>
          <w:szCs w:val="22"/>
        </w:rPr>
        <w:t>This measure includes criteria for flow rate</w:t>
      </w:r>
      <w:r w:rsidR="006773C7">
        <w:rPr>
          <w:rFonts w:cstheme="minorHAnsi"/>
          <w:szCs w:val="22"/>
        </w:rPr>
        <w:t xml:space="preserve"> measured in gallons </w:t>
      </w:r>
      <w:r w:rsidR="00A36101">
        <w:rPr>
          <w:rFonts w:cstheme="minorHAnsi"/>
          <w:szCs w:val="22"/>
        </w:rPr>
        <w:t>per minute</w:t>
      </w:r>
      <w:r w:rsidR="006773C7">
        <w:rPr>
          <w:rFonts w:cstheme="minorHAnsi"/>
          <w:szCs w:val="22"/>
        </w:rPr>
        <w:t xml:space="preserve"> (gpm)</w:t>
      </w:r>
      <w:r w:rsidR="004213DB">
        <w:rPr>
          <w:rFonts w:cstheme="minorHAnsi"/>
          <w:szCs w:val="22"/>
        </w:rPr>
        <w:t xml:space="preserve"> </w:t>
      </w:r>
      <w:r w:rsidR="0059403B">
        <w:rPr>
          <w:rFonts w:cstheme="minorHAnsi"/>
          <w:szCs w:val="22"/>
        </w:rPr>
        <w:t>of low-flow pre-rinse spray valves</w:t>
      </w:r>
      <w:r w:rsidR="00D600EE">
        <w:rPr>
          <w:rFonts w:cstheme="minorHAnsi"/>
          <w:szCs w:val="22"/>
        </w:rPr>
        <w:t xml:space="preserve"> </w:t>
      </w:r>
      <w:r w:rsidR="0075281D">
        <w:rPr>
          <w:rFonts w:cstheme="minorHAnsi"/>
          <w:szCs w:val="22"/>
        </w:rPr>
        <w:t xml:space="preserve">divided </w:t>
      </w:r>
      <w:r w:rsidR="00D600EE">
        <w:rPr>
          <w:rFonts w:cstheme="minorHAnsi"/>
          <w:szCs w:val="22"/>
        </w:rPr>
        <w:t>in</w:t>
      </w:r>
      <w:r w:rsidR="0075281D">
        <w:rPr>
          <w:rFonts w:cstheme="minorHAnsi"/>
          <w:szCs w:val="22"/>
        </w:rPr>
        <w:t>to</w:t>
      </w:r>
      <w:r w:rsidR="00D600EE">
        <w:rPr>
          <w:rFonts w:cstheme="minorHAnsi"/>
          <w:szCs w:val="22"/>
        </w:rPr>
        <w:t xml:space="preserve"> two </w:t>
      </w:r>
      <w:r w:rsidR="002622B8">
        <w:rPr>
          <w:rFonts w:cstheme="minorHAnsi"/>
          <w:szCs w:val="22"/>
        </w:rPr>
        <w:t xml:space="preserve">qualification </w:t>
      </w:r>
      <w:r w:rsidR="0059403B">
        <w:rPr>
          <w:rFonts w:cstheme="minorHAnsi"/>
          <w:szCs w:val="22"/>
        </w:rPr>
        <w:t>categories</w:t>
      </w:r>
      <w:r w:rsidRPr="0091595E">
        <w:rPr>
          <w:rFonts w:cstheme="minorHAnsi"/>
          <w:szCs w:val="22"/>
        </w:rPr>
        <w:t xml:space="preserve">. </w:t>
      </w:r>
    </w:p>
    <w:p w14:paraId="1AEA29B9" w14:textId="77777777" w:rsidR="0091595E" w:rsidRDefault="0091595E" w:rsidP="00920905">
      <w:pPr>
        <w:rPr>
          <w:b/>
          <w:szCs w:val="22"/>
        </w:rPr>
      </w:pPr>
    </w:p>
    <w:p w14:paraId="244F676A" w14:textId="5769BA23" w:rsidR="00F171E1" w:rsidRPr="00920905" w:rsidRDefault="00F171E1" w:rsidP="005475C8">
      <w:pPr>
        <w:pStyle w:val="Caption"/>
        <w:rPr>
          <w:b w:val="0"/>
          <w:szCs w:val="22"/>
        </w:rPr>
      </w:pPr>
      <w:r w:rsidRPr="005475C8">
        <w:rPr>
          <w:szCs w:val="22"/>
        </w:rPr>
        <w:t>Base</w:t>
      </w:r>
      <w:r w:rsidR="005720F2" w:rsidRPr="005475C8">
        <w:rPr>
          <w:szCs w:val="22"/>
        </w:rPr>
        <w:t>, Standard,</w:t>
      </w:r>
      <w:r w:rsidRPr="005475C8">
        <w:rPr>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473A66D2" w14:textId="77777777" w:rsidTr="35ED749D">
        <w:trPr>
          <w:trHeight w:val="20"/>
        </w:trPr>
        <w:tc>
          <w:tcPr>
            <w:tcW w:w="1502" w:type="pct"/>
            <w:shd w:val="clear" w:color="auto" w:fill="D9D9D9" w:themeFill="background1" w:themeFillShade="D9"/>
          </w:tcPr>
          <w:p w14:paraId="153F12BF"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2FBED692"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91595E" w:rsidRPr="00800706" w14:paraId="5D2180BC" w14:textId="77777777" w:rsidTr="35ED749D">
        <w:trPr>
          <w:trHeight w:val="20"/>
        </w:trPr>
        <w:tc>
          <w:tcPr>
            <w:tcW w:w="1502" w:type="pct"/>
          </w:tcPr>
          <w:p w14:paraId="26876094" w14:textId="77777777" w:rsidR="0091595E" w:rsidRPr="00920905" w:rsidRDefault="0091595E" w:rsidP="0091595E">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3290E2E3" w14:textId="77777777" w:rsidR="0091595E" w:rsidRDefault="0091595E" w:rsidP="002C58D0">
            <w:pPr>
              <w:spacing w:before="60" w:after="60"/>
              <w:rPr>
                <w:rFonts w:cs="Arial"/>
                <w:szCs w:val="20"/>
              </w:rPr>
            </w:pPr>
            <w:r>
              <w:rPr>
                <w:rFonts w:cs="Arial"/>
                <w:szCs w:val="20"/>
              </w:rPr>
              <w:t xml:space="preserve">Commercial Pre-Rinse Spray Valve (PRSV) </w:t>
            </w:r>
          </w:p>
          <w:p w14:paraId="7B5CDF20" w14:textId="7D20F860" w:rsidR="0091595E" w:rsidRPr="00945B8A" w:rsidRDefault="006364E2" w:rsidP="002C58D0">
            <w:pPr>
              <w:pStyle w:val="ListParagraph"/>
              <w:numPr>
                <w:ilvl w:val="0"/>
                <w:numId w:val="42"/>
              </w:numPr>
              <w:spacing w:before="60" w:after="60"/>
              <w:rPr>
                <w:rFonts w:cs="Arial"/>
                <w:szCs w:val="20"/>
              </w:rPr>
            </w:pPr>
            <w:r>
              <w:rPr>
                <w:rFonts w:cs="Arial"/>
                <w:szCs w:val="20"/>
              </w:rPr>
              <w:t xml:space="preserve">0.75 – </w:t>
            </w:r>
            <w:r w:rsidR="0091595E" w:rsidRPr="00F50174">
              <w:rPr>
                <w:rFonts w:cs="Arial"/>
                <w:szCs w:val="20"/>
              </w:rPr>
              <w:t>1.07 gpm flow rate</w:t>
            </w:r>
          </w:p>
          <w:p w14:paraId="34E8C576" w14:textId="77777777" w:rsidR="0091595E" w:rsidRDefault="0091595E" w:rsidP="002C58D0">
            <w:pPr>
              <w:spacing w:before="60" w:after="60"/>
              <w:rPr>
                <w:rFonts w:cs="Arial"/>
                <w:szCs w:val="20"/>
              </w:rPr>
            </w:pPr>
            <w:r>
              <w:rPr>
                <w:rFonts w:cs="Arial"/>
                <w:szCs w:val="20"/>
              </w:rPr>
              <w:t xml:space="preserve">Commercial Pre-Rinse Spray Valve (PRSV) </w:t>
            </w:r>
          </w:p>
          <w:p w14:paraId="60EC1D00" w14:textId="23AC74A2" w:rsidR="0091595E" w:rsidRPr="00945B8A" w:rsidRDefault="006364E2" w:rsidP="002C58D0">
            <w:pPr>
              <w:pStyle w:val="ListParagraph"/>
              <w:numPr>
                <w:ilvl w:val="0"/>
                <w:numId w:val="42"/>
              </w:numPr>
              <w:spacing w:before="60" w:after="60"/>
              <w:rPr>
                <w:szCs w:val="20"/>
              </w:rPr>
            </w:pPr>
            <w:r>
              <w:rPr>
                <w:rFonts w:cs="Arial"/>
                <w:szCs w:val="20"/>
              </w:rPr>
              <w:t xml:space="preserve">&lt; </w:t>
            </w:r>
            <w:r w:rsidR="0091595E" w:rsidRPr="00F50174">
              <w:rPr>
                <w:rFonts w:cs="Arial"/>
                <w:szCs w:val="20"/>
              </w:rPr>
              <w:t>0.75 gpm flow rate</w:t>
            </w:r>
          </w:p>
        </w:tc>
      </w:tr>
      <w:tr w:rsidR="0091595E" w:rsidRPr="00800706" w14:paraId="6C3222B3" w14:textId="77777777" w:rsidTr="002C58D0">
        <w:trPr>
          <w:trHeight w:val="20"/>
        </w:trPr>
        <w:tc>
          <w:tcPr>
            <w:tcW w:w="1502" w:type="pct"/>
          </w:tcPr>
          <w:p w14:paraId="6954902D" w14:textId="77777777" w:rsidR="0091595E" w:rsidRPr="00920905" w:rsidRDefault="0091595E" w:rsidP="0091595E">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6C2BED0E" w14:textId="137C5B26" w:rsidR="0091595E" w:rsidRPr="00DE598A" w:rsidRDefault="00E45D26" w:rsidP="00C24003">
            <w:pPr>
              <w:spacing w:before="60" w:after="60"/>
              <w:rPr>
                <w:rFonts w:cs="Arial"/>
                <w:szCs w:val="20"/>
              </w:rPr>
            </w:pPr>
            <w:r>
              <w:rPr>
                <w:rFonts w:cs="Arial"/>
                <w:szCs w:val="20"/>
              </w:rPr>
              <w:t>N/A</w:t>
            </w:r>
          </w:p>
        </w:tc>
      </w:tr>
      <w:tr w:rsidR="0091595E" w:rsidRPr="00800706" w14:paraId="13E5A68C" w14:textId="77777777" w:rsidTr="35ED749D">
        <w:trPr>
          <w:trHeight w:val="20"/>
        </w:trPr>
        <w:tc>
          <w:tcPr>
            <w:tcW w:w="1502" w:type="pct"/>
          </w:tcPr>
          <w:p w14:paraId="5A6A2D87" w14:textId="77777777" w:rsidR="0091595E" w:rsidRPr="00800706" w:rsidRDefault="0091595E" w:rsidP="0091595E">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366181AA" w14:textId="77777777" w:rsidR="0091595E" w:rsidRPr="00945B8A" w:rsidRDefault="0091595E" w:rsidP="002C58D0">
            <w:pPr>
              <w:spacing w:before="60" w:after="60"/>
              <w:rPr>
                <w:rFonts w:cs="Arial"/>
                <w:szCs w:val="20"/>
              </w:rPr>
            </w:pPr>
            <w:r w:rsidRPr="00945B8A">
              <w:rPr>
                <w:rFonts w:cs="Arial"/>
                <w:szCs w:val="20"/>
              </w:rPr>
              <w:t>DOE 2019 Minimum Federal Standard:</w:t>
            </w:r>
          </w:p>
          <w:p w14:paraId="55B826A1" w14:textId="4454E14A" w:rsidR="0091595E" w:rsidRPr="00945B8A" w:rsidRDefault="0091595E" w:rsidP="002C58D0">
            <w:pPr>
              <w:pStyle w:val="ListParagraph"/>
              <w:numPr>
                <w:ilvl w:val="0"/>
                <w:numId w:val="42"/>
              </w:numPr>
              <w:spacing w:before="60" w:after="60"/>
              <w:rPr>
                <w:rFonts w:cs="Arial"/>
                <w:szCs w:val="20"/>
              </w:rPr>
            </w:pPr>
            <w:r w:rsidRPr="00F50174">
              <w:rPr>
                <w:rFonts w:cs="Arial"/>
                <w:szCs w:val="20"/>
              </w:rPr>
              <w:t>1.20 gpm flow rate</w:t>
            </w:r>
            <w:r w:rsidR="00F50174" w:rsidRPr="00F50174">
              <w:rPr>
                <w:rFonts w:cs="Arial"/>
                <w:szCs w:val="20"/>
              </w:rPr>
              <w:t>;</w:t>
            </w:r>
            <w:r w:rsidRPr="00F50174">
              <w:rPr>
                <w:rFonts w:cs="Arial"/>
                <w:szCs w:val="20"/>
              </w:rPr>
              <w:t xml:space="preserve"> &gt;</w:t>
            </w:r>
            <w:r w:rsidR="00C3210B" w:rsidRPr="00F50174">
              <w:rPr>
                <w:rFonts w:cs="Arial"/>
                <w:szCs w:val="20"/>
              </w:rPr>
              <w:t xml:space="preserve"> </w:t>
            </w:r>
            <w:r w:rsidRPr="00945B8A">
              <w:rPr>
                <w:rFonts w:cs="Arial"/>
                <w:szCs w:val="20"/>
              </w:rPr>
              <w:t>5.0 oz</w:t>
            </w:r>
            <w:r w:rsidR="00F50174" w:rsidRPr="00945B8A">
              <w:rPr>
                <w:rFonts w:cs="Arial"/>
                <w:szCs w:val="20"/>
              </w:rPr>
              <w:t>.</w:t>
            </w:r>
            <w:r w:rsidRPr="00945B8A">
              <w:rPr>
                <w:rFonts w:cs="Arial"/>
                <w:szCs w:val="20"/>
              </w:rPr>
              <w:t xml:space="preserve"> force</w:t>
            </w:r>
          </w:p>
          <w:p w14:paraId="14AEE075" w14:textId="240CE240" w:rsidR="0091595E" w:rsidRPr="00C76EB4" w:rsidRDefault="007E1340" w:rsidP="002C58D0">
            <w:pPr>
              <w:pStyle w:val="ListParagraph"/>
              <w:numPr>
                <w:ilvl w:val="0"/>
                <w:numId w:val="42"/>
              </w:numPr>
              <w:spacing w:before="60" w:after="60"/>
              <w:rPr>
                <w:szCs w:val="20"/>
              </w:rPr>
            </w:pPr>
            <w:r w:rsidRPr="00945B8A">
              <w:rPr>
                <w:rFonts w:cs="Arial"/>
                <w:szCs w:val="20"/>
              </w:rPr>
              <w:t>1.00 gpm flow rate</w:t>
            </w:r>
            <w:r w:rsidR="00F50174" w:rsidRPr="00945B8A">
              <w:rPr>
                <w:rFonts w:cs="Arial"/>
                <w:szCs w:val="20"/>
              </w:rPr>
              <w:t>;</w:t>
            </w:r>
            <w:r w:rsidRPr="00945B8A">
              <w:rPr>
                <w:rFonts w:cs="Arial"/>
                <w:szCs w:val="20"/>
              </w:rPr>
              <w:t xml:space="preserve"> </w:t>
            </w:r>
            <w:r w:rsidR="00DC487E" w:rsidRPr="00945B8A">
              <w:rPr>
                <w:rFonts w:cs="Arial"/>
                <w:szCs w:val="20"/>
              </w:rPr>
              <w:t>4</w:t>
            </w:r>
            <w:r w:rsidRPr="00945B8A">
              <w:rPr>
                <w:rFonts w:cs="Arial"/>
                <w:szCs w:val="20"/>
              </w:rPr>
              <w:t xml:space="preserve">.0 – </w:t>
            </w:r>
            <w:r w:rsidR="00DC487E" w:rsidRPr="00945B8A">
              <w:rPr>
                <w:rFonts w:cs="Arial"/>
                <w:szCs w:val="20"/>
              </w:rPr>
              <w:t>5</w:t>
            </w:r>
            <w:r w:rsidR="0091595E" w:rsidRPr="00945B8A">
              <w:rPr>
                <w:rFonts w:cs="Arial"/>
                <w:szCs w:val="20"/>
              </w:rPr>
              <w:t>.0 oz</w:t>
            </w:r>
            <w:r w:rsidR="00F50174" w:rsidRPr="00945B8A">
              <w:rPr>
                <w:rFonts w:cs="Arial"/>
                <w:szCs w:val="20"/>
              </w:rPr>
              <w:t>.</w:t>
            </w:r>
            <w:r w:rsidR="0091595E" w:rsidRPr="00945B8A">
              <w:rPr>
                <w:rFonts w:cs="Arial"/>
                <w:szCs w:val="20"/>
              </w:rPr>
              <w:t xml:space="preserve"> force</w:t>
            </w:r>
          </w:p>
        </w:tc>
      </w:tr>
      <w:tr w:rsidR="0091595E" w:rsidRPr="00800706" w14:paraId="406E8C3E" w14:textId="77777777" w:rsidTr="35ED749D">
        <w:trPr>
          <w:trHeight w:val="20"/>
        </w:trPr>
        <w:tc>
          <w:tcPr>
            <w:tcW w:w="1502" w:type="pct"/>
          </w:tcPr>
          <w:p w14:paraId="6C330B9E" w14:textId="77777777" w:rsidR="0091595E" w:rsidRPr="00920905" w:rsidRDefault="0091595E" w:rsidP="0091595E">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7D51A687" w14:textId="24C1891D" w:rsidR="0091595E" w:rsidRPr="00DE598A" w:rsidRDefault="00E45D26" w:rsidP="00C24003">
            <w:pPr>
              <w:spacing w:before="60" w:after="60"/>
              <w:rPr>
                <w:i/>
                <w:szCs w:val="20"/>
              </w:rPr>
            </w:pPr>
            <w:r>
              <w:rPr>
                <w:rFonts w:cs="Arial"/>
                <w:szCs w:val="20"/>
              </w:rPr>
              <w:t>N/A</w:t>
            </w:r>
          </w:p>
        </w:tc>
      </w:tr>
    </w:tbl>
    <w:p w14:paraId="6C070275" w14:textId="77777777" w:rsidR="00D85F09" w:rsidRPr="00800706" w:rsidRDefault="00D85F09" w:rsidP="00920905">
      <w:pPr>
        <w:pStyle w:val="NoSpacing"/>
      </w:pPr>
    </w:p>
    <w:p w14:paraId="63F63DD6" w14:textId="648221D7" w:rsidR="00AC5309" w:rsidRPr="00800706" w:rsidRDefault="00AC5309" w:rsidP="005475C8">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2B7567E3" w14:textId="77777777" w:rsidTr="00C76EB4">
        <w:tc>
          <w:tcPr>
            <w:tcW w:w="2356" w:type="pct"/>
            <w:gridSpan w:val="4"/>
            <w:shd w:val="clear" w:color="auto" w:fill="D9D9D9" w:themeFill="background1" w:themeFillShade="D9"/>
          </w:tcPr>
          <w:p w14:paraId="78AF13FB" w14:textId="77777777"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6F9E6AD5"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3BFA02F7" w14:textId="77777777" w:rsidTr="35ED749D">
        <w:tc>
          <w:tcPr>
            <w:tcW w:w="539" w:type="pct"/>
            <w:shd w:val="clear" w:color="auto" w:fill="F2F2F2" w:themeFill="background1" w:themeFillShade="F2"/>
          </w:tcPr>
          <w:p w14:paraId="521F48B4" w14:textId="77777777"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1535080C" w14:textId="77777777"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2E8261FE" w14:textId="77777777"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5AF61880" w14:textId="77777777" w:rsidR="003A3170" w:rsidRPr="00800706" w:rsidRDefault="003A3170" w:rsidP="00D835EF">
            <w:pPr>
              <w:rPr>
                <w:rFonts w:cstheme="minorHAnsi"/>
                <w:szCs w:val="20"/>
              </w:rPr>
            </w:pPr>
            <w:r w:rsidRPr="00800706">
              <w:rPr>
                <w:rFonts w:cstheme="minorHAnsi"/>
                <w:szCs w:val="20"/>
              </w:rPr>
              <w:t>PG&amp;E</w:t>
            </w:r>
          </w:p>
        </w:tc>
        <w:tc>
          <w:tcPr>
            <w:tcW w:w="2644" w:type="pct"/>
            <w:vMerge/>
          </w:tcPr>
          <w:p w14:paraId="2E16CE6D" w14:textId="77777777" w:rsidR="003A3170" w:rsidRPr="00800706" w:rsidRDefault="003A3170" w:rsidP="005729C8">
            <w:pPr>
              <w:rPr>
                <w:rFonts w:cstheme="minorHAnsi"/>
                <w:szCs w:val="20"/>
              </w:rPr>
            </w:pPr>
          </w:p>
        </w:tc>
      </w:tr>
      <w:tr w:rsidR="004213DB" w:rsidRPr="00800706" w14:paraId="35DF754D" w14:textId="77777777" w:rsidTr="002C58D0">
        <w:trPr>
          <w:trHeight w:val="386"/>
        </w:trPr>
        <w:tc>
          <w:tcPr>
            <w:tcW w:w="539" w:type="pct"/>
            <w:vAlign w:val="center"/>
          </w:tcPr>
          <w:p w14:paraId="01508FA2" w14:textId="2FB5DBE0" w:rsidR="004213DB" w:rsidRPr="00920905" w:rsidRDefault="00FF44C0" w:rsidP="001A6A2A">
            <w:pPr>
              <w:rPr>
                <w:rFonts w:cstheme="minorHAnsi"/>
                <w:color w:val="FF0000"/>
                <w:szCs w:val="20"/>
              </w:rPr>
            </w:pPr>
            <w:r>
              <w:rPr>
                <w:rFonts w:cstheme="minorHAnsi"/>
                <w:color w:val="FF0000"/>
                <w:szCs w:val="20"/>
              </w:rPr>
              <w:t>TBD</w:t>
            </w:r>
          </w:p>
        </w:tc>
        <w:tc>
          <w:tcPr>
            <w:tcW w:w="539" w:type="pct"/>
            <w:vMerge w:val="restart"/>
          </w:tcPr>
          <w:p w14:paraId="0AA2DB6C" w14:textId="01B047FE" w:rsidR="004213DB" w:rsidRPr="00920905" w:rsidRDefault="004213DB" w:rsidP="00397406">
            <w:pPr>
              <w:rPr>
                <w:rFonts w:cstheme="minorHAnsi"/>
                <w:color w:val="FF0000"/>
                <w:szCs w:val="20"/>
              </w:rPr>
            </w:pPr>
          </w:p>
        </w:tc>
        <w:tc>
          <w:tcPr>
            <w:tcW w:w="605" w:type="pct"/>
            <w:vMerge w:val="restart"/>
          </w:tcPr>
          <w:p w14:paraId="24C88019" w14:textId="62C69DCF" w:rsidR="004213DB" w:rsidRPr="00920905" w:rsidRDefault="004213DB" w:rsidP="00397406">
            <w:pPr>
              <w:rPr>
                <w:rFonts w:cstheme="minorHAnsi"/>
                <w:color w:val="FF0000"/>
                <w:szCs w:val="20"/>
              </w:rPr>
            </w:pPr>
          </w:p>
        </w:tc>
        <w:tc>
          <w:tcPr>
            <w:tcW w:w="673" w:type="pct"/>
            <w:vMerge w:val="restart"/>
          </w:tcPr>
          <w:p w14:paraId="3AE71776" w14:textId="20675BA1" w:rsidR="004213DB" w:rsidRPr="00C76EB4" w:rsidRDefault="004213DB" w:rsidP="007E14B0">
            <w:pPr>
              <w:rPr>
                <w:rFonts w:cstheme="minorHAnsi"/>
                <w:szCs w:val="20"/>
              </w:rPr>
            </w:pPr>
          </w:p>
        </w:tc>
        <w:tc>
          <w:tcPr>
            <w:tcW w:w="2644" w:type="pct"/>
          </w:tcPr>
          <w:p w14:paraId="4E7BD9ED" w14:textId="77777777" w:rsidR="004213DB" w:rsidRPr="00945B8A" w:rsidRDefault="004213DB" w:rsidP="0091595E">
            <w:pPr>
              <w:rPr>
                <w:rFonts w:cs="Arial"/>
                <w:szCs w:val="20"/>
              </w:rPr>
            </w:pPr>
            <w:r w:rsidRPr="00945B8A">
              <w:rPr>
                <w:rFonts w:cs="Arial"/>
                <w:szCs w:val="20"/>
              </w:rPr>
              <w:t xml:space="preserve">Commercial Pre-Rinse Spray Valve (PRSV) </w:t>
            </w:r>
          </w:p>
          <w:p w14:paraId="1B6968A0" w14:textId="159B53FD" w:rsidR="004213DB" w:rsidRPr="00C76EB4" w:rsidRDefault="004213DB" w:rsidP="00C76EB4">
            <w:pPr>
              <w:pStyle w:val="ListParagraph"/>
              <w:numPr>
                <w:ilvl w:val="0"/>
                <w:numId w:val="43"/>
              </w:numPr>
            </w:pPr>
            <w:r>
              <w:rPr>
                <w:rFonts w:cs="Arial"/>
                <w:szCs w:val="20"/>
              </w:rPr>
              <w:t>0.</w:t>
            </w:r>
            <w:r w:rsidR="007E14B0">
              <w:rPr>
                <w:rFonts w:cs="Arial"/>
                <w:szCs w:val="20"/>
              </w:rPr>
              <w:t>7</w:t>
            </w:r>
            <w:r w:rsidR="006364E2">
              <w:rPr>
                <w:rFonts w:cs="Arial"/>
                <w:szCs w:val="20"/>
              </w:rPr>
              <w:t>5</w:t>
            </w:r>
            <w:r w:rsidR="007E14B0">
              <w:rPr>
                <w:rFonts w:cs="Arial"/>
                <w:szCs w:val="20"/>
              </w:rPr>
              <w:t xml:space="preserve"> </w:t>
            </w:r>
            <w:r w:rsidR="006364E2">
              <w:rPr>
                <w:rFonts w:cs="Arial"/>
                <w:szCs w:val="20"/>
              </w:rPr>
              <w:t xml:space="preserve">– </w:t>
            </w:r>
            <w:r w:rsidRPr="004F408B">
              <w:rPr>
                <w:rFonts w:cs="Arial"/>
                <w:szCs w:val="20"/>
              </w:rPr>
              <w:t>1.07 gpm flow rate</w:t>
            </w:r>
          </w:p>
        </w:tc>
      </w:tr>
      <w:tr w:rsidR="004213DB" w:rsidRPr="00800706" w14:paraId="37D7DF2A" w14:textId="77777777" w:rsidTr="002C58D0">
        <w:trPr>
          <w:trHeight w:val="386"/>
        </w:trPr>
        <w:tc>
          <w:tcPr>
            <w:tcW w:w="539" w:type="pct"/>
            <w:vAlign w:val="center"/>
          </w:tcPr>
          <w:p w14:paraId="1E2C73B5" w14:textId="6EC0FF02" w:rsidR="004213DB" w:rsidRPr="00920905" w:rsidRDefault="00FF44C0" w:rsidP="001A6A2A">
            <w:pPr>
              <w:rPr>
                <w:rFonts w:cstheme="minorHAnsi"/>
                <w:color w:val="FF0000"/>
                <w:szCs w:val="20"/>
              </w:rPr>
            </w:pPr>
            <w:r>
              <w:rPr>
                <w:rFonts w:cstheme="minorHAnsi"/>
                <w:color w:val="FF0000"/>
                <w:szCs w:val="20"/>
              </w:rPr>
              <w:t>TBD</w:t>
            </w:r>
          </w:p>
        </w:tc>
        <w:tc>
          <w:tcPr>
            <w:tcW w:w="539" w:type="pct"/>
            <w:vMerge/>
          </w:tcPr>
          <w:p w14:paraId="2A5FBA60" w14:textId="77777777" w:rsidR="004213DB" w:rsidRPr="00920905" w:rsidRDefault="004213DB" w:rsidP="00397406">
            <w:pPr>
              <w:rPr>
                <w:rFonts w:cstheme="minorHAnsi"/>
                <w:color w:val="FF0000"/>
                <w:szCs w:val="20"/>
              </w:rPr>
            </w:pPr>
          </w:p>
        </w:tc>
        <w:tc>
          <w:tcPr>
            <w:tcW w:w="605" w:type="pct"/>
            <w:vMerge/>
          </w:tcPr>
          <w:p w14:paraId="357DC3A0" w14:textId="77777777" w:rsidR="004213DB" w:rsidRPr="00920905" w:rsidRDefault="004213DB" w:rsidP="00397406">
            <w:pPr>
              <w:rPr>
                <w:rFonts w:cstheme="minorHAnsi"/>
                <w:color w:val="FF0000"/>
                <w:szCs w:val="20"/>
              </w:rPr>
            </w:pPr>
          </w:p>
        </w:tc>
        <w:tc>
          <w:tcPr>
            <w:tcW w:w="673" w:type="pct"/>
            <w:vMerge/>
          </w:tcPr>
          <w:p w14:paraId="34C6A74B" w14:textId="4305C7D7" w:rsidR="004213DB" w:rsidRPr="00C76EB4" w:rsidRDefault="004213DB">
            <w:pPr>
              <w:rPr>
                <w:rFonts w:cs="Arial"/>
                <w:b/>
                <w:bCs/>
              </w:rPr>
            </w:pPr>
          </w:p>
        </w:tc>
        <w:tc>
          <w:tcPr>
            <w:tcW w:w="2644" w:type="pct"/>
          </w:tcPr>
          <w:p w14:paraId="32E79C62" w14:textId="77777777" w:rsidR="004213DB" w:rsidRPr="0048438C" w:rsidRDefault="004213DB">
            <w:pPr>
              <w:rPr>
                <w:rFonts w:cs="Arial"/>
              </w:rPr>
            </w:pPr>
            <w:r w:rsidRPr="0048438C">
              <w:rPr>
                <w:rFonts w:cs="Arial"/>
              </w:rPr>
              <w:t xml:space="preserve">Commercial Pre-Rinse Spray Valve (PRSV) </w:t>
            </w:r>
          </w:p>
          <w:p w14:paraId="440CBDBD" w14:textId="1EC98543" w:rsidR="004213DB" w:rsidRPr="004F408B" w:rsidRDefault="004213DB" w:rsidP="00C76EB4">
            <w:pPr>
              <w:pStyle w:val="ListParagraph"/>
              <w:numPr>
                <w:ilvl w:val="0"/>
                <w:numId w:val="44"/>
              </w:numPr>
              <w:rPr>
                <w:rFonts w:cs="Arial"/>
                <w:szCs w:val="20"/>
              </w:rPr>
            </w:pPr>
            <w:r>
              <w:rPr>
                <w:rFonts w:cs="Arial"/>
                <w:szCs w:val="20"/>
              </w:rPr>
              <w:t>&lt;</w:t>
            </w:r>
            <w:r w:rsidR="001B7F13">
              <w:rPr>
                <w:rFonts w:cs="Arial"/>
                <w:szCs w:val="20"/>
              </w:rPr>
              <w:t xml:space="preserve"> </w:t>
            </w:r>
            <w:r w:rsidRPr="004F408B">
              <w:rPr>
                <w:rFonts w:cs="Arial"/>
                <w:szCs w:val="20"/>
              </w:rPr>
              <w:t>0.75 gpm flow rate</w:t>
            </w:r>
          </w:p>
        </w:tc>
      </w:tr>
    </w:tbl>
    <w:p w14:paraId="0550A55A" w14:textId="2BA649D9" w:rsidR="00A81090" w:rsidRPr="00C76EB4" w:rsidRDefault="00A81090" w:rsidP="00A81090">
      <w:pPr>
        <w:pStyle w:val="NoSpacing"/>
        <w:rPr>
          <w:sz w:val="18"/>
        </w:rPr>
      </w:pPr>
      <w:r w:rsidRPr="00C76EB4">
        <w:rPr>
          <w:sz w:val="18"/>
        </w:rPr>
        <w:t>*Based on the ANSI/ASTM F2324</w:t>
      </w:r>
      <w:r w:rsidR="007552AB" w:rsidRPr="00C76EB4">
        <w:rPr>
          <w:sz w:val="18"/>
        </w:rPr>
        <w:t>-13</w:t>
      </w:r>
      <w:bookmarkStart w:id="8" w:name="_Ref525290179"/>
      <w:r w:rsidR="00A67B9A">
        <w:rPr>
          <w:rStyle w:val="EndnoteReference"/>
          <w:sz w:val="18"/>
        </w:rPr>
        <w:endnoteReference w:id="2"/>
      </w:r>
      <w:bookmarkEnd w:id="8"/>
    </w:p>
    <w:p w14:paraId="01E41317" w14:textId="77777777" w:rsidR="00760CDC" w:rsidRPr="00800706" w:rsidRDefault="00760CDC" w:rsidP="00697868">
      <w:pPr>
        <w:pStyle w:val="Reminders"/>
        <w:rPr>
          <w:rFonts w:asciiTheme="minorHAnsi" w:hAnsiTheme="minorHAnsi" w:cstheme="minorHAnsi"/>
          <w:i w:val="0"/>
          <w:szCs w:val="22"/>
        </w:rPr>
      </w:pPr>
    </w:p>
    <w:p w14:paraId="4DFB20B8" w14:textId="51F556BB" w:rsidR="00D600EE" w:rsidRDefault="0059403B" w:rsidP="00A81090">
      <w:pPr>
        <w:pStyle w:val="NoSpacing"/>
      </w:pPr>
      <w:r>
        <w:t xml:space="preserve">This measure includes new commercial pre-rinse spray valves that meet the minimum prescriptive criteria listed above. </w:t>
      </w:r>
      <w:r w:rsidR="00C30D8A" w:rsidRPr="00A81090">
        <w:t xml:space="preserve">Used or rebuilt equipment is not eligible. </w:t>
      </w:r>
      <w:r w:rsidR="00A81090" w:rsidRPr="00A81090">
        <w:t xml:space="preserve">Customers must provide proof that the appliance meets the </w:t>
      </w:r>
      <w:r>
        <w:t xml:space="preserve">qualification </w:t>
      </w:r>
      <w:r w:rsidR="00A81090" w:rsidRPr="00A81090">
        <w:t>requirements.</w:t>
      </w:r>
      <w:r>
        <w:rPr>
          <w:b/>
        </w:rPr>
        <w:t xml:space="preserve"> </w:t>
      </w:r>
      <w:r w:rsidR="00A81090">
        <w:t xml:space="preserve">All </w:t>
      </w:r>
      <w:r w:rsidR="00BD7A36">
        <w:t xml:space="preserve">non-residential </w:t>
      </w:r>
      <w:r w:rsidR="00A81090">
        <w:t>building types are eligible</w:t>
      </w:r>
      <w:r>
        <w:t>.</w:t>
      </w:r>
      <w:r w:rsidR="000B52CD">
        <w:t xml:space="preserve"> </w:t>
      </w:r>
      <w:r w:rsidR="00DF0460">
        <w:t xml:space="preserve">This measure is not approved for any residential building type. </w:t>
      </w:r>
      <w:r w:rsidR="000B52CD">
        <w:t xml:space="preserve">This measure is restricted to operations with natural gas water heaters only. </w:t>
      </w:r>
      <w:r>
        <w:t>A</w:t>
      </w:r>
      <w:r w:rsidR="00A81090">
        <w:t>ny climate zone is eligible including CZ01 through CZ16.</w:t>
      </w:r>
      <w:r w:rsidR="006F4BAB">
        <w:t xml:space="preserve"> </w:t>
      </w:r>
    </w:p>
    <w:p w14:paraId="7BAA1039" w14:textId="77777777" w:rsidR="00D600EE" w:rsidRDefault="00D600EE" w:rsidP="00A81090">
      <w:pPr>
        <w:pStyle w:val="NoSpacing"/>
        <w:rPr>
          <w:b/>
        </w:rPr>
      </w:pPr>
    </w:p>
    <w:p w14:paraId="5E23A74B" w14:textId="63596DB9" w:rsidR="00A81090" w:rsidRDefault="5D8BF7AE" w:rsidP="00A81090">
      <w:pPr>
        <w:pStyle w:val="NoSpacing"/>
      </w:pPr>
      <w:r>
        <w:t>Th</w:t>
      </w:r>
      <w:r w:rsidR="35ED749D">
        <w:t>e</w:t>
      </w:r>
      <w:r w:rsidRPr="7E9E03BC">
        <w:t xml:space="preserve"> </w:t>
      </w:r>
      <w:r w:rsidR="35ED749D">
        <w:t>low-flow pre</w:t>
      </w:r>
      <w:r w:rsidR="007A65FC">
        <w:t>-</w:t>
      </w:r>
      <w:r w:rsidR="35ED749D">
        <w:t>rinse s</w:t>
      </w:r>
      <w:r w:rsidR="7E9E03BC">
        <w:t>pray valve</w:t>
      </w:r>
      <w:r w:rsidR="35ED749D">
        <w:t xml:space="preserve"> </w:t>
      </w:r>
      <w:r w:rsidR="00D3677E">
        <w:t xml:space="preserve">measure </w:t>
      </w:r>
      <w:r>
        <w:t>is</w:t>
      </w:r>
      <w:r w:rsidR="00D3677E">
        <w:t xml:space="preserve"> eligible as a downstream</w:t>
      </w:r>
      <w:r w:rsidR="00E45D26">
        <w:t xml:space="preserve">, midstream, or a </w:t>
      </w:r>
      <w:r>
        <w:t>direct</w:t>
      </w:r>
      <w:r w:rsidR="00D3677E">
        <w:t>-</w:t>
      </w:r>
      <w:r>
        <w:t xml:space="preserve">install </w:t>
      </w:r>
      <w:r w:rsidR="00D3677E">
        <w:t>measure</w:t>
      </w:r>
      <w:r>
        <w:t>.</w:t>
      </w:r>
      <w:r w:rsidR="00D3677E">
        <w:t xml:space="preserve"> </w:t>
      </w:r>
      <w:r w:rsidR="00D600EE">
        <w:t xml:space="preserve">The </w:t>
      </w:r>
      <w:r w:rsidR="00A81090">
        <w:t>downstream</w:t>
      </w:r>
      <w:r w:rsidR="00A81090" w:rsidRPr="7E9E03BC">
        <w:t xml:space="preserve"> </w:t>
      </w:r>
      <w:r w:rsidR="00D3677E">
        <w:t xml:space="preserve">incentive </w:t>
      </w:r>
      <w:r w:rsidR="00BD7A36">
        <w:t xml:space="preserve">is </w:t>
      </w:r>
      <w:r w:rsidR="00A81090">
        <w:t xml:space="preserve">provided to the customer at the time of sale </w:t>
      </w:r>
      <w:r w:rsidR="00D600EE">
        <w:t>or after</w:t>
      </w:r>
      <w:r w:rsidR="00A81090">
        <w:t xml:space="preserve"> installation upon receipt of </w:t>
      </w:r>
      <w:r w:rsidR="00D3677E">
        <w:t>requisite documentation (customer location</w:t>
      </w:r>
      <w:r w:rsidR="00A81090">
        <w:t>, application, invoice</w:t>
      </w:r>
      <w:r w:rsidR="00D3677E">
        <w:t>)</w:t>
      </w:r>
      <w:r w:rsidR="00A81090" w:rsidRPr="7E9E03BC">
        <w:t xml:space="preserve">. </w:t>
      </w:r>
      <w:r w:rsidR="00DE598A">
        <w:t xml:space="preserve">The midstream offering offers an incentive to the contractor or distributor to promote the efficient measure. </w:t>
      </w:r>
    </w:p>
    <w:p w14:paraId="4065FDEC" w14:textId="77777777" w:rsidR="0014675D" w:rsidRDefault="0014675D" w:rsidP="00A81090">
      <w:pPr>
        <w:pStyle w:val="NoSpacing"/>
      </w:pPr>
    </w:p>
    <w:p w14:paraId="18D5D3B2" w14:textId="5177110D" w:rsidR="00A81090" w:rsidRDefault="00A81090" w:rsidP="35ED749D">
      <w:pPr>
        <w:pStyle w:val="NoSpacing"/>
      </w:pPr>
      <w:r>
        <w:t xml:space="preserve">This measure is applicable to any commercial </w:t>
      </w:r>
      <w:r w:rsidR="00D3677E">
        <w:t xml:space="preserve">foodservice </w:t>
      </w:r>
      <w:r>
        <w:t xml:space="preserve">application including (but not limited to) </w:t>
      </w:r>
      <w:r w:rsidR="00D3677E">
        <w:t>full</w:t>
      </w:r>
      <w:r w:rsidR="0040321F">
        <w:t>-</w:t>
      </w:r>
      <w:r w:rsidR="00D3677E">
        <w:t xml:space="preserve">service </w:t>
      </w:r>
      <w:r>
        <w:t>and quick</w:t>
      </w:r>
      <w:r w:rsidR="0040321F">
        <w:t>-</w:t>
      </w:r>
      <w:r>
        <w:t>service restaurants, hotels, motels, schools, colleges</w:t>
      </w:r>
      <w:r w:rsidR="00D3677E">
        <w:t>,</w:t>
      </w:r>
      <w:r>
        <w:t xml:space="preserve"> </w:t>
      </w:r>
      <w:r w:rsidR="00D3677E">
        <w:t>cafeterias, healthcare, correctional facilities, military</w:t>
      </w:r>
      <w:r w:rsidR="0040321F">
        <w:t>,</w:t>
      </w:r>
      <w:r w:rsidR="00D3677E">
        <w:t xml:space="preserve"> </w:t>
      </w:r>
      <w:r>
        <w:t>and recreational facilities.</w:t>
      </w:r>
    </w:p>
    <w:p w14:paraId="268F0F67" w14:textId="77777777" w:rsidR="002F05CE" w:rsidRPr="00920905" w:rsidRDefault="002F05CE" w:rsidP="00A81090">
      <w:pPr>
        <w:pStyle w:val="NoSpacing"/>
      </w:pPr>
    </w:p>
    <w:p w14:paraId="5E271945" w14:textId="77777777" w:rsidR="00E16609" w:rsidRPr="00500C4E" w:rsidRDefault="00E16609" w:rsidP="00C76EB4">
      <w:pPr>
        <w:pStyle w:val="Heading2"/>
        <w:spacing w:after="0"/>
        <w:rPr>
          <w:rFonts w:asciiTheme="minorHAnsi" w:hAnsiTheme="minorHAnsi"/>
        </w:rPr>
      </w:pPr>
      <w:r w:rsidRPr="00500C4E">
        <w:rPr>
          <w:rFonts w:asciiTheme="minorHAnsi" w:hAnsiTheme="minorHAnsi"/>
        </w:rPr>
        <w:lastRenderedPageBreak/>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1D016275" w14:textId="01ADD7F2" w:rsidR="007552AB" w:rsidRDefault="00A81090" w:rsidP="00C76EB4">
      <w:pPr>
        <w:pStyle w:val="Heading2"/>
        <w:spacing w:before="0"/>
        <w:rPr>
          <w:rFonts w:asciiTheme="minorHAnsi" w:hAnsiTheme="minorHAnsi" w:cstheme="minorHAnsi"/>
          <w:b w:val="0"/>
          <w:bCs w:val="0"/>
          <w:iCs w:val="0"/>
          <w:smallCaps w:val="0"/>
          <w:sz w:val="22"/>
          <w:szCs w:val="22"/>
        </w:rPr>
      </w:pPr>
      <w:r w:rsidRPr="00A81090">
        <w:rPr>
          <w:rFonts w:asciiTheme="minorHAnsi" w:hAnsiTheme="minorHAnsi" w:cstheme="minorHAnsi"/>
          <w:b w:val="0"/>
          <w:bCs w:val="0"/>
          <w:iCs w:val="0"/>
          <w:smallCaps w:val="0"/>
          <w:sz w:val="22"/>
          <w:szCs w:val="22"/>
        </w:rPr>
        <w:t>Pre-rinse spray valves (PRSV), also referred to as spray nozzles or spray heads</w:t>
      </w:r>
      <w:r w:rsidR="002F05CE">
        <w:rPr>
          <w:rFonts w:asciiTheme="minorHAnsi" w:hAnsiTheme="minorHAnsi" w:cstheme="minorHAnsi"/>
          <w:b w:val="0"/>
          <w:bCs w:val="0"/>
          <w:iCs w:val="0"/>
          <w:smallCaps w:val="0"/>
          <w:sz w:val="22"/>
          <w:szCs w:val="22"/>
        </w:rPr>
        <w:t>,</w:t>
      </w:r>
      <w:r w:rsidRPr="00A81090">
        <w:rPr>
          <w:rFonts w:asciiTheme="minorHAnsi" w:hAnsiTheme="minorHAnsi" w:cstheme="minorHAnsi"/>
          <w:b w:val="0"/>
          <w:bCs w:val="0"/>
          <w:iCs w:val="0"/>
          <w:smallCaps w:val="0"/>
          <w:sz w:val="22"/>
          <w:szCs w:val="22"/>
        </w:rPr>
        <w:t xml:space="preserve"> are used in various food service applications such as restaurants and cafeterias to remove loose food and debris from plates and other </w:t>
      </w:r>
      <w:r w:rsidR="006773C7" w:rsidRPr="00A81090">
        <w:rPr>
          <w:rFonts w:asciiTheme="minorHAnsi" w:hAnsiTheme="minorHAnsi" w:cstheme="minorHAnsi"/>
          <w:b w:val="0"/>
          <w:bCs w:val="0"/>
          <w:iCs w:val="0"/>
          <w:smallCaps w:val="0"/>
          <w:sz w:val="22"/>
          <w:szCs w:val="22"/>
        </w:rPr>
        <w:t>dish</w:t>
      </w:r>
      <w:r w:rsidR="006773C7">
        <w:rPr>
          <w:rFonts w:asciiTheme="minorHAnsi" w:hAnsiTheme="minorHAnsi" w:cstheme="minorHAnsi"/>
          <w:b w:val="0"/>
          <w:bCs w:val="0"/>
          <w:iCs w:val="0"/>
          <w:smallCaps w:val="0"/>
          <w:sz w:val="22"/>
          <w:szCs w:val="22"/>
        </w:rPr>
        <w:t>ware</w:t>
      </w:r>
      <w:r w:rsidR="006773C7" w:rsidRPr="00A81090">
        <w:rPr>
          <w:rFonts w:asciiTheme="minorHAnsi" w:hAnsiTheme="minorHAnsi" w:cstheme="minorHAnsi"/>
          <w:b w:val="0"/>
          <w:bCs w:val="0"/>
          <w:iCs w:val="0"/>
          <w:smallCaps w:val="0"/>
          <w:sz w:val="22"/>
          <w:szCs w:val="22"/>
        </w:rPr>
        <w:t xml:space="preserve"> </w:t>
      </w:r>
      <w:r w:rsidRPr="00A81090">
        <w:rPr>
          <w:rFonts w:asciiTheme="minorHAnsi" w:hAnsiTheme="minorHAnsi" w:cstheme="minorHAnsi"/>
          <w:b w:val="0"/>
          <w:bCs w:val="0"/>
          <w:iCs w:val="0"/>
          <w:smallCaps w:val="0"/>
          <w:sz w:val="22"/>
          <w:szCs w:val="22"/>
        </w:rPr>
        <w:t>prior to loading in</w:t>
      </w:r>
      <w:r w:rsidR="002F05CE">
        <w:rPr>
          <w:rFonts w:asciiTheme="minorHAnsi" w:hAnsiTheme="minorHAnsi" w:cstheme="minorHAnsi"/>
          <w:b w:val="0"/>
          <w:bCs w:val="0"/>
          <w:iCs w:val="0"/>
          <w:smallCaps w:val="0"/>
          <w:sz w:val="22"/>
          <w:szCs w:val="22"/>
        </w:rPr>
        <w:t xml:space="preserve"> a</w:t>
      </w:r>
      <w:r w:rsidRPr="00A81090">
        <w:rPr>
          <w:rFonts w:asciiTheme="minorHAnsi" w:hAnsiTheme="minorHAnsi" w:cstheme="minorHAnsi"/>
          <w:b w:val="0"/>
          <w:bCs w:val="0"/>
          <w:iCs w:val="0"/>
          <w:smallCaps w:val="0"/>
          <w:sz w:val="22"/>
          <w:szCs w:val="22"/>
        </w:rPr>
        <w:t xml:space="preserve"> dishwas</w:t>
      </w:r>
      <w:r w:rsidR="002F05CE">
        <w:rPr>
          <w:rFonts w:asciiTheme="minorHAnsi" w:hAnsiTheme="minorHAnsi" w:cstheme="minorHAnsi"/>
          <w:b w:val="0"/>
          <w:bCs w:val="0"/>
          <w:iCs w:val="0"/>
          <w:smallCaps w:val="0"/>
          <w:sz w:val="22"/>
          <w:szCs w:val="22"/>
        </w:rPr>
        <w:t>hing machine</w:t>
      </w:r>
      <w:r w:rsidRPr="00A81090">
        <w:rPr>
          <w:rFonts w:asciiTheme="minorHAnsi" w:hAnsiTheme="minorHAnsi" w:cstheme="minorHAnsi"/>
          <w:b w:val="0"/>
          <w:bCs w:val="0"/>
          <w:iCs w:val="0"/>
          <w:smallCaps w:val="0"/>
          <w:sz w:val="22"/>
          <w:szCs w:val="22"/>
        </w:rPr>
        <w:t xml:space="preserve">. </w:t>
      </w:r>
    </w:p>
    <w:p w14:paraId="592AD5AE" w14:textId="2965B24A" w:rsidR="00A81090" w:rsidRPr="006837AB" w:rsidRDefault="007552AB" w:rsidP="00A81090">
      <w:pPr>
        <w:pStyle w:val="Heading2"/>
        <w:rPr>
          <w:rFonts w:asciiTheme="minorHAnsi" w:hAnsiTheme="minorHAnsi" w:cstheme="minorHAnsi"/>
          <w:b w:val="0"/>
          <w:bCs w:val="0"/>
          <w:iCs w:val="0"/>
          <w:smallCaps w:val="0"/>
          <w:sz w:val="22"/>
          <w:szCs w:val="22"/>
        </w:rPr>
      </w:pPr>
      <w:r w:rsidRPr="006837AB">
        <w:rPr>
          <w:rFonts w:asciiTheme="minorHAnsi" w:hAnsiTheme="minorHAnsi" w:cstheme="minorHAnsi"/>
          <w:b w:val="0"/>
          <w:bCs w:val="0"/>
          <w:iCs w:val="0"/>
          <w:smallCaps w:val="0"/>
          <w:sz w:val="22"/>
          <w:szCs w:val="22"/>
        </w:rPr>
        <w:t>ASTM F2324-</w:t>
      </w:r>
      <w:r w:rsidR="00CD1631" w:rsidRPr="006837AB">
        <w:rPr>
          <w:rFonts w:asciiTheme="minorHAnsi" w:hAnsiTheme="minorHAnsi" w:cstheme="minorHAnsi"/>
          <w:b w:val="0"/>
          <w:bCs w:val="0"/>
          <w:iCs w:val="0"/>
          <w:smallCaps w:val="0"/>
          <w:sz w:val="22"/>
          <w:szCs w:val="22"/>
        </w:rPr>
        <w:t xml:space="preserve">13 </w:t>
      </w:r>
      <w:r w:rsidRPr="006837AB">
        <w:rPr>
          <w:rFonts w:asciiTheme="minorHAnsi" w:hAnsiTheme="minorHAnsi" w:cstheme="minorHAnsi"/>
          <w:b w:val="0"/>
          <w:bCs w:val="0"/>
          <w:iCs w:val="0"/>
          <w:smallCaps w:val="0"/>
          <w:sz w:val="22"/>
          <w:szCs w:val="22"/>
        </w:rPr>
        <w:t xml:space="preserve">is the current test method </w:t>
      </w:r>
      <w:r w:rsidR="002622B8" w:rsidRPr="006837AB">
        <w:rPr>
          <w:rFonts w:asciiTheme="minorHAnsi" w:hAnsiTheme="minorHAnsi" w:cstheme="minorHAnsi"/>
          <w:b w:val="0"/>
          <w:bCs w:val="0"/>
          <w:iCs w:val="0"/>
          <w:smallCaps w:val="0"/>
          <w:sz w:val="22"/>
          <w:szCs w:val="22"/>
        </w:rPr>
        <w:t xml:space="preserve">measuring </w:t>
      </w:r>
      <w:r w:rsidRPr="006837AB">
        <w:rPr>
          <w:rFonts w:asciiTheme="minorHAnsi" w:hAnsiTheme="minorHAnsi" w:cstheme="minorHAnsi"/>
          <w:b w:val="0"/>
          <w:bCs w:val="0"/>
          <w:iCs w:val="0"/>
          <w:smallCaps w:val="0"/>
          <w:sz w:val="22"/>
          <w:szCs w:val="22"/>
        </w:rPr>
        <w:t xml:space="preserve">both flow rate in </w:t>
      </w:r>
      <w:r w:rsidR="006773C7" w:rsidRPr="006837AB">
        <w:rPr>
          <w:rFonts w:asciiTheme="minorHAnsi" w:hAnsiTheme="minorHAnsi" w:cstheme="minorHAnsi"/>
          <w:b w:val="0"/>
          <w:bCs w:val="0"/>
          <w:iCs w:val="0"/>
          <w:smallCaps w:val="0"/>
          <w:sz w:val="22"/>
          <w:szCs w:val="22"/>
        </w:rPr>
        <w:t>gpm</w:t>
      </w:r>
      <w:r w:rsidR="002622B8" w:rsidRPr="006837AB">
        <w:rPr>
          <w:rFonts w:asciiTheme="minorHAnsi" w:hAnsiTheme="minorHAnsi" w:cstheme="minorHAnsi"/>
          <w:b w:val="0"/>
          <w:bCs w:val="0"/>
          <w:iCs w:val="0"/>
          <w:smallCaps w:val="0"/>
          <w:sz w:val="22"/>
          <w:szCs w:val="22"/>
        </w:rPr>
        <w:t xml:space="preserve"> </w:t>
      </w:r>
      <w:r w:rsidRPr="006837AB">
        <w:rPr>
          <w:rFonts w:asciiTheme="minorHAnsi" w:hAnsiTheme="minorHAnsi" w:cstheme="minorHAnsi"/>
          <w:b w:val="0"/>
          <w:bCs w:val="0"/>
          <w:iCs w:val="0"/>
          <w:smallCaps w:val="0"/>
          <w:sz w:val="22"/>
          <w:szCs w:val="22"/>
        </w:rPr>
        <w:t xml:space="preserve">and </w:t>
      </w:r>
      <w:r w:rsidR="002622B8" w:rsidRPr="006837AB">
        <w:rPr>
          <w:rFonts w:asciiTheme="minorHAnsi" w:hAnsiTheme="minorHAnsi" w:cstheme="minorHAnsi"/>
          <w:b w:val="0"/>
          <w:bCs w:val="0"/>
          <w:iCs w:val="0"/>
          <w:smallCaps w:val="0"/>
          <w:sz w:val="22"/>
          <w:szCs w:val="22"/>
        </w:rPr>
        <w:t xml:space="preserve">spray </w:t>
      </w:r>
      <w:r w:rsidRPr="006837AB">
        <w:rPr>
          <w:rFonts w:asciiTheme="minorHAnsi" w:hAnsiTheme="minorHAnsi" w:cstheme="minorHAnsi"/>
          <w:b w:val="0"/>
          <w:bCs w:val="0"/>
          <w:iCs w:val="0"/>
          <w:smallCaps w:val="0"/>
          <w:sz w:val="22"/>
          <w:szCs w:val="22"/>
        </w:rPr>
        <w:t xml:space="preserve">force </w:t>
      </w:r>
      <w:r w:rsidR="006773C7" w:rsidRPr="006837AB">
        <w:rPr>
          <w:rFonts w:asciiTheme="minorHAnsi" w:hAnsiTheme="minorHAnsi" w:cstheme="minorHAnsi"/>
          <w:b w:val="0"/>
          <w:bCs w:val="0"/>
          <w:iCs w:val="0"/>
          <w:smallCaps w:val="0"/>
          <w:sz w:val="22"/>
          <w:szCs w:val="22"/>
        </w:rPr>
        <w:t>in ozf.</w:t>
      </w:r>
      <w:r w:rsidRPr="006837AB">
        <w:rPr>
          <w:rFonts w:asciiTheme="minorHAnsi" w:hAnsiTheme="minorHAnsi" w:cstheme="minorHAnsi"/>
          <w:b w:val="0"/>
          <w:bCs w:val="0"/>
          <w:iCs w:val="0"/>
          <w:smallCaps w:val="0"/>
          <w:sz w:val="22"/>
          <w:szCs w:val="22"/>
        </w:rPr>
        <w:t xml:space="preserve"> There is a relationship between force and flow</w:t>
      </w:r>
      <w:r w:rsidR="002622B8" w:rsidRPr="006837AB">
        <w:rPr>
          <w:rFonts w:asciiTheme="minorHAnsi" w:hAnsiTheme="minorHAnsi" w:cstheme="minorHAnsi"/>
          <w:b w:val="0"/>
          <w:bCs w:val="0"/>
          <w:iCs w:val="0"/>
          <w:smallCaps w:val="0"/>
          <w:sz w:val="22"/>
          <w:szCs w:val="22"/>
        </w:rPr>
        <w:t xml:space="preserve"> </w:t>
      </w:r>
      <w:r w:rsidRPr="006837AB">
        <w:rPr>
          <w:rFonts w:asciiTheme="minorHAnsi" w:hAnsiTheme="minorHAnsi" w:cstheme="minorHAnsi"/>
          <w:b w:val="0"/>
          <w:bCs w:val="0"/>
          <w:iCs w:val="0"/>
          <w:smallCaps w:val="0"/>
          <w:sz w:val="22"/>
          <w:szCs w:val="22"/>
        </w:rPr>
        <w:t>rate</w:t>
      </w:r>
      <w:r w:rsidR="002622B8" w:rsidRPr="006837AB">
        <w:rPr>
          <w:rFonts w:asciiTheme="minorHAnsi" w:hAnsiTheme="minorHAnsi" w:cstheme="minorHAnsi"/>
          <w:b w:val="0"/>
          <w:bCs w:val="0"/>
          <w:iCs w:val="0"/>
          <w:smallCaps w:val="0"/>
          <w:sz w:val="22"/>
          <w:szCs w:val="22"/>
        </w:rPr>
        <w:t xml:space="preserve">; the most </w:t>
      </w:r>
      <w:r w:rsidRPr="006837AB">
        <w:rPr>
          <w:rFonts w:asciiTheme="minorHAnsi" w:hAnsiTheme="minorHAnsi" w:cstheme="minorHAnsi"/>
          <w:b w:val="0"/>
          <w:bCs w:val="0"/>
          <w:iCs w:val="0"/>
          <w:smallCaps w:val="0"/>
          <w:sz w:val="22"/>
          <w:szCs w:val="22"/>
        </w:rPr>
        <w:t xml:space="preserve">efficient spray valves can deliver more force </w:t>
      </w:r>
      <w:r w:rsidR="002622B8" w:rsidRPr="006837AB">
        <w:rPr>
          <w:rFonts w:asciiTheme="minorHAnsi" w:hAnsiTheme="minorHAnsi" w:cstheme="minorHAnsi"/>
          <w:b w:val="0"/>
          <w:bCs w:val="0"/>
          <w:iCs w:val="0"/>
          <w:smallCaps w:val="0"/>
          <w:sz w:val="22"/>
          <w:szCs w:val="22"/>
        </w:rPr>
        <w:t xml:space="preserve">with </w:t>
      </w:r>
      <w:r w:rsidRPr="006837AB">
        <w:rPr>
          <w:rFonts w:asciiTheme="minorHAnsi" w:hAnsiTheme="minorHAnsi" w:cstheme="minorHAnsi"/>
          <w:b w:val="0"/>
          <w:bCs w:val="0"/>
          <w:iCs w:val="0"/>
          <w:smallCaps w:val="0"/>
          <w:sz w:val="22"/>
          <w:szCs w:val="22"/>
        </w:rPr>
        <w:t xml:space="preserve">less flow rate. </w:t>
      </w:r>
      <w:r w:rsidR="002A597E" w:rsidRPr="006837AB">
        <w:rPr>
          <w:rFonts w:asciiTheme="minorHAnsi" w:hAnsiTheme="minorHAnsi" w:cstheme="minorHAnsi"/>
          <w:b w:val="0"/>
          <w:bCs w:val="0"/>
          <w:iCs w:val="0"/>
          <w:smallCaps w:val="0"/>
          <w:sz w:val="22"/>
          <w:szCs w:val="22"/>
        </w:rPr>
        <w:t xml:space="preserve">As </w:t>
      </w:r>
      <w:r w:rsidR="00A81090" w:rsidRPr="006837AB">
        <w:rPr>
          <w:rFonts w:asciiTheme="minorHAnsi" w:hAnsiTheme="minorHAnsi" w:cstheme="minorHAnsi"/>
          <w:b w:val="0"/>
          <w:bCs w:val="0"/>
          <w:iCs w:val="0"/>
          <w:smallCaps w:val="0"/>
          <w:sz w:val="22"/>
          <w:szCs w:val="22"/>
        </w:rPr>
        <w:t xml:space="preserve">hot water is dispensed </w:t>
      </w:r>
      <w:r w:rsidR="002A597E" w:rsidRPr="006837AB">
        <w:rPr>
          <w:rFonts w:asciiTheme="minorHAnsi" w:hAnsiTheme="minorHAnsi" w:cstheme="minorHAnsi"/>
          <w:b w:val="0"/>
          <w:bCs w:val="0"/>
          <w:iCs w:val="0"/>
          <w:smallCaps w:val="0"/>
          <w:sz w:val="22"/>
          <w:szCs w:val="22"/>
        </w:rPr>
        <w:t>to</w:t>
      </w:r>
      <w:r w:rsidR="00A81090" w:rsidRPr="006837AB">
        <w:rPr>
          <w:rFonts w:asciiTheme="minorHAnsi" w:hAnsiTheme="minorHAnsi" w:cstheme="minorHAnsi"/>
          <w:b w:val="0"/>
          <w:bCs w:val="0"/>
          <w:iCs w:val="0"/>
          <w:smallCaps w:val="0"/>
          <w:sz w:val="22"/>
          <w:szCs w:val="22"/>
        </w:rPr>
        <w:t xml:space="preserve"> the PRSV to rinse </w:t>
      </w:r>
      <w:r w:rsidR="002A597E" w:rsidRPr="006837AB">
        <w:rPr>
          <w:rFonts w:asciiTheme="minorHAnsi" w:hAnsiTheme="minorHAnsi" w:cstheme="minorHAnsi"/>
          <w:b w:val="0"/>
          <w:bCs w:val="0"/>
          <w:iCs w:val="0"/>
          <w:smallCaps w:val="0"/>
          <w:sz w:val="22"/>
          <w:szCs w:val="22"/>
        </w:rPr>
        <w:t>dishware</w:t>
      </w:r>
      <w:r w:rsidR="00A81090" w:rsidRPr="006837AB">
        <w:rPr>
          <w:rFonts w:asciiTheme="minorHAnsi" w:hAnsiTheme="minorHAnsi" w:cstheme="minorHAnsi"/>
          <w:b w:val="0"/>
          <w:bCs w:val="0"/>
          <w:iCs w:val="0"/>
          <w:smallCaps w:val="0"/>
          <w:sz w:val="22"/>
          <w:szCs w:val="22"/>
        </w:rPr>
        <w:t xml:space="preserve"> more effectively, </w:t>
      </w:r>
      <w:r w:rsidR="002A597E" w:rsidRPr="006837AB">
        <w:rPr>
          <w:rFonts w:asciiTheme="minorHAnsi" w:hAnsiTheme="minorHAnsi" w:cstheme="minorHAnsi"/>
          <w:b w:val="0"/>
          <w:bCs w:val="0"/>
          <w:iCs w:val="0"/>
          <w:smallCaps w:val="0"/>
          <w:sz w:val="22"/>
          <w:szCs w:val="22"/>
        </w:rPr>
        <w:t xml:space="preserve">a </w:t>
      </w:r>
      <w:r w:rsidR="00A81090" w:rsidRPr="006837AB">
        <w:rPr>
          <w:rFonts w:asciiTheme="minorHAnsi" w:hAnsiTheme="minorHAnsi" w:cstheme="minorHAnsi"/>
          <w:b w:val="0"/>
          <w:bCs w:val="0"/>
          <w:iCs w:val="0"/>
          <w:smallCaps w:val="0"/>
          <w:sz w:val="22"/>
          <w:szCs w:val="22"/>
        </w:rPr>
        <w:t>reduction in flow rate results in energy and water savings.</w:t>
      </w:r>
    </w:p>
    <w:p w14:paraId="5B54505F" w14:textId="77777777" w:rsidR="007552AB" w:rsidRPr="002C58D0" w:rsidRDefault="007552AB" w:rsidP="007552AB">
      <w:pPr>
        <w:rPr>
          <w:highlight w:val="yellow"/>
        </w:rPr>
      </w:pPr>
    </w:p>
    <w:p w14:paraId="4C9C3663" w14:textId="12624CB7" w:rsidR="007552AB" w:rsidRDefault="007552AB" w:rsidP="007552AB">
      <w:r w:rsidRPr="006837AB">
        <w:t xml:space="preserve">The inclusion of the </w:t>
      </w:r>
      <w:r w:rsidR="0075281D" w:rsidRPr="006837AB">
        <w:t xml:space="preserve">spray </w:t>
      </w:r>
      <w:r w:rsidRPr="006837AB">
        <w:t xml:space="preserve">force test led to the separation of </w:t>
      </w:r>
      <w:r w:rsidR="0075281D" w:rsidRPr="006837AB">
        <w:t xml:space="preserve">pre-rinse </w:t>
      </w:r>
      <w:r w:rsidRPr="006837AB">
        <w:t xml:space="preserve">spray valves into two categories: </w:t>
      </w:r>
      <w:r w:rsidR="005C711F" w:rsidRPr="006837AB">
        <w:t xml:space="preserve">units </w:t>
      </w:r>
      <w:r w:rsidRPr="006837AB">
        <w:t xml:space="preserve">delivering less than 5 ozf </w:t>
      </w:r>
      <w:r w:rsidR="00D3677E" w:rsidRPr="006837AB">
        <w:t>an</w:t>
      </w:r>
      <w:r w:rsidR="005C711F" w:rsidRPr="006837AB">
        <w:t>d</w:t>
      </w:r>
      <w:r w:rsidR="00D3677E" w:rsidRPr="006837AB">
        <w:t xml:space="preserve"> those delivering greater than 5 ozf</w:t>
      </w:r>
      <w:r w:rsidRPr="006837AB">
        <w:t>. The maximum flow</w:t>
      </w:r>
      <w:r w:rsidR="0075281D" w:rsidRPr="006837AB">
        <w:t xml:space="preserve"> </w:t>
      </w:r>
      <w:r w:rsidRPr="006837AB">
        <w:t xml:space="preserve">rate requirements </w:t>
      </w:r>
      <w:r w:rsidR="003134BA" w:rsidRPr="006837AB">
        <w:t>depend on spray force</w:t>
      </w:r>
      <w:r w:rsidRPr="006837AB">
        <w:t>. The 2019 D</w:t>
      </w:r>
      <w:r w:rsidR="00036926" w:rsidRPr="006837AB">
        <w:t>epartment of Energy (DOE)</w:t>
      </w:r>
      <w:r w:rsidRPr="006837AB">
        <w:t xml:space="preserve"> Federal Minimum Standard</w:t>
      </w:r>
      <w:bookmarkStart w:id="9" w:name="_Ref525293020"/>
      <w:r w:rsidR="005A7A38" w:rsidRPr="006837AB">
        <w:rPr>
          <w:rStyle w:val="EndnoteReference"/>
        </w:rPr>
        <w:endnoteReference w:id="3"/>
      </w:r>
      <w:bookmarkEnd w:id="9"/>
      <w:r w:rsidRPr="006837AB">
        <w:t xml:space="preserve"> </w:t>
      </w:r>
      <w:r w:rsidR="0075281D" w:rsidRPr="006837AB">
        <w:t xml:space="preserve">specifies </w:t>
      </w:r>
      <w:r w:rsidRPr="006837AB">
        <w:t>a maximum flow rate of 1.00</w:t>
      </w:r>
      <w:r w:rsidR="00850A67" w:rsidRPr="006837AB">
        <w:t xml:space="preserve"> gpm</w:t>
      </w:r>
      <w:r w:rsidRPr="006837AB">
        <w:t xml:space="preserve"> for spray valves delivering less than 5.0</w:t>
      </w:r>
      <w:r w:rsidR="00850A67" w:rsidRPr="006837AB">
        <w:t xml:space="preserve"> </w:t>
      </w:r>
      <w:r w:rsidRPr="006837AB">
        <w:t>ozf</w:t>
      </w:r>
      <w:r w:rsidR="00850A67" w:rsidRPr="006837AB">
        <w:t>, 1.20</w:t>
      </w:r>
      <w:r w:rsidR="0075281D" w:rsidRPr="006837AB">
        <w:t xml:space="preserve"> gpm</w:t>
      </w:r>
      <w:r w:rsidR="00850A67" w:rsidRPr="006837AB">
        <w:t xml:space="preserve"> for 5.0</w:t>
      </w:r>
      <w:r w:rsidR="004820BE" w:rsidRPr="006837AB">
        <w:t xml:space="preserve"> – </w:t>
      </w:r>
      <w:r w:rsidR="00850A67" w:rsidRPr="006837AB">
        <w:t xml:space="preserve">8.0 ozf, and 1.28 gpm for more than 8.0 ozf. Spray valves under 4 ozf are considered </w:t>
      </w:r>
      <w:r w:rsidR="003134BA" w:rsidRPr="006837AB">
        <w:t>in</w:t>
      </w:r>
      <w:r w:rsidR="00D3677E" w:rsidRPr="006837AB">
        <w:t xml:space="preserve">effective </w:t>
      </w:r>
      <w:r w:rsidR="00850A67" w:rsidRPr="006837AB">
        <w:t xml:space="preserve">for most commercial foodservice applications and valves over 8 ozf are considered </w:t>
      </w:r>
      <w:r w:rsidR="0075281D" w:rsidRPr="006837AB">
        <w:t xml:space="preserve">too </w:t>
      </w:r>
      <w:r w:rsidR="00850A67" w:rsidRPr="006837AB">
        <w:t xml:space="preserve">powerful for </w:t>
      </w:r>
      <w:r w:rsidR="00D3677E" w:rsidRPr="006837AB">
        <w:t xml:space="preserve">effective use in commercial </w:t>
      </w:r>
      <w:r w:rsidR="00850A67" w:rsidRPr="006837AB">
        <w:t xml:space="preserve">foodservice dish washing applications. </w:t>
      </w:r>
      <w:r w:rsidR="006837AB">
        <w:t>T</w:t>
      </w:r>
      <w:r w:rsidR="003134BA" w:rsidRPr="006837AB">
        <w:t xml:space="preserve">his work paper separates pre-rinse spray valves into two categories: units with spray force </w:t>
      </w:r>
      <w:r w:rsidR="00014A79">
        <w:t xml:space="preserve">less than </w:t>
      </w:r>
      <w:r w:rsidR="003134BA" w:rsidRPr="006837AB">
        <w:t>5.0 ozf and those with spray force greater than 5.0 ozf.</w:t>
      </w:r>
    </w:p>
    <w:p w14:paraId="53985553" w14:textId="160E40E0" w:rsidR="006837AB" w:rsidRDefault="006837AB" w:rsidP="007552AB"/>
    <w:p w14:paraId="3BDB7E2F" w14:textId="4243C056" w:rsidR="006837AB" w:rsidRPr="007552AB" w:rsidRDefault="006837AB" w:rsidP="007552AB">
      <w:r>
        <w:t xml:space="preserve">For simplicity, </w:t>
      </w:r>
      <w:r w:rsidR="00B62571">
        <w:t xml:space="preserve">this measure will require </w:t>
      </w:r>
      <w:r>
        <w:t xml:space="preserve">compliance with the above Federal Minimum Standard </w:t>
      </w:r>
      <w:r w:rsidR="00B62571">
        <w:t>as</w:t>
      </w:r>
      <w:r>
        <w:t xml:space="preserve"> a prerequisite</w:t>
      </w:r>
      <w:r w:rsidR="00B62571">
        <w:t xml:space="preserve">, while measure criteria will be based </w:t>
      </w:r>
      <w:r w:rsidR="00C97C40">
        <w:t xml:space="preserve">exclusively on flow rate </w:t>
      </w:r>
      <w:r>
        <w:t>split into two categories: pre-rinse units with flow rates &lt; 0.75 gpm and those with flow rates between 0.75 gpm – 1.07 gpm.</w:t>
      </w:r>
    </w:p>
    <w:p w14:paraId="1FDF40B2" w14:textId="0255350A" w:rsidR="00697868" w:rsidRPr="00500C4E" w:rsidRDefault="00697868" w:rsidP="00C76EB4">
      <w:pPr>
        <w:pStyle w:val="Heading2"/>
        <w:spacing w:after="0"/>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0A6107E9" w14:textId="7EA8CA3D" w:rsidR="00185DC9" w:rsidRDefault="00E9099D" w:rsidP="00E9099D">
      <w:pPr>
        <w:pStyle w:val="Reminders"/>
        <w:tabs>
          <w:tab w:val="num" w:pos="360"/>
        </w:tabs>
        <w:rPr>
          <w:rFonts w:asciiTheme="minorHAnsi" w:hAnsiTheme="minorHAnsi" w:cstheme="minorHAnsi"/>
          <w:i w:val="0"/>
          <w:color w:val="auto"/>
          <w:szCs w:val="22"/>
        </w:rPr>
      </w:pPr>
      <w:r w:rsidRPr="00E9099D">
        <w:rPr>
          <w:rFonts w:asciiTheme="minorHAnsi" w:hAnsiTheme="minorHAnsi" w:cstheme="minorHAnsi"/>
          <w:i w:val="0"/>
          <w:color w:val="auto"/>
          <w:szCs w:val="22"/>
        </w:rPr>
        <w:t xml:space="preserve">Spray valves replaced through this </w:t>
      </w:r>
      <w:r w:rsidR="00185DC9">
        <w:rPr>
          <w:rFonts w:asciiTheme="minorHAnsi" w:hAnsiTheme="minorHAnsi" w:cstheme="minorHAnsi"/>
          <w:i w:val="0"/>
          <w:color w:val="auto"/>
          <w:szCs w:val="22"/>
        </w:rPr>
        <w:t>r</w:t>
      </w:r>
      <w:r w:rsidR="00185DC9" w:rsidRPr="00E9099D">
        <w:rPr>
          <w:rFonts w:asciiTheme="minorHAnsi" w:hAnsiTheme="minorHAnsi" w:cstheme="minorHAnsi"/>
          <w:i w:val="0"/>
          <w:color w:val="auto"/>
          <w:szCs w:val="22"/>
        </w:rPr>
        <w:t xml:space="preserve">ebate </w:t>
      </w:r>
      <w:r w:rsidRPr="00E9099D">
        <w:rPr>
          <w:rFonts w:asciiTheme="minorHAnsi" w:hAnsiTheme="minorHAnsi" w:cstheme="minorHAnsi"/>
          <w:i w:val="0"/>
          <w:color w:val="auto"/>
          <w:szCs w:val="22"/>
        </w:rPr>
        <w:t xml:space="preserve">or </w:t>
      </w:r>
      <w:r w:rsidR="00185DC9">
        <w:rPr>
          <w:rFonts w:asciiTheme="minorHAnsi" w:hAnsiTheme="minorHAnsi" w:cstheme="minorHAnsi"/>
          <w:i w:val="0"/>
          <w:color w:val="auto"/>
          <w:szCs w:val="22"/>
        </w:rPr>
        <w:t>d</w:t>
      </w:r>
      <w:r w:rsidR="00185DC9" w:rsidRPr="00E9099D">
        <w:rPr>
          <w:rFonts w:asciiTheme="minorHAnsi" w:hAnsiTheme="minorHAnsi" w:cstheme="minorHAnsi"/>
          <w:i w:val="0"/>
          <w:color w:val="auto"/>
          <w:szCs w:val="22"/>
        </w:rPr>
        <w:t xml:space="preserve">irect </w:t>
      </w:r>
      <w:r w:rsidR="00185DC9">
        <w:rPr>
          <w:rFonts w:asciiTheme="minorHAnsi" w:hAnsiTheme="minorHAnsi" w:cstheme="minorHAnsi"/>
          <w:i w:val="0"/>
          <w:color w:val="auto"/>
          <w:szCs w:val="22"/>
        </w:rPr>
        <w:t>i</w:t>
      </w:r>
      <w:r w:rsidR="00185DC9" w:rsidRPr="00E9099D">
        <w:rPr>
          <w:rFonts w:asciiTheme="minorHAnsi" w:hAnsiTheme="minorHAnsi" w:cstheme="minorHAnsi"/>
          <w:i w:val="0"/>
          <w:color w:val="auto"/>
          <w:szCs w:val="22"/>
        </w:rPr>
        <w:t xml:space="preserve">nstall </w:t>
      </w:r>
      <w:r w:rsidR="00185DC9">
        <w:rPr>
          <w:rFonts w:asciiTheme="minorHAnsi" w:hAnsiTheme="minorHAnsi" w:cstheme="minorHAnsi"/>
          <w:i w:val="0"/>
          <w:color w:val="auto"/>
          <w:szCs w:val="22"/>
        </w:rPr>
        <w:t>p</w:t>
      </w:r>
      <w:r w:rsidR="00185DC9" w:rsidRPr="00E9099D">
        <w:rPr>
          <w:rFonts w:asciiTheme="minorHAnsi" w:hAnsiTheme="minorHAnsi" w:cstheme="minorHAnsi"/>
          <w:i w:val="0"/>
          <w:color w:val="auto"/>
          <w:szCs w:val="22"/>
        </w:rPr>
        <w:t xml:space="preserve">rogram </w:t>
      </w:r>
      <w:r w:rsidRPr="00E9099D">
        <w:rPr>
          <w:rFonts w:asciiTheme="minorHAnsi" w:hAnsiTheme="minorHAnsi" w:cstheme="minorHAnsi"/>
          <w:i w:val="0"/>
          <w:color w:val="auto"/>
          <w:szCs w:val="22"/>
        </w:rPr>
        <w:t xml:space="preserve">are at the end of their effective useful life. As stated in the EM&amp;V studies conducted on PRSVs, </w:t>
      </w:r>
      <w:r w:rsidRPr="00C76EB4">
        <w:rPr>
          <w:rFonts w:asciiTheme="minorHAnsi" w:hAnsiTheme="minorHAnsi" w:cstheme="minorHAnsi"/>
          <w:color w:val="auto"/>
          <w:szCs w:val="22"/>
        </w:rPr>
        <w:t>Pre-Rinse Spray Valve Programs: How Are They Really Doing?</w:t>
      </w:r>
      <w:bookmarkStart w:id="10" w:name="_Ref525301883"/>
      <w:r w:rsidR="00313E1E">
        <w:rPr>
          <w:rStyle w:val="EndnoteReference"/>
          <w:rFonts w:asciiTheme="minorHAnsi" w:hAnsiTheme="minorHAnsi" w:cstheme="minorHAnsi"/>
          <w:i w:val="0"/>
          <w:color w:val="auto"/>
          <w:szCs w:val="22"/>
        </w:rPr>
        <w:endnoteReference w:id="4"/>
      </w:r>
      <w:bookmarkEnd w:id="10"/>
      <w:r w:rsidR="0075281D" w:rsidRPr="00E9099D">
        <w:rPr>
          <w:rFonts w:asciiTheme="minorHAnsi" w:hAnsiTheme="minorHAnsi" w:cstheme="minorHAnsi"/>
          <w:i w:val="0"/>
          <w:color w:val="auto"/>
          <w:szCs w:val="22"/>
        </w:rPr>
        <w:t>,</w:t>
      </w:r>
      <w:r w:rsidR="0075281D">
        <w:rPr>
          <w:rFonts w:asciiTheme="minorHAnsi" w:hAnsiTheme="minorHAnsi" w:cstheme="minorHAnsi"/>
          <w:i w:val="0"/>
          <w:color w:val="auto"/>
          <w:szCs w:val="22"/>
        </w:rPr>
        <w:t xml:space="preserve"> </w:t>
      </w:r>
      <w:r w:rsidRPr="00E9099D">
        <w:rPr>
          <w:rFonts w:asciiTheme="minorHAnsi" w:hAnsiTheme="minorHAnsi" w:cstheme="minorHAnsi"/>
          <w:i w:val="0"/>
          <w:color w:val="auto"/>
          <w:szCs w:val="22"/>
        </w:rPr>
        <w:t>the effective useful life of PRSVs is five years. The last California Urban Water Conservation Council (CUWCC) Pre-Rinse Spray Head Distribution Program</w:t>
      </w:r>
      <w:bookmarkStart w:id="11" w:name="_Ref525292890"/>
      <w:r w:rsidR="008D12E0">
        <w:rPr>
          <w:rStyle w:val="EndnoteReference"/>
          <w:rFonts w:asciiTheme="minorHAnsi" w:hAnsiTheme="minorHAnsi" w:cstheme="minorHAnsi"/>
          <w:i w:val="0"/>
          <w:color w:val="auto"/>
          <w:szCs w:val="22"/>
        </w:rPr>
        <w:endnoteReference w:id="5"/>
      </w:r>
      <w:bookmarkEnd w:id="11"/>
      <w:r w:rsidRPr="00E9099D">
        <w:rPr>
          <w:rFonts w:asciiTheme="minorHAnsi" w:hAnsiTheme="minorHAnsi" w:cstheme="minorHAnsi"/>
          <w:i w:val="0"/>
          <w:color w:val="auto"/>
          <w:szCs w:val="22"/>
        </w:rPr>
        <w:t xml:space="preserve"> was completed </w:t>
      </w:r>
      <w:r w:rsidR="0075281D">
        <w:rPr>
          <w:rFonts w:asciiTheme="minorHAnsi" w:hAnsiTheme="minorHAnsi" w:cstheme="minorHAnsi"/>
          <w:i w:val="0"/>
          <w:color w:val="auto"/>
          <w:szCs w:val="22"/>
        </w:rPr>
        <w:t xml:space="preserve">in </w:t>
      </w:r>
      <w:r w:rsidRPr="00E9099D">
        <w:rPr>
          <w:rFonts w:asciiTheme="minorHAnsi" w:hAnsiTheme="minorHAnsi" w:cstheme="minorHAnsi"/>
          <w:i w:val="0"/>
          <w:color w:val="auto"/>
          <w:szCs w:val="22"/>
        </w:rPr>
        <w:t xml:space="preserve">2006 with many of those pre-rinse </w:t>
      </w:r>
      <w:r w:rsidR="0075281D">
        <w:rPr>
          <w:rFonts w:asciiTheme="minorHAnsi" w:hAnsiTheme="minorHAnsi" w:cstheme="minorHAnsi"/>
          <w:i w:val="0"/>
          <w:color w:val="auto"/>
          <w:szCs w:val="22"/>
        </w:rPr>
        <w:t xml:space="preserve">spray </w:t>
      </w:r>
      <w:r w:rsidRPr="00E9099D">
        <w:rPr>
          <w:rFonts w:asciiTheme="minorHAnsi" w:hAnsiTheme="minorHAnsi" w:cstheme="minorHAnsi"/>
          <w:i w:val="0"/>
          <w:color w:val="auto"/>
          <w:szCs w:val="22"/>
        </w:rPr>
        <w:t xml:space="preserve">valves still installed in the field. </w:t>
      </w:r>
    </w:p>
    <w:p w14:paraId="0C093482" w14:textId="77777777" w:rsidR="00185DC9" w:rsidRDefault="00185DC9" w:rsidP="00E9099D">
      <w:pPr>
        <w:pStyle w:val="Reminders"/>
        <w:tabs>
          <w:tab w:val="num" w:pos="360"/>
        </w:tabs>
        <w:rPr>
          <w:rFonts w:asciiTheme="minorHAnsi" w:hAnsiTheme="minorHAnsi" w:cstheme="minorHAnsi"/>
          <w:i w:val="0"/>
          <w:color w:val="auto"/>
          <w:szCs w:val="22"/>
        </w:rPr>
      </w:pPr>
    </w:p>
    <w:p w14:paraId="4E19867D" w14:textId="4DABB2C8" w:rsidR="00CE7C26" w:rsidRPr="00E9099D" w:rsidRDefault="00CE7C26" w:rsidP="00E9099D">
      <w:pPr>
        <w:pStyle w:val="Reminders"/>
        <w:tabs>
          <w:tab w:val="num" w:pos="360"/>
        </w:tabs>
        <w:rPr>
          <w:rFonts w:asciiTheme="minorHAnsi" w:hAnsiTheme="minorHAnsi" w:cstheme="minorHAnsi"/>
          <w:i w:val="0"/>
          <w:color w:val="auto"/>
          <w:szCs w:val="22"/>
        </w:rPr>
      </w:pPr>
      <w:r w:rsidRPr="00E9099D">
        <w:rPr>
          <w:rFonts w:asciiTheme="minorHAnsi" w:hAnsiTheme="minorHAnsi" w:cstheme="minorHAnsi"/>
          <w:i w:val="0"/>
          <w:color w:val="auto"/>
          <w:szCs w:val="22"/>
        </w:rPr>
        <w:t xml:space="preserve">This measure </w:t>
      </w:r>
      <w:r>
        <w:rPr>
          <w:rFonts w:asciiTheme="minorHAnsi" w:hAnsiTheme="minorHAnsi" w:cstheme="minorHAnsi"/>
          <w:i w:val="0"/>
          <w:color w:val="auto"/>
          <w:szCs w:val="22"/>
        </w:rPr>
        <w:t>focuses</w:t>
      </w:r>
      <w:r w:rsidRPr="00E9099D">
        <w:rPr>
          <w:rFonts w:asciiTheme="minorHAnsi" w:hAnsiTheme="minorHAnsi" w:cstheme="minorHAnsi"/>
          <w:i w:val="0"/>
          <w:color w:val="auto"/>
          <w:szCs w:val="22"/>
        </w:rPr>
        <w:t xml:space="preserve"> on </w:t>
      </w:r>
      <w:r w:rsidR="00FF6DB9">
        <w:rPr>
          <w:rFonts w:asciiTheme="minorHAnsi" w:hAnsiTheme="minorHAnsi" w:cstheme="minorHAnsi"/>
          <w:i w:val="0"/>
          <w:color w:val="auto"/>
          <w:szCs w:val="22"/>
        </w:rPr>
        <w:t>NR</w:t>
      </w:r>
      <w:r w:rsidRPr="00E9099D">
        <w:rPr>
          <w:rFonts w:asciiTheme="minorHAnsi" w:hAnsiTheme="minorHAnsi" w:cstheme="minorHAnsi"/>
          <w:i w:val="0"/>
          <w:color w:val="auto"/>
          <w:szCs w:val="22"/>
        </w:rPr>
        <w:t xml:space="preserve"> and NC applications only.</w:t>
      </w:r>
    </w:p>
    <w:p w14:paraId="71F1DD23" w14:textId="77777777" w:rsidR="00E9099D" w:rsidRPr="00E9099D" w:rsidRDefault="00E9099D" w:rsidP="00697868">
      <w:pPr>
        <w:pStyle w:val="Reminders"/>
        <w:tabs>
          <w:tab w:val="num" w:pos="360"/>
        </w:tabs>
        <w:rPr>
          <w:rFonts w:asciiTheme="minorHAnsi" w:hAnsiTheme="minorHAnsi" w:cstheme="minorHAnsi"/>
          <w:i w:val="0"/>
          <w:color w:val="auto"/>
          <w:szCs w:val="22"/>
        </w:rPr>
      </w:pPr>
    </w:p>
    <w:p w14:paraId="66BD7C4D" w14:textId="34F3C3EE" w:rsidR="001B2301" w:rsidRPr="00920905" w:rsidRDefault="00C05AAF" w:rsidP="005475C8">
      <w:pPr>
        <w:pStyle w:val="Caption"/>
        <w:rPr>
          <w:rFonts w:cstheme="minorHAnsi"/>
          <w:b w:val="0"/>
          <w:i/>
        </w:rPr>
      </w:pPr>
      <w:r w:rsidRPr="005475C8">
        <w:t>Installation Type</w:t>
      </w:r>
      <w:r w:rsidR="002469DD" w:rsidRPr="005475C8">
        <w:t xml:space="preserve"> </w:t>
      </w:r>
      <w:r w:rsidR="006F1B21" w:rsidRPr="005475C8">
        <w:t>D</w:t>
      </w:r>
      <w:r w:rsidR="002469DD" w:rsidRPr="005475C8">
        <w:t>escription</w:t>
      </w:r>
      <w:r w:rsidR="006F1B21" w:rsidRPr="005475C8">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3A3D6C5C" w14:textId="77777777" w:rsidTr="00920905">
        <w:trPr>
          <w:trHeight w:val="20"/>
        </w:trPr>
        <w:tc>
          <w:tcPr>
            <w:tcW w:w="1778" w:type="pct"/>
            <w:vMerge w:val="restart"/>
            <w:shd w:val="clear" w:color="auto" w:fill="D9D9D9" w:themeFill="background1" w:themeFillShade="D9"/>
          </w:tcPr>
          <w:p w14:paraId="0E568818"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28AFA656"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758CEBC2" w14:textId="77777777" w:rsidR="006F1B21" w:rsidRPr="00920905" w:rsidRDefault="006F1B21" w:rsidP="001B2301">
            <w:pPr>
              <w:rPr>
                <w:b/>
                <w:sz w:val="18"/>
                <w:szCs w:val="18"/>
              </w:rPr>
            </w:pPr>
            <w:r w:rsidRPr="00920905">
              <w:rPr>
                <w:b/>
                <w:sz w:val="18"/>
                <w:szCs w:val="18"/>
              </w:rPr>
              <w:t>Life</w:t>
            </w:r>
          </w:p>
        </w:tc>
      </w:tr>
      <w:tr w:rsidR="006F1B21" w:rsidRPr="00500C4E" w14:paraId="5CD53758" w14:textId="77777777" w:rsidTr="006F1B21">
        <w:trPr>
          <w:trHeight w:val="20"/>
        </w:trPr>
        <w:tc>
          <w:tcPr>
            <w:tcW w:w="1778" w:type="pct"/>
            <w:vMerge/>
            <w:shd w:val="clear" w:color="auto" w:fill="D9D9D9" w:themeFill="background1" w:themeFillShade="D9"/>
          </w:tcPr>
          <w:p w14:paraId="6172DB10" w14:textId="77777777" w:rsidR="006F1B21" w:rsidRPr="00500C4E" w:rsidRDefault="006F1B21" w:rsidP="001B2301">
            <w:pPr>
              <w:rPr>
                <w:sz w:val="18"/>
                <w:szCs w:val="18"/>
              </w:rPr>
            </w:pPr>
          </w:p>
        </w:tc>
        <w:tc>
          <w:tcPr>
            <w:tcW w:w="1107" w:type="pct"/>
            <w:shd w:val="clear" w:color="auto" w:fill="F2F2F2" w:themeFill="background1" w:themeFillShade="F2"/>
          </w:tcPr>
          <w:p w14:paraId="0E4AE642"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6A70259A"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B5F648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45A16CBC"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A3227A1" w14:textId="77777777" w:rsidTr="006F1B21">
        <w:trPr>
          <w:trHeight w:val="20"/>
        </w:trPr>
        <w:tc>
          <w:tcPr>
            <w:tcW w:w="1778" w:type="pct"/>
          </w:tcPr>
          <w:p w14:paraId="7AB91D02" w14:textId="4EF6942C" w:rsidR="006F1B21" w:rsidRPr="00500C4E" w:rsidRDefault="00FF6DB9">
            <w:pPr>
              <w:rPr>
                <w:sz w:val="18"/>
                <w:szCs w:val="18"/>
              </w:rPr>
            </w:pPr>
            <w:r>
              <w:rPr>
                <w:sz w:val="18"/>
                <w:szCs w:val="18"/>
              </w:rPr>
              <w:t>Normal Replacement (NR)</w:t>
            </w:r>
          </w:p>
        </w:tc>
        <w:tc>
          <w:tcPr>
            <w:tcW w:w="1107" w:type="pct"/>
          </w:tcPr>
          <w:p w14:paraId="2A9AC11A" w14:textId="77777777" w:rsidR="006F1B21" w:rsidRPr="00500C4E" w:rsidRDefault="006F1B21" w:rsidP="00E5625D">
            <w:pPr>
              <w:rPr>
                <w:sz w:val="18"/>
                <w:szCs w:val="18"/>
              </w:rPr>
            </w:pPr>
            <w:r w:rsidRPr="00500C4E">
              <w:rPr>
                <w:sz w:val="18"/>
                <w:szCs w:val="18"/>
              </w:rPr>
              <w:t>Above Code or Standard</w:t>
            </w:r>
          </w:p>
        </w:tc>
        <w:tc>
          <w:tcPr>
            <w:tcW w:w="1108" w:type="pct"/>
          </w:tcPr>
          <w:p w14:paraId="0DEEC12A" w14:textId="77777777" w:rsidR="006F1B21" w:rsidRPr="00500C4E" w:rsidRDefault="006F1B21" w:rsidP="00E5625D">
            <w:pPr>
              <w:rPr>
                <w:sz w:val="18"/>
                <w:szCs w:val="18"/>
              </w:rPr>
            </w:pPr>
            <w:r w:rsidRPr="00500C4E">
              <w:rPr>
                <w:sz w:val="18"/>
                <w:szCs w:val="18"/>
              </w:rPr>
              <w:t>N/A</w:t>
            </w:r>
          </w:p>
        </w:tc>
        <w:tc>
          <w:tcPr>
            <w:tcW w:w="481" w:type="pct"/>
          </w:tcPr>
          <w:p w14:paraId="1B751D03" w14:textId="77777777" w:rsidR="006F1B21" w:rsidRPr="00500C4E" w:rsidRDefault="006F1B21" w:rsidP="00E5625D">
            <w:pPr>
              <w:rPr>
                <w:sz w:val="18"/>
                <w:szCs w:val="18"/>
              </w:rPr>
            </w:pPr>
            <w:r w:rsidRPr="00500C4E">
              <w:rPr>
                <w:sz w:val="18"/>
                <w:szCs w:val="18"/>
              </w:rPr>
              <w:t>EUL</w:t>
            </w:r>
          </w:p>
        </w:tc>
        <w:tc>
          <w:tcPr>
            <w:tcW w:w="526" w:type="pct"/>
          </w:tcPr>
          <w:p w14:paraId="76E6AAC4" w14:textId="77777777" w:rsidR="006F1B21" w:rsidRPr="00500C4E" w:rsidRDefault="006F1B21" w:rsidP="00E5625D">
            <w:pPr>
              <w:rPr>
                <w:sz w:val="18"/>
                <w:szCs w:val="18"/>
              </w:rPr>
            </w:pPr>
            <w:r w:rsidRPr="00500C4E">
              <w:rPr>
                <w:sz w:val="18"/>
                <w:szCs w:val="18"/>
              </w:rPr>
              <w:t>N/A</w:t>
            </w:r>
          </w:p>
        </w:tc>
      </w:tr>
      <w:tr w:rsidR="006F1B21" w:rsidRPr="00500C4E" w14:paraId="196B9E1D" w14:textId="77777777" w:rsidTr="006F1B21">
        <w:trPr>
          <w:trHeight w:val="20"/>
        </w:trPr>
        <w:tc>
          <w:tcPr>
            <w:tcW w:w="1778" w:type="pct"/>
          </w:tcPr>
          <w:p w14:paraId="4126F9DF" w14:textId="6A0C1F9F" w:rsidR="006F1B21" w:rsidRPr="00500C4E" w:rsidRDefault="006F1B21" w:rsidP="00E5625D">
            <w:pPr>
              <w:rPr>
                <w:sz w:val="18"/>
                <w:szCs w:val="18"/>
              </w:rPr>
            </w:pPr>
            <w:r w:rsidRPr="00500C4E">
              <w:rPr>
                <w:sz w:val="18"/>
                <w:szCs w:val="18"/>
              </w:rPr>
              <w:t>New Construction (</w:t>
            </w:r>
            <w:r>
              <w:rPr>
                <w:sz w:val="18"/>
                <w:szCs w:val="18"/>
              </w:rPr>
              <w:t>NC</w:t>
            </w:r>
            <w:r w:rsidRPr="00500C4E">
              <w:rPr>
                <w:sz w:val="18"/>
                <w:szCs w:val="18"/>
              </w:rPr>
              <w:t>)</w:t>
            </w:r>
          </w:p>
        </w:tc>
        <w:tc>
          <w:tcPr>
            <w:tcW w:w="1107" w:type="pct"/>
          </w:tcPr>
          <w:p w14:paraId="0F4CA433" w14:textId="77777777" w:rsidR="006F1B21" w:rsidRPr="00500C4E" w:rsidRDefault="006F1B21" w:rsidP="00E5625D">
            <w:pPr>
              <w:rPr>
                <w:sz w:val="18"/>
                <w:szCs w:val="18"/>
              </w:rPr>
            </w:pPr>
            <w:r w:rsidRPr="00500C4E">
              <w:rPr>
                <w:sz w:val="18"/>
                <w:szCs w:val="18"/>
              </w:rPr>
              <w:t>Above Code or Standard</w:t>
            </w:r>
          </w:p>
        </w:tc>
        <w:tc>
          <w:tcPr>
            <w:tcW w:w="1108" w:type="pct"/>
          </w:tcPr>
          <w:p w14:paraId="0A43F73F" w14:textId="77777777" w:rsidR="006F1B21" w:rsidRPr="00500C4E" w:rsidRDefault="006F1B21" w:rsidP="00E5625D">
            <w:pPr>
              <w:rPr>
                <w:sz w:val="18"/>
                <w:szCs w:val="18"/>
              </w:rPr>
            </w:pPr>
            <w:r w:rsidRPr="00500C4E">
              <w:rPr>
                <w:sz w:val="18"/>
                <w:szCs w:val="18"/>
              </w:rPr>
              <w:t>N/A</w:t>
            </w:r>
          </w:p>
        </w:tc>
        <w:tc>
          <w:tcPr>
            <w:tcW w:w="481" w:type="pct"/>
          </w:tcPr>
          <w:p w14:paraId="6C70E0A2" w14:textId="77777777" w:rsidR="006F1B21" w:rsidRPr="00500C4E" w:rsidRDefault="006F1B21" w:rsidP="00E5625D">
            <w:pPr>
              <w:rPr>
                <w:sz w:val="18"/>
                <w:szCs w:val="18"/>
              </w:rPr>
            </w:pPr>
            <w:r w:rsidRPr="00500C4E">
              <w:rPr>
                <w:sz w:val="18"/>
                <w:szCs w:val="18"/>
              </w:rPr>
              <w:t>EUL</w:t>
            </w:r>
          </w:p>
        </w:tc>
        <w:tc>
          <w:tcPr>
            <w:tcW w:w="526" w:type="pct"/>
          </w:tcPr>
          <w:p w14:paraId="4166A242" w14:textId="77777777" w:rsidR="006F1B21" w:rsidRPr="00500C4E" w:rsidRDefault="006F1B21" w:rsidP="00E5625D">
            <w:pPr>
              <w:rPr>
                <w:sz w:val="18"/>
                <w:szCs w:val="18"/>
              </w:rPr>
            </w:pPr>
            <w:r w:rsidRPr="00500C4E">
              <w:rPr>
                <w:sz w:val="18"/>
                <w:szCs w:val="18"/>
              </w:rPr>
              <w:t>N/A</w:t>
            </w:r>
          </w:p>
        </w:tc>
      </w:tr>
    </w:tbl>
    <w:p w14:paraId="2641DE2B" w14:textId="77777777" w:rsidR="001B2301" w:rsidRDefault="001B2301" w:rsidP="00697868">
      <w:pPr>
        <w:pStyle w:val="Reminders"/>
        <w:tabs>
          <w:tab w:val="num" w:pos="360"/>
        </w:tabs>
        <w:rPr>
          <w:rFonts w:asciiTheme="minorHAnsi" w:hAnsiTheme="minorHAnsi" w:cstheme="minorHAnsi"/>
          <w:i w:val="0"/>
          <w:szCs w:val="22"/>
        </w:rPr>
      </w:pPr>
    </w:p>
    <w:p w14:paraId="47F4DDC1" w14:textId="23728656"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r w:rsidR="006706A9">
        <w:t xml:space="preserve"> </w:t>
      </w:r>
      <w:r w:rsidR="00CE7C26">
        <w:t>The delivery method for the measure in this work paper is Financial Support</w:t>
      </w:r>
      <w:r w:rsidR="001D5E1A">
        <w:t xml:space="preserve"> – </w:t>
      </w:r>
      <w:r w:rsidR="00185DC9">
        <w:t>Direct Install Programs – Down-Stream Programs – M</w:t>
      </w:r>
      <w:r w:rsidR="001D5E1A">
        <w:t>id-Stream Programs</w:t>
      </w:r>
      <w:r w:rsidR="00CE7C26">
        <w:t xml:space="preserve">. </w:t>
      </w:r>
    </w:p>
    <w:p w14:paraId="0F976ADB" w14:textId="77777777" w:rsidR="00C05AAF" w:rsidRDefault="00C05AAF" w:rsidP="00920905">
      <w:pPr>
        <w:pStyle w:val="NoSpacing"/>
      </w:pPr>
    </w:p>
    <w:p w14:paraId="728B8F21" w14:textId="77777777" w:rsidR="00695D64" w:rsidRDefault="00695D64" w:rsidP="005475C8">
      <w:pPr>
        <w:pStyle w:val="Caption"/>
      </w:pPr>
    </w:p>
    <w:p w14:paraId="3EEB1426" w14:textId="15838B81" w:rsidR="00C05AAF" w:rsidRPr="00500C4E" w:rsidRDefault="00AA16C0" w:rsidP="005475C8">
      <w:pPr>
        <w:pStyle w:val="Caption"/>
      </w:pPr>
      <w:r w:rsidRPr="005475C8">
        <w:lastRenderedPageBreak/>
        <w:t>Delivery Method Descriptions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27D93A43" w14:textId="77777777" w:rsidTr="35ED749D">
        <w:tc>
          <w:tcPr>
            <w:tcW w:w="1297" w:type="pct"/>
            <w:shd w:val="clear" w:color="auto" w:fill="D9D9D9" w:themeFill="background1" w:themeFillShade="D9"/>
          </w:tcPr>
          <w:p w14:paraId="5B70BF4F"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0F681ACF" w14:textId="77777777" w:rsidR="00C05AAF" w:rsidRPr="00920905" w:rsidRDefault="00C05AAF" w:rsidP="008F6298">
            <w:pPr>
              <w:rPr>
                <w:b/>
                <w:sz w:val="18"/>
                <w:szCs w:val="18"/>
              </w:rPr>
            </w:pPr>
            <w:r w:rsidRPr="00920905">
              <w:rPr>
                <w:b/>
                <w:sz w:val="18"/>
                <w:szCs w:val="18"/>
              </w:rPr>
              <w:t>Description</w:t>
            </w:r>
          </w:p>
        </w:tc>
      </w:tr>
      <w:tr w:rsidR="00C05AAF" w:rsidRPr="00A3164A" w14:paraId="0928CD42" w14:textId="77777777" w:rsidTr="35ED749D">
        <w:tc>
          <w:tcPr>
            <w:tcW w:w="1297" w:type="pct"/>
          </w:tcPr>
          <w:p w14:paraId="36F4A446" w14:textId="77777777" w:rsidR="00C05AAF" w:rsidRPr="00920905" w:rsidRDefault="00C05AAF" w:rsidP="00920905">
            <w:pPr>
              <w:pStyle w:val="NoSpacing"/>
              <w:rPr>
                <w:sz w:val="18"/>
                <w:szCs w:val="18"/>
              </w:rPr>
            </w:pPr>
            <w:r w:rsidRPr="00920905">
              <w:rPr>
                <w:rFonts w:cs="BookAntiqua"/>
                <w:sz w:val="18"/>
                <w:szCs w:val="18"/>
              </w:rPr>
              <w:t>Financial Support</w:t>
            </w:r>
          </w:p>
        </w:tc>
        <w:tc>
          <w:tcPr>
            <w:tcW w:w="3703" w:type="pct"/>
          </w:tcPr>
          <w:p w14:paraId="624EEEB7" w14:textId="77777777" w:rsidR="00C05AAF" w:rsidRPr="00920905" w:rsidRDefault="00C05AAF" w:rsidP="00920905">
            <w:pPr>
              <w:pStyle w:val="NoSpacing"/>
              <w:rPr>
                <w:sz w:val="18"/>
                <w:szCs w:val="18"/>
              </w:rPr>
            </w:pPr>
            <w:r w:rsidRPr="00920905">
              <w:rPr>
                <w:rFonts w:cs="BookAntiqua"/>
                <w:sz w:val="18"/>
                <w:szCs w:val="18"/>
              </w:rPr>
              <w:t>The program motivates customers, through financial incentives such as rebates or low interest loans, to implement energy efficient measures or</w:t>
            </w:r>
            <w:r w:rsidR="00AA4CDC" w:rsidRPr="00920905">
              <w:rPr>
                <w:rFonts w:cs="BookAntiqua"/>
                <w:sz w:val="18"/>
                <w:szCs w:val="18"/>
              </w:rPr>
              <w:t xml:space="preserve"> projects.</w:t>
            </w:r>
          </w:p>
        </w:tc>
      </w:tr>
    </w:tbl>
    <w:p w14:paraId="4DE2F8B7" w14:textId="77777777" w:rsidR="001B2301" w:rsidRPr="00500C4E" w:rsidRDefault="001B2301" w:rsidP="00920905"/>
    <w:p w14:paraId="176C5B53" w14:textId="6E72947E" w:rsidR="00AA16C0" w:rsidRPr="00500C4E" w:rsidRDefault="00AA16C0" w:rsidP="005475C8">
      <w:pPr>
        <w:pStyle w:val="Caption"/>
      </w:pPr>
      <w:r w:rsidRPr="005475C8">
        <w:t>Incentive Method Descriptions</w:t>
      </w:r>
    </w:p>
    <w:tbl>
      <w:tblPr>
        <w:tblStyle w:val="TableGrid1"/>
        <w:tblW w:w="5000" w:type="pct"/>
        <w:tblLook w:val="04A0" w:firstRow="1" w:lastRow="0" w:firstColumn="1" w:lastColumn="0" w:noHBand="0" w:noVBand="1"/>
      </w:tblPr>
      <w:tblGrid>
        <w:gridCol w:w="2425"/>
        <w:gridCol w:w="6925"/>
      </w:tblGrid>
      <w:tr w:rsidR="001B2301" w:rsidRPr="00A3164A" w14:paraId="06A49B18" w14:textId="77777777" w:rsidTr="35ED749D">
        <w:tc>
          <w:tcPr>
            <w:tcW w:w="1297" w:type="pct"/>
            <w:shd w:val="clear" w:color="auto" w:fill="D9D9D9" w:themeFill="background1" w:themeFillShade="D9"/>
          </w:tcPr>
          <w:p w14:paraId="32F846A3"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79BA99A0" w14:textId="77777777" w:rsidR="001B2301" w:rsidRPr="00920905" w:rsidRDefault="001B2301" w:rsidP="001B2301">
            <w:pPr>
              <w:rPr>
                <w:b/>
                <w:sz w:val="18"/>
                <w:szCs w:val="18"/>
              </w:rPr>
            </w:pPr>
            <w:r w:rsidRPr="00920905">
              <w:rPr>
                <w:b/>
                <w:sz w:val="18"/>
                <w:szCs w:val="18"/>
              </w:rPr>
              <w:t>Description</w:t>
            </w:r>
          </w:p>
        </w:tc>
      </w:tr>
      <w:tr w:rsidR="001B2301" w:rsidRPr="00A3164A" w14:paraId="1F66D83A" w14:textId="77777777" w:rsidTr="35ED749D">
        <w:tc>
          <w:tcPr>
            <w:tcW w:w="1297" w:type="pct"/>
          </w:tcPr>
          <w:p w14:paraId="73DEA6E1"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3FB50AA9" w14:textId="77777777"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6F4FC01A" w14:textId="77777777" w:rsidTr="35ED749D">
        <w:tc>
          <w:tcPr>
            <w:tcW w:w="1297" w:type="pct"/>
          </w:tcPr>
          <w:p w14:paraId="4781F2F3"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5F5231DC" w14:textId="350DD01C"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D5E1A" w:rsidRPr="00A3164A" w14:paraId="0BFA144E" w14:textId="77777777" w:rsidTr="35ED749D">
        <w:tc>
          <w:tcPr>
            <w:tcW w:w="1297" w:type="pct"/>
          </w:tcPr>
          <w:p w14:paraId="1F2C44D9" w14:textId="77777777" w:rsidR="001D5E1A" w:rsidRDefault="001D5E1A" w:rsidP="00920905">
            <w:pPr>
              <w:autoSpaceDE w:val="0"/>
              <w:autoSpaceDN w:val="0"/>
              <w:adjustRightInd w:val="0"/>
              <w:spacing w:line="240" w:lineRule="atLeast"/>
              <w:rPr>
                <w:rFonts w:cs="Helv"/>
                <w:sz w:val="18"/>
                <w:szCs w:val="18"/>
              </w:rPr>
            </w:pPr>
            <w:r>
              <w:rPr>
                <w:rFonts w:cs="Helv"/>
                <w:sz w:val="18"/>
                <w:szCs w:val="18"/>
              </w:rPr>
              <w:t>Mid-Stream Incentive</w:t>
            </w:r>
          </w:p>
          <w:p w14:paraId="23B4806C" w14:textId="55891836" w:rsidR="001D5E1A" w:rsidRPr="00920905" w:rsidRDefault="001D5E1A" w:rsidP="00920905">
            <w:pPr>
              <w:autoSpaceDE w:val="0"/>
              <w:autoSpaceDN w:val="0"/>
              <w:adjustRightInd w:val="0"/>
              <w:spacing w:line="240" w:lineRule="atLeast"/>
              <w:rPr>
                <w:rFonts w:cs="Helv"/>
                <w:sz w:val="18"/>
                <w:szCs w:val="18"/>
              </w:rPr>
            </w:pPr>
          </w:p>
        </w:tc>
        <w:tc>
          <w:tcPr>
            <w:tcW w:w="3703" w:type="pct"/>
          </w:tcPr>
          <w:p w14:paraId="5EAF73CB" w14:textId="6B23BFFC" w:rsidR="001D5E1A" w:rsidRPr="00920905" w:rsidRDefault="001D5E1A" w:rsidP="00920905">
            <w:pPr>
              <w:autoSpaceDE w:val="0"/>
              <w:autoSpaceDN w:val="0"/>
              <w:adjustRightInd w:val="0"/>
              <w:spacing w:line="240" w:lineRule="atLeast"/>
              <w:rPr>
                <w:rFonts w:cs="Helv"/>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bl>
    <w:p w14:paraId="618996F6" w14:textId="77777777" w:rsidR="001B2301" w:rsidRPr="00500C4E" w:rsidRDefault="001B2301"/>
    <w:p w14:paraId="76713C65" w14:textId="77777777" w:rsidR="00E16609" w:rsidRPr="00500C4E" w:rsidRDefault="00824F1C" w:rsidP="00824F1C">
      <w:pPr>
        <w:pStyle w:val="Heading2"/>
        <w:rPr>
          <w:rFonts w:asciiTheme="minorHAnsi" w:hAnsiTheme="minorHAnsi" w:cstheme="minorHAnsi"/>
        </w:rPr>
      </w:pPr>
      <w:bookmarkStart w:id="12"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2"/>
      <w:r w:rsidR="00F810DD">
        <w:rPr>
          <w:rFonts w:asciiTheme="minorHAnsi" w:hAnsiTheme="minorHAnsi" w:cstheme="minorHAnsi"/>
        </w:rPr>
        <w:t>Parameters</w:t>
      </w:r>
    </w:p>
    <w:p w14:paraId="7126F782" w14:textId="77777777"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7EF22A23" w14:textId="6C167EEE" w:rsidR="002469DD" w:rsidRPr="00AE08BF" w:rsidRDefault="00AE08BF" w:rsidP="00920905">
      <w:pPr>
        <w:pStyle w:val="Reminder"/>
        <w:rPr>
          <w:rFonts w:cstheme="minorHAnsi"/>
          <w:color w:val="auto"/>
          <w:szCs w:val="22"/>
        </w:rPr>
      </w:pPr>
      <w:r w:rsidRPr="00AE08BF">
        <w:rPr>
          <w:rFonts w:asciiTheme="minorHAnsi" w:hAnsiTheme="minorHAnsi" w:cstheme="minorHAnsi"/>
          <w:i w:val="0"/>
          <w:color w:val="auto"/>
          <w:szCs w:val="22"/>
        </w:rPr>
        <w:t>The 201</w:t>
      </w:r>
      <w:r w:rsidR="00237DC9">
        <w:rPr>
          <w:rFonts w:asciiTheme="minorHAnsi" w:hAnsiTheme="minorHAnsi" w:cstheme="minorHAnsi"/>
          <w:i w:val="0"/>
          <w:color w:val="auto"/>
          <w:szCs w:val="22"/>
        </w:rPr>
        <w:t>8</w:t>
      </w:r>
      <w:r w:rsidRPr="00AE08BF">
        <w:rPr>
          <w:rFonts w:asciiTheme="minorHAnsi" w:hAnsiTheme="minorHAnsi" w:cstheme="minorHAnsi"/>
          <w:i w:val="0"/>
          <w:color w:val="auto"/>
          <w:szCs w:val="22"/>
        </w:rPr>
        <w:t xml:space="preserve"> DEER database</w:t>
      </w:r>
      <w:bookmarkStart w:id="13" w:name="_Ref525292814"/>
      <w:r w:rsidR="00374849">
        <w:rPr>
          <w:rStyle w:val="EndnoteReference"/>
          <w:rFonts w:asciiTheme="minorHAnsi" w:hAnsiTheme="minorHAnsi" w:cstheme="minorHAnsi"/>
          <w:i w:val="0"/>
          <w:color w:val="auto"/>
          <w:szCs w:val="22"/>
        </w:rPr>
        <w:endnoteReference w:id="6"/>
      </w:r>
      <w:bookmarkEnd w:id="13"/>
      <w:r w:rsidRPr="00AE08BF">
        <w:rPr>
          <w:rFonts w:asciiTheme="minorHAnsi" w:hAnsiTheme="minorHAnsi" w:cstheme="minorHAnsi"/>
          <w:i w:val="0"/>
          <w:color w:val="auto"/>
          <w:szCs w:val="22"/>
        </w:rPr>
        <w:t xml:space="preserve"> does not contain information on energy use, savings, equipment costs, hour</w:t>
      </w:r>
      <w:r w:rsidR="00E4182F">
        <w:rPr>
          <w:rFonts w:asciiTheme="minorHAnsi" w:hAnsiTheme="minorHAnsi" w:cstheme="minorHAnsi"/>
          <w:i w:val="0"/>
          <w:color w:val="auto"/>
          <w:szCs w:val="22"/>
        </w:rPr>
        <w:t>s</w:t>
      </w:r>
      <w:r w:rsidRPr="00AE08BF">
        <w:rPr>
          <w:rFonts w:asciiTheme="minorHAnsi" w:hAnsiTheme="minorHAnsi" w:cstheme="minorHAnsi"/>
          <w:i w:val="0"/>
          <w:color w:val="auto"/>
          <w:szCs w:val="22"/>
        </w:rPr>
        <w:t xml:space="preserve"> of operation, or effective useful life for a PRSV measure</w:t>
      </w:r>
      <w:r w:rsidR="002469DD" w:rsidRPr="00AE08BF">
        <w:rPr>
          <w:rFonts w:asciiTheme="minorHAnsi" w:hAnsiTheme="minorHAnsi" w:cstheme="minorHAnsi"/>
          <w:i w:val="0"/>
          <w:color w:val="auto"/>
          <w:szCs w:val="22"/>
        </w:rPr>
        <w:t>.</w:t>
      </w:r>
    </w:p>
    <w:p w14:paraId="2B4780EB" w14:textId="2423B49B" w:rsidR="00E326BA" w:rsidRPr="00920905" w:rsidRDefault="00E326BA" w:rsidP="00C76EB4">
      <w:pPr>
        <w:pStyle w:val="Caption"/>
        <w:jc w:val="center"/>
        <w:rPr>
          <w:rFonts w:cs="Arial"/>
          <w:szCs w:val="22"/>
        </w:rPr>
      </w:pPr>
      <w:bookmarkStart w:id="14" w:name="_Toc385592671"/>
      <w:bookmarkStart w:id="15" w:name="_Toc214003087"/>
      <w:r w:rsidRPr="00920905">
        <w:rPr>
          <w:rFonts w:cs="Arial"/>
          <w:szCs w:val="22"/>
        </w:rPr>
        <w:t>DEER Difference Summary</w:t>
      </w:r>
      <w:bookmarkEnd w:id="14"/>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F41C23B" w14:textId="77777777" w:rsidTr="35ED749D">
        <w:trPr>
          <w:trHeight w:val="20"/>
        </w:trPr>
        <w:tc>
          <w:tcPr>
            <w:tcW w:w="1548" w:type="pct"/>
            <w:shd w:val="clear" w:color="auto" w:fill="D9D9D9" w:themeFill="background1" w:themeFillShade="D9"/>
          </w:tcPr>
          <w:p w14:paraId="7129891D" w14:textId="77777777" w:rsidR="00E326BA" w:rsidRPr="00C76EB4" w:rsidRDefault="00E326BA" w:rsidP="00920905">
            <w:pPr>
              <w:tabs>
                <w:tab w:val="right" w:pos="2957"/>
              </w:tabs>
              <w:rPr>
                <w:rFonts w:cs="Arial"/>
                <w:b/>
                <w:sz w:val="18"/>
                <w:szCs w:val="20"/>
              </w:rPr>
            </w:pPr>
            <w:r w:rsidRPr="00C76EB4">
              <w:rPr>
                <w:rFonts w:cs="Arial"/>
                <w:b/>
                <w:sz w:val="18"/>
                <w:szCs w:val="20"/>
              </w:rPr>
              <w:t>DEER</w:t>
            </w:r>
            <w:r w:rsidR="002B502E" w:rsidRPr="00C76EB4">
              <w:rPr>
                <w:rFonts w:cs="Arial"/>
                <w:b/>
                <w:sz w:val="18"/>
                <w:szCs w:val="20"/>
              </w:rPr>
              <w:t xml:space="preserve"> </w:t>
            </w:r>
            <w:r w:rsidR="00D86A9D" w:rsidRPr="00C76EB4">
              <w:rPr>
                <w:rFonts w:cs="Arial"/>
                <w:b/>
                <w:sz w:val="18"/>
                <w:szCs w:val="20"/>
              </w:rPr>
              <w:t>Item</w:t>
            </w:r>
          </w:p>
        </w:tc>
        <w:tc>
          <w:tcPr>
            <w:tcW w:w="3452" w:type="pct"/>
            <w:shd w:val="clear" w:color="auto" w:fill="D9D9D9" w:themeFill="background1" w:themeFillShade="D9"/>
          </w:tcPr>
          <w:p w14:paraId="617E2441" w14:textId="5CB8A217" w:rsidR="00E326BA" w:rsidRPr="00C76EB4" w:rsidRDefault="00E326BA" w:rsidP="00920905">
            <w:pPr>
              <w:rPr>
                <w:rFonts w:cs="Arial"/>
                <w:b/>
                <w:sz w:val="18"/>
                <w:szCs w:val="20"/>
              </w:rPr>
            </w:pPr>
            <w:r w:rsidRPr="00C76EB4">
              <w:rPr>
                <w:rFonts w:cs="Arial"/>
                <w:b/>
                <w:sz w:val="18"/>
                <w:szCs w:val="20"/>
              </w:rPr>
              <w:t xml:space="preserve">Used </w:t>
            </w:r>
            <w:r w:rsidR="0001002B" w:rsidRPr="00C76EB4">
              <w:rPr>
                <w:rFonts w:cs="Arial"/>
                <w:b/>
                <w:sz w:val="18"/>
                <w:szCs w:val="20"/>
              </w:rPr>
              <w:t>for</w:t>
            </w:r>
            <w:r w:rsidRPr="00C76EB4">
              <w:rPr>
                <w:rFonts w:cs="Arial"/>
                <w:b/>
                <w:sz w:val="18"/>
                <w:szCs w:val="20"/>
              </w:rPr>
              <w:t xml:space="preserve"> Work</w:t>
            </w:r>
            <w:r w:rsidR="003250FA">
              <w:rPr>
                <w:rFonts w:cs="Arial"/>
                <w:b/>
                <w:sz w:val="18"/>
                <w:szCs w:val="20"/>
              </w:rPr>
              <w:t xml:space="preserve"> P</w:t>
            </w:r>
            <w:r w:rsidRPr="00C76EB4">
              <w:rPr>
                <w:rFonts w:cs="Arial"/>
                <w:b/>
                <w:sz w:val="18"/>
                <w:szCs w:val="20"/>
              </w:rPr>
              <w:t>aper?</w:t>
            </w:r>
          </w:p>
        </w:tc>
      </w:tr>
      <w:tr w:rsidR="00726AD5" w:rsidRPr="00500C4E" w14:paraId="0BA37283" w14:textId="77777777" w:rsidTr="35ED749D">
        <w:trPr>
          <w:trHeight w:val="20"/>
        </w:trPr>
        <w:tc>
          <w:tcPr>
            <w:tcW w:w="1548" w:type="pct"/>
          </w:tcPr>
          <w:p w14:paraId="58C52B7F" w14:textId="77777777" w:rsidR="00E326BA" w:rsidRPr="00C76EB4" w:rsidRDefault="00E326BA" w:rsidP="00920905">
            <w:pPr>
              <w:rPr>
                <w:rFonts w:cs="Arial"/>
                <w:sz w:val="18"/>
                <w:szCs w:val="20"/>
              </w:rPr>
            </w:pPr>
            <w:r w:rsidRPr="00C76EB4">
              <w:rPr>
                <w:rFonts w:cs="Arial"/>
                <w:sz w:val="18"/>
                <w:szCs w:val="20"/>
              </w:rPr>
              <w:t>Modified DEER methodology</w:t>
            </w:r>
          </w:p>
        </w:tc>
        <w:tc>
          <w:tcPr>
            <w:tcW w:w="3452" w:type="pct"/>
          </w:tcPr>
          <w:p w14:paraId="1F228DB7" w14:textId="77777777" w:rsidR="00E326BA" w:rsidRPr="00C76EB4" w:rsidRDefault="00E326BA" w:rsidP="00920905">
            <w:pPr>
              <w:rPr>
                <w:rFonts w:cs="Arial"/>
                <w:b/>
                <w:sz w:val="18"/>
                <w:szCs w:val="20"/>
              </w:rPr>
            </w:pPr>
            <w:r w:rsidRPr="00C76EB4">
              <w:rPr>
                <w:rFonts w:cs="Arial"/>
                <w:sz w:val="18"/>
                <w:szCs w:val="20"/>
              </w:rPr>
              <w:t>No</w:t>
            </w:r>
          </w:p>
        </w:tc>
      </w:tr>
      <w:tr w:rsidR="00B32074" w:rsidRPr="00500C4E" w14:paraId="60733587" w14:textId="77777777" w:rsidTr="35ED749D">
        <w:trPr>
          <w:trHeight w:val="20"/>
        </w:trPr>
        <w:tc>
          <w:tcPr>
            <w:tcW w:w="1548" w:type="pct"/>
          </w:tcPr>
          <w:p w14:paraId="186CB494" w14:textId="77777777" w:rsidR="00B32074" w:rsidRPr="00C76EB4" w:rsidRDefault="00B32074" w:rsidP="00B32074">
            <w:pPr>
              <w:rPr>
                <w:rFonts w:cs="Arial"/>
                <w:sz w:val="18"/>
                <w:szCs w:val="20"/>
              </w:rPr>
            </w:pPr>
            <w:r w:rsidRPr="00C76EB4">
              <w:rPr>
                <w:rFonts w:cs="Arial"/>
                <w:sz w:val="18"/>
                <w:szCs w:val="20"/>
              </w:rPr>
              <w:t>Scaled DEER measure</w:t>
            </w:r>
          </w:p>
        </w:tc>
        <w:tc>
          <w:tcPr>
            <w:tcW w:w="3452" w:type="pct"/>
          </w:tcPr>
          <w:p w14:paraId="1D5852F5" w14:textId="77777777" w:rsidR="00B32074" w:rsidRPr="00C76EB4" w:rsidRDefault="00B32074" w:rsidP="00B32074">
            <w:pPr>
              <w:rPr>
                <w:rFonts w:cs="Arial"/>
                <w:sz w:val="18"/>
                <w:szCs w:val="20"/>
              </w:rPr>
            </w:pPr>
            <w:r w:rsidRPr="00C76EB4">
              <w:rPr>
                <w:rFonts w:cs="Arial"/>
                <w:sz w:val="18"/>
                <w:szCs w:val="20"/>
              </w:rPr>
              <w:t>No</w:t>
            </w:r>
          </w:p>
        </w:tc>
      </w:tr>
      <w:tr w:rsidR="00B32074" w:rsidRPr="00500C4E" w14:paraId="6CFABCD7" w14:textId="77777777" w:rsidTr="35ED749D">
        <w:trPr>
          <w:trHeight w:val="20"/>
        </w:trPr>
        <w:tc>
          <w:tcPr>
            <w:tcW w:w="1548" w:type="pct"/>
          </w:tcPr>
          <w:p w14:paraId="3ED9628C" w14:textId="77777777" w:rsidR="00B32074" w:rsidRPr="00C76EB4" w:rsidRDefault="00B32074" w:rsidP="00B32074">
            <w:pPr>
              <w:rPr>
                <w:rFonts w:cs="Arial"/>
                <w:sz w:val="18"/>
                <w:szCs w:val="20"/>
              </w:rPr>
            </w:pPr>
            <w:r w:rsidRPr="00C76EB4">
              <w:rPr>
                <w:rFonts w:cs="Arial"/>
                <w:sz w:val="18"/>
                <w:szCs w:val="20"/>
              </w:rPr>
              <w:t>DEER Base Case</w:t>
            </w:r>
          </w:p>
        </w:tc>
        <w:tc>
          <w:tcPr>
            <w:tcW w:w="3452" w:type="pct"/>
          </w:tcPr>
          <w:p w14:paraId="34A65AEB" w14:textId="77777777" w:rsidR="00B32074" w:rsidRPr="00C76EB4" w:rsidRDefault="00B32074" w:rsidP="00B32074">
            <w:pPr>
              <w:rPr>
                <w:rFonts w:cs="Arial"/>
                <w:sz w:val="18"/>
                <w:szCs w:val="20"/>
              </w:rPr>
            </w:pPr>
            <w:r w:rsidRPr="00C76EB4">
              <w:rPr>
                <w:rFonts w:cs="Arial"/>
                <w:sz w:val="18"/>
                <w:szCs w:val="20"/>
              </w:rPr>
              <w:t>No</w:t>
            </w:r>
          </w:p>
        </w:tc>
      </w:tr>
      <w:tr w:rsidR="00B32074" w:rsidRPr="00500C4E" w14:paraId="34C37A4B" w14:textId="77777777" w:rsidTr="35ED749D">
        <w:trPr>
          <w:trHeight w:val="20"/>
        </w:trPr>
        <w:tc>
          <w:tcPr>
            <w:tcW w:w="1548" w:type="pct"/>
          </w:tcPr>
          <w:p w14:paraId="6A2B6B48" w14:textId="77777777" w:rsidR="00B32074" w:rsidRPr="00C76EB4" w:rsidRDefault="00B32074" w:rsidP="00B32074">
            <w:pPr>
              <w:rPr>
                <w:rFonts w:cs="Arial"/>
                <w:sz w:val="18"/>
                <w:szCs w:val="20"/>
              </w:rPr>
            </w:pPr>
            <w:r w:rsidRPr="00C76EB4">
              <w:rPr>
                <w:rFonts w:cs="Arial"/>
                <w:sz w:val="18"/>
                <w:szCs w:val="20"/>
              </w:rPr>
              <w:t>DEER Measure Case</w:t>
            </w:r>
          </w:p>
        </w:tc>
        <w:tc>
          <w:tcPr>
            <w:tcW w:w="3452" w:type="pct"/>
          </w:tcPr>
          <w:p w14:paraId="1EBF87A5" w14:textId="77777777" w:rsidR="00B32074" w:rsidRPr="00C76EB4" w:rsidRDefault="00B32074" w:rsidP="00B32074">
            <w:pPr>
              <w:rPr>
                <w:rFonts w:cs="Arial"/>
                <w:sz w:val="18"/>
                <w:szCs w:val="20"/>
              </w:rPr>
            </w:pPr>
            <w:r w:rsidRPr="00C76EB4">
              <w:rPr>
                <w:rFonts w:cs="Arial"/>
                <w:sz w:val="18"/>
                <w:szCs w:val="20"/>
              </w:rPr>
              <w:t>No</w:t>
            </w:r>
          </w:p>
        </w:tc>
      </w:tr>
      <w:tr w:rsidR="00B32074" w:rsidRPr="00500C4E" w14:paraId="2AB702C3" w14:textId="77777777" w:rsidTr="35ED749D">
        <w:trPr>
          <w:trHeight w:val="20"/>
        </w:trPr>
        <w:tc>
          <w:tcPr>
            <w:tcW w:w="1548" w:type="pct"/>
          </w:tcPr>
          <w:p w14:paraId="4A374F4F" w14:textId="77777777" w:rsidR="00B32074" w:rsidRPr="00C76EB4" w:rsidRDefault="00B32074" w:rsidP="00B32074">
            <w:pPr>
              <w:rPr>
                <w:rFonts w:cs="Arial"/>
                <w:sz w:val="18"/>
                <w:szCs w:val="20"/>
              </w:rPr>
            </w:pPr>
            <w:r w:rsidRPr="00C76EB4">
              <w:rPr>
                <w:rFonts w:cs="Arial"/>
                <w:sz w:val="18"/>
                <w:szCs w:val="20"/>
              </w:rPr>
              <w:t>DEER Building Types</w:t>
            </w:r>
          </w:p>
        </w:tc>
        <w:tc>
          <w:tcPr>
            <w:tcW w:w="3452" w:type="pct"/>
          </w:tcPr>
          <w:p w14:paraId="46EA6F27" w14:textId="77777777" w:rsidR="00B32074" w:rsidRPr="00C76EB4" w:rsidRDefault="00B32074" w:rsidP="00B32074">
            <w:pPr>
              <w:rPr>
                <w:rFonts w:cs="Arial"/>
                <w:sz w:val="18"/>
                <w:szCs w:val="20"/>
              </w:rPr>
            </w:pPr>
            <w:r w:rsidRPr="00C76EB4">
              <w:rPr>
                <w:rFonts w:cs="Arial"/>
                <w:sz w:val="18"/>
                <w:szCs w:val="20"/>
              </w:rPr>
              <w:t>No</w:t>
            </w:r>
          </w:p>
        </w:tc>
      </w:tr>
      <w:tr w:rsidR="00B32074" w:rsidRPr="00500C4E" w14:paraId="7D5E7E8E" w14:textId="77777777" w:rsidTr="35ED749D">
        <w:trPr>
          <w:trHeight w:val="20"/>
        </w:trPr>
        <w:tc>
          <w:tcPr>
            <w:tcW w:w="1548" w:type="pct"/>
          </w:tcPr>
          <w:p w14:paraId="49F1B347" w14:textId="77777777" w:rsidR="00B32074" w:rsidRPr="00C76EB4" w:rsidRDefault="00B32074" w:rsidP="00B32074">
            <w:pPr>
              <w:rPr>
                <w:rFonts w:cs="Arial"/>
                <w:sz w:val="18"/>
                <w:szCs w:val="20"/>
              </w:rPr>
            </w:pPr>
            <w:r w:rsidRPr="00C76EB4">
              <w:rPr>
                <w:rFonts w:cs="Arial"/>
                <w:sz w:val="18"/>
                <w:szCs w:val="20"/>
              </w:rPr>
              <w:t>DEER Operating Hours</w:t>
            </w:r>
          </w:p>
        </w:tc>
        <w:tc>
          <w:tcPr>
            <w:tcW w:w="3452" w:type="pct"/>
          </w:tcPr>
          <w:p w14:paraId="58778CB9" w14:textId="77777777" w:rsidR="00B32074" w:rsidRPr="00C76EB4" w:rsidRDefault="00B32074" w:rsidP="00B32074">
            <w:pPr>
              <w:rPr>
                <w:rFonts w:cs="Arial"/>
                <w:sz w:val="18"/>
                <w:szCs w:val="20"/>
              </w:rPr>
            </w:pPr>
            <w:r w:rsidRPr="00C76EB4">
              <w:rPr>
                <w:rFonts w:cs="Arial"/>
                <w:sz w:val="18"/>
                <w:szCs w:val="20"/>
              </w:rPr>
              <w:t>No</w:t>
            </w:r>
          </w:p>
        </w:tc>
      </w:tr>
      <w:tr w:rsidR="00B32074" w:rsidRPr="00500C4E" w14:paraId="516280AD" w14:textId="77777777" w:rsidTr="35ED749D">
        <w:trPr>
          <w:trHeight w:val="20"/>
        </w:trPr>
        <w:tc>
          <w:tcPr>
            <w:tcW w:w="1548" w:type="pct"/>
          </w:tcPr>
          <w:p w14:paraId="2D29F643" w14:textId="77777777" w:rsidR="00B32074" w:rsidRPr="00C76EB4" w:rsidRDefault="00B32074" w:rsidP="00B32074">
            <w:pPr>
              <w:rPr>
                <w:rFonts w:cs="Arial"/>
                <w:sz w:val="18"/>
                <w:szCs w:val="20"/>
              </w:rPr>
            </w:pPr>
            <w:r w:rsidRPr="00C76EB4">
              <w:rPr>
                <w:rFonts w:cs="Arial"/>
                <w:sz w:val="18"/>
                <w:szCs w:val="20"/>
              </w:rPr>
              <w:t>DEER eQUEST Prototypes</w:t>
            </w:r>
          </w:p>
        </w:tc>
        <w:tc>
          <w:tcPr>
            <w:tcW w:w="3452" w:type="pct"/>
          </w:tcPr>
          <w:p w14:paraId="3DD938BD" w14:textId="77777777" w:rsidR="00B32074" w:rsidRPr="00C76EB4" w:rsidDel="00505CEC" w:rsidRDefault="00B32074" w:rsidP="00B32074">
            <w:pPr>
              <w:rPr>
                <w:rFonts w:cs="Arial"/>
                <w:sz w:val="18"/>
                <w:szCs w:val="20"/>
              </w:rPr>
            </w:pPr>
            <w:r w:rsidRPr="00C76EB4">
              <w:rPr>
                <w:rFonts w:cs="Arial"/>
                <w:sz w:val="18"/>
                <w:szCs w:val="20"/>
              </w:rPr>
              <w:t>No</w:t>
            </w:r>
          </w:p>
        </w:tc>
      </w:tr>
      <w:tr w:rsidR="00D86A9D" w:rsidRPr="00500C4E" w14:paraId="71E9D7C2" w14:textId="77777777" w:rsidTr="35ED749D">
        <w:trPr>
          <w:trHeight w:val="20"/>
        </w:trPr>
        <w:tc>
          <w:tcPr>
            <w:tcW w:w="1548" w:type="pct"/>
          </w:tcPr>
          <w:p w14:paraId="4AEF5AC4" w14:textId="77777777" w:rsidR="00D86A9D" w:rsidRPr="00C76EB4" w:rsidRDefault="00D86A9D" w:rsidP="00175D14">
            <w:pPr>
              <w:rPr>
                <w:rFonts w:cs="Arial"/>
                <w:sz w:val="18"/>
                <w:szCs w:val="20"/>
              </w:rPr>
            </w:pPr>
            <w:r w:rsidRPr="00C76EB4">
              <w:rPr>
                <w:rFonts w:cs="Arial"/>
                <w:sz w:val="18"/>
                <w:szCs w:val="20"/>
              </w:rPr>
              <w:t>DEER Version</w:t>
            </w:r>
          </w:p>
        </w:tc>
        <w:tc>
          <w:tcPr>
            <w:tcW w:w="3452" w:type="pct"/>
          </w:tcPr>
          <w:p w14:paraId="5B79FCF3" w14:textId="44F091E5" w:rsidR="00D86A9D" w:rsidRPr="00C76EB4" w:rsidRDefault="00D86A9D" w:rsidP="00175D14">
            <w:pPr>
              <w:rPr>
                <w:rFonts w:cs="Arial"/>
                <w:sz w:val="18"/>
                <w:szCs w:val="20"/>
              </w:rPr>
            </w:pPr>
            <w:r w:rsidRPr="00C76EB4">
              <w:rPr>
                <w:rFonts w:cstheme="minorHAnsi"/>
                <w:sz w:val="18"/>
                <w:szCs w:val="20"/>
              </w:rPr>
              <w:t>DEER 201</w:t>
            </w:r>
            <w:r w:rsidR="00B32074" w:rsidRPr="00C76EB4">
              <w:rPr>
                <w:rFonts w:cstheme="minorHAnsi"/>
                <w:sz w:val="18"/>
                <w:szCs w:val="20"/>
              </w:rPr>
              <w:t>8</w:t>
            </w:r>
            <w:r w:rsidRPr="00C76EB4">
              <w:rPr>
                <w:rFonts w:cstheme="minorHAnsi"/>
                <w:sz w:val="18"/>
                <w:szCs w:val="20"/>
              </w:rPr>
              <w:t>, READI v2</w:t>
            </w:r>
            <w:r w:rsidR="00B32074" w:rsidRPr="00C76EB4">
              <w:rPr>
                <w:rFonts w:cstheme="minorHAnsi"/>
                <w:sz w:val="18"/>
                <w:szCs w:val="20"/>
              </w:rPr>
              <w:t>.4.8</w:t>
            </w:r>
          </w:p>
        </w:tc>
      </w:tr>
      <w:tr w:rsidR="00726AD5" w:rsidRPr="00B32074" w14:paraId="7B77B0DD" w14:textId="77777777" w:rsidTr="35ED749D">
        <w:trPr>
          <w:trHeight w:val="20"/>
        </w:trPr>
        <w:tc>
          <w:tcPr>
            <w:tcW w:w="1548" w:type="pct"/>
          </w:tcPr>
          <w:p w14:paraId="33071361" w14:textId="77777777" w:rsidR="00E326BA" w:rsidRPr="00C76EB4" w:rsidRDefault="00E326BA" w:rsidP="00920905">
            <w:pPr>
              <w:rPr>
                <w:rFonts w:cs="Arial"/>
                <w:sz w:val="18"/>
                <w:szCs w:val="20"/>
              </w:rPr>
            </w:pPr>
            <w:r w:rsidRPr="00C76EB4">
              <w:rPr>
                <w:rFonts w:cs="Arial"/>
                <w:sz w:val="18"/>
                <w:szCs w:val="20"/>
              </w:rPr>
              <w:t>Reason for Deviation from DEER</w:t>
            </w:r>
          </w:p>
        </w:tc>
        <w:tc>
          <w:tcPr>
            <w:tcW w:w="3452" w:type="pct"/>
          </w:tcPr>
          <w:p w14:paraId="317F4B47" w14:textId="3CB786BB" w:rsidR="00E326BA" w:rsidRPr="00C76EB4" w:rsidRDefault="00947B29" w:rsidP="00920905">
            <w:pPr>
              <w:rPr>
                <w:rFonts w:cs="Arial"/>
                <w:sz w:val="18"/>
                <w:szCs w:val="18"/>
              </w:rPr>
            </w:pPr>
            <w:r>
              <w:rPr>
                <w:rFonts w:cs="Arial"/>
                <w:sz w:val="18"/>
                <w:szCs w:val="18"/>
              </w:rPr>
              <w:t>DEER does not contain pre-rinse spray valve information</w:t>
            </w:r>
          </w:p>
        </w:tc>
      </w:tr>
      <w:tr w:rsidR="00B32074" w:rsidRPr="00500C4E" w14:paraId="569E2ACD" w14:textId="77777777" w:rsidTr="35ED749D">
        <w:trPr>
          <w:trHeight w:val="20"/>
        </w:trPr>
        <w:tc>
          <w:tcPr>
            <w:tcW w:w="1548" w:type="pct"/>
          </w:tcPr>
          <w:p w14:paraId="39C918D4" w14:textId="77777777" w:rsidR="00B32074" w:rsidRPr="00C76EB4" w:rsidRDefault="00B32074" w:rsidP="00B32074">
            <w:pPr>
              <w:rPr>
                <w:rFonts w:cs="Arial"/>
                <w:sz w:val="18"/>
                <w:szCs w:val="20"/>
              </w:rPr>
            </w:pPr>
            <w:r w:rsidRPr="00C76EB4">
              <w:rPr>
                <w:rFonts w:cs="Arial"/>
                <w:sz w:val="18"/>
                <w:szCs w:val="20"/>
              </w:rPr>
              <w:t>DEER Measure IDs Used</w:t>
            </w:r>
          </w:p>
        </w:tc>
        <w:tc>
          <w:tcPr>
            <w:tcW w:w="3452" w:type="pct"/>
          </w:tcPr>
          <w:p w14:paraId="72CA514F" w14:textId="67B88F92" w:rsidR="00B32074" w:rsidRPr="00C76EB4" w:rsidRDefault="00B32074" w:rsidP="00B32074">
            <w:pPr>
              <w:rPr>
                <w:rFonts w:cs="Arial"/>
                <w:sz w:val="18"/>
                <w:szCs w:val="18"/>
              </w:rPr>
            </w:pPr>
            <w:r w:rsidRPr="00C76EB4">
              <w:rPr>
                <w:rFonts w:cs="Arial"/>
                <w:sz w:val="18"/>
                <w:szCs w:val="18"/>
              </w:rPr>
              <w:t>N</w:t>
            </w:r>
            <w:r w:rsidR="00CC428F">
              <w:rPr>
                <w:rFonts w:cs="Arial"/>
                <w:sz w:val="18"/>
                <w:szCs w:val="18"/>
              </w:rPr>
              <w:t>/A</w:t>
            </w:r>
          </w:p>
        </w:tc>
      </w:tr>
    </w:tbl>
    <w:p w14:paraId="0CDCD1EB" w14:textId="77777777" w:rsidR="00472250" w:rsidRPr="00500C4E" w:rsidRDefault="00472250" w:rsidP="00920905">
      <w:pPr>
        <w:pStyle w:val="Caption"/>
        <w:keepNext/>
        <w:rPr>
          <w:rFonts w:cstheme="minorHAnsi"/>
          <w:b w:val="0"/>
          <w:i/>
          <w:szCs w:val="22"/>
        </w:rPr>
      </w:pPr>
    </w:p>
    <w:p w14:paraId="0E6DD6E0"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70C1DAAC" w14:textId="2E68B380" w:rsidR="000968C6" w:rsidRDefault="00F828A6" w:rsidP="00920905">
      <w:pPr>
        <w:pStyle w:val="NoSpacing"/>
      </w:pPr>
      <w:r w:rsidRPr="00F828A6">
        <w:t>DEER 201</w:t>
      </w:r>
      <w:r>
        <w:t>8</w:t>
      </w:r>
      <w:r w:rsidRPr="00F828A6">
        <w:t xml:space="preserve"> does not specifically list commercial food service appliances</w:t>
      </w:r>
      <w:r>
        <w:t>.</w:t>
      </w:r>
      <w:r w:rsidR="00C76C41">
        <w:t xml:space="preserve"> </w:t>
      </w:r>
      <w:r w:rsidR="000968C6" w:rsidRPr="004D069A">
        <w:t xml:space="preserve">The </w:t>
      </w:r>
      <w:r>
        <w:t xml:space="preserve">default </w:t>
      </w:r>
      <w:r w:rsidR="000968C6" w:rsidRPr="004D069A">
        <w:t>NTG</w:t>
      </w:r>
      <w:r w:rsidR="00064CB3" w:rsidRPr="004D069A">
        <w:t xml:space="preserve"> </w:t>
      </w:r>
      <w:r w:rsidR="000968C6" w:rsidRPr="004D069A">
        <w:t>value</w:t>
      </w:r>
      <w:r w:rsidR="00BC6524" w:rsidRPr="004D069A">
        <w:t>s were obtained using</w:t>
      </w:r>
      <w:r w:rsidR="000968C6" w:rsidRPr="004D069A">
        <w:t xml:space="preserve"> </w:t>
      </w:r>
      <w:r w:rsidR="00F12733" w:rsidRPr="004D069A">
        <w:t xml:space="preserve">the </w:t>
      </w:r>
      <w:r w:rsidR="00BC6524" w:rsidRPr="004D069A">
        <w:t>DEER READI tool</w:t>
      </w:r>
      <w:r w:rsidR="007C4B08" w:rsidRPr="00C76EB4">
        <w:rPr>
          <w:vertAlign w:val="superscript"/>
        </w:rPr>
        <w:fldChar w:fldCharType="begin"/>
      </w:r>
      <w:r w:rsidR="007C4B08" w:rsidRPr="00C76EB4">
        <w:rPr>
          <w:vertAlign w:val="superscript"/>
        </w:rPr>
        <w:instrText xml:space="preserve"> NOTEREF _Ref525292814 \h </w:instrText>
      </w:r>
      <w:r w:rsidR="007C4B08">
        <w:rPr>
          <w:vertAlign w:val="superscript"/>
        </w:rPr>
        <w:instrText xml:space="preserve"> \* MERGEFORMAT </w:instrText>
      </w:r>
      <w:r w:rsidR="007C4B08" w:rsidRPr="00C76EB4">
        <w:rPr>
          <w:vertAlign w:val="superscript"/>
        </w:rPr>
      </w:r>
      <w:r w:rsidR="007C4B08" w:rsidRPr="00C76EB4">
        <w:rPr>
          <w:vertAlign w:val="superscript"/>
        </w:rPr>
        <w:fldChar w:fldCharType="separate"/>
      </w:r>
      <w:r w:rsidR="007C4B08" w:rsidRPr="00C76EB4">
        <w:rPr>
          <w:vertAlign w:val="superscript"/>
        </w:rPr>
        <w:t>6</w:t>
      </w:r>
      <w:r w:rsidR="007C4B08" w:rsidRPr="00C76EB4">
        <w:rPr>
          <w:vertAlign w:val="superscript"/>
        </w:rPr>
        <w:fldChar w:fldCharType="end"/>
      </w:r>
      <w:r w:rsidR="000968C6" w:rsidRPr="004D069A">
        <w:t>. The r</w:t>
      </w:r>
      <w:r w:rsidR="00061A8E" w:rsidRPr="004D069A">
        <w:t>elevant NTG values for the</w:t>
      </w:r>
      <w:r w:rsidR="000968C6" w:rsidRPr="004D069A">
        <w:t xml:space="preserve"> measure</w:t>
      </w:r>
      <w:r w:rsidR="00061A8E" w:rsidRPr="004D069A">
        <w:t>s in this work paper</w:t>
      </w:r>
      <w:r w:rsidR="000968C6" w:rsidRPr="004D069A">
        <w:t xml:space="preserve"> </w:t>
      </w:r>
      <w:r w:rsidR="00061A8E" w:rsidRPr="004D069A">
        <w:t>are</w:t>
      </w:r>
      <w:r w:rsidR="000968C6" w:rsidRPr="004D069A">
        <w:t xml:space="preserve"> </w:t>
      </w:r>
      <w:r w:rsidR="008B1357" w:rsidRPr="004D069A">
        <w:t>in</w:t>
      </w:r>
      <w:r w:rsidR="00061A8E" w:rsidRPr="004D069A">
        <w:t xml:space="preserve"> the table below</w:t>
      </w:r>
      <w:r w:rsidR="000968C6" w:rsidRPr="004D069A">
        <w:t>.</w:t>
      </w:r>
    </w:p>
    <w:p w14:paraId="59678AD0" w14:textId="423CBDEA" w:rsidR="0007098D" w:rsidRPr="00920905" w:rsidRDefault="0007098D" w:rsidP="00C76EB4">
      <w:pPr>
        <w:pStyle w:val="Caption"/>
      </w:pP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12E1FD95" w14:textId="77777777" w:rsidTr="35ED749D">
        <w:tc>
          <w:tcPr>
            <w:tcW w:w="673" w:type="pct"/>
            <w:shd w:val="clear" w:color="auto" w:fill="D9D9D9" w:themeFill="background1" w:themeFillShade="D9"/>
          </w:tcPr>
          <w:p w14:paraId="57EEE834"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034EE624" w14:textId="77777777"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04DF9EFD"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11E31453"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4F8F7867"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E0AE437"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B32074" w14:paraId="098C028D" w14:textId="77777777" w:rsidTr="35ED749D">
        <w:tc>
          <w:tcPr>
            <w:tcW w:w="673" w:type="pct"/>
          </w:tcPr>
          <w:p w14:paraId="02C9EA51" w14:textId="77777777" w:rsidR="00907697" w:rsidRPr="00B32074" w:rsidRDefault="00907697" w:rsidP="005729C8">
            <w:pPr>
              <w:rPr>
                <w:szCs w:val="20"/>
              </w:rPr>
            </w:pPr>
            <w:r w:rsidRPr="00B32074">
              <w:rPr>
                <w:szCs w:val="20"/>
              </w:rPr>
              <w:t>Com-Default&gt;2yrs</w:t>
            </w:r>
          </w:p>
        </w:tc>
        <w:tc>
          <w:tcPr>
            <w:tcW w:w="2019" w:type="pct"/>
          </w:tcPr>
          <w:p w14:paraId="172EC6D9" w14:textId="77777777" w:rsidR="00907697" w:rsidRPr="00B32074" w:rsidRDefault="00907697" w:rsidP="005729C8">
            <w:pPr>
              <w:rPr>
                <w:szCs w:val="20"/>
              </w:rPr>
            </w:pPr>
            <w:r w:rsidRPr="00B32074">
              <w:rPr>
                <w:szCs w:val="20"/>
              </w:rPr>
              <w:t>All other EEMs with no evaluated NTGR; existing EEM in programs with same delivery mechanism for more than 2 years</w:t>
            </w:r>
          </w:p>
        </w:tc>
        <w:tc>
          <w:tcPr>
            <w:tcW w:w="434" w:type="pct"/>
          </w:tcPr>
          <w:p w14:paraId="788F26C2" w14:textId="77777777" w:rsidR="00907697" w:rsidRPr="00B32074" w:rsidRDefault="00907697" w:rsidP="005729C8">
            <w:pPr>
              <w:rPr>
                <w:szCs w:val="20"/>
              </w:rPr>
            </w:pPr>
            <w:r w:rsidRPr="00B32074">
              <w:rPr>
                <w:szCs w:val="20"/>
              </w:rPr>
              <w:t>Com</w:t>
            </w:r>
          </w:p>
        </w:tc>
        <w:tc>
          <w:tcPr>
            <w:tcW w:w="529" w:type="pct"/>
          </w:tcPr>
          <w:p w14:paraId="26CECC9A" w14:textId="77777777" w:rsidR="00907697" w:rsidRPr="00B32074" w:rsidRDefault="00907697" w:rsidP="005729C8">
            <w:pPr>
              <w:rPr>
                <w:szCs w:val="20"/>
              </w:rPr>
            </w:pPr>
            <w:r w:rsidRPr="00B32074">
              <w:rPr>
                <w:szCs w:val="20"/>
              </w:rPr>
              <w:t>Any</w:t>
            </w:r>
          </w:p>
        </w:tc>
        <w:tc>
          <w:tcPr>
            <w:tcW w:w="915" w:type="pct"/>
          </w:tcPr>
          <w:p w14:paraId="668BE79D" w14:textId="77777777" w:rsidR="00907697" w:rsidRPr="00B32074" w:rsidRDefault="00907697" w:rsidP="005729C8">
            <w:pPr>
              <w:rPr>
                <w:szCs w:val="20"/>
              </w:rPr>
            </w:pPr>
            <w:r w:rsidRPr="00B32074">
              <w:rPr>
                <w:szCs w:val="20"/>
              </w:rPr>
              <w:t>Any</w:t>
            </w:r>
          </w:p>
        </w:tc>
        <w:tc>
          <w:tcPr>
            <w:tcW w:w="430" w:type="pct"/>
          </w:tcPr>
          <w:p w14:paraId="204170AB" w14:textId="77777777" w:rsidR="00907697" w:rsidRPr="00B32074" w:rsidRDefault="00907697" w:rsidP="005729C8">
            <w:pPr>
              <w:rPr>
                <w:szCs w:val="20"/>
              </w:rPr>
            </w:pPr>
            <w:r w:rsidRPr="00B32074">
              <w:rPr>
                <w:szCs w:val="20"/>
              </w:rPr>
              <w:t>0.6</w:t>
            </w:r>
          </w:p>
        </w:tc>
      </w:tr>
      <w:tr w:rsidR="002755F3" w:rsidRPr="00B9617D" w14:paraId="163799CC" w14:textId="77777777" w:rsidTr="35ED749D">
        <w:tblPrEx>
          <w:tblLook w:val="04A0" w:firstRow="1" w:lastRow="0" w:firstColumn="1" w:lastColumn="0" w:noHBand="0" w:noVBand="1"/>
        </w:tblPrEx>
        <w:tc>
          <w:tcPr>
            <w:tcW w:w="673" w:type="pct"/>
          </w:tcPr>
          <w:p w14:paraId="20DF3A80" w14:textId="77777777" w:rsidR="002755F3" w:rsidRPr="00B9617D" w:rsidRDefault="002755F3" w:rsidP="35ED749D">
            <w:pPr>
              <w:rPr>
                <w:szCs w:val="20"/>
              </w:rPr>
            </w:pPr>
            <w:r w:rsidRPr="0048438C">
              <w:rPr>
                <w:rFonts w:cstheme="minorBidi"/>
              </w:rPr>
              <w:t>Ind-Default&gt;2yrs</w:t>
            </w:r>
          </w:p>
        </w:tc>
        <w:tc>
          <w:tcPr>
            <w:tcW w:w="2019" w:type="pct"/>
          </w:tcPr>
          <w:p w14:paraId="2ED3FBC5" w14:textId="77777777" w:rsidR="002755F3" w:rsidRPr="00B9617D" w:rsidRDefault="002755F3" w:rsidP="35ED749D">
            <w:pPr>
              <w:rPr>
                <w:szCs w:val="20"/>
              </w:rPr>
            </w:pPr>
            <w:r w:rsidRPr="0048438C">
              <w:rPr>
                <w:rFonts w:cstheme="minorBidi"/>
              </w:rPr>
              <w:t>All other EEMs with no evaluated NTGR; existing EEM in programs with same delivery mechanism for more than 2 years</w:t>
            </w:r>
          </w:p>
        </w:tc>
        <w:tc>
          <w:tcPr>
            <w:tcW w:w="434" w:type="pct"/>
          </w:tcPr>
          <w:p w14:paraId="156E820C" w14:textId="77777777" w:rsidR="002755F3" w:rsidRPr="00B9617D" w:rsidRDefault="002755F3" w:rsidP="35ED749D">
            <w:pPr>
              <w:rPr>
                <w:szCs w:val="20"/>
              </w:rPr>
            </w:pPr>
            <w:r w:rsidRPr="0048438C">
              <w:rPr>
                <w:rFonts w:cstheme="minorBidi"/>
              </w:rPr>
              <w:t>Ind</w:t>
            </w:r>
          </w:p>
        </w:tc>
        <w:tc>
          <w:tcPr>
            <w:tcW w:w="529" w:type="pct"/>
          </w:tcPr>
          <w:p w14:paraId="4B7FB2CB" w14:textId="77777777" w:rsidR="002755F3" w:rsidRPr="00B9617D" w:rsidRDefault="002755F3" w:rsidP="35ED749D">
            <w:pPr>
              <w:rPr>
                <w:szCs w:val="20"/>
              </w:rPr>
            </w:pPr>
            <w:r w:rsidRPr="0048438C">
              <w:rPr>
                <w:rFonts w:cstheme="minorBidi"/>
              </w:rPr>
              <w:t>Any</w:t>
            </w:r>
          </w:p>
        </w:tc>
        <w:tc>
          <w:tcPr>
            <w:tcW w:w="915" w:type="pct"/>
          </w:tcPr>
          <w:p w14:paraId="7CFAE491" w14:textId="77777777" w:rsidR="002755F3" w:rsidRPr="00B9617D" w:rsidRDefault="002755F3" w:rsidP="35ED749D">
            <w:pPr>
              <w:rPr>
                <w:szCs w:val="20"/>
              </w:rPr>
            </w:pPr>
            <w:r w:rsidRPr="0048438C">
              <w:rPr>
                <w:rFonts w:cstheme="minorBidi"/>
              </w:rPr>
              <w:t>All</w:t>
            </w:r>
          </w:p>
        </w:tc>
        <w:tc>
          <w:tcPr>
            <w:tcW w:w="430" w:type="pct"/>
          </w:tcPr>
          <w:p w14:paraId="401F922D" w14:textId="77777777" w:rsidR="002755F3" w:rsidRPr="00B9617D" w:rsidRDefault="002755F3" w:rsidP="00D9244C">
            <w:pPr>
              <w:rPr>
                <w:szCs w:val="20"/>
              </w:rPr>
            </w:pPr>
            <w:r w:rsidRPr="00B9617D">
              <w:rPr>
                <w:rFonts w:cstheme="minorHAnsi"/>
                <w:szCs w:val="20"/>
              </w:rPr>
              <w:t>0.6</w:t>
            </w:r>
          </w:p>
        </w:tc>
      </w:tr>
      <w:tr w:rsidR="002755F3" w:rsidRPr="00B9617D" w14:paraId="4F527B79" w14:textId="77777777" w:rsidTr="35ED749D">
        <w:tblPrEx>
          <w:tblLook w:val="04A0" w:firstRow="1" w:lastRow="0" w:firstColumn="1" w:lastColumn="0" w:noHBand="0" w:noVBand="1"/>
        </w:tblPrEx>
        <w:tc>
          <w:tcPr>
            <w:tcW w:w="673" w:type="pct"/>
          </w:tcPr>
          <w:p w14:paraId="6E13EB97" w14:textId="77777777" w:rsidR="002755F3" w:rsidRPr="00B9617D" w:rsidRDefault="002755F3" w:rsidP="35ED749D">
            <w:pPr>
              <w:rPr>
                <w:szCs w:val="20"/>
              </w:rPr>
            </w:pPr>
            <w:r w:rsidRPr="0048438C">
              <w:rPr>
                <w:rFonts w:cstheme="minorBidi"/>
              </w:rPr>
              <w:lastRenderedPageBreak/>
              <w:t>Agric-Default&gt;2yrs</w:t>
            </w:r>
          </w:p>
        </w:tc>
        <w:tc>
          <w:tcPr>
            <w:tcW w:w="2019" w:type="pct"/>
          </w:tcPr>
          <w:p w14:paraId="0D4200CF" w14:textId="77777777" w:rsidR="002755F3" w:rsidRPr="00B9617D" w:rsidRDefault="002755F3" w:rsidP="35ED749D">
            <w:pPr>
              <w:rPr>
                <w:szCs w:val="20"/>
              </w:rPr>
            </w:pPr>
            <w:r w:rsidRPr="0048438C">
              <w:rPr>
                <w:rFonts w:cstheme="minorBidi"/>
              </w:rPr>
              <w:t xml:space="preserve">All other EEMs with no evaluated NTGR; existing EEM in programs with same </w:t>
            </w:r>
            <w:r w:rsidRPr="00CF018E">
              <w:rPr>
                <w:rFonts w:cstheme="minorBidi"/>
              </w:rPr>
              <w:t>delivery mechanism for more than 2 years</w:t>
            </w:r>
          </w:p>
        </w:tc>
        <w:tc>
          <w:tcPr>
            <w:tcW w:w="434" w:type="pct"/>
          </w:tcPr>
          <w:p w14:paraId="3825CFE7" w14:textId="77777777" w:rsidR="002755F3" w:rsidRPr="00B9617D" w:rsidRDefault="002755F3" w:rsidP="35ED749D">
            <w:pPr>
              <w:rPr>
                <w:szCs w:val="20"/>
              </w:rPr>
            </w:pPr>
            <w:r w:rsidRPr="0048438C">
              <w:rPr>
                <w:rFonts w:cstheme="minorBidi"/>
              </w:rPr>
              <w:t>Ag</w:t>
            </w:r>
          </w:p>
        </w:tc>
        <w:tc>
          <w:tcPr>
            <w:tcW w:w="529" w:type="pct"/>
          </w:tcPr>
          <w:p w14:paraId="1DA5AE6E" w14:textId="77777777" w:rsidR="002755F3" w:rsidRPr="00B9617D" w:rsidRDefault="002755F3" w:rsidP="35ED749D">
            <w:pPr>
              <w:rPr>
                <w:szCs w:val="20"/>
              </w:rPr>
            </w:pPr>
            <w:r w:rsidRPr="0048438C">
              <w:rPr>
                <w:rFonts w:cstheme="minorBidi"/>
              </w:rPr>
              <w:t>Any</w:t>
            </w:r>
          </w:p>
        </w:tc>
        <w:tc>
          <w:tcPr>
            <w:tcW w:w="915" w:type="pct"/>
          </w:tcPr>
          <w:p w14:paraId="78217FCF" w14:textId="77777777" w:rsidR="002755F3" w:rsidRPr="00B9617D" w:rsidRDefault="002755F3" w:rsidP="35ED749D">
            <w:pPr>
              <w:rPr>
                <w:szCs w:val="20"/>
              </w:rPr>
            </w:pPr>
            <w:r w:rsidRPr="0048438C">
              <w:rPr>
                <w:rFonts w:cstheme="minorBidi"/>
              </w:rPr>
              <w:t>All</w:t>
            </w:r>
          </w:p>
        </w:tc>
        <w:tc>
          <w:tcPr>
            <w:tcW w:w="430" w:type="pct"/>
          </w:tcPr>
          <w:p w14:paraId="38311DD6" w14:textId="77777777" w:rsidR="002755F3" w:rsidRPr="00B9617D" w:rsidRDefault="002755F3" w:rsidP="00D9244C">
            <w:pPr>
              <w:rPr>
                <w:szCs w:val="20"/>
              </w:rPr>
            </w:pPr>
            <w:r w:rsidRPr="00B9617D">
              <w:rPr>
                <w:rFonts w:cstheme="minorHAnsi"/>
                <w:szCs w:val="20"/>
              </w:rPr>
              <w:t>0.6</w:t>
            </w:r>
          </w:p>
        </w:tc>
      </w:tr>
    </w:tbl>
    <w:p w14:paraId="5B4A9810" w14:textId="37F8C2C6" w:rsidR="000968C6" w:rsidRPr="00C76EB4" w:rsidRDefault="00FB2590" w:rsidP="00C76EB4">
      <w:pPr>
        <w:pStyle w:val="Reminders"/>
        <w:spacing w:before="0"/>
        <w:rPr>
          <w:rFonts w:asciiTheme="minorHAnsi" w:hAnsiTheme="minorHAnsi" w:cstheme="minorHAnsi"/>
          <w:i w:val="0"/>
          <w:color w:val="auto"/>
          <w:sz w:val="18"/>
          <w:szCs w:val="20"/>
        </w:rPr>
      </w:pPr>
      <w:r w:rsidRPr="00C76EB4">
        <w:rPr>
          <w:rFonts w:asciiTheme="minorHAnsi" w:hAnsiTheme="minorHAnsi" w:cstheme="minorHAnsi"/>
          <w:i w:val="0"/>
          <w:color w:val="auto"/>
          <w:sz w:val="18"/>
          <w:szCs w:val="20"/>
        </w:rPr>
        <w:t>Note: Direct install measures that are not hard-to-reach will use the default NTG value.</w:t>
      </w:r>
    </w:p>
    <w:p w14:paraId="57B88A88" w14:textId="77777777" w:rsidR="00C018E0" w:rsidRPr="00920905" w:rsidRDefault="00C018E0" w:rsidP="000968C6">
      <w:pPr>
        <w:pStyle w:val="Reminders"/>
        <w:rPr>
          <w:rFonts w:asciiTheme="minorHAnsi" w:hAnsiTheme="minorHAnsi" w:cstheme="minorHAnsi"/>
          <w:i w:val="0"/>
          <w:szCs w:val="22"/>
        </w:rPr>
      </w:pPr>
    </w:p>
    <w:p w14:paraId="5DA772C0"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7BEA0670" w14:textId="322F4404" w:rsidR="003003EC" w:rsidRPr="00C76EB4" w:rsidRDefault="003003EC">
      <w:pPr>
        <w:pStyle w:val="Reminders"/>
        <w:rPr>
          <w:rFonts w:asciiTheme="minorHAnsi" w:hAnsiTheme="minorHAnsi" w:cstheme="minorBidi"/>
          <w:i w:val="0"/>
          <w:color w:val="auto"/>
        </w:rPr>
      </w:pPr>
      <w:r w:rsidRPr="0048438C">
        <w:rPr>
          <w:rFonts w:asciiTheme="minorHAnsi" w:hAnsiTheme="minorHAnsi" w:cstheme="minorBidi"/>
          <w:i w:val="0"/>
          <w:color w:val="auto"/>
        </w:rPr>
        <w:t>Spillage rates are not tracked in work</w:t>
      </w:r>
      <w:r w:rsidR="003250FA">
        <w:rPr>
          <w:rFonts w:asciiTheme="minorHAnsi" w:hAnsiTheme="minorHAnsi" w:cstheme="minorBidi"/>
          <w:i w:val="0"/>
          <w:color w:val="auto"/>
        </w:rPr>
        <w:t xml:space="preserve"> </w:t>
      </w:r>
      <w:r w:rsidRPr="0048438C">
        <w:rPr>
          <w:rFonts w:asciiTheme="minorHAnsi" w:hAnsiTheme="minorHAnsi" w:cstheme="minorBidi"/>
          <w:i w:val="0"/>
          <w:color w:val="auto"/>
        </w:rPr>
        <w:t>papers; they are tracked in an external document</w:t>
      </w:r>
      <w:r w:rsidR="00AE57DF" w:rsidRPr="0048438C">
        <w:rPr>
          <w:rFonts w:asciiTheme="minorHAnsi" w:hAnsiTheme="minorHAnsi" w:cstheme="minorBidi"/>
          <w:i w:val="0"/>
          <w:color w:val="auto"/>
        </w:rPr>
        <w:t>,</w:t>
      </w:r>
      <w:r w:rsidRPr="0048438C">
        <w:rPr>
          <w:rFonts w:asciiTheme="minorHAnsi" w:hAnsiTheme="minorHAnsi" w:cstheme="minorBidi"/>
          <w:i w:val="0"/>
          <w:color w:val="auto"/>
        </w:rPr>
        <w:t xml:space="preserve"> which will be supplied to the Commission Staff.</w:t>
      </w:r>
    </w:p>
    <w:p w14:paraId="5C05FCF5" w14:textId="77777777" w:rsidR="003003EC" w:rsidRPr="00500C4E" w:rsidRDefault="003003EC" w:rsidP="000968C6">
      <w:pPr>
        <w:pStyle w:val="Reminders"/>
        <w:rPr>
          <w:rFonts w:asciiTheme="minorHAnsi" w:hAnsiTheme="minorHAnsi" w:cstheme="minorHAnsi"/>
          <w:i w:val="0"/>
          <w:color w:val="auto"/>
          <w:szCs w:val="22"/>
        </w:rPr>
      </w:pPr>
    </w:p>
    <w:p w14:paraId="6CC63006"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043E8EA2" w14:textId="76D3149D" w:rsidR="00240B74" w:rsidRDefault="00F828A6" w:rsidP="00920905">
      <w:pPr>
        <w:pStyle w:val="NoSpacing"/>
      </w:pPr>
      <w:r w:rsidRPr="00F828A6">
        <w:t>DEER 201</w:t>
      </w:r>
      <w:r>
        <w:t>8</w:t>
      </w:r>
      <w:r w:rsidRPr="00F828A6">
        <w:t xml:space="preserve"> does not specifically list commercial food service appliances</w:t>
      </w:r>
      <w:r>
        <w:t>.</w:t>
      </w:r>
      <w:r w:rsidR="004606C3">
        <w:t xml:space="preserve"> </w:t>
      </w:r>
      <w:r w:rsidR="000968C6" w:rsidRPr="00920905">
        <w:t>Th</w:t>
      </w:r>
      <w:r w:rsidR="00061A8E" w:rsidRPr="00920905">
        <w:t xml:space="preserve">e </w:t>
      </w:r>
      <w:r>
        <w:t xml:space="preserve">default </w:t>
      </w:r>
      <w:r w:rsidR="00061A8E" w:rsidRPr="00920905">
        <w:t>IR</w:t>
      </w:r>
      <w:r w:rsidR="000968C6" w:rsidRPr="00920905">
        <w:t xml:space="preserve"> value</w:t>
      </w:r>
      <w:r w:rsidR="00061A8E" w:rsidRPr="00920905">
        <w:t>s</w:t>
      </w:r>
      <w:r w:rsidR="000968C6" w:rsidRPr="00920905">
        <w:t xml:space="preserve"> </w:t>
      </w:r>
      <w:r w:rsidR="00061A8E" w:rsidRPr="00920905">
        <w:t>were</w:t>
      </w:r>
      <w:r w:rsidR="000968C6" w:rsidRPr="00920905">
        <w:t xml:space="preserve"> obtained </w:t>
      </w:r>
      <w:r w:rsidR="00BC6524" w:rsidRPr="00920905">
        <w:t>using the DEER READI tool</w:t>
      </w:r>
      <w:r w:rsidR="00240B74" w:rsidRPr="00920905">
        <w:t>.</w:t>
      </w:r>
      <w:r w:rsidR="000968C6" w:rsidRPr="00920905">
        <w:t xml:space="preserve"> </w:t>
      </w:r>
      <w:r w:rsidR="00061A8E" w:rsidRPr="00920905">
        <w:t>The relevant IR values for the measures in this work</w:t>
      </w:r>
      <w:r w:rsidR="003250FA">
        <w:t xml:space="preserve"> </w:t>
      </w:r>
      <w:r w:rsidR="00061A8E" w:rsidRPr="00920905">
        <w:t>paper are in the table below</w:t>
      </w:r>
      <w:r w:rsidR="008B1357" w:rsidRPr="00920905">
        <w:t>.</w:t>
      </w:r>
    </w:p>
    <w:p w14:paraId="650FF75A" w14:textId="43DEE2D5" w:rsidR="0007098D" w:rsidRPr="00920905" w:rsidRDefault="0007098D" w:rsidP="00C76EB4">
      <w:pPr>
        <w:pStyle w:val="Caption"/>
      </w:pPr>
    </w:p>
    <w:tbl>
      <w:tblPr>
        <w:tblStyle w:val="TableGrid1"/>
        <w:tblW w:w="5000" w:type="pct"/>
        <w:tblLook w:val="01E0" w:firstRow="1" w:lastRow="1" w:firstColumn="1" w:lastColumn="1" w:noHBand="0" w:noVBand="0"/>
      </w:tblPr>
      <w:tblGrid>
        <w:gridCol w:w="1796"/>
        <w:gridCol w:w="2429"/>
        <w:gridCol w:w="901"/>
        <w:gridCol w:w="1260"/>
        <w:gridCol w:w="1530"/>
        <w:gridCol w:w="1434"/>
      </w:tblGrid>
      <w:tr w:rsidR="006B4A48" w:rsidRPr="0087393E" w14:paraId="5BCF609A" w14:textId="77777777" w:rsidTr="002C58D0">
        <w:tc>
          <w:tcPr>
            <w:tcW w:w="960" w:type="pct"/>
            <w:shd w:val="clear" w:color="auto" w:fill="D9D9D9" w:themeFill="background1" w:themeFillShade="D9"/>
          </w:tcPr>
          <w:p w14:paraId="6EF27F77"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299" w:type="pct"/>
            <w:shd w:val="clear" w:color="auto" w:fill="D9D9D9" w:themeFill="background1" w:themeFillShade="D9"/>
          </w:tcPr>
          <w:p w14:paraId="6810F549" w14:textId="77777777" w:rsidR="006B4A48" w:rsidRPr="00920905" w:rsidRDefault="00FB2590" w:rsidP="005729C8">
            <w:pPr>
              <w:rPr>
                <w:rFonts w:cstheme="minorHAnsi"/>
                <w:b/>
                <w:szCs w:val="20"/>
              </w:rPr>
            </w:pPr>
            <w:r w:rsidRPr="00920905">
              <w:rPr>
                <w:rFonts w:cstheme="minorHAnsi"/>
                <w:b/>
                <w:szCs w:val="20"/>
              </w:rPr>
              <w:t>Description</w:t>
            </w:r>
          </w:p>
        </w:tc>
        <w:tc>
          <w:tcPr>
            <w:tcW w:w="482" w:type="pct"/>
            <w:shd w:val="clear" w:color="auto" w:fill="D9D9D9" w:themeFill="background1" w:themeFillShade="D9"/>
          </w:tcPr>
          <w:p w14:paraId="6D9ED180" w14:textId="77777777" w:rsidR="006B4A48" w:rsidRPr="00920905" w:rsidRDefault="00FB2590" w:rsidP="005729C8">
            <w:pPr>
              <w:rPr>
                <w:rFonts w:cstheme="minorHAnsi"/>
                <w:b/>
                <w:szCs w:val="20"/>
              </w:rPr>
            </w:pPr>
            <w:r w:rsidRPr="00920905">
              <w:rPr>
                <w:rFonts w:cstheme="minorHAnsi"/>
                <w:b/>
                <w:szCs w:val="20"/>
              </w:rPr>
              <w:t>Sector</w:t>
            </w:r>
          </w:p>
        </w:tc>
        <w:tc>
          <w:tcPr>
            <w:tcW w:w="674" w:type="pct"/>
            <w:shd w:val="clear" w:color="auto" w:fill="D9D9D9" w:themeFill="background1" w:themeFillShade="D9"/>
          </w:tcPr>
          <w:p w14:paraId="00D80F7E" w14:textId="77777777" w:rsidR="006B4A48" w:rsidRPr="00920905" w:rsidRDefault="00FB2590" w:rsidP="005729C8">
            <w:pPr>
              <w:rPr>
                <w:rFonts w:cstheme="minorHAnsi"/>
                <w:b/>
                <w:szCs w:val="20"/>
              </w:rPr>
            </w:pPr>
            <w:r w:rsidRPr="00920905">
              <w:rPr>
                <w:rFonts w:cstheme="minorHAnsi"/>
                <w:b/>
                <w:szCs w:val="20"/>
              </w:rPr>
              <w:t>BldgType</w:t>
            </w:r>
          </w:p>
        </w:tc>
        <w:tc>
          <w:tcPr>
            <w:tcW w:w="818" w:type="pct"/>
            <w:shd w:val="clear" w:color="auto" w:fill="D9D9D9" w:themeFill="background1" w:themeFillShade="D9"/>
          </w:tcPr>
          <w:p w14:paraId="7BD70F24" w14:textId="77777777" w:rsidR="006B4A48" w:rsidRPr="00920905" w:rsidRDefault="006B4A48" w:rsidP="005729C8">
            <w:pPr>
              <w:rPr>
                <w:rFonts w:cstheme="minorHAnsi"/>
                <w:b/>
                <w:szCs w:val="20"/>
              </w:rPr>
            </w:pPr>
            <w:r w:rsidRPr="00920905">
              <w:rPr>
                <w:rFonts w:cstheme="minorHAnsi"/>
                <w:b/>
                <w:szCs w:val="20"/>
              </w:rPr>
              <w:t>ProgDelivID</w:t>
            </w:r>
          </w:p>
        </w:tc>
        <w:tc>
          <w:tcPr>
            <w:tcW w:w="767" w:type="pct"/>
            <w:shd w:val="clear" w:color="auto" w:fill="D9D9D9" w:themeFill="background1" w:themeFillShade="D9"/>
          </w:tcPr>
          <w:p w14:paraId="046CC507"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B32074" w14:paraId="28349D91" w14:textId="77777777" w:rsidTr="002C58D0">
        <w:tc>
          <w:tcPr>
            <w:tcW w:w="960" w:type="pct"/>
          </w:tcPr>
          <w:p w14:paraId="3DB9E397" w14:textId="77777777" w:rsidR="002F4E34" w:rsidRPr="00B32074" w:rsidRDefault="002F4E34" w:rsidP="005729C8">
            <w:pPr>
              <w:rPr>
                <w:szCs w:val="20"/>
              </w:rPr>
            </w:pPr>
            <w:r w:rsidRPr="00B32074">
              <w:rPr>
                <w:szCs w:val="20"/>
              </w:rPr>
              <w:t>Def-GSIA</w:t>
            </w:r>
          </w:p>
        </w:tc>
        <w:tc>
          <w:tcPr>
            <w:tcW w:w="1299" w:type="pct"/>
          </w:tcPr>
          <w:p w14:paraId="1F5CE40F" w14:textId="77777777" w:rsidR="002F4E34" w:rsidRPr="00B32074" w:rsidRDefault="002F4E34" w:rsidP="005729C8">
            <w:pPr>
              <w:rPr>
                <w:szCs w:val="20"/>
              </w:rPr>
            </w:pPr>
            <w:r w:rsidRPr="00B32074">
              <w:rPr>
                <w:szCs w:val="20"/>
              </w:rPr>
              <w:t>Default GSIA values</w:t>
            </w:r>
          </w:p>
        </w:tc>
        <w:tc>
          <w:tcPr>
            <w:tcW w:w="482" w:type="pct"/>
          </w:tcPr>
          <w:p w14:paraId="49A5E2DF" w14:textId="77777777" w:rsidR="002F4E34" w:rsidRPr="00B32074" w:rsidRDefault="002F4E34" w:rsidP="005729C8">
            <w:pPr>
              <w:rPr>
                <w:szCs w:val="20"/>
              </w:rPr>
            </w:pPr>
            <w:r w:rsidRPr="00B32074">
              <w:rPr>
                <w:szCs w:val="20"/>
              </w:rPr>
              <w:t>Any</w:t>
            </w:r>
          </w:p>
        </w:tc>
        <w:tc>
          <w:tcPr>
            <w:tcW w:w="674" w:type="pct"/>
          </w:tcPr>
          <w:p w14:paraId="7BFD7387" w14:textId="77777777" w:rsidR="002F4E34" w:rsidRPr="00B32074" w:rsidRDefault="002F4E34" w:rsidP="005729C8">
            <w:pPr>
              <w:rPr>
                <w:szCs w:val="20"/>
              </w:rPr>
            </w:pPr>
            <w:r w:rsidRPr="00B32074">
              <w:rPr>
                <w:szCs w:val="20"/>
              </w:rPr>
              <w:t>Any</w:t>
            </w:r>
          </w:p>
        </w:tc>
        <w:tc>
          <w:tcPr>
            <w:tcW w:w="818" w:type="pct"/>
          </w:tcPr>
          <w:p w14:paraId="4545FF2C" w14:textId="77777777" w:rsidR="002F4E34" w:rsidRPr="00B32074" w:rsidRDefault="002F4E34" w:rsidP="005729C8">
            <w:pPr>
              <w:rPr>
                <w:szCs w:val="20"/>
              </w:rPr>
            </w:pPr>
            <w:r w:rsidRPr="00B32074">
              <w:rPr>
                <w:szCs w:val="20"/>
              </w:rPr>
              <w:t>Any</w:t>
            </w:r>
          </w:p>
        </w:tc>
        <w:tc>
          <w:tcPr>
            <w:tcW w:w="767" w:type="pct"/>
          </w:tcPr>
          <w:p w14:paraId="295B2203" w14:textId="77777777" w:rsidR="002F4E34" w:rsidRPr="00B32074" w:rsidRDefault="002F4E34" w:rsidP="005729C8">
            <w:pPr>
              <w:rPr>
                <w:szCs w:val="20"/>
              </w:rPr>
            </w:pPr>
            <w:r w:rsidRPr="00B32074">
              <w:rPr>
                <w:szCs w:val="20"/>
              </w:rPr>
              <w:t>1</w:t>
            </w:r>
          </w:p>
        </w:tc>
      </w:tr>
    </w:tbl>
    <w:p w14:paraId="058D7A4D" w14:textId="77777777" w:rsidR="006B4A48" w:rsidRPr="00B05647" w:rsidRDefault="006B4A48" w:rsidP="000968C6">
      <w:pPr>
        <w:pStyle w:val="Reminders"/>
        <w:rPr>
          <w:rFonts w:asciiTheme="minorHAnsi" w:hAnsiTheme="minorHAnsi" w:cstheme="minorHAnsi"/>
          <w:b/>
          <w:i w:val="0"/>
          <w:color w:val="auto"/>
          <w:szCs w:val="22"/>
        </w:rPr>
      </w:pPr>
    </w:p>
    <w:p w14:paraId="1F999F69"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638544E7" w14:textId="77777777" w:rsidR="00F828A6" w:rsidRDefault="00865233" w:rsidP="00920905">
      <w:pPr>
        <w:pStyle w:val="NoSpacing"/>
      </w:pPr>
      <w:r w:rsidRPr="00F828A6">
        <w:t>DEER 201</w:t>
      </w:r>
      <w:r>
        <w:t>8</w:t>
      </w:r>
      <w:r w:rsidRPr="00F828A6">
        <w:t xml:space="preserve"> does not specifically list </w:t>
      </w:r>
      <w:r>
        <w:t xml:space="preserve">EUL for </w:t>
      </w:r>
      <w:r w:rsidRPr="00F828A6">
        <w:t>commercial food service appliances</w:t>
      </w:r>
      <w:r>
        <w:t>.</w:t>
      </w:r>
    </w:p>
    <w:p w14:paraId="0AB12FE2" w14:textId="7CE43555" w:rsidR="00F828A6" w:rsidRDefault="00865233" w:rsidP="0072514E">
      <w:r>
        <w:t xml:space="preserve">For pre-rinse spray valves, </w:t>
      </w:r>
      <w:r w:rsidR="00820100">
        <w:t xml:space="preserve">an </w:t>
      </w:r>
      <w:r>
        <w:t xml:space="preserve">EUL of 5 years </w:t>
      </w:r>
      <w:r w:rsidR="00820100">
        <w:t xml:space="preserve">was referenced </w:t>
      </w:r>
      <w:r>
        <w:t>from the 2007 impact and process evaluation of the California Urban Water Conservation Council 2004-5 Pre-Rinse Spray Valve Installation Program (Phase 2) study</w:t>
      </w:r>
      <w:r w:rsidR="00342A47" w:rsidRPr="00C76EB4">
        <w:rPr>
          <w:vertAlign w:val="superscript"/>
        </w:rPr>
        <w:fldChar w:fldCharType="begin"/>
      </w:r>
      <w:r w:rsidR="00342A47" w:rsidRPr="00C76EB4">
        <w:rPr>
          <w:vertAlign w:val="superscript"/>
        </w:rPr>
        <w:instrText xml:space="preserve"> NOTEREF _Ref525292890 \h  \* MERGEFORMAT </w:instrText>
      </w:r>
      <w:r w:rsidR="00342A47" w:rsidRPr="00C76EB4">
        <w:rPr>
          <w:vertAlign w:val="superscript"/>
        </w:rPr>
      </w:r>
      <w:r w:rsidR="00342A47" w:rsidRPr="00C76EB4">
        <w:rPr>
          <w:vertAlign w:val="superscript"/>
        </w:rPr>
        <w:fldChar w:fldCharType="separate"/>
      </w:r>
      <w:r w:rsidR="00342A47" w:rsidRPr="00C76EB4">
        <w:rPr>
          <w:vertAlign w:val="superscript"/>
        </w:rPr>
        <w:t>5</w:t>
      </w:r>
      <w:r w:rsidR="00342A47" w:rsidRPr="00C76EB4">
        <w:rPr>
          <w:vertAlign w:val="superscript"/>
        </w:rPr>
        <w:fldChar w:fldCharType="end"/>
      </w:r>
      <w:r>
        <w:t>.</w:t>
      </w:r>
    </w:p>
    <w:p w14:paraId="4A869C09" w14:textId="30BD1B3D" w:rsidR="00F828A6" w:rsidRPr="0072514E" w:rsidRDefault="00F828A6" w:rsidP="00920905">
      <w:pPr>
        <w:pStyle w:val="NoSpacing"/>
        <w:rPr>
          <w:color w:val="FF0000"/>
        </w:rPr>
      </w:pPr>
    </w:p>
    <w:tbl>
      <w:tblPr>
        <w:tblStyle w:val="TableGrid1"/>
        <w:tblW w:w="5000" w:type="pct"/>
        <w:tblLook w:val="04A0" w:firstRow="1" w:lastRow="0" w:firstColumn="1" w:lastColumn="0" w:noHBand="0" w:noVBand="1"/>
      </w:tblPr>
      <w:tblGrid>
        <w:gridCol w:w="1796"/>
        <w:gridCol w:w="2430"/>
        <w:gridCol w:w="885"/>
        <w:gridCol w:w="1270"/>
        <w:gridCol w:w="1518"/>
        <w:gridCol w:w="1451"/>
      </w:tblGrid>
      <w:tr w:rsidR="008B1357" w:rsidRPr="00500C4E" w14:paraId="14CA5864" w14:textId="77777777" w:rsidTr="00C76EB4">
        <w:tc>
          <w:tcPr>
            <w:tcW w:w="960" w:type="pct"/>
            <w:shd w:val="clear" w:color="auto" w:fill="D9D9D9" w:themeFill="background1" w:themeFillShade="D9"/>
          </w:tcPr>
          <w:p w14:paraId="291CE22F" w14:textId="77777777" w:rsidR="008B1357" w:rsidRPr="00920905" w:rsidRDefault="008B1357" w:rsidP="00BA2E7E">
            <w:pPr>
              <w:rPr>
                <w:rFonts w:cstheme="minorHAnsi"/>
                <w:b/>
                <w:szCs w:val="20"/>
              </w:rPr>
            </w:pPr>
            <w:r w:rsidRPr="00920905">
              <w:rPr>
                <w:rFonts w:cstheme="minorHAnsi"/>
                <w:b/>
                <w:szCs w:val="20"/>
              </w:rPr>
              <w:t>EUL ID</w:t>
            </w:r>
          </w:p>
        </w:tc>
        <w:tc>
          <w:tcPr>
            <w:tcW w:w="1299" w:type="pct"/>
            <w:shd w:val="clear" w:color="auto" w:fill="D9D9D9" w:themeFill="background1" w:themeFillShade="D9"/>
          </w:tcPr>
          <w:p w14:paraId="541DE18A"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19625B61"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6D584F75" w14:textId="60216B9B" w:rsidR="008B1357" w:rsidRPr="00920905" w:rsidRDefault="00BA2E7E" w:rsidP="00BA2E7E">
            <w:pPr>
              <w:rPr>
                <w:rFonts w:cstheme="minorHAnsi"/>
                <w:b/>
                <w:szCs w:val="20"/>
              </w:rPr>
            </w:pPr>
            <w:r w:rsidRPr="00920905">
              <w:rPr>
                <w:rFonts w:cstheme="minorHAnsi"/>
                <w:b/>
                <w:szCs w:val="20"/>
              </w:rPr>
              <w:t>Use</w:t>
            </w:r>
            <w:r w:rsidR="00890FEB">
              <w:rPr>
                <w:rFonts w:cstheme="minorHAnsi"/>
                <w:b/>
                <w:szCs w:val="20"/>
              </w:rPr>
              <w:t xml:space="preserve"> </w:t>
            </w:r>
            <w:r w:rsidRPr="00920905">
              <w:rPr>
                <w:rFonts w:cstheme="minorHAnsi"/>
                <w:b/>
                <w:szCs w:val="20"/>
              </w:rPr>
              <w:t>Category</w:t>
            </w:r>
          </w:p>
        </w:tc>
        <w:tc>
          <w:tcPr>
            <w:tcW w:w="812" w:type="pct"/>
            <w:shd w:val="clear" w:color="auto" w:fill="D9D9D9" w:themeFill="background1" w:themeFillShade="D9"/>
          </w:tcPr>
          <w:p w14:paraId="6FED36AF"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7A57C916"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3CD92D7C" w14:textId="77777777" w:rsidTr="00C76EB4">
        <w:trPr>
          <w:trHeight w:val="243"/>
        </w:trPr>
        <w:tc>
          <w:tcPr>
            <w:tcW w:w="960" w:type="pct"/>
          </w:tcPr>
          <w:p w14:paraId="31ADB07F" w14:textId="61CAB758" w:rsidR="00BA2E7E" w:rsidRPr="00C76EB4" w:rsidRDefault="00C23667" w:rsidP="00BA2E7E">
            <w:pPr>
              <w:rPr>
                <w:szCs w:val="20"/>
              </w:rPr>
            </w:pPr>
            <w:r w:rsidRPr="00C76EB4">
              <w:rPr>
                <w:szCs w:val="20"/>
              </w:rPr>
              <w:t>Cook-LowPreRinse</w:t>
            </w:r>
          </w:p>
        </w:tc>
        <w:tc>
          <w:tcPr>
            <w:tcW w:w="1299" w:type="pct"/>
          </w:tcPr>
          <w:p w14:paraId="6F58CC81" w14:textId="38E8900C" w:rsidR="00BA2E7E" w:rsidRPr="00C76EB4" w:rsidRDefault="00C919CA" w:rsidP="35ED749D">
            <w:pPr>
              <w:rPr>
                <w:szCs w:val="20"/>
              </w:rPr>
            </w:pPr>
            <w:r w:rsidRPr="00C76EB4">
              <w:t>Commercial Low-Flow Pre-Rinse Spray Valves</w:t>
            </w:r>
          </w:p>
        </w:tc>
        <w:tc>
          <w:tcPr>
            <w:tcW w:w="473" w:type="pct"/>
          </w:tcPr>
          <w:p w14:paraId="3CAA5EEF" w14:textId="77777777" w:rsidR="00BA2E7E" w:rsidRPr="00C76EB4" w:rsidRDefault="00BA2E7E" w:rsidP="00BA2E7E">
            <w:pPr>
              <w:rPr>
                <w:szCs w:val="20"/>
              </w:rPr>
            </w:pPr>
            <w:r w:rsidRPr="00C76EB4">
              <w:rPr>
                <w:szCs w:val="20"/>
              </w:rPr>
              <w:t>Com</w:t>
            </w:r>
          </w:p>
        </w:tc>
        <w:tc>
          <w:tcPr>
            <w:tcW w:w="679" w:type="pct"/>
          </w:tcPr>
          <w:p w14:paraId="6F08CA38" w14:textId="4CEAF779" w:rsidR="00BA2E7E" w:rsidRPr="00C76EB4" w:rsidRDefault="00890FEB" w:rsidP="00BA2E7E">
            <w:pPr>
              <w:rPr>
                <w:szCs w:val="20"/>
              </w:rPr>
            </w:pPr>
            <w:r>
              <w:rPr>
                <w:szCs w:val="20"/>
              </w:rPr>
              <w:t>N/A</w:t>
            </w:r>
          </w:p>
        </w:tc>
        <w:tc>
          <w:tcPr>
            <w:tcW w:w="812" w:type="pct"/>
          </w:tcPr>
          <w:p w14:paraId="3F42A68D" w14:textId="6D24B200" w:rsidR="00BA2E7E" w:rsidRPr="00C76EB4" w:rsidRDefault="00820100" w:rsidP="00BA2E7E">
            <w:pPr>
              <w:rPr>
                <w:szCs w:val="20"/>
              </w:rPr>
            </w:pPr>
            <w:r w:rsidRPr="00C76EB4">
              <w:rPr>
                <w:szCs w:val="20"/>
              </w:rPr>
              <w:t>5</w:t>
            </w:r>
          </w:p>
        </w:tc>
        <w:tc>
          <w:tcPr>
            <w:tcW w:w="776" w:type="pct"/>
          </w:tcPr>
          <w:p w14:paraId="7AFC51C0" w14:textId="33CD8A0F" w:rsidR="00BA2E7E" w:rsidRPr="00C76EB4" w:rsidRDefault="00185DC9" w:rsidP="00BA2E7E">
            <w:pPr>
              <w:rPr>
                <w:szCs w:val="20"/>
              </w:rPr>
            </w:pPr>
            <w:r>
              <w:rPr>
                <w:szCs w:val="20"/>
              </w:rPr>
              <w:t>1.66</w:t>
            </w:r>
          </w:p>
        </w:tc>
      </w:tr>
    </w:tbl>
    <w:p w14:paraId="72B2B5E6"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5"/>
    </w:p>
    <w:p w14:paraId="4CF9402D" w14:textId="55891ACD" w:rsidR="00891DF5" w:rsidRDefault="002D67DB" w:rsidP="00891DF5">
      <w:r>
        <w:rPr>
          <w:rFonts w:cs="Arial"/>
          <w:szCs w:val="20"/>
        </w:rPr>
        <w:t xml:space="preserve">This equipment base case falls under </w:t>
      </w:r>
      <w:r w:rsidR="0072514E">
        <w:t>t</w:t>
      </w:r>
      <w:r w:rsidR="0076207E">
        <w:t xml:space="preserve">he 2019 </w:t>
      </w:r>
      <w:r w:rsidR="009B7B61">
        <w:t xml:space="preserve">Department of Energy (DOE) </w:t>
      </w:r>
      <w:r w:rsidR="0076207E">
        <w:t>Federal Minimum Standard</w:t>
      </w:r>
      <w:r>
        <w:t xml:space="preserve"> (</w:t>
      </w:r>
      <w:r w:rsidR="0072514E" w:rsidRPr="0072514E">
        <w:rPr>
          <w:rFonts w:cstheme="minorHAnsi"/>
          <w:szCs w:val="20"/>
        </w:rPr>
        <w:t>10 CFR 431.26</w:t>
      </w:r>
      <w:r w:rsidR="0072514E">
        <w:rPr>
          <w:rFonts w:cstheme="minorHAnsi"/>
          <w:szCs w:val="20"/>
        </w:rPr>
        <w:t>3</w:t>
      </w:r>
      <w:r w:rsidR="00891DF5">
        <w:t>)</w:t>
      </w:r>
      <w:r w:rsidR="00FC691B" w:rsidRPr="00C76EB4">
        <w:rPr>
          <w:vertAlign w:val="superscript"/>
        </w:rPr>
        <w:fldChar w:fldCharType="begin"/>
      </w:r>
      <w:r w:rsidR="00FC691B" w:rsidRPr="00C76EB4">
        <w:rPr>
          <w:vertAlign w:val="superscript"/>
        </w:rPr>
        <w:instrText xml:space="preserve"> NOTEREF _Ref525293020 \h </w:instrText>
      </w:r>
      <w:r w:rsidR="00FC691B">
        <w:rPr>
          <w:vertAlign w:val="superscript"/>
        </w:rPr>
        <w:instrText xml:space="preserve"> \* MERGEFORMAT </w:instrText>
      </w:r>
      <w:r w:rsidR="00FC691B" w:rsidRPr="00C76EB4">
        <w:rPr>
          <w:vertAlign w:val="superscript"/>
        </w:rPr>
      </w:r>
      <w:r w:rsidR="00FC691B" w:rsidRPr="00C76EB4">
        <w:rPr>
          <w:vertAlign w:val="superscript"/>
        </w:rPr>
        <w:fldChar w:fldCharType="separate"/>
      </w:r>
      <w:r w:rsidR="00FC691B" w:rsidRPr="00C76EB4">
        <w:rPr>
          <w:vertAlign w:val="superscript"/>
        </w:rPr>
        <w:t>3</w:t>
      </w:r>
      <w:r w:rsidR="00FC691B" w:rsidRPr="00C76EB4">
        <w:rPr>
          <w:vertAlign w:val="superscript"/>
        </w:rPr>
        <w:fldChar w:fldCharType="end"/>
      </w:r>
      <w:r>
        <w:t xml:space="preserve">. </w:t>
      </w:r>
      <w:r w:rsidRPr="002D67DB">
        <w:t>Under this regulation, the following is required: ASTM Standard Test Method for the Performance of Pre-Rinse Spray Valves (F2324-</w:t>
      </w:r>
      <w:r>
        <w:t>1</w:t>
      </w:r>
      <w:r w:rsidRPr="002D67DB">
        <w:t>3</w:t>
      </w:r>
      <w:r w:rsidR="00B81D89" w:rsidRPr="00C76EB4">
        <w:rPr>
          <w:vertAlign w:val="superscript"/>
        </w:rPr>
        <w:fldChar w:fldCharType="begin"/>
      </w:r>
      <w:r w:rsidR="00B81D89" w:rsidRPr="00C76EB4">
        <w:rPr>
          <w:vertAlign w:val="superscript"/>
        </w:rPr>
        <w:instrText xml:space="preserve"> NOTEREF _Ref525290179 \h </w:instrText>
      </w:r>
      <w:r w:rsidR="00B81D89">
        <w:rPr>
          <w:vertAlign w:val="superscript"/>
        </w:rPr>
        <w:instrText xml:space="preserve"> \* MERGEFORMAT </w:instrText>
      </w:r>
      <w:r w:rsidR="00B81D89" w:rsidRPr="00C76EB4">
        <w:rPr>
          <w:vertAlign w:val="superscript"/>
        </w:rPr>
      </w:r>
      <w:r w:rsidR="00B81D89" w:rsidRPr="00C76EB4">
        <w:rPr>
          <w:vertAlign w:val="superscript"/>
        </w:rPr>
        <w:fldChar w:fldCharType="separate"/>
      </w:r>
      <w:r w:rsidR="00B81D89" w:rsidRPr="00C76EB4">
        <w:rPr>
          <w:vertAlign w:val="superscript"/>
        </w:rPr>
        <w:t>1</w:t>
      </w:r>
      <w:r w:rsidR="00B81D89" w:rsidRPr="00C76EB4">
        <w:rPr>
          <w:vertAlign w:val="superscript"/>
        </w:rPr>
        <w:fldChar w:fldCharType="end"/>
      </w:r>
      <w:r w:rsidRPr="002D67DB">
        <w:t xml:space="preserve">) for estimating the energy and water consumption and cleaning performance of the spray valve. </w:t>
      </w:r>
      <w:r w:rsidR="00891DF5">
        <w:t>DOE has determined that spray force is a performance</w:t>
      </w:r>
      <w:r w:rsidR="009B7B61">
        <w:t>-</w:t>
      </w:r>
      <w:r w:rsidR="00891DF5">
        <w:t xml:space="preserve">related feature that justifies different standard levels. Consequently, this final rule establishes three product classes based on spray force ranges: </w:t>
      </w:r>
    </w:p>
    <w:p w14:paraId="111FCF80" w14:textId="77777777" w:rsidR="00891DF5" w:rsidRDefault="00891DF5" w:rsidP="00F828A6"/>
    <w:p w14:paraId="0C680A1D" w14:textId="41A505CD" w:rsidR="0072514E" w:rsidRPr="00C76EB4" w:rsidRDefault="0072514E" w:rsidP="00C76EB4">
      <w:pPr>
        <w:pStyle w:val="Caption"/>
        <w:rPr>
          <w:b w:val="0"/>
        </w:rPr>
      </w:pPr>
      <w:r w:rsidRPr="00945B8A">
        <w:t>2019 DOE Federal Minimum Standard for Commercial Pre-Rinse Spray Valves</w:t>
      </w:r>
    </w:p>
    <w:tbl>
      <w:tblPr>
        <w:tblStyle w:val="TableGrid1"/>
        <w:tblW w:w="4934" w:type="pct"/>
        <w:tblLook w:val="04A0" w:firstRow="1" w:lastRow="0" w:firstColumn="1" w:lastColumn="0" w:noHBand="0" w:noVBand="1"/>
      </w:tblPr>
      <w:tblGrid>
        <w:gridCol w:w="2339"/>
        <w:gridCol w:w="3444"/>
        <w:gridCol w:w="3444"/>
      </w:tblGrid>
      <w:tr w:rsidR="0072514E" w:rsidRPr="00500C4E" w14:paraId="6CE4085E" w14:textId="77777777" w:rsidTr="00C76EB4">
        <w:trPr>
          <w:trHeight w:val="250"/>
        </w:trPr>
        <w:tc>
          <w:tcPr>
            <w:tcW w:w="1267" w:type="pct"/>
            <w:shd w:val="clear" w:color="auto" w:fill="D9D9D9" w:themeFill="background1" w:themeFillShade="D9"/>
          </w:tcPr>
          <w:p w14:paraId="0E58BF3F" w14:textId="77777777" w:rsidR="0072514E" w:rsidRPr="00920905" w:rsidRDefault="0072514E" w:rsidP="00F92789">
            <w:pPr>
              <w:rPr>
                <w:rFonts w:cstheme="minorHAnsi"/>
                <w:b/>
                <w:szCs w:val="20"/>
              </w:rPr>
            </w:pPr>
            <w:r>
              <w:rPr>
                <w:rFonts w:cstheme="minorHAnsi"/>
                <w:b/>
                <w:szCs w:val="20"/>
              </w:rPr>
              <w:t>Product Class</w:t>
            </w:r>
          </w:p>
        </w:tc>
        <w:tc>
          <w:tcPr>
            <w:tcW w:w="1866" w:type="pct"/>
            <w:shd w:val="clear" w:color="auto" w:fill="D9D9D9" w:themeFill="background1" w:themeFillShade="D9"/>
          </w:tcPr>
          <w:p w14:paraId="7DAD9D03" w14:textId="77777777" w:rsidR="0072514E" w:rsidRDefault="0072514E" w:rsidP="00F92789">
            <w:pPr>
              <w:rPr>
                <w:rFonts w:cstheme="minorHAnsi"/>
                <w:b/>
                <w:szCs w:val="20"/>
              </w:rPr>
            </w:pPr>
            <w:r>
              <w:rPr>
                <w:rFonts w:cstheme="minorHAnsi"/>
                <w:b/>
                <w:szCs w:val="20"/>
              </w:rPr>
              <w:t>Force Limitations</w:t>
            </w:r>
          </w:p>
        </w:tc>
        <w:tc>
          <w:tcPr>
            <w:tcW w:w="1866" w:type="pct"/>
            <w:shd w:val="clear" w:color="auto" w:fill="D9D9D9" w:themeFill="background1" w:themeFillShade="D9"/>
          </w:tcPr>
          <w:p w14:paraId="086D8716" w14:textId="77777777" w:rsidR="0072514E" w:rsidRPr="00920905" w:rsidRDefault="0072514E" w:rsidP="00F92789">
            <w:pPr>
              <w:rPr>
                <w:rFonts w:cstheme="minorHAnsi"/>
                <w:b/>
                <w:szCs w:val="20"/>
              </w:rPr>
            </w:pPr>
            <w:r>
              <w:rPr>
                <w:rFonts w:cstheme="minorHAnsi"/>
                <w:b/>
                <w:szCs w:val="20"/>
              </w:rPr>
              <w:t>Maximum Flow Rate</w:t>
            </w:r>
          </w:p>
        </w:tc>
      </w:tr>
      <w:tr w:rsidR="0072514E" w:rsidRPr="006E5509" w14:paraId="34AC7F1F" w14:textId="77777777" w:rsidTr="00C76EB4">
        <w:trPr>
          <w:trHeight w:val="251"/>
        </w:trPr>
        <w:tc>
          <w:tcPr>
            <w:tcW w:w="1267" w:type="pct"/>
          </w:tcPr>
          <w:p w14:paraId="0321F2E4" w14:textId="77777777" w:rsidR="0072514E" w:rsidRPr="006E5509" w:rsidRDefault="0072514E" w:rsidP="00F92789">
            <w:pPr>
              <w:rPr>
                <w:szCs w:val="20"/>
              </w:rPr>
            </w:pPr>
            <w:r w:rsidRPr="006E5509">
              <w:rPr>
                <w:szCs w:val="20"/>
              </w:rPr>
              <w:t>1</w:t>
            </w:r>
          </w:p>
        </w:tc>
        <w:tc>
          <w:tcPr>
            <w:tcW w:w="1866" w:type="pct"/>
          </w:tcPr>
          <w:p w14:paraId="486FC84E" w14:textId="07D60B49" w:rsidR="0072514E" w:rsidRPr="006E5509" w:rsidRDefault="009B7B61" w:rsidP="00F92789">
            <w:pPr>
              <w:rPr>
                <w:szCs w:val="20"/>
              </w:rPr>
            </w:pPr>
            <w:r>
              <w:rPr>
                <w:rFonts w:cstheme="minorHAnsi"/>
                <w:szCs w:val="20"/>
              </w:rPr>
              <w:t>≤</w:t>
            </w:r>
            <w:r w:rsidR="0007098D">
              <w:rPr>
                <w:szCs w:val="20"/>
              </w:rPr>
              <w:t xml:space="preserve"> </w:t>
            </w:r>
            <w:r w:rsidR="0072514E" w:rsidRPr="006E5509">
              <w:rPr>
                <w:szCs w:val="20"/>
              </w:rPr>
              <w:t>5.0 ozf</w:t>
            </w:r>
          </w:p>
        </w:tc>
        <w:tc>
          <w:tcPr>
            <w:tcW w:w="1866" w:type="pct"/>
          </w:tcPr>
          <w:p w14:paraId="03642A04" w14:textId="77777777" w:rsidR="0072514E" w:rsidRPr="006E5509" w:rsidRDefault="0072514E" w:rsidP="00F92789">
            <w:pPr>
              <w:rPr>
                <w:szCs w:val="20"/>
              </w:rPr>
            </w:pPr>
            <w:r w:rsidRPr="006E5509">
              <w:rPr>
                <w:szCs w:val="20"/>
              </w:rPr>
              <w:t>1.00 gpm</w:t>
            </w:r>
          </w:p>
        </w:tc>
      </w:tr>
      <w:tr w:rsidR="0072514E" w:rsidRPr="006E5509" w14:paraId="3CE53E38" w14:textId="77777777" w:rsidTr="00C76EB4">
        <w:trPr>
          <w:trHeight w:val="251"/>
        </w:trPr>
        <w:tc>
          <w:tcPr>
            <w:tcW w:w="1267" w:type="pct"/>
          </w:tcPr>
          <w:p w14:paraId="58958D6B" w14:textId="77777777" w:rsidR="0072514E" w:rsidRPr="006E5509" w:rsidRDefault="0072514E" w:rsidP="00F92789">
            <w:pPr>
              <w:rPr>
                <w:szCs w:val="20"/>
              </w:rPr>
            </w:pPr>
            <w:r w:rsidRPr="006E5509">
              <w:rPr>
                <w:szCs w:val="20"/>
              </w:rPr>
              <w:t>2</w:t>
            </w:r>
          </w:p>
        </w:tc>
        <w:tc>
          <w:tcPr>
            <w:tcW w:w="1866" w:type="pct"/>
          </w:tcPr>
          <w:p w14:paraId="7C5F34CF" w14:textId="397B96B5" w:rsidR="0072514E" w:rsidRPr="006E5509" w:rsidRDefault="0072514E" w:rsidP="00F92789">
            <w:pPr>
              <w:rPr>
                <w:szCs w:val="20"/>
              </w:rPr>
            </w:pPr>
            <w:r w:rsidRPr="006E5509">
              <w:rPr>
                <w:szCs w:val="20"/>
              </w:rPr>
              <w:t>&gt;</w:t>
            </w:r>
            <w:r w:rsidR="0007098D">
              <w:rPr>
                <w:szCs w:val="20"/>
              </w:rPr>
              <w:t xml:space="preserve"> </w:t>
            </w:r>
            <w:r w:rsidRPr="006E5509">
              <w:rPr>
                <w:szCs w:val="20"/>
              </w:rPr>
              <w:t xml:space="preserve">5.0 ozf and </w:t>
            </w:r>
            <w:r w:rsidR="009B7B61">
              <w:rPr>
                <w:rFonts w:cstheme="minorHAnsi"/>
                <w:szCs w:val="20"/>
              </w:rPr>
              <w:t>≤</w:t>
            </w:r>
            <w:r w:rsidR="009B7B61">
              <w:rPr>
                <w:szCs w:val="20"/>
              </w:rPr>
              <w:t xml:space="preserve"> </w:t>
            </w:r>
            <w:r w:rsidRPr="006E5509">
              <w:rPr>
                <w:szCs w:val="20"/>
              </w:rPr>
              <w:t>8.0 ozf</w:t>
            </w:r>
          </w:p>
        </w:tc>
        <w:tc>
          <w:tcPr>
            <w:tcW w:w="1866" w:type="pct"/>
          </w:tcPr>
          <w:p w14:paraId="6B79DB76" w14:textId="77777777" w:rsidR="0072514E" w:rsidRPr="006E5509" w:rsidRDefault="0072514E" w:rsidP="00F92789">
            <w:pPr>
              <w:rPr>
                <w:szCs w:val="20"/>
              </w:rPr>
            </w:pPr>
            <w:r w:rsidRPr="006E5509">
              <w:rPr>
                <w:szCs w:val="20"/>
              </w:rPr>
              <w:t>1.20 gpm</w:t>
            </w:r>
          </w:p>
        </w:tc>
      </w:tr>
      <w:tr w:rsidR="0072514E" w:rsidRPr="006E5509" w14:paraId="1F433856" w14:textId="77777777" w:rsidTr="00C76EB4">
        <w:trPr>
          <w:trHeight w:val="251"/>
        </w:trPr>
        <w:tc>
          <w:tcPr>
            <w:tcW w:w="1267" w:type="pct"/>
          </w:tcPr>
          <w:p w14:paraId="4190CA07" w14:textId="77777777" w:rsidR="0072514E" w:rsidRPr="006E5509" w:rsidRDefault="0072514E" w:rsidP="00F92789">
            <w:pPr>
              <w:rPr>
                <w:szCs w:val="20"/>
              </w:rPr>
            </w:pPr>
            <w:r w:rsidRPr="006E5509">
              <w:rPr>
                <w:szCs w:val="20"/>
              </w:rPr>
              <w:t>3</w:t>
            </w:r>
          </w:p>
        </w:tc>
        <w:tc>
          <w:tcPr>
            <w:tcW w:w="1866" w:type="pct"/>
          </w:tcPr>
          <w:p w14:paraId="6AA346A8" w14:textId="39FD30A0" w:rsidR="0072514E" w:rsidRPr="006E5509" w:rsidRDefault="0072514E" w:rsidP="00F92789">
            <w:pPr>
              <w:rPr>
                <w:szCs w:val="20"/>
              </w:rPr>
            </w:pPr>
            <w:r w:rsidRPr="006E5509">
              <w:rPr>
                <w:szCs w:val="20"/>
              </w:rPr>
              <w:t>&gt;</w:t>
            </w:r>
            <w:r w:rsidR="0007098D">
              <w:rPr>
                <w:szCs w:val="20"/>
              </w:rPr>
              <w:t xml:space="preserve"> </w:t>
            </w:r>
            <w:r w:rsidRPr="006E5509">
              <w:rPr>
                <w:szCs w:val="20"/>
              </w:rPr>
              <w:t>8.0 ozf</w:t>
            </w:r>
          </w:p>
        </w:tc>
        <w:tc>
          <w:tcPr>
            <w:tcW w:w="1866" w:type="pct"/>
          </w:tcPr>
          <w:p w14:paraId="14DA8C40" w14:textId="77777777" w:rsidR="0072514E" w:rsidRPr="006E5509" w:rsidRDefault="0072514E" w:rsidP="00F92789">
            <w:pPr>
              <w:rPr>
                <w:szCs w:val="20"/>
              </w:rPr>
            </w:pPr>
            <w:r w:rsidRPr="006E5509">
              <w:rPr>
                <w:szCs w:val="20"/>
              </w:rPr>
              <w:t>1.28 gpm</w:t>
            </w:r>
          </w:p>
        </w:tc>
      </w:tr>
    </w:tbl>
    <w:p w14:paraId="70D500D9" w14:textId="77777777" w:rsidR="0072514E" w:rsidRDefault="0072514E" w:rsidP="00F828A6"/>
    <w:p w14:paraId="368E7B38" w14:textId="55517784" w:rsidR="00891DF5" w:rsidRDefault="00891DF5" w:rsidP="00F828A6">
      <w:r>
        <w:t>DOE market research indicates three distinct categories of end-user applications for commercial pre</w:t>
      </w:r>
      <w:r w:rsidR="0072514E">
        <w:t>-</w:t>
      </w:r>
      <w:r>
        <w:t xml:space="preserve">rinse spray valves, which require </w:t>
      </w:r>
      <w:r w:rsidR="009B7B61">
        <w:t>distinct levels</w:t>
      </w:r>
      <w:r>
        <w:t xml:space="preserve"> of spray force: </w:t>
      </w:r>
    </w:p>
    <w:p w14:paraId="1319ECE3" w14:textId="3162F405" w:rsidR="00891DF5" w:rsidRDefault="00891DF5" w:rsidP="006702C1">
      <w:pPr>
        <w:pStyle w:val="ListParagraph"/>
        <w:numPr>
          <w:ilvl w:val="0"/>
          <w:numId w:val="41"/>
        </w:numPr>
      </w:pPr>
      <w:r>
        <w:t>cleaning delicate glassware and removing loose food particles from dishware (requires the least amount of spray force)</w:t>
      </w:r>
    </w:p>
    <w:p w14:paraId="64A17643" w14:textId="77777777" w:rsidR="00891DF5" w:rsidRDefault="00891DF5" w:rsidP="006702C1">
      <w:pPr>
        <w:pStyle w:val="ListParagraph"/>
        <w:numPr>
          <w:ilvl w:val="0"/>
          <w:numId w:val="41"/>
        </w:numPr>
      </w:pPr>
      <w:r>
        <w:lastRenderedPageBreak/>
        <w:t>cleaning wet foods</w:t>
      </w:r>
    </w:p>
    <w:p w14:paraId="1B8754B6" w14:textId="552F015D" w:rsidR="005057D7" w:rsidRDefault="00891DF5" w:rsidP="00C76EB4">
      <w:pPr>
        <w:pStyle w:val="ListParagraph"/>
        <w:numPr>
          <w:ilvl w:val="0"/>
          <w:numId w:val="41"/>
        </w:numPr>
      </w:pPr>
      <w:r>
        <w:t>cleaning baked-on foods (requires the greatest amount of spray force)</w:t>
      </w:r>
    </w:p>
    <w:p w14:paraId="3DA26560" w14:textId="0BDB112B" w:rsidR="009B7B61" w:rsidRDefault="009B7B61" w:rsidP="00F828A6">
      <w:pPr>
        <w:rPr>
          <w:b/>
        </w:rPr>
      </w:pPr>
    </w:p>
    <w:p w14:paraId="19E401E5" w14:textId="77777777" w:rsidR="005057D7" w:rsidRPr="005057D7" w:rsidRDefault="005057D7" w:rsidP="00F828A6">
      <w:pPr>
        <w:rPr>
          <w:b/>
        </w:rPr>
      </w:pPr>
      <w:r w:rsidRPr="005057D7">
        <w:rPr>
          <w:b/>
        </w:rPr>
        <w:t xml:space="preserve">DOE Market </w:t>
      </w:r>
      <w:r>
        <w:rPr>
          <w:b/>
        </w:rPr>
        <w:t>Class</w:t>
      </w:r>
      <w:r w:rsidRPr="005057D7">
        <w:rPr>
          <w:b/>
        </w:rPr>
        <w:t xml:space="preserve"> </w:t>
      </w:r>
      <w:r>
        <w:rPr>
          <w:b/>
        </w:rPr>
        <w:t xml:space="preserve">Boundary </w:t>
      </w:r>
      <w:r w:rsidRPr="005057D7">
        <w:rPr>
          <w:b/>
        </w:rPr>
        <w:t>Justification</w:t>
      </w:r>
    </w:p>
    <w:p w14:paraId="5B296137" w14:textId="4A3C54BD" w:rsidR="0076207E" w:rsidRDefault="006702C1" w:rsidP="00F828A6">
      <w:r>
        <w:t xml:space="preserve">DOE selected 5.0 ozf as the spray force cut-off between product class 1 and product class 2 based on DOE test data and market research, which clearly showed a cluster of </w:t>
      </w:r>
      <w:r w:rsidR="003B7423">
        <w:t xml:space="preserve">PRSV </w:t>
      </w:r>
      <w:r>
        <w:t xml:space="preserve">units above and below that threshold. One cluster of </w:t>
      </w:r>
      <w:r w:rsidR="006467D8">
        <w:t>Commercial Prerinse Spray Valve (</w:t>
      </w:r>
      <w:r>
        <w:t>CPSV</w:t>
      </w:r>
      <w:r w:rsidR="006467D8">
        <w:t>)</w:t>
      </w:r>
      <w:r>
        <w:t xml:space="preserve"> units had spray force ranges between 4.1 and 4.8 ozf, </w:t>
      </w:r>
      <w:r w:rsidR="003B7423">
        <w:t xml:space="preserve">while </w:t>
      </w:r>
      <w:r>
        <w:t xml:space="preserve">the other cluster was between 5.5 and 7.7 ozf. Additionally, in comments to the 2014 </w:t>
      </w:r>
      <w:r w:rsidR="003B7423">
        <w:t>CPS</w:t>
      </w:r>
      <w:r>
        <w:t>V Framework</w:t>
      </w:r>
      <w:r w:rsidR="00FC54D3" w:rsidRPr="00C76EB4">
        <w:rPr>
          <w:vertAlign w:val="superscript"/>
        </w:rPr>
        <w:fldChar w:fldCharType="begin"/>
      </w:r>
      <w:r w:rsidR="00FC54D3" w:rsidRPr="00C76EB4">
        <w:rPr>
          <w:vertAlign w:val="superscript"/>
        </w:rPr>
        <w:instrText xml:space="preserve"> NOTEREF _Ref525293020 \h </w:instrText>
      </w:r>
      <w:r w:rsidR="00FC54D3">
        <w:rPr>
          <w:vertAlign w:val="superscript"/>
        </w:rPr>
        <w:instrText xml:space="preserve"> \* MERGEFORMAT </w:instrText>
      </w:r>
      <w:r w:rsidR="00FC54D3" w:rsidRPr="00C76EB4">
        <w:rPr>
          <w:vertAlign w:val="superscript"/>
        </w:rPr>
      </w:r>
      <w:r w:rsidR="00FC54D3" w:rsidRPr="00C76EB4">
        <w:rPr>
          <w:vertAlign w:val="superscript"/>
        </w:rPr>
        <w:fldChar w:fldCharType="separate"/>
      </w:r>
      <w:r w:rsidR="00FC54D3" w:rsidRPr="00C76EB4">
        <w:rPr>
          <w:vertAlign w:val="superscript"/>
        </w:rPr>
        <w:t>3</w:t>
      </w:r>
      <w:r w:rsidR="00FC54D3" w:rsidRPr="00C76EB4">
        <w:rPr>
          <w:vertAlign w:val="superscript"/>
        </w:rPr>
        <w:fldChar w:fldCharType="end"/>
      </w:r>
      <w:r>
        <w:t xml:space="preserve"> document, T&amp;S Brass suggested a flow rate cut-off of 0.80 gpm between the “ultra-low-flow” and “low-flow” commercial pre</w:t>
      </w:r>
      <w:r w:rsidR="00B24D03">
        <w:t>-</w:t>
      </w:r>
      <w:r>
        <w:t>rinse spray valves. A flow rate of 0.80 gpm equates to 5.3 ozf using the flow rate-spray force linear relationship determined by DOE. Based on these considerations, DOE established the threshold between the two classes at 5.0 ozf.</w:t>
      </w:r>
    </w:p>
    <w:p w14:paraId="5D836F91" w14:textId="77777777" w:rsidR="006702C1" w:rsidRDefault="006702C1" w:rsidP="00F828A6"/>
    <w:p w14:paraId="6270DAB9" w14:textId="36AA554C" w:rsidR="006702C1" w:rsidRDefault="006702C1" w:rsidP="00F828A6">
      <w:r>
        <w:t>DOE selected 8.0 ozf as the spray force cut-off between product class 2 and product class 3 based on test results of commercial pre</w:t>
      </w:r>
      <w:r w:rsidR="00E73480">
        <w:t>-</w:t>
      </w:r>
      <w:r>
        <w:t>rinse spray valves with shower</w:t>
      </w:r>
      <w:r w:rsidR="00C60CB3">
        <w:t>-</w:t>
      </w:r>
      <w:r>
        <w:t>type spray shapes. Shower-type spray shapes provide the distinct utility of minimizing “splash back” which can be associated with nozzle-type designs at higher flow rates. In addition to the three clusters of data points in the flow rate-spray force plot, DOE testing showed that the upper range of the market, in terms of flow rate, predominantly includes shower-type units. DOE found that the lowest tested spray force of any shower-type unit was 8.1 ozf. Additionally, in comments to the 2014 CPSV Framework document, T&amp;S Brass suggested a flow rate cut-off of 1.28 gpm between the “low-flow” and “standard” commercial pre</w:t>
      </w:r>
      <w:r w:rsidR="00D33448">
        <w:t>-</w:t>
      </w:r>
      <w:r>
        <w:t>rinse spray valves. A flow rate of 1.28 gpm equates to 8.5 ozf using the flow rate-spray force linear relationship determined by DOE. Based on these considerations, DOE selected 8.0 ozf to differentiate product class 3 units from other commercial prerinse spray valves available on the market.</w:t>
      </w:r>
    </w:p>
    <w:p w14:paraId="1E83CC17" w14:textId="77777777" w:rsidR="005057D7" w:rsidRDefault="005057D7" w:rsidP="00F828A6"/>
    <w:p w14:paraId="413962E0" w14:textId="77777777" w:rsidR="005057D7" w:rsidRPr="005057D7" w:rsidRDefault="005057D7" w:rsidP="00F828A6">
      <w:pPr>
        <w:rPr>
          <w:b/>
        </w:rPr>
      </w:pPr>
      <w:r w:rsidRPr="005057D7">
        <w:rPr>
          <w:b/>
        </w:rPr>
        <w:t xml:space="preserve">DOE Market </w:t>
      </w:r>
      <w:r>
        <w:rPr>
          <w:b/>
        </w:rPr>
        <w:t>Threshold Level Justification</w:t>
      </w:r>
    </w:p>
    <w:p w14:paraId="51930104" w14:textId="20E5B111" w:rsidR="006702C1" w:rsidRDefault="006702C1" w:rsidP="00F828A6">
      <w:r>
        <w:t xml:space="preserve">DOE defined the market baseline for product classes 1 and 2 as the greater of (1) the highest flow rate in the class that meets the Federal standard, or (2) the flow rate at the upper spray force bound of the product class as predicted by the spray force-flow rate linear relationship described in chapter 5 of the </w:t>
      </w:r>
      <w:r w:rsidR="00E14B5C">
        <w:t>technical support document</w:t>
      </w:r>
      <w:r>
        <w:t>. The most consumptive unit that was tested in product class 1 had a flow rate of 0.97 gpm, which exceeds the 0.75 gpm predicted by the linear relationship between spray force and flow rate for the product class 1 upper spray force bound of 5.0 ozf. DOE rounded the market baseline flow rate of product class 1 to 1.00 gpm. The market baseline for product class 2, predicted by the spray force-flow rate linear relationship, is 1.20 gpm at the upper spray force bound of 8.0 ozf. DOE did not find any commercial pre</w:t>
      </w:r>
      <w:r w:rsidR="00A05B7D">
        <w:t>-</w:t>
      </w:r>
      <w:r>
        <w:t>rinse spray valves in product class 2 that exceed this flow rate. For product class 3, the market baseline equals the Federal flow rate standard of 1.60 gpm.</w:t>
      </w:r>
    </w:p>
    <w:p w14:paraId="0F9AE7E6" w14:textId="77777777" w:rsidR="00A36D37" w:rsidRDefault="00A36D37" w:rsidP="00F828A6"/>
    <w:p w14:paraId="44BF162E" w14:textId="2D6FED6A" w:rsidR="006702C1" w:rsidRDefault="006702C1" w:rsidP="00F828A6">
      <w:r>
        <w:t>The analysis also identified the lowest flow rate that is commercially available within each product class (i.e., the max-tech model). DOE determined the max-tech level as the least consumptive tested commercial pre</w:t>
      </w:r>
      <w:r w:rsidR="00B51E0C">
        <w:t>-</w:t>
      </w:r>
      <w:r>
        <w:t xml:space="preserve">rinse spray valve in each product class. The max-tech levels for product classes 1, 2, and 3 are 0.62, 0.73, and 1.13 gpm, respectively. Finally, DOE also defined intermediate efficiency levels between the baseline and max-tech levels for each product class. Further information about DOE’s efficiency level definitions is provided in chapter 5 of the final rule </w:t>
      </w:r>
      <w:r w:rsidR="00F83AC0">
        <w:t>technical support document</w:t>
      </w:r>
      <w:r>
        <w:t xml:space="preserve">. </w:t>
      </w:r>
      <w:r w:rsidR="00F83AC0">
        <w:t>The t</w:t>
      </w:r>
      <w:r>
        <w:t>able</w:t>
      </w:r>
      <w:r w:rsidR="00F83AC0">
        <w:t>s</w:t>
      </w:r>
      <w:r>
        <w:t xml:space="preserve"> </w:t>
      </w:r>
      <w:r w:rsidR="00F92789">
        <w:t>below</w:t>
      </w:r>
      <w:r>
        <w:t xml:space="preserve"> provide the updated efficiency levels for all three product classes.</w:t>
      </w:r>
    </w:p>
    <w:p w14:paraId="71C2C251" w14:textId="675C55A6" w:rsidR="006702C1" w:rsidRDefault="006702C1" w:rsidP="00F828A6"/>
    <w:p w14:paraId="5C4EA4CF" w14:textId="77777777" w:rsidR="00890FEB" w:rsidRDefault="00890FEB" w:rsidP="00F828A6"/>
    <w:p w14:paraId="3B66AAF2" w14:textId="732B6A50" w:rsidR="00BC7F13" w:rsidRDefault="00BC7F13" w:rsidP="00C76EB4">
      <w:pPr>
        <w:pStyle w:val="Caption"/>
      </w:pPr>
    </w:p>
    <w:p w14:paraId="57A594EF" w14:textId="39F3C816" w:rsidR="00D65CD2" w:rsidRDefault="00D65CD2" w:rsidP="00B858BF">
      <w:pPr>
        <w:pStyle w:val="Caption"/>
      </w:pPr>
      <w:r w:rsidRPr="0007098D">
        <w:lastRenderedPageBreak/>
        <w:t xml:space="preserve">Pre-2019 DOE Efficiency Levels for Commercial Pre-Rinse Spray Valves </w:t>
      </w:r>
      <w:r w:rsidR="00BC7F13">
        <w:rPr>
          <w:rFonts w:cstheme="minorHAnsi"/>
        </w:rPr>
        <w:t>≤</w:t>
      </w:r>
      <w:r w:rsidR="006947CC">
        <w:t xml:space="preserve"> </w:t>
      </w:r>
      <w:r w:rsidRPr="0007098D">
        <w:t>5.0 ozf</w:t>
      </w:r>
    </w:p>
    <w:tbl>
      <w:tblPr>
        <w:tblStyle w:val="TableGrid1"/>
        <w:tblW w:w="4934" w:type="pct"/>
        <w:tblLook w:val="04A0" w:firstRow="1" w:lastRow="0" w:firstColumn="1" w:lastColumn="0" w:noHBand="0" w:noVBand="1"/>
      </w:tblPr>
      <w:tblGrid>
        <w:gridCol w:w="2338"/>
        <w:gridCol w:w="5127"/>
        <w:gridCol w:w="1762"/>
      </w:tblGrid>
      <w:tr w:rsidR="00280296" w:rsidRPr="00500C4E" w14:paraId="759723B4" w14:textId="77777777" w:rsidTr="00C76EB4">
        <w:trPr>
          <w:trHeight w:val="250"/>
        </w:trPr>
        <w:tc>
          <w:tcPr>
            <w:tcW w:w="1267" w:type="pct"/>
            <w:shd w:val="clear" w:color="auto" w:fill="D9D9D9" w:themeFill="background1" w:themeFillShade="D9"/>
          </w:tcPr>
          <w:p w14:paraId="13A0A004" w14:textId="5AB05C99" w:rsidR="00280296" w:rsidRPr="00920905" w:rsidRDefault="00280296" w:rsidP="00B810B0">
            <w:pPr>
              <w:rPr>
                <w:rFonts w:cstheme="minorHAnsi"/>
                <w:b/>
                <w:szCs w:val="20"/>
              </w:rPr>
            </w:pPr>
            <w:r>
              <w:rPr>
                <w:rFonts w:cstheme="minorHAnsi"/>
                <w:b/>
                <w:szCs w:val="20"/>
              </w:rPr>
              <w:t>Efficiency Level</w:t>
            </w:r>
          </w:p>
        </w:tc>
        <w:tc>
          <w:tcPr>
            <w:tcW w:w="2778" w:type="pct"/>
            <w:shd w:val="clear" w:color="auto" w:fill="D9D9D9" w:themeFill="background1" w:themeFillShade="D9"/>
          </w:tcPr>
          <w:p w14:paraId="14278476" w14:textId="48142EAF" w:rsidR="00280296" w:rsidRDefault="00280296" w:rsidP="00B810B0">
            <w:pPr>
              <w:rPr>
                <w:rFonts w:cstheme="minorHAnsi"/>
                <w:b/>
                <w:szCs w:val="20"/>
              </w:rPr>
            </w:pPr>
            <w:r>
              <w:rPr>
                <w:rFonts w:cstheme="minorHAnsi"/>
                <w:b/>
                <w:szCs w:val="20"/>
              </w:rPr>
              <w:t>Descriptions</w:t>
            </w:r>
          </w:p>
        </w:tc>
        <w:tc>
          <w:tcPr>
            <w:tcW w:w="955" w:type="pct"/>
            <w:shd w:val="clear" w:color="auto" w:fill="D9D9D9" w:themeFill="background1" w:themeFillShade="D9"/>
          </w:tcPr>
          <w:p w14:paraId="4B116687" w14:textId="06A41D2E" w:rsidR="00280296" w:rsidRPr="00920905" w:rsidRDefault="00280296" w:rsidP="00B810B0">
            <w:pPr>
              <w:rPr>
                <w:rFonts w:cstheme="minorHAnsi"/>
                <w:b/>
                <w:szCs w:val="20"/>
              </w:rPr>
            </w:pPr>
            <w:r>
              <w:rPr>
                <w:rFonts w:cstheme="minorHAnsi"/>
                <w:b/>
                <w:szCs w:val="20"/>
              </w:rPr>
              <w:t>Flow Rate (gpm)</w:t>
            </w:r>
          </w:p>
        </w:tc>
      </w:tr>
      <w:tr w:rsidR="00280296" w:rsidRPr="006E5509" w14:paraId="24306228" w14:textId="77777777" w:rsidTr="00C76EB4">
        <w:trPr>
          <w:trHeight w:val="251"/>
        </w:trPr>
        <w:tc>
          <w:tcPr>
            <w:tcW w:w="1267" w:type="pct"/>
          </w:tcPr>
          <w:p w14:paraId="4241A85A" w14:textId="57B35181" w:rsidR="00280296" w:rsidRPr="006E5509" w:rsidRDefault="00C90685" w:rsidP="00B810B0">
            <w:pPr>
              <w:rPr>
                <w:szCs w:val="20"/>
              </w:rPr>
            </w:pPr>
            <w:r>
              <w:rPr>
                <w:szCs w:val="20"/>
              </w:rPr>
              <w:t>Baseline</w:t>
            </w:r>
          </w:p>
        </w:tc>
        <w:tc>
          <w:tcPr>
            <w:tcW w:w="2778" w:type="pct"/>
          </w:tcPr>
          <w:p w14:paraId="6BE45730" w14:textId="07A575C8" w:rsidR="00280296" w:rsidRPr="006E5509" w:rsidRDefault="00C90685" w:rsidP="00B810B0">
            <w:pPr>
              <w:rPr>
                <w:szCs w:val="20"/>
              </w:rPr>
            </w:pPr>
            <w:r>
              <w:rPr>
                <w:rFonts w:cstheme="minorHAnsi"/>
                <w:szCs w:val="20"/>
              </w:rPr>
              <w:t>Current Federal Standard</w:t>
            </w:r>
          </w:p>
        </w:tc>
        <w:tc>
          <w:tcPr>
            <w:tcW w:w="955" w:type="pct"/>
          </w:tcPr>
          <w:p w14:paraId="31F1CC1E" w14:textId="032D8518" w:rsidR="00280296" w:rsidRPr="006E5509" w:rsidRDefault="00C90685" w:rsidP="00B810B0">
            <w:pPr>
              <w:rPr>
                <w:szCs w:val="20"/>
              </w:rPr>
            </w:pPr>
            <w:r>
              <w:rPr>
                <w:szCs w:val="20"/>
              </w:rPr>
              <w:t>1.60</w:t>
            </w:r>
          </w:p>
        </w:tc>
      </w:tr>
      <w:tr w:rsidR="00280296" w:rsidRPr="006E5509" w14:paraId="6D2DE46E" w14:textId="77777777" w:rsidTr="00C76EB4">
        <w:trPr>
          <w:trHeight w:val="251"/>
        </w:trPr>
        <w:tc>
          <w:tcPr>
            <w:tcW w:w="1267" w:type="pct"/>
          </w:tcPr>
          <w:p w14:paraId="6F326867" w14:textId="20344026" w:rsidR="00280296" w:rsidRPr="006E5509" w:rsidRDefault="00C90685" w:rsidP="00B810B0">
            <w:pPr>
              <w:rPr>
                <w:szCs w:val="20"/>
              </w:rPr>
            </w:pPr>
            <w:r>
              <w:rPr>
                <w:szCs w:val="20"/>
              </w:rPr>
              <w:t>Level 1</w:t>
            </w:r>
          </w:p>
        </w:tc>
        <w:tc>
          <w:tcPr>
            <w:tcW w:w="2778" w:type="pct"/>
          </w:tcPr>
          <w:p w14:paraId="7BDC2961" w14:textId="584FBFE5" w:rsidR="00280296" w:rsidRPr="006E5509" w:rsidRDefault="00C90685" w:rsidP="00B810B0">
            <w:pPr>
              <w:rPr>
                <w:szCs w:val="20"/>
              </w:rPr>
            </w:pPr>
            <w:r>
              <w:rPr>
                <w:szCs w:val="20"/>
              </w:rPr>
              <w:t xml:space="preserve">Market </w:t>
            </w:r>
            <w:r w:rsidR="0019543A">
              <w:rPr>
                <w:szCs w:val="20"/>
              </w:rPr>
              <w:t>Minimum</w:t>
            </w:r>
          </w:p>
        </w:tc>
        <w:tc>
          <w:tcPr>
            <w:tcW w:w="955" w:type="pct"/>
          </w:tcPr>
          <w:p w14:paraId="482C7915" w14:textId="7ED8780B" w:rsidR="00280296" w:rsidRPr="006E5509" w:rsidRDefault="00C90685" w:rsidP="00B810B0">
            <w:pPr>
              <w:rPr>
                <w:szCs w:val="20"/>
              </w:rPr>
            </w:pPr>
            <w:r>
              <w:rPr>
                <w:szCs w:val="20"/>
              </w:rPr>
              <w:t>1.00</w:t>
            </w:r>
          </w:p>
        </w:tc>
      </w:tr>
      <w:tr w:rsidR="00280296" w:rsidRPr="006E5509" w14:paraId="40C123B4" w14:textId="77777777" w:rsidTr="00C76EB4">
        <w:trPr>
          <w:trHeight w:val="251"/>
        </w:trPr>
        <w:tc>
          <w:tcPr>
            <w:tcW w:w="1267" w:type="pct"/>
          </w:tcPr>
          <w:p w14:paraId="14A14CF2" w14:textId="49C55FF1" w:rsidR="00280296" w:rsidRPr="006E5509" w:rsidRDefault="00C90685" w:rsidP="00B810B0">
            <w:pPr>
              <w:rPr>
                <w:szCs w:val="20"/>
              </w:rPr>
            </w:pPr>
            <w:r>
              <w:rPr>
                <w:szCs w:val="20"/>
              </w:rPr>
              <w:t>Level 2</w:t>
            </w:r>
          </w:p>
        </w:tc>
        <w:tc>
          <w:tcPr>
            <w:tcW w:w="2778" w:type="pct"/>
          </w:tcPr>
          <w:p w14:paraId="0B11927F" w14:textId="2370B7E0" w:rsidR="00280296" w:rsidRPr="006E5509" w:rsidRDefault="00C90685" w:rsidP="00B810B0">
            <w:pPr>
              <w:rPr>
                <w:szCs w:val="20"/>
              </w:rPr>
            </w:pPr>
            <w:r>
              <w:rPr>
                <w:szCs w:val="20"/>
              </w:rPr>
              <w:t>15% improvement over market minimum</w:t>
            </w:r>
          </w:p>
        </w:tc>
        <w:tc>
          <w:tcPr>
            <w:tcW w:w="955" w:type="pct"/>
          </w:tcPr>
          <w:p w14:paraId="3C2DB68D" w14:textId="3F6A9E70" w:rsidR="00280296" w:rsidRPr="006E5509" w:rsidRDefault="00C90685" w:rsidP="00B810B0">
            <w:pPr>
              <w:rPr>
                <w:szCs w:val="20"/>
              </w:rPr>
            </w:pPr>
            <w:r>
              <w:rPr>
                <w:szCs w:val="20"/>
              </w:rPr>
              <w:t>0.85</w:t>
            </w:r>
          </w:p>
        </w:tc>
      </w:tr>
      <w:tr w:rsidR="00C90685" w:rsidRPr="006E5509" w14:paraId="5293F6E1" w14:textId="77777777" w:rsidTr="00C76EB4">
        <w:trPr>
          <w:trHeight w:val="251"/>
        </w:trPr>
        <w:tc>
          <w:tcPr>
            <w:tcW w:w="1267" w:type="pct"/>
          </w:tcPr>
          <w:p w14:paraId="581720A2" w14:textId="657E981F" w:rsidR="00C90685" w:rsidRDefault="00C90685" w:rsidP="00B810B0">
            <w:pPr>
              <w:rPr>
                <w:szCs w:val="20"/>
              </w:rPr>
            </w:pPr>
            <w:r>
              <w:rPr>
                <w:szCs w:val="20"/>
              </w:rPr>
              <w:t>Level 3</w:t>
            </w:r>
          </w:p>
        </w:tc>
        <w:tc>
          <w:tcPr>
            <w:tcW w:w="2778" w:type="pct"/>
          </w:tcPr>
          <w:p w14:paraId="0A4BC20B" w14:textId="06A3FC7D" w:rsidR="00C90685" w:rsidRDefault="005C6F53" w:rsidP="00B810B0">
            <w:pPr>
              <w:rPr>
                <w:szCs w:val="20"/>
              </w:rPr>
            </w:pPr>
            <w:r>
              <w:rPr>
                <w:szCs w:val="20"/>
              </w:rPr>
              <w:t>25% improvement over market minimum</w:t>
            </w:r>
          </w:p>
        </w:tc>
        <w:tc>
          <w:tcPr>
            <w:tcW w:w="955" w:type="pct"/>
          </w:tcPr>
          <w:p w14:paraId="175FD5A6" w14:textId="776C6B8B" w:rsidR="00C90685" w:rsidRDefault="005C6F53" w:rsidP="00B810B0">
            <w:pPr>
              <w:rPr>
                <w:szCs w:val="20"/>
              </w:rPr>
            </w:pPr>
            <w:r>
              <w:rPr>
                <w:szCs w:val="20"/>
              </w:rPr>
              <w:t>0.75</w:t>
            </w:r>
          </w:p>
        </w:tc>
      </w:tr>
      <w:tr w:rsidR="005C6F53" w:rsidRPr="006E5509" w14:paraId="42034188" w14:textId="77777777" w:rsidTr="00C76EB4">
        <w:trPr>
          <w:trHeight w:val="251"/>
        </w:trPr>
        <w:tc>
          <w:tcPr>
            <w:tcW w:w="1267" w:type="pct"/>
          </w:tcPr>
          <w:p w14:paraId="687577E0" w14:textId="5F3EC528" w:rsidR="005C6F53" w:rsidRDefault="005C6F53" w:rsidP="00B810B0">
            <w:pPr>
              <w:rPr>
                <w:szCs w:val="20"/>
              </w:rPr>
            </w:pPr>
            <w:r>
              <w:rPr>
                <w:szCs w:val="20"/>
              </w:rPr>
              <w:t>Level 4</w:t>
            </w:r>
          </w:p>
        </w:tc>
        <w:tc>
          <w:tcPr>
            <w:tcW w:w="2778" w:type="pct"/>
          </w:tcPr>
          <w:p w14:paraId="7D84B246" w14:textId="40BEAEDC" w:rsidR="005C6F53" w:rsidRDefault="005C6F53" w:rsidP="00B810B0">
            <w:pPr>
              <w:rPr>
                <w:szCs w:val="20"/>
              </w:rPr>
            </w:pPr>
            <w:r>
              <w:rPr>
                <w:szCs w:val="20"/>
              </w:rPr>
              <w:t>Maximum technologically-feasible (max-tech)</w:t>
            </w:r>
          </w:p>
        </w:tc>
        <w:tc>
          <w:tcPr>
            <w:tcW w:w="955" w:type="pct"/>
          </w:tcPr>
          <w:p w14:paraId="66B828D4" w14:textId="691970EE" w:rsidR="005C6F53" w:rsidRDefault="005C6F53" w:rsidP="00B810B0">
            <w:pPr>
              <w:rPr>
                <w:szCs w:val="20"/>
              </w:rPr>
            </w:pPr>
            <w:r>
              <w:rPr>
                <w:szCs w:val="20"/>
              </w:rPr>
              <w:t>0.62</w:t>
            </w:r>
          </w:p>
        </w:tc>
      </w:tr>
    </w:tbl>
    <w:p w14:paraId="347711D7" w14:textId="77777777" w:rsidR="006702C1" w:rsidRDefault="006702C1" w:rsidP="00F828A6"/>
    <w:p w14:paraId="56F42A1D" w14:textId="33357A73" w:rsidR="00D65CD2" w:rsidRDefault="00D65CD2" w:rsidP="004153FD">
      <w:pPr>
        <w:pStyle w:val="Caption"/>
      </w:pPr>
      <w:r w:rsidRPr="0007098D">
        <w:t xml:space="preserve">Pre-2019 DOE Efficiency Levels for Commercial Pre-Rinse Spray Valves </w:t>
      </w:r>
      <w:r w:rsidR="002776D2">
        <w:t xml:space="preserve">&gt; </w:t>
      </w:r>
      <w:r w:rsidRPr="0007098D">
        <w:t xml:space="preserve">5.0 </w:t>
      </w:r>
      <w:r w:rsidR="002776D2">
        <w:t xml:space="preserve">and </w:t>
      </w:r>
      <w:r w:rsidR="002776D2">
        <w:rPr>
          <w:rFonts w:cstheme="minorHAnsi"/>
        </w:rPr>
        <w:t>≤</w:t>
      </w:r>
      <w:r w:rsidR="002172D0">
        <w:t xml:space="preserve"> </w:t>
      </w:r>
      <w:r w:rsidRPr="0007098D">
        <w:t>8.0 ozf</w:t>
      </w:r>
    </w:p>
    <w:tbl>
      <w:tblPr>
        <w:tblStyle w:val="TableGrid1"/>
        <w:tblW w:w="4934" w:type="pct"/>
        <w:tblLook w:val="04A0" w:firstRow="1" w:lastRow="0" w:firstColumn="1" w:lastColumn="0" w:noHBand="0" w:noVBand="1"/>
      </w:tblPr>
      <w:tblGrid>
        <w:gridCol w:w="2338"/>
        <w:gridCol w:w="5127"/>
        <w:gridCol w:w="1762"/>
      </w:tblGrid>
      <w:tr w:rsidR="005C6F53" w:rsidRPr="00500C4E" w14:paraId="7116CCF6" w14:textId="77777777" w:rsidTr="7E9E03BC">
        <w:trPr>
          <w:trHeight w:val="250"/>
        </w:trPr>
        <w:tc>
          <w:tcPr>
            <w:tcW w:w="1267" w:type="pct"/>
            <w:shd w:val="clear" w:color="auto" w:fill="D9D9D9" w:themeFill="background1" w:themeFillShade="D9"/>
          </w:tcPr>
          <w:p w14:paraId="08B8939B" w14:textId="77777777" w:rsidR="005C6F53" w:rsidRPr="00920905" w:rsidRDefault="005C6F53" w:rsidP="00B810B0">
            <w:pPr>
              <w:rPr>
                <w:rFonts w:cstheme="minorHAnsi"/>
                <w:b/>
                <w:szCs w:val="20"/>
              </w:rPr>
            </w:pPr>
            <w:r>
              <w:rPr>
                <w:rFonts w:cstheme="minorHAnsi"/>
                <w:b/>
                <w:szCs w:val="20"/>
              </w:rPr>
              <w:t>Efficiency Level</w:t>
            </w:r>
          </w:p>
        </w:tc>
        <w:tc>
          <w:tcPr>
            <w:tcW w:w="2778" w:type="pct"/>
            <w:shd w:val="clear" w:color="auto" w:fill="D9D9D9" w:themeFill="background1" w:themeFillShade="D9"/>
          </w:tcPr>
          <w:p w14:paraId="2C036040" w14:textId="77777777" w:rsidR="005C6F53" w:rsidRDefault="005C6F53" w:rsidP="00B810B0">
            <w:pPr>
              <w:rPr>
                <w:rFonts w:cstheme="minorHAnsi"/>
                <w:b/>
                <w:szCs w:val="20"/>
              </w:rPr>
            </w:pPr>
            <w:r>
              <w:rPr>
                <w:rFonts w:cstheme="minorHAnsi"/>
                <w:b/>
                <w:szCs w:val="20"/>
              </w:rPr>
              <w:t>Descriptions</w:t>
            </w:r>
          </w:p>
        </w:tc>
        <w:tc>
          <w:tcPr>
            <w:tcW w:w="955" w:type="pct"/>
            <w:shd w:val="clear" w:color="auto" w:fill="D9D9D9" w:themeFill="background1" w:themeFillShade="D9"/>
          </w:tcPr>
          <w:p w14:paraId="189040E8" w14:textId="77777777" w:rsidR="005C6F53" w:rsidRPr="00920905" w:rsidRDefault="005C6F53" w:rsidP="00B810B0">
            <w:pPr>
              <w:rPr>
                <w:rFonts w:cstheme="minorHAnsi"/>
                <w:b/>
                <w:szCs w:val="20"/>
              </w:rPr>
            </w:pPr>
            <w:r>
              <w:rPr>
                <w:rFonts w:cstheme="minorHAnsi"/>
                <w:b/>
                <w:szCs w:val="20"/>
              </w:rPr>
              <w:t>Flow Rate (gpm)</w:t>
            </w:r>
          </w:p>
        </w:tc>
      </w:tr>
      <w:tr w:rsidR="005C6F53" w:rsidRPr="006E5509" w14:paraId="6323E165" w14:textId="77777777" w:rsidTr="7E9E03BC">
        <w:trPr>
          <w:trHeight w:val="251"/>
        </w:trPr>
        <w:tc>
          <w:tcPr>
            <w:tcW w:w="1267" w:type="pct"/>
          </w:tcPr>
          <w:p w14:paraId="12C1DA8D" w14:textId="77777777" w:rsidR="005C6F53" w:rsidRPr="006E5509" w:rsidRDefault="005C6F53" w:rsidP="7E9E03BC">
            <w:pPr>
              <w:rPr>
                <w:szCs w:val="20"/>
              </w:rPr>
            </w:pPr>
            <w:r w:rsidRPr="0048438C">
              <w:t>Baseline</w:t>
            </w:r>
          </w:p>
        </w:tc>
        <w:tc>
          <w:tcPr>
            <w:tcW w:w="2778" w:type="pct"/>
          </w:tcPr>
          <w:p w14:paraId="31EA1D54" w14:textId="77777777" w:rsidR="005C6F53" w:rsidRPr="006E5509" w:rsidRDefault="005C6F53" w:rsidP="7E9E03BC">
            <w:pPr>
              <w:rPr>
                <w:szCs w:val="20"/>
              </w:rPr>
            </w:pPr>
            <w:r w:rsidRPr="0048438C">
              <w:rPr>
                <w:rFonts w:cstheme="minorBidi"/>
              </w:rPr>
              <w:t>Current Federal Standard</w:t>
            </w:r>
          </w:p>
        </w:tc>
        <w:tc>
          <w:tcPr>
            <w:tcW w:w="955" w:type="pct"/>
          </w:tcPr>
          <w:p w14:paraId="7D73EBA4" w14:textId="77777777" w:rsidR="005C6F53" w:rsidRPr="006E5509" w:rsidRDefault="005C6F53" w:rsidP="00B810B0">
            <w:pPr>
              <w:rPr>
                <w:szCs w:val="20"/>
              </w:rPr>
            </w:pPr>
            <w:r>
              <w:rPr>
                <w:szCs w:val="20"/>
              </w:rPr>
              <w:t>1.60</w:t>
            </w:r>
          </w:p>
        </w:tc>
      </w:tr>
      <w:tr w:rsidR="005C6F53" w:rsidRPr="006E5509" w14:paraId="05EADE52" w14:textId="77777777" w:rsidTr="7E9E03BC">
        <w:trPr>
          <w:trHeight w:val="251"/>
        </w:trPr>
        <w:tc>
          <w:tcPr>
            <w:tcW w:w="1267" w:type="pct"/>
          </w:tcPr>
          <w:p w14:paraId="728AD267" w14:textId="77777777" w:rsidR="005C6F53" w:rsidRPr="006E5509" w:rsidRDefault="005C6F53" w:rsidP="7E9E03BC">
            <w:pPr>
              <w:rPr>
                <w:szCs w:val="20"/>
              </w:rPr>
            </w:pPr>
            <w:r w:rsidRPr="0048438C">
              <w:t>Level 1</w:t>
            </w:r>
          </w:p>
        </w:tc>
        <w:tc>
          <w:tcPr>
            <w:tcW w:w="2778" w:type="pct"/>
          </w:tcPr>
          <w:p w14:paraId="52B6BD24" w14:textId="25A7630C" w:rsidR="005C6F53" w:rsidRPr="006E5509" w:rsidRDefault="005C6F53" w:rsidP="00B810B0">
            <w:pPr>
              <w:rPr>
                <w:szCs w:val="20"/>
              </w:rPr>
            </w:pPr>
            <w:r>
              <w:rPr>
                <w:szCs w:val="20"/>
              </w:rPr>
              <w:t xml:space="preserve">Market </w:t>
            </w:r>
            <w:r w:rsidR="0019543A">
              <w:rPr>
                <w:szCs w:val="20"/>
              </w:rPr>
              <w:t>Minimum</w:t>
            </w:r>
          </w:p>
        </w:tc>
        <w:tc>
          <w:tcPr>
            <w:tcW w:w="955" w:type="pct"/>
          </w:tcPr>
          <w:p w14:paraId="4782F481" w14:textId="7AE59161" w:rsidR="005C6F53" w:rsidRPr="006E5509" w:rsidRDefault="005C6F53" w:rsidP="00B810B0">
            <w:pPr>
              <w:rPr>
                <w:szCs w:val="20"/>
              </w:rPr>
            </w:pPr>
            <w:r>
              <w:rPr>
                <w:szCs w:val="20"/>
              </w:rPr>
              <w:t>1.20</w:t>
            </w:r>
          </w:p>
        </w:tc>
      </w:tr>
      <w:tr w:rsidR="005C6F53" w:rsidRPr="006E5509" w14:paraId="03B325D9" w14:textId="77777777" w:rsidTr="7E9E03BC">
        <w:trPr>
          <w:trHeight w:val="251"/>
        </w:trPr>
        <w:tc>
          <w:tcPr>
            <w:tcW w:w="1267" w:type="pct"/>
          </w:tcPr>
          <w:p w14:paraId="1E5FA105" w14:textId="77777777" w:rsidR="005C6F53" w:rsidRPr="006E5509" w:rsidRDefault="005C6F53" w:rsidP="7E9E03BC">
            <w:pPr>
              <w:rPr>
                <w:szCs w:val="20"/>
              </w:rPr>
            </w:pPr>
            <w:r w:rsidRPr="0048438C">
              <w:t>Level 2</w:t>
            </w:r>
          </w:p>
        </w:tc>
        <w:tc>
          <w:tcPr>
            <w:tcW w:w="2778" w:type="pct"/>
          </w:tcPr>
          <w:p w14:paraId="55B0FD41" w14:textId="77777777" w:rsidR="005C6F53" w:rsidRPr="006E5509" w:rsidRDefault="005C6F53" w:rsidP="7E9E03BC">
            <w:pPr>
              <w:rPr>
                <w:szCs w:val="20"/>
              </w:rPr>
            </w:pPr>
            <w:r w:rsidRPr="0048438C">
              <w:t>15% improvement over market minimum</w:t>
            </w:r>
          </w:p>
        </w:tc>
        <w:tc>
          <w:tcPr>
            <w:tcW w:w="955" w:type="pct"/>
          </w:tcPr>
          <w:p w14:paraId="01F0888C" w14:textId="339C5EC3" w:rsidR="005C6F53" w:rsidRPr="006E5509" w:rsidRDefault="005C6F53" w:rsidP="00B810B0">
            <w:pPr>
              <w:rPr>
                <w:szCs w:val="20"/>
              </w:rPr>
            </w:pPr>
            <w:r>
              <w:rPr>
                <w:szCs w:val="20"/>
              </w:rPr>
              <w:t>1.02</w:t>
            </w:r>
          </w:p>
        </w:tc>
      </w:tr>
      <w:tr w:rsidR="005C6F53" w:rsidRPr="006E5509" w14:paraId="45FC7993" w14:textId="77777777" w:rsidTr="7E9E03BC">
        <w:trPr>
          <w:trHeight w:val="251"/>
        </w:trPr>
        <w:tc>
          <w:tcPr>
            <w:tcW w:w="1267" w:type="pct"/>
          </w:tcPr>
          <w:p w14:paraId="0ABFB826" w14:textId="77777777" w:rsidR="005C6F53" w:rsidRDefault="005C6F53" w:rsidP="7E9E03BC">
            <w:pPr>
              <w:rPr>
                <w:szCs w:val="20"/>
              </w:rPr>
            </w:pPr>
            <w:r w:rsidRPr="0048438C">
              <w:t>Level 3</w:t>
            </w:r>
          </w:p>
        </w:tc>
        <w:tc>
          <w:tcPr>
            <w:tcW w:w="2778" w:type="pct"/>
          </w:tcPr>
          <w:p w14:paraId="78084AC1" w14:textId="77777777" w:rsidR="005C6F53" w:rsidRDefault="005C6F53" w:rsidP="7E9E03BC">
            <w:pPr>
              <w:rPr>
                <w:szCs w:val="20"/>
              </w:rPr>
            </w:pPr>
            <w:r w:rsidRPr="0048438C">
              <w:t>25% improvement over market minimum</w:t>
            </w:r>
          </w:p>
        </w:tc>
        <w:tc>
          <w:tcPr>
            <w:tcW w:w="955" w:type="pct"/>
          </w:tcPr>
          <w:p w14:paraId="7128D190" w14:textId="17E5384B" w:rsidR="005C6F53" w:rsidRDefault="005C6F53" w:rsidP="00B810B0">
            <w:pPr>
              <w:rPr>
                <w:szCs w:val="20"/>
              </w:rPr>
            </w:pPr>
            <w:r>
              <w:rPr>
                <w:szCs w:val="20"/>
              </w:rPr>
              <w:t>0.90</w:t>
            </w:r>
          </w:p>
        </w:tc>
      </w:tr>
      <w:tr w:rsidR="005C6F53" w:rsidRPr="006E5509" w14:paraId="72C9618E" w14:textId="77777777" w:rsidTr="7E9E03BC">
        <w:trPr>
          <w:trHeight w:val="251"/>
        </w:trPr>
        <w:tc>
          <w:tcPr>
            <w:tcW w:w="1267" w:type="pct"/>
          </w:tcPr>
          <w:p w14:paraId="01D0C46A" w14:textId="77777777" w:rsidR="005C6F53" w:rsidRDefault="005C6F53" w:rsidP="7E9E03BC">
            <w:pPr>
              <w:rPr>
                <w:szCs w:val="20"/>
              </w:rPr>
            </w:pPr>
            <w:r w:rsidRPr="0048438C">
              <w:t>Level 4</w:t>
            </w:r>
          </w:p>
        </w:tc>
        <w:tc>
          <w:tcPr>
            <w:tcW w:w="2778" w:type="pct"/>
          </w:tcPr>
          <w:p w14:paraId="410BB8FA" w14:textId="77777777" w:rsidR="005C6F53" w:rsidRDefault="005C6F53" w:rsidP="7E9E03BC">
            <w:pPr>
              <w:rPr>
                <w:szCs w:val="20"/>
              </w:rPr>
            </w:pPr>
            <w:r w:rsidRPr="0048438C">
              <w:t>Maximum technologically-feasible (max-tech)</w:t>
            </w:r>
          </w:p>
        </w:tc>
        <w:tc>
          <w:tcPr>
            <w:tcW w:w="955" w:type="pct"/>
          </w:tcPr>
          <w:p w14:paraId="79C41793" w14:textId="074AD7EF" w:rsidR="005C6F53" w:rsidRDefault="005C6F53" w:rsidP="00B810B0">
            <w:pPr>
              <w:rPr>
                <w:szCs w:val="20"/>
              </w:rPr>
            </w:pPr>
            <w:r>
              <w:rPr>
                <w:szCs w:val="20"/>
              </w:rPr>
              <w:t>0.73</w:t>
            </w:r>
          </w:p>
        </w:tc>
      </w:tr>
    </w:tbl>
    <w:p w14:paraId="5E29A547" w14:textId="77777777" w:rsidR="006702C1" w:rsidRDefault="006702C1" w:rsidP="00F828A6"/>
    <w:p w14:paraId="7EB66E07" w14:textId="6712E2F7" w:rsidR="00D65CD2" w:rsidRDefault="00D65CD2" w:rsidP="004153FD">
      <w:pPr>
        <w:pStyle w:val="Caption"/>
      </w:pPr>
      <w:r w:rsidRPr="0007098D">
        <w:t>Pre-2019 DOE Efficiency Levels for Commercial Pre-Rinse Spray Valves &gt;</w:t>
      </w:r>
      <w:r w:rsidR="0007098D">
        <w:t xml:space="preserve"> </w:t>
      </w:r>
      <w:r w:rsidRPr="0007098D">
        <w:t>8.0 ozf</w:t>
      </w:r>
    </w:p>
    <w:tbl>
      <w:tblPr>
        <w:tblStyle w:val="TableGrid1"/>
        <w:tblW w:w="4934" w:type="pct"/>
        <w:tblLook w:val="04A0" w:firstRow="1" w:lastRow="0" w:firstColumn="1" w:lastColumn="0" w:noHBand="0" w:noVBand="1"/>
      </w:tblPr>
      <w:tblGrid>
        <w:gridCol w:w="2338"/>
        <w:gridCol w:w="5127"/>
        <w:gridCol w:w="1762"/>
      </w:tblGrid>
      <w:tr w:rsidR="00437508" w:rsidRPr="00500C4E" w14:paraId="00B4B55B" w14:textId="77777777" w:rsidTr="7E9E03BC">
        <w:trPr>
          <w:trHeight w:val="250"/>
        </w:trPr>
        <w:tc>
          <w:tcPr>
            <w:tcW w:w="1267" w:type="pct"/>
            <w:shd w:val="clear" w:color="auto" w:fill="D9D9D9" w:themeFill="background1" w:themeFillShade="D9"/>
          </w:tcPr>
          <w:p w14:paraId="7F2A41B3" w14:textId="77777777" w:rsidR="00437508" w:rsidRPr="00C76EB4" w:rsidRDefault="00437508">
            <w:pPr>
              <w:rPr>
                <w:rFonts w:cstheme="minorBidi"/>
                <w:b/>
                <w:bCs/>
              </w:rPr>
            </w:pPr>
            <w:r w:rsidRPr="0048438C">
              <w:rPr>
                <w:rFonts w:cstheme="minorBidi"/>
                <w:b/>
              </w:rPr>
              <w:t>Efficiency Level</w:t>
            </w:r>
          </w:p>
        </w:tc>
        <w:tc>
          <w:tcPr>
            <w:tcW w:w="2778" w:type="pct"/>
            <w:shd w:val="clear" w:color="auto" w:fill="D9D9D9" w:themeFill="background1" w:themeFillShade="D9"/>
          </w:tcPr>
          <w:p w14:paraId="13275C14" w14:textId="77777777" w:rsidR="00437508" w:rsidRPr="00C76EB4" w:rsidRDefault="00437508">
            <w:pPr>
              <w:rPr>
                <w:rFonts w:cstheme="minorBidi"/>
                <w:b/>
                <w:bCs/>
              </w:rPr>
            </w:pPr>
            <w:r w:rsidRPr="0048438C">
              <w:rPr>
                <w:rFonts w:cstheme="minorBidi"/>
                <w:b/>
              </w:rPr>
              <w:t>Descriptions</w:t>
            </w:r>
          </w:p>
        </w:tc>
        <w:tc>
          <w:tcPr>
            <w:tcW w:w="955" w:type="pct"/>
            <w:shd w:val="clear" w:color="auto" w:fill="D9D9D9" w:themeFill="background1" w:themeFillShade="D9"/>
          </w:tcPr>
          <w:p w14:paraId="68041C0B" w14:textId="77777777" w:rsidR="00437508" w:rsidRPr="00920905" w:rsidRDefault="00437508" w:rsidP="00B810B0">
            <w:pPr>
              <w:rPr>
                <w:rFonts w:cstheme="minorHAnsi"/>
                <w:b/>
                <w:szCs w:val="20"/>
              </w:rPr>
            </w:pPr>
            <w:r>
              <w:rPr>
                <w:rFonts w:cstheme="minorHAnsi"/>
                <w:b/>
                <w:szCs w:val="20"/>
              </w:rPr>
              <w:t>Flow Rate (gpm)</w:t>
            </w:r>
          </w:p>
        </w:tc>
      </w:tr>
      <w:tr w:rsidR="00437508" w:rsidRPr="006E5509" w14:paraId="263BC676" w14:textId="77777777" w:rsidTr="7E9E03BC">
        <w:trPr>
          <w:trHeight w:val="251"/>
        </w:trPr>
        <w:tc>
          <w:tcPr>
            <w:tcW w:w="1267" w:type="pct"/>
          </w:tcPr>
          <w:p w14:paraId="2F9E11FE" w14:textId="77777777" w:rsidR="00437508" w:rsidRPr="006E5509" w:rsidRDefault="00437508" w:rsidP="7E9E03BC">
            <w:pPr>
              <w:rPr>
                <w:szCs w:val="20"/>
              </w:rPr>
            </w:pPr>
            <w:r w:rsidRPr="0048438C">
              <w:t>Baseline</w:t>
            </w:r>
          </w:p>
        </w:tc>
        <w:tc>
          <w:tcPr>
            <w:tcW w:w="2778" w:type="pct"/>
          </w:tcPr>
          <w:p w14:paraId="5E24FE03" w14:textId="77777777" w:rsidR="00437508" w:rsidRPr="006E5509" w:rsidRDefault="00437508" w:rsidP="7E9E03BC">
            <w:pPr>
              <w:rPr>
                <w:szCs w:val="20"/>
              </w:rPr>
            </w:pPr>
            <w:r w:rsidRPr="0048438C">
              <w:rPr>
                <w:rFonts w:cstheme="minorBidi"/>
              </w:rPr>
              <w:t>Current Federal Standard</w:t>
            </w:r>
          </w:p>
        </w:tc>
        <w:tc>
          <w:tcPr>
            <w:tcW w:w="955" w:type="pct"/>
          </w:tcPr>
          <w:p w14:paraId="4C319C08" w14:textId="77777777" w:rsidR="00437508" w:rsidRPr="006E5509" w:rsidRDefault="00437508" w:rsidP="00B810B0">
            <w:pPr>
              <w:rPr>
                <w:szCs w:val="20"/>
              </w:rPr>
            </w:pPr>
            <w:r>
              <w:rPr>
                <w:szCs w:val="20"/>
              </w:rPr>
              <w:t>1.60</w:t>
            </w:r>
          </w:p>
        </w:tc>
      </w:tr>
      <w:tr w:rsidR="00437508" w:rsidRPr="006E5509" w14:paraId="7AC4F028" w14:textId="77777777" w:rsidTr="7E9E03BC">
        <w:trPr>
          <w:trHeight w:val="251"/>
        </w:trPr>
        <w:tc>
          <w:tcPr>
            <w:tcW w:w="1267" w:type="pct"/>
          </w:tcPr>
          <w:p w14:paraId="5E395164" w14:textId="77777777" w:rsidR="00437508" w:rsidRPr="006E5509" w:rsidRDefault="00437508" w:rsidP="7E9E03BC">
            <w:pPr>
              <w:rPr>
                <w:szCs w:val="20"/>
              </w:rPr>
            </w:pPr>
            <w:r w:rsidRPr="0048438C">
              <w:t>Level 1</w:t>
            </w:r>
          </w:p>
        </w:tc>
        <w:tc>
          <w:tcPr>
            <w:tcW w:w="2778" w:type="pct"/>
          </w:tcPr>
          <w:p w14:paraId="57F44FD4" w14:textId="1BDF529A" w:rsidR="00437508" w:rsidRPr="006E5509" w:rsidRDefault="00437508" w:rsidP="00B810B0">
            <w:pPr>
              <w:rPr>
                <w:szCs w:val="20"/>
              </w:rPr>
            </w:pPr>
            <w:r>
              <w:rPr>
                <w:szCs w:val="20"/>
              </w:rPr>
              <w:t xml:space="preserve">10% improvement over </w:t>
            </w:r>
            <w:r w:rsidR="0019543A">
              <w:rPr>
                <w:szCs w:val="20"/>
              </w:rPr>
              <w:t>baseline</w:t>
            </w:r>
          </w:p>
        </w:tc>
        <w:tc>
          <w:tcPr>
            <w:tcW w:w="955" w:type="pct"/>
          </w:tcPr>
          <w:p w14:paraId="52A76470" w14:textId="2DFFC079" w:rsidR="00437508" w:rsidRPr="006E5509" w:rsidRDefault="00437508" w:rsidP="00B810B0">
            <w:pPr>
              <w:rPr>
                <w:szCs w:val="20"/>
              </w:rPr>
            </w:pPr>
            <w:r>
              <w:rPr>
                <w:szCs w:val="20"/>
              </w:rPr>
              <w:t>1.44</w:t>
            </w:r>
          </w:p>
        </w:tc>
      </w:tr>
      <w:tr w:rsidR="00437508" w:rsidRPr="006E5509" w14:paraId="1193AB50" w14:textId="77777777" w:rsidTr="7E9E03BC">
        <w:trPr>
          <w:trHeight w:val="251"/>
        </w:trPr>
        <w:tc>
          <w:tcPr>
            <w:tcW w:w="1267" w:type="pct"/>
          </w:tcPr>
          <w:p w14:paraId="703E15B4" w14:textId="77777777" w:rsidR="00437508" w:rsidRPr="006E5509" w:rsidRDefault="00437508" w:rsidP="7E9E03BC">
            <w:pPr>
              <w:rPr>
                <w:szCs w:val="20"/>
              </w:rPr>
            </w:pPr>
            <w:r w:rsidRPr="0048438C">
              <w:t>Level 2</w:t>
            </w:r>
          </w:p>
        </w:tc>
        <w:tc>
          <w:tcPr>
            <w:tcW w:w="2778" w:type="pct"/>
          </w:tcPr>
          <w:p w14:paraId="18D39F3E" w14:textId="5563785A" w:rsidR="00437508" w:rsidRPr="006E5509" w:rsidRDefault="00437508" w:rsidP="00B810B0">
            <w:pPr>
              <w:rPr>
                <w:szCs w:val="20"/>
              </w:rPr>
            </w:pPr>
            <w:r>
              <w:rPr>
                <w:szCs w:val="20"/>
              </w:rPr>
              <w:t>WaterSense level; 20% improvement over baseline</w:t>
            </w:r>
          </w:p>
        </w:tc>
        <w:tc>
          <w:tcPr>
            <w:tcW w:w="955" w:type="pct"/>
          </w:tcPr>
          <w:p w14:paraId="0990C2F3" w14:textId="2E59FEE5" w:rsidR="00437508" w:rsidRPr="006E5509" w:rsidRDefault="00437508" w:rsidP="00B810B0">
            <w:pPr>
              <w:rPr>
                <w:szCs w:val="20"/>
              </w:rPr>
            </w:pPr>
            <w:r>
              <w:rPr>
                <w:szCs w:val="20"/>
              </w:rPr>
              <w:t>1.28</w:t>
            </w:r>
          </w:p>
        </w:tc>
      </w:tr>
      <w:tr w:rsidR="00437508" w:rsidRPr="006E5509" w14:paraId="0E7D6D93" w14:textId="77777777" w:rsidTr="7E9E03BC">
        <w:trPr>
          <w:trHeight w:val="251"/>
        </w:trPr>
        <w:tc>
          <w:tcPr>
            <w:tcW w:w="1267" w:type="pct"/>
          </w:tcPr>
          <w:p w14:paraId="691FD707" w14:textId="77777777" w:rsidR="00437508" w:rsidRDefault="00437508" w:rsidP="7E9E03BC">
            <w:pPr>
              <w:rPr>
                <w:szCs w:val="20"/>
              </w:rPr>
            </w:pPr>
            <w:r w:rsidRPr="0048438C">
              <w:t>Level 3</w:t>
            </w:r>
          </w:p>
        </w:tc>
        <w:tc>
          <w:tcPr>
            <w:tcW w:w="2778" w:type="pct"/>
          </w:tcPr>
          <w:p w14:paraId="058925E0" w14:textId="2AF18E6E" w:rsidR="00437508" w:rsidRDefault="00437508" w:rsidP="7E9E03BC">
            <w:pPr>
              <w:rPr>
                <w:szCs w:val="20"/>
              </w:rPr>
            </w:pPr>
            <w:r w:rsidRPr="0048438C">
              <w:t>Maximum technologically feasible (max-tech)</w:t>
            </w:r>
          </w:p>
        </w:tc>
        <w:tc>
          <w:tcPr>
            <w:tcW w:w="955" w:type="pct"/>
          </w:tcPr>
          <w:p w14:paraId="797EBF4A" w14:textId="41456CA3" w:rsidR="00437508" w:rsidRDefault="00437508" w:rsidP="00B810B0">
            <w:pPr>
              <w:rPr>
                <w:szCs w:val="20"/>
              </w:rPr>
            </w:pPr>
            <w:r>
              <w:rPr>
                <w:szCs w:val="20"/>
              </w:rPr>
              <w:t>1.13</w:t>
            </w:r>
          </w:p>
        </w:tc>
      </w:tr>
    </w:tbl>
    <w:p w14:paraId="4569B518" w14:textId="77777777" w:rsidR="006702C1" w:rsidRDefault="006702C1" w:rsidP="00F828A6">
      <w:pPr>
        <w:rPr>
          <w:rFonts w:cs="Arial"/>
          <w:szCs w:val="20"/>
        </w:rPr>
      </w:pPr>
    </w:p>
    <w:p w14:paraId="3B3E476E" w14:textId="4680BD41" w:rsidR="00DC487E" w:rsidRPr="00002FF3" w:rsidRDefault="00A36D37" w:rsidP="002172D0">
      <w:pPr>
        <w:pStyle w:val="Caption"/>
        <w:rPr>
          <w:b w:val="0"/>
        </w:rPr>
      </w:pPr>
      <w:r w:rsidRPr="002C58D0">
        <w:rPr>
          <w:rFonts w:cstheme="minorHAnsi"/>
          <w:b w:val="0"/>
          <w:szCs w:val="20"/>
        </w:rPr>
        <w:t>C</w:t>
      </w:r>
      <w:r w:rsidR="00437508" w:rsidRPr="002C58D0">
        <w:rPr>
          <w:rFonts w:cstheme="minorHAnsi"/>
          <w:b w:val="0"/>
          <w:szCs w:val="20"/>
        </w:rPr>
        <w:t>onsortium for Energy Efficiency (C</w:t>
      </w:r>
      <w:r w:rsidRPr="002C58D0">
        <w:rPr>
          <w:rFonts w:cstheme="minorHAnsi"/>
          <w:b w:val="0"/>
          <w:szCs w:val="20"/>
        </w:rPr>
        <w:t>EE</w:t>
      </w:r>
      <w:r w:rsidR="00437508" w:rsidRPr="002C58D0">
        <w:rPr>
          <w:rFonts w:cstheme="minorHAnsi"/>
          <w:b w:val="0"/>
          <w:szCs w:val="20"/>
        </w:rPr>
        <w:t>)</w:t>
      </w:r>
      <w:r w:rsidRPr="002C58D0">
        <w:rPr>
          <w:rFonts w:cstheme="minorHAnsi"/>
          <w:b w:val="0"/>
          <w:szCs w:val="20"/>
        </w:rPr>
        <w:t xml:space="preserve"> analysis of flow</w:t>
      </w:r>
      <w:r w:rsidR="00437508" w:rsidRPr="002C58D0">
        <w:rPr>
          <w:rFonts w:cstheme="minorHAnsi"/>
          <w:b w:val="0"/>
          <w:szCs w:val="20"/>
        </w:rPr>
        <w:t xml:space="preserve"> </w:t>
      </w:r>
      <w:r w:rsidRPr="002C58D0">
        <w:rPr>
          <w:rFonts w:cstheme="minorHAnsi"/>
          <w:b w:val="0"/>
          <w:szCs w:val="20"/>
        </w:rPr>
        <w:t xml:space="preserve">rate and </w:t>
      </w:r>
      <w:r w:rsidR="00437508" w:rsidRPr="002C58D0">
        <w:rPr>
          <w:rFonts w:cstheme="minorHAnsi"/>
          <w:b w:val="0"/>
          <w:szCs w:val="20"/>
        </w:rPr>
        <w:t xml:space="preserve">spray </w:t>
      </w:r>
      <w:r w:rsidRPr="002C58D0">
        <w:rPr>
          <w:rFonts w:cstheme="minorHAnsi"/>
          <w:b w:val="0"/>
          <w:szCs w:val="20"/>
        </w:rPr>
        <w:t xml:space="preserve">force of 53 products from </w:t>
      </w:r>
      <w:r w:rsidR="00BC7F13" w:rsidRPr="002C58D0">
        <w:rPr>
          <w:rFonts w:cstheme="minorHAnsi"/>
          <w:b w:val="0"/>
          <w:szCs w:val="20"/>
        </w:rPr>
        <w:t xml:space="preserve">five </w:t>
      </w:r>
      <w:r w:rsidRPr="002C58D0">
        <w:rPr>
          <w:rFonts w:cstheme="minorHAnsi"/>
          <w:b w:val="0"/>
          <w:szCs w:val="20"/>
        </w:rPr>
        <w:t>spray valve manufacturers in June 2018</w:t>
      </w:r>
      <w:bookmarkStart w:id="16" w:name="_Ref525293878"/>
      <w:r w:rsidR="007D4004" w:rsidRPr="00002FF3">
        <w:rPr>
          <w:rStyle w:val="EndnoteReference"/>
          <w:rFonts w:cstheme="minorHAnsi"/>
          <w:b w:val="0"/>
          <w:szCs w:val="20"/>
        </w:rPr>
        <w:endnoteReference w:id="7"/>
      </w:r>
      <w:bookmarkEnd w:id="16"/>
      <w:r w:rsidR="00A90C82" w:rsidRPr="00002FF3">
        <w:rPr>
          <w:rFonts w:cstheme="minorHAnsi"/>
          <w:b w:val="0"/>
          <w:szCs w:val="20"/>
          <w:vertAlign w:val="superscript"/>
        </w:rPr>
        <w:t>,</w:t>
      </w:r>
      <w:r w:rsidR="00A90C82" w:rsidRPr="002C58D0">
        <w:rPr>
          <w:rFonts w:cstheme="minorHAnsi"/>
          <w:b w:val="0"/>
          <w:szCs w:val="20"/>
          <w:vertAlign w:val="superscript"/>
        </w:rPr>
        <w:fldChar w:fldCharType="begin"/>
      </w:r>
      <w:r w:rsidR="00A90C82" w:rsidRPr="00002FF3">
        <w:rPr>
          <w:rFonts w:cstheme="minorHAnsi"/>
          <w:b w:val="0"/>
          <w:szCs w:val="20"/>
          <w:vertAlign w:val="superscript"/>
        </w:rPr>
        <w:instrText xml:space="preserve"> NOTEREF _Ref525294312 \h  \* MERGEFORMAT </w:instrText>
      </w:r>
      <w:r w:rsidR="00A90C82" w:rsidRPr="002C58D0">
        <w:rPr>
          <w:rFonts w:cstheme="minorHAnsi"/>
          <w:b w:val="0"/>
          <w:szCs w:val="20"/>
          <w:vertAlign w:val="superscript"/>
        </w:rPr>
      </w:r>
      <w:r w:rsidR="00A90C82" w:rsidRPr="002C58D0">
        <w:rPr>
          <w:rFonts w:cstheme="minorHAnsi"/>
          <w:b w:val="0"/>
          <w:szCs w:val="20"/>
          <w:vertAlign w:val="superscript"/>
        </w:rPr>
        <w:fldChar w:fldCharType="separate"/>
      </w:r>
      <w:r w:rsidR="00A90C82" w:rsidRPr="00002FF3">
        <w:rPr>
          <w:rFonts w:cstheme="minorHAnsi"/>
          <w:b w:val="0"/>
          <w:szCs w:val="20"/>
          <w:vertAlign w:val="superscript"/>
        </w:rPr>
        <w:t>8</w:t>
      </w:r>
      <w:r w:rsidR="00A90C82" w:rsidRPr="002C58D0">
        <w:rPr>
          <w:rFonts w:cstheme="minorHAnsi"/>
          <w:b w:val="0"/>
          <w:szCs w:val="20"/>
          <w:vertAlign w:val="superscript"/>
        </w:rPr>
        <w:fldChar w:fldCharType="end"/>
      </w:r>
      <w:r w:rsidRPr="002C58D0">
        <w:rPr>
          <w:rFonts w:cstheme="minorHAnsi"/>
          <w:b w:val="0"/>
          <w:szCs w:val="20"/>
        </w:rPr>
        <w:t xml:space="preserve"> </w:t>
      </w:r>
      <w:r w:rsidR="006E5509" w:rsidRPr="002C58D0">
        <w:rPr>
          <w:rFonts w:cstheme="minorHAnsi"/>
          <w:b w:val="0"/>
          <w:szCs w:val="20"/>
        </w:rPr>
        <w:t>within the three categories set by DOE resulted in new proposed water efficient thresholds.</w:t>
      </w:r>
    </w:p>
    <w:p w14:paraId="4588D83E" w14:textId="77777777" w:rsidR="00DC487E" w:rsidRDefault="00DC487E" w:rsidP="002172D0">
      <w:pPr>
        <w:pStyle w:val="Caption"/>
      </w:pPr>
    </w:p>
    <w:p w14:paraId="31ABB45C" w14:textId="4C3C0C76" w:rsidR="002172D0" w:rsidRPr="00D65CD2" w:rsidRDefault="002172D0" w:rsidP="002172D0">
      <w:pPr>
        <w:pStyle w:val="Caption"/>
        <w:rPr>
          <w:b w:val="0"/>
        </w:rPr>
      </w:pPr>
      <w:r w:rsidRPr="00067418">
        <w:t>CEE Market Analysis of Commercial Pre-Rinse Spray Valves</w:t>
      </w:r>
      <w:bookmarkStart w:id="17" w:name="_Ref525294312"/>
      <w:r w:rsidR="0032392A" w:rsidRPr="00C76EB4">
        <w:rPr>
          <w:vertAlign w:val="superscript"/>
        </w:rPr>
        <w:fldChar w:fldCharType="begin"/>
      </w:r>
      <w:r w:rsidR="0032392A" w:rsidRPr="00C76EB4">
        <w:rPr>
          <w:vertAlign w:val="superscript"/>
        </w:rPr>
        <w:instrText xml:space="preserve"> NOTEREF _Ref525293878 \h </w:instrText>
      </w:r>
      <w:r w:rsidR="0032392A">
        <w:rPr>
          <w:vertAlign w:val="superscript"/>
        </w:rPr>
        <w:instrText xml:space="preserve"> \* MERGEFORMAT </w:instrText>
      </w:r>
      <w:r w:rsidR="0032392A" w:rsidRPr="00C76EB4">
        <w:rPr>
          <w:vertAlign w:val="superscript"/>
        </w:rPr>
      </w:r>
      <w:r w:rsidR="0032392A" w:rsidRPr="00C76EB4">
        <w:rPr>
          <w:vertAlign w:val="superscript"/>
        </w:rPr>
        <w:fldChar w:fldCharType="separate"/>
      </w:r>
      <w:r w:rsidR="0032392A" w:rsidRPr="00C76EB4">
        <w:rPr>
          <w:vertAlign w:val="superscript"/>
        </w:rPr>
        <w:t>7</w:t>
      </w:r>
      <w:r w:rsidR="0032392A" w:rsidRPr="00C76EB4">
        <w:rPr>
          <w:vertAlign w:val="superscript"/>
        </w:rPr>
        <w:fldChar w:fldCharType="end"/>
      </w:r>
      <w:r w:rsidR="0032392A" w:rsidRPr="00C76EB4">
        <w:rPr>
          <w:vertAlign w:val="superscript"/>
        </w:rPr>
        <w:t>,</w:t>
      </w:r>
      <w:r w:rsidR="004F0EB0" w:rsidRPr="00C76EB4">
        <w:rPr>
          <w:rStyle w:val="EndnoteReference"/>
        </w:rPr>
        <w:endnoteReference w:id="8"/>
      </w:r>
      <w:bookmarkEnd w:id="17"/>
    </w:p>
    <w:p w14:paraId="0C4D3AA6" w14:textId="446C256C" w:rsidR="00A36D37" w:rsidRDefault="00A36D37" w:rsidP="00F828A6">
      <w:pPr>
        <w:pStyle w:val="Table"/>
        <w:rPr>
          <w:szCs w:val="20"/>
          <w:highlight w:val="yellow"/>
        </w:rPr>
      </w:pPr>
      <w:r>
        <w:rPr>
          <w:noProof/>
          <w:szCs w:val="20"/>
        </w:rPr>
        <w:drawing>
          <wp:inline distT="0" distB="0" distL="0" distR="0" wp14:anchorId="3A4A5F87" wp14:editId="7676B44B">
            <wp:extent cx="5579263" cy="2633472"/>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EE slide levels.png"/>
                    <pic:cNvPicPr/>
                  </pic:nvPicPr>
                  <pic:blipFill rotWithShape="1">
                    <a:blip r:embed="rId13">
                      <a:extLst>
                        <a:ext uri="{28A0092B-C50C-407E-A947-70E740481C1C}">
                          <a14:useLocalDpi xmlns:a14="http://schemas.microsoft.com/office/drawing/2010/main" val="0"/>
                        </a:ext>
                      </a:extLst>
                    </a:blip>
                    <a:srcRect t="42591"/>
                    <a:stretch/>
                  </pic:blipFill>
                  <pic:spPr bwMode="auto">
                    <a:xfrm>
                      <a:off x="0" y="0"/>
                      <a:ext cx="5636557" cy="2660515"/>
                    </a:xfrm>
                    <a:prstGeom prst="rect">
                      <a:avLst/>
                    </a:prstGeom>
                    <a:ln>
                      <a:noFill/>
                    </a:ln>
                    <a:extLst>
                      <a:ext uri="{53640926-AAD7-44D8-BBD7-CCE9431645EC}">
                        <a14:shadowObscured xmlns:a14="http://schemas.microsoft.com/office/drawing/2010/main"/>
                      </a:ext>
                    </a:extLst>
                  </pic:spPr>
                </pic:pic>
              </a:graphicData>
            </a:graphic>
          </wp:inline>
        </w:drawing>
      </w:r>
    </w:p>
    <w:p w14:paraId="09CFB54B" w14:textId="77777777" w:rsidR="004538D5" w:rsidRDefault="004538D5" w:rsidP="00F828A6">
      <w:pPr>
        <w:pStyle w:val="Table"/>
        <w:rPr>
          <w:rFonts w:asciiTheme="minorHAnsi" w:hAnsiTheme="minorHAnsi" w:cstheme="minorHAnsi"/>
          <w:szCs w:val="20"/>
        </w:rPr>
      </w:pPr>
    </w:p>
    <w:p w14:paraId="006AC090" w14:textId="358B7D20" w:rsidR="006E5509" w:rsidRPr="00C76EB4" w:rsidRDefault="00AC1F78">
      <w:pPr>
        <w:pStyle w:val="Table"/>
        <w:rPr>
          <w:rFonts w:asciiTheme="minorHAnsi" w:hAnsiTheme="minorHAnsi" w:cstheme="minorBidi"/>
        </w:rPr>
      </w:pPr>
      <w:r w:rsidRPr="0048438C">
        <w:rPr>
          <w:rFonts w:asciiTheme="minorHAnsi" w:hAnsiTheme="minorHAnsi" w:cstheme="minorBidi"/>
        </w:rPr>
        <w:t xml:space="preserve">The proposed CEE thresholds reflected the market available models </w:t>
      </w:r>
      <w:r w:rsidR="00232A8C" w:rsidRPr="0048438C">
        <w:rPr>
          <w:rFonts w:asciiTheme="minorHAnsi" w:hAnsiTheme="minorHAnsi" w:cstheme="minorBidi"/>
        </w:rPr>
        <w:t>i</w:t>
      </w:r>
      <w:r w:rsidRPr="0048438C">
        <w:rPr>
          <w:rFonts w:asciiTheme="minorHAnsi" w:hAnsiTheme="minorHAnsi" w:cstheme="minorBidi"/>
        </w:rPr>
        <w:t>n each force category</w:t>
      </w:r>
      <w:r w:rsidR="00744B18" w:rsidRPr="0048438C">
        <w:rPr>
          <w:rFonts w:asciiTheme="minorHAnsi" w:hAnsiTheme="minorHAnsi" w:cstheme="minorBidi"/>
        </w:rPr>
        <w:t xml:space="preserve"> while exhibiting </w:t>
      </w:r>
      <w:r w:rsidR="004538D5" w:rsidRPr="0048438C">
        <w:rPr>
          <w:rFonts w:asciiTheme="minorHAnsi" w:hAnsiTheme="minorHAnsi" w:cstheme="minorBidi"/>
        </w:rPr>
        <w:t>water</w:t>
      </w:r>
      <w:r w:rsidR="00744B18" w:rsidRPr="00CF018E">
        <w:rPr>
          <w:rFonts w:asciiTheme="minorHAnsi" w:hAnsiTheme="minorHAnsi" w:cstheme="minorBidi"/>
        </w:rPr>
        <w:t xml:space="preserve"> savings</w:t>
      </w:r>
      <w:r w:rsidR="004538D5" w:rsidRPr="00CF018E">
        <w:rPr>
          <w:rFonts w:asciiTheme="minorHAnsi" w:hAnsiTheme="minorHAnsi" w:cstheme="minorBidi"/>
        </w:rPr>
        <w:t xml:space="preserve"> over the DOE minimum levels</w:t>
      </w:r>
      <w:r w:rsidR="00744B18" w:rsidRPr="00CF018E">
        <w:rPr>
          <w:rFonts w:asciiTheme="minorHAnsi" w:hAnsiTheme="minorHAnsi" w:cstheme="minorBidi"/>
        </w:rPr>
        <w:t>.</w:t>
      </w:r>
    </w:p>
    <w:p w14:paraId="1A69FE46" w14:textId="77777777" w:rsidR="006E5509" w:rsidRDefault="006E5509" w:rsidP="006E5509"/>
    <w:p w14:paraId="6F4C927A" w14:textId="31249B96" w:rsidR="006E5509" w:rsidRPr="006E5509" w:rsidRDefault="006E5509" w:rsidP="00C76EB4">
      <w:pPr>
        <w:pStyle w:val="Caption"/>
      </w:pPr>
      <w:r w:rsidRPr="00945B8A">
        <w:t>2019 Proposed CEE Thresholds for Commercial Pre-Rinse Spray Valves</w:t>
      </w:r>
    </w:p>
    <w:tbl>
      <w:tblPr>
        <w:tblStyle w:val="TableGrid1"/>
        <w:tblW w:w="4928" w:type="pct"/>
        <w:tblLook w:val="04A0" w:firstRow="1" w:lastRow="0" w:firstColumn="1" w:lastColumn="0" w:noHBand="0" w:noVBand="1"/>
      </w:tblPr>
      <w:tblGrid>
        <w:gridCol w:w="2336"/>
        <w:gridCol w:w="3440"/>
        <w:gridCol w:w="3439"/>
      </w:tblGrid>
      <w:tr w:rsidR="006E5509" w:rsidRPr="00500C4E" w14:paraId="4B339DF7" w14:textId="77777777" w:rsidTr="00C76EB4">
        <w:trPr>
          <w:trHeight w:val="250"/>
        </w:trPr>
        <w:tc>
          <w:tcPr>
            <w:tcW w:w="1267" w:type="pct"/>
            <w:shd w:val="clear" w:color="auto" w:fill="D9D9D9" w:themeFill="background1" w:themeFillShade="D9"/>
          </w:tcPr>
          <w:p w14:paraId="679C4FDC" w14:textId="77777777" w:rsidR="006E5509" w:rsidRPr="00920905" w:rsidRDefault="006E5509" w:rsidP="00F92789">
            <w:pPr>
              <w:rPr>
                <w:rFonts w:cstheme="minorHAnsi"/>
                <w:b/>
                <w:szCs w:val="20"/>
              </w:rPr>
            </w:pPr>
            <w:r>
              <w:rPr>
                <w:rFonts w:cstheme="minorHAnsi"/>
                <w:b/>
                <w:szCs w:val="20"/>
              </w:rPr>
              <w:t>Product Class</w:t>
            </w:r>
          </w:p>
        </w:tc>
        <w:tc>
          <w:tcPr>
            <w:tcW w:w="1866" w:type="pct"/>
            <w:shd w:val="clear" w:color="auto" w:fill="D9D9D9" w:themeFill="background1" w:themeFillShade="D9"/>
          </w:tcPr>
          <w:p w14:paraId="72B0A4FA" w14:textId="77777777" w:rsidR="006E5509" w:rsidRDefault="006E5509" w:rsidP="00F92789">
            <w:pPr>
              <w:rPr>
                <w:rFonts w:cstheme="minorHAnsi"/>
                <w:b/>
                <w:szCs w:val="20"/>
              </w:rPr>
            </w:pPr>
            <w:r>
              <w:rPr>
                <w:rFonts w:cstheme="minorHAnsi"/>
                <w:b/>
                <w:szCs w:val="20"/>
              </w:rPr>
              <w:t>Force Limitations</w:t>
            </w:r>
          </w:p>
        </w:tc>
        <w:tc>
          <w:tcPr>
            <w:tcW w:w="1866" w:type="pct"/>
            <w:shd w:val="clear" w:color="auto" w:fill="D9D9D9" w:themeFill="background1" w:themeFillShade="D9"/>
          </w:tcPr>
          <w:p w14:paraId="7DB606E6" w14:textId="77777777" w:rsidR="006E5509" w:rsidRPr="00920905" w:rsidRDefault="006E5509" w:rsidP="00F92789">
            <w:pPr>
              <w:rPr>
                <w:rFonts w:cstheme="minorHAnsi"/>
                <w:b/>
                <w:szCs w:val="20"/>
              </w:rPr>
            </w:pPr>
            <w:r>
              <w:rPr>
                <w:rFonts w:cstheme="minorHAnsi"/>
                <w:b/>
                <w:szCs w:val="20"/>
              </w:rPr>
              <w:t>Maximum Flow Rate</w:t>
            </w:r>
          </w:p>
        </w:tc>
      </w:tr>
      <w:tr w:rsidR="006E5509" w:rsidRPr="006E5509" w14:paraId="686481E8" w14:textId="77777777" w:rsidTr="00C76EB4">
        <w:trPr>
          <w:trHeight w:val="251"/>
        </w:trPr>
        <w:tc>
          <w:tcPr>
            <w:tcW w:w="1267" w:type="pct"/>
          </w:tcPr>
          <w:p w14:paraId="163FE2AD" w14:textId="77777777" w:rsidR="006E5509" w:rsidRPr="006E5509" w:rsidRDefault="006E5509" w:rsidP="00F92789">
            <w:pPr>
              <w:rPr>
                <w:szCs w:val="20"/>
              </w:rPr>
            </w:pPr>
            <w:r w:rsidRPr="006E5509">
              <w:rPr>
                <w:szCs w:val="20"/>
              </w:rPr>
              <w:t>1</w:t>
            </w:r>
          </w:p>
        </w:tc>
        <w:tc>
          <w:tcPr>
            <w:tcW w:w="1866" w:type="pct"/>
          </w:tcPr>
          <w:p w14:paraId="2BE7C770" w14:textId="434C03D3" w:rsidR="006E5509" w:rsidRPr="006E5509" w:rsidRDefault="00F35AEA" w:rsidP="00F92789">
            <w:pPr>
              <w:rPr>
                <w:szCs w:val="20"/>
              </w:rPr>
            </w:pPr>
            <w:r>
              <w:rPr>
                <w:rFonts w:cstheme="minorHAnsi"/>
                <w:szCs w:val="20"/>
              </w:rPr>
              <w:t>≤</w:t>
            </w:r>
            <w:r w:rsidR="002F3767">
              <w:rPr>
                <w:szCs w:val="20"/>
              </w:rPr>
              <w:t xml:space="preserve"> </w:t>
            </w:r>
            <w:r w:rsidR="006E5509" w:rsidRPr="006E5509">
              <w:rPr>
                <w:szCs w:val="20"/>
              </w:rPr>
              <w:t>5.0 ozf</w:t>
            </w:r>
          </w:p>
        </w:tc>
        <w:tc>
          <w:tcPr>
            <w:tcW w:w="1866" w:type="pct"/>
          </w:tcPr>
          <w:p w14:paraId="75DADD30" w14:textId="77777777" w:rsidR="006E5509" w:rsidRPr="006E5509" w:rsidRDefault="006E5509" w:rsidP="00F92789">
            <w:pPr>
              <w:rPr>
                <w:szCs w:val="20"/>
              </w:rPr>
            </w:pPr>
            <w:r>
              <w:rPr>
                <w:szCs w:val="20"/>
              </w:rPr>
              <w:t xml:space="preserve">0.75 </w:t>
            </w:r>
            <w:r w:rsidRPr="006E5509">
              <w:rPr>
                <w:szCs w:val="20"/>
              </w:rPr>
              <w:t>gpm</w:t>
            </w:r>
          </w:p>
        </w:tc>
      </w:tr>
      <w:tr w:rsidR="006E5509" w:rsidRPr="006E5509" w14:paraId="512BC532" w14:textId="77777777" w:rsidTr="00C76EB4">
        <w:trPr>
          <w:trHeight w:val="251"/>
        </w:trPr>
        <w:tc>
          <w:tcPr>
            <w:tcW w:w="1267" w:type="pct"/>
          </w:tcPr>
          <w:p w14:paraId="72D88AB4" w14:textId="77777777" w:rsidR="006E5509" w:rsidRPr="006E5509" w:rsidRDefault="006E5509" w:rsidP="00F92789">
            <w:pPr>
              <w:rPr>
                <w:szCs w:val="20"/>
              </w:rPr>
            </w:pPr>
            <w:r w:rsidRPr="006E5509">
              <w:rPr>
                <w:szCs w:val="20"/>
              </w:rPr>
              <w:t>2</w:t>
            </w:r>
          </w:p>
        </w:tc>
        <w:tc>
          <w:tcPr>
            <w:tcW w:w="1866" w:type="pct"/>
          </w:tcPr>
          <w:p w14:paraId="784E0B08" w14:textId="563B8F44" w:rsidR="006E5509" w:rsidRPr="006E5509" w:rsidRDefault="006E5509" w:rsidP="00F92789">
            <w:pPr>
              <w:rPr>
                <w:szCs w:val="20"/>
              </w:rPr>
            </w:pPr>
            <w:r w:rsidRPr="006E5509">
              <w:rPr>
                <w:szCs w:val="20"/>
              </w:rPr>
              <w:t>&gt;</w:t>
            </w:r>
            <w:r w:rsidR="002F3767">
              <w:rPr>
                <w:szCs w:val="20"/>
              </w:rPr>
              <w:t xml:space="preserve"> </w:t>
            </w:r>
            <w:r w:rsidRPr="006E5509">
              <w:rPr>
                <w:szCs w:val="20"/>
              </w:rPr>
              <w:t xml:space="preserve">5.0 ozf and </w:t>
            </w:r>
            <w:r w:rsidR="00F35AEA">
              <w:rPr>
                <w:rFonts w:cstheme="minorHAnsi"/>
                <w:szCs w:val="20"/>
              </w:rPr>
              <w:t>≤</w:t>
            </w:r>
            <w:r w:rsidR="002F3767">
              <w:rPr>
                <w:szCs w:val="20"/>
              </w:rPr>
              <w:t xml:space="preserve"> </w:t>
            </w:r>
            <w:r w:rsidRPr="006E5509">
              <w:rPr>
                <w:szCs w:val="20"/>
              </w:rPr>
              <w:t>8.0 ozf</w:t>
            </w:r>
          </w:p>
        </w:tc>
        <w:tc>
          <w:tcPr>
            <w:tcW w:w="1866" w:type="pct"/>
          </w:tcPr>
          <w:p w14:paraId="650A249F" w14:textId="77777777" w:rsidR="006E5509" w:rsidRPr="006E5509" w:rsidRDefault="006E5509" w:rsidP="00F92789">
            <w:pPr>
              <w:rPr>
                <w:szCs w:val="20"/>
              </w:rPr>
            </w:pPr>
            <w:r w:rsidRPr="006E5509">
              <w:rPr>
                <w:szCs w:val="20"/>
              </w:rPr>
              <w:t>1.</w:t>
            </w:r>
            <w:r>
              <w:rPr>
                <w:szCs w:val="20"/>
              </w:rPr>
              <w:t>07</w:t>
            </w:r>
            <w:r w:rsidRPr="006E5509">
              <w:rPr>
                <w:szCs w:val="20"/>
              </w:rPr>
              <w:t xml:space="preserve"> gpm</w:t>
            </w:r>
          </w:p>
        </w:tc>
      </w:tr>
      <w:tr w:rsidR="006E5509" w:rsidRPr="006E5509" w14:paraId="2E5AB524" w14:textId="77777777" w:rsidTr="00C76EB4">
        <w:trPr>
          <w:trHeight w:val="251"/>
        </w:trPr>
        <w:tc>
          <w:tcPr>
            <w:tcW w:w="1267" w:type="pct"/>
          </w:tcPr>
          <w:p w14:paraId="1738FC6A" w14:textId="77777777" w:rsidR="006E5509" w:rsidRPr="006E5509" w:rsidRDefault="006E5509" w:rsidP="00F92789">
            <w:pPr>
              <w:rPr>
                <w:szCs w:val="20"/>
              </w:rPr>
            </w:pPr>
            <w:r w:rsidRPr="006E5509">
              <w:rPr>
                <w:szCs w:val="20"/>
              </w:rPr>
              <w:t>3</w:t>
            </w:r>
          </w:p>
        </w:tc>
        <w:tc>
          <w:tcPr>
            <w:tcW w:w="1866" w:type="pct"/>
          </w:tcPr>
          <w:p w14:paraId="00381B8B" w14:textId="13B4E931" w:rsidR="006E5509" w:rsidRPr="006E5509" w:rsidRDefault="006E5509" w:rsidP="00F92789">
            <w:pPr>
              <w:rPr>
                <w:szCs w:val="20"/>
              </w:rPr>
            </w:pPr>
            <w:r w:rsidRPr="006E5509">
              <w:rPr>
                <w:szCs w:val="20"/>
              </w:rPr>
              <w:t>&gt;</w:t>
            </w:r>
            <w:r w:rsidR="002F3767">
              <w:rPr>
                <w:szCs w:val="20"/>
              </w:rPr>
              <w:t xml:space="preserve"> </w:t>
            </w:r>
            <w:r w:rsidRPr="006E5509">
              <w:rPr>
                <w:szCs w:val="20"/>
              </w:rPr>
              <w:t>8.0 ozf</w:t>
            </w:r>
          </w:p>
        </w:tc>
        <w:tc>
          <w:tcPr>
            <w:tcW w:w="1866" w:type="pct"/>
          </w:tcPr>
          <w:p w14:paraId="03855D58" w14:textId="77777777" w:rsidR="006E5509" w:rsidRPr="006E5509" w:rsidRDefault="006E5509" w:rsidP="00F92789">
            <w:pPr>
              <w:rPr>
                <w:szCs w:val="20"/>
              </w:rPr>
            </w:pPr>
            <w:r w:rsidRPr="006E5509">
              <w:rPr>
                <w:szCs w:val="20"/>
              </w:rPr>
              <w:t>1.2</w:t>
            </w:r>
            <w:r>
              <w:rPr>
                <w:szCs w:val="20"/>
              </w:rPr>
              <w:t>0</w:t>
            </w:r>
            <w:r w:rsidRPr="006E5509">
              <w:rPr>
                <w:szCs w:val="20"/>
              </w:rPr>
              <w:t xml:space="preserve"> gpm</w:t>
            </w:r>
          </w:p>
        </w:tc>
      </w:tr>
    </w:tbl>
    <w:p w14:paraId="68E3E274" w14:textId="77777777" w:rsidR="006E5509" w:rsidRDefault="006E5509" w:rsidP="006E5509"/>
    <w:p w14:paraId="097374E4" w14:textId="38A92E78" w:rsidR="004538D5" w:rsidRDefault="004538D5" w:rsidP="006E5509">
      <w:r>
        <w:t xml:space="preserve">Product </w:t>
      </w:r>
      <w:r w:rsidR="00A04221">
        <w:t>c</w:t>
      </w:r>
      <w:r>
        <w:t xml:space="preserve">lass 3 with spray valve forces over 8 ozf was identified by DOE </w:t>
      </w:r>
      <w:r w:rsidR="00760AE1">
        <w:t>for</w:t>
      </w:r>
      <w:r>
        <w:t xml:space="preserve"> cleaning </w:t>
      </w:r>
      <w:r w:rsidR="0069358A">
        <w:t>dishware with baked-on debris</w:t>
      </w:r>
      <w:r>
        <w:t xml:space="preserve">. Cleaning of such items should be </w:t>
      </w:r>
      <w:r w:rsidR="0069358A">
        <w:t xml:space="preserve">performed </w:t>
      </w:r>
      <w:r>
        <w:t xml:space="preserve">with a scraper or other mechanical methods instead of a </w:t>
      </w:r>
      <w:r w:rsidR="00706118">
        <w:t>water-intensive spray valve</w:t>
      </w:r>
      <w:r>
        <w:t xml:space="preserve">. </w:t>
      </w:r>
      <w:r w:rsidR="00D65CD2">
        <w:t>For this</w:t>
      </w:r>
      <w:r>
        <w:t xml:space="preserve"> reason</w:t>
      </w:r>
      <w:r w:rsidR="00AC5126">
        <w:t xml:space="preserve">, the </w:t>
      </w:r>
      <w:r>
        <w:t xml:space="preserve">proposed CEE </w:t>
      </w:r>
      <w:r w:rsidR="00AC5126">
        <w:t xml:space="preserve">flowrate </w:t>
      </w:r>
      <w:r>
        <w:t xml:space="preserve">threshold </w:t>
      </w:r>
      <w:r w:rsidR="00AC5126">
        <w:t xml:space="preserve">for that class of spray valve </w:t>
      </w:r>
      <w:r w:rsidR="00D65CD2">
        <w:t>is</w:t>
      </w:r>
      <w:r>
        <w:t xml:space="preserve"> not recommended</w:t>
      </w:r>
      <w:r w:rsidR="00AC5126">
        <w:t xml:space="preserve">. Therefore, </w:t>
      </w:r>
      <w:r w:rsidR="00D65CD2">
        <w:t>any spray valve over 5 ozf should meet the 1.07 gpm requirement</w:t>
      </w:r>
      <w:r>
        <w:t xml:space="preserve">. </w:t>
      </w:r>
      <w:r w:rsidR="00D65CD2">
        <w:t>Spray valves with less than 4 ozf do not provide adequate cleaning performance and will not be included in the proposed measure.</w:t>
      </w:r>
    </w:p>
    <w:p w14:paraId="2D580A79" w14:textId="77777777" w:rsidR="004538D5" w:rsidRDefault="004538D5" w:rsidP="006E5509"/>
    <w:p w14:paraId="25968DEA" w14:textId="41700A9F" w:rsidR="006E5509" w:rsidRPr="00C76EB4" w:rsidRDefault="006E5509" w:rsidP="00C76EB4">
      <w:pPr>
        <w:pStyle w:val="Caption"/>
        <w:rPr>
          <w:b w:val="0"/>
        </w:rPr>
      </w:pPr>
      <w:r w:rsidRPr="00945B8A">
        <w:t>2019 Proposed Measure Thresholds for Commercial Pre-Rinse Spray Valves</w:t>
      </w:r>
    </w:p>
    <w:tbl>
      <w:tblPr>
        <w:tblStyle w:val="TableGrid1"/>
        <w:tblW w:w="4921" w:type="pct"/>
        <w:tblLook w:val="04A0" w:firstRow="1" w:lastRow="0" w:firstColumn="1" w:lastColumn="0" w:noHBand="0" w:noVBand="1"/>
      </w:tblPr>
      <w:tblGrid>
        <w:gridCol w:w="2334"/>
        <w:gridCol w:w="3434"/>
        <w:gridCol w:w="3434"/>
      </w:tblGrid>
      <w:tr w:rsidR="006E5509" w:rsidRPr="00500C4E" w14:paraId="2C15DC05" w14:textId="77777777" w:rsidTr="00C76EB4">
        <w:trPr>
          <w:trHeight w:val="251"/>
        </w:trPr>
        <w:tc>
          <w:tcPr>
            <w:tcW w:w="1268" w:type="pct"/>
            <w:shd w:val="clear" w:color="auto" w:fill="D9D9D9" w:themeFill="background1" w:themeFillShade="D9"/>
          </w:tcPr>
          <w:p w14:paraId="1BCF0833" w14:textId="77777777" w:rsidR="006E5509" w:rsidRPr="00920905" w:rsidRDefault="006E5509" w:rsidP="00F92789">
            <w:pPr>
              <w:rPr>
                <w:rFonts w:cstheme="minorHAnsi"/>
                <w:b/>
                <w:szCs w:val="20"/>
              </w:rPr>
            </w:pPr>
            <w:r>
              <w:rPr>
                <w:rFonts w:cstheme="minorHAnsi"/>
                <w:b/>
                <w:szCs w:val="20"/>
              </w:rPr>
              <w:t>Product Class</w:t>
            </w:r>
          </w:p>
        </w:tc>
        <w:tc>
          <w:tcPr>
            <w:tcW w:w="1866" w:type="pct"/>
            <w:shd w:val="clear" w:color="auto" w:fill="D9D9D9" w:themeFill="background1" w:themeFillShade="D9"/>
          </w:tcPr>
          <w:p w14:paraId="707A5D39" w14:textId="77777777" w:rsidR="006E5509" w:rsidRDefault="006E5509" w:rsidP="00F92789">
            <w:pPr>
              <w:rPr>
                <w:rFonts w:cstheme="minorHAnsi"/>
                <w:b/>
                <w:szCs w:val="20"/>
              </w:rPr>
            </w:pPr>
            <w:r>
              <w:rPr>
                <w:rFonts w:cstheme="minorHAnsi"/>
                <w:b/>
                <w:szCs w:val="20"/>
              </w:rPr>
              <w:t>Force Limitations</w:t>
            </w:r>
          </w:p>
        </w:tc>
        <w:tc>
          <w:tcPr>
            <w:tcW w:w="1866" w:type="pct"/>
            <w:shd w:val="clear" w:color="auto" w:fill="D9D9D9" w:themeFill="background1" w:themeFillShade="D9"/>
          </w:tcPr>
          <w:p w14:paraId="2157459A" w14:textId="77777777" w:rsidR="006E5509" w:rsidRPr="00920905" w:rsidRDefault="006E5509" w:rsidP="00F92789">
            <w:pPr>
              <w:rPr>
                <w:rFonts w:cstheme="minorHAnsi"/>
                <w:b/>
                <w:szCs w:val="20"/>
              </w:rPr>
            </w:pPr>
            <w:r>
              <w:rPr>
                <w:rFonts w:cstheme="minorHAnsi"/>
                <w:b/>
                <w:szCs w:val="20"/>
              </w:rPr>
              <w:t>Maximum Flow Rate</w:t>
            </w:r>
          </w:p>
        </w:tc>
      </w:tr>
      <w:tr w:rsidR="006E5509" w:rsidRPr="006E5509" w14:paraId="09E5D496" w14:textId="77777777" w:rsidTr="00C76EB4">
        <w:trPr>
          <w:trHeight w:val="252"/>
        </w:trPr>
        <w:tc>
          <w:tcPr>
            <w:tcW w:w="1268" w:type="pct"/>
          </w:tcPr>
          <w:p w14:paraId="5DA672B2" w14:textId="77777777" w:rsidR="006E5509" w:rsidRPr="006E5509" w:rsidRDefault="006E5509" w:rsidP="00F92789">
            <w:pPr>
              <w:rPr>
                <w:szCs w:val="20"/>
              </w:rPr>
            </w:pPr>
            <w:r w:rsidRPr="006E5509">
              <w:rPr>
                <w:szCs w:val="20"/>
              </w:rPr>
              <w:t>1</w:t>
            </w:r>
          </w:p>
        </w:tc>
        <w:tc>
          <w:tcPr>
            <w:tcW w:w="1866" w:type="pct"/>
          </w:tcPr>
          <w:p w14:paraId="558B106C" w14:textId="4D68867D" w:rsidR="006E5509" w:rsidRPr="006E5509" w:rsidRDefault="00AC1F78" w:rsidP="00F92789">
            <w:pPr>
              <w:rPr>
                <w:szCs w:val="20"/>
              </w:rPr>
            </w:pPr>
            <w:r>
              <w:rPr>
                <w:szCs w:val="20"/>
              </w:rPr>
              <w:t xml:space="preserve">4.0 </w:t>
            </w:r>
            <w:r w:rsidR="002F3767">
              <w:rPr>
                <w:szCs w:val="20"/>
              </w:rPr>
              <w:t>–</w:t>
            </w:r>
            <w:r>
              <w:rPr>
                <w:szCs w:val="20"/>
              </w:rPr>
              <w:t xml:space="preserve"> </w:t>
            </w:r>
            <w:r w:rsidR="006E5509" w:rsidRPr="006E5509">
              <w:rPr>
                <w:szCs w:val="20"/>
              </w:rPr>
              <w:t>5.0 ozf</w:t>
            </w:r>
          </w:p>
        </w:tc>
        <w:tc>
          <w:tcPr>
            <w:tcW w:w="1866" w:type="pct"/>
          </w:tcPr>
          <w:p w14:paraId="5301DF71" w14:textId="77777777" w:rsidR="006E5509" w:rsidRPr="006E5509" w:rsidRDefault="006E5509" w:rsidP="00F92789">
            <w:pPr>
              <w:rPr>
                <w:szCs w:val="20"/>
              </w:rPr>
            </w:pPr>
            <w:r>
              <w:rPr>
                <w:szCs w:val="20"/>
              </w:rPr>
              <w:t xml:space="preserve">0.75 </w:t>
            </w:r>
            <w:r w:rsidRPr="006E5509">
              <w:rPr>
                <w:szCs w:val="20"/>
              </w:rPr>
              <w:t>gpm</w:t>
            </w:r>
          </w:p>
        </w:tc>
      </w:tr>
      <w:tr w:rsidR="006E5509" w:rsidRPr="006E5509" w14:paraId="795A16A4" w14:textId="77777777" w:rsidTr="00C76EB4">
        <w:trPr>
          <w:trHeight w:val="252"/>
        </w:trPr>
        <w:tc>
          <w:tcPr>
            <w:tcW w:w="1268" w:type="pct"/>
          </w:tcPr>
          <w:p w14:paraId="51192C7F" w14:textId="77777777" w:rsidR="006E5509" w:rsidRPr="006E5509" w:rsidRDefault="006E5509" w:rsidP="00F92789">
            <w:pPr>
              <w:rPr>
                <w:szCs w:val="20"/>
              </w:rPr>
            </w:pPr>
            <w:r w:rsidRPr="006E5509">
              <w:rPr>
                <w:szCs w:val="20"/>
              </w:rPr>
              <w:t>2</w:t>
            </w:r>
          </w:p>
        </w:tc>
        <w:tc>
          <w:tcPr>
            <w:tcW w:w="1866" w:type="pct"/>
          </w:tcPr>
          <w:p w14:paraId="4DCCF235" w14:textId="3DFC3B88" w:rsidR="006E5509" w:rsidRPr="006E5509" w:rsidRDefault="006E5509" w:rsidP="00F92789">
            <w:pPr>
              <w:rPr>
                <w:szCs w:val="20"/>
              </w:rPr>
            </w:pPr>
            <w:r w:rsidRPr="006E5509">
              <w:rPr>
                <w:szCs w:val="20"/>
              </w:rPr>
              <w:t>&gt;</w:t>
            </w:r>
            <w:r w:rsidR="002F3767">
              <w:rPr>
                <w:szCs w:val="20"/>
              </w:rPr>
              <w:t xml:space="preserve"> </w:t>
            </w:r>
            <w:r w:rsidRPr="006E5509">
              <w:rPr>
                <w:szCs w:val="20"/>
              </w:rPr>
              <w:t xml:space="preserve">5.0 ozf and </w:t>
            </w:r>
            <w:r w:rsidR="002414B8">
              <w:rPr>
                <w:rFonts w:cstheme="minorHAnsi"/>
                <w:szCs w:val="20"/>
              </w:rPr>
              <w:t>≤</w:t>
            </w:r>
            <w:r w:rsidR="002F3767">
              <w:rPr>
                <w:szCs w:val="20"/>
              </w:rPr>
              <w:t xml:space="preserve"> </w:t>
            </w:r>
            <w:r w:rsidRPr="006E5509">
              <w:rPr>
                <w:szCs w:val="20"/>
              </w:rPr>
              <w:t>8.0 ozf</w:t>
            </w:r>
          </w:p>
        </w:tc>
        <w:tc>
          <w:tcPr>
            <w:tcW w:w="1866" w:type="pct"/>
            <w:vMerge w:val="restart"/>
            <w:vAlign w:val="center"/>
          </w:tcPr>
          <w:p w14:paraId="4A74AE93" w14:textId="77777777" w:rsidR="006E5509" w:rsidRPr="006E5509" w:rsidRDefault="006E5509" w:rsidP="00F92789">
            <w:pPr>
              <w:rPr>
                <w:szCs w:val="20"/>
              </w:rPr>
            </w:pPr>
            <w:r w:rsidRPr="006E5509">
              <w:rPr>
                <w:szCs w:val="20"/>
              </w:rPr>
              <w:t>1.</w:t>
            </w:r>
            <w:r>
              <w:rPr>
                <w:szCs w:val="20"/>
              </w:rPr>
              <w:t>07</w:t>
            </w:r>
            <w:r w:rsidRPr="006E5509">
              <w:rPr>
                <w:szCs w:val="20"/>
              </w:rPr>
              <w:t xml:space="preserve"> gpm</w:t>
            </w:r>
          </w:p>
        </w:tc>
      </w:tr>
      <w:tr w:rsidR="006E5509" w:rsidRPr="006E5509" w14:paraId="70815324" w14:textId="77777777" w:rsidTr="00C76EB4">
        <w:trPr>
          <w:trHeight w:val="252"/>
        </w:trPr>
        <w:tc>
          <w:tcPr>
            <w:tcW w:w="1268" w:type="pct"/>
          </w:tcPr>
          <w:p w14:paraId="1023783C" w14:textId="77777777" w:rsidR="006E5509" w:rsidRPr="006E5509" w:rsidRDefault="006E5509" w:rsidP="00F92789">
            <w:pPr>
              <w:rPr>
                <w:szCs w:val="20"/>
              </w:rPr>
            </w:pPr>
            <w:r w:rsidRPr="006E5509">
              <w:rPr>
                <w:szCs w:val="20"/>
              </w:rPr>
              <w:t>3</w:t>
            </w:r>
          </w:p>
        </w:tc>
        <w:tc>
          <w:tcPr>
            <w:tcW w:w="1866" w:type="pct"/>
          </w:tcPr>
          <w:p w14:paraId="3BC84394" w14:textId="02B659C8" w:rsidR="006E5509" w:rsidRPr="006E5509" w:rsidRDefault="006E5509" w:rsidP="00F92789">
            <w:pPr>
              <w:rPr>
                <w:szCs w:val="20"/>
              </w:rPr>
            </w:pPr>
            <w:r w:rsidRPr="006E5509">
              <w:rPr>
                <w:szCs w:val="20"/>
              </w:rPr>
              <w:t>&gt;</w:t>
            </w:r>
            <w:r w:rsidR="002F3767">
              <w:rPr>
                <w:szCs w:val="20"/>
              </w:rPr>
              <w:t xml:space="preserve"> </w:t>
            </w:r>
            <w:r w:rsidRPr="006E5509">
              <w:rPr>
                <w:szCs w:val="20"/>
              </w:rPr>
              <w:t>8.0 ozf</w:t>
            </w:r>
          </w:p>
        </w:tc>
        <w:tc>
          <w:tcPr>
            <w:tcW w:w="1866" w:type="pct"/>
            <w:vMerge/>
          </w:tcPr>
          <w:p w14:paraId="0CD55DEF" w14:textId="77777777" w:rsidR="006E5509" w:rsidRPr="006E5509" w:rsidRDefault="006E5509" w:rsidP="00F92789">
            <w:pPr>
              <w:rPr>
                <w:szCs w:val="20"/>
              </w:rPr>
            </w:pPr>
          </w:p>
        </w:tc>
      </w:tr>
    </w:tbl>
    <w:p w14:paraId="2C5F8A8F" w14:textId="77777777" w:rsidR="006E5509" w:rsidRDefault="006E5509" w:rsidP="00F828A6">
      <w:pPr>
        <w:pStyle w:val="Table"/>
        <w:rPr>
          <w:szCs w:val="20"/>
          <w:highlight w:val="yellow"/>
        </w:rPr>
      </w:pPr>
    </w:p>
    <w:p w14:paraId="68535ACD" w14:textId="1084AD3F" w:rsidR="00F828A6" w:rsidRPr="00C76EB4" w:rsidRDefault="00F828A6">
      <w:pPr>
        <w:pStyle w:val="Table"/>
        <w:rPr>
          <w:rFonts w:asciiTheme="minorHAnsi" w:hAnsiTheme="minorHAnsi" w:cstheme="minorBidi"/>
        </w:rPr>
      </w:pPr>
      <w:r w:rsidRPr="0048438C">
        <w:rPr>
          <w:rFonts w:asciiTheme="minorHAnsi" w:hAnsiTheme="minorHAnsi" w:cstheme="minorBidi"/>
        </w:rPr>
        <w:t xml:space="preserve">This equipment’s measure case is based on a </w:t>
      </w:r>
      <w:r w:rsidR="0072514E" w:rsidRPr="0048438C">
        <w:rPr>
          <w:rFonts w:asciiTheme="minorHAnsi" w:hAnsiTheme="minorHAnsi" w:cstheme="minorBidi"/>
        </w:rPr>
        <w:t>11-25</w:t>
      </w:r>
      <w:r w:rsidRPr="0048438C">
        <w:rPr>
          <w:rFonts w:asciiTheme="minorHAnsi" w:hAnsiTheme="minorHAnsi" w:cstheme="minorBidi"/>
        </w:rPr>
        <w:t xml:space="preserve">% reduction in flow rate compared to the Federal standard. The measure cases for this work paper </w:t>
      </w:r>
      <w:r w:rsidR="00925B79" w:rsidRPr="0048438C">
        <w:rPr>
          <w:rFonts w:asciiTheme="minorHAnsi" w:hAnsiTheme="minorHAnsi" w:cstheme="minorBidi"/>
        </w:rPr>
        <w:t xml:space="preserve">will </w:t>
      </w:r>
      <w:r w:rsidRPr="0048438C">
        <w:rPr>
          <w:rFonts w:asciiTheme="minorHAnsi" w:hAnsiTheme="minorHAnsi" w:cstheme="minorBidi"/>
        </w:rPr>
        <w:t xml:space="preserve">have flow rates </w:t>
      </w:r>
      <w:r w:rsidR="0072514E" w:rsidRPr="0048438C">
        <w:rPr>
          <w:rFonts w:asciiTheme="minorHAnsi" w:hAnsiTheme="minorHAnsi" w:cstheme="minorBidi"/>
        </w:rPr>
        <w:t>shown in the table above</w:t>
      </w:r>
      <w:r w:rsidRPr="0048438C">
        <w:rPr>
          <w:rFonts w:asciiTheme="minorHAnsi" w:hAnsiTheme="minorHAnsi" w:cstheme="minorBidi"/>
        </w:rPr>
        <w:t>.</w:t>
      </w:r>
    </w:p>
    <w:p w14:paraId="60CF55EB" w14:textId="77777777" w:rsidR="00D65CD2" w:rsidRDefault="00D65CD2" w:rsidP="00F828A6">
      <w:pPr>
        <w:pStyle w:val="Table"/>
        <w:rPr>
          <w:szCs w:val="20"/>
        </w:rPr>
      </w:pPr>
    </w:p>
    <w:p w14:paraId="0D200459" w14:textId="2A746F55" w:rsidR="00D65CD2" w:rsidRPr="00C76EB4" w:rsidRDefault="00D65CD2" w:rsidP="00C76EB4">
      <w:pPr>
        <w:pStyle w:val="Caption"/>
        <w:rPr>
          <w:b w:val="0"/>
        </w:rPr>
      </w:pPr>
      <w:r w:rsidRPr="00945B8A">
        <w:t>Proposed Measure Standard vs Federal Minimum Standard</w:t>
      </w:r>
    </w:p>
    <w:tbl>
      <w:tblPr>
        <w:tblStyle w:val="TableGrid1"/>
        <w:tblW w:w="4955" w:type="pct"/>
        <w:tblLook w:val="04A0" w:firstRow="1" w:lastRow="0" w:firstColumn="1" w:lastColumn="0" w:noHBand="0" w:noVBand="1"/>
      </w:tblPr>
      <w:tblGrid>
        <w:gridCol w:w="1348"/>
        <w:gridCol w:w="2067"/>
        <w:gridCol w:w="1980"/>
        <w:gridCol w:w="1981"/>
        <w:gridCol w:w="1890"/>
      </w:tblGrid>
      <w:tr w:rsidR="00D65CD2" w:rsidRPr="00500C4E" w14:paraId="206934E6" w14:textId="77777777" w:rsidTr="00C76EB4">
        <w:tc>
          <w:tcPr>
            <w:tcW w:w="727" w:type="pct"/>
            <w:shd w:val="clear" w:color="auto" w:fill="D9D9D9" w:themeFill="background1" w:themeFillShade="D9"/>
          </w:tcPr>
          <w:p w14:paraId="205373FF" w14:textId="77777777" w:rsidR="00D65CD2" w:rsidRPr="00920905" w:rsidRDefault="00D65CD2" w:rsidP="00D65CD2">
            <w:pPr>
              <w:rPr>
                <w:rFonts w:cstheme="minorHAnsi"/>
                <w:b/>
                <w:szCs w:val="20"/>
              </w:rPr>
            </w:pPr>
            <w:r>
              <w:rPr>
                <w:rFonts w:cstheme="minorHAnsi"/>
                <w:b/>
                <w:szCs w:val="20"/>
              </w:rPr>
              <w:t>Product Class</w:t>
            </w:r>
          </w:p>
        </w:tc>
        <w:tc>
          <w:tcPr>
            <w:tcW w:w="1115" w:type="pct"/>
            <w:shd w:val="clear" w:color="auto" w:fill="D9D9D9" w:themeFill="background1" w:themeFillShade="D9"/>
          </w:tcPr>
          <w:p w14:paraId="3C95B0D0" w14:textId="77777777" w:rsidR="00D65CD2" w:rsidRDefault="00D65CD2" w:rsidP="00D65CD2">
            <w:pPr>
              <w:rPr>
                <w:rFonts w:cstheme="minorHAnsi"/>
                <w:b/>
                <w:szCs w:val="20"/>
              </w:rPr>
            </w:pPr>
            <w:r>
              <w:rPr>
                <w:rFonts w:cstheme="minorHAnsi"/>
                <w:b/>
                <w:szCs w:val="20"/>
              </w:rPr>
              <w:t>Force Limitations</w:t>
            </w:r>
          </w:p>
        </w:tc>
        <w:tc>
          <w:tcPr>
            <w:tcW w:w="1068" w:type="pct"/>
            <w:shd w:val="clear" w:color="auto" w:fill="D9D9D9" w:themeFill="background1" w:themeFillShade="D9"/>
          </w:tcPr>
          <w:p w14:paraId="55ACF7B9" w14:textId="77777777" w:rsidR="00D65CD2" w:rsidRDefault="00D65CD2" w:rsidP="00D65CD2">
            <w:pPr>
              <w:rPr>
                <w:rFonts w:cstheme="minorHAnsi"/>
                <w:b/>
                <w:szCs w:val="20"/>
              </w:rPr>
            </w:pPr>
            <w:r>
              <w:rPr>
                <w:rFonts w:cstheme="minorHAnsi"/>
                <w:b/>
                <w:szCs w:val="20"/>
              </w:rPr>
              <w:t>DOE 2019 Maximum Flow Rate</w:t>
            </w:r>
          </w:p>
        </w:tc>
        <w:tc>
          <w:tcPr>
            <w:tcW w:w="1069" w:type="pct"/>
            <w:shd w:val="clear" w:color="auto" w:fill="D9D9D9" w:themeFill="background1" w:themeFillShade="D9"/>
          </w:tcPr>
          <w:p w14:paraId="67A85E14" w14:textId="77777777" w:rsidR="00D65CD2" w:rsidRPr="00920905" w:rsidRDefault="00D65CD2" w:rsidP="00D65CD2">
            <w:pPr>
              <w:rPr>
                <w:rFonts w:cstheme="minorHAnsi"/>
                <w:b/>
                <w:szCs w:val="20"/>
              </w:rPr>
            </w:pPr>
            <w:r>
              <w:rPr>
                <w:rFonts w:cstheme="minorHAnsi"/>
                <w:b/>
                <w:szCs w:val="20"/>
              </w:rPr>
              <w:t>Measure Maximum Flow Rate</w:t>
            </w:r>
          </w:p>
        </w:tc>
        <w:tc>
          <w:tcPr>
            <w:tcW w:w="1020" w:type="pct"/>
            <w:shd w:val="clear" w:color="auto" w:fill="D9D9D9" w:themeFill="background1" w:themeFillShade="D9"/>
          </w:tcPr>
          <w:p w14:paraId="412E185B" w14:textId="77777777" w:rsidR="00D65CD2" w:rsidRDefault="0072514E" w:rsidP="00D65CD2">
            <w:pPr>
              <w:rPr>
                <w:rFonts w:cstheme="minorHAnsi"/>
                <w:b/>
                <w:szCs w:val="20"/>
              </w:rPr>
            </w:pPr>
            <w:r>
              <w:rPr>
                <w:rFonts w:cstheme="minorHAnsi"/>
                <w:b/>
                <w:szCs w:val="20"/>
              </w:rPr>
              <w:t xml:space="preserve">Measure </w:t>
            </w:r>
            <w:r w:rsidR="00D65CD2">
              <w:rPr>
                <w:rFonts w:cstheme="minorHAnsi"/>
                <w:b/>
                <w:szCs w:val="20"/>
              </w:rPr>
              <w:t>Flow Rate Reduction</w:t>
            </w:r>
          </w:p>
        </w:tc>
      </w:tr>
      <w:tr w:rsidR="00D65CD2" w:rsidRPr="006E5509" w14:paraId="17DE62E9" w14:textId="77777777" w:rsidTr="00C76EB4">
        <w:trPr>
          <w:trHeight w:val="243"/>
        </w:trPr>
        <w:tc>
          <w:tcPr>
            <w:tcW w:w="727" w:type="pct"/>
          </w:tcPr>
          <w:p w14:paraId="7F1F2D39" w14:textId="77777777" w:rsidR="00D65CD2" w:rsidRPr="006E5509" w:rsidRDefault="00D65CD2" w:rsidP="00D65CD2">
            <w:pPr>
              <w:rPr>
                <w:szCs w:val="20"/>
              </w:rPr>
            </w:pPr>
            <w:r w:rsidRPr="006E5509">
              <w:rPr>
                <w:szCs w:val="20"/>
              </w:rPr>
              <w:t>1</w:t>
            </w:r>
          </w:p>
        </w:tc>
        <w:tc>
          <w:tcPr>
            <w:tcW w:w="1115" w:type="pct"/>
          </w:tcPr>
          <w:p w14:paraId="6A16E375" w14:textId="4CF6FF63" w:rsidR="00D65CD2" w:rsidRPr="006E5509" w:rsidRDefault="005446A2" w:rsidP="00D65CD2">
            <w:pPr>
              <w:rPr>
                <w:szCs w:val="20"/>
              </w:rPr>
            </w:pPr>
            <w:r>
              <w:rPr>
                <w:rFonts w:cstheme="minorHAnsi"/>
                <w:szCs w:val="20"/>
              </w:rPr>
              <w:t>≤</w:t>
            </w:r>
            <w:r w:rsidR="002F3767">
              <w:rPr>
                <w:szCs w:val="20"/>
              </w:rPr>
              <w:t xml:space="preserve"> </w:t>
            </w:r>
            <w:r w:rsidR="00D65CD2" w:rsidRPr="006E5509">
              <w:rPr>
                <w:szCs w:val="20"/>
              </w:rPr>
              <w:t>5.0 ozf</w:t>
            </w:r>
          </w:p>
        </w:tc>
        <w:tc>
          <w:tcPr>
            <w:tcW w:w="1068" w:type="pct"/>
          </w:tcPr>
          <w:p w14:paraId="0B20F42C" w14:textId="77777777" w:rsidR="00D65CD2" w:rsidRDefault="00D65CD2" w:rsidP="00D65CD2">
            <w:pPr>
              <w:rPr>
                <w:szCs w:val="20"/>
              </w:rPr>
            </w:pPr>
            <w:r w:rsidRPr="006E5509">
              <w:rPr>
                <w:szCs w:val="20"/>
              </w:rPr>
              <w:t>1.00 gpm</w:t>
            </w:r>
          </w:p>
        </w:tc>
        <w:tc>
          <w:tcPr>
            <w:tcW w:w="1069" w:type="pct"/>
          </w:tcPr>
          <w:p w14:paraId="0A43E858" w14:textId="77777777" w:rsidR="00D65CD2" w:rsidRPr="006E5509" w:rsidRDefault="00D65CD2" w:rsidP="00D65CD2">
            <w:pPr>
              <w:rPr>
                <w:szCs w:val="20"/>
              </w:rPr>
            </w:pPr>
            <w:r>
              <w:rPr>
                <w:szCs w:val="20"/>
              </w:rPr>
              <w:t xml:space="preserve">0.75 </w:t>
            </w:r>
            <w:r w:rsidRPr="006E5509">
              <w:rPr>
                <w:szCs w:val="20"/>
              </w:rPr>
              <w:t>gpm</w:t>
            </w:r>
          </w:p>
        </w:tc>
        <w:tc>
          <w:tcPr>
            <w:tcW w:w="1020" w:type="pct"/>
          </w:tcPr>
          <w:p w14:paraId="6A353FD3" w14:textId="77777777" w:rsidR="00D65CD2" w:rsidRDefault="00D65CD2" w:rsidP="00D65CD2">
            <w:pPr>
              <w:rPr>
                <w:szCs w:val="20"/>
              </w:rPr>
            </w:pPr>
            <w:r>
              <w:rPr>
                <w:szCs w:val="20"/>
              </w:rPr>
              <w:t>25%</w:t>
            </w:r>
          </w:p>
        </w:tc>
      </w:tr>
      <w:tr w:rsidR="00D65CD2" w:rsidRPr="006E5509" w14:paraId="345CA6D8" w14:textId="77777777" w:rsidTr="00C76EB4">
        <w:trPr>
          <w:trHeight w:val="243"/>
        </w:trPr>
        <w:tc>
          <w:tcPr>
            <w:tcW w:w="727" w:type="pct"/>
          </w:tcPr>
          <w:p w14:paraId="498555A4" w14:textId="77777777" w:rsidR="00D65CD2" w:rsidRPr="006E5509" w:rsidRDefault="00D65CD2" w:rsidP="00D65CD2">
            <w:pPr>
              <w:rPr>
                <w:szCs w:val="20"/>
              </w:rPr>
            </w:pPr>
            <w:r w:rsidRPr="006E5509">
              <w:rPr>
                <w:szCs w:val="20"/>
              </w:rPr>
              <w:t>2</w:t>
            </w:r>
          </w:p>
        </w:tc>
        <w:tc>
          <w:tcPr>
            <w:tcW w:w="1115" w:type="pct"/>
          </w:tcPr>
          <w:p w14:paraId="1B335BFB" w14:textId="3AB046F7" w:rsidR="00D65CD2" w:rsidRPr="006E5509" w:rsidRDefault="00D65CD2" w:rsidP="00D65CD2">
            <w:pPr>
              <w:rPr>
                <w:szCs w:val="20"/>
              </w:rPr>
            </w:pPr>
            <w:r w:rsidRPr="006E5509">
              <w:rPr>
                <w:szCs w:val="20"/>
              </w:rPr>
              <w:t>&gt;</w:t>
            </w:r>
            <w:r w:rsidR="002F3767">
              <w:rPr>
                <w:szCs w:val="20"/>
              </w:rPr>
              <w:t xml:space="preserve"> </w:t>
            </w:r>
            <w:r w:rsidRPr="006E5509">
              <w:rPr>
                <w:szCs w:val="20"/>
              </w:rPr>
              <w:t xml:space="preserve">5.0 ozf and </w:t>
            </w:r>
            <w:r w:rsidR="005446A2">
              <w:rPr>
                <w:rFonts w:cstheme="minorHAnsi"/>
                <w:szCs w:val="20"/>
              </w:rPr>
              <w:t>≤</w:t>
            </w:r>
            <w:r w:rsidR="002F3767">
              <w:rPr>
                <w:szCs w:val="20"/>
              </w:rPr>
              <w:t xml:space="preserve"> </w:t>
            </w:r>
            <w:r w:rsidRPr="006E5509">
              <w:rPr>
                <w:szCs w:val="20"/>
              </w:rPr>
              <w:t>8.0 ozf</w:t>
            </w:r>
          </w:p>
        </w:tc>
        <w:tc>
          <w:tcPr>
            <w:tcW w:w="1068" w:type="pct"/>
          </w:tcPr>
          <w:p w14:paraId="1C5C7923" w14:textId="77777777" w:rsidR="00D65CD2" w:rsidRPr="006E5509" w:rsidRDefault="00D65CD2" w:rsidP="00D65CD2">
            <w:pPr>
              <w:rPr>
                <w:szCs w:val="20"/>
              </w:rPr>
            </w:pPr>
            <w:r w:rsidRPr="006E5509">
              <w:rPr>
                <w:szCs w:val="20"/>
              </w:rPr>
              <w:t>1.20 gpm</w:t>
            </w:r>
          </w:p>
        </w:tc>
        <w:tc>
          <w:tcPr>
            <w:tcW w:w="1069" w:type="pct"/>
          </w:tcPr>
          <w:p w14:paraId="229FFC19" w14:textId="77777777" w:rsidR="00D65CD2" w:rsidRPr="006E5509" w:rsidRDefault="00D65CD2" w:rsidP="00D65CD2">
            <w:pPr>
              <w:rPr>
                <w:szCs w:val="20"/>
              </w:rPr>
            </w:pPr>
            <w:r w:rsidRPr="006E5509">
              <w:rPr>
                <w:szCs w:val="20"/>
              </w:rPr>
              <w:t>1.</w:t>
            </w:r>
            <w:r>
              <w:rPr>
                <w:szCs w:val="20"/>
              </w:rPr>
              <w:t>07</w:t>
            </w:r>
            <w:r w:rsidRPr="006E5509">
              <w:rPr>
                <w:szCs w:val="20"/>
              </w:rPr>
              <w:t xml:space="preserve"> gpm</w:t>
            </w:r>
          </w:p>
        </w:tc>
        <w:tc>
          <w:tcPr>
            <w:tcW w:w="1020" w:type="pct"/>
          </w:tcPr>
          <w:p w14:paraId="6E971063" w14:textId="77777777" w:rsidR="00D65CD2" w:rsidRPr="006E5509" w:rsidRDefault="00D65CD2" w:rsidP="00D65CD2">
            <w:pPr>
              <w:rPr>
                <w:szCs w:val="20"/>
              </w:rPr>
            </w:pPr>
            <w:r>
              <w:rPr>
                <w:szCs w:val="20"/>
              </w:rPr>
              <w:t>11%</w:t>
            </w:r>
          </w:p>
        </w:tc>
      </w:tr>
      <w:tr w:rsidR="00D65CD2" w:rsidRPr="006E5509" w14:paraId="7BF3F3D5" w14:textId="77777777" w:rsidTr="00C76EB4">
        <w:trPr>
          <w:trHeight w:val="243"/>
        </w:trPr>
        <w:tc>
          <w:tcPr>
            <w:tcW w:w="727" w:type="pct"/>
          </w:tcPr>
          <w:p w14:paraId="61797021" w14:textId="77777777" w:rsidR="00D65CD2" w:rsidRPr="006E5509" w:rsidRDefault="00D65CD2" w:rsidP="00D65CD2">
            <w:pPr>
              <w:rPr>
                <w:szCs w:val="20"/>
              </w:rPr>
            </w:pPr>
            <w:r w:rsidRPr="006E5509">
              <w:rPr>
                <w:szCs w:val="20"/>
              </w:rPr>
              <w:t>3</w:t>
            </w:r>
          </w:p>
        </w:tc>
        <w:tc>
          <w:tcPr>
            <w:tcW w:w="1115" w:type="pct"/>
          </w:tcPr>
          <w:p w14:paraId="0ACF7CA8" w14:textId="339D0548" w:rsidR="00D65CD2" w:rsidRPr="006E5509" w:rsidRDefault="00D65CD2" w:rsidP="00D65CD2">
            <w:pPr>
              <w:rPr>
                <w:szCs w:val="20"/>
              </w:rPr>
            </w:pPr>
            <w:r w:rsidRPr="006E5509">
              <w:rPr>
                <w:szCs w:val="20"/>
              </w:rPr>
              <w:t>&gt;</w:t>
            </w:r>
            <w:r w:rsidR="002F3767">
              <w:rPr>
                <w:szCs w:val="20"/>
              </w:rPr>
              <w:t xml:space="preserve"> </w:t>
            </w:r>
            <w:r w:rsidRPr="006E5509">
              <w:rPr>
                <w:szCs w:val="20"/>
              </w:rPr>
              <w:t>8.0 ozf</w:t>
            </w:r>
          </w:p>
        </w:tc>
        <w:tc>
          <w:tcPr>
            <w:tcW w:w="1068" w:type="pct"/>
          </w:tcPr>
          <w:p w14:paraId="54EDE444" w14:textId="77777777" w:rsidR="00D65CD2" w:rsidRPr="006E5509" w:rsidRDefault="00D65CD2" w:rsidP="00D65CD2">
            <w:pPr>
              <w:rPr>
                <w:szCs w:val="20"/>
              </w:rPr>
            </w:pPr>
            <w:r w:rsidRPr="006E5509">
              <w:rPr>
                <w:szCs w:val="20"/>
              </w:rPr>
              <w:t>1.28 gpm</w:t>
            </w:r>
          </w:p>
        </w:tc>
        <w:tc>
          <w:tcPr>
            <w:tcW w:w="1069" w:type="pct"/>
          </w:tcPr>
          <w:p w14:paraId="455AD720" w14:textId="77777777" w:rsidR="00D65CD2" w:rsidRPr="006E5509" w:rsidRDefault="00D65CD2" w:rsidP="00D65CD2">
            <w:pPr>
              <w:rPr>
                <w:szCs w:val="20"/>
              </w:rPr>
            </w:pPr>
            <w:r w:rsidRPr="006E5509">
              <w:rPr>
                <w:szCs w:val="20"/>
              </w:rPr>
              <w:t>1.</w:t>
            </w:r>
            <w:r>
              <w:rPr>
                <w:szCs w:val="20"/>
              </w:rPr>
              <w:t>07</w:t>
            </w:r>
            <w:r w:rsidRPr="006E5509">
              <w:rPr>
                <w:szCs w:val="20"/>
              </w:rPr>
              <w:t xml:space="preserve"> gpm</w:t>
            </w:r>
          </w:p>
        </w:tc>
        <w:tc>
          <w:tcPr>
            <w:tcW w:w="1020" w:type="pct"/>
          </w:tcPr>
          <w:p w14:paraId="48FBB8F9" w14:textId="77777777" w:rsidR="00D65CD2" w:rsidRPr="006E5509" w:rsidRDefault="0072514E" w:rsidP="00D65CD2">
            <w:pPr>
              <w:rPr>
                <w:szCs w:val="20"/>
              </w:rPr>
            </w:pPr>
            <w:r>
              <w:rPr>
                <w:szCs w:val="20"/>
              </w:rPr>
              <w:t>16%</w:t>
            </w:r>
          </w:p>
        </w:tc>
      </w:tr>
    </w:tbl>
    <w:p w14:paraId="58DE283D" w14:textId="77777777" w:rsidR="005556A5" w:rsidRDefault="005556A5" w:rsidP="00F828A6">
      <w:pPr>
        <w:rPr>
          <w:rFonts w:ascii="Arial" w:hAnsi="Arial"/>
        </w:rPr>
      </w:pPr>
    </w:p>
    <w:p w14:paraId="2950E4CF" w14:textId="77777777" w:rsidR="00F07A2F" w:rsidRPr="00C76EB4" w:rsidRDefault="00F07A2F">
      <w:pPr>
        <w:rPr>
          <w:sz w:val="24"/>
        </w:rPr>
      </w:pPr>
      <w:r w:rsidRPr="0048438C">
        <w:rPr>
          <w:rFonts w:cs="Arial"/>
          <w:b/>
          <w:i/>
          <w:sz w:val="24"/>
        </w:rPr>
        <w:t>Title 24:</w:t>
      </w:r>
      <w:r w:rsidRPr="7E9E03BC">
        <w:rPr>
          <w:sz w:val="24"/>
        </w:rPr>
        <w:t xml:space="preserve"> </w:t>
      </w:r>
    </w:p>
    <w:p w14:paraId="1F669359" w14:textId="3496F170" w:rsidR="00F07A2F" w:rsidRPr="00CF018E" w:rsidRDefault="00F07A2F">
      <w:pPr>
        <w:rPr>
          <w:rFonts w:cs="Arial"/>
        </w:rPr>
      </w:pPr>
      <w:r w:rsidRPr="0048438C">
        <w:rPr>
          <w:rFonts w:cs="Arial"/>
        </w:rPr>
        <w:t xml:space="preserve">This measure does not fall under Title 24 of the California Energy Regulations. </w:t>
      </w:r>
    </w:p>
    <w:p w14:paraId="4F1D1239" w14:textId="77777777" w:rsidR="00F07A2F" w:rsidRDefault="00F07A2F" w:rsidP="00F828A6">
      <w:pPr>
        <w:rPr>
          <w:rFonts w:cs="Arial"/>
          <w:b/>
          <w:i/>
          <w:sz w:val="24"/>
        </w:rPr>
      </w:pPr>
    </w:p>
    <w:p w14:paraId="5DBAA1B9" w14:textId="45E3CC2F" w:rsidR="00F828A6" w:rsidRDefault="00F828A6" w:rsidP="00F828A6">
      <w:pPr>
        <w:rPr>
          <w:rFonts w:cs="Arial"/>
          <w:sz w:val="24"/>
        </w:rPr>
      </w:pPr>
      <w:r>
        <w:rPr>
          <w:rFonts w:cs="Arial"/>
          <w:b/>
          <w:i/>
          <w:sz w:val="24"/>
        </w:rPr>
        <w:t>Title 20:</w:t>
      </w:r>
      <w:r>
        <w:rPr>
          <w:rFonts w:cs="Arial"/>
          <w:sz w:val="24"/>
        </w:rPr>
        <w:t xml:space="preserve"> </w:t>
      </w:r>
    </w:p>
    <w:p w14:paraId="5BDB0FD2" w14:textId="1B004997" w:rsidR="00F828A6" w:rsidRPr="00C76EB4" w:rsidRDefault="00F828A6">
      <w:pPr>
        <w:rPr>
          <w:rFonts w:ascii="Arial" w:hAnsi="Arial" w:cs="Arial"/>
          <w:i/>
          <w:iCs/>
          <w:sz w:val="20"/>
          <w:szCs w:val="20"/>
        </w:rPr>
      </w:pPr>
      <w:r w:rsidRPr="0048438C">
        <w:rPr>
          <w:rFonts w:cs="Arial"/>
        </w:rPr>
        <w:t>This measure falls under Title 2</w:t>
      </w:r>
      <w:r w:rsidR="006F4BAB">
        <w:rPr>
          <w:rFonts w:cs="Arial"/>
        </w:rPr>
        <w:t>0</w:t>
      </w:r>
      <w:r w:rsidRPr="0048438C">
        <w:rPr>
          <w:rStyle w:val="EndnoteReference"/>
          <w:rFonts w:cs="Arial"/>
        </w:rPr>
        <w:endnoteReference w:id="9"/>
      </w:r>
      <w:r w:rsidR="006F4BAB">
        <w:rPr>
          <w:rFonts w:cs="Arial"/>
        </w:rPr>
        <w:t xml:space="preserve"> </w:t>
      </w:r>
      <w:r w:rsidRPr="0048438C">
        <w:rPr>
          <w:rFonts w:cs="Arial"/>
        </w:rPr>
        <w:t xml:space="preserve">of the California Public Utility Commission (CPUC) Energy Regulations. </w:t>
      </w:r>
      <w:r w:rsidR="0072514E" w:rsidRPr="0048438C">
        <w:rPr>
          <w:rFonts w:cs="Arial"/>
        </w:rPr>
        <w:t xml:space="preserve">State regulations </w:t>
      </w:r>
      <w:r w:rsidR="006947CC" w:rsidRPr="0048438C">
        <w:rPr>
          <w:rFonts w:cs="Arial"/>
        </w:rPr>
        <w:t>must</w:t>
      </w:r>
      <w:r w:rsidR="0072514E" w:rsidRPr="0048438C">
        <w:rPr>
          <w:rFonts w:cs="Arial"/>
        </w:rPr>
        <w:t xml:space="preserve"> follow federal regulations, so Title 20 regulation will be aligned with the DOE minimum federal standard.</w:t>
      </w:r>
    </w:p>
    <w:p w14:paraId="55447621" w14:textId="77777777" w:rsidR="00F828A6" w:rsidRDefault="00F828A6" w:rsidP="00920905">
      <w:pPr>
        <w:pStyle w:val="Caption"/>
        <w:keepNext/>
        <w:rPr>
          <w:rFonts w:cstheme="minorHAnsi"/>
          <w:szCs w:val="22"/>
        </w:rPr>
      </w:pPr>
    </w:p>
    <w:p w14:paraId="3E74AB2D" w14:textId="06CF1BEE" w:rsidR="00B07EE5" w:rsidRPr="00500C4E" w:rsidRDefault="005A1078" w:rsidP="00C76EB4">
      <w:pPr>
        <w:pStyle w:val="Caption"/>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72514E" w14:paraId="09B6656C" w14:textId="77777777" w:rsidTr="7E9E03BC">
        <w:tc>
          <w:tcPr>
            <w:tcW w:w="1155" w:type="pct"/>
            <w:shd w:val="clear" w:color="auto" w:fill="D9D9D9" w:themeFill="background1" w:themeFillShade="D9"/>
          </w:tcPr>
          <w:p w14:paraId="1CD7B95D" w14:textId="77777777" w:rsidR="00881A42" w:rsidRPr="0072514E" w:rsidRDefault="00881A42" w:rsidP="00DF0D19">
            <w:pPr>
              <w:rPr>
                <w:rFonts w:cstheme="minorHAnsi"/>
                <w:b/>
                <w:szCs w:val="20"/>
              </w:rPr>
            </w:pPr>
            <w:r w:rsidRPr="0072514E">
              <w:rPr>
                <w:rFonts w:cstheme="minorHAnsi"/>
                <w:b/>
                <w:szCs w:val="20"/>
              </w:rPr>
              <w:t>Code</w:t>
            </w:r>
          </w:p>
        </w:tc>
        <w:tc>
          <w:tcPr>
            <w:tcW w:w="2711" w:type="pct"/>
            <w:shd w:val="clear" w:color="auto" w:fill="D9D9D9" w:themeFill="background1" w:themeFillShade="D9"/>
          </w:tcPr>
          <w:p w14:paraId="1AEEDA5D" w14:textId="77777777" w:rsidR="00881A42" w:rsidRPr="0072514E" w:rsidRDefault="00B614F1">
            <w:pPr>
              <w:rPr>
                <w:rFonts w:cstheme="minorHAnsi"/>
                <w:b/>
                <w:szCs w:val="20"/>
              </w:rPr>
            </w:pPr>
            <w:r w:rsidRPr="0072514E">
              <w:rPr>
                <w:rFonts w:cstheme="minorHAnsi"/>
                <w:b/>
                <w:szCs w:val="20"/>
              </w:rPr>
              <w:t>R</w:t>
            </w:r>
            <w:r w:rsidR="00881A42" w:rsidRPr="0072514E">
              <w:rPr>
                <w:rFonts w:cstheme="minorHAnsi"/>
                <w:b/>
                <w:szCs w:val="20"/>
              </w:rPr>
              <w:t>eference</w:t>
            </w:r>
          </w:p>
        </w:tc>
        <w:tc>
          <w:tcPr>
            <w:tcW w:w="1134" w:type="pct"/>
            <w:shd w:val="clear" w:color="auto" w:fill="D9D9D9" w:themeFill="background1" w:themeFillShade="D9"/>
          </w:tcPr>
          <w:p w14:paraId="583BD064" w14:textId="77777777" w:rsidR="00881A42" w:rsidRPr="0072514E" w:rsidRDefault="00881A42" w:rsidP="00DF0D19">
            <w:pPr>
              <w:rPr>
                <w:rFonts w:cstheme="minorHAnsi"/>
                <w:b/>
                <w:szCs w:val="20"/>
              </w:rPr>
            </w:pPr>
            <w:r w:rsidRPr="0072514E">
              <w:rPr>
                <w:rFonts w:cstheme="minorHAnsi"/>
                <w:b/>
                <w:szCs w:val="20"/>
              </w:rPr>
              <w:t>Effective Date</w:t>
            </w:r>
            <w:r w:rsidR="00CB04D2" w:rsidRPr="0072514E">
              <w:rPr>
                <w:rFonts w:cstheme="minorHAnsi"/>
                <w:b/>
                <w:szCs w:val="20"/>
              </w:rPr>
              <w:t>s</w:t>
            </w:r>
          </w:p>
        </w:tc>
      </w:tr>
      <w:tr w:rsidR="00881A42" w:rsidRPr="0072514E" w14:paraId="11F09B1E" w14:textId="77777777" w:rsidTr="7E9E03BC">
        <w:trPr>
          <w:trHeight w:val="243"/>
        </w:trPr>
        <w:tc>
          <w:tcPr>
            <w:tcW w:w="1155" w:type="pct"/>
          </w:tcPr>
          <w:p w14:paraId="355D9296" w14:textId="77777777" w:rsidR="00881A42" w:rsidRPr="0072514E" w:rsidRDefault="006A6D15" w:rsidP="00DF0D19">
            <w:pPr>
              <w:rPr>
                <w:rFonts w:cstheme="minorHAnsi"/>
                <w:szCs w:val="20"/>
              </w:rPr>
            </w:pPr>
            <w:r w:rsidRPr="0072514E">
              <w:rPr>
                <w:rFonts w:cstheme="minorHAnsi"/>
                <w:szCs w:val="20"/>
              </w:rPr>
              <w:t>Title 24 (201</w:t>
            </w:r>
            <w:r w:rsidR="0072514E" w:rsidRPr="0072514E">
              <w:rPr>
                <w:rFonts w:cstheme="minorHAnsi"/>
                <w:szCs w:val="20"/>
              </w:rPr>
              <w:t>9</w:t>
            </w:r>
            <w:r w:rsidR="00881A42" w:rsidRPr="0072514E">
              <w:rPr>
                <w:rFonts w:cstheme="minorHAnsi"/>
                <w:szCs w:val="20"/>
              </w:rPr>
              <w:t>)</w:t>
            </w:r>
          </w:p>
        </w:tc>
        <w:tc>
          <w:tcPr>
            <w:tcW w:w="2711" w:type="pct"/>
          </w:tcPr>
          <w:p w14:paraId="61CD60BA" w14:textId="4BB09B6D" w:rsidR="00881A42" w:rsidRPr="0048438C" w:rsidRDefault="0072514E">
            <w:pPr>
              <w:rPr>
                <w:rFonts w:cstheme="minorBidi"/>
              </w:rPr>
            </w:pPr>
            <w:r w:rsidRPr="0048438C">
              <w:rPr>
                <w:rFonts w:cstheme="minorBidi"/>
              </w:rPr>
              <w:t>N</w:t>
            </w:r>
            <w:r w:rsidR="002F3767" w:rsidRPr="0048438C">
              <w:rPr>
                <w:rFonts w:cstheme="minorBidi"/>
              </w:rPr>
              <w:t>/</w:t>
            </w:r>
            <w:r w:rsidRPr="0048438C">
              <w:rPr>
                <w:rFonts w:cstheme="minorBidi"/>
              </w:rPr>
              <w:t>A</w:t>
            </w:r>
          </w:p>
        </w:tc>
        <w:tc>
          <w:tcPr>
            <w:tcW w:w="1134" w:type="pct"/>
          </w:tcPr>
          <w:p w14:paraId="1F04B06A" w14:textId="51478E52" w:rsidR="00881A42" w:rsidRPr="00CF018E" w:rsidRDefault="0072514E">
            <w:pPr>
              <w:rPr>
                <w:rFonts w:cstheme="minorBidi"/>
              </w:rPr>
            </w:pPr>
            <w:r w:rsidRPr="00CF018E">
              <w:rPr>
                <w:rFonts w:cstheme="minorBidi"/>
              </w:rPr>
              <w:t>N</w:t>
            </w:r>
            <w:r w:rsidR="002F3767" w:rsidRPr="00CF018E">
              <w:rPr>
                <w:rFonts w:cstheme="minorBidi"/>
              </w:rPr>
              <w:t>/</w:t>
            </w:r>
            <w:r w:rsidRPr="00CF018E">
              <w:rPr>
                <w:rFonts w:cstheme="minorBidi"/>
              </w:rPr>
              <w:t>A</w:t>
            </w:r>
          </w:p>
        </w:tc>
      </w:tr>
      <w:tr w:rsidR="00881A42" w:rsidRPr="0072514E" w14:paraId="3647537D" w14:textId="77777777" w:rsidTr="7E9E03BC">
        <w:trPr>
          <w:trHeight w:val="243"/>
        </w:trPr>
        <w:tc>
          <w:tcPr>
            <w:tcW w:w="1155" w:type="pct"/>
          </w:tcPr>
          <w:p w14:paraId="567B81BF" w14:textId="77777777" w:rsidR="00881A42" w:rsidRPr="0072514E" w:rsidRDefault="006A6D15">
            <w:pPr>
              <w:rPr>
                <w:rFonts w:cstheme="minorHAnsi"/>
                <w:szCs w:val="20"/>
              </w:rPr>
            </w:pPr>
            <w:r w:rsidRPr="0072514E">
              <w:rPr>
                <w:rFonts w:cstheme="minorHAnsi"/>
                <w:szCs w:val="20"/>
              </w:rPr>
              <w:t>Title 20 (201</w:t>
            </w:r>
            <w:r w:rsidR="0072514E" w:rsidRPr="0072514E">
              <w:rPr>
                <w:rFonts w:cstheme="minorHAnsi"/>
                <w:szCs w:val="20"/>
              </w:rPr>
              <w:t>9</w:t>
            </w:r>
            <w:r w:rsidR="002C6C7A" w:rsidRPr="0072514E">
              <w:rPr>
                <w:rFonts w:cstheme="minorHAnsi"/>
                <w:szCs w:val="20"/>
              </w:rPr>
              <w:t>)</w:t>
            </w:r>
          </w:p>
        </w:tc>
        <w:tc>
          <w:tcPr>
            <w:tcW w:w="2711" w:type="pct"/>
          </w:tcPr>
          <w:p w14:paraId="5B2D70E6" w14:textId="164E9A80" w:rsidR="00881A42" w:rsidRPr="00CF018E" w:rsidRDefault="009C346D">
            <w:pPr>
              <w:rPr>
                <w:rFonts w:cstheme="minorBidi"/>
              </w:rPr>
            </w:pPr>
            <w:r w:rsidRPr="0048438C">
              <w:rPr>
                <w:rFonts w:cstheme="minorBidi"/>
              </w:rPr>
              <w:t xml:space="preserve">Will </w:t>
            </w:r>
            <w:r w:rsidR="00F07A2F" w:rsidRPr="0048438C">
              <w:rPr>
                <w:rFonts w:cstheme="minorBidi"/>
              </w:rPr>
              <w:t>align with U.S. DOE 10 CFR 431.263</w:t>
            </w:r>
          </w:p>
        </w:tc>
        <w:tc>
          <w:tcPr>
            <w:tcW w:w="1134" w:type="pct"/>
          </w:tcPr>
          <w:p w14:paraId="795112B3" w14:textId="7C7EA47A" w:rsidR="00881A42" w:rsidRPr="0072514E" w:rsidRDefault="0072514E">
            <w:pPr>
              <w:rPr>
                <w:rFonts w:cstheme="minorHAnsi"/>
                <w:szCs w:val="20"/>
              </w:rPr>
            </w:pPr>
            <w:r w:rsidRPr="0072514E">
              <w:rPr>
                <w:rFonts w:cstheme="minorHAnsi"/>
                <w:szCs w:val="20"/>
              </w:rPr>
              <w:t xml:space="preserve">January </w:t>
            </w:r>
            <w:r w:rsidR="006467D8">
              <w:rPr>
                <w:rFonts w:cstheme="minorHAnsi"/>
                <w:szCs w:val="20"/>
              </w:rPr>
              <w:t>28</w:t>
            </w:r>
            <w:r w:rsidRPr="0072514E">
              <w:rPr>
                <w:rFonts w:cstheme="minorHAnsi"/>
                <w:szCs w:val="20"/>
              </w:rPr>
              <w:t>, 2019</w:t>
            </w:r>
          </w:p>
        </w:tc>
      </w:tr>
      <w:tr w:rsidR="002C6C7A" w:rsidRPr="0072514E" w14:paraId="19991B1A" w14:textId="77777777" w:rsidTr="7E9E03BC">
        <w:trPr>
          <w:trHeight w:val="243"/>
        </w:trPr>
        <w:tc>
          <w:tcPr>
            <w:tcW w:w="1155" w:type="pct"/>
          </w:tcPr>
          <w:p w14:paraId="695AC2FE" w14:textId="2E390729" w:rsidR="002C6C7A" w:rsidRPr="00CF018E" w:rsidRDefault="002172D0">
            <w:pPr>
              <w:rPr>
                <w:rFonts w:cstheme="minorBidi"/>
              </w:rPr>
            </w:pPr>
            <w:r w:rsidRPr="0048438C">
              <w:rPr>
                <w:rFonts w:cstheme="minorBidi"/>
              </w:rPr>
              <w:t xml:space="preserve">U.S. </w:t>
            </w:r>
            <w:r w:rsidR="00B614F1" w:rsidRPr="0048438C">
              <w:rPr>
                <w:rFonts w:cstheme="minorBidi"/>
              </w:rPr>
              <w:t>DOE</w:t>
            </w:r>
            <w:r w:rsidRPr="0048438C">
              <w:rPr>
                <w:rFonts w:cstheme="minorBidi"/>
              </w:rPr>
              <w:t xml:space="preserve"> Code of Federal Regulations</w:t>
            </w:r>
          </w:p>
        </w:tc>
        <w:tc>
          <w:tcPr>
            <w:tcW w:w="2711" w:type="pct"/>
          </w:tcPr>
          <w:p w14:paraId="59F76948" w14:textId="77777777" w:rsidR="002C6C7A" w:rsidRPr="0072514E" w:rsidRDefault="0072514E" w:rsidP="00DF0D19">
            <w:pPr>
              <w:rPr>
                <w:rFonts w:cstheme="minorHAnsi"/>
                <w:szCs w:val="20"/>
              </w:rPr>
            </w:pPr>
            <w:r w:rsidRPr="0072514E">
              <w:rPr>
                <w:rFonts w:cstheme="minorHAnsi"/>
                <w:szCs w:val="20"/>
              </w:rPr>
              <w:t>10 CFR 431.26</w:t>
            </w:r>
            <w:r>
              <w:rPr>
                <w:rFonts w:cstheme="minorHAnsi"/>
                <w:szCs w:val="20"/>
              </w:rPr>
              <w:t>3</w:t>
            </w:r>
          </w:p>
        </w:tc>
        <w:tc>
          <w:tcPr>
            <w:tcW w:w="1134" w:type="pct"/>
          </w:tcPr>
          <w:p w14:paraId="038ED54A" w14:textId="2178E19F" w:rsidR="002C6C7A" w:rsidRPr="0072514E" w:rsidRDefault="0072514E" w:rsidP="00DF0D19">
            <w:pPr>
              <w:rPr>
                <w:rFonts w:cstheme="minorHAnsi"/>
                <w:szCs w:val="20"/>
              </w:rPr>
            </w:pPr>
            <w:r w:rsidRPr="0072514E">
              <w:rPr>
                <w:rFonts w:cstheme="minorHAnsi"/>
                <w:szCs w:val="20"/>
              </w:rPr>
              <w:t xml:space="preserve">January </w:t>
            </w:r>
            <w:r w:rsidR="006467D8">
              <w:rPr>
                <w:rFonts w:cstheme="minorHAnsi"/>
                <w:szCs w:val="20"/>
              </w:rPr>
              <w:t>28</w:t>
            </w:r>
            <w:r w:rsidRPr="0072514E">
              <w:rPr>
                <w:rFonts w:cstheme="minorHAnsi"/>
                <w:szCs w:val="20"/>
              </w:rPr>
              <w:t>, 2019</w:t>
            </w:r>
          </w:p>
        </w:tc>
      </w:tr>
    </w:tbl>
    <w:p w14:paraId="21B17629" w14:textId="77777777" w:rsidR="00572D2F" w:rsidRPr="00920905" w:rsidRDefault="00572D2F" w:rsidP="00920905">
      <w:pPr>
        <w:pStyle w:val="Heading2"/>
        <w:rPr>
          <w:rFonts w:cstheme="minorHAnsi"/>
          <w:b w:val="0"/>
          <w:bCs w:val="0"/>
          <w:iCs w:val="0"/>
          <w:smallCaps w:val="0"/>
        </w:rPr>
      </w:pPr>
      <w:bookmarkStart w:id="18" w:name="_Toc304800207"/>
      <w:bookmarkStart w:id="19" w:name="_Toc324318343"/>
      <w:bookmarkStart w:id="20" w:name="_Toc324340487"/>
      <w:bookmarkStart w:id="21" w:name="_Toc383441992"/>
      <w:bookmarkStart w:id="22" w:name="_Toc214003090"/>
      <w:r w:rsidRPr="00920905">
        <w:rPr>
          <w:rFonts w:asciiTheme="minorHAnsi" w:hAnsiTheme="minorHAnsi" w:cstheme="minorHAnsi"/>
        </w:rPr>
        <w:lastRenderedPageBreak/>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8"/>
      <w:bookmarkEnd w:id="19"/>
      <w:bookmarkEnd w:id="20"/>
      <w:bookmarkEnd w:id="21"/>
    </w:p>
    <w:p w14:paraId="54832E94" w14:textId="6D12E025" w:rsidR="00CA2E05" w:rsidRPr="00F828A6" w:rsidRDefault="00F828A6" w:rsidP="00F828A6">
      <w:r>
        <w:t>Pre-rinse spray valves have been included as part of energy efficiency programs in California, Washington, and Canadian cities for several years. These programs have undergone evaluation studies validating the effectiveness of high</w:t>
      </w:r>
      <w:r w:rsidR="00185963">
        <w:t>-</w:t>
      </w:r>
      <w:r>
        <w:t>efficiency spray valves and their operational characteristics. Two separate studies conducted by Ts</w:t>
      </w:r>
      <w:r w:rsidR="006654BD">
        <w:t>o,</w:t>
      </w:r>
      <w:r w:rsidR="00110DB3">
        <w:t xml:space="preserve"> </w:t>
      </w:r>
      <w:r>
        <w:t>Koeller</w:t>
      </w:r>
      <w:r w:rsidR="006654BD">
        <w:t>,</w:t>
      </w:r>
      <w:r>
        <w:t xml:space="preserve"> and SBW Consulting document the baseline operating hours, baseline flow rates, proposed operating hours, proposed flow rates, mixed water temperature, and supply water temperature for spray valves. The results of these studies are used as the basis for energy savings calculations for this measure.</w:t>
      </w:r>
    </w:p>
    <w:p w14:paraId="0A83F844" w14:textId="77777777" w:rsidR="008D67F9" w:rsidRDefault="008D67F9" w:rsidP="00C76EB4"/>
    <w:p w14:paraId="21268A50" w14:textId="0BF83DB4" w:rsidR="00F828A6" w:rsidRDefault="00572D2F" w:rsidP="00C76EB4">
      <w:pPr>
        <w:pStyle w:val="Heading3"/>
        <w:spacing w:before="120"/>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F828A6" w:rsidRPr="00F828A6">
        <w:rPr>
          <w:rFonts w:asciiTheme="minorHAnsi" w:hAnsiTheme="minorHAnsi"/>
        </w:rPr>
        <w:t>Pre-Rinse Spray Valve Programs: How Are They Really Doing?</w:t>
      </w:r>
      <w:r w:rsidR="003A4E7D" w:rsidRPr="00C76EB4">
        <w:rPr>
          <w:rFonts w:asciiTheme="minorHAnsi" w:hAnsiTheme="minorHAnsi"/>
          <w:vertAlign w:val="superscript"/>
        </w:rPr>
        <w:fldChar w:fldCharType="begin"/>
      </w:r>
      <w:r w:rsidR="003A4E7D" w:rsidRPr="00C76EB4">
        <w:rPr>
          <w:rFonts w:asciiTheme="minorHAnsi" w:hAnsiTheme="minorHAnsi"/>
          <w:vertAlign w:val="superscript"/>
        </w:rPr>
        <w:instrText xml:space="preserve"> NOTEREF _Ref525301883 \h  \* MERGEFORMAT </w:instrText>
      </w:r>
      <w:r w:rsidR="003A4E7D" w:rsidRPr="00C76EB4">
        <w:rPr>
          <w:rFonts w:asciiTheme="minorHAnsi" w:hAnsiTheme="minorHAnsi"/>
          <w:vertAlign w:val="superscript"/>
        </w:rPr>
      </w:r>
      <w:r w:rsidR="003A4E7D" w:rsidRPr="00C76EB4">
        <w:rPr>
          <w:rFonts w:asciiTheme="minorHAnsi" w:hAnsiTheme="minorHAnsi"/>
          <w:vertAlign w:val="superscript"/>
        </w:rPr>
        <w:fldChar w:fldCharType="separate"/>
      </w:r>
      <w:r w:rsidR="003A4E7D" w:rsidRPr="00C76EB4">
        <w:rPr>
          <w:rFonts w:asciiTheme="minorHAnsi" w:hAnsiTheme="minorHAnsi"/>
          <w:vertAlign w:val="superscript"/>
        </w:rPr>
        <w:t>4</w:t>
      </w:r>
      <w:r w:rsidR="003A4E7D" w:rsidRPr="00C76EB4">
        <w:rPr>
          <w:rFonts w:asciiTheme="minorHAnsi" w:hAnsiTheme="minorHAnsi"/>
          <w:vertAlign w:val="superscript"/>
        </w:rPr>
        <w:fldChar w:fldCharType="end"/>
      </w:r>
    </w:p>
    <w:p w14:paraId="5E94E199" w14:textId="168431BD" w:rsidR="00F828A6" w:rsidRDefault="00F828A6" w:rsidP="00F828A6">
      <w:pPr>
        <w:rPr>
          <w:rFonts w:cs="Arial"/>
        </w:rPr>
      </w:pPr>
      <w:r>
        <w:rPr>
          <w:rFonts w:cs="Arial"/>
        </w:rPr>
        <w:t>The study in 2005 by Bing Tso and John Koeller randomly selected 16 different commercial foodservice sites out of 17,000 spray valve installation sites for monitoring and verification studies. All sites were locations where a high</w:t>
      </w:r>
      <w:r w:rsidR="00E84941">
        <w:rPr>
          <w:rFonts w:cs="Arial"/>
        </w:rPr>
        <w:t>-</w:t>
      </w:r>
      <w:r>
        <w:rPr>
          <w:rFonts w:cs="Arial"/>
        </w:rPr>
        <w:t>flow PRSV was initially measured for flow rate, hours of operation</w:t>
      </w:r>
      <w:r w:rsidR="00E84941">
        <w:rPr>
          <w:rFonts w:cs="Arial"/>
        </w:rPr>
        <w:t>,</w:t>
      </w:r>
      <w:r>
        <w:rPr>
          <w:rFonts w:cs="Arial"/>
        </w:rPr>
        <w:t xml:space="preserve"> and </w:t>
      </w:r>
      <w:r w:rsidR="00E84941">
        <w:rPr>
          <w:rFonts w:cs="Arial"/>
        </w:rPr>
        <w:t xml:space="preserve">mixed </w:t>
      </w:r>
      <w:r>
        <w:rPr>
          <w:rFonts w:cs="Arial"/>
        </w:rPr>
        <w:t>water temperature</w:t>
      </w:r>
      <w:r w:rsidR="001A79D9">
        <w:rPr>
          <w:rFonts w:cs="Arial"/>
        </w:rPr>
        <w:t>. S</w:t>
      </w:r>
      <w:r>
        <w:rPr>
          <w:rFonts w:cs="Arial"/>
        </w:rPr>
        <w:t>ubsequently</w:t>
      </w:r>
      <w:r w:rsidR="001A79D9">
        <w:rPr>
          <w:rFonts w:cs="Arial"/>
        </w:rPr>
        <w:t>, the sites were</w:t>
      </w:r>
      <w:r>
        <w:rPr>
          <w:rFonts w:cs="Arial"/>
        </w:rPr>
        <w:t xml:space="preserve"> monitored with a low</w:t>
      </w:r>
      <w:r w:rsidR="00E84941">
        <w:rPr>
          <w:rFonts w:cs="Arial"/>
        </w:rPr>
        <w:t>-</w:t>
      </w:r>
      <w:r>
        <w:rPr>
          <w:rFonts w:cs="Arial"/>
        </w:rPr>
        <w:t>flow</w:t>
      </w:r>
      <w:r w:rsidR="00E84941">
        <w:rPr>
          <w:rFonts w:cs="Arial"/>
        </w:rPr>
        <w:t xml:space="preserve"> </w:t>
      </w:r>
      <w:r w:rsidR="001A79D9">
        <w:rPr>
          <w:rFonts w:cs="Arial"/>
        </w:rPr>
        <w:t xml:space="preserve">pre-rinse </w:t>
      </w:r>
      <w:r w:rsidR="00E84941">
        <w:rPr>
          <w:rFonts w:cs="Arial"/>
        </w:rPr>
        <w:t>spray valve</w:t>
      </w:r>
      <w:r>
        <w:rPr>
          <w:rFonts w:cs="Arial"/>
        </w:rPr>
        <w:t xml:space="preserve">. The study was conducted in foodservice facilities throughout California, Washington, and </w:t>
      </w:r>
      <w:r w:rsidR="00B835AC">
        <w:rPr>
          <w:rFonts w:cs="Arial"/>
        </w:rPr>
        <w:t>Canada</w:t>
      </w:r>
      <w:r>
        <w:rPr>
          <w:rFonts w:cs="Arial"/>
        </w:rPr>
        <w:t xml:space="preserve"> over the course of two years from 2003 to 2005. The research was conducted through a combination of equipment monitoring and surveys and used to evaluate the baseline operating hours, baseline flow rates, proposed operating hours, proposed flow rates, mixed water temperature, and supply water temperature for each of the facilities. </w:t>
      </w:r>
    </w:p>
    <w:p w14:paraId="109F8FD0" w14:textId="77777777" w:rsidR="00F828A6" w:rsidRDefault="00F828A6" w:rsidP="00F828A6">
      <w:pPr>
        <w:rPr>
          <w:rFonts w:cs="Arial"/>
          <w:b/>
          <w:i/>
          <w:sz w:val="24"/>
          <w:szCs w:val="20"/>
        </w:rPr>
      </w:pPr>
    </w:p>
    <w:p w14:paraId="545CE13F" w14:textId="77777777" w:rsidR="00F828A6" w:rsidRPr="00C76EB4" w:rsidRDefault="00F828A6" w:rsidP="00F828A6">
      <w:pPr>
        <w:rPr>
          <w:rFonts w:cs="Arial"/>
          <w:b/>
          <w:i/>
          <w:szCs w:val="20"/>
        </w:rPr>
      </w:pPr>
      <w:r w:rsidRPr="00C76EB4">
        <w:rPr>
          <w:rFonts w:cs="Arial"/>
          <w:b/>
          <w:i/>
          <w:szCs w:val="20"/>
        </w:rPr>
        <w:t xml:space="preserve">Energy Savings Calculation Assumptions: </w:t>
      </w:r>
    </w:p>
    <w:p w14:paraId="2115C4CA" w14:textId="6661658A" w:rsidR="006F4BAB" w:rsidRDefault="00F828A6" w:rsidP="00C76EB4">
      <w:pPr>
        <w:pStyle w:val="WPPR2"/>
        <w:numPr>
          <w:ilvl w:val="3"/>
          <w:numId w:val="0"/>
        </w:numPr>
        <w:tabs>
          <w:tab w:val="left" w:pos="0"/>
        </w:tabs>
        <w:rPr>
          <w:rFonts w:asciiTheme="minorHAnsi" w:hAnsiTheme="minorHAnsi" w:cstheme="minorBidi"/>
          <w:sz w:val="22"/>
          <w:szCs w:val="22"/>
        </w:rPr>
      </w:pPr>
      <w:r w:rsidRPr="00C76EB4">
        <w:rPr>
          <w:rFonts w:asciiTheme="minorHAnsi" w:hAnsiTheme="minorHAnsi" w:cstheme="minorBidi"/>
          <w:sz w:val="22"/>
          <w:szCs w:val="22"/>
        </w:rPr>
        <w:t>Mixed water temperatures for foodservice establishments averaged 114.1°F during the monitorin</w:t>
      </w:r>
      <w:r w:rsidR="00F4177B" w:rsidRPr="0048438C">
        <w:rPr>
          <w:rFonts w:asciiTheme="minorHAnsi" w:hAnsiTheme="minorHAnsi" w:cstheme="minorBidi"/>
          <w:sz w:val="22"/>
          <w:szCs w:val="22"/>
        </w:rPr>
        <w:t xml:space="preserve">g </w:t>
      </w:r>
      <w:r w:rsidRPr="00C76EB4">
        <w:rPr>
          <w:rFonts w:asciiTheme="minorHAnsi" w:hAnsiTheme="minorHAnsi" w:cstheme="minorBidi"/>
          <w:sz w:val="22"/>
          <w:szCs w:val="22"/>
        </w:rPr>
        <w:t>period</w:t>
      </w:r>
      <w:r w:rsidR="00E763F0" w:rsidRPr="0048438C">
        <w:rPr>
          <w:rFonts w:asciiTheme="minorHAnsi" w:hAnsiTheme="minorHAnsi" w:cstheme="minorBidi"/>
          <w:sz w:val="22"/>
          <w:szCs w:val="22"/>
        </w:rPr>
        <w:t xml:space="preserve"> as a combination of two studies </w:t>
      </w:r>
      <w:r w:rsidR="006D7150">
        <w:rPr>
          <w:rFonts w:asciiTheme="minorHAnsi" w:hAnsiTheme="minorHAnsi" w:cstheme="minorBidi"/>
          <w:sz w:val="22"/>
          <w:szCs w:val="22"/>
        </w:rPr>
        <w:t>(</w:t>
      </w:r>
      <w:r w:rsidR="00E763F0" w:rsidRPr="0048438C">
        <w:rPr>
          <w:rFonts w:asciiTheme="minorHAnsi" w:hAnsiTheme="minorHAnsi" w:cstheme="minorBidi"/>
          <w:sz w:val="22"/>
          <w:szCs w:val="22"/>
        </w:rPr>
        <w:t>in section 1.5.2 and 1.5.3</w:t>
      </w:r>
      <w:r w:rsidR="006D7150">
        <w:rPr>
          <w:rFonts w:asciiTheme="minorHAnsi" w:hAnsiTheme="minorHAnsi" w:cstheme="minorBidi"/>
          <w:sz w:val="22"/>
          <w:szCs w:val="22"/>
        </w:rPr>
        <w:t>)</w:t>
      </w:r>
      <w:r w:rsidR="00E763F0" w:rsidRPr="0048438C">
        <w:rPr>
          <w:rFonts w:asciiTheme="minorHAnsi" w:hAnsiTheme="minorHAnsi" w:cstheme="minorBidi"/>
          <w:sz w:val="22"/>
          <w:szCs w:val="22"/>
        </w:rPr>
        <w:t xml:space="preserve"> for a total of 245 sites</w:t>
      </w:r>
      <w:r w:rsidRPr="00C76EB4">
        <w:rPr>
          <w:rFonts w:asciiTheme="minorHAnsi" w:hAnsiTheme="minorHAnsi" w:cstheme="minorBidi"/>
          <w:sz w:val="22"/>
          <w:szCs w:val="22"/>
        </w:rPr>
        <w:t xml:space="preserve">. </w:t>
      </w:r>
    </w:p>
    <w:p w14:paraId="5AE76BFA" w14:textId="77777777" w:rsidR="00636702" w:rsidRPr="00C76EB4" w:rsidRDefault="00636702" w:rsidP="00C76EB4">
      <w:pPr>
        <w:pStyle w:val="WPPR2"/>
        <w:numPr>
          <w:ilvl w:val="3"/>
          <w:numId w:val="0"/>
        </w:numPr>
        <w:tabs>
          <w:tab w:val="left" w:pos="0"/>
        </w:tabs>
        <w:rPr>
          <w:rFonts w:asciiTheme="minorHAnsi" w:hAnsiTheme="minorHAnsi" w:cstheme="minorBidi"/>
          <w:sz w:val="22"/>
          <w:szCs w:val="22"/>
        </w:rPr>
      </w:pPr>
    </w:p>
    <w:p w14:paraId="46547B98" w14:textId="263C3463" w:rsidR="00D26D8D" w:rsidRDefault="00636702" w:rsidP="00C76EB4">
      <w:pPr>
        <w:pStyle w:val="Caption"/>
        <w:rPr>
          <w:rFonts w:cstheme="minorHAnsi"/>
          <w:szCs w:val="22"/>
        </w:rPr>
      </w:pPr>
      <w:r>
        <w:rPr>
          <w:rFonts w:cstheme="minorHAnsi"/>
          <w:szCs w:val="22"/>
        </w:rPr>
        <w:t>Measured</w:t>
      </w:r>
      <w:r w:rsidR="001871A6">
        <w:rPr>
          <w:rFonts w:cstheme="minorHAnsi"/>
          <w:szCs w:val="22"/>
        </w:rPr>
        <w:t xml:space="preserve"> </w:t>
      </w:r>
      <w:r>
        <w:rPr>
          <w:rFonts w:cstheme="minorHAnsi"/>
          <w:szCs w:val="22"/>
        </w:rPr>
        <w:t xml:space="preserve">Water Temperatures </w:t>
      </w:r>
      <w:r w:rsidR="001871A6">
        <w:rPr>
          <w:rFonts w:cstheme="minorHAnsi"/>
          <w:szCs w:val="22"/>
        </w:rPr>
        <w:t>for Foodservice Establishments</w:t>
      </w:r>
    </w:p>
    <w:p w14:paraId="1E7170F5" w14:textId="0BC8AD3E" w:rsidR="00D26D8D" w:rsidRPr="00C76EB4" w:rsidRDefault="00D26D8D" w:rsidP="00C76EB4">
      <w:pPr>
        <w:pStyle w:val="WPPR2"/>
        <w:numPr>
          <w:ilvl w:val="0"/>
          <w:numId w:val="0"/>
        </w:numPr>
        <w:tabs>
          <w:tab w:val="left" w:pos="0"/>
        </w:tabs>
        <w:rPr>
          <w:rFonts w:asciiTheme="minorHAnsi" w:hAnsiTheme="minorHAnsi" w:cstheme="minorHAnsi"/>
          <w:sz w:val="22"/>
          <w:szCs w:val="22"/>
        </w:rPr>
      </w:pPr>
      <w:r>
        <w:rPr>
          <w:rFonts w:asciiTheme="minorHAnsi" w:hAnsiTheme="minorHAnsi" w:cstheme="minorHAnsi"/>
          <w:noProof/>
          <w:sz w:val="22"/>
          <w:szCs w:val="22"/>
        </w:rPr>
        <w:drawing>
          <wp:inline distT="0" distB="0" distL="0" distR="0" wp14:anchorId="2CAADD12" wp14:editId="4DA61A35">
            <wp:extent cx="5700928" cy="2090328"/>
            <wp:effectExtent l="0" t="0" r="0" b="57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xed Temp.png"/>
                    <pic:cNvPicPr/>
                  </pic:nvPicPr>
                  <pic:blipFill rotWithShape="1">
                    <a:blip r:embed="rId14">
                      <a:extLst>
                        <a:ext uri="{28A0092B-C50C-407E-A947-70E740481C1C}">
                          <a14:useLocalDpi xmlns:a14="http://schemas.microsoft.com/office/drawing/2010/main" val="0"/>
                        </a:ext>
                      </a:extLst>
                    </a:blip>
                    <a:srcRect l="4062" t="11592" b="22160"/>
                    <a:stretch/>
                  </pic:blipFill>
                  <pic:spPr bwMode="auto">
                    <a:xfrm>
                      <a:off x="0" y="0"/>
                      <a:ext cx="5702146" cy="2090775"/>
                    </a:xfrm>
                    <a:prstGeom prst="rect">
                      <a:avLst/>
                    </a:prstGeom>
                    <a:ln>
                      <a:noFill/>
                    </a:ln>
                    <a:extLst>
                      <a:ext uri="{53640926-AAD7-44D8-BBD7-CCE9431645EC}">
                        <a14:shadowObscured xmlns:a14="http://schemas.microsoft.com/office/drawing/2010/main"/>
                      </a:ext>
                    </a:extLst>
                  </pic:spPr>
                </pic:pic>
              </a:graphicData>
            </a:graphic>
          </wp:inline>
        </w:drawing>
      </w:r>
    </w:p>
    <w:p w14:paraId="7312D087" w14:textId="77777777" w:rsidR="00F828A6" w:rsidRDefault="00F828A6" w:rsidP="00F828A6">
      <w:pPr>
        <w:rPr>
          <w:b/>
        </w:rPr>
      </w:pPr>
    </w:p>
    <w:p w14:paraId="506896D8" w14:textId="41813F44" w:rsidR="00F828A6" w:rsidRDefault="00F828A6" w:rsidP="00C76EB4">
      <w:pPr>
        <w:rPr>
          <w:rFonts w:cs="Arial"/>
          <w:sz w:val="20"/>
          <w:szCs w:val="20"/>
          <w:highlight w:val="yellow"/>
        </w:rPr>
      </w:pPr>
      <w:r w:rsidRPr="00C76EB4">
        <w:rPr>
          <w:rFonts w:cs="Arial"/>
          <w:b/>
          <w:i/>
          <w:szCs w:val="20"/>
        </w:rPr>
        <w:t>Hours of Operation</w:t>
      </w:r>
      <w:r w:rsidRPr="00C76EB4">
        <w:rPr>
          <w:rFonts w:cs="Arial"/>
          <w:i/>
          <w:szCs w:val="20"/>
        </w:rPr>
        <w:t xml:space="preserve">: </w:t>
      </w:r>
    </w:p>
    <w:p w14:paraId="576FAE24" w14:textId="0C34D533" w:rsidR="00F828A6" w:rsidRPr="00C76EB4" w:rsidRDefault="00F828A6" w:rsidP="00C76EB4">
      <w:pPr>
        <w:pStyle w:val="PR2"/>
        <w:numPr>
          <w:ilvl w:val="0"/>
          <w:numId w:val="0"/>
        </w:numPr>
        <w:tabs>
          <w:tab w:val="left" w:pos="720"/>
        </w:tabs>
        <w:rPr>
          <w:rFonts w:asciiTheme="minorHAnsi" w:hAnsiTheme="minorHAnsi" w:cstheme="minorHAnsi"/>
          <w:sz w:val="22"/>
        </w:rPr>
      </w:pPr>
      <w:r w:rsidRPr="00C76EB4">
        <w:rPr>
          <w:rFonts w:asciiTheme="minorHAnsi" w:hAnsiTheme="minorHAnsi" w:cstheme="minorHAnsi"/>
          <w:sz w:val="22"/>
        </w:rPr>
        <w:t xml:space="preserve">The baseline operating hours were determined using the results of existing evaluation studies for restaurant facilities that included baseline operating hours of 0.79 hours/day for a 2.92 gpm unit and the proposed operating hours of 1.02 hours/day for a 1.18 gpm unit. The linear relationship between these two parameters yielded an equation that was utilized to calculate operating hours for the baseline unit at 1.40 gpm. The equation is as follows: </w:t>
      </w:r>
    </w:p>
    <w:p w14:paraId="61E3CAAF" w14:textId="77777777" w:rsidR="00DC487E" w:rsidRPr="00C76EB4" w:rsidRDefault="00DC487E" w:rsidP="00C76EB4">
      <w:pPr>
        <w:pStyle w:val="PR2"/>
        <w:numPr>
          <w:ilvl w:val="0"/>
          <w:numId w:val="0"/>
        </w:numPr>
        <w:tabs>
          <w:tab w:val="left" w:pos="720"/>
        </w:tabs>
        <w:ind w:left="720"/>
        <w:rPr>
          <w:rFonts w:asciiTheme="minorHAnsi" w:hAnsiTheme="minorHAnsi" w:cstheme="minorHAnsi"/>
        </w:rPr>
      </w:pPr>
    </w:p>
    <w:p w14:paraId="72787477" w14:textId="49BEB4CF" w:rsidR="00F828A6" w:rsidRPr="00C76EB4" w:rsidRDefault="00F828A6" w:rsidP="00C76EB4">
      <w:pPr>
        <w:pStyle w:val="PR2"/>
        <w:numPr>
          <w:ilvl w:val="0"/>
          <w:numId w:val="0"/>
        </w:numPr>
        <w:tabs>
          <w:tab w:val="left" w:pos="720"/>
        </w:tabs>
        <w:jc w:val="center"/>
        <w:rPr>
          <w:rFonts w:asciiTheme="majorHAnsi" w:hAnsiTheme="majorHAnsi" w:cstheme="minorHAnsi"/>
          <w:sz w:val="22"/>
        </w:rPr>
      </w:pPr>
      <w:r w:rsidRPr="00C76EB4">
        <w:rPr>
          <w:rFonts w:asciiTheme="majorHAnsi" w:hAnsiTheme="majorHAnsi" w:cstheme="minorHAnsi"/>
          <w:sz w:val="22"/>
        </w:rPr>
        <w:t>Hours/day = -0.1322 x Flow Rate +</w:t>
      </w:r>
      <w:r w:rsidR="00704F38" w:rsidRPr="00C76EB4">
        <w:rPr>
          <w:rFonts w:asciiTheme="majorHAnsi" w:hAnsiTheme="majorHAnsi" w:cstheme="minorHAnsi"/>
          <w:sz w:val="22"/>
        </w:rPr>
        <w:t xml:space="preserve"> </w:t>
      </w:r>
      <w:r w:rsidRPr="00C76EB4">
        <w:rPr>
          <w:rFonts w:asciiTheme="majorHAnsi" w:hAnsiTheme="majorHAnsi" w:cstheme="minorHAnsi"/>
          <w:sz w:val="22"/>
        </w:rPr>
        <w:t>1.176</w:t>
      </w:r>
    </w:p>
    <w:p w14:paraId="1218EDD2" w14:textId="77777777" w:rsidR="00F828A6" w:rsidRDefault="00F828A6" w:rsidP="00F828A6">
      <w:pPr>
        <w:pStyle w:val="PR2"/>
        <w:numPr>
          <w:ilvl w:val="0"/>
          <w:numId w:val="0"/>
        </w:numPr>
        <w:tabs>
          <w:tab w:val="left" w:pos="720"/>
        </w:tabs>
        <w:ind w:left="1440" w:firstLine="720"/>
        <w:rPr>
          <w:sz w:val="22"/>
        </w:rPr>
      </w:pPr>
    </w:p>
    <w:p w14:paraId="61685D0A" w14:textId="1664EF45" w:rsidR="00F13B8B" w:rsidRDefault="00F828A6" w:rsidP="00F13B8B">
      <w:pPr>
        <w:rPr>
          <w:rFonts w:eastAsia="Batang"/>
          <w:szCs w:val="20"/>
        </w:rPr>
      </w:pPr>
      <w:r w:rsidRPr="00F4177B">
        <w:rPr>
          <w:rFonts w:eastAsia="Batang"/>
          <w:szCs w:val="20"/>
        </w:rPr>
        <w:t xml:space="preserve">The measure hours of operation are consistent with the results of evaluation studies for previously implemented pre-rinse spray valve programs. </w:t>
      </w:r>
    </w:p>
    <w:p w14:paraId="2FA0706B" w14:textId="77777777" w:rsidR="005B613D" w:rsidRDefault="005B613D" w:rsidP="00F13B8B">
      <w:pPr>
        <w:rPr>
          <w:rFonts w:eastAsia="Batang"/>
          <w:szCs w:val="20"/>
        </w:rPr>
      </w:pPr>
    </w:p>
    <w:p w14:paraId="36456540" w14:textId="393BDC32" w:rsidR="00D26D8D" w:rsidRDefault="005B613D" w:rsidP="00C76EB4">
      <w:pPr>
        <w:pStyle w:val="Caption"/>
        <w:rPr>
          <w:rFonts w:eastAsia="Batang"/>
          <w:szCs w:val="20"/>
        </w:rPr>
      </w:pPr>
      <w:r>
        <w:rPr>
          <w:rFonts w:cstheme="minorHAnsi"/>
          <w:szCs w:val="22"/>
        </w:rPr>
        <w:t>Measured Pre-Rinse Spray Valve Hours of Daily Use</w:t>
      </w:r>
    </w:p>
    <w:p w14:paraId="7880CFBE" w14:textId="465FF245" w:rsidR="00D26D8D" w:rsidRPr="00F4177B" w:rsidRDefault="00D26D8D" w:rsidP="00C76EB4">
      <w:pPr>
        <w:rPr>
          <w:rFonts w:eastAsia="Batang"/>
          <w:szCs w:val="20"/>
        </w:rPr>
      </w:pPr>
      <w:r>
        <w:rPr>
          <w:rFonts w:eastAsia="Batang"/>
          <w:noProof/>
          <w:szCs w:val="20"/>
        </w:rPr>
        <w:drawing>
          <wp:inline distT="0" distB="0" distL="0" distR="0" wp14:anchorId="69DE22EC" wp14:editId="682CDD9A">
            <wp:extent cx="5098694" cy="3108595"/>
            <wp:effectExtent l="0" t="0" r="698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Hours of Operation.png"/>
                    <pic:cNvPicPr/>
                  </pic:nvPicPr>
                  <pic:blipFill rotWithShape="1">
                    <a:blip r:embed="rId15">
                      <a:extLst>
                        <a:ext uri="{28A0092B-C50C-407E-A947-70E740481C1C}">
                          <a14:useLocalDpi xmlns:a14="http://schemas.microsoft.com/office/drawing/2010/main" val="0"/>
                        </a:ext>
                      </a:extLst>
                    </a:blip>
                    <a:srcRect l="862" t="5028"/>
                    <a:stretch/>
                  </pic:blipFill>
                  <pic:spPr bwMode="auto">
                    <a:xfrm>
                      <a:off x="0" y="0"/>
                      <a:ext cx="5171066" cy="3152719"/>
                    </a:xfrm>
                    <a:prstGeom prst="rect">
                      <a:avLst/>
                    </a:prstGeom>
                    <a:ln>
                      <a:noFill/>
                    </a:ln>
                    <a:extLst>
                      <a:ext uri="{53640926-AAD7-44D8-BBD7-CCE9431645EC}">
                        <a14:shadowObscured xmlns:a14="http://schemas.microsoft.com/office/drawing/2010/main"/>
                      </a:ext>
                    </a:extLst>
                  </pic:spPr>
                </pic:pic>
              </a:graphicData>
            </a:graphic>
          </wp:inline>
        </w:drawing>
      </w:r>
    </w:p>
    <w:p w14:paraId="7BC63AF8" w14:textId="77777777" w:rsidR="00F828A6" w:rsidRDefault="00F828A6" w:rsidP="00F828A6">
      <w:pPr>
        <w:rPr>
          <w:rFonts w:cs="Arial"/>
          <w:b/>
          <w:i/>
          <w:sz w:val="20"/>
          <w:szCs w:val="20"/>
        </w:rPr>
      </w:pPr>
    </w:p>
    <w:p w14:paraId="7ED14356" w14:textId="1BA083AB" w:rsidR="00F828A6" w:rsidRPr="00C76EB4" w:rsidRDefault="00F828A6" w:rsidP="00F828A6">
      <w:pPr>
        <w:pStyle w:val="Table"/>
        <w:rPr>
          <w:rFonts w:asciiTheme="minorHAnsi" w:hAnsiTheme="minorHAnsi" w:cstheme="minorHAnsi"/>
          <w:b/>
          <w:sz w:val="26"/>
          <w:szCs w:val="26"/>
        </w:rPr>
      </w:pPr>
      <w:bookmarkStart w:id="23" w:name="_Toc391398024"/>
      <w:r w:rsidRPr="00C76EB4">
        <w:rPr>
          <w:rFonts w:asciiTheme="minorHAnsi" w:hAnsiTheme="minorHAnsi" w:cstheme="minorHAnsi"/>
          <w:b/>
        </w:rPr>
        <w:t>Base and Measure Case Operating Hours</w:t>
      </w:r>
      <w:bookmarkEnd w:id="23"/>
    </w:p>
    <w:tbl>
      <w:tblPr>
        <w:tblStyle w:val="TableGrid"/>
        <w:tblW w:w="5000" w:type="pct"/>
        <w:tblLayout w:type="fixed"/>
        <w:tblCellMar>
          <w:left w:w="115" w:type="dxa"/>
          <w:right w:w="115" w:type="dxa"/>
        </w:tblCellMar>
        <w:tblLook w:val="01E0" w:firstRow="1" w:lastRow="1" w:firstColumn="1" w:lastColumn="1" w:noHBand="0" w:noVBand="0"/>
      </w:tblPr>
      <w:tblGrid>
        <w:gridCol w:w="4140"/>
        <w:gridCol w:w="2063"/>
        <w:gridCol w:w="3147"/>
      </w:tblGrid>
      <w:tr w:rsidR="00F828A6" w14:paraId="088AEB87" w14:textId="77777777" w:rsidTr="00C76EB4">
        <w:trPr>
          <w:trHeight w:hRule="exact" w:val="245"/>
        </w:trPr>
        <w:tc>
          <w:tcPr>
            <w:tcW w:w="4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113533" w14:textId="77777777" w:rsidR="00F828A6" w:rsidRPr="00C76EB4" w:rsidRDefault="00F828A6" w:rsidP="00C76EB4">
            <w:pPr>
              <w:pStyle w:val="Normal1"/>
              <w:spacing w:after="0" w:line="240" w:lineRule="auto"/>
              <w:rPr>
                <w:rFonts w:asciiTheme="minorHAnsi" w:hAnsiTheme="minorHAnsi" w:cstheme="minorHAnsi"/>
                <w:b/>
                <w:sz w:val="20"/>
                <w:szCs w:val="18"/>
              </w:rPr>
            </w:pPr>
            <w:r w:rsidRPr="00C76EB4">
              <w:rPr>
                <w:rFonts w:asciiTheme="minorHAnsi" w:hAnsiTheme="minorHAnsi" w:cstheme="minorHAnsi"/>
                <w:b/>
                <w:sz w:val="20"/>
                <w:szCs w:val="18"/>
              </w:rPr>
              <w:t>Equipment Type</w:t>
            </w:r>
          </w:p>
        </w:tc>
        <w:tc>
          <w:tcPr>
            <w:tcW w:w="206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832C236" w14:textId="7A85AE66" w:rsidR="00F828A6" w:rsidRPr="00C76EB4" w:rsidRDefault="00F828A6" w:rsidP="00C76EB4">
            <w:pPr>
              <w:pStyle w:val="Normal1"/>
              <w:spacing w:after="0" w:line="240" w:lineRule="auto"/>
              <w:rPr>
                <w:rFonts w:asciiTheme="minorHAnsi" w:hAnsiTheme="minorHAnsi" w:cstheme="minorHAnsi"/>
                <w:b/>
                <w:sz w:val="20"/>
                <w:szCs w:val="18"/>
              </w:rPr>
            </w:pPr>
            <w:r w:rsidRPr="00C76EB4">
              <w:rPr>
                <w:rFonts w:asciiTheme="minorHAnsi" w:hAnsiTheme="minorHAnsi" w:cstheme="minorHAnsi"/>
                <w:b/>
                <w:sz w:val="20"/>
                <w:szCs w:val="18"/>
              </w:rPr>
              <w:t>Rated Flow (gpm)</w:t>
            </w:r>
          </w:p>
        </w:tc>
        <w:tc>
          <w:tcPr>
            <w:tcW w:w="314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E5185E8" w14:textId="18C36E60" w:rsidR="00F828A6" w:rsidRPr="00C76EB4" w:rsidRDefault="00F828A6" w:rsidP="00C76EB4">
            <w:pPr>
              <w:pStyle w:val="Normal1"/>
              <w:spacing w:after="0" w:line="240" w:lineRule="auto"/>
              <w:rPr>
                <w:rFonts w:asciiTheme="minorHAnsi" w:hAnsiTheme="minorHAnsi" w:cstheme="minorBidi"/>
                <w:b/>
                <w:bCs/>
                <w:sz w:val="20"/>
              </w:rPr>
            </w:pPr>
            <w:r w:rsidRPr="00C76EB4">
              <w:rPr>
                <w:rFonts w:asciiTheme="minorHAnsi" w:hAnsiTheme="minorHAnsi" w:cstheme="minorBidi"/>
                <w:b/>
                <w:bCs/>
                <w:sz w:val="20"/>
              </w:rPr>
              <w:t>Operating Hours (</w:t>
            </w:r>
            <w:r w:rsidR="002F3767" w:rsidRPr="0048438C">
              <w:rPr>
                <w:rFonts w:asciiTheme="minorHAnsi" w:hAnsiTheme="minorHAnsi" w:cstheme="minorBidi"/>
                <w:b/>
                <w:sz w:val="20"/>
              </w:rPr>
              <w:t>h</w:t>
            </w:r>
            <w:r w:rsidRPr="00C76EB4">
              <w:rPr>
                <w:rFonts w:asciiTheme="minorHAnsi" w:hAnsiTheme="minorHAnsi" w:cstheme="minorBidi"/>
                <w:b/>
                <w:bCs/>
                <w:sz w:val="20"/>
              </w:rPr>
              <w:t>/</w:t>
            </w:r>
            <w:r w:rsidR="002F3767" w:rsidRPr="0048438C">
              <w:rPr>
                <w:rFonts w:asciiTheme="minorHAnsi" w:hAnsiTheme="minorHAnsi" w:cstheme="minorBidi"/>
                <w:b/>
                <w:sz w:val="20"/>
              </w:rPr>
              <w:t>d</w:t>
            </w:r>
            <w:r w:rsidRPr="00C76EB4">
              <w:rPr>
                <w:rFonts w:asciiTheme="minorHAnsi" w:hAnsiTheme="minorHAnsi" w:cstheme="minorBidi"/>
                <w:b/>
                <w:bCs/>
                <w:sz w:val="20"/>
              </w:rPr>
              <w:t>ay)</w:t>
            </w:r>
          </w:p>
        </w:tc>
      </w:tr>
      <w:tr w:rsidR="00F828A6" w14:paraId="1D2E9E4C" w14:textId="77777777" w:rsidTr="00C76EB4">
        <w:trPr>
          <w:trHeight w:hRule="exact" w:val="245"/>
        </w:trPr>
        <w:tc>
          <w:tcPr>
            <w:tcW w:w="4140" w:type="dxa"/>
            <w:tcBorders>
              <w:top w:val="single" w:sz="4" w:space="0" w:color="auto"/>
              <w:left w:val="single" w:sz="4" w:space="0" w:color="auto"/>
              <w:bottom w:val="single" w:sz="4" w:space="0" w:color="auto"/>
              <w:right w:val="single" w:sz="4" w:space="0" w:color="auto"/>
            </w:tcBorders>
            <w:hideMark/>
          </w:tcPr>
          <w:p w14:paraId="547A5024" w14:textId="77777777" w:rsidR="00F828A6" w:rsidRPr="00C76EB4" w:rsidRDefault="00F828A6">
            <w:pPr>
              <w:rPr>
                <w:rFonts w:cstheme="minorHAnsi"/>
                <w:sz w:val="20"/>
                <w:szCs w:val="18"/>
              </w:rPr>
            </w:pPr>
            <w:r w:rsidRPr="00C76EB4">
              <w:rPr>
                <w:rFonts w:cstheme="minorHAnsi"/>
                <w:sz w:val="20"/>
                <w:szCs w:val="18"/>
              </w:rPr>
              <w:t>Base Case</w:t>
            </w:r>
          </w:p>
        </w:tc>
        <w:tc>
          <w:tcPr>
            <w:tcW w:w="2063" w:type="dxa"/>
            <w:tcBorders>
              <w:top w:val="single" w:sz="4" w:space="0" w:color="auto"/>
              <w:left w:val="single" w:sz="4" w:space="0" w:color="auto"/>
              <w:bottom w:val="single" w:sz="4" w:space="0" w:color="auto"/>
              <w:right w:val="single" w:sz="4" w:space="0" w:color="auto"/>
            </w:tcBorders>
            <w:hideMark/>
          </w:tcPr>
          <w:p w14:paraId="73615476" w14:textId="77777777" w:rsidR="00F828A6" w:rsidRPr="00C76EB4" w:rsidRDefault="00F828A6" w:rsidP="00C76EB4">
            <w:pPr>
              <w:rPr>
                <w:rFonts w:cstheme="minorHAnsi"/>
                <w:sz w:val="20"/>
                <w:szCs w:val="18"/>
              </w:rPr>
            </w:pPr>
            <w:r w:rsidRPr="00C76EB4">
              <w:rPr>
                <w:rFonts w:cstheme="minorHAnsi"/>
                <w:sz w:val="20"/>
                <w:szCs w:val="18"/>
              </w:rPr>
              <w:t>1.40</w:t>
            </w:r>
          </w:p>
        </w:tc>
        <w:tc>
          <w:tcPr>
            <w:tcW w:w="3147" w:type="dxa"/>
            <w:tcBorders>
              <w:top w:val="single" w:sz="4" w:space="0" w:color="auto"/>
              <w:left w:val="single" w:sz="4" w:space="0" w:color="auto"/>
              <w:bottom w:val="single" w:sz="4" w:space="0" w:color="auto"/>
              <w:right w:val="single" w:sz="4" w:space="0" w:color="auto"/>
            </w:tcBorders>
            <w:hideMark/>
          </w:tcPr>
          <w:p w14:paraId="77F21578" w14:textId="77777777" w:rsidR="00F828A6" w:rsidRPr="00C76EB4" w:rsidRDefault="00F828A6" w:rsidP="00C76EB4">
            <w:pPr>
              <w:rPr>
                <w:rFonts w:cstheme="minorHAnsi"/>
                <w:sz w:val="20"/>
                <w:szCs w:val="18"/>
              </w:rPr>
            </w:pPr>
            <w:r w:rsidRPr="00C76EB4">
              <w:rPr>
                <w:rFonts w:cstheme="minorHAnsi"/>
                <w:sz w:val="20"/>
                <w:szCs w:val="18"/>
              </w:rPr>
              <w:t>0.991</w:t>
            </w:r>
          </w:p>
        </w:tc>
      </w:tr>
      <w:tr w:rsidR="00F828A6" w14:paraId="5BD588D3" w14:textId="77777777" w:rsidTr="00C76EB4">
        <w:trPr>
          <w:trHeight w:hRule="exact" w:val="245"/>
        </w:trPr>
        <w:tc>
          <w:tcPr>
            <w:tcW w:w="4140" w:type="dxa"/>
            <w:tcBorders>
              <w:top w:val="single" w:sz="4" w:space="0" w:color="auto"/>
              <w:left w:val="single" w:sz="4" w:space="0" w:color="auto"/>
              <w:bottom w:val="single" w:sz="4" w:space="0" w:color="auto"/>
              <w:right w:val="single" w:sz="4" w:space="0" w:color="auto"/>
            </w:tcBorders>
            <w:hideMark/>
          </w:tcPr>
          <w:p w14:paraId="207B8D46" w14:textId="1C6E180B" w:rsidR="00F828A6" w:rsidRPr="00C76EB4" w:rsidRDefault="00916F51">
            <w:pPr>
              <w:rPr>
                <w:rFonts w:cstheme="minorBidi"/>
                <w:sz w:val="20"/>
                <w:szCs w:val="20"/>
              </w:rPr>
            </w:pPr>
            <w:r w:rsidRPr="0048438C">
              <w:rPr>
                <w:rFonts w:cstheme="minorBidi"/>
                <w:sz w:val="20"/>
                <w:szCs w:val="20"/>
              </w:rPr>
              <w:t>Measure Case</w:t>
            </w:r>
          </w:p>
        </w:tc>
        <w:tc>
          <w:tcPr>
            <w:tcW w:w="2063" w:type="dxa"/>
            <w:tcBorders>
              <w:top w:val="single" w:sz="4" w:space="0" w:color="auto"/>
              <w:left w:val="single" w:sz="4" w:space="0" w:color="auto"/>
              <w:bottom w:val="single" w:sz="4" w:space="0" w:color="auto"/>
              <w:right w:val="single" w:sz="4" w:space="0" w:color="auto"/>
            </w:tcBorders>
            <w:hideMark/>
          </w:tcPr>
          <w:p w14:paraId="3EE76ABB" w14:textId="469D1631" w:rsidR="00F828A6" w:rsidRPr="00C76EB4" w:rsidRDefault="00F828A6" w:rsidP="00C76EB4">
            <w:pPr>
              <w:rPr>
                <w:rFonts w:cstheme="minorHAnsi"/>
                <w:sz w:val="20"/>
                <w:szCs w:val="18"/>
              </w:rPr>
            </w:pPr>
            <w:r w:rsidRPr="00C76EB4">
              <w:rPr>
                <w:rFonts w:cstheme="minorHAnsi"/>
                <w:sz w:val="20"/>
                <w:szCs w:val="18"/>
              </w:rPr>
              <w:t>1.</w:t>
            </w:r>
            <w:r w:rsidR="004B30AC">
              <w:rPr>
                <w:rFonts w:cstheme="minorHAnsi"/>
                <w:sz w:val="20"/>
                <w:szCs w:val="18"/>
              </w:rPr>
              <w:t>07</w:t>
            </w:r>
          </w:p>
        </w:tc>
        <w:tc>
          <w:tcPr>
            <w:tcW w:w="3147" w:type="dxa"/>
            <w:tcBorders>
              <w:top w:val="single" w:sz="4" w:space="0" w:color="auto"/>
              <w:left w:val="single" w:sz="4" w:space="0" w:color="auto"/>
              <w:bottom w:val="single" w:sz="4" w:space="0" w:color="auto"/>
              <w:right w:val="single" w:sz="4" w:space="0" w:color="auto"/>
            </w:tcBorders>
            <w:hideMark/>
          </w:tcPr>
          <w:p w14:paraId="4EF65988" w14:textId="1369387C" w:rsidR="00F828A6" w:rsidRPr="00C76EB4" w:rsidRDefault="00F828A6" w:rsidP="00C76EB4">
            <w:pPr>
              <w:rPr>
                <w:rFonts w:cstheme="minorHAnsi"/>
                <w:sz w:val="20"/>
                <w:szCs w:val="18"/>
              </w:rPr>
            </w:pPr>
            <w:r w:rsidRPr="00C76EB4">
              <w:rPr>
                <w:rFonts w:cstheme="minorHAnsi"/>
                <w:sz w:val="20"/>
                <w:szCs w:val="18"/>
              </w:rPr>
              <w:t>1.</w:t>
            </w:r>
            <w:r w:rsidR="004B30AC" w:rsidRPr="00C76EB4">
              <w:rPr>
                <w:rFonts w:cstheme="minorHAnsi"/>
                <w:sz w:val="20"/>
                <w:szCs w:val="18"/>
              </w:rPr>
              <w:t>0</w:t>
            </w:r>
            <w:r w:rsidR="004B30AC">
              <w:rPr>
                <w:rFonts w:cstheme="minorHAnsi"/>
                <w:sz w:val="20"/>
                <w:szCs w:val="18"/>
              </w:rPr>
              <w:t>34</w:t>
            </w:r>
          </w:p>
        </w:tc>
      </w:tr>
      <w:tr w:rsidR="005B03BB" w14:paraId="05E5219B" w14:textId="77777777" w:rsidTr="00C76EB4">
        <w:trPr>
          <w:trHeight w:hRule="exact" w:val="245"/>
        </w:trPr>
        <w:tc>
          <w:tcPr>
            <w:tcW w:w="4140" w:type="dxa"/>
            <w:tcBorders>
              <w:top w:val="single" w:sz="4" w:space="0" w:color="auto"/>
              <w:left w:val="single" w:sz="4" w:space="0" w:color="auto"/>
              <w:bottom w:val="single" w:sz="4" w:space="0" w:color="auto"/>
              <w:right w:val="single" w:sz="4" w:space="0" w:color="auto"/>
            </w:tcBorders>
            <w:hideMark/>
          </w:tcPr>
          <w:p w14:paraId="29EEFF5D" w14:textId="5DCC41BA" w:rsidR="00F828A6" w:rsidRPr="00C76EB4" w:rsidRDefault="004B30AC">
            <w:pPr>
              <w:rPr>
                <w:rFonts w:cstheme="minorBidi"/>
                <w:sz w:val="20"/>
                <w:szCs w:val="20"/>
              </w:rPr>
            </w:pPr>
            <w:r>
              <w:rPr>
                <w:rFonts w:cstheme="minorBidi"/>
                <w:sz w:val="20"/>
                <w:szCs w:val="20"/>
              </w:rPr>
              <w:t>Difference</w:t>
            </w:r>
          </w:p>
        </w:tc>
        <w:tc>
          <w:tcPr>
            <w:tcW w:w="20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C75E2A" w14:textId="77777777" w:rsidR="00F828A6" w:rsidRPr="00C76EB4" w:rsidRDefault="00F828A6" w:rsidP="00C76EB4">
            <w:pPr>
              <w:rPr>
                <w:rFonts w:cstheme="minorHAnsi"/>
                <w:sz w:val="20"/>
                <w:szCs w:val="18"/>
              </w:rPr>
            </w:pPr>
          </w:p>
        </w:tc>
        <w:tc>
          <w:tcPr>
            <w:tcW w:w="3147" w:type="dxa"/>
            <w:tcBorders>
              <w:top w:val="single" w:sz="4" w:space="0" w:color="auto"/>
              <w:left w:val="single" w:sz="4" w:space="0" w:color="auto"/>
              <w:bottom w:val="single" w:sz="4" w:space="0" w:color="auto"/>
              <w:right w:val="single" w:sz="4" w:space="0" w:color="auto"/>
            </w:tcBorders>
            <w:hideMark/>
          </w:tcPr>
          <w:p w14:paraId="0B7440C3" w14:textId="00027522" w:rsidR="00F828A6" w:rsidRPr="00C76EB4" w:rsidRDefault="00F828A6" w:rsidP="00C76EB4">
            <w:pPr>
              <w:rPr>
                <w:rFonts w:cstheme="minorHAnsi"/>
                <w:sz w:val="20"/>
                <w:szCs w:val="18"/>
              </w:rPr>
            </w:pPr>
            <w:r w:rsidRPr="00C76EB4">
              <w:rPr>
                <w:rFonts w:cstheme="minorHAnsi"/>
                <w:sz w:val="20"/>
                <w:szCs w:val="18"/>
              </w:rPr>
              <w:t>0.</w:t>
            </w:r>
            <w:r w:rsidR="004B30AC" w:rsidRPr="00C76EB4">
              <w:rPr>
                <w:rFonts w:cstheme="minorHAnsi"/>
                <w:sz w:val="20"/>
                <w:szCs w:val="18"/>
              </w:rPr>
              <w:t>0</w:t>
            </w:r>
            <w:r w:rsidR="004B30AC">
              <w:rPr>
                <w:rFonts w:cstheme="minorHAnsi"/>
                <w:sz w:val="20"/>
                <w:szCs w:val="18"/>
              </w:rPr>
              <w:t>4</w:t>
            </w:r>
            <w:r w:rsidR="004B30AC" w:rsidRPr="00C76EB4">
              <w:rPr>
                <w:rFonts w:cstheme="minorHAnsi"/>
                <w:sz w:val="20"/>
                <w:szCs w:val="18"/>
              </w:rPr>
              <w:t>3</w:t>
            </w:r>
          </w:p>
        </w:tc>
      </w:tr>
    </w:tbl>
    <w:p w14:paraId="65A85984" w14:textId="77777777" w:rsidR="005B03BB" w:rsidRPr="00C76EB4" w:rsidRDefault="005B03BB" w:rsidP="00C76EB4">
      <w:pPr>
        <w:pStyle w:val="ListParagraph"/>
        <w:rPr>
          <w:rFonts w:ascii="Arial" w:eastAsia="Batang" w:hAnsi="Arial"/>
          <w:szCs w:val="20"/>
        </w:rPr>
      </w:pPr>
    </w:p>
    <w:p w14:paraId="35E99357" w14:textId="13A3795B" w:rsidR="008D7865" w:rsidRPr="00C76EB4" w:rsidRDefault="00F828A6" w:rsidP="00C76EB4">
      <w:pPr>
        <w:rPr>
          <w:rFonts w:cs="Arial"/>
          <w:i/>
        </w:rPr>
      </w:pPr>
      <w:r w:rsidRPr="00F4177B">
        <w:rPr>
          <w:rFonts w:eastAsia="Batang"/>
          <w:szCs w:val="20"/>
        </w:rPr>
        <w:t>Using the formula provided in the study documented below, the difference in the hours of operation between the base and measure case is 0.</w:t>
      </w:r>
      <w:r w:rsidR="004B30AC" w:rsidRPr="00F4177B">
        <w:rPr>
          <w:rFonts w:eastAsia="Batang"/>
          <w:szCs w:val="20"/>
        </w:rPr>
        <w:t>0</w:t>
      </w:r>
      <w:r w:rsidR="004B30AC">
        <w:rPr>
          <w:rFonts w:eastAsia="Batang"/>
          <w:szCs w:val="20"/>
        </w:rPr>
        <w:t>4</w:t>
      </w:r>
      <w:r w:rsidR="004B30AC" w:rsidRPr="00F4177B">
        <w:rPr>
          <w:rFonts w:eastAsia="Batang"/>
          <w:szCs w:val="20"/>
        </w:rPr>
        <w:t xml:space="preserve">3 </w:t>
      </w:r>
      <w:r w:rsidRPr="00F4177B">
        <w:rPr>
          <w:rFonts w:eastAsia="Batang"/>
          <w:szCs w:val="20"/>
        </w:rPr>
        <w:t>hours per day (</w:t>
      </w:r>
      <w:r w:rsidR="004B30AC">
        <w:rPr>
          <w:rFonts w:eastAsia="Batang"/>
          <w:szCs w:val="20"/>
        </w:rPr>
        <w:t>4</w:t>
      </w:r>
      <w:r w:rsidRPr="00F4177B">
        <w:rPr>
          <w:rFonts w:eastAsia="Batang"/>
          <w:szCs w:val="20"/>
        </w:rPr>
        <w:t>%) and is assumed to be negligent for this work paper. Therefore</w:t>
      </w:r>
      <w:r w:rsidR="005B03BB" w:rsidRPr="00F4177B">
        <w:rPr>
          <w:rFonts w:eastAsia="Batang"/>
          <w:szCs w:val="20"/>
        </w:rPr>
        <w:t>,</w:t>
      </w:r>
      <w:r w:rsidRPr="00F4177B">
        <w:rPr>
          <w:rFonts w:eastAsia="Batang"/>
          <w:szCs w:val="20"/>
        </w:rPr>
        <w:t xml:space="preserve"> it is assumed that the operating hours of spray valves at or below 1.4 gpm </w:t>
      </w:r>
      <w:r w:rsidR="00223A86">
        <w:rPr>
          <w:rFonts w:eastAsia="Batang"/>
          <w:szCs w:val="20"/>
        </w:rPr>
        <w:t>is</w:t>
      </w:r>
      <w:r w:rsidR="000D41B7" w:rsidRPr="00945B8A">
        <w:rPr>
          <w:rFonts w:eastAsia="Batang"/>
          <w:szCs w:val="20"/>
        </w:rPr>
        <w:t xml:space="preserve"> </w:t>
      </w:r>
      <w:r w:rsidRPr="00F4177B">
        <w:rPr>
          <w:rFonts w:eastAsia="Batang"/>
          <w:szCs w:val="20"/>
        </w:rPr>
        <w:t>1.00 hour</w:t>
      </w:r>
      <w:r w:rsidR="00747CFB">
        <w:rPr>
          <w:rFonts w:eastAsia="Batang"/>
          <w:szCs w:val="20"/>
        </w:rPr>
        <w:t xml:space="preserve"> </w:t>
      </w:r>
      <w:r w:rsidRPr="00F4177B">
        <w:rPr>
          <w:rFonts w:eastAsia="Batang"/>
          <w:szCs w:val="20"/>
        </w:rPr>
        <w:t xml:space="preserve">per day.  </w:t>
      </w:r>
    </w:p>
    <w:p w14:paraId="05132EC7" w14:textId="739563F0" w:rsidR="00DB6D34" w:rsidRPr="00DB6D34" w:rsidRDefault="00331048" w:rsidP="00DB6D34">
      <w:pPr>
        <w:pStyle w:val="Heading3"/>
        <w:rPr>
          <w:rFonts w:asciiTheme="minorHAnsi" w:hAnsiTheme="minorHAnsi"/>
          <w:vertAlign w:val="superscript"/>
        </w:rPr>
      </w:pPr>
      <w:r w:rsidRPr="00920905">
        <w:rPr>
          <w:rFonts w:asciiTheme="minorHAnsi" w:hAnsiTheme="minorHAnsi"/>
        </w:rPr>
        <w:t>1.5.</w:t>
      </w:r>
      <w:r>
        <w:rPr>
          <w:rFonts w:asciiTheme="minorHAnsi" w:hAnsiTheme="minorHAnsi"/>
        </w:rPr>
        <w:t>2</w:t>
      </w:r>
      <w:r w:rsidRPr="00920905">
        <w:rPr>
          <w:rFonts w:asciiTheme="minorHAnsi" w:hAnsiTheme="minorHAnsi"/>
        </w:rPr>
        <w:t xml:space="preserve"> </w:t>
      </w:r>
      <w:r w:rsidRPr="00F828A6">
        <w:rPr>
          <w:rFonts w:asciiTheme="minorHAnsi" w:hAnsiTheme="minorHAnsi"/>
        </w:rPr>
        <w:t>SBW (200</w:t>
      </w:r>
      <w:r w:rsidR="001501C4">
        <w:rPr>
          <w:rFonts w:asciiTheme="minorHAnsi" w:hAnsiTheme="minorHAnsi"/>
        </w:rPr>
        <w:t>4</w:t>
      </w:r>
      <w:r w:rsidRPr="00F828A6">
        <w:rPr>
          <w:rFonts w:asciiTheme="minorHAnsi" w:hAnsiTheme="minorHAnsi"/>
        </w:rPr>
        <w:t xml:space="preserve">) </w:t>
      </w:r>
      <w:r w:rsidR="001E1A86">
        <w:rPr>
          <w:rFonts w:asciiTheme="minorHAnsi" w:hAnsiTheme="minorHAnsi"/>
        </w:rPr>
        <w:t>Evaluation, Measurement &amp; Verification Report</w:t>
      </w:r>
      <w:r w:rsidRPr="00F828A6">
        <w:rPr>
          <w:rFonts w:asciiTheme="minorHAnsi" w:hAnsiTheme="minorHAnsi"/>
        </w:rPr>
        <w:t xml:space="preserve"> for the CUWCC Pre-Rinse Spray </w:t>
      </w:r>
      <w:r w:rsidR="00B64A4C">
        <w:rPr>
          <w:rFonts w:asciiTheme="minorHAnsi" w:hAnsiTheme="minorHAnsi"/>
        </w:rPr>
        <w:t>Head</w:t>
      </w:r>
      <w:r w:rsidR="001E1A86">
        <w:rPr>
          <w:rFonts w:asciiTheme="minorHAnsi" w:hAnsiTheme="minorHAnsi"/>
        </w:rPr>
        <w:t xml:space="preserve"> Distribution Program</w:t>
      </w:r>
      <w:r w:rsidR="001E1A86">
        <w:rPr>
          <w:rStyle w:val="EndnoteReference"/>
          <w:rFonts w:asciiTheme="minorHAnsi" w:hAnsiTheme="minorHAnsi"/>
        </w:rPr>
        <w:endnoteReference w:id="10"/>
      </w:r>
    </w:p>
    <w:p w14:paraId="122974B7" w14:textId="7E52CBDD" w:rsidR="00F13B8B" w:rsidRPr="00945B8A" w:rsidRDefault="00D13C90" w:rsidP="00F13B8B">
      <w:pPr>
        <w:rPr>
          <w:rFonts w:cs="Arial"/>
        </w:rPr>
      </w:pPr>
      <w:r>
        <w:rPr>
          <w:rFonts w:cs="Arial"/>
        </w:rPr>
        <w:t xml:space="preserve">This study is an EM&amp;V study conducted by SBW Consulting to document the findings and results of the second phase of the CUWCC Spray Valve Program. The research was conducted through a combination of equipment monitoring and surveys and used to evaluate the baseline operating hours, baseline flow rates, proposed operating hours, proposed flow rates, mixed water temperature, and supply water temperature for each of the facilities and was submitted to the CPUC. The EM&amp;V study documented </w:t>
      </w:r>
      <w:r w:rsidR="00C25182">
        <w:rPr>
          <w:rFonts w:cs="Arial"/>
        </w:rPr>
        <w:t>140</w:t>
      </w:r>
      <w:r>
        <w:rPr>
          <w:rFonts w:cs="Arial"/>
        </w:rPr>
        <w:t xml:space="preserve"> different spray valve installations with </w:t>
      </w:r>
      <w:r w:rsidR="00D900B5">
        <w:rPr>
          <w:rFonts w:cs="Arial"/>
        </w:rPr>
        <w:t>1</w:t>
      </w:r>
      <w:r>
        <w:rPr>
          <w:rFonts w:cs="Arial"/>
        </w:rPr>
        <w:t>9 of the installations monitored for flow rate and temperature for at least one month.</w:t>
      </w:r>
    </w:p>
    <w:p w14:paraId="29AF8309" w14:textId="77777777" w:rsidR="00945B8A" w:rsidRPr="00945B8A" w:rsidRDefault="00945B8A" w:rsidP="00945B8A">
      <w:pPr>
        <w:rPr>
          <w:rFonts w:cs="Arial"/>
        </w:rPr>
      </w:pPr>
    </w:p>
    <w:p w14:paraId="1E80E4EF" w14:textId="723C331B" w:rsidR="00C01208" w:rsidRPr="00C76EB4" w:rsidRDefault="00C01208">
      <w:pPr>
        <w:rPr>
          <w:rFonts w:cs="Arial"/>
          <w:b/>
          <w:bCs/>
          <w:i/>
          <w:iCs/>
        </w:rPr>
      </w:pPr>
      <w:r w:rsidRPr="0048438C">
        <w:rPr>
          <w:rFonts w:cs="Arial"/>
          <w:b/>
          <w:i/>
        </w:rPr>
        <w:t xml:space="preserve">Energy Savings Calculation Assumptions: </w:t>
      </w:r>
    </w:p>
    <w:p w14:paraId="796DB951" w14:textId="00C50E48" w:rsidR="00D13C90" w:rsidRDefault="00D13C90">
      <w:pPr>
        <w:rPr>
          <w:rFonts w:cs="Arial"/>
        </w:rPr>
      </w:pPr>
      <w:r>
        <w:rPr>
          <w:rFonts w:cs="Arial"/>
        </w:rPr>
        <w:t>This study documented the</w:t>
      </w:r>
      <w:r w:rsidRPr="0048438C">
        <w:rPr>
          <w:rFonts w:cs="Arial"/>
        </w:rPr>
        <w:t xml:space="preserve"> average PRSV outlet temperature to be </w:t>
      </w:r>
      <w:r w:rsidR="0080086E" w:rsidRPr="00C76EB4">
        <w:rPr>
          <w:rFonts w:cs="Arial"/>
        </w:rPr>
        <w:t>108.6</w:t>
      </w:r>
      <w:r w:rsidRPr="00C76EB4">
        <w:rPr>
          <w:rFonts w:cstheme="minorBidi"/>
        </w:rPr>
        <w:t>°</w:t>
      </w:r>
      <w:r w:rsidRPr="00C76EB4">
        <w:rPr>
          <w:rFonts w:cs="Arial"/>
        </w:rPr>
        <w:t xml:space="preserve">F </w:t>
      </w:r>
      <w:r w:rsidR="00C01208" w:rsidRPr="00C76EB4">
        <w:rPr>
          <w:rFonts w:cs="Arial"/>
        </w:rPr>
        <w:t xml:space="preserve">and rinse time to be 1.27 hours per day </w:t>
      </w:r>
      <w:r w:rsidRPr="0048438C">
        <w:rPr>
          <w:rFonts w:cs="Arial"/>
        </w:rPr>
        <w:t>(Section 3.</w:t>
      </w:r>
      <w:r w:rsidR="00094F9A" w:rsidRPr="00C76EB4">
        <w:rPr>
          <w:rFonts w:cs="Arial"/>
        </w:rPr>
        <w:t>3</w:t>
      </w:r>
      <w:r w:rsidRPr="0048438C">
        <w:rPr>
          <w:rFonts w:cs="Arial"/>
        </w:rPr>
        <w:t>.</w:t>
      </w:r>
      <w:r w:rsidR="00094F9A" w:rsidRPr="00C76EB4">
        <w:rPr>
          <w:rFonts w:cs="Arial"/>
        </w:rPr>
        <w:t>1</w:t>
      </w:r>
      <w:r w:rsidRPr="0048438C">
        <w:rPr>
          <w:rFonts w:cs="Arial"/>
        </w:rPr>
        <w:t>) based on 19 data points.</w:t>
      </w:r>
    </w:p>
    <w:p w14:paraId="1E6E8B74" w14:textId="77777777" w:rsidR="00E5705E" w:rsidRDefault="00E5705E">
      <w:pPr>
        <w:rPr>
          <w:rFonts w:cs="Arial"/>
        </w:rPr>
      </w:pPr>
    </w:p>
    <w:p w14:paraId="0F8CDAB8" w14:textId="4527E0FA" w:rsidR="00D13C90" w:rsidRDefault="00E5705E" w:rsidP="00C76EB4">
      <w:pPr>
        <w:pStyle w:val="Caption"/>
      </w:pPr>
      <w:r>
        <w:rPr>
          <w:rFonts w:cstheme="minorHAnsi"/>
          <w:szCs w:val="22"/>
        </w:rPr>
        <w:t xml:space="preserve">Summary of </w:t>
      </w:r>
      <w:r w:rsidR="002F13F6">
        <w:rPr>
          <w:rFonts w:cstheme="minorHAnsi"/>
          <w:szCs w:val="22"/>
        </w:rPr>
        <w:t>Results from Metered Sites</w:t>
      </w:r>
    </w:p>
    <w:p w14:paraId="551090E0" w14:textId="54BA4C6B" w:rsidR="00F70928" w:rsidRPr="00F70928" w:rsidRDefault="001501C4" w:rsidP="00F70928">
      <w:r>
        <w:rPr>
          <w:noProof/>
        </w:rPr>
        <w:drawing>
          <wp:inline distT="0" distB="0" distL="0" distR="0" wp14:anchorId="0A1278B8" wp14:editId="6AE6C87A">
            <wp:extent cx="4764466" cy="30378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ummary Table.png"/>
                    <pic:cNvPicPr/>
                  </pic:nvPicPr>
                  <pic:blipFill rotWithShape="1">
                    <a:blip r:embed="rId16">
                      <a:extLst>
                        <a:ext uri="{28A0092B-C50C-407E-A947-70E740481C1C}">
                          <a14:useLocalDpi xmlns:a14="http://schemas.microsoft.com/office/drawing/2010/main" val="0"/>
                        </a:ext>
                      </a:extLst>
                    </a:blip>
                    <a:srcRect l="4683" t="9185"/>
                    <a:stretch/>
                  </pic:blipFill>
                  <pic:spPr bwMode="auto">
                    <a:xfrm>
                      <a:off x="0" y="0"/>
                      <a:ext cx="4765038" cy="3038205"/>
                    </a:xfrm>
                    <a:prstGeom prst="rect">
                      <a:avLst/>
                    </a:prstGeom>
                    <a:ln>
                      <a:noFill/>
                    </a:ln>
                    <a:extLst>
                      <a:ext uri="{53640926-AAD7-44D8-BBD7-CCE9431645EC}">
                        <a14:shadowObscured xmlns:a14="http://schemas.microsoft.com/office/drawing/2010/main"/>
                      </a:ext>
                    </a:extLst>
                  </pic:spPr>
                </pic:pic>
              </a:graphicData>
            </a:graphic>
          </wp:inline>
        </w:drawing>
      </w:r>
    </w:p>
    <w:p w14:paraId="3E157E4E" w14:textId="77777777" w:rsidR="005024AD" w:rsidRDefault="005024AD" w:rsidP="001501C4">
      <w:pPr>
        <w:rPr>
          <w:rFonts w:cs="Arial"/>
        </w:rPr>
      </w:pPr>
    </w:p>
    <w:p w14:paraId="7EBA1F6A" w14:textId="14155245" w:rsidR="001501C4" w:rsidRDefault="00A43000" w:rsidP="001501C4">
      <w:pPr>
        <w:rPr>
          <w:rFonts w:cs="Arial"/>
        </w:rPr>
      </w:pPr>
      <w:r>
        <w:rPr>
          <w:rFonts w:cs="Arial"/>
        </w:rPr>
        <w:t xml:space="preserve">This study documented </w:t>
      </w:r>
      <w:r w:rsidRPr="00893D84">
        <w:rPr>
          <w:rFonts w:cs="Arial"/>
        </w:rPr>
        <w:t xml:space="preserve">the </w:t>
      </w:r>
      <w:r w:rsidRPr="00C76EB4">
        <w:rPr>
          <w:rFonts w:cs="Arial"/>
        </w:rPr>
        <w:t>average supply temperature to be</w:t>
      </w:r>
      <w:r w:rsidRPr="00893D84">
        <w:rPr>
          <w:rFonts w:cs="Arial"/>
        </w:rPr>
        <w:t xml:space="preserve"> </w:t>
      </w:r>
      <w:r w:rsidRPr="00C76EB4">
        <w:rPr>
          <w:rFonts w:cs="Arial"/>
        </w:rPr>
        <w:t>66.8</w:t>
      </w:r>
      <w:r w:rsidRPr="00C76EB4">
        <w:rPr>
          <w:rFonts w:cstheme="minorBidi"/>
        </w:rPr>
        <w:t>°</w:t>
      </w:r>
      <w:r w:rsidRPr="00C76EB4">
        <w:rPr>
          <w:rFonts w:cs="Arial"/>
        </w:rPr>
        <w:t>F</w:t>
      </w:r>
      <w:r>
        <w:rPr>
          <w:rFonts w:cs="Arial"/>
        </w:rPr>
        <w:t xml:space="preserve"> </w:t>
      </w:r>
      <w:r w:rsidRPr="00C76EB4">
        <w:rPr>
          <w:rFonts w:cs="Arial"/>
        </w:rPr>
        <w:t>(Section 3.</w:t>
      </w:r>
      <w:r w:rsidR="0046439E" w:rsidRPr="00C76EB4">
        <w:rPr>
          <w:rFonts w:cs="Arial"/>
        </w:rPr>
        <w:t>3</w:t>
      </w:r>
      <w:r w:rsidRPr="00C76EB4">
        <w:rPr>
          <w:rFonts w:cs="Arial"/>
        </w:rPr>
        <w:t xml:space="preserve">.4) based on </w:t>
      </w:r>
      <w:r w:rsidR="005024AD" w:rsidRPr="00C76EB4">
        <w:rPr>
          <w:rFonts w:cs="Arial"/>
        </w:rPr>
        <w:t>information from 5 largest California water providers</w:t>
      </w:r>
      <w:r w:rsidRPr="00C76EB4">
        <w:rPr>
          <w:rFonts w:cs="Arial"/>
        </w:rPr>
        <w:t>.</w:t>
      </w:r>
    </w:p>
    <w:p w14:paraId="6C362B6B" w14:textId="77777777" w:rsidR="00E23B22" w:rsidRDefault="00E23B22" w:rsidP="001501C4">
      <w:pPr>
        <w:rPr>
          <w:rFonts w:cs="Arial"/>
        </w:rPr>
      </w:pPr>
    </w:p>
    <w:p w14:paraId="487BA939" w14:textId="2F82D1E9" w:rsidR="00E23B22" w:rsidRPr="001B3A6B" w:rsidRDefault="00E23B22" w:rsidP="00C76EB4">
      <w:pPr>
        <w:pStyle w:val="Caption"/>
        <w:rPr>
          <w:rFonts w:cstheme="minorHAnsi"/>
          <w:szCs w:val="22"/>
        </w:rPr>
      </w:pPr>
      <w:r>
        <w:rPr>
          <w:rFonts w:cstheme="minorHAnsi"/>
          <w:szCs w:val="22"/>
        </w:rPr>
        <w:t>Average Annual Water Supply Temperatures</w:t>
      </w:r>
    </w:p>
    <w:p w14:paraId="0C9760C4" w14:textId="7DB324EC" w:rsidR="001501C4" w:rsidRPr="00945B8A" w:rsidRDefault="001501C4" w:rsidP="00C76EB4">
      <w:r>
        <w:rPr>
          <w:noProof/>
        </w:rPr>
        <w:drawing>
          <wp:inline distT="0" distB="0" distL="0" distR="0" wp14:anchorId="5C9C6712" wp14:editId="076828E0">
            <wp:extent cx="2399732" cy="1414780"/>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ncoming Temps.png"/>
                    <pic:cNvPicPr/>
                  </pic:nvPicPr>
                  <pic:blipFill rotWithShape="1">
                    <a:blip r:embed="rId17">
                      <a:extLst>
                        <a:ext uri="{28A0092B-C50C-407E-A947-70E740481C1C}">
                          <a14:useLocalDpi xmlns:a14="http://schemas.microsoft.com/office/drawing/2010/main" val="0"/>
                        </a:ext>
                      </a:extLst>
                    </a:blip>
                    <a:srcRect l="7344" t="15319"/>
                    <a:stretch/>
                  </pic:blipFill>
                  <pic:spPr bwMode="auto">
                    <a:xfrm>
                      <a:off x="0" y="0"/>
                      <a:ext cx="2420541" cy="1427048"/>
                    </a:xfrm>
                    <a:prstGeom prst="rect">
                      <a:avLst/>
                    </a:prstGeom>
                    <a:ln>
                      <a:noFill/>
                    </a:ln>
                    <a:extLst>
                      <a:ext uri="{53640926-AAD7-44D8-BBD7-CCE9431645EC}">
                        <a14:shadowObscured xmlns:a14="http://schemas.microsoft.com/office/drawing/2010/main"/>
                      </a:ext>
                    </a:extLst>
                  </pic:spPr>
                </pic:pic>
              </a:graphicData>
            </a:graphic>
          </wp:inline>
        </w:drawing>
      </w:r>
    </w:p>
    <w:p w14:paraId="4BF64E80" w14:textId="528E82F6" w:rsidR="00B810B0" w:rsidRDefault="00F872E6" w:rsidP="7E9E03BC">
      <w:pPr>
        <w:pStyle w:val="Heading3"/>
      </w:pPr>
      <w:r w:rsidRPr="7E9E03BC">
        <w:rPr>
          <w:rFonts w:asciiTheme="minorHAnsi" w:hAnsiTheme="minorHAnsi"/>
        </w:rPr>
        <w:t>1.5.</w:t>
      </w:r>
      <w:r w:rsidR="00331048" w:rsidRPr="7E9E03BC">
        <w:rPr>
          <w:rFonts w:asciiTheme="minorHAnsi" w:hAnsiTheme="minorHAnsi"/>
        </w:rPr>
        <w:t>3</w:t>
      </w:r>
      <w:r w:rsidRPr="7E9E03BC">
        <w:rPr>
          <w:rFonts w:asciiTheme="minorHAnsi" w:hAnsiTheme="minorHAnsi"/>
        </w:rPr>
        <w:t xml:space="preserve"> SBW (2007) Impact and Process Evaluation Final Report for the CUWCC Pre-Rinse Spray Valve </w:t>
      </w:r>
      <w:r w:rsidR="0036569E" w:rsidRPr="7E9E03BC">
        <w:rPr>
          <w:rFonts w:asciiTheme="minorHAnsi" w:hAnsiTheme="minorHAnsi"/>
        </w:rPr>
        <w:t>Program</w:t>
      </w:r>
      <w:r w:rsidR="00CA2E05" w:rsidRPr="7E9E03BC">
        <w:rPr>
          <w:rFonts w:asciiTheme="minorHAnsi" w:hAnsiTheme="minorHAnsi"/>
        </w:rPr>
        <w:t xml:space="preserve"> (Phase </w:t>
      </w:r>
      <w:r w:rsidR="00A9278D">
        <w:rPr>
          <w:rFonts w:asciiTheme="minorHAnsi" w:hAnsiTheme="minorHAnsi"/>
        </w:rPr>
        <w:t>2</w:t>
      </w:r>
      <w:r w:rsidR="00CA2E05" w:rsidRPr="7E9E03BC">
        <w:rPr>
          <w:rFonts w:asciiTheme="minorHAnsi" w:hAnsiTheme="minorHAnsi"/>
        </w:rPr>
        <w:t>)</w:t>
      </w:r>
      <w:r w:rsidR="00B64A4C" w:rsidRPr="00C76EB4">
        <w:rPr>
          <w:rFonts w:asciiTheme="minorHAnsi" w:hAnsiTheme="minorHAnsi"/>
          <w:vertAlign w:val="superscript"/>
        </w:rPr>
        <w:fldChar w:fldCharType="begin"/>
      </w:r>
      <w:r w:rsidR="00B64A4C" w:rsidRPr="00C76EB4">
        <w:rPr>
          <w:rFonts w:asciiTheme="minorHAnsi" w:hAnsiTheme="minorHAnsi"/>
          <w:vertAlign w:val="superscript"/>
        </w:rPr>
        <w:instrText xml:space="preserve"> NOTEREF _Ref525292890 \h </w:instrText>
      </w:r>
      <w:r w:rsidR="00B64A4C">
        <w:rPr>
          <w:rFonts w:asciiTheme="minorHAnsi" w:hAnsiTheme="minorHAnsi"/>
          <w:vertAlign w:val="superscript"/>
        </w:rPr>
        <w:instrText xml:space="preserve"> \* MERGEFORMAT </w:instrText>
      </w:r>
      <w:r w:rsidR="00B64A4C" w:rsidRPr="00C76EB4">
        <w:rPr>
          <w:rFonts w:asciiTheme="minorHAnsi" w:hAnsiTheme="minorHAnsi"/>
          <w:vertAlign w:val="superscript"/>
        </w:rPr>
      </w:r>
      <w:r w:rsidR="00B64A4C" w:rsidRPr="00C76EB4">
        <w:rPr>
          <w:rFonts w:asciiTheme="minorHAnsi" w:hAnsiTheme="minorHAnsi"/>
          <w:vertAlign w:val="superscript"/>
        </w:rPr>
        <w:fldChar w:fldCharType="separate"/>
      </w:r>
      <w:r w:rsidR="00B64A4C" w:rsidRPr="00C76EB4">
        <w:rPr>
          <w:rFonts w:asciiTheme="minorHAnsi" w:hAnsiTheme="minorHAnsi"/>
          <w:vertAlign w:val="superscript"/>
        </w:rPr>
        <w:t>5</w:t>
      </w:r>
      <w:r w:rsidR="00B64A4C" w:rsidRPr="00C76EB4">
        <w:rPr>
          <w:rFonts w:asciiTheme="minorHAnsi" w:hAnsiTheme="minorHAnsi"/>
          <w:vertAlign w:val="superscript"/>
        </w:rPr>
        <w:fldChar w:fldCharType="end"/>
      </w:r>
    </w:p>
    <w:p w14:paraId="630B9519" w14:textId="334EA356" w:rsidR="00015D38" w:rsidRPr="00015D38" w:rsidRDefault="00F828A6" w:rsidP="00015D38">
      <w:pPr>
        <w:rPr>
          <w:rFonts w:cs="Arial"/>
        </w:rPr>
      </w:pPr>
      <w:r>
        <w:rPr>
          <w:rFonts w:cs="Arial"/>
        </w:rPr>
        <w:t xml:space="preserve">This study is an EM&amp;V study conducted by SBW Consulting to document the findings and results of the second phase of the CUWCC Spray Valve Program. The research was conducted through a combination of equipment monitoring and surveys and used to evaluate the baseline operating hours, baseline flow rates, proposed operating hours, proposed flow rates, mixed water temperature, and supply water temperature for each of the facilities and was submitted to the CPUC. The EM&amp;V study documented 195 </w:t>
      </w:r>
      <w:r>
        <w:rPr>
          <w:rFonts w:cs="Arial"/>
        </w:rPr>
        <w:lastRenderedPageBreak/>
        <w:t>different spray valve installations with 29 of the installations monitored for flow rate and temperature for at least one month.</w:t>
      </w:r>
    </w:p>
    <w:p w14:paraId="46D4401C" w14:textId="77777777" w:rsidR="003B582E" w:rsidRDefault="003B582E" w:rsidP="00F828A6">
      <w:pPr>
        <w:rPr>
          <w:rFonts w:cs="Arial"/>
        </w:rPr>
      </w:pPr>
    </w:p>
    <w:p w14:paraId="3B1DED93" w14:textId="77777777" w:rsidR="003B582E" w:rsidRPr="00C76EB4" w:rsidRDefault="003B582E">
      <w:pPr>
        <w:rPr>
          <w:rFonts w:cs="Arial"/>
          <w:i/>
          <w:iCs/>
        </w:rPr>
      </w:pPr>
      <w:r w:rsidRPr="0048438C">
        <w:rPr>
          <w:rFonts w:cs="Arial"/>
          <w:b/>
          <w:i/>
        </w:rPr>
        <w:t>Effective Useful Life:</w:t>
      </w:r>
      <w:r w:rsidRPr="0048438C">
        <w:rPr>
          <w:rFonts w:cs="Arial"/>
          <w:i/>
        </w:rPr>
        <w:t xml:space="preserve"> </w:t>
      </w:r>
    </w:p>
    <w:p w14:paraId="07FE1FFD" w14:textId="320B95CC" w:rsidR="003B582E" w:rsidRPr="00A65392" w:rsidRDefault="003B582E" w:rsidP="7E9E03BC">
      <w:r w:rsidRPr="00A74FE3">
        <w:t xml:space="preserve">For pre-rinse spray valves, the </w:t>
      </w:r>
      <w:r>
        <w:t>5-year EUL</w:t>
      </w:r>
      <w:r w:rsidRPr="00A74FE3">
        <w:t xml:space="preserve"> is taken from the 2007 impact and process evaluation of the California Urban Water Conservation Council 2004-5 Pre-Rinse Spray Valve Installation Program (Phase 2) study</w:t>
      </w:r>
      <w:r>
        <w:t>.</w:t>
      </w:r>
    </w:p>
    <w:p w14:paraId="19421B25" w14:textId="77777777" w:rsidR="001501C4" w:rsidRDefault="001501C4" w:rsidP="00F828A6">
      <w:pPr>
        <w:rPr>
          <w:rFonts w:cs="Arial"/>
        </w:rPr>
      </w:pPr>
    </w:p>
    <w:p w14:paraId="12EEC4D0" w14:textId="4B078F8D" w:rsidR="003B582E" w:rsidRPr="00C76EB4" w:rsidRDefault="003B582E">
      <w:pPr>
        <w:rPr>
          <w:rFonts w:cs="Arial"/>
          <w:b/>
          <w:bCs/>
          <w:i/>
          <w:iCs/>
        </w:rPr>
      </w:pPr>
      <w:r w:rsidRPr="0048438C">
        <w:rPr>
          <w:rFonts w:cs="Arial"/>
          <w:b/>
          <w:i/>
        </w:rPr>
        <w:t xml:space="preserve">Energy Savings Calculation Assumptions: </w:t>
      </w:r>
    </w:p>
    <w:p w14:paraId="07B6AF64" w14:textId="024C66E3" w:rsidR="001501C4" w:rsidRDefault="001501C4" w:rsidP="00F828A6">
      <w:pPr>
        <w:rPr>
          <w:rFonts w:cs="Arial"/>
        </w:rPr>
      </w:pPr>
      <w:r>
        <w:rPr>
          <w:rFonts w:cs="Arial"/>
        </w:rPr>
        <w:t xml:space="preserve">This study documented the </w:t>
      </w:r>
      <w:r w:rsidRPr="00290C28">
        <w:rPr>
          <w:rFonts w:cs="Arial"/>
        </w:rPr>
        <w:t>average supply temperature to be 66.0</w:t>
      </w:r>
      <w:r w:rsidRPr="00C76EB4">
        <w:rPr>
          <w:rFonts w:cstheme="minorBidi"/>
        </w:rPr>
        <w:t>°</w:t>
      </w:r>
      <w:r w:rsidRPr="00290C28">
        <w:rPr>
          <w:rFonts w:cs="Arial"/>
        </w:rPr>
        <w:t xml:space="preserve">F </w:t>
      </w:r>
      <w:r w:rsidRPr="0048438C">
        <w:rPr>
          <w:rFonts w:cs="Arial"/>
        </w:rPr>
        <w:t>(Section 3.4.5)</w:t>
      </w:r>
      <w:r w:rsidR="00FA5A1E" w:rsidRPr="0048438C">
        <w:rPr>
          <w:rFonts w:cs="Arial"/>
        </w:rPr>
        <w:t xml:space="preserve"> based on 16,654 </w:t>
      </w:r>
      <w:r w:rsidR="00FA5A1E" w:rsidRPr="00CF018E">
        <w:rPr>
          <w:rFonts w:cs="Arial"/>
        </w:rPr>
        <w:t>data points.</w:t>
      </w:r>
    </w:p>
    <w:p w14:paraId="29B7F3D1" w14:textId="280727E8" w:rsidR="001501C4" w:rsidRDefault="001501C4" w:rsidP="00F828A6">
      <w:pPr>
        <w:rPr>
          <w:rFonts w:cs="Arial"/>
        </w:rPr>
      </w:pPr>
    </w:p>
    <w:p w14:paraId="3592B8F0" w14:textId="769C31B7" w:rsidR="008851E8" w:rsidRPr="001B3A6B" w:rsidRDefault="008851E8" w:rsidP="00C76EB4">
      <w:pPr>
        <w:pStyle w:val="Caption"/>
        <w:rPr>
          <w:rFonts w:cstheme="minorHAnsi"/>
          <w:szCs w:val="22"/>
        </w:rPr>
      </w:pPr>
      <w:r>
        <w:rPr>
          <w:rFonts w:cstheme="minorHAnsi"/>
          <w:szCs w:val="22"/>
        </w:rPr>
        <w:t xml:space="preserve">California Average </w:t>
      </w:r>
      <w:r w:rsidR="00604401">
        <w:rPr>
          <w:rFonts w:cstheme="minorHAnsi"/>
          <w:szCs w:val="22"/>
        </w:rPr>
        <w:t>Annual Water Supply Temperatures</w:t>
      </w:r>
    </w:p>
    <w:p w14:paraId="7E293E9C" w14:textId="0F53D0A0" w:rsidR="001501C4" w:rsidRDefault="001501C4" w:rsidP="00F828A6">
      <w:pPr>
        <w:rPr>
          <w:rFonts w:cs="Arial"/>
        </w:rPr>
      </w:pPr>
      <w:r>
        <w:rPr>
          <w:rFonts w:cs="Arial"/>
          <w:noProof/>
          <w:szCs w:val="22"/>
        </w:rPr>
        <w:drawing>
          <wp:inline distT="0" distB="0" distL="0" distR="0" wp14:anchorId="1D77379C" wp14:editId="6CE4E842">
            <wp:extent cx="4403750" cy="255826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tart Temps Phase 2.png"/>
                    <pic:cNvPicPr/>
                  </pic:nvPicPr>
                  <pic:blipFill rotWithShape="1">
                    <a:blip r:embed="rId18">
                      <a:extLst>
                        <a:ext uri="{28A0092B-C50C-407E-A947-70E740481C1C}">
                          <a14:useLocalDpi xmlns:a14="http://schemas.microsoft.com/office/drawing/2010/main" val="0"/>
                        </a:ext>
                      </a:extLst>
                    </a:blip>
                    <a:srcRect l="9977" t="6988" r="-9977"/>
                    <a:stretch/>
                  </pic:blipFill>
                  <pic:spPr bwMode="auto">
                    <a:xfrm>
                      <a:off x="0" y="0"/>
                      <a:ext cx="4415898" cy="2565320"/>
                    </a:xfrm>
                    <a:prstGeom prst="rect">
                      <a:avLst/>
                    </a:prstGeom>
                    <a:ln>
                      <a:noFill/>
                    </a:ln>
                    <a:extLst>
                      <a:ext uri="{53640926-AAD7-44D8-BBD7-CCE9431645EC}">
                        <a14:shadowObscured xmlns:a14="http://schemas.microsoft.com/office/drawing/2010/main"/>
                      </a:ext>
                    </a:extLst>
                  </pic:spPr>
                </pic:pic>
              </a:graphicData>
            </a:graphic>
          </wp:inline>
        </w:drawing>
      </w:r>
    </w:p>
    <w:p w14:paraId="41C77D70" w14:textId="77777777" w:rsidR="001501C4" w:rsidRDefault="001501C4" w:rsidP="00F828A6">
      <w:pPr>
        <w:rPr>
          <w:rFonts w:cs="Arial"/>
        </w:rPr>
      </w:pPr>
    </w:p>
    <w:p w14:paraId="1AE10D5B" w14:textId="2D2C41B1" w:rsidR="001501C4" w:rsidRDefault="001501C4" w:rsidP="00C76EB4">
      <w:pPr>
        <w:rPr>
          <w:rFonts w:cs="Arial"/>
        </w:rPr>
      </w:pPr>
      <w:r>
        <w:rPr>
          <w:rFonts w:cs="Arial"/>
        </w:rPr>
        <w:t>This study documented the</w:t>
      </w:r>
      <w:r w:rsidRPr="0048438C">
        <w:rPr>
          <w:rFonts w:cs="Arial"/>
        </w:rPr>
        <w:t xml:space="preserve"> average PRSV </w:t>
      </w:r>
      <w:r w:rsidR="004C6632">
        <w:rPr>
          <w:rFonts w:cs="Arial"/>
        </w:rPr>
        <w:t xml:space="preserve">mixed </w:t>
      </w:r>
      <w:r w:rsidRPr="0048438C">
        <w:rPr>
          <w:rFonts w:cs="Arial"/>
        </w:rPr>
        <w:t xml:space="preserve">outlet temperature </w:t>
      </w:r>
      <w:r w:rsidR="00FA5A1E" w:rsidRPr="0048438C">
        <w:rPr>
          <w:rFonts w:cs="Arial"/>
        </w:rPr>
        <w:t xml:space="preserve">to be </w:t>
      </w:r>
      <w:r w:rsidR="004C6632">
        <w:rPr>
          <w:rFonts w:cs="Arial"/>
        </w:rPr>
        <w:t>105.0</w:t>
      </w:r>
      <w:r w:rsidRPr="00C76EB4">
        <w:rPr>
          <w:rFonts w:cstheme="minorBidi"/>
        </w:rPr>
        <w:t>°</w:t>
      </w:r>
      <w:r w:rsidRPr="0048438C">
        <w:rPr>
          <w:rFonts w:cs="Arial"/>
        </w:rPr>
        <w:t>F</w:t>
      </w:r>
      <w:r w:rsidR="00FA5A1E" w:rsidRPr="0048438C">
        <w:rPr>
          <w:rFonts w:cs="Arial"/>
          <w:b/>
        </w:rPr>
        <w:t xml:space="preserve"> </w:t>
      </w:r>
      <w:r w:rsidR="00FA5A1E" w:rsidRPr="0048438C">
        <w:rPr>
          <w:rFonts w:cs="Arial"/>
        </w:rPr>
        <w:t xml:space="preserve">(Section 3.4.2) </w:t>
      </w:r>
      <w:r w:rsidR="00FA5A1E" w:rsidRPr="00CF018E">
        <w:rPr>
          <w:rFonts w:cs="Arial"/>
        </w:rPr>
        <w:t xml:space="preserve">based on </w:t>
      </w:r>
      <w:r w:rsidR="0010593C">
        <w:rPr>
          <w:rFonts w:cs="Arial"/>
        </w:rPr>
        <w:t>29</w:t>
      </w:r>
      <w:r w:rsidR="00FA5A1E" w:rsidRPr="00CF018E">
        <w:rPr>
          <w:rFonts w:cs="Arial"/>
        </w:rPr>
        <w:t xml:space="preserve"> data points.</w:t>
      </w:r>
    </w:p>
    <w:p w14:paraId="15E0FE0B" w14:textId="737E9E32" w:rsidR="00604401" w:rsidRDefault="00604401" w:rsidP="00C76EB4">
      <w:pPr>
        <w:rPr>
          <w:rFonts w:cs="Arial"/>
        </w:rPr>
      </w:pPr>
    </w:p>
    <w:p w14:paraId="39365F2E" w14:textId="017E8276" w:rsidR="001501C4" w:rsidRDefault="00604401" w:rsidP="00C76EB4">
      <w:pPr>
        <w:pStyle w:val="Caption"/>
        <w:rPr>
          <w:rFonts w:cs="Arial"/>
        </w:rPr>
      </w:pPr>
      <w:r>
        <w:rPr>
          <w:rFonts w:cstheme="minorHAnsi"/>
          <w:szCs w:val="22"/>
        </w:rPr>
        <w:t>Measured Water Temperatures for Foodservice</w:t>
      </w:r>
    </w:p>
    <w:p w14:paraId="340DF91A" w14:textId="70B25B1C" w:rsidR="001501C4" w:rsidRDefault="001501C4" w:rsidP="00F828A6">
      <w:pPr>
        <w:rPr>
          <w:rFonts w:cs="Arial"/>
        </w:rPr>
      </w:pPr>
      <w:r>
        <w:rPr>
          <w:rFonts w:cs="Arial"/>
          <w:noProof/>
          <w:szCs w:val="22"/>
        </w:rPr>
        <w:drawing>
          <wp:inline distT="0" distB="0" distL="0" distR="0" wp14:anchorId="055E3CE2" wp14:editId="08227697">
            <wp:extent cx="4282035" cy="1650898"/>
            <wp:effectExtent l="0" t="0" r="4445"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nd Temps Phase 2.png"/>
                    <pic:cNvPicPr/>
                  </pic:nvPicPr>
                  <pic:blipFill rotWithShape="1">
                    <a:blip r:embed="rId19">
                      <a:extLst>
                        <a:ext uri="{28A0092B-C50C-407E-A947-70E740481C1C}">
                          <a14:useLocalDpi xmlns:a14="http://schemas.microsoft.com/office/drawing/2010/main" val="0"/>
                        </a:ext>
                      </a:extLst>
                    </a:blip>
                    <a:srcRect l="10815" t="12757"/>
                    <a:stretch/>
                  </pic:blipFill>
                  <pic:spPr bwMode="auto">
                    <a:xfrm>
                      <a:off x="0" y="0"/>
                      <a:ext cx="4296271" cy="1656386"/>
                    </a:xfrm>
                    <a:prstGeom prst="rect">
                      <a:avLst/>
                    </a:prstGeom>
                    <a:ln>
                      <a:noFill/>
                    </a:ln>
                    <a:extLst>
                      <a:ext uri="{53640926-AAD7-44D8-BBD7-CCE9431645EC}">
                        <a14:shadowObscured xmlns:a14="http://schemas.microsoft.com/office/drawing/2010/main"/>
                      </a:ext>
                    </a:extLst>
                  </pic:spPr>
                </pic:pic>
              </a:graphicData>
            </a:graphic>
          </wp:inline>
        </w:drawing>
      </w:r>
    </w:p>
    <w:p w14:paraId="3CA82FC7" w14:textId="77777777" w:rsidR="00FA5A1E" w:rsidRDefault="00FA5A1E" w:rsidP="00F828A6">
      <w:pPr>
        <w:rPr>
          <w:rFonts w:cs="Arial"/>
        </w:rPr>
      </w:pPr>
    </w:p>
    <w:p w14:paraId="4AEB7D94" w14:textId="42351EE1" w:rsidR="00FA5A1E" w:rsidRDefault="00FA5A1E" w:rsidP="00C76EB4">
      <w:pPr>
        <w:rPr>
          <w:rFonts w:cs="Arial"/>
          <w:szCs w:val="22"/>
        </w:rPr>
      </w:pPr>
      <w:r>
        <w:rPr>
          <w:rFonts w:cs="Arial"/>
        </w:rPr>
        <w:t>This study documented the a</w:t>
      </w:r>
      <w:r w:rsidRPr="00945B8A">
        <w:rPr>
          <w:rFonts w:cs="Arial"/>
          <w:szCs w:val="22"/>
        </w:rPr>
        <w:t xml:space="preserve">verage rinse time using </w:t>
      </w:r>
      <w:r w:rsidR="0026242D" w:rsidRPr="00945B8A">
        <w:rPr>
          <w:rFonts w:cs="Arial"/>
          <w:szCs w:val="22"/>
        </w:rPr>
        <w:t>sub</w:t>
      </w:r>
      <w:r w:rsidR="0065348B">
        <w:rPr>
          <w:rFonts w:cs="Arial"/>
          <w:szCs w:val="22"/>
        </w:rPr>
        <w:t>-</w:t>
      </w:r>
      <w:r w:rsidR="0026242D" w:rsidRPr="00945B8A">
        <w:rPr>
          <w:rFonts w:cs="Arial"/>
          <w:szCs w:val="22"/>
        </w:rPr>
        <w:t>metered</w:t>
      </w:r>
      <w:r w:rsidRPr="00945B8A">
        <w:rPr>
          <w:rFonts w:cs="Arial"/>
          <w:szCs w:val="22"/>
        </w:rPr>
        <w:t xml:space="preserve"> flow</w:t>
      </w:r>
      <w:r w:rsidR="00B64A4C">
        <w:rPr>
          <w:rFonts w:cs="Arial"/>
          <w:szCs w:val="22"/>
        </w:rPr>
        <w:t xml:space="preserve"> </w:t>
      </w:r>
      <w:r w:rsidRPr="00945B8A">
        <w:rPr>
          <w:rFonts w:cs="Arial"/>
          <w:szCs w:val="22"/>
        </w:rPr>
        <w:t xml:space="preserve">rate data </w:t>
      </w:r>
      <w:r w:rsidR="00E14BF5">
        <w:rPr>
          <w:rFonts w:cs="Arial"/>
          <w:szCs w:val="22"/>
        </w:rPr>
        <w:t xml:space="preserve">to be </w:t>
      </w:r>
      <w:r w:rsidR="00E14BF5" w:rsidRPr="00290C28">
        <w:rPr>
          <w:rFonts w:cs="Arial"/>
          <w:szCs w:val="22"/>
        </w:rPr>
        <w:t xml:space="preserve">0.44 hours per day for </w:t>
      </w:r>
      <w:r w:rsidRPr="00290C28">
        <w:rPr>
          <w:rFonts w:cs="Arial"/>
          <w:szCs w:val="22"/>
        </w:rPr>
        <w:t>29 sites (Section 3.4.3</w:t>
      </w:r>
      <w:r w:rsidR="00E14BF5" w:rsidRPr="00290C28">
        <w:rPr>
          <w:rFonts w:cs="Arial"/>
          <w:szCs w:val="22"/>
        </w:rPr>
        <w:t>)</w:t>
      </w:r>
      <w:r w:rsidR="00290C28">
        <w:rPr>
          <w:rFonts w:cs="Arial"/>
          <w:szCs w:val="22"/>
        </w:rPr>
        <w:t>.</w:t>
      </w:r>
    </w:p>
    <w:p w14:paraId="76C142A8" w14:textId="77777777" w:rsidR="001E1A86" w:rsidRPr="00290C28" w:rsidRDefault="001E1A86" w:rsidP="00C76EB4">
      <w:pPr>
        <w:rPr>
          <w:rFonts w:cs="Arial"/>
          <w:szCs w:val="22"/>
        </w:rPr>
      </w:pPr>
    </w:p>
    <w:p w14:paraId="518C01ED" w14:textId="2A3433B6" w:rsidR="001501C4" w:rsidRPr="001B3A6B" w:rsidRDefault="00604401" w:rsidP="00C76EB4">
      <w:pPr>
        <w:pStyle w:val="Caption"/>
        <w:rPr>
          <w:rFonts w:cstheme="minorHAnsi"/>
          <w:szCs w:val="22"/>
        </w:rPr>
      </w:pPr>
      <w:r>
        <w:rPr>
          <w:rFonts w:cstheme="minorHAnsi"/>
          <w:szCs w:val="22"/>
        </w:rPr>
        <w:lastRenderedPageBreak/>
        <w:t>Measured Pre- and Post-Installation Daily Hours of Use</w:t>
      </w:r>
    </w:p>
    <w:p w14:paraId="6B8E3BAC" w14:textId="6DDB91CE" w:rsidR="001501C4" w:rsidRDefault="001501C4" w:rsidP="00F828A6">
      <w:pPr>
        <w:rPr>
          <w:rFonts w:cs="Arial"/>
        </w:rPr>
      </w:pPr>
      <w:r>
        <w:rPr>
          <w:rFonts w:cs="Arial"/>
          <w:noProof/>
          <w:szCs w:val="22"/>
        </w:rPr>
        <w:drawing>
          <wp:inline distT="0" distB="0" distL="0" distR="0" wp14:anchorId="1B7586DF" wp14:editId="0EDBB825">
            <wp:extent cx="5192883" cy="1742440"/>
            <wp:effectExtent l="0" t="0" r="825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ow time Phase 2.png"/>
                    <pic:cNvPicPr/>
                  </pic:nvPicPr>
                  <pic:blipFill rotWithShape="1">
                    <a:blip r:embed="rId20">
                      <a:extLst>
                        <a:ext uri="{28A0092B-C50C-407E-A947-70E740481C1C}">
                          <a14:useLocalDpi xmlns:a14="http://schemas.microsoft.com/office/drawing/2010/main" val="0"/>
                        </a:ext>
                      </a:extLst>
                    </a:blip>
                    <a:srcRect l="8859" t="12489"/>
                    <a:stretch/>
                  </pic:blipFill>
                  <pic:spPr bwMode="auto">
                    <a:xfrm>
                      <a:off x="0" y="0"/>
                      <a:ext cx="5202715" cy="1745739"/>
                    </a:xfrm>
                    <a:prstGeom prst="rect">
                      <a:avLst/>
                    </a:prstGeom>
                    <a:ln>
                      <a:noFill/>
                    </a:ln>
                    <a:extLst>
                      <a:ext uri="{53640926-AAD7-44D8-BBD7-CCE9431645EC}">
                        <a14:shadowObscured xmlns:a14="http://schemas.microsoft.com/office/drawing/2010/main"/>
                      </a:ext>
                    </a:extLst>
                  </pic:spPr>
                </pic:pic>
              </a:graphicData>
            </a:graphic>
          </wp:inline>
        </w:drawing>
      </w:r>
    </w:p>
    <w:p w14:paraId="4BAFB095" w14:textId="061C90B0" w:rsidR="001501C4" w:rsidRDefault="001501C4" w:rsidP="00F828A6">
      <w:pPr>
        <w:rPr>
          <w:rFonts w:cs="Arial"/>
        </w:rPr>
      </w:pPr>
    </w:p>
    <w:p w14:paraId="7AF2655B" w14:textId="3F055D31" w:rsidR="00E14BF5" w:rsidRDefault="00E14BF5">
      <w:pPr>
        <w:rPr>
          <w:rFonts w:cs="Arial"/>
        </w:rPr>
      </w:pPr>
      <w:r>
        <w:rPr>
          <w:rFonts w:cs="Arial"/>
        </w:rPr>
        <w:t xml:space="preserve">This study documented the </w:t>
      </w:r>
      <w:r w:rsidR="000B4C46">
        <w:rPr>
          <w:rFonts w:cs="Arial"/>
        </w:rPr>
        <w:t>gas to electric water heating ratio to</w:t>
      </w:r>
      <w:r w:rsidRPr="0048438C">
        <w:rPr>
          <w:rFonts w:cs="Arial"/>
        </w:rPr>
        <w:t xml:space="preserve"> </w:t>
      </w:r>
      <w:r w:rsidR="000B4C46" w:rsidRPr="0048438C">
        <w:rPr>
          <w:rFonts w:cs="Arial"/>
        </w:rPr>
        <w:t xml:space="preserve">be </w:t>
      </w:r>
      <w:r w:rsidR="004E6667" w:rsidRPr="00C76EB4">
        <w:rPr>
          <w:rFonts w:cs="Arial"/>
        </w:rPr>
        <w:t>93</w:t>
      </w:r>
      <w:r w:rsidR="00290C28" w:rsidRPr="0048438C">
        <w:rPr>
          <w:rFonts w:cs="Arial"/>
        </w:rPr>
        <w:t>%</w:t>
      </w:r>
      <w:r w:rsidR="004E6667" w:rsidRPr="00C76EB4">
        <w:rPr>
          <w:rFonts w:cs="Arial"/>
        </w:rPr>
        <w:t>/7</w:t>
      </w:r>
      <w:r w:rsidR="00290C28" w:rsidRPr="0048438C">
        <w:rPr>
          <w:rFonts w:cs="Arial"/>
        </w:rPr>
        <w:t>%</w:t>
      </w:r>
      <w:r w:rsidRPr="0048438C">
        <w:rPr>
          <w:rFonts w:cs="Arial"/>
        </w:rPr>
        <w:t xml:space="preserve"> </w:t>
      </w:r>
      <w:r w:rsidR="004E6667" w:rsidRPr="0048438C">
        <w:rPr>
          <w:rFonts w:cs="Arial"/>
        </w:rPr>
        <w:t>based on 613</w:t>
      </w:r>
      <w:r w:rsidRPr="0048438C">
        <w:rPr>
          <w:rFonts w:cs="Arial"/>
        </w:rPr>
        <w:t xml:space="preserve"> sites </w:t>
      </w:r>
      <w:r w:rsidR="000B571B" w:rsidRPr="00CF018E">
        <w:rPr>
          <w:rFonts w:cs="Arial"/>
        </w:rPr>
        <w:t xml:space="preserve">excluding other fuel </w:t>
      </w:r>
      <w:r w:rsidR="00200A0E" w:rsidRPr="00CF018E">
        <w:rPr>
          <w:rFonts w:cs="Arial"/>
        </w:rPr>
        <w:t>sources</w:t>
      </w:r>
      <w:r w:rsidRPr="00CF018E">
        <w:rPr>
          <w:rFonts w:cs="Arial"/>
        </w:rPr>
        <w:t xml:space="preserve"> (Section 3.4.</w:t>
      </w:r>
      <w:r w:rsidR="000B4C46" w:rsidRPr="00CF018E">
        <w:rPr>
          <w:rFonts w:cs="Arial"/>
        </w:rPr>
        <w:t>4</w:t>
      </w:r>
      <w:r w:rsidRPr="001B3A6B">
        <w:rPr>
          <w:rFonts w:cs="Arial"/>
        </w:rPr>
        <w:t>)</w:t>
      </w:r>
      <w:r w:rsidR="00604401">
        <w:rPr>
          <w:rFonts w:cs="Arial"/>
        </w:rPr>
        <w:t>.</w:t>
      </w:r>
    </w:p>
    <w:p w14:paraId="530BFCC1" w14:textId="0DEC4CA3" w:rsidR="00604401" w:rsidRDefault="00604401">
      <w:pPr>
        <w:rPr>
          <w:rFonts w:cs="Arial"/>
        </w:rPr>
      </w:pPr>
    </w:p>
    <w:p w14:paraId="2EC4B2E0" w14:textId="0A0BB5FB" w:rsidR="001501C4" w:rsidRDefault="00604401" w:rsidP="00C76EB4">
      <w:pPr>
        <w:pStyle w:val="Caption"/>
      </w:pPr>
      <w:r>
        <w:rPr>
          <w:rFonts w:cstheme="minorHAnsi"/>
          <w:szCs w:val="22"/>
        </w:rPr>
        <w:t>California Distribution of Hot Water Heating Sources</w:t>
      </w:r>
    </w:p>
    <w:p w14:paraId="3E258FC2" w14:textId="68BC9FFC" w:rsidR="001501C4" w:rsidRDefault="001501C4" w:rsidP="00F828A6">
      <w:pPr>
        <w:rPr>
          <w:rFonts w:cs="Arial"/>
        </w:rPr>
      </w:pPr>
      <w:r>
        <w:rPr>
          <w:rFonts w:cs="Arial"/>
          <w:noProof/>
        </w:rPr>
        <w:drawing>
          <wp:inline distT="0" distB="0" distL="0" distR="0" wp14:anchorId="27527525" wp14:editId="705D1BEE">
            <wp:extent cx="3956646" cy="2384755"/>
            <wp:effectExtent l="0" t="0" r="635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uel Mix Spray.png"/>
                    <pic:cNvPicPr/>
                  </pic:nvPicPr>
                  <pic:blipFill rotWithShape="1">
                    <a:blip r:embed="rId21" cstate="print">
                      <a:extLst>
                        <a:ext uri="{28A0092B-C50C-407E-A947-70E740481C1C}">
                          <a14:useLocalDpi xmlns:a14="http://schemas.microsoft.com/office/drawing/2010/main" val="0"/>
                        </a:ext>
                      </a:extLst>
                    </a:blip>
                    <a:srcRect l="10513" t="19134"/>
                    <a:stretch/>
                  </pic:blipFill>
                  <pic:spPr bwMode="auto">
                    <a:xfrm>
                      <a:off x="0" y="0"/>
                      <a:ext cx="3993092" cy="2406722"/>
                    </a:xfrm>
                    <a:prstGeom prst="rect">
                      <a:avLst/>
                    </a:prstGeom>
                    <a:ln>
                      <a:noFill/>
                    </a:ln>
                    <a:extLst>
                      <a:ext uri="{53640926-AAD7-44D8-BBD7-CCE9431645EC}">
                        <a14:shadowObscured xmlns:a14="http://schemas.microsoft.com/office/drawing/2010/main"/>
                      </a:ext>
                    </a:extLst>
                  </pic:spPr>
                </pic:pic>
              </a:graphicData>
            </a:graphic>
          </wp:inline>
        </w:drawing>
      </w:r>
    </w:p>
    <w:p w14:paraId="4C2CCDAF" w14:textId="77777777" w:rsidR="00A65392" w:rsidRPr="00A65392" w:rsidRDefault="00A65392" w:rsidP="00A65392">
      <w:pPr>
        <w:rPr>
          <w:rFonts w:cs="Arial"/>
        </w:rPr>
      </w:pPr>
    </w:p>
    <w:p w14:paraId="286A85F4" w14:textId="55009789" w:rsidR="008F7F32" w:rsidRDefault="008F7F32" w:rsidP="7E9E03BC">
      <w:pPr>
        <w:pStyle w:val="Heading3"/>
      </w:pPr>
      <w:r w:rsidRPr="7E9E03BC">
        <w:rPr>
          <w:rFonts w:asciiTheme="minorHAnsi" w:hAnsiTheme="minorHAnsi"/>
        </w:rPr>
        <w:t xml:space="preserve">1.5.4 </w:t>
      </w:r>
      <w:r w:rsidR="00EF1BD3" w:rsidRPr="7E9E03BC">
        <w:rPr>
          <w:rFonts w:asciiTheme="minorHAnsi" w:hAnsiTheme="minorHAnsi"/>
        </w:rPr>
        <w:t>CEC Energy Efficiency Potential of Gas Fired Commercial Water Heating Equipment in Foodservice Facilities</w:t>
      </w:r>
      <w:r w:rsidR="00116FE9">
        <w:rPr>
          <w:rFonts w:asciiTheme="minorHAnsi" w:hAnsiTheme="minorHAnsi"/>
        </w:rPr>
        <w:t>,</w:t>
      </w:r>
      <w:r w:rsidR="00EF1BD3" w:rsidRPr="7E9E03BC">
        <w:rPr>
          <w:rFonts w:asciiTheme="minorHAnsi" w:hAnsiTheme="minorHAnsi"/>
        </w:rPr>
        <w:t xml:space="preserve"> 2010</w:t>
      </w:r>
      <w:r w:rsidR="00116FE9">
        <w:rPr>
          <w:rFonts w:asciiTheme="minorHAnsi" w:hAnsiTheme="minorHAnsi"/>
        </w:rPr>
        <w:t>,</w:t>
      </w:r>
      <w:r w:rsidR="00EF1BD3" w:rsidRPr="7E9E03BC">
        <w:rPr>
          <w:rFonts w:asciiTheme="minorHAnsi" w:hAnsiTheme="minorHAnsi"/>
        </w:rPr>
        <w:t xml:space="preserve"> CEC-500-2013-050</w:t>
      </w:r>
      <w:bookmarkStart w:id="24" w:name="_Ref525314082"/>
      <w:r w:rsidR="00B64A4C">
        <w:rPr>
          <w:rStyle w:val="EndnoteReference"/>
          <w:rFonts w:asciiTheme="minorHAnsi" w:hAnsiTheme="minorHAnsi"/>
        </w:rPr>
        <w:endnoteReference w:id="11"/>
      </w:r>
      <w:bookmarkEnd w:id="24"/>
    </w:p>
    <w:p w14:paraId="3BAE4A70" w14:textId="1CBEE875" w:rsidR="008F7F32" w:rsidRDefault="00EF4E20" w:rsidP="00F828A6">
      <w:pPr>
        <w:rPr>
          <w:rFonts w:cs="Arial"/>
        </w:rPr>
      </w:pPr>
      <w:r>
        <w:rPr>
          <w:rFonts w:cs="Arial"/>
        </w:rPr>
        <w:t xml:space="preserve">This study </w:t>
      </w:r>
      <w:r w:rsidR="00A4484F">
        <w:rPr>
          <w:rFonts w:cs="Arial"/>
        </w:rPr>
        <w:t xml:space="preserve">provided </w:t>
      </w:r>
      <w:r w:rsidR="00B64A4C">
        <w:rPr>
          <w:rFonts w:cs="Arial"/>
        </w:rPr>
        <w:t xml:space="preserve">market </w:t>
      </w:r>
      <w:r w:rsidR="00A4484F">
        <w:rPr>
          <w:rFonts w:cs="Arial"/>
        </w:rPr>
        <w:t>data on</w:t>
      </w:r>
      <w:r w:rsidR="00B64A4C">
        <w:rPr>
          <w:rFonts w:cs="Arial"/>
        </w:rPr>
        <w:t xml:space="preserve"> </w:t>
      </w:r>
      <w:r w:rsidR="006758B4">
        <w:rPr>
          <w:rFonts w:cs="Arial"/>
        </w:rPr>
        <w:t>gas water heat</w:t>
      </w:r>
      <w:r w:rsidR="00B64A4C">
        <w:rPr>
          <w:rFonts w:cs="Arial"/>
        </w:rPr>
        <w:t>ers</w:t>
      </w:r>
      <w:r w:rsidR="006758B4">
        <w:rPr>
          <w:rFonts w:cs="Arial"/>
        </w:rPr>
        <w:t xml:space="preserve"> </w:t>
      </w:r>
      <w:r w:rsidR="00B64A4C">
        <w:rPr>
          <w:rFonts w:cs="Arial"/>
        </w:rPr>
        <w:t xml:space="preserve">in </w:t>
      </w:r>
      <w:r w:rsidR="00A4484F">
        <w:rPr>
          <w:rFonts w:cs="Arial"/>
        </w:rPr>
        <w:t xml:space="preserve">different commercial and institutional foodservice facilities </w:t>
      </w:r>
      <w:r w:rsidR="0065261C">
        <w:rPr>
          <w:rFonts w:cs="Arial"/>
        </w:rPr>
        <w:t xml:space="preserve">in each market segment </w:t>
      </w:r>
      <w:r w:rsidR="006758B4">
        <w:rPr>
          <w:rFonts w:cs="Arial"/>
        </w:rPr>
        <w:t>with a</w:t>
      </w:r>
      <w:r w:rsidR="0002227D">
        <w:rPr>
          <w:rFonts w:cs="Arial"/>
        </w:rPr>
        <w:t>n</w:t>
      </w:r>
      <w:r w:rsidR="006758B4">
        <w:rPr>
          <w:rFonts w:cs="Arial"/>
        </w:rPr>
        <w:t xml:space="preserve"> </w:t>
      </w:r>
      <w:r w:rsidR="006758B4" w:rsidRPr="00C76EB4">
        <w:rPr>
          <w:rFonts w:cs="Arial"/>
        </w:rPr>
        <w:t>88</w:t>
      </w:r>
      <w:r w:rsidR="00290C28" w:rsidRPr="0048438C">
        <w:rPr>
          <w:rFonts w:cs="Arial"/>
        </w:rPr>
        <w:t>%</w:t>
      </w:r>
      <w:r w:rsidR="006758B4" w:rsidRPr="00C76EB4">
        <w:rPr>
          <w:rFonts w:cs="Arial"/>
        </w:rPr>
        <w:t>/12</w:t>
      </w:r>
      <w:r w:rsidR="00290C28" w:rsidRPr="0048438C">
        <w:rPr>
          <w:rFonts w:cs="Arial"/>
        </w:rPr>
        <w:t>%</w:t>
      </w:r>
      <w:r w:rsidR="006758B4" w:rsidRPr="0048438C">
        <w:rPr>
          <w:rFonts w:cs="Arial"/>
          <w:b/>
        </w:rPr>
        <w:t xml:space="preserve"> </w:t>
      </w:r>
      <w:r w:rsidR="006758B4" w:rsidRPr="00C76EB4">
        <w:rPr>
          <w:rFonts w:cs="Arial"/>
        </w:rPr>
        <w:t xml:space="preserve">split between gas and electric </w:t>
      </w:r>
      <w:r w:rsidR="0002227D" w:rsidRPr="0048438C">
        <w:rPr>
          <w:rFonts w:cs="Arial"/>
        </w:rPr>
        <w:t xml:space="preserve">water heaters </w:t>
      </w:r>
      <w:r w:rsidR="006758B4" w:rsidRPr="00C76EB4">
        <w:rPr>
          <w:rFonts w:cs="Arial"/>
        </w:rPr>
        <w:t xml:space="preserve">based on </w:t>
      </w:r>
      <w:r w:rsidR="00A36101" w:rsidRPr="0048438C">
        <w:rPr>
          <w:rFonts w:cs="Arial"/>
        </w:rPr>
        <w:t>96,860</w:t>
      </w:r>
      <w:r w:rsidR="006758B4" w:rsidRPr="00C76EB4">
        <w:rPr>
          <w:rFonts w:cs="Arial"/>
        </w:rPr>
        <w:t xml:space="preserve"> sites.</w:t>
      </w:r>
    </w:p>
    <w:p w14:paraId="684121CA" w14:textId="77777777" w:rsidR="004666D5" w:rsidRPr="004666D5" w:rsidRDefault="004666D5" w:rsidP="004666D5">
      <w:pPr>
        <w:rPr>
          <w:rFonts w:cs="Arial"/>
        </w:rPr>
      </w:pPr>
    </w:p>
    <w:tbl>
      <w:tblPr>
        <w:tblW w:w="9350" w:type="dxa"/>
        <w:tblLayout w:type="fixed"/>
        <w:tblCellMar>
          <w:left w:w="115" w:type="dxa"/>
          <w:right w:w="115" w:type="dxa"/>
        </w:tblCellMar>
        <w:tblLook w:val="04A0" w:firstRow="1" w:lastRow="0" w:firstColumn="1" w:lastColumn="0" w:noHBand="0" w:noVBand="1"/>
      </w:tblPr>
      <w:tblGrid>
        <w:gridCol w:w="2875"/>
        <w:gridCol w:w="1440"/>
        <w:gridCol w:w="1305"/>
        <w:gridCol w:w="1305"/>
        <w:gridCol w:w="1212"/>
        <w:gridCol w:w="1213"/>
      </w:tblGrid>
      <w:tr w:rsidR="00A36101" w:rsidRPr="00061A2D" w14:paraId="2BAF85C4" w14:textId="77777777" w:rsidTr="00C76EB4">
        <w:trPr>
          <w:trHeight w:val="245"/>
        </w:trPr>
        <w:tc>
          <w:tcPr>
            <w:tcW w:w="287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5367701C" w14:textId="62E8A373" w:rsidR="00061A2D" w:rsidRPr="00C76EB4" w:rsidRDefault="00A36101">
            <w:pPr>
              <w:rPr>
                <w:rFonts w:ascii="Calibri" w:hAnsi="Calibri" w:cs="Calibri"/>
                <w:b/>
                <w:bCs/>
                <w:color w:val="000000"/>
                <w:sz w:val="20"/>
                <w:szCs w:val="20"/>
              </w:rPr>
            </w:pPr>
            <w:r w:rsidRPr="0048438C">
              <w:rPr>
                <w:rFonts w:ascii="Calibri" w:hAnsi="Calibri" w:cs="Calibri"/>
                <w:b/>
                <w:color w:val="000000"/>
                <w:sz w:val="20"/>
                <w:szCs w:val="20"/>
              </w:rPr>
              <w:t>Facility Type</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244D543" w14:textId="77777777" w:rsidR="00061A2D" w:rsidRPr="00C76EB4" w:rsidRDefault="00061A2D" w:rsidP="00C76EB4">
            <w:pPr>
              <w:jc w:val="right"/>
              <w:rPr>
                <w:rFonts w:ascii="Calibri" w:hAnsi="Calibri" w:cs="Calibri"/>
                <w:b/>
                <w:bCs/>
                <w:color w:val="000000" w:themeColor="text1"/>
                <w:sz w:val="20"/>
                <w:szCs w:val="20"/>
              </w:rPr>
            </w:pPr>
            <w:r w:rsidRPr="00C76EB4">
              <w:rPr>
                <w:rFonts w:ascii="Calibri" w:hAnsi="Calibri" w:cs="Calibri"/>
                <w:b/>
                <w:bCs/>
                <w:color w:val="000000"/>
                <w:sz w:val="20"/>
                <w:szCs w:val="20"/>
              </w:rPr>
              <w:t>Number of Facilities</w:t>
            </w:r>
          </w:p>
        </w:tc>
        <w:tc>
          <w:tcPr>
            <w:tcW w:w="130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65B6452D" w14:textId="11D34F8B" w:rsidR="00061A2D" w:rsidRPr="00C76EB4" w:rsidRDefault="00061A2D" w:rsidP="00C76EB4">
            <w:pPr>
              <w:jc w:val="right"/>
              <w:rPr>
                <w:rFonts w:ascii="Calibri" w:hAnsi="Calibri" w:cs="Calibri"/>
                <w:b/>
                <w:bCs/>
                <w:color w:val="000000" w:themeColor="text1"/>
                <w:sz w:val="20"/>
                <w:szCs w:val="20"/>
              </w:rPr>
            </w:pPr>
            <w:r w:rsidRPr="00C76EB4">
              <w:rPr>
                <w:rFonts w:ascii="Calibri" w:hAnsi="Calibri" w:cs="Calibri"/>
                <w:b/>
                <w:bCs/>
                <w:color w:val="000000"/>
                <w:sz w:val="20"/>
                <w:szCs w:val="20"/>
              </w:rPr>
              <w:t xml:space="preserve">% </w:t>
            </w:r>
            <w:r w:rsidR="0002227D" w:rsidRPr="00C76EB4">
              <w:rPr>
                <w:rFonts w:ascii="Calibri" w:hAnsi="Calibri" w:cs="Calibri"/>
                <w:b/>
                <w:bCs/>
                <w:color w:val="000000"/>
                <w:sz w:val="20"/>
                <w:szCs w:val="20"/>
              </w:rPr>
              <w:t>G</w:t>
            </w:r>
            <w:r w:rsidRPr="00C76EB4">
              <w:rPr>
                <w:rFonts w:ascii="Calibri" w:hAnsi="Calibri" w:cs="Calibri"/>
                <w:b/>
                <w:bCs/>
                <w:color w:val="000000"/>
                <w:sz w:val="20"/>
                <w:szCs w:val="20"/>
              </w:rPr>
              <w:t>as</w:t>
            </w:r>
          </w:p>
        </w:tc>
        <w:tc>
          <w:tcPr>
            <w:tcW w:w="130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1C88C763" w14:textId="729F3606" w:rsidR="00061A2D" w:rsidRPr="00C76EB4" w:rsidRDefault="00061A2D" w:rsidP="00C76EB4">
            <w:pPr>
              <w:jc w:val="right"/>
              <w:rPr>
                <w:rFonts w:ascii="Calibri" w:hAnsi="Calibri" w:cs="Calibri"/>
                <w:b/>
                <w:bCs/>
                <w:color w:val="000000" w:themeColor="text1"/>
                <w:sz w:val="20"/>
                <w:szCs w:val="20"/>
              </w:rPr>
            </w:pPr>
            <w:r w:rsidRPr="00C76EB4">
              <w:rPr>
                <w:rFonts w:ascii="Calibri" w:hAnsi="Calibri" w:cs="Calibri"/>
                <w:b/>
                <w:bCs/>
                <w:color w:val="000000"/>
                <w:sz w:val="20"/>
                <w:szCs w:val="20"/>
              </w:rPr>
              <w:t xml:space="preserve">% </w:t>
            </w:r>
            <w:r w:rsidR="0002227D" w:rsidRPr="00C76EB4">
              <w:rPr>
                <w:rFonts w:ascii="Calibri" w:hAnsi="Calibri" w:cs="Calibri"/>
                <w:b/>
                <w:bCs/>
                <w:color w:val="000000"/>
                <w:sz w:val="20"/>
                <w:szCs w:val="20"/>
              </w:rPr>
              <w:t>E</w:t>
            </w:r>
            <w:r w:rsidRPr="00C76EB4">
              <w:rPr>
                <w:rFonts w:ascii="Calibri" w:hAnsi="Calibri" w:cs="Calibri"/>
                <w:b/>
                <w:bCs/>
                <w:color w:val="000000"/>
                <w:sz w:val="20"/>
                <w:szCs w:val="20"/>
              </w:rPr>
              <w:t>lectric</w:t>
            </w:r>
          </w:p>
        </w:tc>
        <w:tc>
          <w:tcPr>
            <w:tcW w:w="12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655D3FE" w14:textId="52036298" w:rsidR="00061A2D" w:rsidRPr="00C76EB4" w:rsidRDefault="0002227D" w:rsidP="00C76EB4">
            <w:pPr>
              <w:jc w:val="right"/>
              <w:rPr>
                <w:rFonts w:ascii="Calibri" w:hAnsi="Calibri" w:cs="Calibri"/>
                <w:b/>
                <w:bCs/>
                <w:color w:val="000000" w:themeColor="text1"/>
                <w:sz w:val="20"/>
                <w:szCs w:val="20"/>
              </w:rPr>
            </w:pPr>
            <w:r w:rsidRPr="00C76EB4">
              <w:rPr>
                <w:rFonts w:ascii="Calibri" w:hAnsi="Calibri" w:cs="Calibri"/>
                <w:b/>
                <w:bCs/>
                <w:color w:val="000000"/>
                <w:sz w:val="20"/>
                <w:szCs w:val="20"/>
              </w:rPr>
              <w:t>N</w:t>
            </w:r>
            <w:r w:rsidR="00061A2D" w:rsidRPr="00C76EB4">
              <w:rPr>
                <w:rFonts w:ascii="Calibri" w:hAnsi="Calibri" w:cs="Calibri"/>
                <w:b/>
                <w:bCs/>
                <w:color w:val="000000"/>
                <w:sz w:val="20"/>
                <w:szCs w:val="20"/>
              </w:rPr>
              <w:t xml:space="preserve">umber of </w:t>
            </w:r>
            <w:r w:rsidRPr="00C76EB4">
              <w:rPr>
                <w:rFonts w:ascii="Calibri" w:hAnsi="Calibri" w:cs="Calibri"/>
                <w:b/>
                <w:bCs/>
                <w:color w:val="000000"/>
                <w:sz w:val="20"/>
                <w:szCs w:val="20"/>
              </w:rPr>
              <w:t>G</w:t>
            </w:r>
            <w:r w:rsidR="00061A2D" w:rsidRPr="00C76EB4">
              <w:rPr>
                <w:rFonts w:ascii="Calibri" w:hAnsi="Calibri" w:cs="Calibri"/>
                <w:b/>
                <w:bCs/>
                <w:color w:val="000000"/>
                <w:sz w:val="20"/>
                <w:szCs w:val="20"/>
              </w:rPr>
              <w:t>as</w:t>
            </w:r>
            <w:r w:rsidRPr="0048438C">
              <w:rPr>
                <w:rFonts w:ascii="Calibri" w:hAnsi="Calibri" w:cs="Calibri"/>
                <w:b/>
                <w:color w:val="000000"/>
                <w:sz w:val="20"/>
                <w:szCs w:val="20"/>
              </w:rPr>
              <w:t xml:space="preserve"> Heaters</w:t>
            </w:r>
          </w:p>
        </w:tc>
        <w:tc>
          <w:tcPr>
            <w:tcW w:w="1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65B2857F" w14:textId="43361CA1" w:rsidR="00061A2D" w:rsidRPr="00C76EB4" w:rsidRDefault="0002227D" w:rsidP="00C76EB4">
            <w:pPr>
              <w:jc w:val="right"/>
              <w:rPr>
                <w:rFonts w:ascii="Calibri" w:hAnsi="Calibri" w:cs="Calibri"/>
                <w:b/>
                <w:bCs/>
                <w:color w:val="000000" w:themeColor="text1"/>
                <w:sz w:val="20"/>
                <w:szCs w:val="20"/>
              </w:rPr>
            </w:pPr>
            <w:r w:rsidRPr="0048438C">
              <w:rPr>
                <w:rFonts w:ascii="Calibri" w:hAnsi="Calibri" w:cs="Calibri"/>
                <w:b/>
                <w:color w:val="000000"/>
                <w:sz w:val="20"/>
                <w:szCs w:val="20"/>
              </w:rPr>
              <w:t>N</w:t>
            </w:r>
            <w:r w:rsidR="00061A2D" w:rsidRPr="00C76EB4">
              <w:rPr>
                <w:rFonts w:ascii="Calibri" w:hAnsi="Calibri" w:cs="Calibri"/>
                <w:b/>
                <w:bCs/>
                <w:color w:val="000000"/>
                <w:sz w:val="20"/>
                <w:szCs w:val="20"/>
              </w:rPr>
              <w:t xml:space="preserve">umber of </w:t>
            </w:r>
            <w:r w:rsidRPr="0048438C">
              <w:rPr>
                <w:rFonts w:ascii="Calibri" w:hAnsi="Calibri" w:cs="Calibri"/>
                <w:b/>
                <w:color w:val="000000"/>
                <w:sz w:val="20"/>
                <w:szCs w:val="20"/>
              </w:rPr>
              <w:t>E</w:t>
            </w:r>
            <w:r w:rsidR="00061A2D" w:rsidRPr="00C76EB4">
              <w:rPr>
                <w:rFonts w:ascii="Calibri" w:hAnsi="Calibri" w:cs="Calibri"/>
                <w:b/>
                <w:bCs/>
                <w:color w:val="000000"/>
                <w:sz w:val="20"/>
                <w:szCs w:val="20"/>
              </w:rPr>
              <w:t>lectric</w:t>
            </w:r>
            <w:r w:rsidRPr="0048438C">
              <w:rPr>
                <w:rFonts w:ascii="Calibri" w:hAnsi="Calibri" w:cs="Calibri"/>
                <w:b/>
                <w:color w:val="000000"/>
                <w:sz w:val="20"/>
                <w:szCs w:val="20"/>
              </w:rPr>
              <w:t xml:space="preserve"> Heaters</w:t>
            </w:r>
          </w:p>
        </w:tc>
      </w:tr>
      <w:tr w:rsidR="00A36101" w:rsidRPr="00061A2D" w14:paraId="7EB0C606" w14:textId="77777777" w:rsidTr="00C76EB4">
        <w:trPr>
          <w:trHeight w:val="24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2BC898" w14:textId="67A845E8" w:rsidR="00061A2D" w:rsidRPr="00C76EB4" w:rsidRDefault="00061A2D" w:rsidP="00061A2D">
            <w:pPr>
              <w:rPr>
                <w:rFonts w:ascii="Calibri" w:hAnsi="Calibri" w:cs="Calibri"/>
                <w:color w:val="000000"/>
                <w:sz w:val="20"/>
                <w:szCs w:val="20"/>
              </w:rPr>
            </w:pPr>
            <w:r w:rsidRPr="00C76EB4">
              <w:rPr>
                <w:rFonts w:ascii="Calibri" w:hAnsi="Calibri" w:cs="Calibri"/>
                <w:color w:val="000000"/>
                <w:sz w:val="20"/>
                <w:szCs w:val="20"/>
              </w:rPr>
              <w:t>F</w:t>
            </w:r>
            <w:r w:rsidR="00A36101">
              <w:rPr>
                <w:rFonts w:ascii="Calibri" w:hAnsi="Calibri" w:cs="Calibri"/>
                <w:color w:val="000000"/>
                <w:sz w:val="20"/>
                <w:szCs w:val="20"/>
              </w:rPr>
              <w:t>ull</w:t>
            </w:r>
            <w:r w:rsidR="00B64A4C">
              <w:rPr>
                <w:rFonts w:ascii="Calibri" w:hAnsi="Calibri" w:cs="Calibri"/>
                <w:color w:val="000000"/>
                <w:sz w:val="20"/>
                <w:szCs w:val="20"/>
              </w:rPr>
              <w:t>-</w:t>
            </w:r>
            <w:r w:rsidR="0019008E">
              <w:rPr>
                <w:rFonts w:ascii="Calibri" w:hAnsi="Calibri" w:cs="Calibri"/>
                <w:color w:val="000000"/>
                <w:sz w:val="20"/>
                <w:szCs w:val="20"/>
              </w:rPr>
              <w:t>Service</w:t>
            </w:r>
            <w:r w:rsidR="00A36101">
              <w:rPr>
                <w:rFonts w:ascii="Calibri" w:hAnsi="Calibri" w:cs="Calibri"/>
                <w:color w:val="000000"/>
                <w:sz w:val="20"/>
                <w:szCs w:val="20"/>
              </w:rPr>
              <w:t xml:space="preserve"> Restaurant</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BB29BD" w14:textId="71780A91"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34,400 </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3D0C2D" w14:textId="3D8EB45E" w:rsidR="00061A2D" w:rsidRPr="00C76EB4" w:rsidRDefault="0002227D" w:rsidP="00061A2D">
            <w:pPr>
              <w:jc w:val="right"/>
              <w:rPr>
                <w:rFonts w:ascii="Calibri" w:hAnsi="Calibri" w:cs="Calibri"/>
                <w:color w:val="000000"/>
                <w:sz w:val="20"/>
                <w:szCs w:val="20"/>
              </w:rPr>
            </w:pPr>
            <w:r>
              <w:rPr>
                <w:rFonts w:ascii="Calibri" w:hAnsi="Calibri" w:cs="Calibri"/>
                <w:color w:val="000000"/>
                <w:sz w:val="20"/>
                <w:szCs w:val="20"/>
              </w:rPr>
              <w:t>90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9165A" w14:textId="26AA40E2" w:rsidR="00061A2D" w:rsidRPr="00C76EB4" w:rsidRDefault="0002227D" w:rsidP="00061A2D">
            <w:pPr>
              <w:jc w:val="right"/>
              <w:rPr>
                <w:rFonts w:ascii="Calibri" w:hAnsi="Calibri" w:cs="Calibri"/>
                <w:color w:val="000000"/>
                <w:sz w:val="20"/>
                <w:szCs w:val="20"/>
              </w:rPr>
            </w:pPr>
            <w:r>
              <w:rPr>
                <w:rFonts w:ascii="Calibri" w:hAnsi="Calibri" w:cs="Calibri"/>
                <w:color w:val="000000"/>
                <w:sz w:val="20"/>
                <w:szCs w:val="20"/>
              </w:rPr>
              <w:t>10</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B6C23" w14:textId="184D2F4A"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30,960 </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054B5" w14:textId="41C7C17D"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3,440 </w:t>
            </w:r>
          </w:p>
        </w:tc>
      </w:tr>
      <w:tr w:rsidR="00A36101" w:rsidRPr="00061A2D" w14:paraId="6F3B4127" w14:textId="77777777" w:rsidTr="00C76EB4">
        <w:trPr>
          <w:trHeight w:val="24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629A26" w14:textId="75A1A3FC" w:rsidR="00061A2D" w:rsidRPr="00C76EB4" w:rsidRDefault="00061A2D" w:rsidP="00061A2D">
            <w:pPr>
              <w:rPr>
                <w:rFonts w:ascii="Calibri" w:hAnsi="Calibri" w:cs="Calibri"/>
                <w:color w:val="000000"/>
                <w:sz w:val="20"/>
                <w:szCs w:val="20"/>
              </w:rPr>
            </w:pPr>
            <w:r w:rsidRPr="00C76EB4">
              <w:rPr>
                <w:rFonts w:ascii="Calibri" w:hAnsi="Calibri" w:cs="Calibri"/>
                <w:color w:val="000000"/>
                <w:sz w:val="20"/>
                <w:szCs w:val="20"/>
              </w:rPr>
              <w:t>Q</w:t>
            </w:r>
            <w:r w:rsidR="00A36101">
              <w:rPr>
                <w:rFonts w:ascii="Calibri" w:hAnsi="Calibri" w:cs="Calibri"/>
                <w:color w:val="000000"/>
                <w:sz w:val="20"/>
                <w:szCs w:val="20"/>
              </w:rPr>
              <w:t>uick</w:t>
            </w:r>
            <w:r w:rsidR="00B64A4C">
              <w:rPr>
                <w:rFonts w:ascii="Calibri" w:hAnsi="Calibri" w:cs="Calibri"/>
                <w:color w:val="000000"/>
                <w:sz w:val="20"/>
                <w:szCs w:val="20"/>
              </w:rPr>
              <w:t>-</w:t>
            </w:r>
            <w:r w:rsidR="00A36101">
              <w:rPr>
                <w:rFonts w:ascii="Calibri" w:hAnsi="Calibri" w:cs="Calibri"/>
                <w:color w:val="000000"/>
                <w:sz w:val="20"/>
                <w:szCs w:val="20"/>
              </w:rPr>
              <w:t>Service Restaurant</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072C8" w14:textId="5B5433F3"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21,700 </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00275F" w14:textId="551CE3E5" w:rsidR="00061A2D" w:rsidRPr="00C76EB4" w:rsidRDefault="0002227D" w:rsidP="00061A2D">
            <w:pPr>
              <w:jc w:val="right"/>
              <w:rPr>
                <w:rFonts w:ascii="Calibri" w:hAnsi="Calibri" w:cs="Calibri"/>
                <w:color w:val="000000"/>
                <w:sz w:val="20"/>
                <w:szCs w:val="20"/>
              </w:rPr>
            </w:pPr>
            <w:r>
              <w:rPr>
                <w:rFonts w:ascii="Calibri" w:hAnsi="Calibri" w:cs="Calibri"/>
                <w:color w:val="000000"/>
                <w:sz w:val="20"/>
                <w:szCs w:val="20"/>
              </w:rPr>
              <w:t>90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F30A48" w14:textId="505FB104" w:rsidR="00061A2D" w:rsidRPr="00C76EB4" w:rsidRDefault="0002227D" w:rsidP="00061A2D">
            <w:pPr>
              <w:jc w:val="right"/>
              <w:rPr>
                <w:rFonts w:ascii="Calibri" w:hAnsi="Calibri" w:cs="Calibri"/>
                <w:color w:val="000000"/>
                <w:sz w:val="20"/>
                <w:szCs w:val="20"/>
              </w:rPr>
            </w:pPr>
            <w:r>
              <w:rPr>
                <w:rFonts w:ascii="Calibri" w:hAnsi="Calibri" w:cs="Calibri"/>
                <w:color w:val="000000"/>
                <w:sz w:val="20"/>
                <w:szCs w:val="20"/>
              </w:rPr>
              <w:t>10</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DE2A6C" w14:textId="0353B88E"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19,530 </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0E48E6" w14:textId="5FA98208"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2,170 </w:t>
            </w:r>
          </w:p>
        </w:tc>
      </w:tr>
      <w:tr w:rsidR="00A36101" w:rsidRPr="00061A2D" w14:paraId="296A5377" w14:textId="77777777" w:rsidTr="00C76EB4">
        <w:trPr>
          <w:trHeight w:val="24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D86F6" w14:textId="77777777" w:rsidR="00061A2D" w:rsidRPr="00C76EB4" w:rsidRDefault="00061A2D" w:rsidP="00061A2D">
            <w:pPr>
              <w:rPr>
                <w:rFonts w:ascii="Calibri" w:hAnsi="Calibri" w:cs="Calibri"/>
                <w:color w:val="000000"/>
                <w:sz w:val="20"/>
                <w:szCs w:val="20"/>
              </w:rPr>
            </w:pPr>
            <w:r w:rsidRPr="00C76EB4">
              <w:rPr>
                <w:rFonts w:ascii="Calibri" w:hAnsi="Calibri" w:cs="Calibri"/>
                <w:color w:val="000000"/>
                <w:sz w:val="20"/>
                <w:szCs w:val="20"/>
              </w:rPr>
              <w:t>Coffee and Specialty</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1F7517" w14:textId="2978B828"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11,800 </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DBD883" w14:textId="0216C4B8" w:rsidR="00061A2D" w:rsidRPr="00C76EB4" w:rsidRDefault="0002227D" w:rsidP="00061A2D">
            <w:pPr>
              <w:jc w:val="right"/>
              <w:rPr>
                <w:rFonts w:ascii="Calibri" w:hAnsi="Calibri" w:cs="Calibri"/>
                <w:color w:val="000000"/>
                <w:sz w:val="20"/>
                <w:szCs w:val="20"/>
              </w:rPr>
            </w:pPr>
            <w:r>
              <w:rPr>
                <w:rFonts w:ascii="Calibri" w:hAnsi="Calibri" w:cs="Calibri"/>
                <w:color w:val="000000"/>
                <w:sz w:val="20"/>
                <w:szCs w:val="20"/>
              </w:rPr>
              <w:t>80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0DD54F" w14:textId="3E85674A" w:rsidR="00061A2D" w:rsidRPr="00C76EB4" w:rsidRDefault="0002227D" w:rsidP="00061A2D">
            <w:pPr>
              <w:jc w:val="right"/>
              <w:rPr>
                <w:rFonts w:ascii="Calibri" w:hAnsi="Calibri" w:cs="Calibri"/>
                <w:color w:val="000000"/>
                <w:sz w:val="20"/>
                <w:szCs w:val="20"/>
              </w:rPr>
            </w:pPr>
            <w:r>
              <w:rPr>
                <w:rFonts w:ascii="Calibri" w:hAnsi="Calibri" w:cs="Calibri"/>
                <w:color w:val="000000"/>
                <w:sz w:val="20"/>
                <w:szCs w:val="20"/>
              </w:rPr>
              <w:t>20</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BD08A0" w14:textId="3CA14D78"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9,440 </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009C32" w14:textId="3B954A3C"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2,360 </w:t>
            </w:r>
          </w:p>
        </w:tc>
      </w:tr>
      <w:tr w:rsidR="00A36101" w:rsidRPr="00061A2D" w14:paraId="485C8B3D" w14:textId="77777777" w:rsidTr="00C76EB4">
        <w:trPr>
          <w:trHeight w:val="24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D71B2B" w14:textId="77777777" w:rsidR="00061A2D" w:rsidRPr="00C76EB4" w:rsidRDefault="00061A2D" w:rsidP="00061A2D">
            <w:pPr>
              <w:rPr>
                <w:rFonts w:ascii="Calibri" w:hAnsi="Calibri" w:cs="Calibri"/>
                <w:color w:val="000000"/>
                <w:sz w:val="20"/>
                <w:szCs w:val="20"/>
              </w:rPr>
            </w:pPr>
            <w:r w:rsidRPr="00C76EB4">
              <w:rPr>
                <w:rFonts w:ascii="Calibri" w:hAnsi="Calibri" w:cs="Calibri"/>
                <w:color w:val="000000"/>
                <w:sz w:val="20"/>
                <w:szCs w:val="20"/>
              </w:rPr>
              <w:t>Bar and Tavern</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3A0987" w14:textId="6591D1DB"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3,350 </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8C4FC4" w14:textId="1ED84E50" w:rsidR="00061A2D" w:rsidRPr="00C76EB4" w:rsidRDefault="0002227D" w:rsidP="00061A2D">
            <w:pPr>
              <w:jc w:val="right"/>
              <w:rPr>
                <w:rFonts w:ascii="Calibri" w:hAnsi="Calibri" w:cs="Calibri"/>
                <w:color w:val="000000"/>
                <w:sz w:val="20"/>
                <w:szCs w:val="20"/>
              </w:rPr>
            </w:pPr>
            <w:r>
              <w:rPr>
                <w:rFonts w:ascii="Calibri" w:hAnsi="Calibri" w:cs="Calibri"/>
                <w:color w:val="000000"/>
                <w:sz w:val="20"/>
                <w:szCs w:val="20"/>
              </w:rPr>
              <w:t>75</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CF63C" w14:textId="6B412807" w:rsidR="00061A2D" w:rsidRPr="00C76EB4" w:rsidRDefault="0002227D" w:rsidP="00061A2D">
            <w:pPr>
              <w:jc w:val="right"/>
              <w:rPr>
                <w:rFonts w:ascii="Calibri" w:hAnsi="Calibri" w:cs="Calibri"/>
                <w:color w:val="000000"/>
                <w:sz w:val="20"/>
                <w:szCs w:val="20"/>
              </w:rPr>
            </w:pPr>
            <w:r>
              <w:rPr>
                <w:rFonts w:ascii="Calibri" w:hAnsi="Calibri" w:cs="Calibri"/>
                <w:color w:val="000000"/>
                <w:sz w:val="20"/>
                <w:szCs w:val="20"/>
              </w:rPr>
              <w:t>25</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DF2215" w14:textId="51083402"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2,513 </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2B41A5" w14:textId="0BA27DFB"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838 </w:t>
            </w:r>
          </w:p>
        </w:tc>
      </w:tr>
      <w:tr w:rsidR="00A36101" w:rsidRPr="00061A2D" w14:paraId="7BD62688" w14:textId="77777777" w:rsidTr="00C76EB4">
        <w:trPr>
          <w:trHeight w:val="24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FBDADE" w14:textId="029F89E1" w:rsidR="00061A2D" w:rsidRPr="00C76EB4" w:rsidRDefault="00061A2D" w:rsidP="00061A2D">
            <w:pPr>
              <w:rPr>
                <w:rFonts w:ascii="Calibri" w:hAnsi="Calibri" w:cs="Calibri"/>
                <w:color w:val="000000"/>
                <w:sz w:val="20"/>
                <w:szCs w:val="20"/>
              </w:rPr>
            </w:pPr>
            <w:r w:rsidRPr="00C76EB4">
              <w:rPr>
                <w:rFonts w:ascii="Calibri" w:hAnsi="Calibri" w:cs="Calibri"/>
                <w:color w:val="000000"/>
                <w:sz w:val="20"/>
                <w:szCs w:val="20"/>
              </w:rPr>
              <w:t>Deli and Sandwich</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081A8A" w14:textId="281C85DE"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5,500 </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EFA33" w14:textId="3DA993FF" w:rsidR="00061A2D" w:rsidRPr="00C76EB4" w:rsidRDefault="0002227D" w:rsidP="00061A2D">
            <w:pPr>
              <w:jc w:val="right"/>
              <w:rPr>
                <w:rFonts w:ascii="Calibri" w:hAnsi="Calibri" w:cs="Calibri"/>
                <w:color w:val="000000"/>
                <w:sz w:val="20"/>
                <w:szCs w:val="20"/>
              </w:rPr>
            </w:pPr>
            <w:r>
              <w:rPr>
                <w:rFonts w:ascii="Calibri" w:hAnsi="Calibri" w:cs="Calibri"/>
                <w:color w:val="000000"/>
                <w:sz w:val="20"/>
                <w:szCs w:val="20"/>
              </w:rPr>
              <w:t>75</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14235" w14:textId="2D9F766E" w:rsidR="00061A2D" w:rsidRPr="00C76EB4" w:rsidRDefault="0002227D" w:rsidP="00061A2D">
            <w:pPr>
              <w:jc w:val="right"/>
              <w:rPr>
                <w:rFonts w:ascii="Calibri" w:hAnsi="Calibri" w:cs="Calibri"/>
                <w:color w:val="000000"/>
                <w:sz w:val="20"/>
                <w:szCs w:val="20"/>
              </w:rPr>
            </w:pPr>
            <w:r>
              <w:rPr>
                <w:rFonts w:ascii="Calibri" w:hAnsi="Calibri" w:cs="Calibri"/>
                <w:color w:val="000000"/>
                <w:sz w:val="20"/>
                <w:szCs w:val="20"/>
              </w:rPr>
              <w:t>25</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55B044" w14:textId="223F89F2"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4,125 </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7DF57" w14:textId="0AC02C41"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1,375 </w:t>
            </w:r>
          </w:p>
        </w:tc>
      </w:tr>
      <w:tr w:rsidR="00A36101" w:rsidRPr="00061A2D" w14:paraId="41EF407F" w14:textId="77777777" w:rsidTr="00C76EB4">
        <w:trPr>
          <w:trHeight w:val="24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BDCB29" w14:textId="77777777" w:rsidR="00061A2D" w:rsidRPr="00C76EB4" w:rsidRDefault="00061A2D" w:rsidP="00061A2D">
            <w:pPr>
              <w:rPr>
                <w:rFonts w:ascii="Calibri" w:hAnsi="Calibri" w:cs="Calibri"/>
                <w:color w:val="000000"/>
                <w:sz w:val="20"/>
                <w:szCs w:val="20"/>
              </w:rPr>
            </w:pPr>
            <w:r w:rsidRPr="00C76EB4">
              <w:rPr>
                <w:rFonts w:ascii="Calibri" w:hAnsi="Calibri" w:cs="Calibri"/>
                <w:color w:val="000000"/>
                <w:sz w:val="20"/>
                <w:szCs w:val="20"/>
              </w:rPr>
              <w:lastRenderedPageBreak/>
              <w:t>Correctional</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7C5C1" w14:textId="08E02C66"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45 </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DA3922" w14:textId="3357D7CC" w:rsidR="00061A2D" w:rsidRPr="00C76EB4" w:rsidRDefault="00061A2D" w:rsidP="00061A2D">
            <w:pPr>
              <w:jc w:val="right"/>
              <w:rPr>
                <w:rFonts w:ascii="Calibri" w:hAnsi="Calibri" w:cs="Calibri"/>
                <w:color w:val="000000"/>
                <w:sz w:val="20"/>
                <w:szCs w:val="20"/>
              </w:rPr>
            </w:pPr>
            <w:r w:rsidRPr="00C76EB4">
              <w:rPr>
                <w:rFonts w:ascii="Calibri" w:hAnsi="Calibri" w:cs="Calibri"/>
                <w:color w:val="000000"/>
                <w:sz w:val="20"/>
                <w:szCs w:val="20"/>
              </w:rPr>
              <w:t>1</w:t>
            </w:r>
            <w:r w:rsidR="0002227D">
              <w:rPr>
                <w:rFonts w:ascii="Calibri" w:hAnsi="Calibri" w:cs="Calibri"/>
                <w:color w:val="000000"/>
                <w:sz w:val="20"/>
                <w:szCs w:val="20"/>
              </w:rPr>
              <w:t>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CE93C9" w14:textId="77777777" w:rsidR="00061A2D" w:rsidRPr="00C76EB4" w:rsidRDefault="00061A2D" w:rsidP="00061A2D">
            <w:pPr>
              <w:jc w:val="right"/>
              <w:rPr>
                <w:rFonts w:ascii="Calibri" w:hAnsi="Calibri" w:cs="Calibri"/>
                <w:color w:val="000000"/>
                <w:sz w:val="20"/>
                <w:szCs w:val="20"/>
              </w:rPr>
            </w:pPr>
            <w:r w:rsidRPr="00C76EB4">
              <w:rPr>
                <w:rFonts w:ascii="Calibri" w:hAnsi="Calibri" w:cs="Calibri"/>
                <w:color w:val="000000"/>
                <w:sz w:val="20"/>
                <w:szCs w:val="20"/>
              </w:rPr>
              <w:t>0</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855F8" w14:textId="59E2BF00"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45 </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D6DDAB" w14:textId="5E2C816D"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   </w:t>
            </w:r>
          </w:p>
        </w:tc>
      </w:tr>
      <w:tr w:rsidR="00A36101" w:rsidRPr="00061A2D" w14:paraId="0B51E1E0" w14:textId="77777777" w:rsidTr="00C76EB4">
        <w:trPr>
          <w:trHeight w:val="24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35A022" w14:textId="77777777" w:rsidR="00061A2D" w:rsidRPr="00C76EB4" w:rsidRDefault="00061A2D" w:rsidP="00061A2D">
            <w:pPr>
              <w:rPr>
                <w:rFonts w:ascii="Calibri" w:hAnsi="Calibri" w:cs="Calibri"/>
                <w:color w:val="000000"/>
                <w:sz w:val="20"/>
                <w:szCs w:val="20"/>
              </w:rPr>
            </w:pPr>
            <w:r w:rsidRPr="00C76EB4">
              <w:rPr>
                <w:rFonts w:ascii="Calibri" w:hAnsi="Calibri" w:cs="Calibri"/>
                <w:color w:val="000000"/>
                <w:sz w:val="20"/>
                <w:szCs w:val="20"/>
              </w:rPr>
              <w:t>College and University</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4D089A" w14:textId="45BE2A10"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445 </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4FC406" w14:textId="634468B8" w:rsidR="00061A2D" w:rsidRPr="00C76EB4" w:rsidRDefault="00061A2D" w:rsidP="00061A2D">
            <w:pPr>
              <w:jc w:val="right"/>
              <w:rPr>
                <w:rFonts w:ascii="Calibri" w:hAnsi="Calibri" w:cs="Calibri"/>
                <w:color w:val="000000"/>
                <w:sz w:val="20"/>
                <w:szCs w:val="20"/>
              </w:rPr>
            </w:pPr>
            <w:r w:rsidRPr="00C76EB4">
              <w:rPr>
                <w:rFonts w:ascii="Calibri" w:hAnsi="Calibri" w:cs="Calibri"/>
                <w:color w:val="000000"/>
                <w:sz w:val="20"/>
                <w:szCs w:val="20"/>
              </w:rPr>
              <w:t>1</w:t>
            </w:r>
            <w:r w:rsidR="0002227D">
              <w:rPr>
                <w:rFonts w:ascii="Calibri" w:hAnsi="Calibri" w:cs="Calibri"/>
                <w:color w:val="000000"/>
                <w:sz w:val="20"/>
                <w:szCs w:val="20"/>
              </w:rPr>
              <w:t>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201058" w14:textId="77777777" w:rsidR="00061A2D" w:rsidRPr="00C76EB4" w:rsidRDefault="00061A2D" w:rsidP="00061A2D">
            <w:pPr>
              <w:jc w:val="right"/>
              <w:rPr>
                <w:rFonts w:ascii="Calibri" w:hAnsi="Calibri" w:cs="Calibri"/>
                <w:color w:val="000000"/>
                <w:sz w:val="20"/>
                <w:szCs w:val="20"/>
              </w:rPr>
            </w:pPr>
            <w:r w:rsidRPr="00C76EB4">
              <w:rPr>
                <w:rFonts w:ascii="Calibri" w:hAnsi="Calibri" w:cs="Calibri"/>
                <w:color w:val="000000"/>
                <w:sz w:val="20"/>
                <w:szCs w:val="20"/>
              </w:rPr>
              <w:t>0</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1FC4AE" w14:textId="6F2ADED4"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445 </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C91057" w14:textId="01516826"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   </w:t>
            </w:r>
          </w:p>
        </w:tc>
      </w:tr>
      <w:tr w:rsidR="00A36101" w:rsidRPr="00061A2D" w14:paraId="396381C9" w14:textId="77777777" w:rsidTr="00C76EB4">
        <w:trPr>
          <w:trHeight w:val="24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2DB77" w14:textId="77777777" w:rsidR="00061A2D" w:rsidRPr="00C76EB4" w:rsidRDefault="00061A2D" w:rsidP="00061A2D">
            <w:pPr>
              <w:rPr>
                <w:rFonts w:ascii="Calibri" w:hAnsi="Calibri" w:cs="Calibri"/>
                <w:color w:val="000000"/>
                <w:sz w:val="20"/>
                <w:szCs w:val="20"/>
              </w:rPr>
            </w:pPr>
            <w:r w:rsidRPr="00C76EB4">
              <w:rPr>
                <w:rFonts w:ascii="Calibri" w:hAnsi="Calibri" w:cs="Calibri"/>
                <w:color w:val="000000"/>
                <w:sz w:val="20"/>
                <w:szCs w:val="20"/>
              </w:rPr>
              <w:t>Hospital</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2A2BC9" w14:textId="239C4698"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440 </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EA9C4" w14:textId="3C4F5BF6" w:rsidR="00061A2D" w:rsidRPr="00C76EB4" w:rsidRDefault="00061A2D" w:rsidP="00061A2D">
            <w:pPr>
              <w:jc w:val="right"/>
              <w:rPr>
                <w:rFonts w:ascii="Calibri" w:hAnsi="Calibri" w:cs="Calibri"/>
                <w:color w:val="000000"/>
                <w:sz w:val="20"/>
                <w:szCs w:val="20"/>
              </w:rPr>
            </w:pPr>
            <w:r w:rsidRPr="00C76EB4">
              <w:rPr>
                <w:rFonts w:ascii="Calibri" w:hAnsi="Calibri" w:cs="Calibri"/>
                <w:color w:val="000000"/>
                <w:sz w:val="20"/>
                <w:szCs w:val="20"/>
              </w:rPr>
              <w:t>1</w:t>
            </w:r>
            <w:r w:rsidR="0002227D">
              <w:rPr>
                <w:rFonts w:ascii="Calibri" w:hAnsi="Calibri" w:cs="Calibri"/>
                <w:color w:val="000000"/>
                <w:sz w:val="20"/>
                <w:szCs w:val="20"/>
              </w:rPr>
              <w:t>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23A5AF" w14:textId="77777777" w:rsidR="00061A2D" w:rsidRPr="00C76EB4" w:rsidRDefault="00061A2D" w:rsidP="00061A2D">
            <w:pPr>
              <w:jc w:val="right"/>
              <w:rPr>
                <w:rFonts w:ascii="Calibri" w:hAnsi="Calibri" w:cs="Calibri"/>
                <w:color w:val="000000"/>
                <w:sz w:val="20"/>
                <w:szCs w:val="20"/>
              </w:rPr>
            </w:pPr>
            <w:r w:rsidRPr="00C76EB4">
              <w:rPr>
                <w:rFonts w:ascii="Calibri" w:hAnsi="Calibri" w:cs="Calibri"/>
                <w:color w:val="000000"/>
                <w:sz w:val="20"/>
                <w:szCs w:val="20"/>
              </w:rPr>
              <w:t>0</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98107B" w14:textId="6962CA72"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440 </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BCF35B" w14:textId="7EE42E2F"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   </w:t>
            </w:r>
          </w:p>
        </w:tc>
      </w:tr>
      <w:tr w:rsidR="00A36101" w:rsidRPr="00061A2D" w14:paraId="31553710" w14:textId="77777777" w:rsidTr="00C76EB4">
        <w:trPr>
          <w:trHeight w:val="24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F49252" w14:textId="77777777" w:rsidR="00061A2D" w:rsidRPr="00C76EB4" w:rsidRDefault="00061A2D" w:rsidP="00061A2D">
            <w:pPr>
              <w:rPr>
                <w:rFonts w:ascii="Calibri" w:hAnsi="Calibri" w:cs="Calibri"/>
                <w:color w:val="000000"/>
                <w:sz w:val="20"/>
                <w:szCs w:val="20"/>
              </w:rPr>
            </w:pPr>
            <w:r w:rsidRPr="00C76EB4">
              <w:rPr>
                <w:rFonts w:ascii="Calibri" w:hAnsi="Calibri" w:cs="Calibri"/>
                <w:color w:val="000000"/>
                <w:sz w:val="20"/>
                <w:szCs w:val="20"/>
              </w:rPr>
              <w:t>Hotel and Casino</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9E01A5" w14:textId="09090EF7"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1,340 </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B1F713" w14:textId="3874DDAC" w:rsidR="00061A2D" w:rsidRPr="00C76EB4" w:rsidRDefault="00061A2D" w:rsidP="00061A2D">
            <w:pPr>
              <w:jc w:val="right"/>
              <w:rPr>
                <w:rFonts w:ascii="Calibri" w:hAnsi="Calibri" w:cs="Calibri"/>
                <w:color w:val="000000"/>
                <w:sz w:val="20"/>
                <w:szCs w:val="20"/>
              </w:rPr>
            </w:pPr>
            <w:r w:rsidRPr="00C76EB4">
              <w:rPr>
                <w:rFonts w:ascii="Calibri" w:hAnsi="Calibri" w:cs="Calibri"/>
                <w:color w:val="000000"/>
                <w:sz w:val="20"/>
                <w:szCs w:val="20"/>
              </w:rPr>
              <w:t>1</w:t>
            </w:r>
            <w:r w:rsidR="0002227D">
              <w:rPr>
                <w:rFonts w:ascii="Calibri" w:hAnsi="Calibri" w:cs="Calibri"/>
                <w:color w:val="000000"/>
                <w:sz w:val="20"/>
                <w:szCs w:val="20"/>
              </w:rPr>
              <w:t>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606F78" w14:textId="77777777" w:rsidR="00061A2D" w:rsidRPr="00C76EB4" w:rsidRDefault="00061A2D" w:rsidP="00061A2D">
            <w:pPr>
              <w:jc w:val="right"/>
              <w:rPr>
                <w:rFonts w:ascii="Calibri" w:hAnsi="Calibri" w:cs="Calibri"/>
                <w:color w:val="000000"/>
                <w:sz w:val="20"/>
                <w:szCs w:val="20"/>
              </w:rPr>
            </w:pPr>
            <w:r w:rsidRPr="00C76EB4">
              <w:rPr>
                <w:rFonts w:ascii="Calibri" w:hAnsi="Calibri" w:cs="Calibri"/>
                <w:color w:val="000000"/>
                <w:sz w:val="20"/>
                <w:szCs w:val="20"/>
              </w:rPr>
              <w:t>0</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A100B9" w14:textId="50BCA9F7"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1,340 </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A5808B" w14:textId="46946EDA"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   </w:t>
            </w:r>
          </w:p>
        </w:tc>
      </w:tr>
      <w:tr w:rsidR="00A36101" w:rsidRPr="00061A2D" w14:paraId="10D80CD9" w14:textId="77777777" w:rsidTr="00C76EB4">
        <w:trPr>
          <w:trHeight w:val="24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68B24E" w14:textId="77777777" w:rsidR="00061A2D" w:rsidRPr="00C76EB4" w:rsidRDefault="00061A2D" w:rsidP="00061A2D">
            <w:pPr>
              <w:rPr>
                <w:rFonts w:ascii="Calibri" w:hAnsi="Calibri" w:cs="Calibri"/>
                <w:color w:val="000000"/>
                <w:sz w:val="20"/>
                <w:szCs w:val="20"/>
              </w:rPr>
            </w:pPr>
            <w:r w:rsidRPr="00C76EB4">
              <w:rPr>
                <w:rFonts w:ascii="Calibri" w:hAnsi="Calibri" w:cs="Calibri"/>
                <w:color w:val="000000"/>
                <w:sz w:val="20"/>
                <w:szCs w:val="20"/>
              </w:rPr>
              <w:t>Work Cafeteria</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8D18E6" w14:textId="26FEBA62"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810 </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12319" w14:textId="598F16CD" w:rsidR="00061A2D" w:rsidRPr="00C76EB4" w:rsidRDefault="00061A2D" w:rsidP="00061A2D">
            <w:pPr>
              <w:jc w:val="right"/>
              <w:rPr>
                <w:rFonts w:ascii="Calibri" w:hAnsi="Calibri" w:cs="Calibri"/>
                <w:color w:val="000000"/>
                <w:sz w:val="20"/>
                <w:szCs w:val="20"/>
              </w:rPr>
            </w:pPr>
            <w:r w:rsidRPr="00C76EB4">
              <w:rPr>
                <w:rFonts w:ascii="Calibri" w:hAnsi="Calibri" w:cs="Calibri"/>
                <w:color w:val="000000"/>
                <w:sz w:val="20"/>
                <w:szCs w:val="20"/>
              </w:rPr>
              <w:t>95</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AC2D28" w14:textId="616AA331" w:rsidR="00061A2D" w:rsidRPr="00C76EB4" w:rsidRDefault="0002227D" w:rsidP="00061A2D">
            <w:pPr>
              <w:jc w:val="right"/>
              <w:rPr>
                <w:rFonts w:ascii="Calibri" w:hAnsi="Calibri" w:cs="Calibri"/>
                <w:color w:val="000000"/>
                <w:sz w:val="20"/>
                <w:szCs w:val="20"/>
              </w:rPr>
            </w:pPr>
            <w:r>
              <w:rPr>
                <w:rFonts w:ascii="Calibri" w:hAnsi="Calibri" w:cs="Calibri"/>
                <w:color w:val="000000"/>
                <w:sz w:val="20"/>
                <w:szCs w:val="20"/>
              </w:rPr>
              <w:t>5</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4D1E6A" w14:textId="0DC16EBE"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770 </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949BE8" w14:textId="4FA337CC"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41 </w:t>
            </w:r>
          </w:p>
        </w:tc>
      </w:tr>
      <w:tr w:rsidR="00A36101" w:rsidRPr="00061A2D" w14:paraId="13F18609" w14:textId="77777777" w:rsidTr="00C76EB4">
        <w:trPr>
          <w:trHeight w:val="24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232728" w14:textId="77777777" w:rsidR="00061A2D" w:rsidRPr="00C76EB4" w:rsidRDefault="00061A2D" w:rsidP="00061A2D">
            <w:pPr>
              <w:rPr>
                <w:rFonts w:ascii="Calibri" w:hAnsi="Calibri" w:cs="Calibri"/>
                <w:color w:val="000000"/>
                <w:sz w:val="20"/>
                <w:szCs w:val="20"/>
              </w:rPr>
            </w:pPr>
            <w:r w:rsidRPr="00C76EB4">
              <w:rPr>
                <w:rFonts w:ascii="Calibri" w:hAnsi="Calibri" w:cs="Calibri"/>
                <w:color w:val="000000"/>
                <w:sz w:val="20"/>
                <w:szCs w:val="20"/>
              </w:rPr>
              <w:t>Supermarket</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A214E7" w14:textId="3F32742E"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2,240 </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08C6EC" w14:textId="53037E25" w:rsidR="00061A2D" w:rsidRPr="00C76EB4" w:rsidRDefault="00061A2D" w:rsidP="00061A2D">
            <w:pPr>
              <w:jc w:val="right"/>
              <w:rPr>
                <w:rFonts w:ascii="Calibri" w:hAnsi="Calibri" w:cs="Calibri"/>
                <w:color w:val="000000"/>
                <w:sz w:val="20"/>
                <w:szCs w:val="20"/>
              </w:rPr>
            </w:pPr>
            <w:r w:rsidRPr="00C76EB4">
              <w:rPr>
                <w:rFonts w:ascii="Calibri" w:hAnsi="Calibri" w:cs="Calibri"/>
                <w:color w:val="000000"/>
                <w:sz w:val="20"/>
                <w:szCs w:val="20"/>
              </w:rPr>
              <w:t>9</w:t>
            </w:r>
            <w:r w:rsidR="0002227D">
              <w:rPr>
                <w:rFonts w:ascii="Calibri" w:hAnsi="Calibri" w:cs="Calibri"/>
                <w:color w:val="000000"/>
                <w:sz w:val="20"/>
                <w:szCs w:val="20"/>
              </w:rPr>
              <w:t>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41FE1" w14:textId="480B2822" w:rsidR="00061A2D" w:rsidRPr="00C76EB4" w:rsidRDefault="0002227D" w:rsidP="00061A2D">
            <w:pPr>
              <w:jc w:val="right"/>
              <w:rPr>
                <w:rFonts w:ascii="Calibri" w:hAnsi="Calibri" w:cs="Calibri"/>
                <w:color w:val="000000"/>
                <w:sz w:val="20"/>
                <w:szCs w:val="20"/>
              </w:rPr>
            </w:pPr>
            <w:r>
              <w:rPr>
                <w:rFonts w:ascii="Calibri" w:hAnsi="Calibri" w:cs="Calibri"/>
                <w:color w:val="000000"/>
                <w:sz w:val="20"/>
                <w:szCs w:val="20"/>
              </w:rPr>
              <w:t>10</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07D3E8" w14:textId="5EF68382"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2,016 </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59249B" w14:textId="5E1CF41B"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224 </w:t>
            </w:r>
          </w:p>
        </w:tc>
      </w:tr>
      <w:tr w:rsidR="00A36101" w:rsidRPr="00061A2D" w14:paraId="28E451C5" w14:textId="77777777" w:rsidTr="00C76EB4">
        <w:trPr>
          <w:trHeight w:val="24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B530AA" w14:textId="77777777" w:rsidR="00061A2D" w:rsidRPr="00C76EB4" w:rsidRDefault="00061A2D" w:rsidP="00061A2D">
            <w:pPr>
              <w:rPr>
                <w:rFonts w:ascii="Calibri" w:hAnsi="Calibri" w:cs="Calibri"/>
                <w:color w:val="000000"/>
                <w:sz w:val="20"/>
                <w:szCs w:val="20"/>
              </w:rPr>
            </w:pPr>
            <w:r w:rsidRPr="00C76EB4">
              <w:rPr>
                <w:rFonts w:ascii="Calibri" w:hAnsi="Calibri" w:cs="Calibri"/>
                <w:color w:val="000000"/>
                <w:sz w:val="20"/>
                <w:szCs w:val="20"/>
              </w:rPr>
              <w:t>K-12 School</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8D534" w14:textId="6BC4B92F"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9,460 </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B817DC" w14:textId="6F0F8042" w:rsidR="00061A2D" w:rsidRPr="00C76EB4" w:rsidRDefault="00061A2D" w:rsidP="00061A2D">
            <w:pPr>
              <w:jc w:val="right"/>
              <w:rPr>
                <w:rFonts w:ascii="Calibri" w:hAnsi="Calibri" w:cs="Calibri"/>
                <w:color w:val="000000"/>
                <w:sz w:val="20"/>
                <w:szCs w:val="20"/>
              </w:rPr>
            </w:pPr>
            <w:r w:rsidRPr="00C76EB4">
              <w:rPr>
                <w:rFonts w:ascii="Calibri" w:hAnsi="Calibri" w:cs="Calibri"/>
                <w:color w:val="000000"/>
                <w:sz w:val="20"/>
                <w:szCs w:val="20"/>
              </w:rPr>
              <w:t>95</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78494F" w14:textId="40B850FF" w:rsidR="00061A2D" w:rsidRPr="00C76EB4" w:rsidRDefault="0002227D" w:rsidP="00061A2D">
            <w:pPr>
              <w:jc w:val="right"/>
              <w:rPr>
                <w:rFonts w:ascii="Calibri" w:hAnsi="Calibri" w:cs="Calibri"/>
                <w:color w:val="000000"/>
                <w:sz w:val="20"/>
                <w:szCs w:val="20"/>
              </w:rPr>
            </w:pPr>
            <w:r>
              <w:rPr>
                <w:rFonts w:ascii="Calibri" w:hAnsi="Calibri" w:cs="Calibri"/>
                <w:color w:val="000000"/>
                <w:sz w:val="20"/>
                <w:szCs w:val="20"/>
              </w:rPr>
              <w:t>5</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1353C" w14:textId="0D0DA3F5"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8,987 </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844153" w14:textId="74C1209D"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473 </w:t>
            </w:r>
          </w:p>
        </w:tc>
      </w:tr>
      <w:tr w:rsidR="00A36101" w:rsidRPr="00061A2D" w14:paraId="093F39D4" w14:textId="77777777" w:rsidTr="00C76EB4">
        <w:trPr>
          <w:trHeight w:val="24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B9963B" w14:textId="77777777" w:rsidR="00061A2D" w:rsidRPr="00C76EB4" w:rsidRDefault="00061A2D" w:rsidP="00061A2D">
            <w:pPr>
              <w:rPr>
                <w:rFonts w:ascii="Calibri" w:hAnsi="Calibri" w:cs="Calibri"/>
                <w:color w:val="000000"/>
                <w:sz w:val="20"/>
                <w:szCs w:val="20"/>
              </w:rPr>
            </w:pPr>
            <w:r w:rsidRPr="00C76EB4">
              <w:rPr>
                <w:rFonts w:ascii="Calibri" w:hAnsi="Calibri" w:cs="Calibri"/>
                <w:color w:val="000000"/>
                <w:sz w:val="20"/>
                <w:szCs w:val="20"/>
              </w:rPr>
              <w:t>Military Base</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C500D1" w14:textId="23A19C11"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210 </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BD3249" w14:textId="7A082B90" w:rsidR="00061A2D" w:rsidRPr="00C76EB4" w:rsidRDefault="00061A2D" w:rsidP="00061A2D">
            <w:pPr>
              <w:jc w:val="right"/>
              <w:rPr>
                <w:rFonts w:ascii="Calibri" w:hAnsi="Calibri" w:cs="Calibri"/>
                <w:color w:val="000000"/>
                <w:sz w:val="20"/>
                <w:szCs w:val="20"/>
              </w:rPr>
            </w:pPr>
            <w:r w:rsidRPr="00C76EB4">
              <w:rPr>
                <w:rFonts w:ascii="Calibri" w:hAnsi="Calibri" w:cs="Calibri"/>
                <w:color w:val="000000"/>
                <w:sz w:val="20"/>
                <w:szCs w:val="20"/>
              </w:rPr>
              <w:t>95</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3EFBA0" w14:textId="267C26DB" w:rsidR="00061A2D" w:rsidRPr="00C76EB4" w:rsidRDefault="0002227D" w:rsidP="0002227D">
            <w:pPr>
              <w:jc w:val="right"/>
              <w:rPr>
                <w:rFonts w:ascii="Calibri" w:hAnsi="Calibri" w:cs="Calibri"/>
                <w:color w:val="000000"/>
                <w:sz w:val="20"/>
                <w:szCs w:val="20"/>
              </w:rPr>
            </w:pPr>
            <w:r>
              <w:rPr>
                <w:rFonts w:ascii="Calibri" w:hAnsi="Calibri" w:cs="Calibri"/>
                <w:color w:val="000000"/>
                <w:sz w:val="20"/>
                <w:szCs w:val="20"/>
              </w:rPr>
              <w:t>5</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48128D" w14:textId="0BB32112"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200 </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C7480" w14:textId="522952B4"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11 </w:t>
            </w:r>
          </w:p>
        </w:tc>
      </w:tr>
      <w:tr w:rsidR="00A36101" w:rsidRPr="00061A2D" w14:paraId="2BCB7DFB" w14:textId="77777777" w:rsidTr="00C76EB4">
        <w:trPr>
          <w:trHeight w:val="24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7C6C9A" w14:textId="77777777" w:rsidR="00061A2D" w:rsidRPr="00C76EB4" w:rsidRDefault="00061A2D" w:rsidP="00061A2D">
            <w:pPr>
              <w:rPr>
                <w:rFonts w:ascii="Calibri" w:hAnsi="Calibri" w:cs="Calibri"/>
                <w:color w:val="000000"/>
                <w:sz w:val="20"/>
                <w:szCs w:val="20"/>
              </w:rPr>
            </w:pPr>
            <w:r w:rsidRPr="00C76EB4">
              <w:rPr>
                <w:rFonts w:ascii="Calibri" w:hAnsi="Calibri" w:cs="Calibri"/>
                <w:color w:val="000000"/>
                <w:sz w:val="20"/>
                <w:szCs w:val="20"/>
              </w:rPr>
              <w:t>Nursing Home</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5F1819" w14:textId="62400C99"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1,340 </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2C7436" w14:textId="03EB56A3" w:rsidR="00061A2D" w:rsidRPr="00C76EB4" w:rsidRDefault="00061A2D" w:rsidP="00061A2D">
            <w:pPr>
              <w:jc w:val="right"/>
              <w:rPr>
                <w:rFonts w:ascii="Calibri" w:hAnsi="Calibri" w:cs="Calibri"/>
                <w:color w:val="000000"/>
                <w:sz w:val="20"/>
                <w:szCs w:val="20"/>
              </w:rPr>
            </w:pPr>
            <w:r w:rsidRPr="00C76EB4">
              <w:rPr>
                <w:rFonts w:ascii="Calibri" w:hAnsi="Calibri" w:cs="Calibri"/>
                <w:color w:val="000000"/>
                <w:sz w:val="20"/>
                <w:szCs w:val="20"/>
              </w:rPr>
              <w:t>9</w:t>
            </w:r>
            <w:r w:rsidR="0002227D">
              <w:rPr>
                <w:rFonts w:ascii="Calibri" w:hAnsi="Calibri" w:cs="Calibri"/>
                <w:color w:val="000000"/>
                <w:sz w:val="20"/>
                <w:szCs w:val="20"/>
              </w:rPr>
              <w:t>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7322A6" w14:textId="76674BBB" w:rsidR="00061A2D" w:rsidRPr="00C76EB4" w:rsidRDefault="0002227D" w:rsidP="00061A2D">
            <w:pPr>
              <w:jc w:val="right"/>
              <w:rPr>
                <w:rFonts w:ascii="Calibri" w:hAnsi="Calibri" w:cs="Calibri"/>
                <w:color w:val="000000"/>
                <w:sz w:val="20"/>
                <w:szCs w:val="20"/>
              </w:rPr>
            </w:pPr>
            <w:r>
              <w:rPr>
                <w:rFonts w:ascii="Calibri" w:hAnsi="Calibri" w:cs="Calibri"/>
                <w:color w:val="000000"/>
                <w:sz w:val="20"/>
                <w:szCs w:val="20"/>
              </w:rPr>
              <w:t>10</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04E47D" w14:textId="42A1A77C"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1,206 </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E735D" w14:textId="22B44E8F"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134 </w:t>
            </w:r>
          </w:p>
        </w:tc>
      </w:tr>
      <w:tr w:rsidR="00A36101" w:rsidRPr="00061A2D" w14:paraId="31B0C9BC" w14:textId="77777777" w:rsidTr="00C76EB4">
        <w:trPr>
          <w:trHeight w:val="24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EB475D" w14:textId="3CE6332A" w:rsidR="00061A2D" w:rsidRPr="00C76EB4" w:rsidRDefault="0065261C" w:rsidP="00061A2D">
            <w:pPr>
              <w:rPr>
                <w:rFonts w:ascii="Calibri" w:hAnsi="Calibri" w:cs="Calibri"/>
                <w:color w:val="000000"/>
                <w:sz w:val="20"/>
                <w:szCs w:val="20"/>
              </w:rPr>
            </w:pPr>
            <w:r w:rsidRPr="00C76EB4">
              <w:rPr>
                <w:rFonts w:ascii="Calibri" w:hAnsi="Calibri" w:cs="Calibri"/>
                <w:color w:val="000000"/>
                <w:sz w:val="20"/>
                <w:szCs w:val="20"/>
              </w:rPr>
              <w:t>Miscellaneous</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D953A" w14:textId="141D45B5"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1,740 </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F28EC4" w14:textId="73D13EB0" w:rsidR="00061A2D" w:rsidRPr="00C76EB4" w:rsidRDefault="00061A2D" w:rsidP="00061A2D">
            <w:pPr>
              <w:jc w:val="right"/>
              <w:rPr>
                <w:rFonts w:ascii="Calibri" w:hAnsi="Calibri" w:cs="Calibri"/>
                <w:color w:val="000000"/>
                <w:sz w:val="20"/>
                <w:szCs w:val="20"/>
              </w:rPr>
            </w:pPr>
            <w:r w:rsidRPr="00C76EB4">
              <w:rPr>
                <w:rFonts w:ascii="Calibri" w:hAnsi="Calibri" w:cs="Calibri"/>
                <w:color w:val="000000"/>
                <w:sz w:val="20"/>
                <w:szCs w:val="20"/>
              </w:rPr>
              <w:t>95</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BAD9F" w14:textId="3D5EEC96" w:rsidR="00061A2D" w:rsidRPr="00C76EB4" w:rsidRDefault="0002227D" w:rsidP="00061A2D">
            <w:pPr>
              <w:jc w:val="right"/>
              <w:rPr>
                <w:rFonts w:ascii="Calibri" w:hAnsi="Calibri" w:cs="Calibri"/>
                <w:color w:val="000000"/>
                <w:sz w:val="20"/>
                <w:szCs w:val="20"/>
              </w:rPr>
            </w:pPr>
            <w:r>
              <w:rPr>
                <w:rFonts w:ascii="Calibri" w:hAnsi="Calibri" w:cs="Calibri"/>
                <w:color w:val="000000"/>
                <w:sz w:val="20"/>
                <w:szCs w:val="20"/>
              </w:rPr>
              <w:t>5</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20A458" w14:textId="2780DB2D"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1,653 </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4DC046" w14:textId="299B3DE8"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87 </w:t>
            </w:r>
          </w:p>
        </w:tc>
      </w:tr>
      <w:tr w:rsidR="00A36101" w:rsidRPr="00061A2D" w14:paraId="7AE5969B" w14:textId="77777777" w:rsidTr="00C76EB4">
        <w:trPr>
          <w:trHeight w:val="24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E8D1C" w14:textId="77777777" w:rsidR="00061A2D" w:rsidRPr="00C76EB4" w:rsidRDefault="00061A2D" w:rsidP="00061A2D">
            <w:pPr>
              <w:rPr>
                <w:rFonts w:ascii="Calibri" w:hAnsi="Calibri" w:cs="Calibri"/>
                <w:color w:val="000000"/>
                <w:sz w:val="20"/>
                <w:szCs w:val="20"/>
              </w:rPr>
            </w:pPr>
            <w:r w:rsidRPr="00C76EB4">
              <w:rPr>
                <w:rFonts w:ascii="Calibri" w:hAnsi="Calibri" w:cs="Calibri"/>
                <w:color w:val="000000"/>
                <w:sz w:val="20"/>
                <w:szCs w:val="20"/>
              </w:rPr>
              <w:t>Independent and Assisted Living</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B825EA" w14:textId="6D08BCCA"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2,040 </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936B6F" w14:textId="7DA6F9B3" w:rsidR="00061A2D" w:rsidRPr="00C76EB4" w:rsidRDefault="00061A2D" w:rsidP="00061A2D">
            <w:pPr>
              <w:jc w:val="right"/>
              <w:rPr>
                <w:rFonts w:ascii="Calibri" w:hAnsi="Calibri" w:cs="Calibri"/>
                <w:color w:val="000000"/>
                <w:sz w:val="20"/>
                <w:szCs w:val="20"/>
              </w:rPr>
            </w:pPr>
            <w:r w:rsidRPr="00C76EB4">
              <w:rPr>
                <w:rFonts w:ascii="Calibri" w:hAnsi="Calibri" w:cs="Calibri"/>
                <w:color w:val="000000"/>
                <w:sz w:val="20"/>
                <w:szCs w:val="20"/>
              </w:rPr>
              <w:t>9</w:t>
            </w:r>
            <w:r w:rsidR="0002227D">
              <w:rPr>
                <w:rFonts w:ascii="Calibri" w:hAnsi="Calibri" w:cs="Calibri"/>
                <w:color w:val="000000"/>
                <w:sz w:val="20"/>
                <w:szCs w:val="20"/>
              </w:rPr>
              <w:t>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D4A9B" w14:textId="09C6459C" w:rsidR="00061A2D" w:rsidRPr="00C76EB4" w:rsidRDefault="0002227D" w:rsidP="00061A2D">
            <w:pPr>
              <w:jc w:val="right"/>
              <w:rPr>
                <w:rFonts w:ascii="Calibri" w:hAnsi="Calibri" w:cs="Calibri"/>
                <w:color w:val="000000"/>
                <w:sz w:val="20"/>
                <w:szCs w:val="20"/>
              </w:rPr>
            </w:pPr>
            <w:r>
              <w:rPr>
                <w:rFonts w:ascii="Calibri" w:hAnsi="Calibri" w:cs="Calibri"/>
                <w:color w:val="000000"/>
                <w:sz w:val="20"/>
                <w:szCs w:val="20"/>
              </w:rPr>
              <w:t>10</w:t>
            </w: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73E883" w14:textId="681F35B7"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1,836 </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ABB903" w14:textId="2AE217AD" w:rsidR="00061A2D" w:rsidRPr="00C76EB4" w:rsidRDefault="00061A2D" w:rsidP="00C76EB4">
            <w:pPr>
              <w:jc w:val="right"/>
              <w:rPr>
                <w:rFonts w:ascii="Calibri" w:hAnsi="Calibri" w:cs="Calibri"/>
                <w:color w:val="000000"/>
                <w:sz w:val="20"/>
                <w:szCs w:val="20"/>
              </w:rPr>
            </w:pPr>
            <w:r w:rsidRPr="00C76EB4">
              <w:rPr>
                <w:rFonts w:ascii="Calibri" w:hAnsi="Calibri" w:cs="Calibri"/>
                <w:color w:val="000000"/>
                <w:sz w:val="20"/>
                <w:szCs w:val="20"/>
              </w:rPr>
              <w:t xml:space="preserve">204 </w:t>
            </w:r>
          </w:p>
        </w:tc>
      </w:tr>
      <w:tr w:rsidR="00A36101" w:rsidRPr="00061A2D" w14:paraId="67EB0E74" w14:textId="77777777" w:rsidTr="00C76EB4">
        <w:trPr>
          <w:trHeight w:val="24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CFB583" w14:textId="14622F13" w:rsidR="00061A2D" w:rsidRPr="00C76EB4" w:rsidRDefault="0002227D">
            <w:pPr>
              <w:rPr>
                <w:rFonts w:ascii="Calibri" w:hAnsi="Calibri" w:cs="Calibri"/>
                <w:b/>
                <w:bCs/>
                <w:color w:val="000000"/>
                <w:sz w:val="20"/>
                <w:szCs w:val="20"/>
              </w:rPr>
            </w:pPr>
            <w:r w:rsidRPr="00C76EB4">
              <w:rPr>
                <w:rFonts w:ascii="Calibri" w:hAnsi="Calibri" w:cs="Calibri"/>
                <w:b/>
                <w:bCs/>
                <w:color w:val="000000"/>
                <w:sz w:val="20"/>
                <w:szCs w:val="20"/>
              </w:rPr>
              <w:t>Total</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735083" w14:textId="277A3F7D" w:rsidR="00061A2D" w:rsidRPr="00C76EB4" w:rsidRDefault="00061A2D" w:rsidP="00C76EB4">
            <w:pPr>
              <w:jc w:val="right"/>
              <w:rPr>
                <w:rFonts w:ascii="Calibri" w:hAnsi="Calibri" w:cs="Calibri"/>
                <w:b/>
                <w:color w:val="000000"/>
                <w:sz w:val="20"/>
                <w:szCs w:val="20"/>
              </w:rPr>
            </w:pPr>
            <w:r w:rsidRPr="00C76EB4">
              <w:rPr>
                <w:rFonts w:ascii="Calibri" w:hAnsi="Calibri" w:cs="Calibri"/>
                <w:b/>
                <w:color w:val="000000"/>
                <w:sz w:val="20"/>
                <w:szCs w:val="20"/>
              </w:rPr>
              <w:t xml:space="preserve">96,860 </w:t>
            </w:r>
          </w:p>
        </w:tc>
        <w:tc>
          <w:tcPr>
            <w:tcW w:w="1305" w:type="dxa"/>
            <w:tcBorders>
              <w:top w:val="single" w:sz="4" w:space="0" w:color="auto"/>
              <w:left w:val="single" w:sz="4" w:space="0" w:color="auto"/>
              <w:bottom w:val="single" w:sz="4" w:space="0" w:color="auto"/>
            </w:tcBorders>
            <w:shd w:val="clear" w:color="auto" w:fill="D9D9D9" w:themeFill="background1" w:themeFillShade="D9"/>
            <w:noWrap/>
            <w:vAlign w:val="bottom"/>
            <w:hideMark/>
          </w:tcPr>
          <w:p w14:paraId="45E476F9" w14:textId="77777777" w:rsidR="00061A2D" w:rsidRPr="00C76EB4" w:rsidRDefault="00061A2D" w:rsidP="00061A2D">
            <w:pPr>
              <w:rPr>
                <w:rFonts w:ascii="Calibri" w:hAnsi="Calibri" w:cs="Calibri"/>
                <w:b/>
                <w:color w:val="000000"/>
                <w:sz w:val="20"/>
                <w:szCs w:val="20"/>
              </w:rPr>
            </w:pPr>
          </w:p>
        </w:tc>
        <w:tc>
          <w:tcPr>
            <w:tcW w:w="1305" w:type="dxa"/>
            <w:tcBorders>
              <w:top w:val="single" w:sz="4" w:space="0" w:color="auto"/>
              <w:bottom w:val="single" w:sz="4" w:space="0" w:color="auto"/>
              <w:right w:val="single" w:sz="4" w:space="0" w:color="auto"/>
            </w:tcBorders>
            <w:shd w:val="clear" w:color="auto" w:fill="D9D9D9" w:themeFill="background1" w:themeFillShade="D9"/>
            <w:noWrap/>
            <w:vAlign w:val="bottom"/>
            <w:hideMark/>
          </w:tcPr>
          <w:p w14:paraId="68B50FF0" w14:textId="77777777" w:rsidR="00061A2D" w:rsidRPr="00C76EB4" w:rsidRDefault="00061A2D" w:rsidP="00061A2D">
            <w:pPr>
              <w:rPr>
                <w:rFonts w:ascii="Times New Roman" w:hAnsi="Times New Roman"/>
                <w:b/>
                <w:sz w:val="20"/>
                <w:szCs w:val="20"/>
              </w:rPr>
            </w:pP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15018" w14:textId="2CB61A94" w:rsidR="00061A2D" w:rsidRPr="00C76EB4" w:rsidRDefault="00061A2D" w:rsidP="00C76EB4">
            <w:pPr>
              <w:jc w:val="right"/>
              <w:rPr>
                <w:rFonts w:ascii="Calibri" w:hAnsi="Calibri" w:cs="Calibri"/>
                <w:b/>
                <w:color w:val="000000"/>
                <w:sz w:val="20"/>
                <w:szCs w:val="20"/>
              </w:rPr>
            </w:pPr>
            <w:r w:rsidRPr="00C76EB4">
              <w:rPr>
                <w:rFonts w:ascii="Calibri" w:hAnsi="Calibri" w:cs="Calibri"/>
                <w:b/>
                <w:color w:val="000000"/>
                <w:sz w:val="20"/>
                <w:szCs w:val="20"/>
              </w:rPr>
              <w:t xml:space="preserve">85,505 </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DA5D65" w14:textId="4E985FD1" w:rsidR="00061A2D" w:rsidRPr="00C76EB4" w:rsidRDefault="00061A2D" w:rsidP="00C76EB4">
            <w:pPr>
              <w:jc w:val="right"/>
              <w:rPr>
                <w:rFonts w:ascii="Calibri" w:hAnsi="Calibri" w:cs="Calibri"/>
                <w:b/>
                <w:color w:val="000000"/>
                <w:sz w:val="20"/>
                <w:szCs w:val="20"/>
              </w:rPr>
            </w:pPr>
            <w:r w:rsidRPr="00C76EB4">
              <w:rPr>
                <w:rFonts w:ascii="Calibri" w:hAnsi="Calibri" w:cs="Calibri"/>
                <w:b/>
                <w:color w:val="000000"/>
                <w:sz w:val="20"/>
                <w:szCs w:val="20"/>
              </w:rPr>
              <w:t xml:space="preserve">11,356 </w:t>
            </w:r>
          </w:p>
        </w:tc>
      </w:tr>
      <w:tr w:rsidR="00A36101" w:rsidRPr="00061A2D" w14:paraId="5F001A8A" w14:textId="77777777" w:rsidTr="00C76EB4">
        <w:trPr>
          <w:trHeight w:val="245"/>
        </w:trPr>
        <w:tc>
          <w:tcPr>
            <w:tcW w:w="2875" w:type="dxa"/>
            <w:tcBorders>
              <w:top w:val="single" w:sz="4" w:space="0" w:color="auto"/>
              <w:left w:val="single" w:sz="4" w:space="0" w:color="auto"/>
              <w:bottom w:val="single" w:sz="4" w:space="0" w:color="auto"/>
            </w:tcBorders>
            <w:shd w:val="clear" w:color="auto" w:fill="auto"/>
            <w:noWrap/>
            <w:vAlign w:val="bottom"/>
            <w:hideMark/>
          </w:tcPr>
          <w:p w14:paraId="660C7861" w14:textId="7CFEF0AB" w:rsidR="00061A2D" w:rsidRPr="00C76EB4" w:rsidRDefault="0002227D">
            <w:pPr>
              <w:rPr>
                <w:rFonts w:ascii="Calibri" w:hAnsi="Calibri" w:cs="Calibri"/>
                <w:b/>
                <w:bCs/>
                <w:color w:val="000000"/>
                <w:sz w:val="20"/>
                <w:szCs w:val="20"/>
              </w:rPr>
            </w:pPr>
            <w:r w:rsidRPr="00C76EB4">
              <w:rPr>
                <w:rFonts w:ascii="Calibri" w:hAnsi="Calibri" w:cs="Calibri"/>
                <w:b/>
                <w:bCs/>
                <w:color w:val="000000"/>
                <w:sz w:val="20"/>
                <w:szCs w:val="20"/>
              </w:rPr>
              <w:t>Percentage</w:t>
            </w:r>
          </w:p>
        </w:tc>
        <w:tc>
          <w:tcPr>
            <w:tcW w:w="1440" w:type="dxa"/>
            <w:tcBorders>
              <w:top w:val="single" w:sz="4" w:space="0" w:color="auto"/>
              <w:left w:val="nil"/>
              <w:bottom w:val="single" w:sz="4" w:space="0" w:color="auto"/>
            </w:tcBorders>
            <w:shd w:val="clear" w:color="auto" w:fill="auto"/>
            <w:noWrap/>
            <w:vAlign w:val="bottom"/>
            <w:hideMark/>
          </w:tcPr>
          <w:p w14:paraId="07731BD3" w14:textId="77777777" w:rsidR="00061A2D" w:rsidRPr="00C76EB4" w:rsidRDefault="00061A2D" w:rsidP="00061A2D">
            <w:pPr>
              <w:rPr>
                <w:rFonts w:ascii="Times New Roman" w:hAnsi="Times New Roman"/>
                <w:b/>
                <w:sz w:val="20"/>
                <w:szCs w:val="20"/>
              </w:rPr>
            </w:pPr>
          </w:p>
        </w:tc>
        <w:tc>
          <w:tcPr>
            <w:tcW w:w="1305" w:type="dxa"/>
            <w:tcBorders>
              <w:top w:val="single" w:sz="4" w:space="0" w:color="auto"/>
              <w:bottom w:val="single" w:sz="4" w:space="0" w:color="auto"/>
            </w:tcBorders>
            <w:shd w:val="clear" w:color="auto" w:fill="auto"/>
            <w:noWrap/>
            <w:vAlign w:val="bottom"/>
            <w:hideMark/>
          </w:tcPr>
          <w:p w14:paraId="65FF276C" w14:textId="77777777" w:rsidR="00061A2D" w:rsidRPr="00C76EB4" w:rsidRDefault="00061A2D" w:rsidP="00061A2D">
            <w:pPr>
              <w:rPr>
                <w:rFonts w:ascii="Times New Roman" w:hAnsi="Times New Roman"/>
                <w:b/>
                <w:sz w:val="20"/>
                <w:szCs w:val="20"/>
              </w:rPr>
            </w:pPr>
          </w:p>
        </w:tc>
        <w:tc>
          <w:tcPr>
            <w:tcW w:w="1305" w:type="dxa"/>
            <w:tcBorders>
              <w:top w:val="single" w:sz="4" w:space="0" w:color="auto"/>
              <w:left w:val="nil"/>
              <w:bottom w:val="single" w:sz="4" w:space="0" w:color="auto"/>
              <w:right w:val="single" w:sz="4" w:space="0" w:color="auto"/>
            </w:tcBorders>
            <w:shd w:val="clear" w:color="auto" w:fill="auto"/>
            <w:noWrap/>
            <w:vAlign w:val="bottom"/>
            <w:hideMark/>
          </w:tcPr>
          <w:p w14:paraId="089835CD" w14:textId="77777777" w:rsidR="00061A2D" w:rsidRPr="00C76EB4" w:rsidRDefault="00061A2D" w:rsidP="00061A2D">
            <w:pPr>
              <w:rPr>
                <w:rFonts w:ascii="Times New Roman" w:hAnsi="Times New Roman"/>
                <w:b/>
                <w:sz w:val="20"/>
                <w:szCs w:val="20"/>
              </w:rPr>
            </w:pPr>
          </w:p>
        </w:tc>
        <w:tc>
          <w:tcPr>
            <w:tcW w:w="12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54AB99" w14:textId="77777777" w:rsidR="00061A2D" w:rsidRPr="00C76EB4" w:rsidRDefault="00061A2D">
            <w:pPr>
              <w:jc w:val="right"/>
              <w:rPr>
                <w:rFonts w:ascii="Calibri" w:hAnsi="Calibri" w:cs="Calibri"/>
                <w:b/>
                <w:bCs/>
                <w:color w:val="000000"/>
                <w:sz w:val="20"/>
                <w:szCs w:val="20"/>
              </w:rPr>
            </w:pPr>
            <w:r w:rsidRPr="00C76EB4">
              <w:rPr>
                <w:rFonts w:ascii="Calibri" w:hAnsi="Calibri" w:cs="Calibri"/>
                <w:b/>
                <w:bCs/>
                <w:color w:val="000000"/>
                <w:sz w:val="20"/>
                <w:szCs w:val="20"/>
              </w:rPr>
              <w:t>88.3%</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47FA48" w14:textId="77777777" w:rsidR="00061A2D" w:rsidRPr="00C76EB4" w:rsidRDefault="00061A2D">
            <w:pPr>
              <w:jc w:val="right"/>
              <w:rPr>
                <w:rFonts w:ascii="Calibri" w:hAnsi="Calibri" w:cs="Calibri"/>
                <w:b/>
                <w:bCs/>
                <w:color w:val="000000"/>
                <w:sz w:val="20"/>
                <w:szCs w:val="20"/>
              </w:rPr>
            </w:pPr>
            <w:r w:rsidRPr="00C76EB4">
              <w:rPr>
                <w:rFonts w:ascii="Calibri" w:hAnsi="Calibri" w:cs="Calibri"/>
                <w:b/>
                <w:bCs/>
                <w:color w:val="000000"/>
                <w:sz w:val="20"/>
                <w:szCs w:val="20"/>
              </w:rPr>
              <w:t>11.7%</w:t>
            </w:r>
          </w:p>
        </w:tc>
      </w:tr>
    </w:tbl>
    <w:p w14:paraId="7ED4A4CA" w14:textId="77777777" w:rsidR="003A4A6D" w:rsidRDefault="003A4A6D" w:rsidP="003A4A6D">
      <w:pPr>
        <w:rPr>
          <w:rFonts w:cs="Arial"/>
        </w:rPr>
      </w:pPr>
    </w:p>
    <w:p w14:paraId="637CE62B" w14:textId="5D3B5806" w:rsidR="007E7648" w:rsidRDefault="00767A62" w:rsidP="007E7648">
      <w:pPr>
        <w:rPr>
          <w:rFonts w:cs="Arial"/>
        </w:rPr>
      </w:pPr>
      <w:r>
        <w:rPr>
          <w:rFonts w:cs="Arial"/>
        </w:rPr>
        <w:t>Th</w:t>
      </w:r>
      <w:r w:rsidR="00B64A4C">
        <w:rPr>
          <w:rFonts w:cs="Arial"/>
        </w:rPr>
        <w:t>e</w:t>
      </w:r>
      <w:r>
        <w:rPr>
          <w:rFonts w:cs="Arial"/>
        </w:rPr>
        <w:t xml:space="preserve"> study was conducted in 2010 and provides a more comprehensive market segment analysis than</w:t>
      </w:r>
      <w:r w:rsidRPr="00767A62">
        <w:rPr>
          <w:rFonts w:cs="Arial"/>
        </w:rPr>
        <w:t xml:space="preserve"> SBW (2007) Impact and Process Evaluation Final Report for the CUWCC Pre-Rinse Spray Valve Program (Phase II)</w:t>
      </w:r>
      <w:r>
        <w:rPr>
          <w:rFonts w:cs="Arial"/>
        </w:rPr>
        <w:t xml:space="preserve"> study</w:t>
      </w:r>
      <w:r w:rsidR="00B64A4C" w:rsidRPr="00C76EB4">
        <w:rPr>
          <w:rFonts w:cs="Arial"/>
          <w:vertAlign w:val="superscript"/>
        </w:rPr>
        <w:fldChar w:fldCharType="begin"/>
      </w:r>
      <w:r w:rsidR="00B64A4C" w:rsidRPr="00C76EB4">
        <w:rPr>
          <w:rFonts w:cs="Arial"/>
          <w:vertAlign w:val="superscript"/>
        </w:rPr>
        <w:instrText xml:space="preserve"> NOTEREF _Ref525292890 \h </w:instrText>
      </w:r>
      <w:r w:rsidR="00B64A4C">
        <w:rPr>
          <w:rFonts w:cs="Arial"/>
          <w:vertAlign w:val="superscript"/>
        </w:rPr>
        <w:instrText xml:space="preserve"> \* MERGEFORMAT </w:instrText>
      </w:r>
      <w:r w:rsidR="00B64A4C" w:rsidRPr="00C76EB4">
        <w:rPr>
          <w:rFonts w:cs="Arial"/>
          <w:vertAlign w:val="superscript"/>
        </w:rPr>
      </w:r>
      <w:r w:rsidR="00B64A4C" w:rsidRPr="00C76EB4">
        <w:rPr>
          <w:rFonts w:cs="Arial"/>
          <w:vertAlign w:val="superscript"/>
        </w:rPr>
        <w:fldChar w:fldCharType="separate"/>
      </w:r>
      <w:r w:rsidR="00B64A4C" w:rsidRPr="00C76EB4">
        <w:rPr>
          <w:rFonts w:cs="Arial"/>
          <w:vertAlign w:val="superscript"/>
        </w:rPr>
        <w:t>5</w:t>
      </w:r>
      <w:r w:rsidR="00B64A4C" w:rsidRPr="00C76EB4">
        <w:rPr>
          <w:rFonts w:cs="Arial"/>
          <w:vertAlign w:val="superscript"/>
        </w:rPr>
        <w:fldChar w:fldCharType="end"/>
      </w:r>
      <w:r>
        <w:rPr>
          <w:rFonts w:cs="Arial"/>
        </w:rPr>
        <w:t xml:space="preserve">. This study includes several commercial and institutional market </w:t>
      </w:r>
      <w:r w:rsidR="00301391">
        <w:rPr>
          <w:rFonts w:cs="Arial"/>
        </w:rPr>
        <w:t>segments beyond grocery</w:t>
      </w:r>
      <w:r>
        <w:rPr>
          <w:rFonts w:cs="Arial"/>
        </w:rPr>
        <w:t xml:space="preserve"> and </w:t>
      </w:r>
      <w:r w:rsidR="00301391">
        <w:rPr>
          <w:rFonts w:cs="Arial"/>
        </w:rPr>
        <w:t xml:space="preserve">non-grocery and will be used in the calculation </w:t>
      </w:r>
      <w:r w:rsidR="00B64A4C">
        <w:rPr>
          <w:rFonts w:cs="Arial"/>
        </w:rPr>
        <w:t xml:space="preserve">methodology in </w:t>
      </w:r>
      <w:r w:rsidR="00301391">
        <w:rPr>
          <w:rFonts w:cs="Arial"/>
        </w:rPr>
        <w:t>Section 2.</w:t>
      </w:r>
    </w:p>
    <w:p w14:paraId="6D32A4D4" w14:textId="77777777" w:rsidR="00301391" w:rsidRDefault="00301391" w:rsidP="00F828A6">
      <w:pPr>
        <w:rPr>
          <w:rFonts w:cs="Arial"/>
        </w:rPr>
      </w:pPr>
    </w:p>
    <w:p w14:paraId="35931C44" w14:textId="6DED838E" w:rsidR="00301391" w:rsidRDefault="00301391" w:rsidP="00301391">
      <w:pPr>
        <w:pStyle w:val="Heading3"/>
      </w:pPr>
      <w:r w:rsidRPr="7E9E03BC">
        <w:rPr>
          <w:rFonts w:asciiTheme="minorHAnsi" w:hAnsiTheme="minorHAnsi"/>
        </w:rPr>
        <w:t>1.5.</w:t>
      </w:r>
      <w:r>
        <w:rPr>
          <w:rFonts w:asciiTheme="minorHAnsi" w:hAnsiTheme="minorHAnsi"/>
        </w:rPr>
        <w:t>5</w:t>
      </w:r>
      <w:r w:rsidRPr="7E9E03BC">
        <w:rPr>
          <w:rFonts w:asciiTheme="minorHAnsi" w:hAnsiTheme="minorHAnsi"/>
        </w:rPr>
        <w:t xml:space="preserve"> </w:t>
      </w:r>
      <w:r>
        <w:rPr>
          <w:rFonts w:asciiTheme="minorHAnsi" w:hAnsiTheme="minorHAnsi"/>
        </w:rPr>
        <w:t>MWD Pre-Rinse Operation Field Study</w:t>
      </w:r>
      <w:r w:rsidR="00180486">
        <w:rPr>
          <w:rFonts w:asciiTheme="minorHAnsi" w:hAnsiTheme="minorHAnsi"/>
        </w:rPr>
        <w:t xml:space="preserve"> 2018</w:t>
      </w:r>
      <w:r w:rsidR="00D12FD3">
        <w:rPr>
          <w:rStyle w:val="EndnoteReference"/>
          <w:rFonts w:asciiTheme="minorHAnsi" w:hAnsiTheme="minorHAnsi"/>
        </w:rPr>
        <w:endnoteReference w:id="12"/>
      </w:r>
    </w:p>
    <w:p w14:paraId="17E133F6" w14:textId="0AEE78C8" w:rsidR="005B5ABD" w:rsidRDefault="001C5581" w:rsidP="005B5ABD">
      <w:pPr>
        <w:rPr>
          <w:rFonts w:cs="Arial"/>
        </w:rPr>
      </w:pPr>
      <w:r>
        <w:rPr>
          <w:rFonts w:cs="Arial"/>
        </w:rPr>
        <w:t xml:space="preserve">This study provided data on pre-rinse operations </w:t>
      </w:r>
      <w:r w:rsidR="007D31F0">
        <w:rPr>
          <w:rFonts w:cs="Arial"/>
        </w:rPr>
        <w:t>(PRO)</w:t>
      </w:r>
      <w:r>
        <w:rPr>
          <w:rFonts w:cs="Arial"/>
        </w:rPr>
        <w:t xml:space="preserve"> in commercial kitchens</w:t>
      </w:r>
      <w:r w:rsidR="00373B4E">
        <w:rPr>
          <w:rFonts w:cs="Arial"/>
        </w:rPr>
        <w:t xml:space="preserve">. </w:t>
      </w:r>
      <w:r w:rsidR="007D31F0">
        <w:rPr>
          <w:rFonts w:cs="Arial"/>
        </w:rPr>
        <w:t xml:space="preserve">The study focused on larger PROs in </w:t>
      </w:r>
      <w:r w:rsidR="00424263">
        <w:rPr>
          <w:rFonts w:cs="Arial"/>
        </w:rPr>
        <w:t>corporate and university cafeterias with conveyor dishwash</w:t>
      </w:r>
      <w:r w:rsidR="00D12FD3">
        <w:rPr>
          <w:rFonts w:cs="Arial"/>
        </w:rPr>
        <w:t>ing machines</w:t>
      </w:r>
      <w:r w:rsidR="00424263">
        <w:rPr>
          <w:rFonts w:cs="Arial"/>
        </w:rPr>
        <w:t xml:space="preserve">. Out of 16 </w:t>
      </w:r>
      <w:r w:rsidR="00D12FD3">
        <w:rPr>
          <w:rFonts w:cs="Arial"/>
        </w:rPr>
        <w:t xml:space="preserve">total </w:t>
      </w:r>
      <w:r w:rsidR="00424263">
        <w:rPr>
          <w:rFonts w:cs="Arial"/>
        </w:rPr>
        <w:t xml:space="preserve">sites, PRSVs were </w:t>
      </w:r>
      <w:r w:rsidR="00EC1695">
        <w:rPr>
          <w:rFonts w:cs="Arial"/>
        </w:rPr>
        <w:t>sub metered</w:t>
      </w:r>
      <w:r w:rsidR="00424263">
        <w:rPr>
          <w:rFonts w:cs="Arial"/>
        </w:rPr>
        <w:t xml:space="preserve"> at </w:t>
      </w:r>
      <w:r w:rsidR="00D12FD3">
        <w:rPr>
          <w:rFonts w:cs="Arial"/>
        </w:rPr>
        <w:t>six</w:t>
      </w:r>
      <w:r w:rsidR="00424263">
        <w:rPr>
          <w:rFonts w:cs="Arial"/>
        </w:rPr>
        <w:t xml:space="preserve"> sites</w:t>
      </w:r>
      <w:r w:rsidR="0098042A">
        <w:rPr>
          <w:rFonts w:cs="Arial"/>
        </w:rPr>
        <w:t xml:space="preserve"> showing an average of 1.55 </w:t>
      </w:r>
      <w:r w:rsidR="00D12FD3">
        <w:rPr>
          <w:rFonts w:cs="Arial"/>
        </w:rPr>
        <w:t xml:space="preserve">operating </w:t>
      </w:r>
      <w:r w:rsidR="0098042A">
        <w:rPr>
          <w:rFonts w:cs="Arial"/>
        </w:rPr>
        <w:t xml:space="preserve">hours per day. Assuming </w:t>
      </w:r>
      <w:r w:rsidR="00957AB5">
        <w:rPr>
          <w:rFonts w:cs="Arial"/>
        </w:rPr>
        <w:t xml:space="preserve">larger facilities operate their </w:t>
      </w:r>
      <w:r w:rsidR="00337F5C">
        <w:rPr>
          <w:rFonts w:cs="Arial"/>
        </w:rPr>
        <w:t>PRSV longer, this hourly usage is in line with the 1.0 hour per day assumptions in 1.5.1</w:t>
      </w:r>
      <w:r w:rsidR="00D12FD3">
        <w:rPr>
          <w:rFonts w:cs="Arial"/>
        </w:rPr>
        <w:t>,</w:t>
      </w:r>
      <w:r w:rsidR="00337F5C">
        <w:rPr>
          <w:rFonts w:cs="Arial"/>
        </w:rPr>
        <w:t xml:space="preserve"> which includes </w:t>
      </w:r>
      <w:r w:rsidR="007A707C">
        <w:rPr>
          <w:rFonts w:cs="Arial"/>
        </w:rPr>
        <w:t>smaller facilities.</w:t>
      </w:r>
    </w:p>
    <w:tbl>
      <w:tblPr>
        <w:tblpPr w:leftFromText="180" w:rightFromText="180" w:vertAnchor="text" w:horzAnchor="margin" w:tblpY="143"/>
        <w:tblW w:w="9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2070"/>
        <w:gridCol w:w="810"/>
        <w:gridCol w:w="810"/>
        <w:gridCol w:w="900"/>
        <w:gridCol w:w="810"/>
        <w:gridCol w:w="810"/>
        <w:gridCol w:w="810"/>
        <w:gridCol w:w="1063"/>
      </w:tblGrid>
      <w:tr w:rsidR="00604401" w:rsidRPr="00C517BE" w14:paraId="33366648" w14:textId="77777777" w:rsidTr="00604401">
        <w:trPr>
          <w:trHeight w:val="1025"/>
        </w:trPr>
        <w:tc>
          <w:tcPr>
            <w:tcW w:w="1350" w:type="dxa"/>
            <w:shd w:val="pct10" w:color="auto" w:fill="auto"/>
            <w:vAlign w:val="bottom"/>
            <w:hideMark/>
          </w:tcPr>
          <w:p w14:paraId="5BA086E9" w14:textId="77777777" w:rsidR="00604401" w:rsidRPr="00726E8B" w:rsidRDefault="00604401" w:rsidP="00604401">
            <w:pPr>
              <w:rPr>
                <w:rFonts w:ascii="Calibri" w:hAnsi="Calibri" w:cs="Calibri"/>
                <w:b/>
                <w:color w:val="000000"/>
                <w:sz w:val="20"/>
                <w:szCs w:val="20"/>
              </w:rPr>
            </w:pPr>
            <w:r w:rsidRPr="00726E8B">
              <w:rPr>
                <w:rFonts w:ascii="Calibri" w:hAnsi="Calibri" w:cs="Calibri"/>
                <w:b/>
                <w:color w:val="000000"/>
                <w:sz w:val="20"/>
                <w:szCs w:val="20"/>
              </w:rPr>
              <w:t>Facility</w:t>
            </w:r>
          </w:p>
        </w:tc>
        <w:tc>
          <w:tcPr>
            <w:tcW w:w="2070" w:type="dxa"/>
            <w:shd w:val="pct10" w:color="auto" w:fill="auto"/>
            <w:vAlign w:val="bottom"/>
            <w:hideMark/>
          </w:tcPr>
          <w:p w14:paraId="38646FF0" w14:textId="77777777" w:rsidR="00604401" w:rsidRPr="00726E8B" w:rsidRDefault="00604401" w:rsidP="00604401">
            <w:pPr>
              <w:rPr>
                <w:rFonts w:ascii="Calibri" w:hAnsi="Calibri" w:cs="Calibri"/>
                <w:b/>
                <w:color w:val="000000"/>
                <w:sz w:val="20"/>
                <w:szCs w:val="20"/>
              </w:rPr>
            </w:pPr>
            <w:r w:rsidRPr="00726E8B">
              <w:rPr>
                <w:rFonts w:ascii="Calibri" w:hAnsi="Calibri" w:cs="Calibri"/>
                <w:b/>
                <w:color w:val="000000"/>
                <w:sz w:val="20"/>
                <w:szCs w:val="20"/>
              </w:rPr>
              <w:t>PRO Method</w:t>
            </w:r>
          </w:p>
        </w:tc>
        <w:tc>
          <w:tcPr>
            <w:tcW w:w="810" w:type="dxa"/>
            <w:shd w:val="pct10" w:color="auto" w:fill="auto"/>
            <w:vAlign w:val="bottom"/>
            <w:hideMark/>
          </w:tcPr>
          <w:p w14:paraId="0027151F" w14:textId="77777777" w:rsidR="00604401" w:rsidRPr="00726E8B" w:rsidRDefault="00604401" w:rsidP="00604401">
            <w:pPr>
              <w:rPr>
                <w:rFonts w:ascii="Calibri" w:hAnsi="Calibri" w:cs="Calibri"/>
                <w:b/>
                <w:color w:val="000000"/>
                <w:sz w:val="20"/>
                <w:szCs w:val="20"/>
              </w:rPr>
            </w:pPr>
            <w:r w:rsidRPr="00726E8B">
              <w:rPr>
                <w:rFonts w:ascii="Calibri" w:hAnsi="Calibri" w:cs="Calibri"/>
                <w:b/>
                <w:color w:val="000000"/>
                <w:sz w:val="20"/>
                <w:szCs w:val="20"/>
              </w:rPr>
              <w:t>PRSV Hot (gal/d)</w:t>
            </w:r>
          </w:p>
        </w:tc>
        <w:tc>
          <w:tcPr>
            <w:tcW w:w="810" w:type="dxa"/>
            <w:shd w:val="pct10" w:color="auto" w:fill="auto"/>
            <w:vAlign w:val="bottom"/>
            <w:hideMark/>
          </w:tcPr>
          <w:p w14:paraId="7661EBF3" w14:textId="77777777" w:rsidR="00604401" w:rsidRPr="00726E8B" w:rsidRDefault="00604401" w:rsidP="00604401">
            <w:pPr>
              <w:rPr>
                <w:rFonts w:ascii="Calibri" w:hAnsi="Calibri" w:cs="Calibri"/>
                <w:b/>
                <w:color w:val="000000"/>
                <w:sz w:val="20"/>
                <w:szCs w:val="20"/>
              </w:rPr>
            </w:pPr>
            <w:r w:rsidRPr="00726E8B">
              <w:rPr>
                <w:rFonts w:ascii="Calibri" w:hAnsi="Calibri" w:cs="Calibri"/>
                <w:b/>
                <w:color w:val="000000"/>
                <w:sz w:val="20"/>
                <w:szCs w:val="20"/>
              </w:rPr>
              <w:t>PRSV Cold (gal/d)</w:t>
            </w:r>
          </w:p>
        </w:tc>
        <w:tc>
          <w:tcPr>
            <w:tcW w:w="900" w:type="dxa"/>
            <w:shd w:val="pct10" w:color="auto" w:fill="auto"/>
            <w:vAlign w:val="bottom"/>
            <w:hideMark/>
          </w:tcPr>
          <w:p w14:paraId="25A5B122" w14:textId="77777777" w:rsidR="00604401" w:rsidRPr="00726E8B" w:rsidRDefault="00604401" w:rsidP="00604401">
            <w:pPr>
              <w:rPr>
                <w:rFonts w:ascii="Calibri" w:hAnsi="Calibri" w:cs="Calibri"/>
                <w:b/>
                <w:color w:val="000000"/>
                <w:sz w:val="20"/>
                <w:szCs w:val="20"/>
              </w:rPr>
            </w:pPr>
            <w:r w:rsidRPr="00726E8B">
              <w:rPr>
                <w:rFonts w:ascii="Calibri" w:hAnsi="Calibri" w:cs="Calibri"/>
                <w:b/>
                <w:color w:val="000000"/>
                <w:sz w:val="20"/>
                <w:szCs w:val="20"/>
              </w:rPr>
              <w:t>PRO Hot (gal/d)</w:t>
            </w:r>
          </w:p>
        </w:tc>
        <w:tc>
          <w:tcPr>
            <w:tcW w:w="810" w:type="dxa"/>
            <w:shd w:val="pct10" w:color="auto" w:fill="auto"/>
            <w:vAlign w:val="bottom"/>
            <w:hideMark/>
          </w:tcPr>
          <w:p w14:paraId="60891DC5" w14:textId="77777777" w:rsidR="00604401" w:rsidRPr="00726E8B" w:rsidRDefault="00604401" w:rsidP="00604401">
            <w:pPr>
              <w:rPr>
                <w:rFonts w:ascii="Calibri" w:hAnsi="Calibri" w:cs="Calibri"/>
                <w:b/>
                <w:color w:val="000000"/>
                <w:sz w:val="20"/>
                <w:szCs w:val="20"/>
              </w:rPr>
            </w:pPr>
            <w:r w:rsidRPr="00726E8B">
              <w:rPr>
                <w:rFonts w:ascii="Calibri" w:hAnsi="Calibri" w:cs="Calibri"/>
                <w:b/>
                <w:color w:val="000000"/>
                <w:sz w:val="20"/>
                <w:szCs w:val="20"/>
              </w:rPr>
              <w:t>PRO Cold (gal/d)</w:t>
            </w:r>
          </w:p>
        </w:tc>
        <w:tc>
          <w:tcPr>
            <w:tcW w:w="810" w:type="dxa"/>
            <w:shd w:val="pct10" w:color="auto" w:fill="auto"/>
            <w:vAlign w:val="bottom"/>
            <w:hideMark/>
          </w:tcPr>
          <w:p w14:paraId="07480628" w14:textId="77777777" w:rsidR="00604401" w:rsidRPr="00726E8B" w:rsidRDefault="00604401" w:rsidP="00604401">
            <w:pPr>
              <w:rPr>
                <w:rFonts w:ascii="Calibri" w:hAnsi="Calibri" w:cs="Calibri"/>
                <w:b/>
                <w:color w:val="000000"/>
                <w:sz w:val="20"/>
                <w:szCs w:val="20"/>
              </w:rPr>
            </w:pPr>
            <w:r w:rsidRPr="00726E8B">
              <w:rPr>
                <w:rFonts w:ascii="Calibri" w:hAnsi="Calibri" w:cs="Calibri"/>
                <w:b/>
                <w:color w:val="000000"/>
                <w:sz w:val="20"/>
                <w:szCs w:val="20"/>
              </w:rPr>
              <w:t>Total PRO (gal/d)</w:t>
            </w:r>
          </w:p>
        </w:tc>
        <w:tc>
          <w:tcPr>
            <w:tcW w:w="810" w:type="dxa"/>
            <w:shd w:val="pct10" w:color="auto" w:fill="auto"/>
            <w:vAlign w:val="bottom"/>
            <w:hideMark/>
          </w:tcPr>
          <w:p w14:paraId="7120DC1C" w14:textId="77777777" w:rsidR="00604401" w:rsidRPr="00726E8B" w:rsidRDefault="00604401" w:rsidP="00604401">
            <w:pPr>
              <w:rPr>
                <w:rFonts w:ascii="Calibri" w:hAnsi="Calibri" w:cs="Calibri"/>
                <w:b/>
                <w:color w:val="000000"/>
                <w:sz w:val="20"/>
                <w:szCs w:val="20"/>
              </w:rPr>
            </w:pPr>
            <w:r w:rsidRPr="00726E8B">
              <w:rPr>
                <w:rFonts w:ascii="Calibri" w:hAnsi="Calibri" w:cs="Calibri"/>
                <w:b/>
                <w:color w:val="000000"/>
                <w:sz w:val="20"/>
                <w:szCs w:val="20"/>
              </w:rPr>
              <w:t xml:space="preserve">Hot Water </w:t>
            </w:r>
          </w:p>
        </w:tc>
        <w:tc>
          <w:tcPr>
            <w:tcW w:w="1063" w:type="dxa"/>
            <w:shd w:val="pct10" w:color="auto" w:fill="auto"/>
            <w:vAlign w:val="bottom"/>
            <w:hideMark/>
          </w:tcPr>
          <w:p w14:paraId="14A90520" w14:textId="77777777" w:rsidR="00604401" w:rsidRPr="00C517BE" w:rsidRDefault="00604401" w:rsidP="00604401">
            <w:pPr>
              <w:rPr>
                <w:rFonts w:ascii="Calibri" w:hAnsi="Calibri" w:cs="Calibri"/>
                <w:b/>
                <w:bCs/>
                <w:color w:val="000000"/>
                <w:sz w:val="20"/>
                <w:szCs w:val="20"/>
              </w:rPr>
            </w:pPr>
            <w:r w:rsidRPr="00C517BE">
              <w:rPr>
                <w:rFonts w:ascii="Calibri" w:hAnsi="Calibri" w:cs="Calibri"/>
                <w:b/>
                <w:bCs/>
                <w:color w:val="000000"/>
                <w:sz w:val="20"/>
                <w:szCs w:val="20"/>
              </w:rPr>
              <w:t>Hours of PRSV Operation (h/d)</w:t>
            </w:r>
          </w:p>
        </w:tc>
      </w:tr>
      <w:tr w:rsidR="00604401" w:rsidRPr="00186C5F" w14:paraId="6396264C" w14:textId="77777777" w:rsidTr="00604401">
        <w:trPr>
          <w:trHeight w:val="288"/>
        </w:trPr>
        <w:tc>
          <w:tcPr>
            <w:tcW w:w="1350" w:type="dxa"/>
            <w:shd w:val="clear" w:color="auto" w:fill="auto"/>
            <w:noWrap/>
            <w:vAlign w:val="bottom"/>
            <w:hideMark/>
          </w:tcPr>
          <w:p w14:paraId="48FEA0D6" w14:textId="77777777" w:rsidR="00604401" w:rsidRPr="00186C5F" w:rsidRDefault="00604401" w:rsidP="00604401">
            <w:pPr>
              <w:rPr>
                <w:rFonts w:ascii="Calibri" w:hAnsi="Calibri" w:cs="Calibri"/>
                <w:sz w:val="20"/>
                <w:szCs w:val="20"/>
              </w:rPr>
            </w:pPr>
            <w:r w:rsidRPr="00186C5F">
              <w:rPr>
                <w:rFonts w:ascii="Calibri" w:hAnsi="Calibri" w:cs="Calibri"/>
                <w:sz w:val="20"/>
                <w:szCs w:val="20"/>
              </w:rPr>
              <w:t>Corporate Café 1</w:t>
            </w:r>
          </w:p>
        </w:tc>
        <w:tc>
          <w:tcPr>
            <w:tcW w:w="2070" w:type="dxa"/>
            <w:shd w:val="clear" w:color="auto" w:fill="auto"/>
            <w:noWrap/>
            <w:vAlign w:val="bottom"/>
            <w:hideMark/>
          </w:tcPr>
          <w:p w14:paraId="6B6D12EC" w14:textId="77777777" w:rsidR="00604401" w:rsidRPr="00186C5F" w:rsidRDefault="00604401" w:rsidP="00604401">
            <w:pPr>
              <w:rPr>
                <w:rFonts w:ascii="Calibri" w:hAnsi="Calibri" w:cs="Calibri"/>
                <w:sz w:val="20"/>
                <w:szCs w:val="20"/>
              </w:rPr>
            </w:pPr>
            <w:r w:rsidRPr="00186C5F">
              <w:rPr>
                <w:rFonts w:ascii="Calibri" w:hAnsi="Calibri" w:cs="Calibri"/>
                <w:sz w:val="20"/>
                <w:szCs w:val="20"/>
              </w:rPr>
              <w:t>Dry Scrapping with PRSV</w:t>
            </w:r>
          </w:p>
        </w:tc>
        <w:tc>
          <w:tcPr>
            <w:tcW w:w="810" w:type="dxa"/>
            <w:shd w:val="clear" w:color="auto" w:fill="auto"/>
            <w:noWrap/>
            <w:vAlign w:val="bottom"/>
            <w:hideMark/>
          </w:tcPr>
          <w:p w14:paraId="527BD820"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90</w:t>
            </w:r>
          </w:p>
        </w:tc>
        <w:tc>
          <w:tcPr>
            <w:tcW w:w="810" w:type="dxa"/>
            <w:shd w:val="clear" w:color="auto" w:fill="auto"/>
            <w:noWrap/>
            <w:vAlign w:val="bottom"/>
            <w:hideMark/>
          </w:tcPr>
          <w:p w14:paraId="741F2F25"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9</w:t>
            </w:r>
          </w:p>
        </w:tc>
        <w:tc>
          <w:tcPr>
            <w:tcW w:w="900" w:type="dxa"/>
            <w:shd w:val="clear" w:color="auto" w:fill="auto"/>
            <w:noWrap/>
            <w:vAlign w:val="bottom"/>
            <w:hideMark/>
          </w:tcPr>
          <w:p w14:paraId="6B609161"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90</w:t>
            </w:r>
          </w:p>
        </w:tc>
        <w:tc>
          <w:tcPr>
            <w:tcW w:w="810" w:type="dxa"/>
            <w:shd w:val="clear" w:color="auto" w:fill="auto"/>
            <w:noWrap/>
            <w:vAlign w:val="bottom"/>
            <w:hideMark/>
          </w:tcPr>
          <w:p w14:paraId="72B628A7"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9</w:t>
            </w:r>
          </w:p>
        </w:tc>
        <w:tc>
          <w:tcPr>
            <w:tcW w:w="810" w:type="dxa"/>
            <w:shd w:val="clear" w:color="auto" w:fill="auto"/>
            <w:noWrap/>
            <w:vAlign w:val="bottom"/>
            <w:hideMark/>
          </w:tcPr>
          <w:p w14:paraId="51427698"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99</w:t>
            </w:r>
          </w:p>
        </w:tc>
        <w:tc>
          <w:tcPr>
            <w:tcW w:w="810" w:type="dxa"/>
            <w:shd w:val="clear" w:color="auto" w:fill="auto"/>
            <w:noWrap/>
            <w:vAlign w:val="bottom"/>
            <w:hideMark/>
          </w:tcPr>
          <w:p w14:paraId="7DCC7CA8"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91%</w:t>
            </w:r>
          </w:p>
        </w:tc>
        <w:tc>
          <w:tcPr>
            <w:tcW w:w="1063" w:type="dxa"/>
            <w:shd w:val="clear" w:color="auto" w:fill="auto"/>
            <w:noWrap/>
            <w:vAlign w:val="bottom"/>
            <w:hideMark/>
          </w:tcPr>
          <w:p w14:paraId="28D73843" w14:textId="77777777" w:rsidR="00604401" w:rsidRPr="00186C5F" w:rsidRDefault="00604401" w:rsidP="00604401">
            <w:pPr>
              <w:jc w:val="right"/>
              <w:rPr>
                <w:rFonts w:ascii="Calibri" w:hAnsi="Calibri" w:cs="Calibri"/>
                <w:b/>
                <w:bCs/>
                <w:color w:val="000000"/>
                <w:sz w:val="20"/>
                <w:szCs w:val="20"/>
              </w:rPr>
            </w:pPr>
            <w:r w:rsidRPr="00186C5F">
              <w:rPr>
                <w:rFonts w:ascii="Calibri" w:hAnsi="Calibri" w:cs="Calibri"/>
                <w:b/>
                <w:bCs/>
                <w:color w:val="000000"/>
                <w:sz w:val="20"/>
                <w:szCs w:val="20"/>
              </w:rPr>
              <w:t>1.43</w:t>
            </w:r>
          </w:p>
        </w:tc>
      </w:tr>
      <w:tr w:rsidR="00604401" w:rsidRPr="00186C5F" w14:paraId="37201DE9" w14:textId="77777777" w:rsidTr="00604401">
        <w:trPr>
          <w:trHeight w:val="288"/>
        </w:trPr>
        <w:tc>
          <w:tcPr>
            <w:tcW w:w="1350" w:type="dxa"/>
            <w:shd w:val="clear" w:color="auto" w:fill="auto"/>
            <w:noWrap/>
            <w:vAlign w:val="bottom"/>
            <w:hideMark/>
          </w:tcPr>
          <w:p w14:paraId="12482826" w14:textId="77777777" w:rsidR="00604401" w:rsidRPr="00186C5F" w:rsidRDefault="00604401" w:rsidP="00604401">
            <w:pPr>
              <w:rPr>
                <w:rFonts w:ascii="Calibri" w:hAnsi="Calibri" w:cs="Calibri"/>
                <w:color w:val="000000"/>
                <w:sz w:val="20"/>
                <w:szCs w:val="20"/>
              </w:rPr>
            </w:pPr>
            <w:r w:rsidRPr="00186C5F">
              <w:rPr>
                <w:rFonts w:ascii="Calibri" w:hAnsi="Calibri" w:cs="Calibri"/>
                <w:color w:val="000000"/>
                <w:sz w:val="20"/>
                <w:szCs w:val="20"/>
              </w:rPr>
              <w:t>University Cafeteria #6</w:t>
            </w:r>
          </w:p>
        </w:tc>
        <w:tc>
          <w:tcPr>
            <w:tcW w:w="2070" w:type="dxa"/>
            <w:shd w:val="clear" w:color="auto" w:fill="auto"/>
            <w:noWrap/>
            <w:vAlign w:val="bottom"/>
            <w:hideMark/>
          </w:tcPr>
          <w:p w14:paraId="7538FAEA" w14:textId="77777777" w:rsidR="00604401" w:rsidRPr="00186C5F" w:rsidRDefault="00604401" w:rsidP="00604401">
            <w:pPr>
              <w:rPr>
                <w:rFonts w:ascii="Calibri" w:hAnsi="Calibri" w:cs="Calibri"/>
                <w:color w:val="000000"/>
                <w:sz w:val="20"/>
                <w:szCs w:val="20"/>
              </w:rPr>
            </w:pPr>
            <w:r w:rsidRPr="00186C5F">
              <w:rPr>
                <w:rFonts w:ascii="Calibri" w:hAnsi="Calibri" w:cs="Calibri"/>
                <w:color w:val="000000"/>
                <w:sz w:val="20"/>
                <w:szCs w:val="20"/>
              </w:rPr>
              <w:t>Trough Feed Disposer with PRSV</w:t>
            </w:r>
          </w:p>
        </w:tc>
        <w:tc>
          <w:tcPr>
            <w:tcW w:w="810" w:type="dxa"/>
            <w:shd w:val="clear" w:color="auto" w:fill="auto"/>
            <w:noWrap/>
            <w:vAlign w:val="bottom"/>
            <w:hideMark/>
          </w:tcPr>
          <w:p w14:paraId="25FEDD4B"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16</w:t>
            </w:r>
          </w:p>
        </w:tc>
        <w:tc>
          <w:tcPr>
            <w:tcW w:w="810" w:type="dxa"/>
            <w:shd w:val="clear" w:color="auto" w:fill="auto"/>
            <w:noWrap/>
            <w:vAlign w:val="bottom"/>
            <w:hideMark/>
          </w:tcPr>
          <w:p w14:paraId="3D7C4A82"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4</w:t>
            </w:r>
          </w:p>
        </w:tc>
        <w:tc>
          <w:tcPr>
            <w:tcW w:w="900" w:type="dxa"/>
            <w:shd w:val="clear" w:color="auto" w:fill="auto"/>
            <w:noWrap/>
            <w:vAlign w:val="bottom"/>
            <w:hideMark/>
          </w:tcPr>
          <w:p w14:paraId="644322E8"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16</w:t>
            </w:r>
          </w:p>
        </w:tc>
        <w:tc>
          <w:tcPr>
            <w:tcW w:w="810" w:type="dxa"/>
            <w:shd w:val="clear" w:color="auto" w:fill="auto"/>
            <w:noWrap/>
            <w:vAlign w:val="bottom"/>
            <w:hideMark/>
          </w:tcPr>
          <w:p w14:paraId="7E9F1BA2"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34</w:t>
            </w:r>
          </w:p>
        </w:tc>
        <w:tc>
          <w:tcPr>
            <w:tcW w:w="810" w:type="dxa"/>
            <w:shd w:val="clear" w:color="auto" w:fill="auto"/>
            <w:noWrap/>
            <w:vAlign w:val="bottom"/>
            <w:hideMark/>
          </w:tcPr>
          <w:p w14:paraId="38F411A2"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50</w:t>
            </w:r>
          </w:p>
        </w:tc>
        <w:tc>
          <w:tcPr>
            <w:tcW w:w="810" w:type="dxa"/>
            <w:shd w:val="clear" w:color="auto" w:fill="auto"/>
            <w:noWrap/>
            <w:vAlign w:val="bottom"/>
            <w:hideMark/>
          </w:tcPr>
          <w:p w14:paraId="06555064"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31%</w:t>
            </w:r>
          </w:p>
        </w:tc>
        <w:tc>
          <w:tcPr>
            <w:tcW w:w="1063" w:type="dxa"/>
            <w:shd w:val="clear" w:color="auto" w:fill="auto"/>
            <w:noWrap/>
            <w:vAlign w:val="bottom"/>
            <w:hideMark/>
          </w:tcPr>
          <w:p w14:paraId="11F9CC52" w14:textId="77777777" w:rsidR="00604401" w:rsidRPr="00186C5F" w:rsidRDefault="00604401" w:rsidP="00604401">
            <w:pPr>
              <w:jc w:val="right"/>
              <w:rPr>
                <w:rFonts w:ascii="Calibri" w:hAnsi="Calibri" w:cs="Calibri"/>
                <w:b/>
                <w:bCs/>
                <w:color w:val="000000"/>
                <w:sz w:val="20"/>
                <w:szCs w:val="20"/>
              </w:rPr>
            </w:pPr>
            <w:r w:rsidRPr="00186C5F">
              <w:rPr>
                <w:rFonts w:ascii="Calibri" w:hAnsi="Calibri" w:cs="Calibri"/>
                <w:b/>
                <w:bCs/>
                <w:color w:val="000000"/>
                <w:sz w:val="20"/>
                <w:szCs w:val="20"/>
              </w:rPr>
              <w:t>0.32</w:t>
            </w:r>
          </w:p>
        </w:tc>
      </w:tr>
      <w:tr w:rsidR="00604401" w:rsidRPr="00186C5F" w14:paraId="0EEAD20E" w14:textId="77777777" w:rsidTr="00604401">
        <w:trPr>
          <w:trHeight w:val="288"/>
        </w:trPr>
        <w:tc>
          <w:tcPr>
            <w:tcW w:w="1350" w:type="dxa"/>
            <w:shd w:val="clear" w:color="auto" w:fill="auto"/>
            <w:noWrap/>
            <w:vAlign w:val="bottom"/>
            <w:hideMark/>
          </w:tcPr>
          <w:p w14:paraId="66284F5B" w14:textId="77777777" w:rsidR="00604401" w:rsidRPr="00186C5F" w:rsidRDefault="00604401" w:rsidP="00604401">
            <w:pPr>
              <w:rPr>
                <w:rFonts w:ascii="Calibri" w:hAnsi="Calibri" w:cs="Calibri"/>
                <w:sz w:val="20"/>
                <w:szCs w:val="20"/>
              </w:rPr>
            </w:pPr>
            <w:r w:rsidRPr="00186C5F">
              <w:rPr>
                <w:rFonts w:ascii="Calibri" w:hAnsi="Calibri" w:cs="Calibri"/>
                <w:sz w:val="20"/>
                <w:szCs w:val="20"/>
              </w:rPr>
              <w:t>University Cafeteria #3</w:t>
            </w:r>
          </w:p>
        </w:tc>
        <w:tc>
          <w:tcPr>
            <w:tcW w:w="2070" w:type="dxa"/>
            <w:shd w:val="clear" w:color="auto" w:fill="auto"/>
            <w:noWrap/>
            <w:vAlign w:val="bottom"/>
            <w:hideMark/>
          </w:tcPr>
          <w:p w14:paraId="33793C7D" w14:textId="77777777" w:rsidR="00604401" w:rsidRPr="00186C5F" w:rsidRDefault="00604401" w:rsidP="00604401">
            <w:pPr>
              <w:rPr>
                <w:rFonts w:ascii="Calibri" w:hAnsi="Calibri" w:cs="Calibri"/>
                <w:sz w:val="20"/>
                <w:szCs w:val="20"/>
              </w:rPr>
            </w:pPr>
            <w:r w:rsidRPr="00186C5F">
              <w:rPr>
                <w:rFonts w:ascii="Calibri" w:hAnsi="Calibri" w:cs="Calibri"/>
                <w:sz w:val="20"/>
                <w:szCs w:val="20"/>
              </w:rPr>
              <w:t>Dry Scrapping with PRSV</w:t>
            </w:r>
          </w:p>
        </w:tc>
        <w:tc>
          <w:tcPr>
            <w:tcW w:w="810" w:type="dxa"/>
            <w:shd w:val="clear" w:color="auto" w:fill="auto"/>
            <w:noWrap/>
            <w:vAlign w:val="bottom"/>
            <w:hideMark/>
          </w:tcPr>
          <w:p w14:paraId="4D124680"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41</w:t>
            </w:r>
          </w:p>
        </w:tc>
        <w:tc>
          <w:tcPr>
            <w:tcW w:w="810" w:type="dxa"/>
            <w:shd w:val="clear" w:color="auto" w:fill="auto"/>
            <w:noWrap/>
            <w:vAlign w:val="bottom"/>
            <w:hideMark/>
          </w:tcPr>
          <w:p w14:paraId="51277417"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3</w:t>
            </w:r>
          </w:p>
        </w:tc>
        <w:tc>
          <w:tcPr>
            <w:tcW w:w="900" w:type="dxa"/>
            <w:shd w:val="clear" w:color="auto" w:fill="auto"/>
            <w:noWrap/>
            <w:vAlign w:val="bottom"/>
            <w:hideMark/>
          </w:tcPr>
          <w:p w14:paraId="719D7D28"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89</w:t>
            </w:r>
          </w:p>
        </w:tc>
        <w:tc>
          <w:tcPr>
            <w:tcW w:w="810" w:type="dxa"/>
            <w:shd w:val="clear" w:color="auto" w:fill="auto"/>
            <w:noWrap/>
            <w:vAlign w:val="bottom"/>
            <w:hideMark/>
          </w:tcPr>
          <w:p w14:paraId="41D74976"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3</w:t>
            </w:r>
          </w:p>
        </w:tc>
        <w:tc>
          <w:tcPr>
            <w:tcW w:w="810" w:type="dxa"/>
            <w:shd w:val="clear" w:color="auto" w:fill="auto"/>
            <w:noWrap/>
            <w:vAlign w:val="bottom"/>
            <w:hideMark/>
          </w:tcPr>
          <w:p w14:paraId="7B2A1D4A"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92</w:t>
            </w:r>
          </w:p>
        </w:tc>
        <w:tc>
          <w:tcPr>
            <w:tcW w:w="810" w:type="dxa"/>
            <w:shd w:val="clear" w:color="auto" w:fill="auto"/>
            <w:noWrap/>
            <w:vAlign w:val="bottom"/>
            <w:hideMark/>
          </w:tcPr>
          <w:p w14:paraId="19B28F87"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97%</w:t>
            </w:r>
          </w:p>
        </w:tc>
        <w:tc>
          <w:tcPr>
            <w:tcW w:w="1063" w:type="dxa"/>
            <w:shd w:val="clear" w:color="auto" w:fill="auto"/>
            <w:noWrap/>
            <w:vAlign w:val="bottom"/>
            <w:hideMark/>
          </w:tcPr>
          <w:p w14:paraId="7238FA64" w14:textId="77777777" w:rsidR="00604401" w:rsidRPr="00186C5F" w:rsidRDefault="00604401" w:rsidP="00604401">
            <w:pPr>
              <w:jc w:val="right"/>
              <w:rPr>
                <w:rFonts w:ascii="Calibri" w:hAnsi="Calibri" w:cs="Calibri"/>
                <w:b/>
                <w:bCs/>
                <w:color w:val="000000"/>
                <w:sz w:val="20"/>
                <w:szCs w:val="20"/>
              </w:rPr>
            </w:pPr>
            <w:r w:rsidRPr="00186C5F">
              <w:rPr>
                <w:rFonts w:ascii="Calibri" w:hAnsi="Calibri" w:cs="Calibri"/>
                <w:b/>
                <w:bCs/>
                <w:color w:val="000000"/>
                <w:sz w:val="20"/>
                <w:szCs w:val="20"/>
              </w:rPr>
              <w:t>0.92</w:t>
            </w:r>
          </w:p>
        </w:tc>
      </w:tr>
      <w:tr w:rsidR="00604401" w:rsidRPr="00186C5F" w14:paraId="2FE208DC" w14:textId="77777777" w:rsidTr="00604401">
        <w:trPr>
          <w:trHeight w:val="288"/>
        </w:trPr>
        <w:tc>
          <w:tcPr>
            <w:tcW w:w="1350" w:type="dxa"/>
            <w:shd w:val="clear" w:color="auto" w:fill="auto"/>
            <w:noWrap/>
            <w:vAlign w:val="bottom"/>
            <w:hideMark/>
          </w:tcPr>
          <w:p w14:paraId="61892326" w14:textId="77777777" w:rsidR="00604401" w:rsidRPr="00186C5F" w:rsidRDefault="00604401" w:rsidP="00604401">
            <w:pPr>
              <w:rPr>
                <w:rFonts w:ascii="Calibri" w:hAnsi="Calibri" w:cs="Calibri"/>
                <w:sz w:val="20"/>
                <w:szCs w:val="20"/>
              </w:rPr>
            </w:pPr>
            <w:r w:rsidRPr="00186C5F">
              <w:rPr>
                <w:rFonts w:ascii="Calibri" w:hAnsi="Calibri" w:cs="Calibri"/>
                <w:sz w:val="20"/>
                <w:szCs w:val="20"/>
              </w:rPr>
              <w:t>University Cafeteria #5</w:t>
            </w:r>
          </w:p>
        </w:tc>
        <w:tc>
          <w:tcPr>
            <w:tcW w:w="2070" w:type="dxa"/>
            <w:shd w:val="clear" w:color="auto" w:fill="auto"/>
            <w:noWrap/>
            <w:vAlign w:val="bottom"/>
            <w:hideMark/>
          </w:tcPr>
          <w:p w14:paraId="65164E41" w14:textId="77777777" w:rsidR="00604401" w:rsidRPr="00186C5F" w:rsidRDefault="00604401" w:rsidP="00604401">
            <w:pPr>
              <w:rPr>
                <w:rFonts w:ascii="Calibri" w:hAnsi="Calibri" w:cs="Calibri"/>
                <w:sz w:val="20"/>
                <w:szCs w:val="20"/>
              </w:rPr>
            </w:pPr>
            <w:r w:rsidRPr="00186C5F">
              <w:rPr>
                <w:rFonts w:ascii="Calibri" w:hAnsi="Calibri" w:cs="Calibri"/>
                <w:sz w:val="20"/>
                <w:szCs w:val="20"/>
              </w:rPr>
              <w:t>Trough Feed Collector with PRSV</w:t>
            </w:r>
          </w:p>
        </w:tc>
        <w:tc>
          <w:tcPr>
            <w:tcW w:w="810" w:type="dxa"/>
            <w:shd w:val="clear" w:color="auto" w:fill="auto"/>
            <w:noWrap/>
            <w:vAlign w:val="bottom"/>
            <w:hideMark/>
          </w:tcPr>
          <w:p w14:paraId="23C51192"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118</w:t>
            </w:r>
          </w:p>
        </w:tc>
        <w:tc>
          <w:tcPr>
            <w:tcW w:w="810" w:type="dxa"/>
            <w:shd w:val="clear" w:color="auto" w:fill="auto"/>
            <w:noWrap/>
            <w:vAlign w:val="bottom"/>
            <w:hideMark/>
          </w:tcPr>
          <w:p w14:paraId="5A3FCE7A"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3</w:t>
            </w:r>
          </w:p>
        </w:tc>
        <w:tc>
          <w:tcPr>
            <w:tcW w:w="900" w:type="dxa"/>
            <w:shd w:val="clear" w:color="auto" w:fill="auto"/>
            <w:noWrap/>
            <w:vAlign w:val="bottom"/>
            <w:hideMark/>
          </w:tcPr>
          <w:p w14:paraId="5CE10040"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418</w:t>
            </w:r>
          </w:p>
        </w:tc>
        <w:tc>
          <w:tcPr>
            <w:tcW w:w="810" w:type="dxa"/>
            <w:shd w:val="clear" w:color="auto" w:fill="auto"/>
            <w:noWrap/>
            <w:vAlign w:val="bottom"/>
            <w:hideMark/>
          </w:tcPr>
          <w:p w14:paraId="3ED38099"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3</w:t>
            </w:r>
          </w:p>
        </w:tc>
        <w:tc>
          <w:tcPr>
            <w:tcW w:w="810" w:type="dxa"/>
            <w:shd w:val="clear" w:color="auto" w:fill="auto"/>
            <w:noWrap/>
            <w:vAlign w:val="bottom"/>
            <w:hideMark/>
          </w:tcPr>
          <w:p w14:paraId="52F95642"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421</w:t>
            </w:r>
          </w:p>
        </w:tc>
        <w:tc>
          <w:tcPr>
            <w:tcW w:w="810" w:type="dxa"/>
            <w:shd w:val="clear" w:color="auto" w:fill="auto"/>
            <w:noWrap/>
            <w:vAlign w:val="bottom"/>
            <w:hideMark/>
          </w:tcPr>
          <w:p w14:paraId="426EF24D"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99%</w:t>
            </w:r>
          </w:p>
        </w:tc>
        <w:tc>
          <w:tcPr>
            <w:tcW w:w="1063" w:type="dxa"/>
            <w:shd w:val="clear" w:color="auto" w:fill="auto"/>
            <w:noWrap/>
            <w:vAlign w:val="bottom"/>
            <w:hideMark/>
          </w:tcPr>
          <w:p w14:paraId="35524306" w14:textId="77777777" w:rsidR="00604401" w:rsidRPr="00186C5F" w:rsidRDefault="00604401" w:rsidP="00604401">
            <w:pPr>
              <w:jc w:val="right"/>
              <w:rPr>
                <w:rFonts w:ascii="Calibri" w:hAnsi="Calibri" w:cs="Calibri"/>
                <w:b/>
                <w:bCs/>
                <w:color w:val="000000"/>
                <w:sz w:val="20"/>
                <w:szCs w:val="20"/>
              </w:rPr>
            </w:pPr>
            <w:r w:rsidRPr="00186C5F">
              <w:rPr>
                <w:rFonts w:ascii="Calibri" w:hAnsi="Calibri" w:cs="Calibri"/>
                <w:b/>
                <w:bCs/>
                <w:color w:val="000000"/>
                <w:sz w:val="20"/>
                <w:szCs w:val="20"/>
              </w:rPr>
              <w:t>1.74</w:t>
            </w:r>
          </w:p>
        </w:tc>
      </w:tr>
      <w:tr w:rsidR="00604401" w:rsidRPr="00186C5F" w14:paraId="694D848A" w14:textId="77777777" w:rsidTr="00604401">
        <w:trPr>
          <w:trHeight w:val="288"/>
        </w:trPr>
        <w:tc>
          <w:tcPr>
            <w:tcW w:w="1350" w:type="dxa"/>
            <w:shd w:val="clear" w:color="auto" w:fill="auto"/>
            <w:noWrap/>
            <w:vAlign w:val="bottom"/>
            <w:hideMark/>
          </w:tcPr>
          <w:p w14:paraId="0D7AA4EF" w14:textId="77777777" w:rsidR="00604401" w:rsidRPr="00186C5F" w:rsidRDefault="00604401" w:rsidP="00604401">
            <w:pPr>
              <w:rPr>
                <w:rFonts w:ascii="Calibri" w:hAnsi="Calibri" w:cs="Calibri"/>
                <w:sz w:val="20"/>
                <w:szCs w:val="20"/>
              </w:rPr>
            </w:pPr>
            <w:r w:rsidRPr="00186C5F">
              <w:rPr>
                <w:rFonts w:ascii="Calibri" w:hAnsi="Calibri" w:cs="Calibri"/>
                <w:sz w:val="20"/>
                <w:szCs w:val="20"/>
              </w:rPr>
              <w:t>University Cafeteria #9</w:t>
            </w:r>
          </w:p>
        </w:tc>
        <w:tc>
          <w:tcPr>
            <w:tcW w:w="2070" w:type="dxa"/>
            <w:shd w:val="clear" w:color="auto" w:fill="auto"/>
            <w:noWrap/>
            <w:vAlign w:val="bottom"/>
            <w:hideMark/>
          </w:tcPr>
          <w:p w14:paraId="35162377" w14:textId="77777777" w:rsidR="00604401" w:rsidRPr="00186C5F" w:rsidRDefault="00604401" w:rsidP="00604401">
            <w:pPr>
              <w:rPr>
                <w:rFonts w:ascii="Calibri" w:hAnsi="Calibri" w:cs="Calibri"/>
                <w:sz w:val="20"/>
                <w:szCs w:val="20"/>
              </w:rPr>
            </w:pPr>
            <w:r w:rsidRPr="00186C5F">
              <w:rPr>
                <w:rFonts w:ascii="Calibri" w:hAnsi="Calibri" w:cs="Calibri"/>
                <w:sz w:val="20"/>
                <w:szCs w:val="20"/>
              </w:rPr>
              <w:t>Scrap Collector with PRSV</w:t>
            </w:r>
          </w:p>
        </w:tc>
        <w:tc>
          <w:tcPr>
            <w:tcW w:w="810" w:type="dxa"/>
            <w:shd w:val="clear" w:color="auto" w:fill="auto"/>
            <w:noWrap/>
            <w:vAlign w:val="bottom"/>
            <w:hideMark/>
          </w:tcPr>
          <w:p w14:paraId="2D5B6060"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119</w:t>
            </w:r>
          </w:p>
        </w:tc>
        <w:tc>
          <w:tcPr>
            <w:tcW w:w="810" w:type="dxa"/>
            <w:shd w:val="clear" w:color="auto" w:fill="auto"/>
            <w:noWrap/>
            <w:vAlign w:val="bottom"/>
            <w:hideMark/>
          </w:tcPr>
          <w:p w14:paraId="258D1C0B"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8</w:t>
            </w:r>
          </w:p>
        </w:tc>
        <w:tc>
          <w:tcPr>
            <w:tcW w:w="900" w:type="dxa"/>
            <w:shd w:val="clear" w:color="auto" w:fill="auto"/>
            <w:noWrap/>
            <w:vAlign w:val="bottom"/>
            <w:hideMark/>
          </w:tcPr>
          <w:p w14:paraId="31798B51"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123</w:t>
            </w:r>
          </w:p>
        </w:tc>
        <w:tc>
          <w:tcPr>
            <w:tcW w:w="810" w:type="dxa"/>
            <w:shd w:val="clear" w:color="auto" w:fill="auto"/>
            <w:noWrap/>
            <w:vAlign w:val="bottom"/>
            <w:hideMark/>
          </w:tcPr>
          <w:p w14:paraId="1EE27A8B"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19</w:t>
            </w:r>
          </w:p>
        </w:tc>
        <w:tc>
          <w:tcPr>
            <w:tcW w:w="810" w:type="dxa"/>
            <w:shd w:val="clear" w:color="auto" w:fill="auto"/>
            <w:noWrap/>
            <w:vAlign w:val="bottom"/>
            <w:hideMark/>
          </w:tcPr>
          <w:p w14:paraId="7183F159"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142</w:t>
            </w:r>
          </w:p>
        </w:tc>
        <w:tc>
          <w:tcPr>
            <w:tcW w:w="810" w:type="dxa"/>
            <w:shd w:val="clear" w:color="auto" w:fill="auto"/>
            <w:noWrap/>
            <w:vAlign w:val="bottom"/>
            <w:hideMark/>
          </w:tcPr>
          <w:p w14:paraId="6DCECEC7"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87%</w:t>
            </w:r>
          </w:p>
        </w:tc>
        <w:tc>
          <w:tcPr>
            <w:tcW w:w="1063" w:type="dxa"/>
            <w:shd w:val="clear" w:color="auto" w:fill="auto"/>
            <w:noWrap/>
            <w:vAlign w:val="bottom"/>
            <w:hideMark/>
          </w:tcPr>
          <w:p w14:paraId="31DF946A" w14:textId="77777777" w:rsidR="00604401" w:rsidRPr="00186C5F" w:rsidRDefault="00604401" w:rsidP="00604401">
            <w:pPr>
              <w:jc w:val="right"/>
              <w:rPr>
                <w:rFonts w:ascii="Calibri" w:hAnsi="Calibri" w:cs="Calibri"/>
                <w:b/>
                <w:bCs/>
                <w:color w:val="000000"/>
                <w:sz w:val="20"/>
                <w:szCs w:val="20"/>
              </w:rPr>
            </w:pPr>
            <w:r w:rsidRPr="00186C5F">
              <w:rPr>
                <w:rFonts w:ascii="Calibri" w:hAnsi="Calibri" w:cs="Calibri"/>
                <w:b/>
                <w:bCs/>
                <w:color w:val="000000"/>
                <w:sz w:val="20"/>
                <w:szCs w:val="20"/>
              </w:rPr>
              <w:t>2.73</w:t>
            </w:r>
          </w:p>
        </w:tc>
      </w:tr>
      <w:tr w:rsidR="00604401" w:rsidRPr="00186C5F" w14:paraId="76E79CC6" w14:textId="77777777" w:rsidTr="00604401">
        <w:trPr>
          <w:trHeight w:val="288"/>
        </w:trPr>
        <w:tc>
          <w:tcPr>
            <w:tcW w:w="1350" w:type="dxa"/>
            <w:shd w:val="clear" w:color="auto" w:fill="auto"/>
            <w:noWrap/>
            <w:vAlign w:val="bottom"/>
            <w:hideMark/>
          </w:tcPr>
          <w:p w14:paraId="5DE2A0C3" w14:textId="77777777" w:rsidR="00604401" w:rsidRPr="00186C5F" w:rsidRDefault="00604401" w:rsidP="00604401">
            <w:pPr>
              <w:rPr>
                <w:rFonts w:ascii="Calibri" w:hAnsi="Calibri" w:cs="Calibri"/>
                <w:sz w:val="20"/>
                <w:szCs w:val="20"/>
              </w:rPr>
            </w:pPr>
            <w:r w:rsidRPr="00186C5F">
              <w:rPr>
                <w:rFonts w:ascii="Calibri" w:hAnsi="Calibri" w:cs="Calibri"/>
                <w:sz w:val="20"/>
                <w:szCs w:val="20"/>
              </w:rPr>
              <w:t>University Cafeteria #4</w:t>
            </w:r>
          </w:p>
        </w:tc>
        <w:tc>
          <w:tcPr>
            <w:tcW w:w="2070" w:type="dxa"/>
            <w:shd w:val="clear" w:color="auto" w:fill="auto"/>
            <w:noWrap/>
            <w:vAlign w:val="bottom"/>
            <w:hideMark/>
          </w:tcPr>
          <w:p w14:paraId="5A3E31A1" w14:textId="77777777" w:rsidR="00604401" w:rsidRPr="00186C5F" w:rsidRDefault="00604401" w:rsidP="00604401">
            <w:pPr>
              <w:rPr>
                <w:rFonts w:ascii="Calibri" w:hAnsi="Calibri" w:cs="Calibri"/>
                <w:sz w:val="20"/>
                <w:szCs w:val="20"/>
              </w:rPr>
            </w:pPr>
            <w:r w:rsidRPr="00186C5F">
              <w:rPr>
                <w:rFonts w:ascii="Calibri" w:hAnsi="Calibri" w:cs="Calibri"/>
                <w:sz w:val="20"/>
                <w:szCs w:val="20"/>
              </w:rPr>
              <w:t>Trough Feed Collector with PRSV</w:t>
            </w:r>
          </w:p>
        </w:tc>
        <w:tc>
          <w:tcPr>
            <w:tcW w:w="810" w:type="dxa"/>
            <w:shd w:val="clear" w:color="auto" w:fill="auto"/>
            <w:noWrap/>
            <w:vAlign w:val="bottom"/>
            <w:hideMark/>
          </w:tcPr>
          <w:p w14:paraId="1F02D0B2"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51</w:t>
            </w:r>
          </w:p>
        </w:tc>
        <w:tc>
          <w:tcPr>
            <w:tcW w:w="810" w:type="dxa"/>
            <w:shd w:val="clear" w:color="auto" w:fill="auto"/>
            <w:noWrap/>
            <w:vAlign w:val="bottom"/>
            <w:hideMark/>
          </w:tcPr>
          <w:p w14:paraId="4A0D0305"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27</w:t>
            </w:r>
          </w:p>
        </w:tc>
        <w:tc>
          <w:tcPr>
            <w:tcW w:w="900" w:type="dxa"/>
            <w:shd w:val="clear" w:color="auto" w:fill="auto"/>
            <w:noWrap/>
            <w:vAlign w:val="bottom"/>
            <w:hideMark/>
          </w:tcPr>
          <w:p w14:paraId="7039C628"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821</w:t>
            </w:r>
          </w:p>
        </w:tc>
        <w:tc>
          <w:tcPr>
            <w:tcW w:w="810" w:type="dxa"/>
            <w:shd w:val="clear" w:color="auto" w:fill="auto"/>
            <w:noWrap/>
            <w:vAlign w:val="bottom"/>
            <w:hideMark/>
          </w:tcPr>
          <w:p w14:paraId="7373E995"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852</w:t>
            </w:r>
          </w:p>
        </w:tc>
        <w:tc>
          <w:tcPr>
            <w:tcW w:w="810" w:type="dxa"/>
            <w:shd w:val="clear" w:color="auto" w:fill="auto"/>
            <w:noWrap/>
            <w:vAlign w:val="bottom"/>
            <w:hideMark/>
          </w:tcPr>
          <w:p w14:paraId="40D4FF7A"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1673</w:t>
            </w:r>
          </w:p>
        </w:tc>
        <w:tc>
          <w:tcPr>
            <w:tcW w:w="810" w:type="dxa"/>
            <w:shd w:val="clear" w:color="auto" w:fill="auto"/>
            <w:noWrap/>
            <w:vAlign w:val="bottom"/>
            <w:hideMark/>
          </w:tcPr>
          <w:p w14:paraId="4659B905"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49%</w:t>
            </w:r>
          </w:p>
        </w:tc>
        <w:tc>
          <w:tcPr>
            <w:tcW w:w="1063" w:type="dxa"/>
            <w:shd w:val="clear" w:color="auto" w:fill="auto"/>
            <w:noWrap/>
            <w:vAlign w:val="bottom"/>
            <w:hideMark/>
          </w:tcPr>
          <w:p w14:paraId="7B1BDC84" w14:textId="77777777" w:rsidR="00604401" w:rsidRPr="00186C5F" w:rsidRDefault="00604401" w:rsidP="00604401">
            <w:pPr>
              <w:jc w:val="right"/>
              <w:rPr>
                <w:rFonts w:ascii="Calibri" w:hAnsi="Calibri" w:cs="Calibri"/>
                <w:b/>
                <w:bCs/>
                <w:color w:val="000000"/>
                <w:sz w:val="20"/>
                <w:szCs w:val="20"/>
              </w:rPr>
            </w:pPr>
            <w:r w:rsidRPr="00186C5F">
              <w:rPr>
                <w:rFonts w:ascii="Calibri" w:hAnsi="Calibri" w:cs="Calibri"/>
                <w:b/>
                <w:bCs/>
                <w:color w:val="000000"/>
                <w:sz w:val="20"/>
                <w:szCs w:val="20"/>
              </w:rPr>
              <w:t>1.21</w:t>
            </w:r>
          </w:p>
        </w:tc>
      </w:tr>
      <w:tr w:rsidR="00604401" w:rsidRPr="00186C5F" w14:paraId="1DE99EF1" w14:textId="77777777" w:rsidTr="00604401">
        <w:trPr>
          <w:trHeight w:val="288"/>
        </w:trPr>
        <w:tc>
          <w:tcPr>
            <w:tcW w:w="1350" w:type="dxa"/>
            <w:shd w:val="clear" w:color="auto" w:fill="auto"/>
            <w:noWrap/>
            <w:vAlign w:val="bottom"/>
            <w:hideMark/>
          </w:tcPr>
          <w:p w14:paraId="2E765CA1" w14:textId="77777777" w:rsidR="00604401" w:rsidRPr="00186C5F" w:rsidRDefault="00604401" w:rsidP="00604401">
            <w:pPr>
              <w:rPr>
                <w:rFonts w:ascii="Calibri" w:hAnsi="Calibri" w:cs="Calibri"/>
                <w:sz w:val="20"/>
                <w:szCs w:val="20"/>
              </w:rPr>
            </w:pPr>
            <w:r w:rsidRPr="00186C5F">
              <w:rPr>
                <w:rFonts w:ascii="Calibri" w:hAnsi="Calibri" w:cs="Calibri"/>
                <w:sz w:val="20"/>
                <w:szCs w:val="20"/>
              </w:rPr>
              <w:t>Corporate Café 4 #8</w:t>
            </w:r>
          </w:p>
        </w:tc>
        <w:tc>
          <w:tcPr>
            <w:tcW w:w="2070" w:type="dxa"/>
            <w:shd w:val="clear" w:color="auto" w:fill="auto"/>
            <w:noWrap/>
            <w:vAlign w:val="bottom"/>
            <w:hideMark/>
          </w:tcPr>
          <w:p w14:paraId="0DCC5A58" w14:textId="77777777" w:rsidR="00604401" w:rsidRPr="00186C5F" w:rsidRDefault="00604401" w:rsidP="00604401">
            <w:pPr>
              <w:rPr>
                <w:rFonts w:ascii="Calibri" w:hAnsi="Calibri" w:cs="Calibri"/>
                <w:sz w:val="20"/>
                <w:szCs w:val="20"/>
              </w:rPr>
            </w:pPr>
            <w:r w:rsidRPr="00186C5F">
              <w:rPr>
                <w:rFonts w:ascii="Calibri" w:hAnsi="Calibri" w:cs="Calibri"/>
                <w:sz w:val="20"/>
                <w:szCs w:val="20"/>
              </w:rPr>
              <w:t>Trough Feed Pulper with 2 PRSVs</w:t>
            </w:r>
          </w:p>
        </w:tc>
        <w:tc>
          <w:tcPr>
            <w:tcW w:w="810" w:type="dxa"/>
            <w:shd w:val="clear" w:color="auto" w:fill="auto"/>
            <w:noWrap/>
            <w:vAlign w:val="bottom"/>
            <w:hideMark/>
          </w:tcPr>
          <w:p w14:paraId="73B28AE0"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315</w:t>
            </w:r>
          </w:p>
        </w:tc>
        <w:tc>
          <w:tcPr>
            <w:tcW w:w="810" w:type="dxa"/>
            <w:shd w:val="clear" w:color="auto" w:fill="auto"/>
            <w:noWrap/>
            <w:vAlign w:val="bottom"/>
            <w:hideMark/>
          </w:tcPr>
          <w:p w14:paraId="2386BA53"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14</w:t>
            </w:r>
          </w:p>
        </w:tc>
        <w:tc>
          <w:tcPr>
            <w:tcW w:w="900" w:type="dxa"/>
            <w:shd w:val="clear" w:color="auto" w:fill="auto"/>
            <w:noWrap/>
            <w:vAlign w:val="bottom"/>
            <w:hideMark/>
          </w:tcPr>
          <w:p w14:paraId="02A6BAE1"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1106</w:t>
            </w:r>
          </w:p>
        </w:tc>
        <w:tc>
          <w:tcPr>
            <w:tcW w:w="810" w:type="dxa"/>
            <w:shd w:val="clear" w:color="auto" w:fill="auto"/>
            <w:noWrap/>
            <w:vAlign w:val="bottom"/>
            <w:hideMark/>
          </w:tcPr>
          <w:p w14:paraId="515BEA1B"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84</w:t>
            </w:r>
          </w:p>
        </w:tc>
        <w:tc>
          <w:tcPr>
            <w:tcW w:w="810" w:type="dxa"/>
            <w:shd w:val="clear" w:color="auto" w:fill="auto"/>
            <w:noWrap/>
            <w:vAlign w:val="bottom"/>
            <w:hideMark/>
          </w:tcPr>
          <w:p w14:paraId="4E30F9A2"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1190</w:t>
            </w:r>
          </w:p>
        </w:tc>
        <w:tc>
          <w:tcPr>
            <w:tcW w:w="810" w:type="dxa"/>
            <w:shd w:val="clear" w:color="auto" w:fill="auto"/>
            <w:noWrap/>
            <w:vAlign w:val="bottom"/>
            <w:hideMark/>
          </w:tcPr>
          <w:p w14:paraId="47E594F1" w14:textId="77777777" w:rsidR="00604401" w:rsidRPr="00186C5F" w:rsidRDefault="00604401" w:rsidP="00604401">
            <w:pPr>
              <w:jc w:val="right"/>
              <w:rPr>
                <w:rFonts w:ascii="Calibri" w:hAnsi="Calibri" w:cs="Calibri"/>
                <w:color w:val="000000"/>
                <w:sz w:val="20"/>
                <w:szCs w:val="20"/>
              </w:rPr>
            </w:pPr>
            <w:r w:rsidRPr="00186C5F">
              <w:rPr>
                <w:rFonts w:ascii="Calibri" w:hAnsi="Calibri" w:cs="Calibri"/>
                <w:color w:val="000000"/>
                <w:sz w:val="20"/>
                <w:szCs w:val="20"/>
              </w:rPr>
              <w:t>93%</w:t>
            </w:r>
          </w:p>
        </w:tc>
        <w:tc>
          <w:tcPr>
            <w:tcW w:w="1063" w:type="dxa"/>
            <w:shd w:val="clear" w:color="auto" w:fill="auto"/>
            <w:noWrap/>
            <w:vAlign w:val="bottom"/>
            <w:hideMark/>
          </w:tcPr>
          <w:p w14:paraId="4D8FBA44" w14:textId="77777777" w:rsidR="00604401" w:rsidRPr="00186C5F" w:rsidRDefault="00604401" w:rsidP="00604401">
            <w:pPr>
              <w:jc w:val="right"/>
              <w:rPr>
                <w:rFonts w:ascii="Calibri" w:hAnsi="Calibri" w:cs="Calibri"/>
                <w:b/>
                <w:bCs/>
                <w:color w:val="000000"/>
                <w:sz w:val="20"/>
                <w:szCs w:val="20"/>
              </w:rPr>
            </w:pPr>
            <w:r w:rsidRPr="00186C5F">
              <w:rPr>
                <w:rFonts w:ascii="Calibri" w:hAnsi="Calibri" w:cs="Calibri"/>
                <w:b/>
                <w:bCs/>
                <w:color w:val="000000"/>
                <w:sz w:val="20"/>
                <w:szCs w:val="20"/>
              </w:rPr>
              <w:t>2.52</w:t>
            </w:r>
          </w:p>
        </w:tc>
      </w:tr>
      <w:tr w:rsidR="00604401" w:rsidRPr="00186C5F" w14:paraId="16FF910C" w14:textId="77777777" w:rsidTr="00604401">
        <w:trPr>
          <w:trHeight w:val="288"/>
        </w:trPr>
        <w:tc>
          <w:tcPr>
            <w:tcW w:w="1350" w:type="dxa"/>
            <w:shd w:val="clear" w:color="auto" w:fill="auto"/>
            <w:noWrap/>
            <w:vAlign w:val="bottom"/>
            <w:hideMark/>
          </w:tcPr>
          <w:p w14:paraId="26834E08" w14:textId="77777777" w:rsidR="00604401" w:rsidRPr="00186C5F" w:rsidRDefault="00604401" w:rsidP="00604401">
            <w:pPr>
              <w:jc w:val="right"/>
              <w:rPr>
                <w:rFonts w:ascii="Calibri" w:hAnsi="Calibri" w:cs="Calibri"/>
                <w:b/>
                <w:bCs/>
                <w:color w:val="000000"/>
                <w:sz w:val="20"/>
                <w:szCs w:val="20"/>
              </w:rPr>
            </w:pPr>
          </w:p>
        </w:tc>
        <w:tc>
          <w:tcPr>
            <w:tcW w:w="2070" w:type="dxa"/>
            <w:shd w:val="clear" w:color="auto" w:fill="auto"/>
            <w:noWrap/>
            <w:vAlign w:val="bottom"/>
            <w:hideMark/>
          </w:tcPr>
          <w:p w14:paraId="16555184" w14:textId="77777777" w:rsidR="00604401" w:rsidRPr="00186C5F" w:rsidRDefault="00604401" w:rsidP="00604401">
            <w:pPr>
              <w:rPr>
                <w:rFonts w:ascii="Calibri" w:hAnsi="Calibri" w:cs="Calibri"/>
                <w:b/>
                <w:bCs/>
                <w:sz w:val="20"/>
                <w:szCs w:val="20"/>
              </w:rPr>
            </w:pPr>
            <w:r w:rsidRPr="00186C5F">
              <w:rPr>
                <w:rFonts w:ascii="Calibri" w:hAnsi="Calibri" w:cs="Calibri"/>
                <w:b/>
                <w:bCs/>
                <w:sz w:val="20"/>
                <w:szCs w:val="20"/>
              </w:rPr>
              <w:t>Overall Average</w:t>
            </w:r>
          </w:p>
        </w:tc>
        <w:tc>
          <w:tcPr>
            <w:tcW w:w="810" w:type="dxa"/>
            <w:shd w:val="clear" w:color="auto" w:fill="auto"/>
            <w:noWrap/>
            <w:vAlign w:val="bottom"/>
            <w:hideMark/>
          </w:tcPr>
          <w:p w14:paraId="6224E8CD" w14:textId="77777777" w:rsidR="00604401" w:rsidRPr="00186C5F" w:rsidRDefault="00604401" w:rsidP="00604401">
            <w:pPr>
              <w:jc w:val="right"/>
              <w:rPr>
                <w:rFonts w:ascii="Calibri" w:hAnsi="Calibri" w:cs="Calibri"/>
                <w:b/>
                <w:bCs/>
                <w:color w:val="000000"/>
                <w:sz w:val="20"/>
                <w:szCs w:val="20"/>
              </w:rPr>
            </w:pPr>
            <w:r w:rsidRPr="00186C5F">
              <w:rPr>
                <w:rFonts w:ascii="Calibri" w:hAnsi="Calibri" w:cs="Calibri"/>
                <w:b/>
                <w:bCs/>
                <w:color w:val="000000"/>
                <w:sz w:val="20"/>
                <w:szCs w:val="20"/>
              </w:rPr>
              <w:t>107</w:t>
            </w:r>
          </w:p>
        </w:tc>
        <w:tc>
          <w:tcPr>
            <w:tcW w:w="810" w:type="dxa"/>
            <w:shd w:val="clear" w:color="auto" w:fill="auto"/>
            <w:noWrap/>
            <w:vAlign w:val="bottom"/>
            <w:hideMark/>
          </w:tcPr>
          <w:p w14:paraId="3D03F4FD" w14:textId="77777777" w:rsidR="00604401" w:rsidRPr="00186C5F" w:rsidRDefault="00604401" w:rsidP="00604401">
            <w:pPr>
              <w:jc w:val="right"/>
              <w:rPr>
                <w:rFonts w:ascii="Calibri" w:hAnsi="Calibri" w:cs="Calibri"/>
                <w:b/>
                <w:bCs/>
                <w:color w:val="000000"/>
                <w:sz w:val="20"/>
                <w:szCs w:val="20"/>
              </w:rPr>
            </w:pPr>
            <w:r w:rsidRPr="00186C5F">
              <w:rPr>
                <w:rFonts w:ascii="Calibri" w:hAnsi="Calibri" w:cs="Calibri"/>
                <w:b/>
                <w:bCs/>
                <w:color w:val="000000"/>
                <w:sz w:val="20"/>
                <w:szCs w:val="20"/>
              </w:rPr>
              <w:t>10</w:t>
            </w:r>
          </w:p>
        </w:tc>
        <w:tc>
          <w:tcPr>
            <w:tcW w:w="900" w:type="dxa"/>
            <w:shd w:val="clear" w:color="auto" w:fill="auto"/>
            <w:noWrap/>
            <w:vAlign w:val="bottom"/>
            <w:hideMark/>
          </w:tcPr>
          <w:p w14:paraId="5BDA52B1" w14:textId="77777777" w:rsidR="00604401" w:rsidRPr="00186C5F" w:rsidRDefault="00604401" w:rsidP="00604401">
            <w:pPr>
              <w:jc w:val="right"/>
              <w:rPr>
                <w:rFonts w:ascii="Calibri" w:hAnsi="Calibri" w:cs="Calibri"/>
                <w:b/>
                <w:bCs/>
                <w:color w:val="000000"/>
                <w:sz w:val="20"/>
                <w:szCs w:val="20"/>
              </w:rPr>
            </w:pPr>
            <w:r w:rsidRPr="00186C5F">
              <w:rPr>
                <w:rFonts w:ascii="Calibri" w:hAnsi="Calibri" w:cs="Calibri"/>
                <w:b/>
                <w:bCs/>
                <w:color w:val="000000"/>
                <w:sz w:val="20"/>
                <w:szCs w:val="20"/>
              </w:rPr>
              <w:t>380</w:t>
            </w:r>
          </w:p>
        </w:tc>
        <w:tc>
          <w:tcPr>
            <w:tcW w:w="810" w:type="dxa"/>
            <w:shd w:val="clear" w:color="auto" w:fill="auto"/>
            <w:noWrap/>
            <w:vAlign w:val="bottom"/>
            <w:hideMark/>
          </w:tcPr>
          <w:p w14:paraId="61A346C3" w14:textId="77777777" w:rsidR="00604401" w:rsidRPr="00186C5F" w:rsidRDefault="00604401" w:rsidP="00604401">
            <w:pPr>
              <w:jc w:val="right"/>
              <w:rPr>
                <w:rFonts w:ascii="Calibri" w:hAnsi="Calibri" w:cs="Calibri"/>
                <w:b/>
                <w:bCs/>
                <w:color w:val="000000"/>
                <w:sz w:val="20"/>
                <w:szCs w:val="20"/>
              </w:rPr>
            </w:pPr>
            <w:r w:rsidRPr="00186C5F">
              <w:rPr>
                <w:rFonts w:ascii="Calibri" w:hAnsi="Calibri" w:cs="Calibri"/>
                <w:b/>
                <w:bCs/>
                <w:color w:val="000000"/>
                <w:sz w:val="20"/>
                <w:szCs w:val="20"/>
              </w:rPr>
              <w:t>143</w:t>
            </w:r>
          </w:p>
        </w:tc>
        <w:tc>
          <w:tcPr>
            <w:tcW w:w="810" w:type="dxa"/>
            <w:shd w:val="clear" w:color="auto" w:fill="auto"/>
            <w:noWrap/>
            <w:vAlign w:val="bottom"/>
            <w:hideMark/>
          </w:tcPr>
          <w:p w14:paraId="4FDE8759" w14:textId="77777777" w:rsidR="00604401" w:rsidRPr="00186C5F" w:rsidRDefault="00604401" w:rsidP="00604401">
            <w:pPr>
              <w:jc w:val="right"/>
              <w:rPr>
                <w:rFonts w:ascii="Calibri" w:hAnsi="Calibri" w:cs="Calibri"/>
                <w:b/>
                <w:bCs/>
                <w:color w:val="000000"/>
                <w:sz w:val="20"/>
                <w:szCs w:val="20"/>
              </w:rPr>
            </w:pPr>
            <w:r w:rsidRPr="00186C5F">
              <w:rPr>
                <w:rFonts w:ascii="Calibri" w:hAnsi="Calibri" w:cs="Calibri"/>
                <w:b/>
                <w:bCs/>
                <w:color w:val="000000"/>
                <w:sz w:val="20"/>
                <w:szCs w:val="20"/>
              </w:rPr>
              <w:t>524</w:t>
            </w:r>
          </w:p>
        </w:tc>
        <w:tc>
          <w:tcPr>
            <w:tcW w:w="810" w:type="dxa"/>
            <w:shd w:val="clear" w:color="auto" w:fill="auto"/>
            <w:noWrap/>
            <w:vAlign w:val="bottom"/>
            <w:hideMark/>
          </w:tcPr>
          <w:p w14:paraId="26FB3960" w14:textId="77777777" w:rsidR="00604401" w:rsidRPr="00186C5F" w:rsidRDefault="00604401" w:rsidP="00604401">
            <w:pPr>
              <w:jc w:val="right"/>
              <w:rPr>
                <w:rFonts w:ascii="Calibri" w:hAnsi="Calibri" w:cs="Calibri"/>
                <w:b/>
                <w:bCs/>
                <w:color w:val="000000"/>
                <w:sz w:val="20"/>
                <w:szCs w:val="20"/>
              </w:rPr>
            </w:pPr>
            <w:r w:rsidRPr="00186C5F">
              <w:rPr>
                <w:rFonts w:ascii="Calibri" w:hAnsi="Calibri" w:cs="Calibri"/>
                <w:b/>
                <w:bCs/>
                <w:color w:val="000000"/>
                <w:sz w:val="20"/>
                <w:szCs w:val="20"/>
              </w:rPr>
              <w:t>78%</w:t>
            </w:r>
          </w:p>
        </w:tc>
        <w:tc>
          <w:tcPr>
            <w:tcW w:w="1063" w:type="dxa"/>
            <w:shd w:val="clear" w:color="auto" w:fill="auto"/>
            <w:noWrap/>
            <w:vAlign w:val="bottom"/>
            <w:hideMark/>
          </w:tcPr>
          <w:p w14:paraId="0ED4DBC3" w14:textId="77777777" w:rsidR="00604401" w:rsidRPr="00186C5F" w:rsidRDefault="00604401" w:rsidP="00604401">
            <w:pPr>
              <w:jc w:val="right"/>
              <w:rPr>
                <w:rFonts w:ascii="Calibri" w:hAnsi="Calibri" w:cs="Calibri"/>
                <w:b/>
                <w:bCs/>
                <w:color w:val="000000"/>
                <w:sz w:val="20"/>
                <w:szCs w:val="20"/>
              </w:rPr>
            </w:pPr>
            <w:r w:rsidRPr="00186C5F">
              <w:rPr>
                <w:rFonts w:ascii="Calibri" w:hAnsi="Calibri" w:cs="Calibri"/>
                <w:b/>
                <w:bCs/>
                <w:color w:val="000000"/>
                <w:sz w:val="20"/>
                <w:szCs w:val="20"/>
              </w:rPr>
              <w:t>1.55</w:t>
            </w:r>
          </w:p>
        </w:tc>
      </w:tr>
    </w:tbl>
    <w:p w14:paraId="41743B5A" w14:textId="77777777" w:rsidR="00E23B22" w:rsidRPr="00C76EB4" w:rsidRDefault="00E23B22" w:rsidP="00E23B22">
      <w:pPr>
        <w:rPr>
          <w:rFonts w:cs="Arial"/>
        </w:rPr>
      </w:pPr>
    </w:p>
    <w:p w14:paraId="5C0F1480" w14:textId="77777777" w:rsidR="00186C5F" w:rsidRPr="00C76EB4" w:rsidRDefault="00186C5F" w:rsidP="00F828A6">
      <w:pPr>
        <w:rPr>
          <w:rFonts w:cs="Arial"/>
        </w:rPr>
      </w:pPr>
    </w:p>
    <w:p w14:paraId="46A19546" w14:textId="77777777" w:rsidR="009844A1" w:rsidRDefault="009844A1" w:rsidP="009844A1">
      <w:pPr>
        <w:pStyle w:val="Heading2"/>
        <w:rPr>
          <w:rFonts w:asciiTheme="minorHAnsi" w:hAnsiTheme="minorHAnsi" w:cstheme="minorHAnsi"/>
        </w:rPr>
      </w:pPr>
      <w:r w:rsidRPr="009844A1">
        <w:rPr>
          <w:rFonts w:asciiTheme="minorHAnsi" w:hAnsiTheme="minorHAnsi" w:cstheme="minorHAnsi"/>
        </w:rPr>
        <w:lastRenderedPageBreak/>
        <w:t xml:space="preserve">1.6 Data </w:t>
      </w:r>
      <w:r w:rsidR="00602F18">
        <w:rPr>
          <w:rFonts w:asciiTheme="minorHAnsi" w:hAnsiTheme="minorHAnsi" w:cstheme="minorHAnsi"/>
        </w:rPr>
        <w:t>Quality and Future Data Needs</w:t>
      </w:r>
    </w:p>
    <w:p w14:paraId="71C60D85" w14:textId="357449A2" w:rsidR="003D17A3" w:rsidRPr="00C76EB4" w:rsidRDefault="001B38A3" w:rsidP="00C76EB4">
      <w:pPr>
        <w:rPr>
          <w:rFonts w:cs="Arial"/>
          <w:szCs w:val="22"/>
        </w:rPr>
      </w:pPr>
      <w:r w:rsidRPr="00C76EB4">
        <w:rPr>
          <w:rFonts w:cs="Arial"/>
          <w:szCs w:val="22"/>
        </w:rPr>
        <w:t>Referenced data in this work</w:t>
      </w:r>
      <w:r w:rsidR="00D12FD3">
        <w:rPr>
          <w:rFonts w:cs="Arial"/>
          <w:szCs w:val="22"/>
        </w:rPr>
        <w:t xml:space="preserve"> </w:t>
      </w:r>
      <w:r w:rsidRPr="00C76EB4">
        <w:rPr>
          <w:rFonts w:cs="Arial"/>
          <w:szCs w:val="22"/>
        </w:rPr>
        <w:t xml:space="preserve">paper is 12 years old and </w:t>
      </w:r>
      <w:r w:rsidR="00D5584E" w:rsidRPr="00C76EB4">
        <w:rPr>
          <w:rFonts w:cs="Arial"/>
          <w:szCs w:val="22"/>
        </w:rPr>
        <w:t xml:space="preserve">should be updated. </w:t>
      </w:r>
      <w:r w:rsidR="00A67454" w:rsidRPr="00C76EB4">
        <w:rPr>
          <w:rFonts w:cs="Arial"/>
          <w:szCs w:val="22"/>
        </w:rPr>
        <w:t xml:space="preserve">No </w:t>
      </w:r>
      <w:r w:rsidR="00313AD5">
        <w:rPr>
          <w:rFonts w:cs="Arial"/>
          <w:szCs w:val="22"/>
        </w:rPr>
        <w:t>specific</w:t>
      </w:r>
      <w:r w:rsidR="00A67454">
        <w:rPr>
          <w:rFonts w:cs="Arial"/>
          <w:szCs w:val="22"/>
        </w:rPr>
        <w:t xml:space="preserve"> </w:t>
      </w:r>
      <w:r w:rsidR="00A67454" w:rsidRPr="00C76EB4">
        <w:rPr>
          <w:rFonts w:cs="Arial"/>
          <w:szCs w:val="22"/>
        </w:rPr>
        <w:t xml:space="preserve">PRSV study has been conducted since. The key values that affect this </w:t>
      </w:r>
      <w:r w:rsidR="0050331C" w:rsidRPr="00C76EB4">
        <w:rPr>
          <w:rFonts w:cs="Arial"/>
          <w:szCs w:val="22"/>
        </w:rPr>
        <w:t>work</w:t>
      </w:r>
      <w:r w:rsidR="003250FA">
        <w:rPr>
          <w:rFonts w:cs="Arial"/>
          <w:szCs w:val="22"/>
        </w:rPr>
        <w:t xml:space="preserve"> </w:t>
      </w:r>
      <w:r w:rsidR="0050331C" w:rsidRPr="00C76EB4">
        <w:rPr>
          <w:rFonts w:cs="Arial"/>
          <w:szCs w:val="22"/>
        </w:rPr>
        <w:t>paper are:</w:t>
      </w:r>
    </w:p>
    <w:p w14:paraId="324D04D3" w14:textId="4441DB6F" w:rsidR="006644B2" w:rsidRPr="00C76EB4" w:rsidRDefault="0050331C">
      <w:pPr>
        <w:pStyle w:val="ListParagraph"/>
        <w:numPr>
          <w:ilvl w:val="0"/>
          <w:numId w:val="44"/>
        </w:numPr>
        <w:rPr>
          <w:rFonts w:cs="Arial"/>
          <w:szCs w:val="22"/>
        </w:rPr>
      </w:pPr>
      <w:r w:rsidRPr="00CF018E">
        <w:rPr>
          <w:rFonts w:cs="Arial"/>
          <w:szCs w:val="22"/>
        </w:rPr>
        <w:t>Incoming water temperature</w:t>
      </w:r>
      <w:r w:rsidR="009728EC" w:rsidRPr="00CF018E">
        <w:rPr>
          <w:rFonts w:cs="Arial"/>
          <w:szCs w:val="22"/>
        </w:rPr>
        <w:t xml:space="preserve"> – this value should not change over time and is well documented by water </w:t>
      </w:r>
      <w:r w:rsidR="00FB58BD" w:rsidRPr="001B3A6B">
        <w:rPr>
          <w:rFonts w:cs="Arial"/>
          <w:szCs w:val="22"/>
        </w:rPr>
        <w:t>utilities;</w:t>
      </w:r>
      <w:r w:rsidR="009728EC" w:rsidRPr="001B3A6B">
        <w:rPr>
          <w:rFonts w:cs="Arial"/>
          <w:szCs w:val="22"/>
        </w:rPr>
        <w:t xml:space="preserve"> no </w:t>
      </w:r>
      <w:r w:rsidR="00FE5F5D" w:rsidRPr="00C76EB4">
        <w:rPr>
          <w:rFonts w:cs="Arial"/>
          <w:szCs w:val="22"/>
        </w:rPr>
        <w:t>update is needed.</w:t>
      </w:r>
    </w:p>
    <w:p w14:paraId="30F1BFFF" w14:textId="342756E9" w:rsidR="00102C99" w:rsidRDefault="002D6015" w:rsidP="00102C99">
      <w:pPr>
        <w:pStyle w:val="ListParagraph"/>
        <w:numPr>
          <w:ilvl w:val="0"/>
          <w:numId w:val="44"/>
        </w:numPr>
        <w:rPr>
          <w:rFonts w:cs="Arial"/>
          <w:szCs w:val="22"/>
        </w:rPr>
      </w:pPr>
      <w:r w:rsidRPr="00C76EB4">
        <w:rPr>
          <w:rFonts w:cs="Arial"/>
          <w:szCs w:val="22"/>
        </w:rPr>
        <w:t>PRSV mixed temperature</w:t>
      </w:r>
      <w:r w:rsidR="008A391D" w:rsidRPr="00C76EB4">
        <w:rPr>
          <w:rFonts w:cs="Arial"/>
          <w:szCs w:val="22"/>
        </w:rPr>
        <w:t xml:space="preserve"> – this value should not change over time</w:t>
      </w:r>
      <w:r w:rsidR="00D12FD3">
        <w:rPr>
          <w:rFonts w:cs="Arial"/>
          <w:szCs w:val="22"/>
        </w:rPr>
        <w:t>;</w:t>
      </w:r>
      <w:r w:rsidR="008A391D" w:rsidRPr="00C76EB4">
        <w:rPr>
          <w:rFonts w:cs="Arial"/>
          <w:szCs w:val="22"/>
        </w:rPr>
        <w:t xml:space="preserve"> the reference of 114.1</w:t>
      </w:r>
      <w:r w:rsidR="00C857EE">
        <w:rPr>
          <w:rFonts w:cstheme="minorHAnsi"/>
          <w:szCs w:val="22"/>
        </w:rPr>
        <w:t>°</w:t>
      </w:r>
      <w:r w:rsidR="008A391D" w:rsidRPr="00CF018E">
        <w:rPr>
          <w:rFonts w:cs="Arial"/>
          <w:szCs w:val="22"/>
        </w:rPr>
        <w:t xml:space="preserve">F is based </w:t>
      </w:r>
      <w:r w:rsidR="004B047B">
        <w:rPr>
          <w:rFonts w:cs="Arial"/>
          <w:szCs w:val="22"/>
        </w:rPr>
        <w:t xml:space="preserve">primarily on the study mentioned in section 1.5.1, which accounts for 245 data points. </w:t>
      </w:r>
    </w:p>
    <w:p w14:paraId="738FD5A5" w14:textId="4F1206F3" w:rsidR="006F4BAB" w:rsidRDefault="002D6015" w:rsidP="00C76EB4">
      <w:pPr>
        <w:pStyle w:val="ListParagraph"/>
        <w:numPr>
          <w:ilvl w:val="0"/>
          <w:numId w:val="44"/>
        </w:numPr>
        <w:rPr>
          <w:rFonts w:cs="Arial"/>
          <w:szCs w:val="22"/>
        </w:rPr>
      </w:pPr>
      <w:r w:rsidRPr="00CF018E">
        <w:rPr>
          <w:rFonts w:cs="Arial"/>
          <w:szCs w:val="22"/>
        </w:rPr>
        <w:t xml:space="preserve">PRSV </w:t>
      </w:r>
      <w:r w:rsidR="00D12FD3">
        <w:rPr>
          <w:rFonts w:cs="Arial"/>
          <w:szCs w:val="22"/>
        </w:rPr>
        <w:t>o</w:t>
      </w:r>
      <w:r w:rsidR="00520C16">
        <w:rPr>
          <w:rFonts w:cs="Arial"/>
          <w:szCs w:val="22"/>
        </w:rPr>
        <w:t>n-</w:t>
      </w:r>
      <w:r w:rsidRPr="00CF018E">
        <w:rPr>
          <w:rFonts w:cs="Arial"/>
          <w:szCs w:val="22"/>
        </w:rPr>
        <w:t>time</w:t>
      </w:r>
      <w:r w:rsidR="00992B3C" w:rsidRPr="00CF018E">
        <w:rPr>
          <w:rFonts w:cs="Arial"/>
          <w:szCs w:val="22"/>
        </w:rPr>
        <w:t xml:space="preserve"> – this value may change as end</w:t>
      </w:r>
      <w:r w:rsidR="00D12FD3">
        <w:rPr>
          <w:rFonts w:cs="Arial"/>
          <w:szCs w:val="22"/>
        </w:rPr>
        <w:t>-</w:t>
      </w:r>
      <w:r w:rsidR="00992B3C" w:rsidRPr="00CF018E">
        <w:rPr>
          <w:rFonts w:cs="Arial"/>
          <w:szCs w:val="22"/>
        </w:rPr>
        <w:t xml:space="preserve">users </w:t>
      </w:r>
      <w:r w:rsidR="00102C99" w:rsidRPr="00CF018E">
        <w:rPr>
          <w:rFonts w:cs="Arial"/>
          <w:szCs w:val="22"/>
        </w:rPr>
        <w:t xml:space="preserve">switch to lower flow spray valves; this value </w:t>
      </w:r>
      <w:r w:rsidR="000222A4">
        <w:rPr>
          <w:rFonts w:cs="Arial"/>
          <w:szCs w:val="22"/>
        </w:rPr>
        <w:t xml:space="preserve">is </w:t>
      </w:r>
      <w:r w:rsidR="00D12FD3">
        <w:rPr>
          <w:rFonts w:cs="Arial"/>
          <w:szCs w:val="22"/>
        </w:rPr>
        <w:t xml:space="preserve">also </w:t>
      </w:r>
      <w:r w:rsidR="000222A4">
        <w:rPr>
          <w:rFonts w:cs="Arial"/>
          <w:szCs w:val="22"/>
        </w:rPr>
        <w:t xml:space="preserve">dependent on facility size. The current </w:t>
      </w:r>
      <w:r w:rsidR="000222A4" w:rsidRPr="00CE4050">
        <w:rPr>
          <w:rFonts w:cs="Arial"/>
          <w:szCs w:val="22"/>
        </w:rPr>
        <w:t xml:space="preserve">reference of </w:t>
      </w:r>
      <w:r w:rsidR="000222A4">
        <w:rPr>
          <w:rFonts w:cs="Arial"/>
          <w:szCs w:val="22"/>
        </w:rPr>
        <w:t>1.0 hour</w:t>
      </w:r>
      <w:r w:rsidR="000222A4" w:rsidRPr="00CE4050">
        <w:rPr>
          <w:rFonts w:cs="Arial"/>
          <w:szCs w:val="22"/>
        </w:rPr>
        <w:t xml:space="preserve"> is based </w:t>
      </w:r>
      <w:r w:rsidR="004B047B">
        <w:rPr>
          <w:rFonts w:cs="Arial"/>
          <w:szCs w:val="22"/>
        </w:rPr>
        <w:t>primarily on the referenced study in 1.5.1</w:t>
      </w:r>
      <w:r w:rsidR="00D12FD3">
        <w:rPr>
          <w:rFonts w:cs="Arial"/>
          <w:szCs w:val="22"/>
        </w:rPr>
        <w:t>;</w:t>
      </w:r>
      <w:r w:rsidR="000222A4">
        <w:rPr>
          <w:rFonts w:cs="Arial"/>
          <w:szCs w:val="22"/>
        </w:rPr>
        <w:t xml:space="preserve"> however</w:t>
      </w:r>
      <w:r w:rsidR="00D12FD3">
        <w:rPr>
          <w:rFonts w:cs="Arial"/>
          <w:szCs w:val="22"/>
        </w:rPr>
        <w:t>,</w:t>
      </w:r>
      <w:r w:rsidR="000222A4">
        <w:rPr>
          <w:rFonts w:cs="Arial"/>
          <w:szCs w:val="22"/>
        </w:rPr>
        <w:t xml:space="preserve"> the hours of operation between sites varied greatly</w:t>
      </w:r>
      <w:r w:rsidR="000222A4" w:rsidRPr="00CE4050">
        <w:rPr>
          <w:rFonts w:cs="Arial"/>
          <w:szCs w:val="22"/>
        </w:rPr>
        <w:t>.</w:t>
      </w:r>
      <w:r w:rsidR="000222A4">
        <w:rPr>
          <w:rFonts w:cs="Arial"/>
          <w:szCs w:val="22"/>
        </w:rPr>
        <w:t xml:space="preserve"> It is recommended that more sites be monitored to substantiate that value.</w:t>
      </w:r>
    </w:p>
    <w:p w14:paraId="0E70717D" w14:textId="77777777" w:rsidR="00520C16" w:rsidRPr="00C76EB4" w:rsidRDefault="00520C16" w:rsidP="00C76EB4">
      <w:pPr>
        <w:pStyle w:val="ListParagraph"/>
        <w:rPr>
          <w:rFonts w:cs="Arial"/>
          <w:szCs w:val="22"/>
        </w:rPr>
      </w:pPr>
    </w:p>
    <w:p w14:paraId="76524EF7" w14:textId="359D005F" w:rsidR="006F4BAB" w:rsidRPr="001B3A6B" w:rsidRDefault="006F4BAB" w:rsidP="00C76EB4">
      <w:pPr>
        <w:pStyle w:val="Caption"/>
        <w:rPr>
          <w:rFonts w:cstheme="minorHAnsi"/>
          <w:szCs w:val="22"/>
        </w:rPr>
      </w:pPr>
      <w:r>
        <w:rPr>
          <w:rFonts w:cstheme="minorHAnsi"/>
          <w:szCs w:val="22"/>
        </w:rPr>
        <w:t>Average Pre-Rinse Operation Daily Hours of Use</w:t>
      </w:r>
      <w:r w:rsidRPr="00C76EB4">
        <w:rPr>
          <w:rFonts w:cstheme="minorHAnsi"/>
          <w:szCs w:val="22"/>
          <w:vertAlign w:val="superscript"/>
        </w:rPr>
        <w:fldChar w:fldCharType="begin"/>
      </w:r>
      <w:r w:rsidRPr="00C76EB4">
        <w:rPr>
          <w:rFonts w:cstheme="minorHAnsi"/>
          <w:szCs w:val="22"/>
          <w:vertAlign w:val="superscript"/>
        </w:rPr>
        <w:instrText xml:space="preserve"> NOTEREF _Ref525292890 \h </w:instrText>
      </w:r>
      <w:r>
        <w:rPr>
          <w:rFonts w:cstheme="minorHAnsi"/>
          <w:szCs w:val="22"/>
          <w:vertAlign w:val="superscript"/>
        </w:rPr>
        <w:instrText xml:space="preserve"> \* MERGEFORMAT </w:instrText>
      </w:r>
      <w:r w:rsidRPr="00C76EB4">
        <w:rPr>
          <w:rFonts w:cstheme="minorHAnsi"/>
          <w:szCs w:val="22"/>
          <w:vertAlign w:val="superscript"/>
        </w:rPr>
      </w:r>
      <w:r w:rsidRPr="00C76EB4">
        <w:rPr>
          <w:rFonts w:cstheme="minorHAnsi"/>
          <w:szCs w:val="22"/>
          <w:vertAlign w:val="superscript"/>
        </w:rPr>
        <w:fldChar w:fldCharType="separate"/>
      </w:r>
      <w:r w:rsidRPr="00C76EB4">
        <w:rPr>
          <w:rFonts w:cstheme="minorHAnsi"/>
          <w:szCs w:val="22"/>
          <w:vertAlign w:val="superscript"/>
        </w:rPr>
        <w:t>5</w:t>
      </w:r>
      <w:r w:rsidRPr="00C76EB4">
        <w:rPr>
          <w:rFonts w:cstheme="minorHAnsi"/>
          <w:szCs w:val="22"/>
          <w:vertAlign w:val="superscript"/>
        </w:rPr>
        <w:fldChar w:fldCharType="end"/>
      </w:r>
    </w:p>
    <w:p w14:paraId="422E8D9A" w14:textId="6240EDB9" w:rsidR="00D617D1" w:rsidRDefault="00D617D1" w:rsidP="00D617D1">
      <w:pPr>
        <w:rPr>
          <w:rFonts w:cs="Arial"/>
          <w:szCs w:val="22"/>
        </w:rPr>
      </w:pPr>
      <w:r>
        <w:rPr>
          <w:rFonts w:cs="Arial"/>
          <w:noProof/>
          <w:szCs w:val="22"/>
        </w:rPr>
        <w:drawing>
          <wp:inline distT="0" distB="0" distL="0" distR="0" wp14:anchorId="6FECBEC7" wp14:editId="6A23428A">
            <wp:extent cx="5943600" cy="278443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ily Use Graph.png"/>
                    <pic:cNvPicPr/>
                  </pic:nvPicPr>
                  <pic:blipFill rotWithShape="1">
                    <a:blip r:embed="rId22" cstate="print">
                      <a:extLst>
                        <a:ext uri="{28A0092B-C50C-407E-A947-70E740481C1C}">
                          <a14:useLocalDpi xmlns:a14="http://schemas.microsoft.com/office/drawing/2010/main" val="0"/>
                        </a:ext>
                      </a:extLst>
                    </a:blip>
                    <a:srcRect t="11110"/>
                    <a:stretch/>
                  </pic:blipFill>
                  <pic:spPr bwMode="auto">
                    <a:xfrm>
                      <a:off x="0" y="0"/>
                      <a:ext cx="5943600" cy="2784437"/>
                    </a:xfrm>
                    <a:prstGeom prst="rect">
                      <a:avLst/>
                    </a:prstGeom>
                    <a:ln>
                      <a:noFill/>
                    </a:ln>
                    <a:extLst>
                      <a:ext uri="{53640926-AAD7-44D8-BBD7-CCE9431645EC}">
                        <a14:shadowObscured xmlns:a14="http://schemas.microsoft.com/office/drawing/2010/main"/>
                      </a:ext>
                    </a:extLst>
                  </pic:spPr>
                </pic:pic>
              </a:graphicData>
            </a:graphic>
          </wp:inline>
        </w:drawing>
      </w:r>
    </w:p>
    <w:p w14:paraId="0D4E6E10" w14:textId="77777777" w:rsidR="00D617D1" w:rsidRPr="00CF018E" w:rsidRDefault="00D617D1" w:rsidP="00C76EB4">
      <w:pPr>
        <w:rPr>
          <w:rFonts w:cs="Arial"/>
          <w:szCs w:val="22"/>
        </w:rPr>
      </w:pPr>
    </w:p>
    <w:p w14:paraId="3E454514" w14:textId="7463CEAE" w:rsidR="000222A4" w:rsidRDefault="00665AF2" w:rsidP="000222A4">
      <w:pPr>
        <w:pStyle w:val="ListParagraph"/>
        <w:numPr>
          <w:ilvl w:val="0"/>
          <w:numId w:val="44"/>
        </w:numPr>
        <w:rPr>
          <w:rFonts w:cs="Arial"/>
          <w:szCs w:val="22"/>
        </w:rPr>
      </w:pPr>
      <w:r w:rsidRPr="00CF018E">
        <w:rPr>
          <w:rFonts w:cs="Arial"/>
          <w:szCs w:val="22"/>
        </w:rPr>
        <w:t xml:space="preserve">EUL </w:t>
      </w:r>
      <w:r w:rsidR="000222A4">
        <w:rPr>
          <w:rFonts w:cs="Arial"/>
          <w:szCs w:val="22"/>
        </w:rPr>
        <w:t>–</w:t>
      </w:r>
      <w:r w:rsidRPr="00CF018E">
        <w:rPr>
          <w:rFonts w:cs="Arial"/>
          <w:szCs w:val="22"/>
        </w:rPr>
        <w:t xml:space="preserve"> </w:t>
      </w:r>
      <w:r w:rsidR="000222A4">
        <w:rPr>
          <w:rFonts w:cs="Arial"/>
          <w:szCs w:val="22"/>
        </w:rPr>
        <w:t xml:space="preserve">The EUL of 5 years is based on Phase </w:t>
      </w:r>
      <w:r w:rsidR="00520C16">
        <w:rPr>
          <w:rFonts w:cs="Arial"/>
          <w:szCs w:val="22"/>
        </w:rPr>
        <w:t>2</w:t>
      </w:r>
      <w:r w:rsidR="00A32911">
        <w:rPr>
          <w:rFonts w:cs="Arial"/>
          <w:szCs w:val="22"/>
        </w:rPr>
        <w:t xml:space="preserve"> of the California study</w:t>
      </w:r>
      <w:r w:rsidR="00F541A6">
        <w:rPr>
          <w:rFonts w:cs="Arial"/>
          <w:szCs w:val="22"/>
        </w:rPr>
        <w:t xml:space="preserve"> (1.5.3)</w:t>
      </w:r>
      <w:r w:rsidR="00A32911">
        <w:rPr>
          <w:rFonts w:cs="Arial"/>
          <w:szCs w:val="22"/>
        </w:rPr>
        <w:t xml:space="preserve">. EUL values are very difficult to determine and are mostly based on operator feedback. </w:t>
      </w:r>
      <w:r w:rsidR="00BA3780">
        <w:rPr>
          <w:rFonts w:cs="Arial"/>
          <w:szCs w:val="22"/>
        </w:rPr>
        <w:t xml:space="preserve">This value should be </w:t>
      </w:r>
      <w:r w:rsidR="00520C16">
        <w:rPr>
          <w:rFonts w:cs="Arial"/>
          <w:szCs w:val="22"/>
        </w:rPr>
        <w:t xml:space="preserve">further </w:t>
      </w:r>
      <w:r w:rsidR="00BA3780">
        <w:rPr>
          <w:rFonts w:cs="Arial"/>
          <w:szCs w:val="22"/>
        </w:rPr>
        <w:t>substantiated by administering more surveys to manufacturers and end</w:t>
      </w:r>
      <w:r w:rsidR="00520C16">
        <w:rPr>
          <w:rFonts w:cs="Arial"/>
          <w:szCs w:val="22"/>
        </w:rPr>
        <w:t>-</w:t>
      </w:r>
      <w:r w:rsidR="00BA3780">
        <w:rPr>
          <w:rFonts w:cs="Arial"/>
          <w:szCs w:val="22"/>
        </w:rPr>
        <w:t>users.</w:t>
      </w:r>
    </w:p>
    <w:p w14:paraId="3248F665" w14:textId="4FD23F3C" w:rsidR="000222A4" w:rsidRDefault="00FE5F5D" w:rsidP="000222A4">
      <w:pPr>
        <w:pStyle w:val="ListParagraph"/>
        <w:numPr>
          <w:ilvl w:val="0"/>
          <w:numId w:val="44"/>
        </w:numPr>
        <w:rPr>
          <w:rFonts w:cs="Arial"/>
          <w:szCs w:val="22"/>
        </w:rPr>
      </w:pPr>
      <w:r w:rsidRPr="00CF018E">
        <w:rPr>
          <w:rFonts w:cs="Arial"/>
          <w:szCs w:val="22"/>
        </w:rPr>
        <w:t xml:space="preserve">Water </w:t>
      </w:r>
      <w:r w:rsidR="00520C16">
        <w:rPr>
          <w:rFonts w:cs="Arial"/>
          <w:szCs w:val="22"/>
        </w:rPr>
        <w:t>H</w:t>
      </w:r>
      <w:r w:rsidRPr="00CF018E">
        <w:rPr>
          <w:rFonts w:cs="Arial"/>
          <w:szCs w:val="22"/>
        </w:rPr>
        <w:t xml:space="preserve">eater </w:t>
      </w:r>
      <w:r w:rsidR="00520C16">
        <w:rPr>
          <w:rFonts w:cs="Arial"/>
          <w:szCs w:val="22"/>
        </w:rPr>
        <w:t>E</w:t>
      </w:r>
      <w:r w:rsidRPr="00CF018E">
        <w:rPr>
          <w:rFonts w:cs="Arial"/>
          <w:szCs w:val="22"/>
        </w:rPr>
        <w:t>fficiency</w:t>
      </w:r>
      <w:r w:rsidR="00BA3780">
        <w:rPr>
          <w:rFonts w:cs="Arial"/>
          <w:szCs w:val="22"/>
        </w:rPr>
        <w:t xml:space="preserve"> </w:t>
      </w:r>
      <w:r w:rsidR="008308DA">
        <w:rPr>
          <w:rFonts w:cs="Arial"/>
          <w:szCs w:val="22"/>
        </w:rPr>
        <w:t>–</w:t>
      </w:r>
      <w:r w:rsidR="00BA3780">
        <w:rPr>
          <w:rFonts w:cs="Arial"/>
          <w:szCs w:val="22"/>
        </w:rPr>
        <w:t xml:space="preserve"> </w:t>
      </w:r>
      <w:r w:rsidR="008308DA">
        <w:rPr>
          <w:rFonts w:cs="Arial"/>
          <w:szCs w:val="22"/>
        </w:rPr>
        <w:t xml:space="preserve">water heater efficiency is well documented based on laboratory </w:t>
      </w:r>
      <w:r w:rsidR="008010C4">
        <w:rPr>
          <w:rFonts w:cs="Arial"/>
          <w:szCs w:val="22"/>
        </w:rPr>
        <w:t>testing;</w:t>
      </w:r>
      <w:r w:rsidR="008308DA">
        <w:rPr>
          <w:rFonts w:cs="Arial"/>
          <w:szCs w:val="22"/>
        </w:rPr>
        <w:t xml:space="preserve"> </w:t>
      </w:r>
      <w:r w:rsidR="00EB3356">
        <w:rPr>
          <w:rFonts w:cs="Arial"/>
          <w:szCs w:val="22"/>
        </w:rPr>
        <w:t>however,</w:t>
      </w:r>
      <w:r w:rsidR="008308DA">
        <w:rPr>
          <w:rFonts w:cs="Arial"/>
          <w:szCs w:val="22"/>
        </w:rPr>
        <w:t xml:space="preserve"> it </w:t>
      </w:r>
      <w:r w:rsidR="001D34C4">
        <w:rPr>
          <w:rFonts w:cs="Arial"/>
          <w:szCs w:val="22"/>
        </w:rPr>
        <w:t xml:space="preserve">will change as new water heaters become more efficient. </w:t>
      </w:r>
      <w:r w:rsidR="00452A07">
        <w:rPr>
          <w:rFonts w:cs="Arial"/>
          <w:szCs w:val="22"/>
        </w:rPr>
        <w:t>Water heating efficiency referenced in this work</w:t>
      </w:r>
      <w:r w:rsidR="003250FA">
        <w:rPr>
          <w:rFonts w:cs="Arial"/>
          <w:szCs w:val="22"/>
        </w:rPr>
        <w:t xml:space="preserve"> </w:t>
      </w:r>
      <w:r w:rsidR="00452A07">
        <w:rPr>
          <w:rFonts w:cs="Arial"/>
          <w:szCs w:val="22"/>
        </w:rPr>
        <w:t xml:space="preserve">paper is </w:t>
      </w:r>
      <w:r w:rsidR="00BD1D84">
        <w:rPr>
          <w:rFonts w:cs="Arial"/>
          <w:szCs w:val="22"/>
        </w:rPr>
        <w:t>delivery efficiency to the PRSV</w:t>
      </w:r>
      <w:r w:rsidR="00520C16">
        <w:rPr>
          <w:rFonts w:cs="Arial"/>
          <w:szCs w:val="22"/>
        </w:rPr>
        <w:t>,</w:t>
      </w:r>
      <w:r w:rsidR="00BD1D84">
        <w:rPr>
          <w:rFonts w:cs="Arial"/>
          <w:szCs w:val="22"/>
        </w:rPr>
        <w:t xml:space="preserve"> which is lower than efficiency of the water heater. This </w:t>
      </w:r>
      <w:r w:rsidR="00520C16">
        <w:rPr>
          <w:rFonts w:cs="Arial"/>
          <w:szCs w:val="22"/>
        </w:rPr>
        <w:t>considers</w:t>
      </w:r>
      <w:r w:rsidR="00BD1D84">
        <w:rPr>
          <w:rFonts w:cs="Arial"/>
          <w:szCs w:val="22"/>
        </w:rPr>
        <w:t xml:space="preserve"> heating line losses between the water heater and the </w:t>
      </w:r>
      <w:r w:rsidR="00F42947">
        <w:rPr>
          <w:rFonts w:cs="Arial"/>
          <w:szCs w:val="22"/>
        </w:rPr>
        <w:t>PRSV itself</w:t>
      </w:r>
      <w:r w:rsidR="00520C16">
        <w:rPr>
          <w:rFonts w:cs="Arial"/>
          <w:szCs w:val="22"/>
        </w:rPr>
        <w:t>,</w:t>
      </w:r>
      <w:r w:rsidR="00F42947">
        <w:rPr>
          <w:rFonts w:cs="Arial"/>
          <w:szCs w:val="22"/>
        </w:rPr>
        <w:t xml:space="preserve"> which may be several feet of </w:t>
      </w:r>
      <w:r w:rsidR="00DF1CE7">
        <w:rPr>
          <w:rFonts w:cs="Arial"/>
          <w:szCs w:val="22"/>
        </w:rPr>
        <w:t xml:space="preserve">piping away </w:t>
      </w:r>
      <w:r w:rsidR="00EB3356">
        <w:rPr>
          <w:rFonts w:cs="Arial"/>
          <w:szCs w:val="22"/>
        </w:rPr>
        <w:t>from</w:t>
      </w:r>
      <w:r w:rsidR="00DF1CE7">
        <w:rPr>
          <w:rFonts w:cs="Arial"/>
          <w:szCs w:val="22"/>
        </w:rPr>
        <w:t xml:space="preserve"> the heater</w:t>
      </w:r>
      <w:r w:rsidR="00F42947">
        <w:rPr>
          <w:rFonts w:cs="Arial"/>
          <w:szCs w:val="22"/>
        </w:rPr>
        <w:t xml:space="preserve">. </w:t>
      </w:r>
      <w:r w:rsidR="00DF1CE7">
        <w:rPr>
          <w:rFonts w:cs="Arial"/>
          <w:szCs w:val="22"/>
        </w:rPr>
        <w:t xml:space="preserve">Different facility types will have different hot water recirculation systems and piping insulations </w:t>
      </w:r>
      <w:r w:rsidR="00520C16">
        <w:rPr>
          <w:rFonts w:cs="Arial"/>
          <w:szCs w:val="22"/>
        </w:rPr>
        <w:t>that</w:t>
      </w:r>
      <w:r w:rsidR="00DF1CE7">
        <w:rPr>
          <w:rFonts w:cs="Arial"/>
          <w:szCs w:val="22"/>
        </w:rPr>
        <w:t xml:space="preserve"> will affect </w:t>
      </w:r>
      <w:r w:rsidR="00C234B2">
        <w:rPr>
          <w:rFonts w:cs="Arial"/>
          <w:szCs w:val="22"/>
        </w:rPr>
        <w:t>PRSV water heating deliver efficiency.</w:t>
      </w:r>
      <w:r w:rsidR="002B2089">
        <w:rPr>
          <w:rFonts w:cs="Arial"/>
          <w:szCs w:val="22"/>
        </w:rPr>
        <w:t xml:space="preserve"> This efficiency was documented in the </w:t>
      </w:r>
      <w:r w:rsidR="002B2089" w:rsidRPr="00E952DD">
        <w:rPr>
          <w:rFonts w:cs="Arial"/>
          <w:szCs w:val="22"/>
        </w:rPr>
        <w:t xml:space="preserve">CEC </w:t>
      </w:r>
      <w:r w:rsidR="00E952DD" w:rsidRPr="00C76EB4">
        <w:rPr>
          <w:rFonts w:cs="Arial"/>
          <w:i/>
          <w:szCs w:val="22"/>
        </w:rPr>
        <w:t>Demonstration of High-Efficiency</w:t>
      </w:r>
      <w:r w:rsidR="002B2089" w:rsidRPr="00C76EB4">
        <w:rPr>
          <w:rFonts w:cs="Arial"/>
          <w:i/>
          <w:szCs w:val="22"/>
        </w:rPr>
        <w:t xml:space="preserve"> Hot Water </w:t>
      </w:r>
      <w:r w:rsidR="00E952DD" w:rsidRPr="00C76EB4">
        <w:rPr>
          <w:rFonts w:cs="Arial"/>
          <w:i/>
          <w:szCs w:val="22"/>
        </w:rPr>
        <w:t>Systems in Commercial Foodservice</w:t>
      </w:r>
      <w:r w:rsidR="002B2089" w:rsidRPr="00E952DD">
        <w:rPr>
          <w:rFonts w:cs="Arial"/>
          <w:szCs w:val="22"/>
        </w:rPr>
        <w:t xml:space="preserve"> to be published in 201</w:t>
      </w:r>
      <w:r w:rsidR="00E952DD">
        <w:rPr>
          <w:rFonts w:cs="Arial"/>
          <w:szCs w:val="22"/>
        </w:rPr>
        <w:t>9</w:t>
      </w:r>
      <w:r w:rsidR="002B2089">
        <w:rPr>
          <w:rFonts w:cs="Arial"/>
          <w:szCs w:val="22"/>
        </w:rPr>
        <w:t>, however</w:t>
      </w:r>
      <w:r w:rsidR="00520C16">
        <w:rPr>
          <w:rFonts w:cs="Arial"/>
          <w:szCs w:val="22"/>
        </w:rPr>
        <w:t>,</w:t>
      </w:r>
      <w:r w:rsidR="002B2089">
        <w:rPr>
          <w:rFonts w:cs="Arial"/>
          <w:szCs w:val="22"/>
        </w:rPr>
        <w:t xml:space="preserve"> that </w:t>
      </w:r>
      <w:r w:rsidR="00652C3E">
        <w:rPr>
          <w:rFonts w:cs="Arial"/>
          <w:szCs w:val="22"/>
        </w:rPr>
        <w:t>study encompasses only two sites and more references are needed.</w:t>
      </w:r>
    </w:p>
    <w:p w14:paraId="680C1E2B" w14:textId="084D94AA" w:rsidR="002D6015" w:rsidRPr="00C76EB4" w:rsidRDefault="002D6015" w:rsidP="00C76EB4">
      <w:pPr>
        <w:pStyle w:val="ListParagraph"/>
        <w:numPr>
          <w:ilvl w:val="0"/>
          <w:numId w:val="44"/>
        </w:numPr>
        <w:rPr>
          <w:rFonts w:cs="Arial"/>
          <w:szCs w:val="22"/>
        </w:rPr>
      </w:pPr>
      <w:r w:rsidRPr="00CF018E">
        <w:rPr>
          <w:rFonts w:cs="Arial"/>
          <w:szCs w:val="22"/>
        </w:rPr>
        <w:t>Percentage of gas vs electric water heaters</w:t>
      </w:r>
      <w:r w:rsidR="00142EF2">
        <w:rPr>
          <w:rFonts w:cs="Arial"/>
          <w:szCs w:val="22"/>
        </w:rPr>
        <w:t xml:space="preserve"> – this value varies by </w:t>
      </w:r>
      <w:r w:rsidR="008308DA">
        <w:rPr>
          <w:rFonts w:cs="Arial"/>
          <w:szCs w:val="22"/>
        </w:rPr>
        <w:t>source</w:t>
      </w:r>
      <w:r w:rsidR="00142EF2">
        <w:rPr>
          <w:rFonts w:cs="Arial"/>
          <w:szCs w:val="22"/>
        </w:rPr>
        <w:t xml:space="preserve"> type from 98</w:t>
      </w:r>
      <w:r w:rsidR="00520C16">
        <w:rPr>
          <w:rFonts w:cs="Arial"/>
          <w:szCs w:val="22"/>
        </w:rPr>
        <w:t>%</w:t>
      </w:r>
      <w:r w:rsidR="00142EF2">
        <w:rPr>
          <w:rFonts w:cs="Arial"/>
          <w:szCs w:val="22"/>
        </w:rPr>
        <w:t>/2</w:t>
      </w:r>
      <w:r w:rsidR="00520C16">
        <w:rPr>
          <w:rFonts w:cs="Arial"/>
          <w:szCs w:val="22"/>
        </w:rPr>
        <w:t>%</w:t>
      </w:r>
      <w:r w:rsidR="0063437B">
        <w:rPr>
          <w:rStyle w:val="EndnoteReference"/>
          <w:rFonts w:cs="Arial"/>
          <w:szCs w:val="22"/>
        </w:rPr>
        <w:endnoteReference w:id="13"/>
      </w:r>
      <w:r w:rsidR="00142EF2">
        <w:rPr>
          <w:rFonts w:cstheme="minorHAnsi"/>
          <w:vertAlign w:val="superscript"/>
        </w:rPr>
        <w:t xml:space="preserve"> </w:t>
      </w:r>
      <w:r w:rsidR="00142EF2">
        <w:rPr>
          <w:rFonts w:cs="Arial"/>
          <w:szCs w:val="22"/>
        </w:rPr>
        <w:t>to 88</w:t>
      </w:r>
      <w:r w:rsidR="00520C16">
        <w:rPr>
          <w:rFonts w:cs="Arial"/>
          <w:szCs w:val="22"/>
        </w:rPr>
        <w:t>%</w:t>
      </w:r>
      <w:r w:rsidR="00142EF2">
        <w:rPr>
          <w:rFonts w:cs="Arial"/>
          <w:szCs w:val="22"/>
        </w:rPr>
        <w:t>/12</w:t>
      </w:r>
      <w:r w:rsidR="00520C16">
        <w:rPr>
          <w:rFonts w:cs="Arial"/>
          <w:szCs w:val="22"/>
        </w:rPr>
        <w:t>%</w:t>
      </w:r>
      <w:r w:rsidR="00C76EB4" w:rsidRPr="00C76EB4">
        <w:rPr>
          <w:rFonts w:cs="Arial"/>
          <w:szCs w:val="22"/>
          <w:vertAlign w:val="superscript"/>
        </w:rPr>
        <w:fldChar w:fldCharType="begin"/>
      </w:r>
      <w:r w:rsidR="00C76EB4" w:rsidRPr="00C76EB4">
        <w:rPr>
          <w:rFonts w:cs="Arial"/>
          <w:szCs w:val="22"/>
          <w:vertAlign w:val="superscript"/>
        </w:rPr>
        <w:instrText xml:space="preserve"> NOTEREF _Ref525314082 \h </w:instrText>
      </w:r>
      <w:r w:rsidR="00C76EB4">
        <w:rPr>
          <w:rFonts w:cs="Arial"/>
          <w:szCs w:val="22"/>
          <w:vertAlign w:val="superscript"/>
        </w:rPr>
        <w:instrText xml:space="preserve"> \* MERGEFORMAT </w:instrText>
      </w:r>
      <w:r w:rsidR="00C76EB4" w:rsidRPr="00C76EB4">
        <w:rPr>
          <w:rFonts w:cs="Arial"/>
          <w:szCs w:val="22"/>
          <w:vertAlign w:val="superscript"/>
        </w:rPr>
      </w:r>
      <w:r w:rsidR="00C76EB4" w:rsidRPr="00C76EB4">
        <w:rPr>
          <w:rFonts w:cs="Arial"/>
          <w:szCs w:val="22"/>
          <w:vertAlign w:val="superscript"/>
        </w:rPr>
        <w:fldChar w:fldCharType="separate"/>
      </w:r>
      <w:r w:rsidR="00C76EB4" w:rsidRPr="00C76EB4">
        <w:rPr>
          <w:rFonts w:cs="Arial"/>
          <w:szCs w:val="22"/>
          <w:vertAlign w:val="superscript"/>
        </w:rPr>
        <w:t>11</w:t>
      </w:r>
      <w:r w:rsidR="00C76EB4" w:rsidRPr="00C76EB4">
        <w:rPr>
          <w:rFonts w:cs="Arial"/>
          <w:szCs w:val="22"/>
          <w:vertAlign w:val="superscript"/>
        </w:rPr>
        <w:fldChar w:fldCharType="end"/>
      </w:r>
      <w:r w:rsidR="00142EF2">
        <w:rPr>
          <w:rFonts w:cs="Arial"/>
          <w:szCs w:val="22"/>
        </w:rPr>
        <w:t xml:space="preserve"> </w:t>
      </w:r>
      <w:r w:rsidR="008308DA">
        <w:rPr>
          <w:rFonts w:cs="Arial"/>
          <w:szCs w:val="22"/>
        </w:rPr>
        <w:t>gas to electric for California.</w:t>
      </w:r>
      <w:r w:rsidR="00FA0609">
        <w:rPr>
          <w:rFonts w:cs="Arial"/>
          <w:szCs w:val="22"/>
        </w:rPr>
        <w:t xml:space="preserve"> Electric water heaters are less </w:t>
      </w:r>
      <w:r w:rsidR="00856DC6">
        <w:rPr>
          <w:rFonts w:cs="Arial"/>
          <w:szCs w:val="22"/>
        </w:rPr>
        <w:t>common;</w:t>
      </w:r>
      <w:r w:rsidR="00FA0609">
        <w:rPr>
          <w:rFonts w:cs="Arial"/>
          <w:szCs w:val="22"/>
        </w:rPr>
        <w:t xml:space="preserve"> </w:t>
      </w:r>
      <w:r w:rsidR="00856DC6">
        <w:rPr>
          <w:rFonts w:cs="Arial"/>
          <w:szCs w:val="22"/>
        </w:rPr>
        <w:t>however,</w:t>
      </w:r>
      <w:r w:rsidR="00FA0609">
        <w:rPr>
          <w:rFonts w:cs="Arial"/>
          <w:szCs w:val="22"/>
        </w:rPr>
        <w:t xml:space="preserve"> they exist in smaller applications in non-</w:t>
      </w:r>
      <w:r w:rsidR="00856DC6">
        <w:rPr>
          <w:rFonts w:cs="Arial"/>
          <w:szCs w:val="22"/>
        </w:rPr>
        <w:t>stand-alone</w:t>
      </w:r>
      <w:r w:rsidR="00FA0609">
        <w:rPr>
          <w:rFonts w:cs="Arial"/>
          <w:szCs w:val="22"/>
        </w:rPr>
        <w:t xml:space="preserve"> restaurants and cafes. </w:t>
      </w:r>
      <w:r w:rsidR="00856DC6">
        <w:rPr>
          <w:rFonts w:cs="Arial"/>
          <w:szCs w:val="22"/>
        </w:rPr>
        <w:t xml:space="preserve">Almost all large facilities </w:t>
      </w:r>
      <w:r w:rsidR="00856DC6">
        <w:rPr>
          <w:rFonts w:cs="Arial"/>
          <w:szCs w:val="22"/>
        </w:rPr>
        <w:lastRenderedPageBreak/>
        <w:t xml:space="preserve">in California use gas water heating. </w:t>
      </w:r>
      <w:r w:rsidR="00555624">
        <w:rPr>
          <w:rFonts w:cs="Arial"/>
          <w:szCs w:val="22"/>
        </w:rPr>
        <w:t>It is estimated that the 9</w:t>
      </w:r>
      <w:r w:rsidR="00520C16">
        <w:rPr>
          <w:rFonts w:cs="Arial"/>
          <w:szCs w:val="22"/>
        </w:rPr>
        <w:t>8%</w:t>
      </w:r>
      <w:r w:rsidR="00555624">
        <w:rPr>
          <w:rFonts w:cs="Arial"/>
          <w:szCs w:val="22"/>
        </w:rPr>
        <w:t xml:space="preserve"> gas to </w:t>
      </w:r>
      <w:r w:rsidR="00520C16">
        <w:rPr>
          <w:rFonts w:cs="Arial"/>
          <w:szCs w:val="22"/>
        </w:rPr>
        <w:t xml:space="preserve">2% </w:t>
      </w:r>
      <w:r w:rsidR="00555624">
        <w:rPr>
          <w:rFonts w:cs="Arial"/>
          <w:szCs w:val="22"/>
        </w:rPr>
        <w:t>electric water heating split is based on total volume of water heated in the state</w:t>
      </w:r>
      <w:r w:rsidR="00520C16">
        <w:rPr>
          <w:rFonts w:cs="Arial"/>
          <w:szCs w:val="22"/>
        </w:rPr>
        <w:t>;</w:t>
      </w:r>
      <w:r w:rsidR="00555624">
        <w:rPr>
          <w:rFonts w:cs="Arial"/>
          <w:szCs w:val="22"/>
        </w:rPr>
        <w:t xml:space="preserve"> however</w:t>
      </w:r>
      <w:r w:rsidR="00520C16">
        <w:rPr>
          <w:rFonts w:cs="Arial"/>
          <w:szCs w:val="22"/>
        </w:rPr>
        <w:t>,</w:t>
      </w:r>
      <w:r w:rsidR="00555624">
        <w:rPr>
          <w:rFonts w:cs="Arial"/>
          <w:szCs w:val="22"/>
        </w:rPr>
        <w:t xml:space="preserve"> </w:t>
      </w:r>
      <w:r w:rsidR="008010C4">
        <w:rPr>
          <w:rFonts w:cs="Arial"/>
          <w:szCs w:val="22"/>
        </w:rPr>
        <w:t>the number of electric water heaters may exceed 10%. A comprehensive statewide study needs to be conducted to substantiate these values.</w:t>
      </w:r>
    </w:p>
    <w:p w14:paraId="3E639F2C" w14:textId="28521E75" w:rsidR="00D23770" w:rsidRPr="00500C4E" w:rsidRDefault="00E16609" w:rsidP="00C76EB4">
      <w:pPr>
        <w:pStyle w:val="Heading1"/>
        <w:keepNext w:val="0"/>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2"/>
      <w:r w:rsidR="00755A45" w:rsidRPr="00500C4E">
        <w:rPr>
          <w:rFonts w:cstheme="minorHAnsi"/>
        </w:rPr>
        <w:t xml:space="preserve"> Methodology</w:t>
      </w:r>
    </w:p>
    <w:p w14:paraId="7AF13E91" w14:textId="588F3822" w:rsidR="00F743D1" w:rsidRDefault="00B33B6C" w:rsidP="00F90ED3">
      <w:pPr>
        <w:pStyle w:val="Reminder"/>
        <w:rPr>
          <w:rFonts w:asciiTheme="minorHAnsi" w:hAnsiTheme="minorHAnsi" w:cstheme="minorHAnsi"/>
          <w:i w:val="0"/>
          <w:color w:val="auto"/>
          <w:szCs w:val="22"/>
        </w:rPr>
      </w:pPr>
      <w:r w:rsidRPr="00B33B6C">
        <w:rPr>
          <w:rFonts w:asciiTheme="minorHAnsi" w:hAnsiTheme="minorHAnsi" w:cstheme="minorHAnsi"/>
          <w:i w:val="0"/>
          <w:color w:val="auto"/>
          <w:szCs w:val="22"/>
        </w:rPr>
        <w:t xml:space="preserve">Commercial </w:t>
      </w:r>
      <w:r w:rsidR="00C04F92">
        <w:rPr>
          <w:rFonts w:asciiTheme="minorHAnsi" w:hAnsiTheme="minorHAnsi" w:cstheme="minorHAnsi"/>
          <w:i w:val="0"/>
          <w:color w:val="auto"/>
          <w:szCs w:val="22"/>
        </w:rPr>
        <w:t>p</w:t>
      </w:r>
      <w:r w:rsidRPr="00B33B6C">
        <w:rPr>
          <w:rFonts w:asciiTheme="minorHAnsi" w:hAnsiTheme="minorHAnsi" w:cstheme="minorHAnsi"/>
          <w:i w:val="0"/>
          <w:color w:val="auto"/>
          <w:szCs w:val="22"/>
        </w:rPr>
        <w:t>re-</w:t>
      </w:r>
      <w:r w:rsidR="00C04F92">
        <w:rPr>
          <w:rFonts w:asciiTheme="minorHAnsi" w:hAnsiTheme="minorHAnsi" w:cstheme="minorHAnsi"/>
          <w:i w:val="0"/>
          <w:color w:val="auto"/>
          <w:szCs w:val="22"/>
        </w:rPr>
        <w:t>r</w:t>
      </w:r>
      <w:r w:rsidRPr="00B33B6C">
        <w:rPr>
          <w:rFonts w:asciiTheme="minorHAnsi" w:hAnsiTheme="minorHAnsi" w:cstheme="minorHAnsi"/>
          <w:i w:val="0"/>
          <w:color w:val="auto"/>
          <w:szCs w:val="22"/>
        </w:rPr>
        <w:t xml:space="preserve">inse </w:t>
      </w:r>
      <w:r w:rsidR="00C04F92">
        <w:rPr>
          <w:rFonts w:asciiTheme="minorHAnsi" w:hAnsiTheme="minorHAnsi" w:cstheme="minorHAnsi"/>
          <w:i w:val="0"/>
          <w:color w:val="auto"/>
          <w:szCs w:val="22"/>
        </w:rPr>
        <w:t>s</w:t>
      </w:r>
      <w:r w:rsidRPr="00B33B6C">
        <w:rPr>
          <w:rFonts w:asciiTheme="minorHAnsi" w:hAnsiTheme="minorHAnsi" w:cstheme="minorHAnsi"/>
          <w:i w:val="0"/>
          <w:color w:val="auto"/>
          <w:szCs w:val="22"/>
        </w:rPr>
        <w:t xml:space="preserve">pray </w:t>
      </w:r>
      <w:r w:rsidR="00C04F92">
        <w:rPr>
          <w:rFonts w:asciiTheme="minorHAnsi" w:hAnsiTheme="minorHAnsi" w:cstheme="minorHAnsi"/>
          <w:i w:val="0"/>
          <w:color w:val="auto"/>
          <w:szCs w:val="22"/>
        </w:rPr>
        <w:t>v</w:t>
      </w:r>
      <w:r w:rsidRPr="00B33B6C">
        <w:rPr>
          <w:rFonts w:asciiTheme="minorHAnsi" w:hAnsiTheme="minorHAnsi" w:cstheme="minorHAnsi"/>
          <w:i w:val="0"/>
          <w:color w:val="auto"/>
          <w:szCs w:val="22"/>
        </w:rPr>
        <w:t xml:space="preserve">alves are designed to </w:t>
      </w:r>
      <w:r>
        <w:rPr>
          <w:rFonts w:asciiTheme="minorHAnsi" w:hAnsiTheme="minorHAnsi" w:cstheme="minorHAnsi"/>
          <w:i w:val="0"/>
          <w:color w:val="auto"/>
          <w:szCs w:val="22"/>
        </w:rPr>
        <w:t>deliver 120-140°F water for cleaning at a certa</w:t>
      </w:r>
      <w:r w:rsidR="00704F38">
        <w:rPr>
          <w:rFonts w:asciiTheme="minorHAnsi" w:hAnsiTheme="minorHAnsi" w:cstheme="minorHAnsi"/>
          <w:i w:val="0"/>
          <w:color w:val="auto"/>
          <w:szCs w:val="22"/>
        </w:rPr>
        <w:t xml:space="preserve">in flow rate expressed in </w:t>
      </w:r>
      <w:r w:rsidR="00127070">
        <w:rPr>
          <w:rFonts w:asciiTheme="minorHAnsi" w:hAnsiTheme="minorHAnsi" w:cstheme="minorHAnsi"/>
          <w:i w:val="0"/>
          <w:color w:val="auto"/>
          <w:szCs w:val="22"/>
        </w:rPr>
        <w:t>gallons per minute</w:t>
      </w:r>
      <w:r w:rsidR="00704F38">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Spray valve water </w:t>
      </w:r>
      <w:r w:rsidR="00127070">
        <w:rPr>
          <w:rFonts w:asciiTheme="minorHAnsi" w:hAnsiTheme="minorHAnsi" w:cstheme="minorHAnsi"/>
          <w:i w:val="0"/>
          <w:color w:val="auto"/>
          <w:szCs w:val="22"/>
        </w:rPr>
        <w:t xml:space="preserve">use </w:t>
      </w:r>
      <w:r>
        <w:rPr>
          <w:rFonts w:asciiTheme="minorHAnsi" w:hAnsiTheme="minorHAnsi" w:cstheme="minorHAnsi"/>
          <w:i w:val="0"/>
          <w:color w:val="auto"/>
          <w:szCs w:val="22"/>
        </w:rPr>
        <w:t xml:space="preserve">has a direct impact on </w:t>
      </w:r>
      <w:r w:rsidR="00127070">
        <w:rPr>
          <w:rFonts w:asciiTheme="minorHAnsi" w:hAnsiTheme="minorHAnsi" w:cstheme="minorHAnsi"/>
          <w:i w:val="0"/>
          <w:color w:val="auto"/>
          <w:szCs w:val="22"/>
        </w:rPr>
        <w:t xml:space="preserve">a </w:t>
      </w:r>
      <w:r>
        <w:rPr>
          <w:rFonts w:asciiTheme="minorHAnsi" w:hAnsiTheme="minorHAnsi" w:cstheme="minorHAnsi"/>
          <w:i w:val="0"/>
          <w:color w:val="auto"/>
          <w:szCs w:val="22"/>
        </w:rPr>
        <w:t xml:space="preserve">building’s water heating system energy consumption.  </w:t>
      </w:r>
    </w:p>
    <w:p w14:paraId="45F20929" w14:textId="77777777" w:rsidR="00B33B6C" w:rsidRPr="00C76EB4" w:rsidRDefault="00B33B6C" w:rsidP="00C76EB4">
      <w:pPr>
        <w:pStyle w:val="WPPR1"/>
        <w:numPr>
          <w:ilvl w:val="2"/>
          <w:numId w:val="35"/>
        </w:numPr>
        <w:tabs>
          <w:tab w:val="clear" w:pos="432"/>
          <w:tab w:val="num" w:pos="540"/>
        </w:tabs>
        <w:ind w:left="450" w:hanging="450"/>
        <w:rPr>
          <w:rFonts w:asciiTheme="minorHAnsi" w:hAnsiTheme="minorHAnsi" w:cstheme="minorHAnsi"/>
          <w:sz w:val="22"/>
        </w:rPr>
      </w:pPr>
      <w:bookmarkStart w:id="25" w:name="_Toc391397020"/>
      <w:r w:rsidRPr="00C76EB4">
        <w:rPr>
          <w:rFonts w:asciiTheme="minorHAnsi" w:hAnsiTheme="minorHAnsi" w:cstheme="minorHAnsi"/>
          <w:sz w:val="22"/>
        </w:rPr>
        <w:t>Energy Savings Calculation</w:t>
      </w:r>
      <w:bookmarkEnd w:id="25"/>
    </w:p>
    <w:p w14:paraId="71565437" w14:textId="77777777" w:rsidR="00B33B6C" w:rsidRPr="00C76EB4" w:rsidRDefault="00B33B6C" w:rsidP="00C76EB4">
      <w:pPr>
        <w:pStyle w:val="PR2"/>
        <w:tabs>
          <w:tab w:val="clear" w:pos="1584"/>
        </w:tabs>
        <w:ind w:left="720" w:firstLine="0"/>
        <w:rPr>
          <w:rFonts w:asciiTheme="minorHAnsi" w:hAnsiTheme="minorHAnsi" w:cstheme="minorHAnsi"/>
          <w:sz w:val="22"/>
        </w:rPr>
      </w:pPr>
      <w:r w:rsidRPr="00C76EB4">
        <w:rPr>
          <w:rFonts w:asciiTheme="minorHAnsi" w:hAnsiTheme="minorHAnsi" w:cstheme="minorHAnsi"/>
          <w:sz w:val="22"/>
        </w:rPr>
        <w:t>The annual energy use was calculated using the following equation:</w:t>
      </w:r>
    </w:p>
    <w:p w14:paraId="5125CFB5" w14:textId="77777777" w:rsidR="00D4596E" w:rsidRPr="00C24003" w:rsidRDefault="00D4596E">
      <w:pPr>
        <w:pStyle w:val="PR2"/>
        <w:numPr>
          <w:ilvl w:val="0"/>
          <w:numId w:val="0"/>
        </w:numPr>
        <w:tabs>
          <w:tab w:val="left" w:pos="720"/>
        </w:tabs>
        <w:rPr>
          <w:rFonts w:asciiTheme="minorHAnsi" w:hAnsiTheme="minorHAnsi" w:cstheme="minorHAnsi"/>
        </w:rPr>
      </w:pPr>
    </w:p>
    <w:p w14:paraId="7C588793" w14:textId="62570469" w:rsidR="00B33B6C" w:rsidRDefault="00B33B6C" w:rsidP="00C24003">
      <w:pPr>
        <w:pStyle w:val="PR2"/>
        <w:numPr>
          <w:ilvl w:val="3"/>
          <w:numId w:val="0"/>
        </w:numPr>
        <w:tabs>
          <w:tab w:val="left" w:pos="720"/>
        </w:tabs>
        <w:ind w:left="1584" w:right="-270" w:hanging="432"/>
        <w:jc w:val="center"/>
      </w:pPr>
      <m:oMath>
        <m:r>
          <w:rPr>
            <w:rFonts w:ascii="Cambria Math" w:hAnsi="Cambria Math"/>
          </w:rPr>
          <m:t xml:space="preserve">Q </m:t>
        </m:r>
        <m:d>
          <m:dPr>
            <m:ctrlPr>
              <w:rPr>
                <w:rFonts w:ascii="Cambria Math" w:hAnsi="Cambria Math"/>
                <w:i/>
              </w:rPr>
            </m:ctrlPr>
          </m:dPr>
          <m:e>
            <m:r>
              <w:rPr>
                <w:rFonts w:ascii="Cambria Math" w:hAnsi="Cambria Math"/>
              </w:rPr>
              <m:t>therms</m:t>
            </m:r>
          </m:e>
        </m:d>
        <m:r>
          <w:rPr>
            <w:rFonts w:ascii="Cambria Math" w:hAnsi="Cambria Math"/>
          </w:rPr>
          <m:t xml:space="preserve">=F x ρ x cp x </m:t>
        </m:r>
        <m:d>
          <m:dPr>
            <m:ctrlPr>
              <w:rPr>
                <w:rFonts w:ascii="Cambria Math" w:hAnsi="Cambria Math"/>
                <w:i/>
              </w:rPr>
            </m:ctrlPr>
          </m:dPr>
          <m:e>
            <m:r>
              <w:rPr>
                <w:rFonts w:ascii="Cambria Math" w:hAnsi="Cambria Math"/>
              </w:rPr>
              <m:t>Mix H2O ℉-Supply H2O ℉</m:t>
            </m:r>
          </m:e>
        </m:d>
        <m:r>
          <w:rPr>
            <w:rFonts w:ascii="Cambria Math" w:hAnsi="Cambria Math"/>
          </w:rPr>
          <m:t xml:space="preserve"> x</m:t>
        </m:r>
        <m:f>
          <m:fPr>
            <m:ctrlPr>
              <w:rPr>
                <w:rFonts w:ascii="Cambria Math" w:hAnsi="Cambria Math"/>
                <w:i/>
              </w:rPr>
            </m:ctrlPr>
          </m:fPr>
          <m:num>
            <m:r>
              <w:rPr>
                <w:rFonts w:ascii="Cambria Math" w:hAnsi="Cambria Math"/>
              </w:rPr>
              <m:t>60 Minutes</m:t>
            </m:r>
          </m:num>
          <m:den>
            <m:r>
              <w:rPr>
                <w:rFonts w:ascii="Cambria Math" w:hAnsi="Cambria Math"/>
              </w:rPr>
              <m:t>Hour</m:t>
            </m:r>
          </m:den>
        </m:f>
        <m:r>
          <w:rPr>
            <w:rFonts w:ascii="Cambria Math" w:hAnsi="Cambria Math"/>
          </w:rPr>
          <m:t xml:space="preserve"> x</m:t>
        </m:r>
        <m:f>
          <m:fPr>
            <m:ctrlPr>
              <w:rPr>
                <w:rFonts w:ascii="Cambria Math" w:hAnsi="Cambria Math"/>
                <w:i/>
              </w:rPr>
            </m:ctrlPr>
          </m:fPr>
          <m:num>
            <m:r>
              <w:rPr>
                <w:rFonts w:ascii="Cambria Math" w:hAnsi="Cambria Math"/>
              </w:rPr>
              <m:t>Hours</m:t>
            </m:r>
          </m:num>
          <m:den>
            <m:r>
              <w:rPr>
                <w:rFonts w:ascii="Cambria Math" w:hAnsi="Cambria Math"/>
              </w:rPr>
              <m:t>Day</m:t>
            </m:r>
          </m:den>
        </m:f>
        <m:r>
          <w:rPr>
            <w:rFonts w:ascii="Cambria Math" w:hAnsi="Cambria Math"/>
          </w:rPr>
          <m:t xml:space="preserve"> x</m:t>
        </m:r>
        <m:f>
          <m:fPr>
            <m:ctrlPr>
              <w:rPr>
                <w:rFonts w:ascii="Cambria Math" w:hAnsi="Cambria Math"/>
                <w:i/>
              </w:rPr>
            </m:ctrlPr>
          </m:fPr>
          <m:num>
            <m:r>
              <w:rPr>
                <w:rFonts w:ascii="Cambria Math" w:hAnsi="Cambria Math"/>
              </w:rPr>
              <m:t>Days</m:t>
            </m:r>
          </m:num>
          <m:den>
            <m:r>
              <w:rPr>
                <w:rFonts w:ascii="Cambria Math" w:hAnsi="Cambria Math"/>
              </w:rPr>
              <m:t xml:space="preserve">year </m:t>
            </m:r>
          </m:den>
        </m:f>
        <m:r>
          <w:rPr>
            <w:rFonts w:ascii="Cambria Math" w:hAnsi="Cambria Math"/>
          </w:rPr>
          <m:t xml:space="preserve">  ÷eff ÷100,000 </m:t>
        </m:r>
      </m:oMath>
      <w:r>
        <w:t xml:space="preserve"> </w:t>
      </w:r>
      <w:r>
        <w:tab/>
      </w:r>
      <w:r w:rsidRPr="0048438C">
        <w:rPr>
          <w:i/>
        </w:rPr>
        <w:t>Eq</w:t>
      </w:r>
      <w:r w:rsidR="00684ADA" w:rsidRPr="0048438C">
        <w:rPr>
          <w:i/>
        </w:rPr>
        <w:t>n</w:t>
      </w:r>
      <w:r w:rsidRPr="00CF018E">
        <w:rPr>
          <w:i/>
        </w:rPr>
        <w:t>-1</w:t>
      </w:r>
    </w:p>
    <w:p w14:paraId="6B561A9F" w14:textId="69ACE51F" w:rsidR="00B33B6C" w:rsidRPr="00C76EB4" w:rsidRDefault="00B33B6C" w:rsidP="00B33B6C">
      <w:pPr>
        <w:pStyle w:val="PR2"/>
        <w:numPr>
          <w:ilvl w:val="0"/>
          <w:numId w:val="0"/>
        </w:numPr>
        <w:tabs>
          <w:tab w:val="left" w:pos="720"/>
        </w:tabs>
        <w:ind w:left="1584"/>
        <w:rPr>
          <w:rFonts w:asciiTheme="minorHAnsi" w:hAnsiTheme="minorHAnsi" w:cstheme="minorHAnsi"/>
          <w:sz w:val="22"/>
        </w:rPr>
      </w:pPr>
      <w:r w:rsidRPr="00C76EB4">
        <w:rPr>
          <w:rFonts w:asciiTheme="minorHAnsi" w:hAnsiTheme="minorHAnsi" w:cstheme="minorHAnsi"/>
          <w:sz w:val="22"/>
        </w:rPr>
        <w:t>Where</w:t>
      </w:r>
    </w:p>
    <w:p w14:paraId="6148284A" w14:textId="58AE0B68" w:rsidR="00B33B6C" w:rsidRPr="00C76EB4" w:rsidRDefault="00B33B6C" w:rsidP="00C76EB4">
      <w:pPr>
        <w:pStyle w:val="PR3"/>
        <w:tabs>
          <w:tab w:val="clear" w:pos="2016"/>
          <w:tab w:val="num" w:pos="2430"/>
        </w:tabs>
        <w:ind w:left="2340"/>
        <w:rPr>
          <w:rFonts w:asciiTheme="minorHAnsi" w:hAnsiTheme="minorHAnsi" w:cstheme="minorHAnsi"/>
          <w:sz w:val="22"/>
        </w:rPr>
      </w:pPr>
      <w:r w:rsidRPr="00C76EB4">
        <w:rPr>
          <w:rFonts w:asciiTheme="majorHAnsi" w:hAnsiTheme="majorHAnsi"/>
          <w:i/>
        </w:rPr>
        <w:t>F</w:t>
      </w:r>
      <w:r w:rsidRPr="00C76EB4">
        <w:rPr>
          <w:rFonts w:asciiTheme="majorHAnsi" w:hAnsiTheme="majorHAnsi"/>
        </w:rPr>
        <w:t xml:space="preserve"> </w:t>
      </w:r>
      <w:r>
        <w:t xml:space="preserve">– </w:t>
      </w:r>
      <w:r w:rsidRPr="00C76EB4">
        <w:rPr>
          <w:rFonts w:asciiTheme="minorHAnsi" w:hAnsiTheme="minorHAnsi" w:cstheme="minorHAnsi"/>
          <w:sz w:val="22"/>
        </w:rPr>
        <w:t>flow rate (gallons/</w:t>
      </w:r>
      <w:r w:rsidR="00E61781">
        <w:rPr>
          <w:rFonts w:asciiTheme="minorHAnsi" w:hAnsiTheme="minorHAnsi" w:cstheme="minorHAnsi"/>
          <w:sz w:val="22"/>
        </w:rPr>
        <w:t>min</w:t>
      </w:r>
      <w:r w:rsidRPr="00C76EB4">
        <w:rPr>
          <w:rFonts w:asciiTheme="minorHAnsi" w:hAnsiTheme="minorHAnsi" w:cstheme="minorHAnsi"/>
          <w:sz w:val="22"/>
        </w:rPr>
        <w:t>)</w:t>
      </w:r>
    </w:p>
    <w:p w14:paraId="283E99B1" w14:textId="77777777" w:rsidR="00B33B6C" w:rsidRDefault="00B33B6C" w:rsidP="00C76EB4">
      <w:pPr>
        <w:pStyle w:val="PR3"/>
        <w:tabs>
          <w:tab w:val="clear" w:pos="2016"/>
          <w:tab w:val="num" w:pos="2430"/>
        </w:tabs>
        <w:ind w:left="2340"/>
      </w:pPr>
      <m:oMath>
        <m:r>
          <w:rPr>
            <w:rFonts w:ascii="Cambria Math" w:hAnsi="Cambria Math"/>
          </w:rPr>
          <m:t>ρ-</m:t>
        </m:r>
      </m:oMath>
      <w:r>
        <w:t xml:space="preserve"> </w:t>
      </w:r>
      <w:r w:rsidRPr="00C76EB4">
        <w:rPr>
          <w:rFonts w:asciiTheme="minorHAnsi" w:hAnsiTheme="minorHAnsi" w:cstheme="minorHAnsi"/>
          <w:sz w:val="22"/>
        </w:rPr>
        <w:t>density of water is 8.33 (lbm/gal)</w:t>
      </w:r>
    </w:p>
    <w:p w14:paraId="049AE9FB" w14:textId="77777777" w:rsidR="00B33B6C" w:rsidRDefault="00B33B6C" w:rsidP="00C76EB4">
      <w:pPr>
        <w:pStyle w:val="PR3"/>
        <w:tabs>
          <w:tab w:val="clear" w:pos="2016"/>
          <w:tab w:val="num" w:pos="2430"/>
        </w:tabs>
        <w:ind w:left="2340"/>
      </w:pPr>
      <m:oMath>
        <m:r>
          <w:rPr>
            <w:rFonts w:ascii="Cambria Math" w:hAnsi="Cambria Math"/>
          </w:rPr>
          <m:t>cp-</m:t>
        </m:r>
      </m:oMath>
      <w:r>
        <w:t xml:space="preserve"> </w:t>
      </w:r>
      <w:r w:rsidRPr="00C76EB4">
        <w:rPr>
          <w:rFonts w:asciiTheme="minorHAnsi" w:hAnsiTheme="minorHAnsi" w:cstheme="minorHAnsi"/>
          <w:sz w:val="22"/>
        </w:rPr>
        <w:t>specific heat of water is 1.0 (btu/lbm-°F)</w:t>
      </w:r>
    </w:p>
    <w:p w14:paraId="460EEB05" w14:textId="77777777" w:rsidR="00B33B6C" w:rsidRDefault="00B33B6C" w:rsidP="00C76EB4">
      <w:pPr>
        <w:pStyle w:val="PR3"/>
        <w:tabs>
          <w:tab w:val="clear" w:pos="2016"/>
          <w:tab w:val="num" w:pos="2430"/>
        </w:tabs>
        <w:ind w:left="2340"/>
      </w:pPr>
      <m:oMath>
        <m:r>
          <w:rPr>
            <w:rFonts w:ascii="Cambria Math" w:hAnsi="Cambria Math"/>
          </w:rPr>
          <m:t>Mix H20 ℉-</m:t>
        </m:r>
      </m:oMath>
      <w:r>
        <w:t xml:space="preserve"> </w:t>
      </w:r>
      <w:r w:rsidRPr="00C76EB4">
        <w:rPr>
          <w:rFonts w:asciiTheme="minorHAnsi" w:hAnsiTheme="minorHAnsi" w:cstheme="minorHAnsi"/>
          <w:sz w:val="22"/>
        </w:rPr>
        <w:t>temperature of mixed water (°F)</w:t>
      </w:r>
    </w:p>
    <w:p w14:paraId="455AF86E" w14:textId="77777777" w:rsidR="00B33B6C" w:rsidRPr="00C76EB4" w:rsidRDefault="00B33B6C" w:rsidP="00C76EB4">
      <w:pPr>
        <w:pStyle w:val="PR3"/>
        <w:tabs>
          <w:tab w:val="clear" w:pos="2016"/>
          <w:tab w:val="num" w:pos="2430"/>
        </w:tabs>
        <w:ind w:left="2340"/>
        <w:rPr>
          <w:rFonts w:asciiTheme="minorHAnsi" w:hAnsiTheme="minorHAnsi" w:cstheme="minorHAnsi"/>
          <w:sz w:val="22"/>
        </w:rPr>
      </w:pPr>
      <m:oMath>
        <m:r>
          <w:rPr>
            <w:rFonts w:ascii="Cambria Math" w:hAnsi="Cambria Math"/>
          </w:rPr>
          <m:t>Supply H20 ℉-</m:t>
        </m:r>
      </m:oMath>
      <w:r>
        <w:t xml:space="preserve"> </w:t>
      </w:r>
      <w:r w:rsidRPr="00C76EB4">
        <w:rPr>
          <w:rFonts w:asciiTheme="minorHAnsi" w:hAnsiTheme="minorHAnsi" w:cstheme="minorHAnsi"/>
          <w:sz w:val="22"/>
        </w:rPr>
        <w:t>temperature of supply water (°F)</w:t>
      </w:r>
    </w:p>
    <w:p w14:paraId="4DF97717" w14:textId="3A55412E" w:rsidR="00B33B6C" w:rsidRDefault="00174AA5" w:rsidP="00C76EB4">
      <w:pPr>
        <w:pStyle w:val="PR3"/>
        <w:tabs>
          <w:tab w:val="clear" w:pos="2016"/>
          <w:tab w:val="num" w:pos="2430"/>
        </w:tabs>
        <w:ind w:left="2340"/>
      </w:pPr>
      <m:oMath>
        <m:f>
          <m:fPr>
            <m:ctrlPr>
              <w:rPr>
                <w:rFonts w:ascii="Cambria Math" w:hAnsi="Cambria Math"/>
                <w:i/>
              </w:rPr>
            </m:ctrlPr>
          </m:fPr>
          <m:num>
            <m:r>
              <w:rPr>
                <w:rFonts w:ascii="Cambria Math" w:hAnsi="Cambria Math"/>
              </w:rPr>
              <m:t>Hours</m:t>
            </m:r>
          </m:num>
          <m:den>
            <m:r>
              <w:rPr>
                <w:rFonts w:ascii="Cambria Math" w:hAnsi="Cambria Math"/>
              </w:rPr>
              <m:t>Day</m:t>
            </m:r>
          </m:den>
        </m:f>
      </m:oMath>
      <w:r w:rsidR="00B33B6C">
        <w:t xml:space="preserve"> </w:t>
      </w:r>
      <w:r w:rsidR="00684ADA">
        <w:t xml:space="preserve">– </w:t>
      </w:r>
      <w:r w:rsidR="00B33B6C" w:rsidRPr="00C76EB4">
        <w:rPr>
          <w:rFonts w:asciiTheme="minorHAnsi" w:hAnsiTheme="minorHAnsi" w:cstheme="minorBidi"/>
          <w:sz w:val="22"/>
          <w:szCs w:val="22"/>
        </w:rPr>
        <w:t>daily operating hours (hours/day)</w:t>
      </w:r>
    </w:p>
    <w:p w14:paraId="765A931B" w14:textId="09264D54" w:rsidR="00B33B6C" w:rsidRDefault="00174AA5" w:rsidP="00C76EB4">
      <w:pPr>
        <w:pStyle w:val="PR3"/>
        <w:tabs>
          <w:tab w:val="clear" w:pos="2016"/>
          <w:tab w:val="num" w:pos="2430"/>
        </w:tabs>
        <w:ind w:left="2340"/>
      </w:pPr>
      <m:oMath>
        <m:f>
          <m:fPr>
            <m:ctrlPr>
              <w:rPr>
                <w:rFonts w:ascii="Cambria Math" w:hAnsi="Cambria Math"/>
                <w:i/>
              </w:rPr>
            </m:ctrlPr>
          </m:fPr>
          <m:num>
            <m:r>
              <w:rPr>
                <w:rFonts w:ascii="Cambria Math" w:hAnsi="Cambria Math"/>
              </w:rPr>
              <m:t>Days</m:t>
            </m:r>
          </m:num>
          <m:den>
            <m:r>
              <w:rPr>
                <w:rFonts w:ascii="Cambria Math" w:hAnsi="Cambria Math"/>
              </w:rPr>
              <m:t xml:space="preserve">year </m:t>
            </m:r>
          </m:den>
        </m:f>
      </m:oMath>
      <w:r w:rsidR="00B33B6C">
        <w:t xml:space="preserve"> </w:t>
      </w:r>
      <w:r w:rsidR="00684ADA">
        <w:t xml:space="preserve">– </w:t>
      </w:r>
      <w:r w:rsidR="00B33B6C" w:rsidRPr="00C76EB4">
        <w:rPr>
          <w:rFonts w:asciiTheme="minorHAnsi" w:hAnsiTheme="minorHAnsi" w:cstheme="minorBidi"/>
          <w:sz w:val="22"/>
          <w:szCs w:val="22"/>
        </w:rPr>
        <w:t xml:space="preserve">yearly days of </w:t>
      </w:r>
      <w:r w:rsidR="001E4773" w:rsidRPr="00C76EB4">
        <w:rPr>
          <w:rFonts w:asciiTheme="minorHAnsi" w:hAnsiTheme="minorHAnsi" w:cstheme="minorBidi"/>
          <w:sz w:val="22"/>
          <w:szCs w:val="22"/>
        </w:rPr>
        <w:t>operati</w:t>
      </w:r>
      <w:r w:rsidR="001E4773">
        <w:rPr>
          <w:rFonts w:asciiTheme="minorHAnsi" w:hAnsiTheme="minorHAnsi" w:cstheme="minorBidi"/>
          <w:sz w:val="22"/>
          <w:szCs w:val="22"/>
        </w:rPr>
        <w:t>on</w:t>
      </w:r>
      <w:r w:rsidR="001E4773" w:rsidRPr="00C76EB4">
        <w:rPr>
          <w:rFonts w:asciiTheme="minorHAnsi" w:hAnsiTheme="minorHAnsi" w:cstheme="minorBidi"/>
          <w:sz w:val="22"/>
          <w:szCs w:val="22"/>
        </w:rPr>
        <w:t xml:space="preserve"> </w:t>
      </w:r>
      <w:r w:rsidR="00B33B6C" w:rsidRPr="00C76EB4">
        <w:rPr>
          <w:rFonts w:asciiTheme="minorHAnsi" w:hAnsiTheme="minorHAnsi" w:cstheme="minorBidi"/>
          <w:sz w:val="22"/>
          <w:szCs w:val="22"/>
        </w:rPr>
        <w:t>(days/year)</w:t>
      </w:r>
    </w:p>
    <w:p w14:paraId="0BCA6647" w14:textId="4324F276" w:rsidR="00B33B6C" w:rsidRDefault="00B33B6C" w:rsidP="00C76EB4">
      <w:pPr>
        <w:pStyle w:val="PR3"/>
        <w:tabs>
          <w:tab w:val="clear" w:pos="2016"/>
          <w:tab w:val="num" w:pos="2430"/>
        </w:tabs>
        <w:ind w:left="2340"/>
      </w:pPr>
      <m:oMath>
        <m:r>
          <w:rPr>
            <w:rFonts w:ascii="Cambria Math" w:hAnsi="Cambria Math"/>
          </w:rPr>
          <m:t>eff</m:t>
        </m:r>
      </m:oMath>
      <w:r>
        <w:t xml:space="preserve">− </w:t>
      </w:r>
      <w:r w:rsidRPr="00C76EB4">
        <w:rPr>
          <w:rFonts w:asciiTheme="minorHAnsi" w:hAnsiTheme="minorHAnsi" w:cstheme="minorHAnsi"/>
          <w:sz w:val="22"/>
        </w:rPr>
        <w:t>thermal efficiency of natural gas water heating unit</w:t>
      </w:r>
    </w:p>
    <w:p w14:paraId="7B765E2C" w14:textId="77777777" w:rsidR="00684ADA" w:rsidRDefault="00684ADA" w:rsidP="00C76EB4">
      <w:pPr>
        <w:pStyle w:val="PR3"/>
        <w:numPr>
          <w:ilvl w:val="0"/>
          <w:numId w:val="0"/>
        </w:numPr>
        <w:ind w:left="2340"/>
      </w:pPr>
    </w:p>
    <w:p w14:paraId="6EC261D2" w14:textId="77777777" w:rsidR="00B33B6C" w:rsidRPr="00C76EB4" w:rsidRDefault="00B33B6C" w:rsidP="00C76EB4">
      <w:pPr>
        <w:pStyle w:val="WPPR2"/>
        <w:numPr>
          <w:ilvl w:val="3"/>
          <w:numId w:val="35"/>
        </w:numPr>
        <w:tabs>
          <w:tab w:val="clear" w:pos="1584"/>
        </w:tabs>
        <w:ind w:left="720" w:firstLine="0"/>
        <w:rPr>
          <w:rFonts w:asciiTheme="minorHAnsi" w:hAnsiTheme="minorHAnsi" w:cstheme="minorHAnsi"/>
          <w:sz w:val="22"/>
        </w:rPr>
      </w:pPr>
      <w:r w:rsidRPr="00C76EB4">
        <w:rPr>
          <w:rFonts w:asciiTheme="minorHAnsi" w:hAnsiTheme="minorHAnsi" w:cstheme="minorHAnsi"/>
          <w:sz w:val="22"/>
        </w:rPr>
        <w:t xml:space="preserve">For calculating energy savings, the following assumptions are used:  </w:t>
      </w:r>
    </w:p>
    <w:p w14:paraId="322F9FB0" w14:textId="1AA5F676" w:rsidR="00B33B6C" w:rsidRPr="00C76EB4" w:rsidRDefault="00B33B6C" w:rsidP="00C76EB4">
      <w:pPr>
        <w:pStyle w:val="WPPR3"/>
        <w:numPr>
          <w:ilvl w:val="4"/>
          <w:numId w:val="35"/>
        </w:numPr>
        <w:tabs>
          <w:tab w:val="clear" w:pos="2016"/>
          <w:tab w:val="num" w:pos="2340"/>
        </w:tabs>
        <w:ind w:left="2340" w:hanging="450"/>
        <w:rPr>
          <w:rFonts w:asciiTheme="minorHAnsi" w:hAnsiTheme="minorHAnsi" w:cstheme="minorBidi"/>
          <w:sz w:val="22"/>
          <w:szCs w:val="22"/>
        </w:rPr>
      </w:pPr>
      <w:r w:rsidRPr="00C76EB4">
        <w:rPr>
          <w:rFonts w:asciiTheme="minorHAnsi" w:hAnsiTheme="minorHAnsi" w:cstheme="minorBidi"/>
          <w:sz w:val="22"/>
          <w:szCs w:val="22"/>
        </w:rPr>
        <w:t>The average efficiency for the water heating unit equal to those from several evaluation studies, and is 70%</w:t>
      </w:r>
      <w:r w:rsidR="00684ADA" w:rsidRPr="0048438C">
        <w:rPr>
          <w:rFonts w:asciiTheme="minorHAnsi" w:hAnsiTheme="minorHAnsi" w:cstheme="minorBidi"/>
          <w:sz w:val="22"/>
          <w:szCs w:val="22"/>
        </w:rPr>
        <w:t>.</w:t>
      </w:r>
      <w:r w:rsidR="00865B13" w:rsidRPr="0048438C">
        <w:rPr>
          <w:rFonts w:asciiTheme="minorHAnsi" w:hAnsiTheme="minorHAnsi" w:cstheme="minorBidi"/>
          <w:sz w:val="22"/>
          <w:szCs w:val="22"/>
          <w:vertAlign w:val="superscript"/>
        </w:rPr>
        <w:t>4,7</w:t>
      </w:r>
    </w:p>
    <w:p w14:paraId="680DFA14" w14:textId="75033CFB" w:rsidR="00B33B6C" w:rsidRPr="00C76EB4" w:rsidRDefault="00B33B6C" w:rsidP="00C76EB4">
      <w:pPr>
        <w:pStyle w:val="WPPR3"/>
        <w:numPr>
          <w:ilvl w:val="4"/>
          <w:numId w:val="35"/>
        </w:numPr>
        <w:tabs>
          <w:tab w:val="clear" w:pos="2016"/>
          <w:tab w:val="num" w:pos="2340"/>
        </w:tabs>
        <w:ind w:left="2340" w:hanging="450"/>
        <w:rPr>
          <w:rFonts w:asciiTheme="minorHAnsi" w:hAnsiTheme="minorHAnsi" w:cstheme="minorBidi"/>
          <w:sz w:val="22"/>
          <w:szCs w:val="22"/>
        </w:rPr>
      </w:pPr>
      <w:r w:rsidRPr="00C76EB4">
        <w:rPr>
          <w:rFonts w:asciiTheme="minorHAnsi" w:hAnsiTheme="minorHAnsi" w:cstheme="minorBidi"/>
          <w:sz w:val="22"/>
          <w:szCs w:val="22"/>
        </w:rPr>
        <w:t>The number of annual operating days is equal to the results from previous evaluation studies of installed PRSV units in California and is 365 days per year</w:t>
      </w:r>
      <w:r w:rsidR="00684ADA" w:rsidRPr="0048438C">
        <w:rPr>
          <w:rFonts w:asciiTheme="minorHAnsi" w:hAnsiTheme="minorHAnsi" w:cstheme="minorBidi"/>
          <w:sz w:val="22"/>
          <w:szCs w:val="22"/>
        </w:rPr>
        <w:t>.</w:t>
      </w:r>
      <w:r w:rsidR="00865B13" w:rsidRPr="0048438C">
        <w:rPr>
          <w:rFonts w:asciiTheme="minorHAnsi" w:hAnsiTheme="minorHAnsi" w:cstheme="minorBidi"/>
          <w:sz w:val="22"/>
          <w:szCs w:val="22"/>
          <w:vertAlign w:val="superscript"/>
        </w:rPr>
        <w:t>4</w:t>
      </w:r>
    </w:p>
    <w:p w14:paraId="1CF1B004" w14:textId="77777777" w:rsidR="00684ADA" w:rsidRPr="00C76EB4" w:rsidRDefault="00684ADA" w:rsidP="00C76EB4">
      <w:pPr>
        <w:pStyle w:val="WPPR3"/>
        <w:numPr>
          <w:ilvl w:val="0"/>
          <w:numId w:val="0"/>
        </w:numPr>
        <w:ind w:left="2016"/>
        <w:rPr>
          <w:rFonts w:asciiTheme="minorHAnsi" w:hAnsiTheme="minorHAnsi" w:cstheme="minorHAnsi"/>
          <w:sz w:val="22"/>
        </w:rPr>
      </w:pPr>
    </w:p>
    <w:p w14:paraId="7B3FB49E" w14:textId="18476E2F" w:rsidR="00B33B6C" w:rsidRPr="00C76EB4" w:rsidRDefault="00255D6E" w:rsidP="00C76EB4">
      <w:pPr>
        <w:pStyle w:val="WPPR2"/>
        <w:numPr>
          <w:ilvl w:val="3"/>
          <w:numId w:val="35"/>
        </w:numPr>
        <w:tabs>
          <w:tab w:val="clear" w:pos="1584"/>
          <w:tab w:val="num" w:pos="1440"/>
        </w:tabs>
        <w:ind w:left="1440" w:hanging="720"/>
        <w:rPr>
          <w:rFonts w:asciiTheme="minorHAnsi" w:hAnsiTheme="minorHAnsi" w:cstheme="minorBidi"/>
          <w:sz w:val="22"/>
          <w:szCs w:val="22"/>
        </w:rPr>
      </w:pPr>
      <w:r w:rsidRPr="0048438C">
        <w:rPr>
          <w:rFonts w:asciiTheme="minorHAnsi" w:hAnsiTheme="minorHAnsi" w:cstheme="minorBidi"/>
          <w:sz w:val="22"/>
          <w:szCs w:val="22"/>
        </w:rPr>
        <w:t>Given</w:t>
      </w:r>
      <w:r w:rsidRPr="00C76EB4">
        <w:rPr>
          <w:rFonts w:asciiTheme="minorHAnsi" w:hAnsiTheme="minorHAnsi" w:cstheme="minorBidi"/>
          <w:sz w:val="22"/>
          <w:szCs w:val="22"/>
        </w:rPr>
        <w:t xml:space="preserve"> </w:t>
      </w:r>
      <w:r w:rsidR="00B33B6C" w:rsidRPr="00C76EB4">
        <w:rPr>
          <w:rFonts w:asciiTheme="minorHAnsi" w:hAnsiTheme="minorHAnsi" w:cstheme="minorBidi"/>
          <w:sz w:val="22"/>
          <w:szCs w:val="22"/>
        </w:rPr>
        <w:t xml:space="preserve">the above assumptions, the energy saved by installing a qualified pre-rinse spray valve is calculated as follows:  </w:t>
      </w:r>
    </w:p>
    <w:p w14:paraId="56010C0E" w14:textId="77777777" w:rsidR="00B33B6C" w:rsidRPr="00C76EB4" w:rsidRDefault="00B33B6C" w:rsidP="00B33B6C">
      <w:pPr>
        <w:pStyle w:val="Vertical"/>
        <w:rPr>
          <w:rFonts w:asciiTheme="minorHAnsi" w:hAnsiTheme="minorHAnsi" w:cstheme="minorHAnsi"/>
          <w:sz w:val="22"/>
        </w:rPr>
      </w:pPr>
    </w:p>
    <w:p w14:paraId="01385C44" w14:textId="77777777" w:rsidR="00B33B6C" w:rsidRDefault="00B33B6C" w:rsidP="00C255CC">
      <w:pPr>
        <w:pStyle w:val="Vertical"/>
        <w:ind w:left="792" w:firstLine="360"/>
        <w:jc w:val="left"/>
        <w:rPr>
          <w:i/>
        </w:rPr>
      </w:pPr>
      <w:r>
        <w:tab/>
        <w:t xml:space="preserve">   </w:t>
      </w:r>
      <m:oMath>
        <m:r>
          <w:rPr>
            <w:rFonts w:ascii="Cambria Math" w:hAnsi="Cambria Math"/>
          </w:rPr>
          <m:t>∆Q=Qbase-Qprop</m:t>
        </m:r>
      </m:oMath>
      <w:r>
        <w:tab/>
      </w:r>
      <w:r>
        <w:tab/>
      </w:r>
      <w:r>
        <w:rPr>
          <w:i/>
        </w:rPr>
        <w:t xml:space="preserve">  </w:t>
      </w:r>
      <w:r>
        <w:rPr>
          <w:i/>
        </w:rPr>
        <w:tab/>
      </w:r>
      <w:r>
        <w:rPr>
          <w:i/>
        </w:rPr>
        <w:tab/>
      </w:r>
      <w:r>
        <w:rPr>
          <w:i/>
        </w:rPr>
        <w:tab/>
      </w:r>
      <w:r>
        <w:rPr>
          <w:i/>
        </w:rPr>
        <w:tab/>
      </w:r>
      <w:r>
        <w:rPr>
          <w:i/>
        </w:rPr>
        <w:tab/>
        <w:t>Eqn-2</w:t>
      </w:r>
      <w:r>
        <w:rPr>
          <w:i/>
        </w:rPr>
        <w:tab/>
      </w:r>
      <w:r>
        <w:rPr>
          <w:i/>
        </w:rPr>
        <w:tab/>
      </w:r>
      <w:r>
        <w:rPr>
          <w:i/>
        </w:rPr>
        <w:tab/>
      </w:r>
      <w:r>
        <w:rPr>
          <w:i/>
        </w:rPr>
        <w:tab/>
      </w:r>
      <w:r>
        <w:rPr>
          <w:i/>
        </w:rPr>
        <w:tab/>
      </w:r>
    </w:p>
    <w:p w14:paraId="6A3854BF" w14:textId="77777777" w:rsidR="00B33B6C" w:rsidRPr="00C76EB4" w:rsidRDefault="00B33B6C" w:rsidP="00B33B6C">
      <w:pPr>
        <w:pStyle w:val="WPPR1"/>
        <w:numPr>
          <w:ilvl w:val="2"/>
          <w:numId w:val="35"/>
        </w:numPr>
        <w:rPr>
          <w:rFonts w:asciiTheme="minorHAnsi" w:hAnsiTheme="minorHAnsi" w:cstheme="minorHAnsi"/>
          <w:sz w:val="22"/>
        </w:rPr>
      </w:pPr>
      <w:bookmarkStart w:id="26" w:name="_Toc391397021"/>
      <w:r w:rsidRPr="00C76EB4">
        <w:rPr>
          <w:rFonts w:asciiTheme="minorHAnsi" w:hAnsiTheme="minorHAnsi" w:cstheme="minorHAnsi"/>
          <w:sz w:val="22"/>
        </w:rPr>
        <w:t>Water Savings Calculation</w:t>
      </w:r>
      <w:bookmarkEnd w:id="26"/>
    </w:p>
    <w:p w14:paraId="0E181E80" w14:textId="1D713BF3" w:rsidR="00B33B6C" w:rsidRPr="00C76EB4" w:rsidRDefault="00B33B6C" w:rsidP="00C76EB4">
      <w:pPr>
        <w:pStyle w:val="PR2"/>
        <w:tabs>
          <w:tab w:val="clear" w:pos="1584"/>
        </w:tabs>
        <w:ind w:left="1440" w:hanging="720"/>
        <w:rPr>
          <w:rFonts w:asciiTheme="minorHAnsi" w:hAnsiTheme="minorHAnsi" w:cstheme="minorHAnsi"/>
          <w:sz w:val="22"/>
        </w:rPr>
      </w:pPr>
      <w:r w:rsidRPr="00C76EB4">
        <w:rPr>
          <w:rFonts w:asciiTheme="minorHAnsi" w:hAnsiTheme="minorHAnsi" w:cstheme="minorHAnsi"/>
          <w:sz w:val="22"/>
        </w:rPr>
        <w:t>The annual water use was calculated using hot, cold</w:t>
      </w:r>
      <w:r w:rsidR="008D3B19">
        <w:rPr>
          <w:rFonts w:asciiTheme="minorHAnsi" w:hAnsiTheme="minorHAnsi" w:cstheme="minorHAnsi"/>
          <w:sz w:val="22"/>
        </w:rPr>
        <w:t>,</w:t>
      </w:r>
      <w:r w:rsidRPr="00C76EB4">
        <w:rPr>
          <w:rFonts w:asciiTheme="minorHAnsi" w:hAnsiTheme="minorHAnsi" w:cstheme="minorHAnsi"/>
          <w:sz w:val="22"/>
        </w:rPr>
        <w:t xml:space="preserve"> and mixed water temperatures, using the following equation:</w:t>
      </w:r>
    </w:p>
    <w:p w14:paraId="4E56BDC9" w14:textId="77777777" w:rsidR="00B33B6C" w:rsidRDefault="00B33B6C" w:rsidP="00B33B6C">
      <w:pPr>
        <w:pStyle w:val="PR2"/>
        <w:numPr>
          <w:ilvl w:val="0"/>
          <w:numId w:val="0"/>
        </w:numPr>
        <w:tabs>
          <w:tab w:val="left" w:pos="720"/>
        </w:tabs>
        <w:ind w:left="1584"/>
      </w:pPr>
    </w:p>
    <w:p w14:paraId="70BBA514" w14:textId="77777777" w:rsidR="00B33B6C" w:rsidRDefault="00B33B6C" w:rsidP="00B33B6C">
      <w:pPr>
        <w:pStyle w:val="PR2"/>
        <w:numPr>
          <w:ilvl w:val="0"/>
          <w:numId w:val="0"/>
        </w:numPr>
        <w:tabs>
          <w:tab w:val="left" w:pos="720"/>
        </w:tabs>
        <w:ind w:left="1584"/>
      </w:pPr>
      <m:oMath>
        <m:r>
          <w:rPr>
            <w:rFonts w:ascii="Cambria Math" w:hAnsi="Cambria Math"/>
          </w:rPr>
          <m:t>F x 60 x</m:t>
        </m:r>
        <m:f>
          <m:fPr>
            <m:ctrlPr>
              <w:rPr>
                <w:rFonts w:ascii="Cambria Math" w:hAnsi="Cambria Math"/>
                <w:i/>
              </w:rPr>
            </m:ctrlPr>
          </m:fPr>
          <m:num>
            <m:r>
              <w:rPr>
                <w:rFonts w:ascii="Cambria Math" w:hAnsi="Cambria Math"/>
              </w:rPr>
              <m:t>Hours</m:t>
            </m:r>
          </m:num>
          <m:den>
            <m:r>
              <w:rPr>
                <w:rFonts w:ascii="Cambria Math" w:hAnsi="Cambria Math"/>
              </w:rPr>
              <m:t>Day</m:t>
            </m:r>
          </m:den>
        </m:f>
        <m:r>
          <w:rPr>
            <w:rFonts w:ascii="Cambria Math" w:hAnsi="Cambria Math"/>
          </w:rPr>
          <m:t xml:space="preserve"> x</m:t>
        </m:r>
        <m:f>
          <m:fPr>
            <m:ctrlPr>
              <w:rPr>
                <w:rFonts w:ascii="Cambria Math" w:hAnsi="Cambria Math"/>
                <w:i/>
              </w:rPr>
            </m:ctrlPr>
          </m:fPr>
          <m:num>
            <m:r>
              <w:rPr>
                <w:rFonts w:ascii="Cambria Math" w:hAnsi="Cambria Math"/>
              </w:rPr>
              <m:t>Days</m:t>
            </m:r>
          </m:num>
          <m:den>
            <m:r>
              <w:rPr>
                <w:rFonts w:ascii="Cambria Math" w:hAnsi="Cambria Math"/>
              </w:rPr>
              <m:t>year</m:t>
            </m:r>
          </m:den>
        </m:f>
        <m:r>
          <w:rPr>
            <w:rFonts w:ascii="Cambria Math" w:hAnsi="Cambria Math"/>
          </w:rPr>
          <m:t>=</m:t>
        </m:r>
        <m:f>
          <m:fPr>
            <m:ctrlPr>
              <w:rPr>
                <w:rFonts w:ascii="Cambria Math" w:hAnsi="Cambria Math"/>
                <w:i/>
              </w:rPr>
            </m:ctrlPr>
          </m:fPr>
          <m:num>
            <m:r>
              <w:rPr>
                <w:rFonts w:ascii="Cambria Math" w:hAnsi="Cambria Math"/>
              </w:rPr>
              <m:t>gal</m:t>
            </m:r>
          </m:num>
          <m:den>
            <m:r>
              <w:rPr>
                <w:rFonts w:ascii="Cambria Math" w:hAnsi="Cambria Math"/>
              </w:rPr>
              <m:t>yr</m:t>
            </m:r>
          </m:den>
        </m:f>
      </m:oMath>
      <w:r>
        <w:tab/>
      </w:r>
      <w:r>
        <w:tab/>
      </w:r>
      <w:r>
        <w:tab/>
      </w:r>
      <w:r>
        <w:tab/>
      </w:r>
      <w:r>
        <w:tab/>
      </w:r>
      <w:r>
        <w:tab/>
      </w:r>
      <w:r>
        <w:rPr>
          <w:i/>
        </w:rPr>
        <w:t>Eqn-3</w:t>
      </w:r>
    </w:p>
    <w:p w14:paraId="5DBA4A60" w14:textId="77777777" w:rsidR="007673AA" w:rsidRDefault="007673AA" w:rsidP="00B33B6C">
      <w:pPr>
        <w:pStyle w:val="PR2"/>
        <w:numPr>
          <w:ilvl w:val="0"/>
          <w:numId w:val="0"/>
        </w:numPr>
        <w:tabs>
          <w:tab w:val="left" w:pos="720"/>
        </w:tabs>
        <w:ind w:left="1584"/>
        <w:rPr>
          <w:rFonts w:asciiTheme="minorHAnsi" w:hAnsiTheme="minorHAnsi" w:cstheme="minorHAnsi"/>
          <w:sz w:val="22"/>
        </w:rPr>
      </w:pPr>
    </w:p>
    <w:p w14:paraId="69B8E108" w14:textId="62F7F68C" w:rsidR="00B33B6C" w:rsidRPr="00C76EB4" w:rsidRDefault="00B33B6C" w:rsidP="00B33B6C">
      <w:pPr>
        <w:pStyle w:val="PR2"/>
        <w:numPr>
          <w:ilvl w:val="0"/>
          <w:numId w:val="0"/>
        </w:numPr>
        <w:tabs>
          <w:tab w:val="left" w:pos="720"/>
        </w:tabs>
        <w:ind w:left="1584"/>
        <w:rPr>
          <w:rFonts w:asciiTheme="minorHAnsi" w:hAnsiTheme="minorHAnsi" w:cstheme="minorHAnsi"/>
          <w:sz w:val="22"/>
        </w:rPr>
      </w:pPr>
      <w:r w:rsidRPr="00C76EB4">
        <w:rPr>
          <w:rFonts w:asciiTheme="minorHAnsi" w:hAnsiTheme="minorHAnsi" w:cstheme="minorHAnsi"/>
          <w:sz w:val="22"/>
        </w:rPr>
        <w:t>Where</w:t>
      </w:r>
    </w:p>
    <w:p w14:paraId="749DD7FB" w14:textId="77777777" w:rsidR="00B33B6C" w:rsidRPr="00C76EB4" w:rsidRDefault="00B33B6C" w:rsidP="00C76EB4">
      <w:pPr>
        <w:pStyle w:val="PR3"/>
        <w:tabs>
          <w:tab w:val="clear" w:pos="2016"/>
          <w:tab w:val="num" w:pos="2340"/>
        </w:tabs>
        <w:ind w:left="2340" w:hanging="450"/>
        <w:rPr>
          <w:rFonts w:asciiTheme="minorHAnsi" w:hAnsiTheme="minorHAnsi" w:cstheme="minorHAnsi"/>
          <w:sz w:val="22"/>
        </w:rPr>
      </w:pPr>
      <w:r w:rsidRPr="00C76EB4">
        <w:rPr>
          <w:rFonts w:asciiTheme="majorHAnsi" w:hAnsiTheme="majorHAnsi"/>
          <w:i/>
        </w:rPr>
        <w:lastRenderedPageBreak/>
        <w:t>F</w:t>
      </w:r>
      <w:r>
        <w:t xml:space="preserve"> – </w:t>
      </w:r>
      <w:r w:rsidRPr="00C76EB4">
        <w:rPr>
          <w:rFonts w:asciiTheme="minorHAnsi" w:hAnsiTheme="minorHAnsi" w:cstheme="minorHAnsi"/>
          <w:sz w:val="22"/>
        </w:rPr>
        <w:t xml:space="preserve">flow rate (gallons/minute) </w:t>
      </w:r>
    </w:p>
    <w:p w14:paraId="66739D7C" w14:textId="075AC470" w:rsidR="00B33B6C" w:rsidRPr="00C76EB4" w:rsidRDefault="00174AA5" w:rsidP="00C76EB4">
      <w:pPr>
        <w:pStyle w:val="PR3"/>
        <w:tabs>
          <w:tab w:val="clear" w:pos="2016"/>
          <w:tab w:val="num" w:pos="2340"/>
        </w:tabs>
        <w:ind w:left="2340" w:hanging="450"/>
        <w:rPr>
          <w:rFonts w:asciiTheme="minorHAnsi" w:hAnsiTheme="minorHAnsi" w:cstheme="minorBidi"/>
          <w:sz w:val="22"/>
          <w:szCs w:val="22"/>
        </w:rPr>
      </w:pPr>
      <m:oMath>
        <m:f>
          <m:fPr>
            <m:ctrlPr>
              <w:rPr>
                <w:rFonts w:ascii="Cambria Math" w:hAnsi="Cambria Math"/>
                <w:i/>
              </w:rPr>
            </m:ctrlPr>
          </m:fPr>
          <m:num>
            <m:r>
              <w:rPr>
                <w:rFonts w:ascii="Cambria Math" w:hAnsi="Cambria Math"/>
              </w:rPr>
              <m:t>Hours</m:t>
            </m:r>
          </m:num>
          <m:den>
            <m:r>
              <w:rPr>
                <w:rFonts w:ascii="Cambria Math" w:hAnsi="Cambria Math"/>
              </w:rPr>
              <m:t>Day</m:t>
            </m:r>
          </m:den>
        </m:f>
      </m:oMath>
      <w:r w:rsidR="00B33B6C">
        <w:t xml:space="preserve"> </w:t>
      </w:r>
      <w:r w:rsidR="007673AA">
        <w:t xml:space="preserve">– </w:t>
      </w:r>
      <w:r w:rsidR="00B33B6C" w:rsidRPr="00C76EB4">
        <w:rPr>
          <w:rFonts w:asciiTheme="minorHAnsi" w:hAnsiTheme="minorHAnsi" w:cstheme="minorBidi"/>
          <w:sz w:val="22"/>
          <w:szCs w:val="22"/>
        </w:rPr>
        <w:t>daily operating hours (hours/day)</w:t>
      </w:r>
    </w:p>
    <w:p w14:paraId="7C6D8E10" w14:textId="402EBB7A" w:rsidR="00B33B6C" w:rsidRPr="00C76EB4" w:rsidRDefault="00174AA5" w:rsidP="00C76EB4">
      <w:pPr>
        <w:pStyle w:val="PR3"/>
        <w:tabs>
          <w:tab w:val="clear" w:pos="2016"/>
          <w:tab w:val="num" w:pos="2340"/>
        </w:tabs>
        <w:ind w:left="2340" w:hanging="450"/>
        <w:rPr>
          <w:rFonts w:asciiTheme="minorHAnsi" w:hAnsiTheme="minorHAnsi" w:cstheme="minorBidi"/>
          <w:sz w:val="22"/>
          <w:szCs w:val="22"/>
        </w:rPr>
      </w:pPr>
      <m:oMath>
        <m:f>
          <m:fPr>
            <m:ctrlPr>
              <w:rPr>
                <w:rFonts w:ascii="Cambria Math" w:hAnsi="Cambria Math"/>
                <w:i/>
              </w:rPr>
            </m:ctrlPr>
          </m:fPr>
          <m:num>
            <m:r>
              <w:rPr>
                <w:rFonts w:ascii="Cambria Math" w:hAnsi="Cambria Math"/>
              </w:rPr>
              <m:t>Days</m:t>
            </m:r>
          </m:num>
          <m:den>
            <m:r>
              <w:rPr>
                <w:rFonts w:ascii="Cambria Math" w:hAnsi="Cambria Math"/>
              </w:rPr>
              <m:t xml:space="preserve">year </m:t>
            </m:r>
          </m:den>
        </m:f>
      </m:oMath>
      <w:r w:rsidR="00B33B6C">
        <w:t xml:space="preserve"> </w:t>
      </w:r>
      <w:r w:rsidR="007673AA">
        <w:t xml:space="preserve">– </w:t>
      </w:r>
      <w:r w:rsidR="00B33B6C" w:rsidRPr="00C76EB4">
        <w:rPr>
          <w:rFonts w:asciiTheme="minorHAnsi" w:hAnsiTheme="minorHAnsi" w:cstheme="minorBidi"/>
          <w:sz w:val="22"/>
          <w:szCs w:val="22"/>
        </w:rPr>
        <w:t>yearly days of operating (days/year)</w:t>
      </w:r>
    </w:p>
    <w:p w14:paraId="11EFEADC" w14:textId="5BDB1966" w:rsidR="00B33B6C" w:rsidRDefault="00174AA5" w:rsidP="00C76EB4">
      <w:pPr>
        <w:pStyle w:val="PR3"/>
        <w:tabs>
          <w:tab w:val="clear" w:pos="2016"/>
          <w:tab w:val="num" w:pos="2340"/>
        </w:tabs>
        <w:ind w:left="2340" w:hanging="450"/>
      </w:pPr>
      <m:oMath>
        <m:f>
          <m:fPr>
            <m:ctrlPr>
              <w:rPr>
                <w:rFonts w:ascii="Cambria Math" w:hAnsi="Cambria Math"/>
                <w:i/>
              </w:rPr>
            </m:ctrlPr>
          </m:fPr>
          <m:num>
            <m:r>
              <w:rPr>
                <w:rFonts w:ascii="Cambria Math" w:hAnsi="Cambria Math"/>
              </w:rPr>
              <m:t>gal</m:t>
            </m:r>
          </m:num>
          <m:den>
            <m:r>
              <w:rPr>
                <w:rFonts w:ascii="Cambria Math" w:hAnsi="Cambria Math"/>
              </w:rPr>
              <m:t>yr</m:t>
            </m:r>
          </m:den>
        </m:f>
      </m:oMath>
      <w:r w:rsidR="00B33B6C">
        <w:t xml:space="preserve"> </w:t>
      </w:r>
      <w:r w:rsidR="007673AA">
        <w:t xml:space="preserve">– </w:t>
      </w:r>
      <w:r w:rsidR="00B33B6C" w:rsidRPr="00C76EB4">
        <w:rPr>
          <w:rFonts w:asciiTheme="minorHAnsi" w:hAnsiTheme="minorHAnsi" w:cstheme="minorBidi"/>
          <w:sz w:val="22"/>
          <w:szCs w:val="22"/>
        </w:rPr>
        <w:t>annual water use (gallons/year)</w:t>
      </w:r>
    </w:p>
    <w:p w14:paraId="3C11B4E4" w14:textId="77777777" w:rsidR="00B33B6C" w:rsidRDefault="00B33B6C" w:rsidP="00B33B6C">
      <w:pPr>
        <w:pStyle w:val="PR3"/>
        <w:numPr>
          <w:ilvl w:val="0"/>
          <w:numId w:val="0"/>
        </w:numPr>
        <w:tabs>
          <w:tab w:val="left" w:pos="720"/>
        </w:tabs>
        <w:ind w:left="2016"/>
      </w:pPr>
    </w:p>
    <w:p w14:paraId="0E5566CC" w14:textId="77777777" w:rsidR="00B33B6C" w:rsidRDefault="00B33B6C" w:rsidP="00C76EB4">
      <w:pPr>
        <w:pStyle w:val="WPPR2"/>
        <w:numPr>
          <w:ilvl w:val="3"/>
          <w:numId w:val="35"/>
        </w:numPr>
        <w:tabs>
          <w:tab w:val="clear" w:pos="1584"/>
          <w:tab w:val="num" w:pos="720"/>
        </w:tabs>
        <w:ind w:left="720" w:firstLine="0"/>
      </w:pPr>
      <w:r>
        <w:t>The water saved by installing a qualified pre-rinse spray valve is calculated as follows:</w:t>
      </w:r>
    </w:p>
    <w:p w14:paraId="7D555D06" w14:textId="77777777" w:rsidR="00B33B6C" w:rsidRDefault="00B33B6C" w:rsidP="00B33B6C">
      <w:pPr>
        <w:pStyle w:val="WPPR2"/>
        <w:numPr>
          <w:ilvl w:val="0"/>
          <w:numId w:val="0"/>
        </w:numPr>
        <w:tabs>
          <w:tab w:val="left" w:pos="720"/>
        </w:tabs>
        <w:ind w:left="1584"/>
      </w:pPr>
    </w:p>
    <w:p w14:paraId="1D9A7174" w14:textId="7F6A5556" w:rsidR="00245802" w:rsidRDefault="00B33B6C" w:rsidP="00B33B6C">
      <w:pPr>
        <w:pStyle w:val="WPPR2"/>
        <w:numPr>
          <w:ilvl w:val="0"/>
          <w:numId w:val="0"/>
        </w:numPr>
        <w:tabs>
          <w:tab w:val="left" w:pos="720"/>
        </w:tabs>
        <w:ind w:left="1584"/>
      </w:pPr>
      <m:oMath>
        <m:r>
          <w:rPr>
            <w:rFonts w:ascii="Cambria Math" w:hAnsi="Cambria Math"/>
          </w:rPr>
          <m:t>Baseline Water Use-Measure Water Use=Annual Water Savings</m:t>
        </m:r>
      </m:oMath>
      <w:r>
        <w:t xml:space="preserve">   </w:t>
      </w:r>
      <w:r>
        <w:rPr>
          <w:i/>
        </w:rPr>
        <w:t>Eqn-4</w:t>
      </w:r>
    </w:p>
    <w:p w14:paraId="0383F240" w14:textId="77777777" w:rsidR="00A74FE3" w:rsidRDefault="00A74FE3" w:rsidP="00C76EB4">
      <w:pPr>
        <w:pStyle w:val="WPPR2"/>
        <w:numPr>
          <w:ilvl w:val="0"/>
          <w:numId w:val="0"/>
        </w:numPr>
        <w:tabs>
          <w:tab w:val="left" w:pos="720"/>
        </w:tabs>
        <w:ind w:left="1584"/>
      </w:pPr>
    </w:p>
    <w:p w14:paraId="7E568713" w14:textId="2F983414" w:rsidR="009204BE" w:rsidRDefault="00B1655F">
      <w:pPr>
        <w:spacing w:after="200" w:line="276" w:lineRule="auto"/>
      </w:pPr>
      <w:r>
        <w:t>The table below shows energy and water savings for measure commercial pre-rinse spray valves for two categories based on force.</w:t>
      </w:r>
      <w:r w:rsidR="00012242">
        <w:t xml:space="preserve"> This is an example calculation using </w:t>
      </w:r>
      <w:r w:rsidR="008D3B19">
        <w:t>an</w:t>
      </w:r>
      <w:r w:rsidR="00012242">
        <w:t xml:space="preserve"> average state groundwater temperature of </w:t>
      </w:r>
      <w:r w:rsidR="00BF0A93">
        <w:t>63.3</w:t>
      </w:r>
      <w:r w:rsidR="00BF0A93">
        <w:rPr>
          <w:rFonts w:cstheme="minorHAnsi"/>
        </w:rPr>
        <w:t>°</w:t>
      </w:r>
      <w:r w:rsidR="00BF0A93">
        <w:t>F. More specific</w:t>
      </w:r>
      <w:r w:rsidR="000669CE">
        <w:t xml:space="preserve"> summary</w:t>
      </w:r>
      <w:r w:rsidR="00BF0A93">
        <w:t xml:space="preserve"> results will be </w:t>
      </w:r>
      <w:r w:rsidR="0043552B">
        <w:t xml:space="preserve">shown </w:t>
      </w:r>
      <w:r w:rsidR="000669CE">
        <w:t xml:space="preserve">in </w:t>
      </w:r>
      <w:r w:rsidR="001030B2">
        <w:t>the subsequent</w:t>
      </w:r>
      <w:r w:rsidR="008D3B19">
        <w:t xml:space="preserve"> table</w:t>
      </w:r>
      <w:r w:rsidR="000669CE">
        <w:t xml:space="preserve"> </w:t>
      </w:r>
      <w:r w:rsidR="0043552B">
        <w:t xml:space="preserve">based on individual climate zone with </w:t>
      </w:r>
      <w:r w:rsidR="001030B2">
        <w:t xml:space="preserve">varying </w:t>
      </w:r>
      <w:r w:rsidR="0043552B">
        <w:t xml:space="preserve">groundwater temperatures. </w:t>
      </w:r>
      <w:r w:rsidR="00EA241C">
        <w:t>Water savings will the same for each climate zone and fuel type.</w:t>
      </w:r>
      <w:r w:rsidR="00703002">
        <w:t xml:space="preserve">  </w:t>
      </w:r>
      <w:r w:rsidR="008933D4">
        <w:t>5-8 oz force federal threshold of 1.2 gpm is used</w:t>
      </w:r>
      <w:r w:rsidR="00D954A3">
        <w:t xml:space="preserve"> as a baseline for both measure energy savings calculations</w:t>
      </w:r>
      <w:r w:rsidR="008933D4">
        <w:t xml:space="preserve"> because it is standard </w:t>
      </w:r>
      <w:r w:rsidR="009E081C">
        <w:t xml:space="preserve">industry </w:t>
      </w:r>
      <w:r w:rsidR="008933D4">
        <w:t>practice.</w:t>
      </w:r>
    </w:p>
    <w:p w14:paraId="4E11CB61" w14:textId="5D60C3AF" w:rsidR="003B2CCF" w:rsidRDefault="003B2CCF" w:rsidP="00C76EB4">
      <w:pPr>
        <w:spacing w:line="276" w:lineRule="auto"/>
        <w:rPr>
          <w:rFonts w:cstheme="minorBidi"/>
          <w:b/>
        </w:rPr>
      </w:pPr>
      <w:bookmarkStart w:id="27" w:name="_Hlk531877418"/>
      <w:r w:rsidRPr="0048438C">
        <w:rPr>
          <w:rFonts w:cstheme="minorBidi"/>
          <w:b/>
        </w:rPr>
        <w:t xml:space="preserve">Base and Measure Case </w:t>
      </w:r>
      <w:r w:rsidR="0043552B">
        <w:rPr>
          <w:rFonts w:cstheme="minorBidi"/>
          <w:b/>
          <w:bCs/>
        </w:rPr>
        <w:t xml:space="preserve">Gas </w:t>
      </w:r>
      <w:r w:rsidRPr="0048438C">
        <w:rPr>
          <w:rFonts w:cstheme="minorBidi"/>
          <w:b/>
        </w:rPr>
        <w:t>Energy and Water Savings</w:t>
      </w:r>
    </w:p>
    <w:tbl>
      <w:tblPr>
        <w:tblW w:w="9270" w:type="dxa"/>
        <w:tblInd w:w="-5" w:type="dxa"/>
        <w:tblLook w:val="04A0" w:firstRow="1" w:lastRow="0" w:firstColumn="1" w:lastColumn="0" w:noHBand="0" w:noVBand="1"/>
      </w:tblPr>
      <w:tblGrid>
        <w:gridCol w:w="4320"/>
        <w:gridCol w:w="1710"/>
        <w:gridCol w:w="1530"/>
        <w:gridCol w:w="1710"/>
      </w:tblGrid>
      <w:tr w:rsidR="00CE604C" w:rsidRPr="00CE604C" w14:paraId="0AB1C17C" w14:textId="77777777" w:rsidTr="00CE604C">
        <w:trPr>
          <w:trHeight w:val="300"/>
        </w:trPr>
        <w:tc>
          <w:tcPr>
            <w:tcW w:w="432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67EC7C" w14:textId="77777777" w:rsidR="00CE604C" w:rsidRPr="00CE604C" w:rsidRDefault="00CE604C" w:rsidP="00CE604C">
            <w:pPr>
              <w:rPr>
                <w:rFonts w:ascii="Calibri" w:hAnsi="Calibri" w:cs="Calibri"/>
                <w:b/>
                <w:bCs/>
                <w:color w:val="000000"/>
                <w:sz w:val="20"/>
                <w:szCs w:val="20"/>
              </w:rPr>
            </w:pPr>
            <w:r w:rsidRPr="00CE604C">
              <w:rPr>
                <w:rFonts w:ascii="Calibri" w:hAnsi="Calibri" w:cs="Calibri"/>
                <w:b/>
                <w:bCs/>
                <w:color w:val="000000"/>
                <w:sz w:val="20"/>
                <w:szCs w:val="20"/>
              </w:rPr>
              <w:t>Case</w:t>
            </w:r>
          </w:p>
        </w:tc>
        <w:tc>
          <w:tcPr>
            <w:tcW w:w="1710" w:type="dxa"/>
            <w:tcBorders>
              <w:top w:val="single" w:sz="4" w:space="0" w:color="auto"/>
              <w:left w:val="nil"/>
              <w:bottom w:val="single" w:sz="4" w:space="0" w:color="auto"/>
              <w:right w:val="single" w:sz="4" w:space="0" w:color="auto"/>
            </w:tcBorders>
            <w:shd w:val="clear" w:color="000000" w:fill="E7E6E6"/>
            <w:noWrap/>
            <w:vAlign w:val="center"/>
            <w:hideMark/>
          </w:tcPr>
          <w:p w14:paraId="61E81BE6" w14:textId="77777777" w:rsidR="00CE604C" w:rsidRPr="00CE604C" w:rsidRDefault="00CE604C" w:rsidP="00CE604C">
            <w:pPr>
              <w:jc w:val="center"/>
              <w:rPr>
                <w:rFonts w:ascii="Calibri" w:hAnsi="Calibri" w:cs="Calibri"/>
                <w:b/>
                <w:bCs/>
                <w:color w:val="000000"/>
                <w:sz w:val="20"/>
                <w:szCs w:val="20"/>
              </w:rPr>
            </w:pPr>
            <w:r w:rsidRPr="00CE604C">
              <w:rPr>
                <w:rFonts w:ascii="Calibri" w:hAnsi="Calibri" w:cs="Calibri"/>
                <w:b/>
                <w:bCs/>
                <w:color w:val="000000"/>
                <w:sz w:val="20"/>
                <w:szCs w:val="20"/>
              </w:rPr>
              <w:t>Baseline</w:t>
            </w:r>
          </w:p>
        </w:tc>
        <w:tc>
          <w:tcPr>
            <w:tcW w:w="1530" w:type="dxa"/>
            <w:tcBorders>
              <w:top w:val="single" w:sz="4" w:space="0" w:color="auto"/>
              <w:left w:val="nil"/>
              <w:bottom w:val="single" w:sz="4" w:space="0" w:color="auto"/>
              <w:right w:val="single" w:sz="4" w:space="0" w:color="auto"/>
            </w:tcBorders>
            <w:shd w:val="clear" w:color="000000" w:fill="E7E6E6"/>
            <w:noWrap/>
            <w:vAlign w:val="center"/>
            <w:hideMark/>
          </w:tcPr>
          <w:p w14:paraId="20833201" w14:textId="77777777" w:rsidR="00CE604C" w:rsidRPr="00CE604C" w:rsidRDefault="00CE604C" w:rsidP="00CE604C">
            <w:pPr>
              <w:jc w:val="center"/>
              <w:rPr>
                <w:rFonts w:ascii="Calibri" w:hAnsi="Calibri" w:cs="Calibri"/>
                <w:b/>
                <w:bCs/>
                <w:color w:val="000000"/>
                <w:sz w:val="20"/>
                <w:szCs w:val="20"/>
              </w:rPr>
            </w:pPr>
            <w:r w:rsidRPr="00CE604C">
              <w:rPr>
                <w:rFonts w:ascii="Calibri" w:hAnsi="Calibri" w:cs="Calibri"/>
                <w:b/>
                <w:bCs/>
                <w:color w:val="000000"/>
                <w:sz w:val="20"/>
                <w:szCs w:val="20"/>
              </w:rPr>
              <w:t>Measure</w:t>
            </w:r>
          </w:p>
        </w:tc>
        <w:tc>
          <w:tcPr>
            <w:tcW w:w="1710" w:type="dxa"/>
            <w:tcBorders>
              <w:top w:val="single" w:sz="4" w:space="0" w:color="auto"/>
              <w:left w:val="nil"/>
              <w:bottom w:val="single" w:sz="4" w:space="0" w:color="auto"/>
              <w:right w:val="single" w:sz="4" w:space="0" w:color="auto"/>
            </w:tcBorders>
            <w:shd w:val="clear" w:color="000000" w:fill="E7E6E6"/>
            <w:noWrap/>
            <w:vAlign w:val="center"/>
            <w:hideMark/>
          </w:tcPr>
          <w:p w14:paraId="642215F8" w14:textId="77777777" w:rsidR="00CE604C" w:rsidRPr="00CE604C" w:rsidRDefault="00CE604C" w:rsidP="00CE604C">
            <w:pPr>
              <w:jc w:val="center"/>
              <w:rPr>
                <w:rFonts w:ascii="Calibri" w:hAnsi="Calibri" w:cs="Calibri"/>
                <w:b/>
                <w:bCs/>
                <w:color w:val="000000"/>
                <w:sz w:val="20"/>
                <w:szCs w:val="20"/>
              </w:rPr>
            </w:pPr>
            <w:r w:rsidRPr="00CE604C">
              <w:rPr>
                <w:rFonts w:ascii="Calibri" w:hAnsi="Calibri" w:cs="Calibri"/>
                <w:b/>
                <w:bCs/>
                <w:color w:val="000000"/>
                <w:sz w:val="20"/>
                <w:szCs w:val="20"/>
              </w:rPr>
              <w:t>Measure</w:t>
            </w:r>
          </w:p>
        </w:tc>
      </w:tr>
      <w:tr w:rsidR="00CE604C" w:rsidRPr="00CE604C" w14:paraId="4294BD9F" w14:textId="77777777" w:rsidTr="00CE604C">
        <w:trPr>
          <w:trHeight w:val="300"/>
        </w:trPr>
        <w:tc>
          <w:tcPr>
            <w:tcW w:w="4320" w:type="dxa"/>
            <w:tcBorders>
              <w:top w:val="nil"/>
              <w:left w:val="single" w:sz="4" w:space="0" w:color="auto"/>
              <w:bottom w:val="single" w:sz="4" w:space="0" w:color="auto"/>
              <w:right w:val="single" w:sz="4" w:space="0" w:color="auto"/>
            </w:tcBorders>
            <w:shd w:val="clear" w:color="000000" w:fill="FFFFFF"/>
            <w:vAlign w:val="center"/>
            <w:hideMark/>
          </w:tcPr>
          <w:p w14:paraId="60586539" w14:textId="77777777" w:rsidR="00CE604C" w:rsidRPr="002C58D0" w:rsidRDefault="00CE604C" w:rsidP="00CE604C">
            <w:pPr>
              <w:rPr>
                <w:rFonts w:ascii="Calibri" w:hAnsi="Calibri" w:cs="Calibri"/>
                <w:bCs/>
                <w:color w:val="000000"/>
                <w:sz w:val="20"/>
                <w:szCs w:val="20"/>
              </w:rPr>
            </w:pPr>
            <w:r w:rsidRPr="002C58D0">
              <w:rPr>
                <w:rFonts w:ascii="Calibri" w:hAnsi="Calibri" w:cstheme="minorHAnsi"/>
                <w:bCs/>
                <w:color w:val="000000"/>
                <w:sz w:val="20"/>
                <w:szCs w:val="20"/>
              </w:rPr>
              <w:t>Force Category (ozf)</w:t>
            </w:r>
          </w:p>
        </w:tc>
        <w:tc>
          <w:tcPr>
            <w:tcW w:w="1710" w:type="dxa"/>
            <w:tcBorders>
              <w:top w:val="nil"/>
              <w:left w:val="nil"/>
              <w:bottom w:val="single" w:sz="4" w:space="0" w:color="auto"/>
              <w:right w:val="single" w:sz="4" w:space="0" w:color="auto"/>
            </w:tcBorders>
            <w:shd w:val="clear" w:color="auto" w:fill="auto"/>
            <w:noWrap/>
            <w:vAlign w:val="center"/>
            <w:hideMark/>
          </w:tcPr>
          <w:p w14:paraId="3A3017DF" w14:textId="77777777" w:rsidR="00CE604C" w:rsidRPr="002C58D0" w:rsidRDefault="00CE604C" w:rsidP="00CE604C">
            <w:pPr>
              <w:jc w:val="center"/>
              <w:rPr>
                <w:rFonts w:ascii="Calibri" w:hAnsi="Calibri" w:cs="Calibri"/>
                <w:bCs/>
                <w:color w:val="000000"/>
                <w:sz w:val="20"/>
                <w:szCs w:val="20"/>
              </w:rPr>
            </w:pPr>
            <w:r w:rsidRPr="002C58D0">
              <w:rPr>
                <w:rFonts w:ascii="Calibri" w:hAnsi="Calibri" w:cs="Calibri"/>
                <w:bCs/>
                <w:color w:val="000000"/>
                <w:sz w:val="20"/>
                <w:szCs w:val="20"/>
              </w:rPr>
              <w:t>all</w:t>
            </w:r>
          </w:p>
        </w:tc>
        <w:tc>
          <w:tcPr>
            <w:tcW w:w="1530" w:type="dxa"/>
            <w:tcBorders>
              <w:top w:val="nil"/>
              <w:left w:val="nil"/>
              <w:bottom w:val="single" w:sz="4" w:space="0" w:color="auto"/>
              <w:right w:val="single" w:sz="4" w:space="0" w:color="auto"/>
            </w:tcBorders>
            <w:shd w:val="clear" w:color="auto" w:fill="auto"/>
            <w:noWrap/>
            <w:vAlign w:val="center"/>
            <w:hideMark/>
          </w:tcPr>
          <w:p w14:paraId="62108985" w14:textId="77777777" w:rsidR="00CE604C" w:rsidRPr="002C58D0" w:rsidRDefault="00CE604C" w:rsidP="00CE604C">
            <w:pPr>
              <w:jc w:val="center"/>
              <w:rPr>
                <w:rFonts w:ascii="Calibri" w:hAnsi="Calibri" w:cs="Calibri"/>
                <w:bCs/>
                <w:color w:val="000000"/>
                <w:sz w:val="20"/>
                <w:szCs w:val="20"/>
              </w:rPr>
            </w:pPr>
            <w:r w:rsidRPr="002C58D0">
              <w:rPr>
                <w:rFonts w:ascii="Calibri" w:hAnsi="Calibri" w:cs="Calibri"/>
                <w:bCs/>
                <w:color w:val="000000"/>
                <w:sz w:val="20"/>
                <w:szCs w:val="20"/>
              </w:rPr>
              <w:t>&lt;5</w:t>
            </w:r>
          </w:p>
        </w:tc>
        <w:tc>
          <w:tcPr>
            <w:tcW w:w="1710" w:type="dxa"/>
            <w:tcBorders>
              <w:top w:val="nil"/>
              <w:left w:val="nil"/>
              <w:bottom w:val="single" w:sz="4" w:space="0" w:color="auto"/>
              <w:right w:val="single" w:sz="4" w:space="0" w:color="auto"/>
            </w:tcBorders>
            <w:shd w:val="clear" w:color="auto" w:fill="auto"/>
            <w:noWrap/>
            <w:vAlign w:val="center"/>
            <w:hideMark/>
          </w:tcPr>
          <w:p w14:paraId="2F78A668" w14:textId="77777777" w:rsidR="00CE604C" w:rsidRPr="002C58D0" w:rsidRDefault="00CE604C" w:rsidP="00CE604C">
            <w:pPr>
              <w:jc w:val="center"/>
              <w:rPr>
                <w:rFonts w:ascii="Calibri" w:hAnsi="Calibri" w:cs="Calibri"/>
                <w:bCs/>
                <w:color w:val="000000"/>
                <w:sz w:val="20"/>
                <w:szCs w:val="20"/>
              </w:rPr>
            </w:pPr>
            <w:r w:rsidRPr="002C58D0">
              <w:rPr>
                <w:rFonts w:ascii="Calibri" w:hAnsi="Calibri" w:cs="Calibri"/>
                <w:bCs/>
                <w:color w:val="000000"/>
                <w:sz w:val="20"/>
                <w:szCs w:val="20"/>
              </w:rPr>
              <w:t>5+</w:t>
            </w:r>
          </w:p>
        </w:tc>
      </w:tr>
      <w:tr w:rsidR="00CE604C" w:rsidRPr="00CE604C" w14:paraId="7D6250B4" w14:textId="77777777" w:rsidTr="00CE604C">
        <w:trPr>
          <w:trHeight w:val="300"/>
        </w:trPr>
        <w:tc>
          <w:tcPr>
            <w:tcW w:w="4320" w:type="dxa"/>
            <w:tcBorders>
              <w:top w:val="nil"/>
              <w:left w:val="single" w:sz="4" w:space="0" w:color="auto"/>
              <w:bottom w:val="single" w:sz="4" w:space="0" w:color="auto"/>
              <w:right w:val="single" w:sz="4" w:space="0" w:color="auto"/>
            </w:tcBorders>
            <w:shd w:val="clear" w:color="000000" w:fill="FFFFFF"/>
            <w:vAlign w:val="center"/>
            <w:hideMark/>
          </w:tcPr>
          <w:p w14:paraId="5F3B4E6F" w14:textId="77777777" w:rsidR="00CE604C" w:rsidRPr="00CE604C" w:rsidRDefault="00CE604C" w:rsidP="00CE604C">
            <w:pPr>
              <w:rPr>
                <w:rFonts w:ascii="Calibri" w:hAnsi="Calibri" w:cs="Calibri"/>
                <w:b/>
                <w:bCs/>
                <w:color w:val="000000"/>
                <w:sz w:val="20"/>
                <w:szCs w:val="20"/>
              </w:rPr>
            </w:pPr>
            <w:r w:rsidRPr="00CE604C">
              <w:rPr>
                <w:rFonts w:ascii="Calibri" w:hAnsi="Calibri" w:cstheme="minorHAnsi"/>
                <w:b/>
                <w:bCs/>
                <w:color w:val="000000"/>
                <w:sz w:val="20"/>
                <w:szCs w:val="20"/>
              </w:rPr>
              <w:t>Flow Rate (gpm)</w:t>
            </w:r>
          </w:p>
        </w:tc>
        <w:tc>
          <w:tcPr>
            <w:tcW w:w="1710" w:type="dxa"/>
            <w:tcBorders>
              <w:top w:val="nil"/>
              <w:left w:val="nil"/>
              <w:bottom w:val="single" w:sz="4" w:space="0" w:color="auto"/>
              <w:right w:val="single" w:sz="4" w:space="0" w:color="auto"/>
            </w:tcBorders>
            <w:shd w:val="clear" w:color="auto" w:fill="auto"/>
            <w:noWrap/>
            <w:vAlign w:val="center"/>
            <w:hideMark/>
          </w:tcPr>
          <w:p w14:paraId="013CD1B8" w14:textId="77777777" w:rsidR="00CE604C" w:rsidRPr="00CE604C" w:rsidRDefault="00CE604C" w:rsidP="00CE604C">
            <w:pPr>
              <w:jc w:val="center"/>
              <w:rPr>
                <w:rFonts w:ascii="Calibri" w:hAnsi="Calibri" w:cs="Calibri"/>
                <w:b/>
                <w:bCs/>
                <w:color w:val="000000"/>
                <w:sz w:val="20"/>
                <w:szCs w:val="20"/>
              </w:rPr>
            </w:pPr>
            <w:r w:rsidRPr="00CE604C">
              <w:rPr>
                <w:rFonts w:ascii="Calibri" w:hAnsi="Calibri" w:cs="Calibri"/>
                <w:b/>
                <w:bCs/>
                <w:color w:val="000000"/>
                <w:sz w:val="20"/>
                <w:szCs w:val="20"/>
              </w:rPr>
              <w:t>1.20</w:t>
            </w:r>
          </w:p>
        </w:tc>
        <w:tc>
          <w:tcPr>
            <w:tcW w:w="1530" w:type="dxa"/>
            <w:tcBorders>
              <w:top w:val="nil"/>
              <w:left w:val="nil"/>
              <w:bottom w:val="single" w:sz="4" w:space="0" w:color="auto"/>
              <w:right w:val="single" w:sz="4" w:space="0" w:color="auto"/>
            </w:tcBorders>
            <w:shd w:val="clear" w:color="auto" w:fill="auto"/>
            <w:noWrap/>
            <w:vAlign w:val="center"/>
            <w:hideMark/>
          </w:tcPr>
          <w:p w14:paraId="154627B5" w14:textId="77777777" w:rsidR="00CE604C" w:rsidRPr="00CE604C" w:rsidRDefault="00CE604C" w:rsidP="00CE604C">
            <w:pPr>
              <w:jc w:val="center"/>
              <w:rPr>
                <w:rFonts w:ascii="Calibri" w:hAnsi="Calibri" w:cs="Calibri"/>
                <w:b/>
                <w:bCs/>
                <w:color w:val="000000"/>
                <w:sz w:val="20"/>
                <w:szCs w:val="20"/>
              </w:rPr>
            </w:pPr>
            <w:r w:rsidRPr="00CE604C">
              <w:rPr>
                <w:rFonts w:ascii="Calibri" w:hAnsi="Calibri" w:cs="Calibri"/>
                <w:b/>
                <w:bCs/>
                <w:color w:val="000000"/>
                <w:sz w:val="20"/>
                <w:szCs w:val="20"/>
              </w:rPr>
              <w:t>0.75</w:t>
            </w:r>
          </w:p>
        </w:tc>
        <w:tc>
          <w:tcPr>
            <w:tcW w:w="1710" w:type="dxa"/>
            <w:tcBorders>
              <w:top w:val="nil"/>
              <w:left w:val="nil"/>
              <w:bottom w:val="single" w:sz="4" w:space="0" w:color="auto"/>
              <w:right w:val="single" w:sz="4" w:space="0" w:color="auto"/>
            </w:tcBorders>
            <w:shd w:val="clear" w:color="auto" w:fill="auto"/>
            <w:noWrap/>
            <w:vAlign w:val="center"/>
            <w:hideMark/>
          </w:tcPr>
          <w:p w14:paraId="3F6E1682" w14:textId="77777777" w:rsidR="00CE604C" w:rsidRPr="00CE604C" w:rsidRDefault="00CE604C" w:rsidP="00CE604C">
            <w:pPr>
              <w:jc w:val="center"/>
              <w:rPr>
                <w:rFonts w:ascii="Calibri" w:hAnsi="Calibri" w:cs="Calibri"/>
                <w:b/>
                <w:bCs/>
                <w:color w:val="000000"/>
                <w:sz w:val="20"/>
                <w:szCs w:val="20"/>
              </w:rPr>
            </w:pPr>
            <w:r w:rsidRPr="00CE604C">
              <w:rPr>
                <w:rFonts w:ascii="Calibri" w:hAnsi="Calibri" w:cs="Calibri"/>
                <w:b/>
                <w:bCs/>
                <w:color w:val="000000"/>
                <w:sz w:val="20"/>
                <w:szCs w:val="20"/>
              </w:rPr>
              <w:t>1.07</w:t>
            </w:r>
          </w:p>
        </w:tc>
      </w:tr>
      <w:tr w:rsidR="00CE604C" w:rsidRPr="00CE604C" w14:paraId="7DFA0F99" w14:textId="77777777" w:rsidTr="00CE604C">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3FBEF8E2" w14:textId="77777777" w:rsidR="00CE604C" w:rsidRPr="00CE604C" w:rsidRDefault="00CE604C" w:rsidP="00CE604C">
            <w:pPr>
              <w:rPr>
                <w:rFonts w:ascii="Calibri" w:hAnsi="Calibri" w:cs="Calibri"/>
                <w:color w:val="000000"/>
                <w:sz w:val="20"/>
                <w:szCs w:val="20"/>
              </w:rPr>
            </w:pPr>
            <w:r w:rsidRPr="00CE604C">
              <w:rPr>
                <w:rFonts w:ascii="Calibri" w:hAnsi="Calibri" w:cs="Calibri"/>
                <w:color w:val="000000"/>
                <w:sz w:val="20"/>
                <w:szCs w:val="20"/>
              </w:rPr>
              <w:t>Operating Hours per Day (h/day)</w:t>
            </w:r>
          </w:p>
        </w:tc>
        <w:tc>
          <w:tcPr>
            <w:tcW w:w="495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C5EDABC" w14:textId="77777777" w:rsidR="00CE604C" w:rsidRPr="00CE604C" w:rsidRDefault="00CE604C" w:rsidP="00CE604C">
            <w:pPr>
              <w:jc w:val="center"/>
              <w:rPr>
                <w:rFonts w:ascii="Calibri" w:hAnsi="Calibri" w:cs="Calibri"/>
                <w:color w:val="000000"/>
                <w:sz w:val="20"/>
                <w:szCs w:val="20"/>
              </w:rPr>
            </w:pPr>
            <w:r w:rsidRPr="00CE604C">
              <w:rPr>
                <w:rFonts w:ascii="Calibri" w:hAnsi="Calibri" w:cs="Calibri"/>
                <w:color w:val="000000"/>
                <w:sz w:val="20"/>
                <w:szCs w:val="20"/>
              </w:rPr>
              <w:t>1</w:t>
            </w:r>
          </w:p>
        </w:tc>
      </w:tr>
      <w:tr w:rsidR="00CE604C" w:rsidRPr="00CE604C" w14:paraId="3B7D0295" w14:textId="77777777" w:rsidTr="00CE604C">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7D354E59" w14:textId="77777777" w:rsidR="00CE604C" w:rsidRPr="00CE604C" w:rsidRDefault="00CE604C" w:rsidP="00CE604C">
            <w:pPr>
              <w:rPr>
                <w:rFonts w:ascii="Calibri" w:hAnsi="Calibri" w:cs="Calibri"/>
                <w:color w:val="000000"/>
                <w:sz w:val="20"/>
                <w:szCs w:val="20"/>
              </w:rPr>
            </w:pPr>
            <w:r w:rsidRPr="00CE604C">
              <w:rPr>
                <w:rFonts w:ascii="Calibri" w:hAnsi="Calibri" w:cs="Calibri"/>
                <w:color w:val="000000"/>
                <w:sz w:val="20"/>
                <w:szCs w:val="20"/>
              </w:rPr>
              <w:t>Daily Water Use (gal/day)</w:t>
            </w:r>
          </w:p>
        </w:tc>
        <w:tc>
          <w:tcPr>
            <w:tcW w:w="1710" w:type="dxa"/>
            <w:tcBorders>
              <w:top w:val="nil"/>
              <w:left w:val="nil"/>
              <w:bottom w:val="single" w:sz="4" w:space="0" w:color="auto"/>
              <w:right w:val="single" w:sz="4" w:space="0" w:color="auto"/>
            </w:tcBorders>
            <w:shd w:val="clear" w:color="auto" w:fill="auto"/>
            <w:noWrap/>
            <w:vAlign w:val="center"/>
            <w:hideMark/>
          </w:tcPr>
          <w:p w14:paraId="010BB096" w14:textId="77777777" w:rsidR="00CE604C" w:rsidRPr="00CE604C" w:rsidRDefault="00CE604C" w:rsidP="00CE604C">
            <w:pPr>
              <w:jc w:val="center"/>
              <w:rPr>
                <w:rFonts w:ascii="Calibri" w:hAnsi="Calibri" w:cs="Calibri"/>
                <w:color w:val="000000"/>
                <w:sz w:val="20"/>
                <w:szCs w:val="20"/>
              </w:rPr>
            </w:pPr>
            <w:r w:rsidRPr="00CE604C">
              <w:rPr>
                <w:rFonts w:ascii="Calibri" w:hAnsi="Calibri" w:cs="Calibri"/>
                <w:color w:val="000000"/>
                <w:sz w:val="20"/>
                <w:szCs w:val="20"/>
              </w:rPr>
              <w:t>72.0</w:t>
            </w:r>
          </w:p>
        </w:tc>
        <w:tc>
          <w:tcPr>
            <w:tcW w:w="1530" w:type="dxa"/>
            <w:tcBorders>
              <w:top w:val="nil"/>
              <w:left w:val="nil"/>
              <w:bottom w:val="single" w:sz="4" w:space="0" w:color="auto"/>
              <w:right w:val="single" w:sz="4" w:space="0" w:color="auto"/>
            </w:tcBorders>
            <w:shd w:val="clear" w:color="auto" w:fill="auto"/>
            <w:noWrap/>
            <w:vAlign w:val="center"/>
            <w:hideMark/>
          </w:tcPr>
          <w:p w14:paraId="38820E89" w14:textId="77777777" w:rsidR="00CE604C" w:rsidRPr="00CE604C" w:rsidRDefault="00CE604C" w:rsidP="00CE604C">
            <w:pPr>
              <w:jc w:val="center"/>
              <w:rPr>
                <w:rFonts w:ascii="Calibri" w:hAnsi="Calibri" w:cs="Calibri"/>
                <w:color w:val="000000"/>
                <w:sz w:val="20"/>
                <w:szCs w:val="20"/>
              </w:rPr>
            </w:pPr>
            <w:r w:rsidRPr="00CE604C">
              <w:rPr>
                <w:rFonts w:ascii="Calibri" w:hAnsi="Calibri" w:cs="Calibri"/>
                <w:color w:val="000000"/>
                <w:sz w:val="20"/>
                <w:szCs w:val="20"/>
              </w:rPr>
              <w:t>45.0</w:t>
            </w:r>
          </w:p>
        </w:tc>
        <w:tc>
          <w:tcPr>
            <w:tcW w:w="1710" w:type="dxa"/>
            <w:tcBorders>
              <w:top w:val="nil"/>
              <w:left w:val="nil"/>
              <w:bottom w:val="single" w:sz="4" w:space="0" w:color="auto"/>
              <w:right w:val="single" w:sz="4" w:space="0" w:color="auto"/>
            </w:tcBorders>
            <w:shd w:val="clear" w:color="auto" w:fill="auto"/>
            <w:noWrap/>
            <w:vAlign w:val="center"/>
            <w:hideMark/>
          </w:tcPr>
          <w:p w14:paraId="70745F68" w14:textId="77777777" w:rsidR="00CE604C" w:rsidRPr="00CE604C" w:rsidRDefault="00CE604C" w:rsidP="00CE604C">
            <w:pPr>
              <w:jc w:val="center"/>
              <w:rPr>
                <w:rFonts w:ascii="Calibri" w:hAnsi="Calibri" w:cs="Calibri"/>
                <w:color w:val="000000"/>
                <w:sz w:val="20"/>
                <w:szCs w:val="20"/>
              </w:rPr>
            </w:pPr>
            <w:r w:rsidRPr="00CE604C">
              <w:rPr>
                <w:rFonts w:ascii="Calibri" w:hAnsi="Calibri" w:cs="Calibri"/>
                <w:color w:val="000000"/>
                <w:sz w:val="20"/>
                <w:szCs w:val="20"/>
              </w:rPr>
              <w:t>64.2</w:t>
            </w:r>
          </w:p>
        </w:tc>
      </w:tr>
      <w:tr w:rsidR="00CE604C" w:rsidRPr="00CE604C" w14:paraId="48B5EBE5" w14:textId="77777777" w:rsidTr="00CE604C">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45D8D3E3" w14:textId="77777777" w:rsidR="00CE604C" w:rsidRPr="00CE604C" w:rsidRDefault="00CE604C" w:rsidP="00CE604C">
            <w:pPr>
              <w:rPr>
                <w:rFonts w:ascii="Calibri" w:hAnsi="Calibri" w:cs="Calibri"/>
                <w:color w:val="000000"/>
                <w:sz w:val="20"/>
                <w:szCs w:val="20"/>
              </w:rPr>
            </w:pPr>
            <w:r w:rsidRPr="00CE604C">
              <w:rPr>
                <w:rFonts w:ascii="Calibri" w:hAnsi="Calibri" w:cstheme="minorHAnsi"/>
                <w:color w:val="000000"/>
                <w:sz w:val="20"/>
                <w:szCs w:val="20"/>
              </w:rPr>
              <w:t>Operating Days per Year (days/yr)</w:t>
            </w:r>
          </w:p>
        </w:tc>
        <w:tc>
          <w:tcPr>
            <w:tcW w:w="495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A45896D" w14:textId="77777777" w:rsidR="00CE604C" w:rsidRPr="00CE604C" w:rsidRDefault="00CE604C" w:rsidP="00CE604C">
            <w:pPr>
              <w:jc w:val="center"/>
              <w:rPr>
                <w:rFonts w:ascii="Calibri" w:hAnsi="Calibri" w:cs="Calibri"/>
                <w:color w:val="000000"/>
                <w:sz w:val="20"/>
                <w:szCs w:val="20"/>
              </w:rPr>
            </w:pPr>
            <w:r w:rsidRPr="00CE604C">
              <w:rPr>
                <w:rFonts w:ascii="Calibri" w:hAnsi="Calibri" w:cs="Calibri"/>
                <w:color w:val="000000"/>
                <w:sz w:val="20"/>
                <w:szCs w:val="20"/>
              </w:rPr>
              <w:t>365</w:t>
            </w:r>
          </w:p>
        </w:tc>
      </w:tr>
      <w:tr w:rsidR="00CE604C" w:rsidRPr="00CE604C" w14:paraId="2906CAAD" w14:textId="77777777" w:rsidTr="00CE604C">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06278D1B" w14:textId="77777777" w:rsidR="00CE604C" w:rsidRPr="00CE604C" w:rsidRDefault="00CE604C" w:rsidP="00CE604C">
            <w:pPr>
              <w:rPr>
                <w:rFonts w:ascii="Calibri" w:hAnsi="Calibri" w:cs="Calibri"/>
                <w:color w:val="000000"/>
                <w:sz w:val="20"/>
                <w:szCs w:val="20"/>
              </w:rPr>
            </w:pPr>
            <w:r w:rsidRPr="00CE604C">
              <w:rPr>
                <w:rFonts w:ascii="Calibri" w:hAnsi="Calibri" w:cs="Calibri"/>
                <w:color w:val="000000"/>
                <w:sz w:val="20"/>
                <w:szCs w:val="20"/>
              </w:rPr>
              <w:t>Temperature Mixed H</w:t>
            </w:r>
            <w:r w:rsidRPr="00CE604C">
              <w:rPr>
                <w:rFonts w:ascii="Calibri" w:hAnsi="Calibri" w:cs="Calibri"/>
                <w:color w:val="000000"/>
                <w:sz w:val="20"/>
                <w:szCs w:val="20"/>
                <w:vertAlign w:val="subscript"/>
              </w:rPr>
              <w:t>2</w:t>
            </w:r>
            <w:r w:rsidRPr="00CE604C">
              <w:rPr>
                <w:rFonts w:ascii="Calibri" w:hAnsi="Calibri" w:cs="Calibri"/>
                <w:color w:val="000000"/>
                <w:sz w:val="20"/>
                <w:szCs w:val="20"/>
              </w:rPr>
              <w:t>O (°F)</w:t>
            </w:r>
          </w:p>
        </w:tc>
        <w:tc>
          <w:tcPr>
            <w:tcW w:w="495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65D0147" w14:textId="77777777" w:rsidR="00CE604C" w:rsidRPr="00CE604C" w:rsidRDefault="00CE604C" w:rsidP="00CE604C">
            <w:pPr>
              <w:jc w:val="center"/>
              <w:rPr>
                <w:rFonts w:ascii="Calibri" w:hAnsi="Calibri" w:cs="Calibri"/>
                <w:color w:val="000000"/>
                <w:sz w:val="20"/>
                <w:szCs w:val="20"/>
              </w:rPr>
            </w:pPr>
            <w:r w:rsidRPr="00CE604C">
              <w:rPr>
                <w:rFonts w:ascii="Calibri" w:hAnsi="Calibri" w:cs="Calibri"/>
                <w:color w:val="000000"/>
                <w:sz w:val="20"/>
                <w:szCs w:val="20"/>
              </w:rPr>
              <w:t>114.1</w:t>
            </w:r>
          </w:p>
        </w:tc>
      </w:tr>
      <w:tr w:rsidR="00CE604C" w:rsidRPr="00CE604C" w14:paraId="0B255594" w14:textId="77777777" w:rsidTr="00CE604C">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049A0613" w14:textId="77777777" w:rsidR="00CE604C" w:rsidRPr="00CE604C" w:rsidRDefault="00CE604C" w:rsidP="00CE604C">
            <w:pPr>
              <w:rPr>
                <w:rFonts w:ascii="Calibri" w:hAnsi="Calibri" w:cs="Calibri"/>
                <w:color w:val="000000"/>
                <w:sz w:val="20"/>
                <w:szCs w:val="20"/>
              </w:rPr>
            </w:pPr>
            <w:r w:rsidRPr="00CE604C">
              <w:rPr>
                <w:rFonts w:ascii="Calibri" w:hAnsi="Calibri" w:cs="Calibri"/>
                <w:color w:val="000000"/>
                <w:sz w:val="20"/>
                <w:szCs w:val="20"/>
              </w:rPr>
              <w:t>Temperature Supply H</w:t>
            </w:r>
            <w:r w:rsidRPr="00CE604C">
              <w:rPr>
                <w:rFonts w:ascii="Calibri" w:hAnsi="Calibri" w:cs="Calibri"/>
                <w:color w:val="000000"/>
                <w:sz w:val="20"/>
                <w:szCs w:val="20"/>
                <w:vertAlign w:val="subscript"/>
              </w:rPr>
              <w:t>2</w:t>
            </w:r>
            <w:r w:rsidRPr="00CE604C">
              <w:rPr>
                <w:rFonts w:ascii="Calibri" w:hAnsi="Calibri" w:cs="Calibri"/>
                <w:color w:val="000000"/>
                <w:sz w:val="20"/>
                <w:szCs w:val="20"/>
              </w:rPr>
              <w:t>0 (°F)</w:t>
            </w:r>
          </w:p>
        </w:tc>
        <w:tc>
          <w:tcPr>
            <w:tcW w:w="495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3E7B55C" w14:textId="77777777" w:rsidR="00CE604C" w:rsidRPr="00CE604C" w:rsidRDefault="00CE604C" w:rsidP="00CE604C">
            <w:pPr>
              <w:jc w:val="center"/>
              <w:rPr>
                <w:rFonts w:ascii="Calibri" w:hAnsi="Calibri" w:cs="Calibri"/>
                <w:color w:val="000000"/>
                <w:sz w:val="20"/>
                <w:szCs w:val="20"/>
              </w:rPr>
            </w:pPr>
            <w:r w:rsidRPr="00CE604C">
              <w:rPr>
                <w:rFonts w:ascii="Calibri" w:hAnsi="Calibri" w:cs="Calibri"/>
                <w:color w:val="000000"/>
                <w:sz w:val="20"/>
                <w:szCs w:val="20"/>
              </w:rPr>
              <w:t>63.3</w:t>
            </w:r>
          </w:p>
        </w:tc>
      </w:tr>
      <w:tr w:rsidR="00CE604C" w:rsidRPr="00CE604C" w14:paraId="0508212C" w14:textId="77777777" w:rsidTr="00CE604C">
        <w:trPr>
          <w:trHeight w:val="51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3250C95C" w14:textId="77777777" w:rsidR="00CE604C" w:rsidRPr="00CE604C" w:rsidRDefault="00CE604C" w:rsidP="00CE604C">
            <w:pPr>
              <w:rPr>
                <w:rFonts w:ascii="Calibri" w:hAnsi="Calibri" w:cs="Calibri"/>
                <w:color w:val="000000"/>
                <w:sz w:val="20"/>
                <w:szCs w:val="20"/>
              </w:rPr>
            </w:pPr>
            <w:r w:rsidRPr="00CE604C">
              <w:rPr>
                <w:rFonts w:ascii="Calibri" w:hAnsi="Calibri" w:cs="Calibri"/>
                <w:color w:val="000000"/>
                <w:sz w:val="20"/>
                <w:szCs w:val="20"/>
              </w:rPr>
              <w:t>Temperature Rise in Water Heater (°F)</w:t>
            </w:r>
          </w:p>
        </w:tc>
        <w:tc>
          <w:tcPr>
            <w:tcW w:w="495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049A9E8" w14:textId="77777777" w:rsidR="00CE604C" w:rsidRPr="00CE604C" w:rsidRDefault="00CE604C" w:rsidP="00CE604C">
            <w:pPr>
              <w:jc w:val="center"/>
              <w:rPr>
                <w:rFonts w:ascii="Calibri" w:hAnsi="Calibri" w:cs="Calibri"/>
                <w:color w:val="000000"/>
                <w:sz w:val="20"/>
                <w:szCs w:val="20"/>
              </w:rPr>
            </w:pPr>
            <w:r w:rsidRPr="00CE604C">
              <w:rPr>
                <w:rFonts w:ascii="Calibri" w:hAnsi="Calibri" w:cs="Calibri"/>
                <w:color w:val="000000"/>
                <w:sz w:val="20"/>
                <w:szCs w:val="20"/>
              </w:rPr>
              <w:t>50.8</w:t>
            </w:r>
          </w:p>
        </w:tc>
      </w:tr>
      <w:tr w:rsidR="00CE604C" w:rsidRPr="00CE604C" w14:paraId="62DC2483" w14:textId="77777777" w:rsidTr="00CE604C">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23ED3A13" w14:textId="77777777" w:rsidR="00CE604C" w:rsidRPr="00CE604C" w:rsidRDefault="00CE604C" w:rsidP="00CE604C">
            <w:pPr>
              <w:rPr>
                <w:rFonts w:ascii="Calibri" w:hAnsi="Calibri" w:cs="Calibri"/>
                <w:color w:val="000000"/>
                <w:sz w:val="20"/>
                <w:szCs w:val="20"/>
              </w:rPr>
            </w:pPr>
            <w:r w:rsidRPr="00CE604C">
              <w:rPr>
                <w:rFonts w:ascii="Calibri" w:hAnsi="Calibri" w:cs="Calibri"/>
                <w:color w:val="000000"/>
                <w:sz w:val="20"/>
                <w:szCs w:val="20"/>
              </w:rPr>
              <w:t>Water Heater Efficiency</w:t>
            </w:r>
          </w:p>
        </w:tc>
        <w:tc>
          <w:tcPr>
            <w:tcW w:w="495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ED9C15E" w14:textId="77777777" w:rsidR="00CE604C" w:rsidRPr="00CE604C" w:rsidRDefault="00CE604C" w:rsidP="00CE604C">
            <w:pPr>
              <w:jc w:val="center"/>
              <w:rPr>
                <w:rFonts w:ascii="Calibri" w:hAnsi="Calibri" w:cs="Calibri"/>
                <w:color w:val="000000"/>
                <w:sz w:val="20"/>
                <w:szCs w:val="20"/>
              </w:rPr>
            </w:pPr>
            <w:r w:rsidRPr="00CE604C">
              <w:rPr>
                <w:rFonts w:ascii="Calibri" w:hAnsi="Calibri" w:cs="Calibri"/>
                <w:color w:val="000000"/>
                <w:sz w:val="20"/>
                <w:szCs w:val="20"/>
              </w:rPr>
              <w:t>0.7</w:t>
            </w:r>
          </w:p>
        </w:tc>
      </w:tr>
      <w:tr w:rsidR="00CE604C" w:rsidRPr="00CE604C" w14:paraId="5B01D7D9" w14:textId="77777777" w:rsidTr="00CE604C">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3271AEFA" w14:textId="77777777" w:rsidR="00CE604C" w:rsidRPr="00CE604C" w:rsidRDefault="00CE604C" w:rsidP="00CE604C">
            <w:pPr>
              <w:rPr>
                <w:rFonts w:ascii="Calibri" w:hAnsi="Calibri" w:cs="Calibri"/>
                <w:color w:val="000000"/>
                <w:sz w:val="20"/>
                <w:szCs w:val="20"/>
              </w:rPr>
            </w:pPr>
            <w:r w:rsidRPr="00CE604C">
              <w:rPr>
                <w:rFonts w:ascii="Calibri" w:hAnsi="Calibri" w:cstheme="minorHAnsi"/>
                <w:color w:val="000000"/>
                <w:sz w:val="20"/>
                <w:szCs w:val="20"/>
              </w:rPr>
              <w:t>Annual Energy Use (Therms/yr)</w:t>
            </w:r>
          </w:p>
        </w:tc>
        <w:tc>
          <w:tcPr>
            <w:tcW w:w="1710" w:type="dxa"/>
            <w:tcBorders>
              <w:top w:val="nil"/>
              <w:left w:val="nil"/>
              <w:bottom w:val="single" w:sz="4" w:space="0" w:color="auto"/>
              <w:right w:val="single" w:sz="4" w:space="0" w:color="auto"/>
            </w:tcBorders>
            <w:shd w:val="clear" w:color="auto" w:fill="auto"/>
            <w:noWrap/>
            <w:vAlign w:val="center"/>
            <w:hideMark/>
          </w:tcPr>
          <w:p w14:paraId="4E526A30" w14:textId="77777777" w:rsidR="00CE604C" w:rsidRPr="00CE604C" w:rsidRDefault="00CE604C" w:rsidP="00CE604C">
            <w:pPr>
              <w:jc w:val="center"/>
              <w:rPr>
                <w:rFonts w:ascii="Calibri" w:hAnsi="Calibri" w:cs="Calibri"/>
                <w:color w:val="000000"/>
                <w:sz w:val="20"/>
                <w:szCs w:val="20"/>
              </w:rPr>
            </w:pPr>
            <w:r w:rsidRPr="00CE604C">
              <w:rPr>
                <w:rFonts w:ascii="Calibri" w:hAnsi="Calibri" w:cs="Calibri"/>
                <w:color w:val="000000"/>
                <w:sz w:val="20"/>
                <w:szCs w:val="20"/>
              </w:rPr>
              <w:t>158.9</w:t>
            </w:r>
          </w:p>
        </w:tc>
        <w:tc>
          <w:tcPr>
            <w:tcW w:w="1530" w:type="dxa"/>
            <w:tcBorders>
              <w:top w:val="nil"/>
              <w:left w:val="nil"/>
              <w:bottom w:val="single" w:sz="4" w:space="0" w:color="auto"/>
              <w:right w:val="single" w:sz="4" w:space="0" w:color="auto"/>
            </w:tcBorders>
            <w:shd w:val="clear" w:color="auto" w:fill="auto"/>
            <w:noWrap/>
            <w:vAlign w:val="center"/>
            <w:hideMark/>
          </w:tcPr>
          <w:p w14:paraId="4AC08436" w14:textId="77777777" w:rsidR="00CE604C" w:rsidRPr="00CE604C" w:rsidRDefault="00CE604C" w:rsidP="00CE604C">
            <w:pPr>
              <w:jc w:val="center"/>
              <w:rPr>
                <w:rFonts w:ascii="Calibri" w:hAnsi="Calibri" w:cs="Calibri"/>
                <w:color w:val="000000"/>
                <w:sz w:val="20"/>
                <w:szCs w:val="20"/>
              </w:rPr>
            </w:pPr>
            <w:r w:rsidRPr="00CE604C">
              <w:rPr>
                <w:rFonts w:ascii="Calibri" w:hAnsi="Calibri" w:cs="Calibri"/>
                <w:color w:val="000000"/>
                <w:sz w:val="20"/>
                <w:szCs w:val="20"/>
              </w:rPr>
              <w:t>99.3</w:t>
            </w:r>
          </w:p>
        </w:tc>
        <w:tc>
          <w:tcPr>
            <w:tcW w:w="1710" w:type="dxa"/>
            <w:tcBorders>
              <w:top w:val="nil"/>
              <w:left w:val="nil"/>
              <w:bottom w:val="single" w:sz="4" w:space="0" w:color="auto"/>
              <w:right w:val="single" w:sz="4" w:space="0" w:color="auto"/>
            </w:tcBorders>
            <w:shd w:val="clear" w:color="auto" w:fill="auto"/>
            <w:noWrap/>
            <w:vAlign w:val="center"/>
            <w:hideMark/>
          </w:tcPr>
          <w:p w14:paraId="569CDE1D" w14:textId="77777777" w:rsidR="00CE604C" w:rsidRPr="00CE604C" w:rsidRDefault="00CE604C" w:rsidP="00CE604C">
            <w:pPr>
              <w:jc w:val="center"/>
              <w:rPr>
                <w:rFonts w:ascii="Calibri" w:hAnsi="Calibri" w:cs="Calibri"/>
                <w:color w:val="000000"/>
                <w:sz w:val="20"/>
                <w:szCs w:val="20"/>
              </w:rPr>
            </w:pPr>
            <w:r w:rsidRPr="00CE604C">
              <w:rPr>
                <w:rFonts w:ascii="Calibri" w:hAnsi="Calibri" w:cs="Calibri"/>
                <w:color w:val="000000"/>
                <w:sz w:val="20"/>
                <w:szCs w:val="20"/>
              </w:rPr>
              <w:t>141.7</w:t>
            </w:r>
          </w:p>
        </w:tc>
      </w:tr>
      <w:tr w:rsidR="00CE604C" w:rsidRPr="00CE604C" w14:paraId="4BFBA530" w14:textId="77777777" w:rsidTr="00CE604C">
        <w:trPr>
          <w:trHeight w:val="51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70C28D73" w14:textId="77777777" w:rsidR="00CE604C" w:rsidRPr="00CE604C" w:rsidRDefault="00CE604C" w:rsidP="00CE604C">
            <w:pPr>
              <w:rPr>
                <w:rFonts w:ascii="Calibri" w:hAnsi="Calibri" w:cs="Calibri"/>
                <w:b/>
                <w:bCs/>
                <w:color w:val="000000"/>
                <w:sz w:val="20"/>
                <w:szCs w:val="20"/>
              </w:rPr>
            </w:pPr>
            <w:r w:rsidRPr="00CE604C">
              <w:rPr>
                <w:rFonts w:ascii="Calibri" w:hAnsi="Calibri" w:cstheme="minorHAnsi"/>
                <w:b/>
                <w:bCs/>
                <w:color w:val="000000"/>
                <w:sz w:val="20"/>
                <w:szCs w:val="20"/>
              </w:rPr>
              <w:t>Annual Energy Savings (Therms/yr)</w:t>
            </w:r>
          </w:p>
        </w:tc>
        <w:tc>
          <w:tcPr>
            <w:tcW w:w="1710" w:type="dxa"/>
            <w:tcBorders>
              <w:top w:val="nil"/>
              <w:left w:val="nil"/>
              <w:bottom w:val="single" w:sz="4" w:space="0" w:color="auto"/>
              <w:right w:val="single" w:sz="4" w:space="0" w:color="auto"/>
            </w:tcBorders>
            <w:shd w:val="clear" w:color="auto" w:fill="auto"/>
            <w:noWrap/>
            <w:vAlign w:val="center"/>
            <w:hideMark/>
          </w:tcPr>
          <w:p w14:paraId="72B96B03" w14:textId="77777777" w:rsidR="00CE604C" w:rsidRPr="00CE604C" w:rsidRDefault="00CE604C" w:rsidP="00CE604C">
            <w:pPr>
              <w:jc w:val="center"/>
              <w:rPr>
                <w:rFonts w:ascii="Calibri" w:hAnsi="Calibri" w:cs="Calibri"/>
                <w:b/>
                <w:bCs/>
                <w:color w:val="000000"/>
                <w:sz w:val="20"/>
                <w:szCs w:val="20"/>
              </w:rPr>
            </w:pPr>
            <w:r w:rsidRPr="00CE604C">
              <w:rPr>
                <w:rFonts w:ascii="Calibri" w:hAnsi="Calibri" w:cs="Calibri"/>
                <w:b/>
                <w:bCs/>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4E4B4435" w14:textId="77777777" w:rsidR="00CE604C" w:rsidRPr="00CE604C" w:rsidRDefault="00CE604C" w:rsidP="00CE604C">
            <w:pPr>
              <w:jc w:val="center"/>
              <w:rPr>
                <w:rFonts w:ascii="Calibri" w:hAnsi="Calibri" w:cs="Calibri"/>
                <w:b/>
                <w:bCs/>
                <w:color w:val="000000"/>
                <w:sz w:val="20"/>
                <w:szCs w:val="20"/>
              </w:rPr>
            </w:pPr>
            <w:r w:rsidRPr="00CE604C">
              <w:rPr>
                <w:rFonts w:ascii="Calibri" w:hAnsi="Calibri" w:cs="Calibri"/>
                <w:b/>
                <w:bCs/>
                <w:color w:val="000000"/>
                <w:sz w:val="20"/>
                <w:szCs w:val="20"/>
              </w:rPr>
              <w:t>59.6</w:t>
            </w:r>
          </w:p>
        </w:tc>
        <w:tc>
          <w:tcPr>
            <w:tcW w:w="1710" w:type="dxa"/>
            <w:tcBorders>
              <w:top w:val="nil"/>
              <w:left w:val="nil"/>
              <w:bottom w:val="single" w:sz="4" w:space="0" w:color="auto"/>
              <w:right w:val="single" w:sz="4" w:space="0" w:color="auto"/>
            </w:tcBorders>
            <w:shd w:val="clear" w:color="auto" w:fill="auto"/>
            <w:noWrap/>
            <w:vAlign w:val="center"/>
            <w:hideMark/>
          </w:tcPr>
          <w:p w14:paraId="3884714F" w14:textId="77777777" w:rsidR="00CE604C" w:rsidRPr="00CE604C" w:rsidRDefault="00CE604C" w:rsidP="00CE604C">
            <w:pPr>
              <w:jc w:val="center"/>
              <w:rPr>
                <w:rFonts w:ascii="Calibri" w:hAnsi="Calibri" w:cs="Calibri"/>
                <w:b/>
                <w:bCs/>
                <w:color w:val="000000"/>
                <w:sz w:val="20"/>
                <w:szCs w:val="20"/>
              </w:rPr>
            </w:pPr>
            <w:r w:rsidRPr="00CE604C">
              <w:rPr>
                <w:rFonts w:ascii="Calibri" w:hAnsi="Calibri" w:cs="Calibri"/>
                <w:b/>
                <w:bCs/>
                <w:color w:val="000000"/>
                <w:sz w:val="20"/>
                <w:szCs w:val="20"/>
              </w:rPr>
              <w:t>17.2</w:t>
            </w:r>
          </w:p>
        </w:tc>
      </w:tr>
      <w:tr w:rsidR="00CE604C" w:rsidRPr="00CE604C" w14:paraId="0897B51E" w14:textId="77777777" w:rsidTr="00CE604C">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0FFCF2D7" w14:textId="77777777" w:rsidR="00CE604C" w:rsidRPr="00CE604C" w:rsidRDefault="00CE604C" w:rsidP="00CE604C">
            <w:pPr>
              <w:rPr>
                <w:rFonts w:ascii="Calibri" w:hAnsi="Calibri" w:cs="Calibri"/>
                <w:color w:val="000000"/>
                <w:sz w:val="20"/>
                <w:szCs w:val="20"/>
              </w:rPr>
            </w:pPr>
            <w:r w:rsidRPr="00CE604C">
              <w:rPr>
                <w:rFonts w:ascii="Calibri" w:hAnsi="Calibri" w:cstheme="minorHAnsi"/>
                <w:color w:val="000000"/>
                <w:sz w:val="20"/>
                <w:szCs w:val="20"/>
              </w:rPr>
              <w:t>Annual Water Use (gal/yr)</w:t>
            </w:r>
          </w:p>
        </w:tc>
        <w:tc>
          <w:tcPr>
            <w:tcW w:w="1710" w:type="dxa"/>
            <w:tcBorders>
              <w:top w:val="nil"/>
              <w:left w:val="nil"/>
              <w:bottom w:val="single" w:sz="4" w:space="0" w:color="auto"/>
              <w:right w:val="single" w:sz="4" w:space="0" w:color="auto"/>
            </w:tcBorders>
            <w:shd w:val="clear" w:color="auto" w:fill="auto"/>
            <w:noWrap/>
            <w:vAlign w:val="center"/>
            <w:hideMark/>
          </w:tcPr>
          <w:p w14:paraId="75FCD1C2" w14:textId="49B4C841" w:rsidR="00CE604C" w:rsidRPr="00CE604C" w:rsidRDefault="00CE604C" w:rsidP="00CE604C">
            <w:pPr>
              <w:jc w:val="center"/>
              <w:rPr>
                <w:rFonts w:ascii="Calibri" w:hAnsi="Calibri" w:cs="Calibri"/>
                <w:color w:val="000000"/>
                <w:sz w:val="20"/>
                <w:szCs w:val="20"/>
              </w:rPr>
            </w:pPr>
            <w:r w:rsidRPr="00CE604C">
              <w:rPr>
                <w:rFonts w:ascii="Calibri" w:hAnsi="Calibri" w:cs="Calibri"/>
                <w:color w:val="000000"/>
                <w:sz w:val="20"/>
                <w:szCs w:val="20"/>
              </w:rPr>
              <w:t xml:space="preserve">26,280 </w:t>
            </w:r>
          </w:p>
        </w:tc>
        <w:tc>
          <w:tcPr>
            <w:tcW w:w="1530" w:type="dxa"/>
            <w:tcBorders>
              <w:top w:val="nil"/>
              <w:left w:val="nil"/>
              <w:bottom w:val="single" w:sz="4" w:space="0" w:color="auto"/>
              <w:right w:val="single" w:sz="4" w:space="0" w:color="auto"/>
            </w:tcBorders>
            <w:shd w:val="clear" w:color="auto" w:fill="auto"/>
            <w:noWrap/>
            <w:vAlign w:val="center"/>
            <w:hideMark/>
          </w:tcPr>
          <w:p w14:paraId="7F07ED65" w14:textId="64DA7C1A" w:rsidR="00CE604C" w:rsidRPr="00CE604C" w:rsidRDefault="00CE604C" w:rsidP="00CE604C">
            <w:pPr>
              <w:jc w:val="center"/>
              <w:rPr>
                <w:rFonts w:ascii="Calibri" w:hAnsi="Calibri" w:cs="Calibri"/>
                <w:color w:val="000000"/>
                <w:sz w:val="20"/>
                <w:szCs w:val="20"/>
              </w:rPr>
            </w:pPr>
            <w:r w:rsidRPr="00CE604C">
              <w:rPr>
                <w:rFonts w:ascii="Calibri" w:hAnsi="Calibri" w:cs="Calibri"/>
                <w:color w:val="000000"/>
                <w:sz w:val="20"/>
                <w:szCs w:val="20"/>
              </w:rPr>
              <w:t xml:space="preserve">16,425 </w:t>
            </w:r>
          </w:p>
        </w:tc>
        <w:tc>
          <w:tcPr>
            <w:tcW w:w="1710" w:type="dxa"/>
            <w:tcBorders>
              <w:top w:val="nil"/>
              <w:left w:val="nil"/>
              <w:bottom w:val="single" w:sz="4" w:space="0" w:color="auto"/>
              <w:right w:val="single" w:sz="4" w:space="0" w:color="auto"/>
            </w:tcBorders>
            <w:shd w:val="clear" w:color="auto" w:fill="auto"/>
            <w:noWrap/>
            <w:vAlign w:val="center"/>
            <w:hideMark/>
          </w:tcPr>
          <w:p w14:paraId="6E2B2783" w14:textId="64A4C41E" w:rsidR="00CE604C" w:rsidRPr="00CE604C" w:rsidRDefault="00CE604C" w:rsidP="00CE604C">
            <w:pPr>
              <w:jc w:val="center"/>
              <w:rPr>
                <w:rFonts w:ascii="Calibri" w:hAnsi="Calibri" w:cs="Calibri"/>
                <w:color w:val="000000"/>
                <w:sz w:val="20"/>
                <w:szCs w:val="20"/>
              </w:rPr>
            </w:pPr>
            <w:r w:rsidRPr="00CE604C">
              <w:rPr>
                <w:rFonts w:ascii="Calibri" w:hAnsi="Calibri" w:cs="Calibri"/>
                <w:color w:val="000000"/>
                <w:sz w:val="20"/>
                <w:szCs w:val="20"/>
              </w:rPr>
              <w:t xml:space="preserve">23,433 </w:t>
            </w:r>
          </w:p>
        </w:tc>
      </w:tr>
      <w:tr w:rsidR="00CE604C" w:rsidRPr="00CE604C" w14:paraId="31A9E1E0" w14:textId="77777777" w:rsidTr="00CE604C">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3F0C025C" w14:textId="77777777" w:rsidR="00CE604C" w:rsidRPr="00CE604C" w:rsidRDefault="00CE604C" w:rsidP="00CE604C">
            <w:pPr>
              <w:rPr>
                <w:rFonts w:ascii="Calibri" w:hAnsi="Calibri" w:cs="Calibri"/>
                <w:color w:val="000000"/>
                <w:sz w:val="20"/>
                <w:szCs w:val="20"/>
              </w:rPr>
            </w:pPr>
            <w:r w:rsidRPr="00CE604C">
              <w:rPr>
                <w:rFonts w:ascii="Calibri" w:hAnsi="Calibri" w:cstheme="minorHAnsi"/>
                <w:color w:val="000000"/>
                <w:sz w:val="20"/>
                <w:szCs w:val="20"/>
              </w:rPr>
              <w:t>Annual Water Use (CCF/yr)</w:t>
            </w:r>
          </w:p>
        </w:tc>
        <w:tc>
          <w:tcPr>
            <w:tcW w:w="1710" w:type="dxa"/>
            <w:tcBorders>
              <w:top w:val="nil"/>
              <w:left w:val="nil"/>
              <w:bottom w:val="single" w:sz="4" w:space="0" w:color="auto"/>
              <w:right w:val="single" w:sz="4" w:space="0" w:color="auto"/>
            </w:tcBorders>
            <w:shd w:val="clear" w:color="auto" w:fill="auto"/>
            <w:noWrap/>
            <w:vAlign w:val="center"/>
            <w:hideMark/>
          </w:tcPr>
          <w:p w14:paraId="4AC361AE" w14:textId="77777777" w:rsidR="00CE604C" w:rsidRPr="00CE604C" w:rsidRDefault="00CE604C" w:rsidP="00CE604C">
            <w:pPr>
              <w:rPr>
                <w:rFonts w:ascii="Calibri" w:hAnsi="Calibri" w:cs="Calibri"/>
                <w:color w:val="000000"/>
                <w:sz w:val="20"/>
                <w:szCs w:val="20"/>
              </w:rPr>
            </w:pPr>
            <w:r w:rsidRPr="00CE604C">
              <w:rPr>
                <w:rFonts w:ascii="Calibri" w:hAnsi="Calibri" w:cs="Calibri"/>
                <w:color w:val="000000"/>
                <w:sz w:val="20"/>
                <w:szCs w:val="20"/>
              </w:rPr>
              <w:t xml:space="preserve">           35.13 </w:t>
            </w:r>
          </w:p>
        </w:tc>
        <w:tc>
          <w:tcPr>
            <w:tcW w:w="1530" w:type="dxa"/>
            <w:tcBorders>
              <w:top w:val="nil"/>
              <w:left w:val="nil"/>
              <w:bottom w:val="single" w:sz="4" w:space="0" w:color="auto"/>
              <w:right w:val="single" w:sz="4" w:space="0" w:color="auto"/>
            </w:tcBorders>
            <w:shd w:val="clear" w:color="auto" w:fill="auto"/>
            <w:noWrap/>
            <w:vAlign w:val="center"/>
            <w:hideMark/>
          </w:tcPr>
          <w:p w14:paraId="44873D62" w14:textId="02BD501C" w:rsidR="00CE604C" w:rsidRPr="00CE604C" w:rsidRDefault="00CE604C" w:rsidP="00CE604C">
            <w:pPr>
              <w:rPr>
                <w:rFonts w:ascii="Calibri" w:hAnsi="Calibri" w:cs="Calibri"/>
                <w:color w:val="000000"/>
                <w:sz w:val="20"/>
                <w:szCs w:val="20"/>
              </w:rPr>
            </w:pPr>
            <w:r w:rsidRPr="00CE604C">
              <w:rPr>
                <w:rFonts w:ascii="Calibri" w:hAnsi="Calibri" w:cs="Calibri"/>
                <w:color w:val="000000"/>
                <w:sz w:val="20"/>
                <w:szCs w:val="20"/>
              </w:rPr>
              <w:t xml:space="preserve">         21.96 </w:t>
            </w:r>
          </w:p>
        </w:tc>
        <w:tc>
          <w:tcPr>
            <w:tcW w:w="1710" w:type="dxa"/>
            <w:tcBorders>
              <w:top w:val="nil"/>
              <w:left w:val="nil"/>
              <w:bottom w:val="single" w:sz="4" w:space="0" w:color="auto"/>
              <w:right w:val="single" w:sz="4" w:space="0" w:color="auto"/>
            </w:tcBorders>
            <w:shd w:val="clear" w:color="auto" w:fill="auto"/>
            <w:noWrap/>
            <w:vAlign w:val="center"/>
            <w:hideMark/>
          </w:tcPr>
          <w:p w14:paraId="134AA508" w14:textId="77777777" w:rsidR="00CE604C" w:rsidRPr="00CE604C" w:rsidRDefault="00CE604C" w:rsidP="00CE604C">
            <w:pPr>
              <w:rPr>
                <w:rFonts w:ascii="Calibri" w:hAnsi="Calibri" w:cs="Calibri"/>
                <w:color w:val="000000"/>
                <w:sz w:val="20"/>
                <w:szCs w:val="20"/>
              </w:rPr>
            </w:pPr>
            <w:r w:rsidRPr="00CE604C">
              <w:rPr>
                <w:rFonts w:ascii="Calibri" w:hAnsi="Calibri" w:cs="Calibri"/>
                <w:color w:val="000000"/>
                <w:sz w:val="20"/>
                <w:szCs w:val="20"/>
              </w:rPr>
              <w:t xml:space="preserve">           31.33 </w:t>
            </w:r>
          </w:p>
        </w:tc>
      </w:tr>
      <w:tr w:rsidR="00CE604C" w:rsidRPr="00CE604C" w14:paraId="704CE9A1" w14:textId="77777777" w:rsidTr="00CE604C">
        <w:trPr>
          <w:trHeight w:val="315"/>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5D4B0A2B" w14:textId="77777777" w:rsidR="00CE604C" w:rsidRPr="00CE604C" w:rsidRDefault="00CE604C" w:rsidP="00CE604C">
            <w:pPr>
              <w:rPr>
                <w:rFonts w:ascii="Calibri" w:hAnsi="Calibri" w:cs="Calibri"/>
                <w:b/>
                <w:bCs/>
                <w:color w:val="000000"/>
                <w:sz w:val="20"/>
                <w:szCs w:val="20"/>
              </w:rPr>
            </w:pPr>
            <w:r w:rsidRPr="00CE604C">
              <w:rPr>
                <w:rFonts w:ascii="Calibri" w:hAnsi="Calibri" w:cstheme="minorHAnsi"/>
                <w:b/>
                <w:bCs/>
                <w:color w:val="000000"/>
                <w:sz w:val="20"/>
                <w:szCs w:val="20"/>
              </w:rPr>
              <w:t>Annual Water Savings (CCF/yr)</w:t>
            </w:r>
          </w:p>
        </w:tc>
        <w:tc>
          <w:tcPr>
            <w:tcW w:w="1710" w:type="dxa"/>
            <w:tcBorders>
              <w:top w:val="nil"/>
              <w:left w:val="nil"/>
              <w:bottom w:val="single" w:sz="4" w:space="0" w:color="auto"/>
              <w:right w:val="single" w:sz="4" w:space="0" w:color="auto"/>
            </w:tcBorders>
            <w:shd w:val="clear" w:color="auto" w:fill="auto"/>
            <w:noWrap/>
            <w:vAlign w:val="center"/>
            <w:hideMark/>
          </w:tcPr>
          <w:p w14:paraId="22D1EB84" w14:textId="77777777" w:rsidR="00CE604C" w:rsidRPr="00CE604C" w:rsidRDefault="00CE604C" w:rsidP="00CE604C">
            <w:pPr>
              <w:jc w:val="center"/>
              <w:rPr>
                <w:rFonts w:ascii="Calibri" w:hAnsi="Calibri" w:cs="Calibri"/>
                <w:b/>
                <w:bCs/>
                <w:color w:val="000000"/>
                <w:sz w:val="20"/>
                <w:szCs w:val="20"/>
              </w:rPr>
            </w:pPr>
            <w:r w:rsidRPr="00CE604C">
              <w:rPr>
                <w:rFonts w:ascii="Calibri" w:hAnsi="Calibri" w:cs="Calibri"/>
                <w:b/>
                <w:bCs/>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6A44DCE6" w14:textId="1B9462A2" w:rsidR="00CE604C" w:rsidRPr="00CE604C" w:rsidRDefault="00CE604C" w:rsidP="00CE604C">
            <w:pPr>
              <w:jc w:val="center"/>
              <w:rPr>
                <w:rFonts w:ascii="Calibri" w:hAnsi="Calibri" w:cs="Calibri"/>
                <w:b/>
                <w:bCs/>
                <w:color w:val="000000"/>
                <w:sz w:val="20"/>
                <w:szCs w:val="20"/>
              </w:rPr>
            </w:pPr>
            <w:r w:rsidRPr="00CE604C">
              <w:rPr>
                <w:rFonts w:ascii="Calibri" w:hAnsi="Calibri" w:cs="Calibri"/>
                <w:b/>
                <w:bCs/>
                <w:color w:val="000000"/>
                <w:sz w:val="20"/>
                <w:szCs w:val="20"/>
              </w:rPr>
              <w:t xml:space="preserve">13.18 </w:t>
            </w:r>
          </w:p>
        </w:tc>
        <w:tc>
          <w:tcPr>
            <w:tcW w:w="1710" w:type="dxa"/>
            <w:tcBorders>
              <w:top w:val="nil"/>
              <w:left w:val="nil"/>
              <w:bottom w:val="single" w:sz="4" w:space="0" w:color="auto"/>
              <w:right w:val="single" w:sz="4" w:space="0" w:color="auto"/>
            </w:tcBorders>
            <w:shd w:val="clear" w:color="auto" w:fill="auto"/>
            <w:noWrap/>
            <w:vAlign w:val="center"/>
            <w:hideMark/>
          </w:tcPr>
          <w:p w14:paraId="6EDB5B5D" w14:textId="40C11A50" w:rsidR="00CE604C" w:rsidRPr="00CE604C" w:rsidRDefault="00CE604C" w:rsidP="00CE604C">
            <w:pPr>
              <w:jc w:val="center"/>
              <w:rPr>
                <w:rFonts w:ascii="Calibri" w:hAnsi="Calibri" w:cs="Calibri"/>
                <w:b/>
                <w:bCs/>
                <w:color w:val="000000"/>
                <w:sz w:val="20"/>
                <w:szCs w:val="20"/>
              </w:rPr>
            </w:pPr>
            <w:r w:rsidRPr="00CE604C">
              <w:rPr>
                <w:rFonts w:ascii="Calibri" w:hAnsi="Calibri" w:cs="Calibri"/>
                <w:b/>
                <w:bCs/>
                <w:color w:val="000000"/>
                <w:sz w:val="20"/>
                <w:szCs w:val="20"/>
              </w:rPr>
              <w:t xml:space="preserve"> 3.81 </w:t>
            </w:r>
          </w:p>
        </w:tc>
      </w:tr>
    </w:tbl>
    <w:p w14:paraId="5F9ADA89" w14:textId="2825DE17" w:rsidR="00C255CC" w:rsidRDefault="009204BE" w:rsidP="00C255CC">
      <w:pPr>
        <w:pStyle w:val="Vertical"/>
        <w:jc w:val="left"/>
      </w:pPr>
      <w:r w:rsidRPr="00C76EB4">
        <w:rPr>
          <w:rFonts w:asciiTheme="minorHAnsi" w:hAnsiTheme="minorHAnsi" w:cstheme="minorHAnsi"/>
          <w:sz w:val="16"/>
          <w:szCs w:val="16"/>
        </w:rPr>
        <w:t>*1</w:t>
      </w:r>
      <w:r w:rsidR="00F929E6" w:rsidRPr="00C76EB4">
        <w:rPr>
          <w:rFonts w:asciiTheme="minorHAnsi" w:hAnsiTheme="minorHAnsi" w:cstheme="minorHAnsi"/>
          <w:sz w:val="16"/>
          <w:szCs w:val="16"/>
        </w:rPr>
        <w:t xml:space="preserve"> </w:t>
      </w:r>
      <w:r w:rsidRPr="00C76EB4">
        <w:rPr>
          <w:rFonts w:asciiTheme="minorHAnsi" w:hAnsiTheme="minorHAnsi" w:cstheme="minorHAnsi"/>
          <w:sz w:val="16"/>
          <w:szCs w:val="16"/>
        </w:rPr>
        <w:t>CCF=748</w:t>
      </w:r>
      <w:r w:rsidR="00F929E6" w:rsidRPr="00C76EB4">
        <w:rPr>
          <w:rFonts w:asciiTheme="minorHAnsi" w:hAnsiTheme="minorHAnsi" w:cstheme="minorHAnsi"/>
          <w:sz w:val="16"/>
          <w:szCs w:val="16"/>
        </w:rPr>
        <w:t xml:space="preserve"> </w:t>
      </w:r>
      <w:r w:rsidRPr="00C76EB4">
        <w:rPr>
          <w:rFonts w:asciiTheme="minorHAnsi" w:hAnsiTheme="minorHAnsi" w:cstheme="minorHAnsi"/>
          <w:sz w:val="16"/>
          <w:szCs w:val="16"/>
        </w:rPr>
        <w:t>gal</w:t>
      </w:r>
      <w:r w:rsidR="00F929E6" w:rsidRPr="00C76EB4">
        <w:rPr>
          <w:rFonts w:asciiTheme="minorHAnsi" w:hAnsiTheme="minorHAnsi" w:cstheme="minorHAnsi"/>
          <w:sz w:val="16"/>
          <w:szCs w:val="16"/>
        </w:rPr>
        <w:t>;</w:t>
      </w:r>
      <w:r w:rsidRPr="00C76EB4">
        <w:rPr>
          <w:rFonts w:asciiTheme="minorHAnsi" w:hAnsiTheme="minorHAnsi" w:cstheme="minorHAnsi"/>
          <w:sz w:val="16"/>
          <w:szCs w:val="16"/>
        </w:rPr>
        <w:t xml:space="preserve"> 1</w:t>
      </w:r>
      <w:r w:rsidR="00F929E6" w:rsidRPr="00C76EB4">
        <w:rPr>
          <w:rFonts w:asciiTheme="minorHAnsi" w:hAnsiTheme="minorHAnsi" w:cstheme="minorHAnsi"/>
          <w:sz w:val="16"/>
          <w:szCs w:val="16"/>
        </w:rPr>
        <w:t xml:space="preserve"> </w:t>
      </w:r>
      <w:r w:rsidRPr="00C76EB4">
        <w:rPr>
          <w:rFonts w:asciiTheme="minorHAnsi" w:hAnsiTheme="minorHAnsi" w:cstheme="minorHAnsi"/>
          <w:sz w:val="16"/>
          <w:szCs w:val="16"/>
        </w:rPr>
        <w:t>therm=100,000</w:t>
      </w:r>
      <w:r w:rsidR="00F929E6" w:rsidRPr="00C76EB4">
        <w:rPr>
          <w:rFonts w:asciiTheme="minorHAnsi" w:hAnsiTheme="minorHAnsi" w:cstheme="minorHAnsi"/>
          <w:sz w:val="16"/>
          <w:szCs w:val="16"/>
        </w:rPr>
        <w:t xml:space="preserve"> </w:t>
      </w:r>
      <w:r w:rsidRPr="00C76EB4">
        <w:rPr>
          <w:rFonts w:asciiTheme="minorHAnsi" w:hAnsiTheme="minorHAnsi" w:cstheme="minorHAnsi"/>
          <w:sz w:val="16"/>
          <w:szCs w:val="16"/>
        </w:rPr>
        <w:t>Btu</w:t>
      </w:r>
      <w:r w:rsidR="00F929E6" w:rsidRPr="00C76EB4">
        <w:rPr>
          <w:rFonts w:asciiTheme="minorHAnsi" w:hAnsiTheme="minorHAnsi" w:cstheme="minorHAnsi"/>
          <w:sz w:val="16"/>
          <w:szCs w:val="16"/>
        </w:rPr>
        <w:t>; 1 gal = 8.33 lb; 1 Btu = 1 lb/lbm/°F</w:t>
      </w:r>
    </w:p>
    <w:p w14:paraId="0A807251" w14:textId="77777777" w:rsidR="001030B2" w:rsidRDefault="001030B2" w:rsidP="00E2286A">
      <w:pPr>
        <w:pStyle w:val="Reminders"/>
        <w:rPr>
          <w:rFonts w:asciiTheme="minorHAnsi" w:hAnsiTheme="minorHAnsi" w:cstheme="minorHAnsi"/>
          <w:i w:val="0"/>
          <w:color w:val="auto"/>
          <w:szCs w:val="22"/>
        </w:rPr>
      </w:pPr>
    </w:p>
    <w:bookmarkEnd w:id="27"/>
    <w:p w14:paraId="792A5D0B" w14:textId="1C15A81B" w:rsidR="00E2286A" w:rsidRDefault="001030B2" w:rsidP="00E2286A">
      <w:pPr>
        <w:pStyle w:val="Reminders"/>
        <w:rPr>
          <w:rFonts w:asciiTheme="minorHAnsi" w:hAnsiTheme="minorHAnsi" w:cstheme="minorHAnsi"/>
          <w:i w:val="0"/>
          <w:color w:val="auto"/>
          <w:szCs w:val="22"/>
        </w:rPr>
      </w:pPr>
      <w:r>
        <w:rPr>
          <w:rFonts w:asciiTheme="minorHAnsi" w:hAnsiTheme="minorHAnsi" w:cstheme="minorHAnsi"/>
          <w:i w:val="0"/>
          <w:color w:val="auto"/>
          <w:szCs w:val="22"/>
        </w:rPr>
        <w:t>G</w:t>
      </w:r>
      <w:r w:rsidR="002D7EBF">
        <w:rPr>
          <w:rFonts w:asciiTheme="minorHAnsi" w:hAnsiTheme="minorHAnsi" w:cstheme="minorHAnsi"/>
          <w:i w:val="0"/>
          <w:color w:val="auto"/>
          <w:szCs w:val="22"/>
        </w:rPr>
        <w:t>roundwater temperatures</w:t>
      </w:r>
      <w:r>
        <w:rPr>
          <w:rFonts w:asciiTheme="minorHAnsi" w:hAnsiTheme="minorHAnsi" w:cstheme="minorHAnsi"/>
          <w:i w:val="0"/>
          <w:color w:val="auto"/>
          <w:szCs w:val="22"/>
        </w:rPr>
        <w:t xml:space="preserve"> referenced in</w:t>
      </w:r>
      <w:r w:rsidR="002D7EBF">
        <w:rPr>
          <w:rFonts w:asciiTheme="minorHAnsi" w:hAnsiTheme="minorHAnsi" w:cstheme="minorHAnsi"/>
          <w:i w:val="0"/>
          <w:color w:val="auto"/>
          <w:szCs w:val="22"/>
        </w:rPr>
        <w:t xml:space="preserve"> the </w:t>
      </w:r>
      <w:r>
        <w:rPr>
          <w:rFonts w:asciiTheme="minorHAnsi" w:hAnsiTheme="minorHAnsi" w:cstheme="minorHAnsi"/>
          <w:i w:val="0"/>
          <w:color w:val="auto"/>
          <w:szCs w:val="22"/>
        </w:rPr>
        <w:t xml:space="preserve">Energy Efficient </w:t>
      </w:r>
      <w:r w:rsidR="002D7EBF">
        <w:rPr>
          <w:rFonts w:asciiTheme="minorHAnsi" w:hAnsiTheme="minorHAnsi" w:cstheme="minorHAnsi"/>
          <w:i w:val="0"/>
          <w:color w:val="auto"/>
          <w:szCs w:val="22"/>
        </w:rPr>
        <w:t>Door</w:t>
      </w:r>
      <w:r>
        <w:rPr>
          <w:rFonts w:asciiTheme="minorHAnsi" w:hAnsiTheme="minorHAnsi" w:cstheme="minorHAnsi"/>
          <w:i w:val="0"/>
          <w:color w:val="auto"/>
          <w:szCs w:val="22"/>
        </w:rPr>
        <w:t>-</w:t>
      </w:r>
      <w:r w:rsidR="002D7EBF">
        <w:rPr>
          <w:rFonts w:asciiTheme="minorHAnsi" w:hAnsiTheme="minorHAnsi" w:cstheme="minorHAnsi"/>
          <w:i w:val="0"/>
          <w:color w:val="auto"/>
          <w:szCs w:val="22"/>
        </w:rPr>
        <w:t xml:space="preserve">Type </w:t>
      </w:r>
      <w:r>
        <w:rPr>
          <w:rFonts w:asciiTheme="minorHAnsi" w:hAnsiTheme="minorHAnsi" w:cstheme="minorHAnsi"/>
          <w:i w:val="0"/>
          <w:color w:val="auto"/>
          <w:szCs w:val="22"/>
        </w:rPr>
        <w:t xml:space="preserve">Commercial </w:t>
      </w:r>
      <w:r w:rsidR="002D7EBF">
        <w:rPr>
          <w:rFonts w:asciiTheme="minorHAnsi" w:hAnsiTheme="minorHAnsi" w:cstheme="minorHAnsi"/>
          <w:i w:val="0"/>
          <w:color w:val="auto"/>
          <w:szCs w:val="22"/>
        </w:rPr>
        <w:t>Dishwasher</w:t>
      </w:r>
      <w:r>
        <w:rPr>
          <w:rFonts w:asciiTheme="minorHAnsi" w:hAnsiTheme="minorHAnsi" w:cstheme="minorHAnsi"/>
          <w:i w:val="0"/>
          <w:color w:val="auto"/>
          <w:szCs w:val="22"/>
        </w:rPr>
        <w:t>s</w:t>
      </w:r>
      <w:r w:rsidR="002D7EBF">
        <w:rPr>
          <w:rFonts w:asciiTheme="minorHAnsi" w:hAnsiTheme="minorHAnsi" w:cstheme="minorHAnsi"/>
          <w:i w:val="0"/>
          <w:color w:val="auto"/>
          <w:szCs w:val="22"/>
        </w:rPr>
        <w:t xml:space="preserve"> work</w:t>
      </w:r>
      <w:r w:rsidR="003250FA">
        <w:rPr>
          <w:rFonts w:asciiTheme="minorHAnsi" w:hAnsiTheme="minorHAnsi" w:cstheme="minorHAnsi"/>
          <w:i w:val="0"/>
          <w:color w:val="auto"/>
          <w:szCs w:val="22"/>
        </w:rPr>
        <w:t xml:space="preserve"> </w:t>
      </w:r>
      <w:r w:rsidR="002D7EBF">
        <w:rPr>
          <w:rFonts w:asciiTheme="minorHAnsi" w:hAnsiTheme="minorHAnsi" w:cstheme="minorHAnsi"/>
          <w:i w:val="0"/>
          <w:color w:val="auto"/>
          <w:szCs w:val="22"/>
        </w:rPr>
        <w:t>paper</w:t>
      </w:r>
      <w:r>
        <w:rPr>
          <w:rStyle w:val="EndnoteReference"/>
          <w:rFonts w:asciiTheme="minorHAnsi" w:hAnsiTheme="minorHAnsi" w:cstheme="minorHAnsi"/>
          <w:i w:val="0"/>
          <w:color w:val="auto"/>
          <w:szCs w:val="22"/>
        </w:rPr>
        <w:endnoteReference w:id="14"/>
      </w:r>
      <w:r w:rsidR="002D7EBF">
        <w:rPr>
          <w:rFonts w:asciiTheme="minorHAnsi" w:hAnsiTheme="minorHAnsi" w:cstheme="minorHAnsi"/>
          <w:i w:val="0"/>
          <w:color w:val="auto"/>
          <w:szCs w:val="22"/>
        </w:rPr>
        <w:t xml:space="preserve"> will be used to calculate water heating energy consumption of PRSVs in different climate zones. The PRSV final mix</w:t>
      </w:r>
      <w:r>
        <w:rPr>
          <w:rFonts w:asciiTheme="minorHAnsi" w:hAnsiTheme="minorHAnsi" w:cstheme="minorHAnsi"/>
          <w:i w:val="0"/>
          <w:color w:val="auto"/>
          <w:szCs w:val="22"/>
        </w:rPr>
        <w:t>ed water</w:t>
      </w:r>
      <w:r w:rsidR="002D7EBF">
        <w:rPr>
          <w:rFonts w:asciiTheme="minorHAnsi" w:hAnsiTheme="minorHAnsi" w:cstheme="minorHAnsi"/>
          <w:i w:val="0"/>
          <w:color w:val="auto"/>
          <w:szCs w:val="22"/>
        </w:rPr>
        <w:t xml:space="preserve"> temperature is still assumed to be </w:t>
      </w:r>
      <w:r w:rsidR="002D7EBF" w:rsidRPr="00B44653">
        <w:rPr>
          <w:rFonts w:asciiTheme="minorHAnsi" w:hAnsiTheme="minorHAnsi" w:cstheme="minorHAnsi"/>
          <w:i w:val="0"/>
          <w:color w:val="auto"/>
          <w:szCs w:val="22"/>
        </w:rPr>
        <w:t>114.1</w:t>
      </w:r>
      <w:r w:rsidR="002D7EBF">
        <w:rPr>
          <w:rFonts w:asciiTheme="minorHAnsi" w:hAnsiTheme="minorHAnsi" w:cstheme="minorHAnsi"/>
          <w:i w:val="0"/>
          <w:color w:val="auto"/>
          <w:szCs w:val="22"/>
        </w:rPr>
        <w:t>°F for all climate zones.</w:t>
      </w:r>
    </w:p>
    <w:p w14:paraId="38A0CE7D" w14:textId="77777777" w:rsidR="001C27B2" w:rsidRDefault="001C27B2" w:rsidP="00E2286A">
      <w:pPr>
        <w:pStyle w:val="Reminders"/>
        <w:rPr>
          <w:rFonts w:asciiTheme="minorHAnsi" w:hAnsiTheme="minorHAnsi" w:cstheme="minorHAnsi"/>
          <w:i w:val="0"/>
          <w:color w:val="auto"/>
          <w:szCs w:val="22"/>
        </w:rPr>
      </w:pPr>
    </w:p>
    <w:p w14:paraId="272CBD07" w14:textId="77777777" w:rsidR="001030B2" w:rsidRPr="00E2286A" w:rsidRDefault="001030B2" w:rsidP="00E2286A">
      <w:pPr>
        <w:pStyle w:val="Reminders"/>
        <w:rPr>
          <w:rFonts w:asciiTheme="minorHAnsi" w:hAnsiTheme="minorHAnsi" w:cstheme="minorHAnsi"/>
          <w:i w:val="0"/>
          <w:color w:val="auto"/>
          <w:szCs w:val="22"/>
        </w:rPr>
      </w:pPr>
    </w:p>
    <w:p w14:paraId="2A787830" w14:textId="40DB3012" w:rsidR="002D7EBF" w:rsidRPr="00C76EB4" w:rsidRDefault="00E17820" w:rsidP="00C76EB4">
      <w:pPr>
        <w:spacing w:line="276" w:lineRule="auto"/>
        <w:rPr>
          <w:rFonts w:ascii="Arial" w:hAnsi="Arial"/>
          <w:i/>
          <w:sz w:val="20"/>
          <w:szCs w:val="20"/>
        </w:rPr>
      </w:pPr>
      <w:r w:rsidRPr="0048438C">
        <w:rPr>
          <w:rFonts w:cstheme="minorBidi"/>
          <w:b/>
          <w:bCs/>
        </w:rPr>
        <w:t xml:space="preserve">Base and Measure Case </w:t>
      </w:r>
      <w:r>
        <w:rPr>
          <w:rFonts w:cstheme="minorBidi"/>
          <w:b/>
          <w:bCs/>
        </w:rPr>
        <w:t xml:space="preserve">Gas </w:t>
      </w:r>
      <w:r w:rsidRPr="0048438C">
        <w:rPr>
          <w:rFonts w:cstheme="minorBidi"/>
          <w:b/>
          <w:bCs/>
        </w:rPr>
        <w:t>Energy Savings</w:t>
      </w:r>
      <w:r>
        <w:rPr>
          <w:rFonts w:cstheme="minorBidi"/>
          <w:b/>
          <w:bCs/>
        </w:rPr>
        <w:t xml:space="preserve"> for Different Climate Zones</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990"/>
        <w:gridCol w:w="1800"/>
        <w:gridCol w:w="1890"/>
        <w:gridCol w:w="2250"/>
      </w:tblGrid>
      <w:tr w:rsidR="00CE604C" w:rsidRPr="00EF39B3" w14:paraId="5325DD6C" w14:textId="53CED8AF" w:rsidTr="009868FF">
        <w:trPr>
          <w:trHeight w:val="245"/>
        </w:trPr>
        <w:tc>
          <w:tcPr>
            <w:tcW w:w="2335" w:type="dxa"/>
            <w:shd w:val="pct10" w:color="auto" w:fill="auto"/>
            <w:noWrap/>
            <w:vAlign w:val="bottom"/>
            <w:hideMark/>
          </w:tcPr>
          <w:p w14:paraId="02484F3E" w14:textId="77777777" w:rsidR="00CE604C" w:rsidRPr="00C76EB4" w:rsidRDefault="00CE604C" w:rsidP="00CE604C">
            <w:pPr>
              <w:rPr>
                <w:rFonts w:cstheme="minorHAnsi"/>
                <w:b/>
                <w:color w:val="000000"/>
                <w:sz w:val="20"/>
                <w:szCs w:val="20"/>
              </w:rPr>
            </w:pPr>
            <w:r w:rsidRPr="00C76EB4">
              <w:rPr>
                <w:rFonts w:cstheme="minorHAnsi"/>
                <w:b/>
                <w:color w:val="000000"/>
                <w:sz w:val="20"/>
                <w:szCs w:val="20"/>
              </w:rPr>
              <w:lastRenderedPageBreak/>
              <w:t>Utility</w:t>
            </w:r>
          </w:p>
        </w:tc>
        <w:tc>
          <w:tcPr>
            <w:tcW w:w="990" w:type="dxa"/>
            <w:shd w:val="pct10" w:color="auto" w:fill="auto"/>
            <w:noWrap/>
            <w:vAlign w:val="bottom"/>
            <w:hideMark/>
          </w:tcPr>
          <w:p w14:paraId="2B14BC47" w14:textId="2F67C590" w:rsidR="00CE604C" w:rsidRPr="00C76EB4" w:rsidRDefault="00CE604C" w:rsidP="00CE604C">
            <w:pPr>
              <w:rPr>
                <w:rFonts w:cstheme="minorHAnsi"/>
                <w:b/>
                <w:color w:val="000000"/>
                <w:sz w:val="20"/>
                <w:szCs w:val="20"/>
              </w:rPr>
            </w:pPr>
            <w:r w:rsidRPr="00C76EB4">
              <w:rPr>
                <w:rFonts w:cstheme="minorHAnsi"/>
                <w:b/>
                <w:color w:val="000000"/>
                <w:sz w:val="20"/>
                <w:szCs w:val="20"/>
              </w:rPr>
              <w:t>Climate</w:t>
            </w:r>
            <w:r>
              <w:rPr>
                <w:rFonts w:cstheme="minorHAnsi"/>
                <w:b/>
                <w:color w:val="000000"/>
                <w:sz w:val="20"/>
                <w:szCs w:val="20"/>
              </w:rPr>
              <w:t xml:space="preserve"> Zone</w:t>
            </w:r>
          </w:p>
        </w:tc>
        <w:tc>
          <w:tcPr>
            <w:tcW w:w="1800" w:type="dxa"/>
            <w:shd w:val="pct10" w:color="auto" w:fill="auto"/>
            <w:noWrap/>
            <w:vAlign w:val="bottom"/>
            <w:hideMark/>
          </w:tcPr>
          <w:p w14:paraId="5587BB36" w14:textId="6015EC65" w:rsidR="00CE604C" w:rsidRPr="00C76EB4" w:rsidRDefault="00CE604C" w:rsidP="00CE604C">
            <w:pPr>
              <w:jc w:val="center"/>
              <w:rPr>
                <w:rFonts w:cstheme="minorHAnsi"/>
                <w:b/>
                <w:color w:val="000000"/>
                <w:sz w:val="20"/>
                <w:szCs w:val="20"/>
              </w:rPr>
            </w:pPr>
            <w:r w:rsidRPr="00C76EB4">
              <w:rPr>
                <w:rFonts w:cstheme="minorHAnsi"/>
                <w:b/>
                <w:color w:val="000000"/>
                <w:sz w:val="20"/>
                <w:szCs w:val="20"/>
              </w:rPr>
              <w:t>Av</w:t>
            </w:r>
            <w:r>
              <w:rPr>
                <w:rFonts w:cstheme="minorHAnsi"/>
                <w:b/>
                <w:color w:val="000000"/>
                <w:sz w:val="20"/>
                <w:szCs w:val="20"/>
              </w:rPr>
              <w:t>g</w:t>
            </w:r>
            <w:r w:rsidRPr="00C76EB4">
              <w:rPr>
                <w:rFonts w:cstheme="minorHAnsi"/>
                <w:b/>
                <w:color w:val="000000"/>
                <w:sz w:val="20"/>
                <w:szCs w:val="20"/>
              </w:rPr>
              <w:t xml:space="preserve"> Groundwater Temperature (°F)</w:t>
            </w:r>
          </w:p>
        </w:tc>
        <w:tc>
          <w:tcPr>
            <w:tcW w:w="1890" w:type="dxa"/>
            <w:shd w:val="pct10" w:color="auto" w:fill="auto"/>
            <w:vAlign w:val="center"/>
          </w:tcPr>
          <w:p w14:paraId="6220D153" w14:textId="646E6F3B" w:rsidR="00CE604C" w:rsidRPr="00CE4050" w:rsidRDefault="00CE604C" w:rsidP="00CE604C">
            <w:pPr>
              <w:jc w:val="center"/>
              <w:rPr>
                <w:rFonts w:cstheme="minorHAnsi"/>
                <w:b/>
                <w:color w:val="000000"/>
                <w:sz w:val="20"/>
                <w:szCs w:val="20"/>
              </w:rPr>
            </w:pPr>
            <w:r>
              <w:rPr>
                <w:rFonts w:ascii="Calibri" w:hAnsi="Calibri" w:cs="Calibri"/>
                <w:b/>
                <w:bCs/>
                <w:color w:val="000000"/>
                <w:sz w:val="20"/>
                <w:szCs w:val="20"/>
              </w:rPr>
              <w:t>Annual Energy Savings (Therms/yr) 4.0 – 5.0 ozf</w:t>
            </w:r>
            <w:r w:rsidR="005F7A92">
              <w:rPr>
                <w:rFonts w:ascii="Calibri" w:hAnsi="Calibri" w:cs="Calibri"/>
                <w:b/>
                <w:bCs/>
                <w:color w:val="000000"/>
                <w:sz w:val="20"/>
                <w:szCs w:val="20"/>
              </w:rPr>
              <w:t>; &lt;=0.75 gpm</w:t>
            </w:r>
          </w:p>
        </w:tc>
        <w:tc>
          <w:tcPr>
            <w:tcW w:w="2250" w:type="dxa"/>
            <w:shd w:val="pct10" w:color="auto" w:fill="auto"/>
            <w:vAlign w:val="center"/>
          </w:tcPr>
          <w:p w14:paraId="639F830D" w14:textId="381DA5CD" w:rsidR="00CE604C" w:rsidRPr="00CE4050" w:rsidRDefault="00CE604C" w:rsidP="00CE604C">
            <w:pPr>
              <w:jc w:val="center"/>
              <w:rPr>
                <w:rFonts w:cstheme="minorHAnsi"/>
                <w:b/>
                <w:bCs/>
                <w:color w:val="000000"/>
                <w:sz w:val="20"/>
                <w:szCs w:val="20"/>
              </w:rPr>
            </w:pPr>
            <w:r>
              <w:rPr>
                <w:rFonts w:ascii="Calibri" w:hAnsi="Calibri" w:cs="Calibri"/>
                <w:b/>
                <w:bCs/>
                <w:color w:val="000000"/>
                <w:sz w:val="20"/>
                <w:szCs w:val="20"/>
              </w:rPr>
              <w:t>Annual Energy Savings (Therms/yr) &gt; 5.0 ozf</w:t>
            </w:r>
            <w:r w:rsidR="005F7A92">
              <w:rPr>
                <w:rFonts w:ascii="Calibri" w:hAnsi="Calibri" w:cs="Calibri"/>
                <w:b/>
                <w:bCs/>
                <w:color w:val="000000"/>
                <w:sz w:val="20"/>
                <w:szCs w:val="20"/>
              </w:rPr>
              <w:t>; 0.75 – 1.07 gpm</w:t>
            </w:r>
          </w:p>
        </w:tc>
      </w:tr>
      <w:tr w:rsidR="00CE604C" w:rsidRPr="00EF39B3" w14:paraId="35E696BF" w14:textId="74E34B45" w:rsidTr="002C58D0">
        <w:trPr>
          <w:trHeight w:val="245"/>
        </w:trPr>
        <w:tc>
          <w:tcPr>
            <w:tcW w:w="2335" w:type="dxa"/>
            <w:shd w:val="clear" w:color="auto" w:fill="auto"/>
            <w:noWrap/>
            <w:vAlign w:val="bottom"/>
            <w:hideMark/>
          </w:tcPr>
          <w:p w14:paraId="6EAC4F73" w14:textId="77777777" w:rsidR="00CE604C" w:rsidRPr="00C76EB4" w:rsidRDefault="00CE604C" w:rsidP="00CE604C">
            <w:pPr>
              <w:rPr>
                <w:rFonts w:cstheme="minorHAnsi"/>
                <w:color w:val="000000"/>
                <w:sz w:val="20"/>
                <w:szCs w:val="20"/>
              </w:rPr>
            </w:pPr>
            <w:r w:rsidRPr="00C76EB4">
              <w:rPr>
                <w:rFonts w:cstheme="minorHAnsi"/>
                <w:color w:val="000000"/>
                <w:sz w:val="20"/>
                <w:szCs w:val="20"/>
              </w:rPr>
              <w:t>PG&amp;E</w:t>
            </w:r>
          </w:p>
        </w:tc>
        <w:tc>
          <w:tcPr>
            <w:tcW w:w="990" w:type="dxa"/>
            <w:shd w:val="clear" w:color="auto" w:fill="auto"/>
            <w:noWrap/>
            <w:vAlign w:val="bottom"/>
            <w:hideMark/>
          </w:tcPr>
          <w:p w14:paraId="6370D919" w14:textId="77777777" w:rsidR="00CE604C" w:rsidRPr="00C76EB4" w:rsidRDefault="00CE604C" w:rsidP="00CE604C">
            <w:pPr>
              <w:rPr>
                <w:rFonts w:cstheme="minorHAnsi"/>
                <w:color w:val="000000"/>
                <w:sz w:val="20"/>
                <w:szCs w:val="20"/>
              </w:rPr>
            </w:pPr>
            <w:r w:rsidRPr="00C76EB4">
              <w:rPr>
                <w:rFonts w:cstheme="minorHAnsi"/>
                <w:color w:val="000000"/>
                <w:sz w:val="20"/>
                <w:szCs w:val="20"/>
              </w:rPr>
              <w:t>CZ01</w:t>
            </w:r>
          </w:p>
        </w:tc>
        <w:tc>
          <w:tcPr>
            <w:tcW w:w="1800" w:type="dxa"/>
            <w:shd w:val="clear" w:color="auto" w:fill="auto"/>
            <w:noWrap/>
            <w:vAlign w:val="bottom"/>
            <w:hideMark/>
          </w:tcPr>
          <w:p w14:paraId="7B458AB1" w14:textId="77777777" w:rsidR="00CE604C" w:rsidRPr="00C76EB4" w:rsidRDefault="00CE604C" w:rsidP="00CE604C">
            <w:pPr>
              <w:jc w:val="center"/>
              <w:rPr>
                <w:rFonts w:cstheme="minorHAnsi"/>
                <w:color w:val="000000"/>
                <w:sz w:val="20"/>
                <w:szCs w:val="20"/>
              </w:rPr>
            </w:pPr>
            <w:r w:rsidRPr="00C76EB4">
              <w:rPr>
                <w:rFonts w:cstheme="minorHAnsi"/>
                <w:color w:val="000000"/>
                <w:sz w:val="20"/>
                <w:szCs w:val="20"/>
              </w:rPr>
              <w:t>51.4</w:t>
            </w:r>
          </w:p>
        </w:tc>
        <w:tc>
          <w:tcPr>
            <w:tcW w:w="1890" w:type="dxa"/>
            <w:vAlign w:val="center"/>
          </w:tcPr>
          <w:p w14:paraId="1BF30FBF" w14:textId="04281D65" w:rsidR="00CE604C" w:rsidRPr="00EF39B3" w:rsidRDefault="00CE604C">
            <w:pPr>
              <w:jc w:val="center"/>
              <w:rPr>
                <w:rFonts w:cstheme="minorHAnsi"/>
                <w:color w:val="000000"/>
                <w:sz w:val="20"/>
                <w:szCs w:val="20"/>
              </w:rPr>
            </w:pPr>
            <w:r>
              <w:rPr>
                <w:rFonts w:ascii="Calibri" w:hAnsi="Calibri" w:cs="Calibri"/>
                <w:color w:val="000000"/>
                <w:sz w:val="20"/>
                <w:szCs w:val="20"/>
              </w:rPr>
              <w:t>64.7</w:t>
            </w:r>
          </w:p>
        </w:tc>
        <w:tc>
          <w:tcPr>
            <w:tcW w:w="2250" w:type="dxa"/>
            <w:vAlign w:val="center"/>
          </w:tcPr>
          <w:p w14:paraId="1A40C39C" w14:textId="18D35232" w:rsidR="00CE604C" w:rsidRPr="00EF39B3" w:rsidRDefault="00CE604C">
            <w:pPr>
              <w:jc w:val="center"/>
              <w:rPr>
                <w:rFonts w:cstheme="minorHAnsi"/>
                <w:color w:val="000000"/>
                <w:sz w:val="20"/>
                <w:szCs w:val="20"/>
              </w:rPr>
            </w:pPr>
            <w:r>
              <w:rPr>
                <w:rFonts w:ascii="Calibri" w:hAnsi="Calibri" w:cs="Calibri"/>
                <w:color w:val="000000"/>
                <w:sz w:val="20"/>
                <w:szCs w:val="20"/>
              </w:rPr>
              <w:t>18.7</w:t>
            </w:r>
          </w:p>
        </w:tc>
      </w:tr>
      <w:tr w:rsidR="00CE604C" w:rsidRPr="00EF39B3" w14:paraId="3BC104F8" w14:textId="3E4855CB" w:rsidTr="002C58D0">
        <w:trPr>
          <w:trHeight w:val="245"/>
        </w:trPr>
        <w:tc>
          <w:tcPr>
            <w:tcW w:w="2335" w:type="dxa"/>
            <w:shd w:val="clear" w:color="auto" w:fill="auto"/>
            <w:noWrap/>
            <w:vAlign w:val="bottom"/>
            <w:hideMark/>
          </w:tcPr>
          <w:p w14:paraId="6A31ED55" w14:textId="77777777" w:rsidR="00CE604C" w:rsidRPr="00C76EB4" w:rsidRDefault="00CE604C" w:rsidP="00CE604C">
            <w:pPr>
              <w:rPr>
                <w:rFonts w:cstheme="minorHAnsi"/>
                <w:color w:val="000000"/>
                <w:sz w:val="20"/>
                <w:szCs w:val="20"/>
              </w:rPr>
            </w:pPr>
            <w:r w:rsidRPr="00C76EB4">
              <w:rPr>
                <w:rFonts w:cstheme="minorHAnsi"/>
                <w:color w:val="000000"/>
                <w:sz w:val="20"/>
                <w:szCs w:val="20"/>
              </w:rPr>
              <w:t>PG&amp;E</w:t>
            </w:r>
          </w:p>
        </w:tc>
        <w:tc>
          <w:tcPr>
            <w:tcW w:w="990" w:type="dxa"/>
            <w:shd w:val="clear" w:color="auto" w:fill="auto"/>
            <w:noWrap/>
            <w:vAlign w:val="bottom"/>
            <w:hideMark/>
          </w:tcPr>
          <w:p w14:paraId="186ACED1" w14:textId="77777777" w:rsidR="00CE604C" w:rsidRPr="00C76EB4" w:rsidRDefault="00CE604C" w:rsidP="00CE604C">
            <w:pPr>
              <w:rPr>
                <w:rFonts w:cstheme="minorHAnsi"/>
                <w:color w:val="000000"/>
                <w:sz w:val="20"/>
                <w:szCs w:val="20"/>
              </w:rPr>
            </w:pPr>
            <w:r w:rsidRPr="00C76EB4">
              <w:rPr>
                <w:rFonts w:cstheme="minorHAnsi"/>
                <w:color w:val="000000"/>
                <w:sz w:val="20"/>
                <w:szCs w:val="20"/>
              </w:rPr>
              <w:t>CZ02</w:t>
            </w:r>
          </w:p>
        </w:tc>
        <w:tc>
          <w:tcPr>
            <w:tcW w:w="1800" w:type="dxa"/>
            <w:shd w:val="clear" w:color="auto" w:fill="auto"/>
            <w:noWrap/>
            <w:vAlign w:val="bottom"/>
            <w:hideMark/>
          </w:tcPr>
          <w:p w14:paraId="548CE1D8" w14:textId="77777777" w:rsidR="00CE604C" w:rsidRPr="00C76EB4" w:rsidRDefault="00CE604C" w:rsidP="00CE604C">
            <w:pPr>
              <w:jc w:val="center"/>
              <w:rPr>
                <w:rFonts w:cstheme="minorHAnsi"/>
                <w:color w:val="000000"/>
                <w:sz w:val="20"/>
                <w:szCs w:val="20"/>
              </w:rPr>
            </w:pPr>
            <w:r w:rsidRPr="00C76EB4">
              <w:rPr>
                <w:rFonts w:cstheme="minorHAnsi"/>
                <w:color w:val="000000"/>
                <w:sz w:val="20"/>
                <w:szCs w:val="20"/>
              </w:rPr>
              <w:t>57.3</w:t>
            </w:r>
          </w:p>
        </w:tc>
        <w:tc>
          <w:tcPr>
            <w:tcW w:w="1890" w:type="dxa"/>
            <w:vAlign w:val="center"/>
          </w:tcPr>
          <w:p w14:paraId="6CF31ADA" w14:textId="1F78DCCA" w:rsidR="00CE604C" w:rsidRPr="00EF39B3" w:rsidRDefault="00CE604C">
            <w:pPr>
              <w:jc w:val="center"/>
              <w:rPr>
                <w:rFonts w:cstheme="minorHAnsi"/>
                <w:color w:val="000000"/>
                <w:sz w:val="20"/>
                <w:szCs w:val="20"/>
              </w:rPr>
            </w:pPr>
            <w:r>
              <w:rPr>
                <w:rFonts w:ascii="Calibri" w:hAnsi="Calibri" w:cs="Calibri"/>
                <w:color w:val="000000"/>
                <w:sz w:val="20"/>
                <w:szCs w:val="20"/>
              </w:rPr>
              <w:t>58.6</w:t>
            </w:r>
          </w:p>
        </w:tc>
        <w:tc>
          <w:tcPr>
            <w:tcW w:w="2250" w:type="dxa"/>
            <w:vAlign w:val="center"/>
          </w:tcPr>
          <w:p w14:paraId="7719B597" w14:textId="6F5D986B" w:rsidR="00CE604C" w:rsidRPr="00EF39B3" w:rsidRDefault="00CE604C">
            <w:pPr>
              <w:jc w:val="center"/>
              <w:rPr>
                <w:rFonts w:cstheme="minorHAnsi"/>
                <w:color w:val="000000"/>
                <w:sz w:val="20"/>
                <w:szCs w:val="20"/>
              </w:rPr>
            </w:pPr>
            <w:r>
              <w:rPr>
                <w:rFonts w:ascii="Calibri" w:hAnsi="Calibri" w:cs="Calibri"/>
                <w:color w:val="000000"/>
                <w:sz w:val="20"/>
                <w:szCs w:val="20"/>
              </w:rPr>
              <w:t>16.9</w:t>
            </w:r>
          </w:p>
        </w:tc>
      </w:tr>
      <w:tr w:rsidR="00CE604C" w:rsidRPr="00EF39B3" w14:paraId="2E44F10F" w14:textId="384906AB" w:rsidTr="002C58D0">
        <w:trPr>
          <w:trHeight w:val="245"/>
        </w:trPr>
        <w:tc>
          <w:tcPr>
            <w:tcW w:w="2335" w:type="dxa"/>
            <w:shd w:val="clear" w:color="auto" w:fill="auto"/>
            <w:noWrap/>
            <w:vAlign w:val="bottom"/>
            <w:hideMark/>
          </w:tcPr>
          <w:p w14:paraId="76E86E57" w14:textId="77777777" w:rsidR="00CE604C" w:rsidRPr="00C76EB4" w:rsidRDefault="00CE604C" w:rsidP="00CE604C">
            <w:pPr>
              <w:rPr>
                <w:rFonts w:cstheme="minorHAnsi"/>
                <w:color w:val="000000"/>
                <w:sz w:val="20"/>
                <w:szCs w:val="20"/>
              </w:rPr>
            </w:pPr>
            <w:r w:rsidRPr="00C76EB4">
              <w:rPr>
                <w:rFonts w:cstheme="minorHAnsi"/>
                <w:color w:val="000000"/>
                <w:sz w:val="20"/>
                <w:szCs w:val="20"/>
              </w:rPr>
              <w:t>PG&amp;E</w:t>
            </w:r>
          </w:p>
        </w:tc>
        <w:tc>
          <w:tcPr>
            <w:tcW w:w="990" w:type="dxa"/>
            <w:shd w:val="clear" w:color="auto" w:fill="auto"/>
            <w:noWrap/>
            <w:vAlign w:val="bottom"/>
            <w:hideMark/>
          </w:tcPr>
          <w:p w14:paraId="4DDDEE0D" w14:textId="77777777" w:rsidR="00CE604C" w:rsidRPr="00C76EB4" w:rsidRDefault="00CE604C" w:rsidP="00CE604C">
            <w:pPr>
              <w:rPr>
                <w:rFonts w:cstheme="minorHAnsi"/>
                <w:color w:val="000000"/>
                <w:sz w:val="20"/>
                <w:szCs w:val="20"/>
              </w:rPr>
            </w:pPr>
            <w:r w:rsidRPr="00C76EB4">
              <w:rPr>
                <w:rFonts w:cstheme="minorHAnsi"/>
                <w:color w:val="000000"/>
                <w:sz w:val="20"/>
                <w:szCs w:val="20"/>
              </w:rPr>
              <w:t>CZ03</w:t>
            </w:r>
          </w:p>
        </w:tc>
        <w:tc>
          <w:tcPr>
            <w:tcW w:w="1800" w:type="dxa"/>
            <w:shd w:val="clear" w:color="auto" w:fill="auto"/>
            <w:noWrap/>
            <w:vAlign w:val="bottom"/>
            <w:hideMark/>
          </w:tcPr>
          <w:p w14:paraId="560238AC" w14:textId="77777777" w:rsidR="00CE604C" w:rsidRPr="00C76EB4" w:rsidRDefault="00CE604C" w:rsidP="00CE604C">
            <w:pPr>
              <w:jc w:val="center"/>
              <w:rPr>
                <w:rFonts w:cstheme="minorHAnsi"/>
                <w:color w:val="000000"/>
                <w:sz w:val="20"/>
                <w:szCs w:val="20"/>
              </w:rPr>
            </w:pPr>
            <w:r w:rsidRPr="00C76EB4">
              <w:rPr>
                <w:rFonts w:cstheme="minorHAnsi"/>
                <w:color w:val="000000"/>
                <w:sz w:val="20"/>
                <w:szCs w:val="20"/>
              </w:rPr>
              <w:t>57.1</w:t>
            </w:r>
          </w:p>
        </w:tc>
        <w:tc>
          <w:tcPr>
            <w:tcW w:w="1890" w:type="dxa"/>
            <w:vAlign w:val="center"/>
          </w:tcPr>
          <w:p w14:paraId="65EAB4C4" w14:textId="33E5DBD3" w:rsidR="00CE604C" w:rsidRPr="00EF39B3" w:rsidRDefault="00CE604C">
            <w:pPr>
              <w:jc w:val="center"/>
              <w:rPr>
                <w:rFonts w:cstheme="minorHAnsi"/>
                <w:color w:val="000000"/>
                <w:sz w:val="20"/>
                <w:szCs w:val="20"/>
              </w:rPr>
            </w:pPr>
            <w:r>
              <w:rPr>
                <w:rFonts w:ascii="Calibri" w:hAnsi="Calibri" w:cs="Calibri"/>
                <w:color w:val="000000"/>
                <w:sz w:val="20"/>
                <w:szCs w:val="20"/>
              </w:rPr>
              <w:t>58.8</w:t>
            </w:r>
          </w:p>
        </w:tc>
        <w:tc>
          <w:tcPr>
            <w:tcW w:w="2250" w:type="dxa"/>
            <w:vAlign w:val="center"/>
          </w:tcPr>
          <w:p w14:paraId="2329667F" w14:textId="6AD7C319" w:rsidR="00CE604C" w:rsidRPr="00EF39B3" w:rsidRDefault="00CE604C">
            <w:pPr>
              <w:jc w:val="center"/>
              <w:rPr>
                <w:rFonts w:cstheme="minorHAnsi"/>
                <w:color w:val="000000"/>
                <w:sz w:val="20"/>
                <w:szCs w:val="20"/>
              </w:rPr>
            </w:pPr>
            <w:r>
              <w:rPr>
                <w:rFonts w:ascii="Calibri" w:hAnsi="Calibri" w:cs="Calibri"/>
                <w:color w:val="000000"/>
                <w:sz w:val="20"/>
                <w:szCs w:val="20"/>
              </w:rPr>
              <w:t>17.0</w:t>
            </w:r>
          </w:p>
        </w:tc>
      </w:tr>
      <w:tr w:rsidR="00CE604C" w:rsidRPr="00EF39B3" w14:paraId="1F7AD4AB" w14:textId="1557E3FF" w:rsidTr="002C58D0">
        <w:trPr>
          <w:trHeight w:val="245"/>
        </w:trPr>
        <w:tc>
          <w:tcPr>
            <w:tcW w:w="2335" w:type="dxa"/>
            <w:shd w:val="clear" w:color="auto" w:fill="auto"/>
            <w:noWrap/>
            <w:vAlign w:val="bottom"/>
            <w:hideMark/>
          </w:tcPr>
          <w:p w14:paraId="25E0865F" w14:textId="77777777" w:rsidR="00CE604C" w:rsidRPr="00C76EB4" w:rsidRDefault="00CE604C" w:rsidP="00CE604C">
            <w:pPr>
              <w:rPr>
                <w:rFonts w:cstheme="minorHAnsi"/>
                <w:color w:val="000000"/>
                <w:sz w:val="20"/>
                <w:szCs w:val="20"/>
              </w:rPr>
            </w:pPr>
            <w:r w:rsidRPr="00C76EB4">
              <w:rPr>
                <w:rFonts w:cstheme="minorHAnsi"/>
                <w:color w:val="000000"/>
                <w:sz w:val="20"/>
                <w:szCs w:val="20"/>
              </w:rPr>
              <w:t>PG&amp;E/SoCalGas</w:t>
            </w:r>
          </w:p>
        </w:tc>
        <w:tc>
          <w:tcPr>
            <w:tcW w:w="990" w:type="dxa"/>
            <w:shd w:val="clear" w:color="auto" w:fill="auto"/>
            <w:noWrap/>
            <w:vAlign w:val="bottom"/>
            <w:hideMark/>
          </w:tcPr>
          <w:p w14:paraId="318FADA6" w14:textId="77777777" w:rsidR="00CE604C" w:rsidRPr="00C76EB4" w:rsidRDefault="00CE604C" w:rsidP="00CE604C">
            <w:pPr>
              <w:rPr>
                <w:rFonts w:cstheme="minorHAnsi"/>
                <w:color w:val="000000"/>
                <w:sz w:val="20"/>
                <w:szCs w:val="20"/>
              </w:rPr>
            </w:pPr>
            <w:r w:rsidRPr="00C76EB4">
              <w:rPr>
                <w:rFonts w:cstheme="minorHAnsi"/>
                <w:color w:val="000000"/>
                <w:sz w:val="20"/>
                <w:szCs w:val="20"/>
              </w:rPr>
              <w:t>CZ04</w:t>
            </w:r>
          </w:p>
        </w:tc>
        <w:tc>
          <w:tcPr>
            <w:tcW w:w="1800" w:type="dxa"/>
            <w:shd w:val="clear" w:color="auto" w:fill="auto"/>
            <w:noWrap/>
            <w:vAlign w:val="bottom"/>
            <w:hideMark/>
          </w:tcPr>
          <w:p w14:paraId="7005898D" w14:textId="77777777" w:rsidR="00CE604C" w:rsidRPr="00C76EB4" w:rsidRDefault="00CE604C" w:rsidP="00CE604C">
            <w:pPr>
              <w:jc w:val="center"/>
              <w:rPr>
                <w:rFonts w:cstheme="minorHAnsi"/>
                <w:color w:val="000000"/>
                <w:sz w:val="20"/>
                <w:szCs w:val="20"/>
              </w:rPr>
            </w:pPr>
            <w:r w:rsidRPr="00C76EB4">
              <w:rPr>
                <w:rFonts w:cstheme="minorHAnsi"/>
                <w:color w:val="000000"/>
                <w:sz w:val="20"/>
                <w:szCs w:val="20"/>
              </w:rPr>
              <w:t>59.5</w:t>
            </w:r>
          </w:p>
        </w:tc>
        <w:tc>
          <w:tcPr>
            <w:tcW w:w="1890" w:type="dxa"/>
            <w:vAlign w:val="center"/>
          </w:tcPr>
          <w:p w14:paraId="7E49B3B5" w14:textId="171189D7" w:rsidR="00CE604C" w:rsidRPr="00EF39B3" w:rsidRDefault="00CE604C">
            <w:pPr>
              <w:jc w:val="center"/>
              <w:rPr>
                <w:rFonts w:cstheme="minorHAnsi"/>
                <w:color w:val="000000"/>
                <w:sz w:val="20"/>
                <w:szCs w:val="20"/>
              </w:rPr>
            </w:pPr>
            <w:r>
              <w:rPr>
                <w:rFonts w:ascii="Calibri" w:hAnsi="Calibri" w:cs="Calibri"/>
                <w:color w:val="000000"/>
                <w:sz w:val="20"/>
                <w:szCs w:val="20"/>
              </w:rPr>
              <w:t>56.3</w:t>
            </w:r>
          </w:p>
        </w:tc>
        <w:tc>
          <w:tcPr>
            <w:tcW w:w="2250" w:type="dxa"/>
            <w:vAlign w:val="center"/>
          </w:tcPr>
          <w:p w14:paraId="1750188E" w14:textId="6BF24DC8" w:rsidR="00CE604C" w:rsidRPr="00EF39B3" w:rsidRDefault="00CE604C">
            <w:pPr>
              <w:jc w:val="center"/>
              <w:rPr>
                <w:rFonts w:cstheme="minorHAnsi"/>
                <w:color w:val="000000"/>
                <w:sz w:val="20"/>
                <w:szCs w:val="20"/>
              </w:rPr>
            </w:pPr>
            <w:r>
              <w:rPr>
                <w:rFonts w:ascii="Calibri" w:hAnsi="Calibri" w:cs="Calibri"/>
                <w:color w:val="000000"/>
                <w:sz w:val="20"/>
                <w:szCs w:val="20"/>
              </w:rPr>
              <w:t>16.3</w:t>
            </w:r>
          </w:p>
        </w:tc>
      </w:tr>
      <w:tr w:rsidR="00CE604C" w:rsidRPr="00EF39B3" w14:paraId="663186A3" w14:textId="2510886E" w:rsidTr="002C58D0">
        <w:trPr>
          <w:trHeight w:val="245"/>
        </w:trPr>
        <w:tc>
          <w:tcPr>
            <w:tcW w:w="2335" w:type="dxa"/>
            <w:shd w:val="clear" w:color="auto" w:fill="auto"/>
            <w:noWrap/>
            <w:vAlign w:val="bottom"/>
            <w:hideMark/>
          </w:tcPr>
          <w:p w14:paraId="463D7412" w14:textId="77777777" w:rsidR="00CE604C" w:rsidRPr="00C76EB4" w:rsidRDefault="00CE604C" w:rsidP="00CE604C">
            <w:pPr>
              <w:rPr>
                <w:rFonts w:cstheme="minorHAnsi"/>
                <w:color w:val="000000"/>
                <w:sz w:val="20"/>
                <w:szCs w:val="20"/>
              </w:rPr>
            </w:pPr>
            <w:r w:rsidRPr="00C76EB4">
              <w:rPr>
                <w:rFonts w:cstheme="minorHAnsi"/>
                <w:color w:val="000000"/>
                <w:sz w:val="20"/>
                <w:szCs w:val="20"/>
              </w:rPr>
              <w:t>PG&amp;E/SoCalGas</w:t>
            </w:r>
          </w:p>
        </w:tc>
        <w:tc>
          <w:tcPr>
            <w:tcW w:w="990" w:type="dxa"/>
            <w:shd w:val="clear" w:color="auto" w:fill="auto"/>
            <w:noWrap/>
            <w:vAlign w:val="bottom"/>
            <w:hideMark/>
          </w:tcPr>
          <w:p w14:paraId="3E9AA91C" w14:textId="77777777" w:rsidR="00CE604C" w:rsidRPr="00C76EB4" w:rsidRDefault="00CE604C" w:rsidP="00CE604C">
            <w:pPr>
              <w:rPr>
                <w:rFonts w:cstheme="minorHAnsi"/>
                <w:color w:val="000000"/>
                <w:sz w:val="20"/>
                <w:szCs w:val="20"/>
              </w:rPr>
            </w:pPr>
            <w:r w:rsidRPr="00C76EB4">
              <w:rPr>
                <w:rFonts w:cstheme="minorHAnsi"/>
                <w:color w:val="000000"/>
                <w:sz w:val="20"/>
                <w:szCs w:val="20"/>
              </w:rPr>
              <w:t>CZ05</w:t>
            </w:r>
          </w:p>
        </w:tc>
        <w:tc>
          <w:tcPr>
            <w:tcW w:w="1800" w:type="dxa"/>
            <w:shd w:val="clear" w:color="auto" w:fill="auto"/>
            <w:noWrap/>
            <w:vAlign w:val="bottom"/>
            <w:hideMark/>
          </w:tcPr>
          <w:p w14:paraId="4E567774" w14:textId="77777777" w:rsidR="00CE604C" w:rsidRPr="00C76EB4" w:rsidRDefault="00CE604C" w:rsidP="00CE604C">
            <w:pPr>
              <w:jc w:val="center"/>
              <w:rPr>
                <w:rFonts w:cstheme="minorHAnsi"/>
                <w:color w:val="000000"/>
                <w:sz w:val="20"/>
                <w:szCs w:val="20"/>
              </w:rPr>
            </w:pPr>
            <w:r w:rsidRPr="00C76EB4">
              <w:rPr>
                <w:rFonts w:cstheme="minorHAnsi"/>
                <w:color w:val="000000"/>
                <w:sz w:val="20"/>
                <w:szCs w:val="20"/>
              </w:rPr>
              <w:t>55.8</w:t>
            </w:r>
          </w:p>
        </w:tc>
        <w:tc>
          <w:tcPr>
            <w:tcW w:w="1890" w:type="dxa"/>
            <w:vAlign w:val="center"/>
          </w:tcPr>
          <w:p w14:paraId="2C0A5A36" w14:textId="6DD48327" w:rsidR="00CE604C" w:rsidRPr="00EF39B3" w:rsidRDefault="00CE604C">
            <w:pPr>
              <w:jc w:val="center"/>
              <w:rPr>
                <w:rFonts w:cstheme="minorHAnsi"/>
                <w:color w:val="000000"/>
                <w:sz w:val="20"/>
                <w:szCs w:val="20"/>
              </w:rPr>
            </w:pPr>
            <w:r>
              <w:rPr>
                <w:rFonts w:ascii="Calibri" w:hAnsi="Calibri" w:cs="Calibri"/>
                <w:color w:val="000000"/>
                <w:sz w:val="20"/>
                <w:szCs w:val="20"/>
              </w:rPr>
              <w:t>60.2</w:t>
            </w:r>
          </w:p>
        </w:tc>
        <w:tc>
          <w:tcPr>
            <w:tcW w:w="2250" w:type="dxa"/>
            <w:vAlign w:val="center"/>
          </w:tcPr>
          <w:p w14:paraId="065A9D3D" w14:textId="1B4A7930" w:rsidR="00CE604C" w:rsidRPr="00EF39B3" w:rsidRDefault="00CE604C">
            <w:pPr>
              <w:jc w:val="center"/>
              <w:rPr>
                <w:rFonts w:cstheme="minorHAnsi"/>
                <w:color w:val="000000"/>
                <w:sz w:val="20"/>
                <w:szCs w:val="20"/>
              </w:rPr>
            </w:pPr>
            <w:r>
              <w:rPr>
                <w:rFonts w:ascii="Calibri" w:hAnsi="Calibri" w:cs="Calibri"/>
                <w:color w:val="000000"/>
                <w:sz w:val="20"/>
                <w:szCs w:val="20"/>
              </w:rPr>
              <w:t>17.4</w:t>
            </w:r>
          </w:p>
        </w:tc>
      </w:tr>
      <w:tr w:rsidR="00CE604C" w:rsidRPr="00EF39B3" w14:paraId="43C542BC" w14:textId="78C4D7CA" w:rsidTr="002C58D0">
        <w:trPr>
          <w:trHeight w:val="245"/>
        </w:trPr>
        <w:tc>
          <w:tcPr>
            <w:tcW w:w="2335" w:type="dxa"/>
            <w:shd w:val="clear" w:color="auto" w:fill="auto"/>
            <w:noWrap/>
            <w:vAlign w:val="bottom"/>
            <w:hideMark/>
          </w:tcPr>
          <w:p w14:paraId="150711D4" w14:textId="77777777" w:rsidR="00CE604C" w:rsidRPr="00C76EB4" w:rsidRDefault="00CE604C" w:rsidP="00CE604C">
            <w:pPr>
              <w:rPr>
                <w:rFonts w:cstheme="minorHAnsi"/>
                <w:color w:val="000000"/>
                <w:sz w:val="20"/>
                <w:szCs w:val="20"/>
              </w:rPr>
            </w:pPr>
            <w:r w:rsidRPr="00C76EB4">
              <w:rPr>
                <w:rFonts w:cstheme="minorHAnsi"/>
                <w:color w:val="000000"/>
                <w:sz w:val="20"/>
                <w:szCs w:val="20"/>
              </w:rPr>
              <w:t>SoCalGas/SDG&amp;E/SCE</w:t>
            </w:r>
          </w:p>
        </w:tc>
        <w:tc>
          <w:tcPr>
            <w:tcW w:w="990" w:type="dxa"/>
            <w:shd w:val="clear" w:color="auto" w:fill="auto"/>
            <w:noWrap/>
            <w:vAlign w:val="bottom"/>
            <w:hideMark/>
          </w:tcPr>
          <w:p w14:paraId="4B43BA19" w14:textId="77777777" w:rsidR="00CE604C" w:rsidRPr="00C76EB4" w:rsidRDefault="00CE604C" w:rsidP="00CE604C">
            <w:pPr>
              <w:rPr>
                <w:rFonts w:cstheme="minorHAnsi"/>
                <w:color w:val="000000"/>
                <w:sz w:val="20"/>
                <w:szCs w:val="20"/>
              </w:rPr>
            </w:pPr>
            <w:r w:rsidRPr="00C76EB4">
              <w:rPr>
                <w:rFonts w:cstheme="minorHAnsi"/>
                <w:color w:val="000000"/>
                <w:sz w:val="20"/>
                <w:szCs w:val="20"/>
              </w:rPr>
              <w:t>CZ06</w:t>
            </w:r>
          </w:p>
        </w:tc>
        <w:tc>
          <w:tcPr>
            <w:tcW w:w="1800" w:type="dxa"/>
            <w:shd w:val="clear" w:color="auto" w:fill="auto"/>
            <w:noWrap/>
            <w:vAlign w:val="bottom"/>
            <w:hideMark/>
          </w:tcPr>
          <w:p w14:paraId="004720E3" w14:textId="77777777" w:rsidR="00CE604C" w:rsidRPr="00C76EB4" w:rsidRDefault="00CE604C" w:rsidP="00CE604C">
            <w:pPr>
              <w:jc w:val="center"/>
              <w:rPr>
                <w:rFonts w:cstheme="minorHAnsi"/>
                <w:color w:val="000000"/>
                <w:sz w:val="20"/>
                <w:szCs w:val="20"/>
              </w:rPr>
            </w:pPr>
            <w:r w:rsidRPr="00C76EB4">
              <w:rPr>
                <w:rFonts w:cstheme="minorHAnsi"/>
                <w:color w:val="000000"/>
                <w:sz w:val="20"/>
                <w:szCs w:val="20"/>
              </w:rPr>
              <w:t>61.8</w:t>
            </w:r>
          </w:p>
        </w:tc>
        <w:tc>
          <w:tcPr>
            <w:tcW w:w="1890" w:type="dxa"/>
            <w:vAlign w:val="center"/>
          </w:tcPr>
          <w:p w14:paraId="492A5018" w14:textId="186B3104" w:rsidR="00CE604C" w:rsidRPr="00EF39B3" w:rsidRDefault="00CE604C">
            <w:pPr>
              <w:jc w:val="center"/>
              <w:rPr>
                <w:rFonts w:cstheme="minorHAnsi"/>
                <w:color w:val="000000"/>
                <w:sz w:val="20"/>
                <w:szCs w:val="20"/>
              </w:rPr>
            </w:pPr>
            <w:r>
              <w:rPr>
                <w:rFonts w:ascii="Calibri" w:hAnsi="Calibri" w:cs="Calibri"/>
                <w:color w:val="000000"/>
                <w:sz w:val="20"/>
                <w:szCs w:val="20"/>
              </w:rPr>
              <w:t>54.0</w:t>
            </w:r>
          </w:p>
        </w:tc>
        <w:tc>
          <w:tcPr>
            <w:tcW w:w="2250" w:type="dxa"/>
            <w:vAlign w:val="center"/>
          </w:tcPr>
          <w:p w14:paraId="34CB88A1" w14:textId="45E2F9CC" w:rsidR="00CE604C" w:rsidRPr="00EF39B3" w:rsidRDefault="00CE604C">
            <w:pPr>
              <w:jc w:val="center"/>
              <w:rPr>
                <w:rFonts w:cstheme="minorHAnsi"/>
                <w:color w:val="000000"/>
                <w:sz w:val="20"/>
                <w:szCs w:val="20"/>
              </w:rPr>
            </w:pPr>
            <w:r>
              <w:rPr>
                <w:rFonts w:ascii="Calibri" w:hAnsi="Calibri" w:cs="Calibri"/>
                <w:color w:val="000000"/>
                <w:sz w:val="20"/>
                <w:szCs w:val="20"/>
              </w:rPr>
              <w:t>15.6</w:t>
            </w:r>
          </w:p>
        </w:tc>
      </w:tr>
      <w:tr w:rsidR="00CE604C" w:rsidRPr="00EF39B3" w14:paraId="4A747289" w14:textId="287FB892" w:rsidTr="002C58D0">
        <w:trPr>
          <w:trHeight w:val="245"/>
        </w:trPr>
        <w:tc>
          <w:tcPr>
            <w:tcW w:w="2335" w:type="dxa"/>
            <w:shd w:val="clear" w:color="auto" w:fill="auto"/>
            <w:noWrap/>
            <w:vAlign w:val="bottom"/>
            <w:hideMark/>
          </w:tcPr>
          <w:p w14:paraId="019E0ED4" w14:textId="77777777" w:rsidR="00CE604C" w:rsidRPr="00C76EB4" w:rsidRDefault="00CE604C" w:rsidP="00CE604C">
            <w:pPr>
              <w:rPr>
                <w:rFonts w:cstheme="minorHAnsi"/>
                <w:color w:val="000000"/>
                <w:sz w:val="20"/>
                <w:szCs w:val="20"/>
              </w:rPr>
            </w:pPr>
            <w:r w:rsidRPr="00C76EB4">
              <w:rPr>
                <w:rFonts w:cstheme="minorHAnsi"/>
                <w:color w:val="000000"/>
                <w:sz w:val="20"/>
                <w:szCs w:val="20"/>
              </w:rPr>
              <w:t>SoCalGas/SDG&amp;E</w:t>
            </w:r>
          </w:p>
        </w:tc>
        <w:tc>
          <w:tcPr>
            <w:tcW w:w="990" w:type="dxa"/>
            <w:shd w:val="clear" w:color="auto" w:fill="auto"/>
            <w:noWrap/>
            <w:vAlign w:val="bottom"/>
            <w:hideMark/>
          </w:tcPr>
          <w:p w14:paraId="27AB856D" w14:textId="77777777" w:rsidR="00CE604C" w:rsidRPr="00C76EB4" w:rsidRDefault="00CE604C" w:rsidP="00CE604C">
            <w:pPr>
              <w:rPr>
                <w:rFonts w:cstheme="minorHAnsi"/>
                <w:color w:val="000000"/>
                <w:sz w:val="20"/>
                <w:szCs w:val="20"/>
              </w:rPr>
            </w:pPr>
            <w:r w:rsidRPr="00C76EB4">
              <w:rPr>
                <w:rFonts w:cstheme="minorHAnsi"/>
                <w:color w:val="000000"/>
                <w:sz w:val="20"/>
                <w:szCs w:val="20"/>
              </w:rPr>
              <w:t>CZ07</w:t>
            </w:r>
          </w:p>
        </w:tc>
        <w:tc>
          <w:tcPr>
            <w:tcW w:w="1800" w:type="dxa"/>
            <w:shd w:val="clear" w:color="auto" w:fill="auto"/>
            <w:noWrap/>
            <w:vAlign w:val="bottom"/>
            <w:hideMark/>
          </w:tcPr>
          <w:p w14:paraId="7A2A7917" w14:textId="77777777" w:rsidR="00CE604C" w:rsidRPr="00C76EB4" w:rsidRDefault="00CE604C" w:rsidP="00CE604C">
            <w:pPr>
              <w:jc w:val="center"/>
              <w:rPr>
                <w:rFonts w:cstheme="minorHAnsi"/>
                <w:color w:val="000000"/>
                <w:sz w:val="20"/>
                <w:szCs w:val="20"/>
              </w:rPr>
            </w:pPr>
            <w:r w:rsidRPr="00C76EB4">
              <w:rPr>
                <w:rFonts w:cstheme="minorHAnsi"/>
                <w:color w:val="000000"/>
                <w:sz w:val="20"/>
                <w:szCs w:val="20"/>
              </w:rPr>
              <w:t>62.6</w:t>
            </w:r>
          </w:p>
        </w:tc>
        <w:tc>
          <w:tcPr>
            <w:tcW w:w="1890" w:type="dxa"/>
            <w:vAlign w:val="center"/>
          </w:tcPr>
          <w:p w14:paraId="36493217" w14:textId="24F4AFAA" w:rsidR="00CE604C" w:rsidRPr="00EF39B3" w:rsidRDefault="00CE604C">
            <w:pPr>
              <w:jc w:val="center"/>
              <w:rPr>
                <w:rFonts w:cstheme="minorHAnsi"/>
                <w:color w:val="000000"/>
                <w:sz w:val="20"/>
                <w:szCs w:val="20"/>
              </w:rPr>
            </w:pPr>
            <w:r>
              <w:rPr>
                <w:rFonts w:ascii="Calibri" w:hAnsi="Calibri" w:cs="Calibri"/>
                <w:color w:val="000000"/>
                <w:sz w:val="20"/>
                <w:szCs w:val="20"/>
              </w:rPr>
              <w:t>53.1</w:t>
            </w:r>
          </w:p>
        </w:tc>
        <w:tc>
          <w:tcPr>
            <w:tcW w:w="2250" w:type="dxa"/>
            <w:vAlign w:val="center"/>
          </w:tcPr>
          <w:p w14:paraId="12A418C1" w14:textId="61733B9B" w:rsidR="00CE604C" w:rsidRPr="00EF39B3" w:rsidRDefault="00CE604C">
            <w:pPr>
              <w:jc w:val="center"/>
              <w:rPr>
                <w:rFonts w:cstheme="minorHAnsi"/>
                <w:color w:val="000000"/>
                <w:sz w:val="20"/>
                <w:szCs w:val="20"/>
              </w:rPr>
            </w:pPr>
            <w:r>
              <w:rPr>
                <w:rFonts w:ascii="Calibri" w:hAnsi="Calibri" w:cs="Calibri"/>
                <w:color w:val="000000"/>
                <w:sz w:val="20"/>
                <w:szCs w:val="20"/>
              </w:rPr>
              <w:t>15.4</w:t>
            </w:r>
          </w:p>
        </w:tc>
      </w:tr>
      <w:tr w:rsidR="00CE604C" w:rsidRPr="00EF39B3" w14:paraId="6D1E8AD8" w14:textId="107FD29B" w:rsidTr="002C58D0">
        <w:trPr>
          <w:trHeight w:val="245"/>
        </w:trPr>
        <w:tc>
          <w:tcPr>
            <w:tcW w:w="2335" w:type="dxa"/>
            <w:shd w:val="clear" w:color="auto" w:fill="auto"/>
            <w:noWrap/>
            <w:vAlign w:val="bottom"/>
            <w:hideMark/>
          </w:tcPr>
          <w:p w14:paraId="705AC7B6" w14:textId="77777777" w:rsidR="00CE604C" w:rsidRPr="00C76EB4" w:rsidRDefault="00CE604C" w:rsidP="00CE604C">
            <w:pPr>
              <w:rPr>
                <w:rFonts w:cstheme="minorHAnsi"/>
                <w:color w:val="000000"/>
                <w:sz w:val="20"/>
                <w:szCs w:val="20"/>
              </w:rPr>
            </w:pPr>
            <w:r w:rsidRPr="00C76EB4">
              <w:rPr>
                <w:rFonts w:cstheme="minorHAnsi"/>
                <w:color w:val="000000"/>
                <w:sz w:val="20"/>
                <w:szCs w:val="20"/>
              </w:rPr>
              <w:t>SoCalGas/SDG&amp;E/SCE</w:t>
            </w:r>
          </w:p>
        </w:tc>
        <w:tc>
          <w:tcPr>
            <w:tcW w:w="990" w:type="dxa"/>
            <w:shd w:val="clear" w:color="auto" w:fill="auto"/>
            <w:noWrap/>
            <w:vAlign w:val="bottom"/>
            <w:hideMark/>
          </w:tcPr>
          <w:p w14:paraId="65AC7811" w14:textId="77777777" w:rsidR="00CE604C" w:rsidRPr="00C76EB4" w:rsidRDefault="00CE604C" w:rsidP="00CE604C">
            <w:pPr>
              <w:rPr>
                <w:rFonts w:cstheme="minorHAnsi"/>
                <w:color w:val="000000"/>
                <w:sz w:val="20"/>
                <w:szCs w:val="20"/>
              </w:rPr>
            </w:pPr>
            <w:r w:rsidRPr="00C76EB4">
              <w:rPr>
                <w:rFonts w:cstheme="minorHAnsi"/>
                <w:color w:val="000000"/>
                <w:sz w:val="20"/>
                <w:szCs w:val="20"/>
              </w:rPr>
              <w:t>CZ08</w:t>
            </w:r>
          </w:p>
        </w:tc>
        <w:tc>
          <w:tcPr>
            <w:tcW w:w="1800" w:type="dxa"/>
            <w:shd w:val="clear" w:color="auto" w:fill="auto"/>
            <w:noWrap/>
            <w:vAlign w:val="bottom"/>
            <w:hideMark/>
          </w:tcPr>
          <w:p w14:paraId="24871432" w14:textId="77777777" w:rsidR="00CE604C" w:rsidRPr="00C76EB4" w:rsidRDefault="00CE604C" w:rsidP="00CE604C">
            <w:pPr>
              <w:jc w:val="center"/>
              <w:rPr>
                <w:rFonts w:cstheme="minorHAnsi"/>
                <w:color w:val="000000"/>
                <w:sz w:val="20"/>
                <w:szCs w:val="20"/>
              </w:rPr>
            </w:pPr>
            <w:r w:rsidRPr="00C76EB4">
              <w:rPr>
                <w:rFonts w:cstheme="minorHAnsi"/>
                <w:color w:val="000000"/>
                <w:sz w:val="20"/>
                <w:szCs w:val="20"/>
              </w:rPr>
              <w:t>63.7</w:t>
            </w:r>
          </w:p>
        </w:tc>
        <w:tc>
          <w:tcPr>
            <w:tcW w:w="1890" w:type="dxa"/>
            <w:vAlign w:val="center"/>
          </w:tcPr>
          <w:p w14:paraId="47335B5A" w14:textId="726C7E14" w:rsidR="00CE604C" w:rsidRPr="00EF39B3" w:rsidRDefault="00CE604C">
            <w:pPr>
              <w:jc w:val="center"/>
              <w:rPr>
                <w:rFonts w:cstheme="minorHAnsi"/>
                <w:color w:val="000000"/>
                <w:sz w:val="20"/>
                <w:szCs w:val="20"/>
              </w:rPr>
            </w:pPr>
            <w:r>
              <w:rPr>
                <w:rFonts w:ascii="Calibri" w:hAnsi="Calibri" w:cs="Calibri"/>
                <w:color w:val="000000"/>
                <w:sz w:val="20"/>
                <w:szCs w:val="20"/>
              </w:rPr>
              <w:t>52.0</w:t>
            </w:r>
          </w:p>
        </w:tc>
        <w:tc>
          <w:tcPr>
            <w:tcW w:w="2250" w:type="dxa"/>
            <w:vAlign w:val="center"/>
          </w:tcPr>
          <w:p w14:paraId="08CFADA5" w14:textId="40F7CA09" w:rsidR="00CE604C" w:rsidRPr="00EF39B3" w:rsidRDefault="00CE604C">
            <w:pPr>
              <w:jc w:val="center"/>
              <w:rPr>
                <w:rFonts w:cstheme="minorHAnsi"/>
                <w:color w:val="000000"/>
                <w:sz w:val="20"/>
                <w:szCs w:val="20"/>
              </w:rPr>
            </w:pPr>
            <w:r>
              <w:rPr>
                <w:rFonts w:ascii="Calibri" w:hAnsi="Calibri" w:cs="Calibri"/>
                <w:color w:val="000000"/>
                <w:sz w:val="20"/>
                <w:szCs w:val="20"/>
              </w:rPr>
              <w:t>15.0</w:t>
            </w:r>
          </w:p>
        </w:tc>
      </w:tr>
      <w:tr w:rsidR="00CE604C" w:rsidRPr="00EF39B3" w14:paraId="201BD4E8" w14:textId="59B6AFA2" w:rsidTr="002C58D0">
        <w:trPr>
          <w:trHeight w:val="245"/>
        </w:trPr>
        <w:tc>
          <w:tcPr>
            <w:tcW w:w="2335" w:type="dxa"/>
            <w:shd w:val="clear" w:color="auto" w:fill="auto"/>
            <w:noWrap/>
            <w:vAlign w:val="bottom"/>
            <w:hideMark/>
          </w:tcPr>
          <w:p w14:paraId="47C161A7" w14:textId="77777777" w:rsidR="00CE604C" w:rsidRPr="00C76EB4" w:rsidRDefault="00CE604C" w:rsidP="00CE604C">
            <w:pPr>
              <w:rPr>
                <w:rFonts w:cstheme="minorHAnsi"/>
                <w:color w:val="000000"/>
                <w:sz w:val="20"/>
                <w:szCs w:val="20"/>
              </w:rPr>
            </w:pPr>
            <w:r w:rsidRPr="00C76EB4">
              <w:rPr>
                <w:rFonts w:cstheme="minorHAnsi"/>
                <w:color w:val="000000"/>
                <w:sz w:val="20"/>
                <w:szCs w:val="20"/>
              </w:rPr>
              <w:t>SoCalGas/SCE</w:t>
            </w:r>
          </w:p>
        </w:tc>
        <w:tc>
          <w:tcPr>
            <w:tcW w:w="990" w:type="dxa"/>
            <w:shd w:val="clear" w:color="auto" w:fill="auto"/>
            <w:noWrap/>
            <w:vAlign w:val="bottom"/>
            <w:hideMark/>
          </w:tcPr>
          <w:p w14:paraId="60CC0DC5" w14:textId="77777777" w:rsidR="00CE604C" w:rsidRPr="00C76EB4" w:rsidRDefault="00CE604C" w:rsidP="00CE604C">
            <w:pPr>
              <w:rPr>
                <w:rFonts w:cstheme="minorHAnsi"/>
                <w:color w:val="000000"/>
                <w:sz w:val="20"/>
                <w:szCs w:val="20"/>
              </w:rPr>
            </w:pPr>
            <w:r w:rsidRPr="00C76EB4">
              <w:rPr>
                <w:rFonts w:cstheme="minorHAnsi"/>
                <w:color w:val="000000"/>
                <w:sz w:val="20"/>
                <w:szCs w:val="20"/>
              </w:rPr>
              <w:t>CZ09</w:t>
            </w:r>
          </w:p>
        </w:tc>
        <w:tc>
          <w:tcPr>
            <w:tcW w:w="1800" w:type="dxa"/>
            <w:shd w:val="clear" w:color="auto" w:fill="auto"/>
            <w:noWrap/>
            <w:vAlign w:val="bottom"/>
            <w:hideMark/>
          </w:tcPr>
          <w:p w14:paraId="0F39310F" w14:textId="77777777" w:rsidR="00CE604C" w:rsidRPr="00C76EB4" w:rsidRDefault="00CE604C" w:rsidP="00CE604C">
            <w:pPr>
              <w:jc w:val="center"/>
              <w:rPr>
                <w:rFonts w:cstheme="minorHAnsi"/>
                <w:color w:val="000000"/>
                <w:sz w:val="20"/>
                <w:szCs w:val="20"/>
              </w:rPr>
            </w:pPr>
            <w:r w:rsidRPr="00C76EB4">
              <w:rPr>
                <w:rFonts w:cstheme="minorHAnsi"/>
                <w:color w:val="000000"/>
                <w:sz w:val="20"/>
                <w:szCs w:val="20"/>
              </w:rPr>
              <w:t>63.8</w:t>
            </w:r>
          </w:p>
        </w:tc>
        <w:tc>
          <w:tcPr>
            <w:tcW w:w="1890" w:type="dxa"/>
            <w:vAlign w:val="center"/>
          </w:tcPr>
          <w:p w14:paraId="55944759" w14:textId="321F547E" w:rsidR="00CE604C" w:rsidRPr="00EF39B3" w:rsidRDefault="00CE604C">
            <w:pPr>
              <w:jc w:val="center"/>
              <w:rPr>
                <w:rFonts w:cstheme="minorHAnsi"/>
                <w:color w:val="000000"/>
                <w:sz w:val="20"/>
                <w:szCs w:val="20"/>
              </w:rPr>
            </w:pPr>
            <w:r>
              <w:rPr>
                <w:rFonts w:ascii="Calibri" w:hAnsi="Calibri" w:cs="Calibri"/>
                <w:color w:val="000000"/>
                <w:sz w:val="20"/>
                <w:szCs w:val="20"/>
              </w:rPr>
              <w:t>51.9</w:t>
            </w:r>
          </w:p>
        </w:tc>
        <w:tc>
          <w:tcPr>
            <w:tcW w:w="2250" w:type="dxa"/>
            <w:vAlign w:val="center"/>
          </w:tcPr>
          <w:p w14:paraId="240BD283" w14:textId="52F8FC7B" w:rsidR="00CE604C" w:rsidRPr="00EF39B3" w:rsidRDefault="00CE604C">
            <w:pPr>
              <w:jc w:val="center"/>
              <w:rPr>
                <w:rFonts w:cstheme="minorHAnsi"/>
                <w:color w:val="000000"/>
                <w:sz w:val="20"/>
                <w:szCs w:val="20"/>
              </w:rPr>
            </w:pPr>
            <w:r>
              <w:rPr>
                <w:rFonts w:ascii="Calibri" w:hAnsi="Calibri" w:cs="Calibri"/>
                <w:color w:val="000000"/>
                <w:sz w:val="20"/>
                <w:szCs w:val="20"/>
              </w:rPr>
              <w:t>15.0</w:t>
            </w:r>
          </w:p>
        </w:tc>
      </w:tr>
      <w:tr w:rsidR="00CE604C" w:rsidRPr="00EF39B3" w14:paraId="6D3FE981" w14:textId="238B64D3" w:rsidTr="002C58D0">
        <w:trPr>
          <w:trHeight w:val="245"/>
        </w:trPr>
        <w:tc>
          <w:tcPr>
            <w:tcW w:w="2335" w:type="dxa"/>
            <w:shd w:val="clear" w:color="auto" w:fill="auto"/>
            <w:noWrap/>
            <w:vAlign w:val="bottom"/>
            <w:hideMark/>
          </w:tcPr>
          <w:p w14:paraId="66C3948E" w14:textId="77777777" w:rsidR="00CE604C" w:rsidRPr="00C76EB4" w:rsidRDefault="00CE604C" w:rsidP="00CE604C">
            <w:pPr>
              <w:rPr>
                <w:rFonts w:cstheme="minorHAnsi"/>
                <w:color w:val="000000"/>
                <w:sz w:val="20"/>
                <w:szCs w:val="20"/>
              </w:rPr>
            </w:pPr>
            <w:r w:rsidRPr="00C76EB4">
              <w:rPr>
                <w:rFonts w:cstheme="minorHAnsi"/>
                <w:color w:val="000000"/>
                <w:sz w:val="20"/>
                <w:szCs w:val="20"/>
              </w:rPr>
              <w:t>SoCalGas/SDG&amp;E/SCE</w:t>
            </w:r>
          </w:p>
        </w:tc>
        <w:tc>
          <w:tcPr>
            <w:tcW w:w="990" w:type="dxa"/>
            <w:shd w:val="clear" w:color="auto" w:fill="auto"/>
            <w:noWrap/>
            <w:vAlign w:val="bottom"/>
            <w:hideMark/>
          </w:tcPr>
          <w:p w14:paraId="78270857" w14:textId="77777777" w:rsidR="00CE604C" w:rsidRPr="00C76EB4" w:rsidRDefault="00CE604C" w:rsidP="00CE604C">
            <w:pPr>
              <w:rPr>
                <w:rFonts w:cstheme="minorHAnsi"/>
                <w:color w:val="000000"/>
                <w:sz w:val="20"/>
                <w:szCs w:val="20"/>
              </w:rPr>
            </w:pPr>
            <w:r w:rsidRPr="00C76EB4">
              <w:rPr>
                <w:rFonts w:cstheme="minorHAnsi"/>
                <w:color w:val="000000"/>
                <w:sz w:val="20"/>
                <w:szCs w:val="20"/>
              </w:rPr>
              <w:t>CZ10</w:t>
            </w:r>
          </w:p>
        </w:tc>
        <w:tc>
          <w:tcPr>
            <w:tcW w:w="1800" w:type="dxa"/>
            <w:shd w:val="clear" w:color="auto" w:fill="auto"/>
            <w:noWrap/>
            <w:vAlign w:val="bottom"/>
            <w:hideMark/>
          </w:tcPr>
          <w:p w14:paraId="0C77DC02" w14:textId="77777777" w:rsidR="00CE604C" w:rsidRPr="00C76EB4" w:rsidRDefault="00CE604C" w:rsidP="00CE604C">
            <w:pPr>
              <w:jc w:val="center"/>
              <w:rPr>
                <w:rFonts w:cstheme="minorHAnsi"/>
                <w:color w:val="000000"/>
                <w:sz w:val="20"/>
                <w:szCs w:val="20"/>
              </w:rPr>
            </w:pPr>
            <w:r w:rsidRPr="00C76EB4">
              <w:rPr>
                <w:rFonts w:cstheme="minorHAnsi"/>
                <w:color w:val="000000"/>
                <w:sz w:val="20"/>
                <w:szCs w:val="20"/>
              </w:rPr>
              <w:t>64.1</w:t>
            </w:r>
          </w:p>
        </w:tc>
        <w:tc>
          <w:tcPr>
            <w:tcW w:w="1890" w:type="dxa"/>
            <w:vAlign w:val="center"/>
          </w:tcPr>
          <w:p w14:paraId="15C0B434" w14:textId="195B4074" w:rsidR="00CE604C" w:rsidRPr="00EF39B3" w:rsidRDefault="00CE604C">
            <w:pPr>
              <w:jc w:val="center"/>
              <w:rPr>
                <w:rFonts w:cstheme="minorHAnsi"/>
                <w:color w:val="000000"/>
                <w:sz w:val="20"/>
                <w:szCs w:val="20"/>
              </w:rPr>
            </w:pPr>
            <w:r>
              <w:rPr>
                <w:rFonts w:ascii="Calibri" w:hAnsi="Calibri" w:cs="Calibri"/>
                <w:color w:val="000000"/>
                <w:sz w:val="20"/>
                <w:szCs w:val="20"/>
              </w:rPr>
              <w:t>51.6</w:t>
            </w:r>
          </w:p>
        </w:tc>
        <w:tc>
          <w:tcPr>
            <w:tcW w:w="2250" w:type="dxa"/>
            <w:vAlign w:val="center"/>
          </w:tcPr>
          <w:p w14:paraId="742E654F" w14:textId="742393E9" w:rsidR="00CE604C" w:rsidRPr="00EF39B3" w:rsidRDefault="00CE604C">
            <w:pPr>
              <w:jc w:val="center"/>
              <w:rPr>
                <w:rFonts w:cstheme="minorHAnsi"/>
                <w:color w:val="000000"/>
                <w:sz w:val="20"/>
                <w:szCs w:val="20"/>
              </w:rPr>
            </w:pPr>
            <w:r>
              <w:rPr>
                <w:rFonts w:ascii="Calibri" w:hAnsi="Calibri" w:cs="Calibri"/>
                <w:color w:val="000000"/>
                <w:sz w:val="20"/>
                <w:szCs w:val="20"/>
              </w:rPr>
              <w:t>14.9</w:t>
            </w:r>
          </w:p>
        </w:tc>
      </w:tr>
      <w:tr w:rsidR="00CE604C" w:rsidRPr="00EF39B3" w14:paraId="77FB9BA5" w14:textId="54240D9D" w:rsidTr="002C58D0">
        <w:trPr>
          <w:trHeight w:val="245"/>
        </w:trPr>
        <w:tc>
          <w:tcPr>
            <w:tcW w:w="2335" w:type="dxa"/>
            <w:shd w:val="clear" w:color="auto" w:fill="auto"/>
            <w:noWrap/>
            <w:vAlign w:val="bottom"/>
            <w:hideMark/>
          </w:tcPr>
          <w:p w14:paraId="47EDDD38" w14:textId="77777777" w:rsidR="00CE604C" w:rsidRPr="00C76EB4" w:rsidRDefault="00CE604C" w:rsidP="00CE604C">
            <w:pPr>
              <w:rPr>
                <w:rFonts w:cstheme="minorHAnsi"/>
                <w:color w:val="000000"/>
                <w:sz w:val="20"/>
                <w:szCs w:val="20"/>
              </w:rPr>
            </w:pPr>
            <w:r w:rsidRPr="00C76EB4">
              <w:rPr>
                <w:rFonts w:cstheme="minorHAnsi"/>
                <w:color w:val="000000"/>
                <w:sz w:val="20"/>
                <w:szCs w:val="20"/>
              </w:rPr>
              <w:t>PG&amp;E</w:t>
            </w:r>
          </w:p>
        </w:tc>
        <w:tc>
          <w:tcPr>
            <w:tcW w:w="990" w:type="dxa"/>
            <w:shd w:val="clear" w:color="auto" w:fill="auto"/>
            <w:noWrap/>
            <w:vAlign w:val="bottom"/>
            <w:hideMark/>
          </w:tcPr>
          <w:p w14:paraId="0B4C81CB" w14:textId="77777777" w:rsidR="00CE604C" w:rsidRPr="00C76EB4" w:rsidRDefault="00CE604C" w:rsidP="00CE604C">
            <w:pPr>
              <w:rPr>
                <w:rFonts w:cstheme="minorHAnsi"/>
                <w:color w:val="000000"/>
                <w:sz w:val="20"/>
                <w:szCs w:val="20"/>
              </w:rPr>
            </w:pPr>
            <w:r w:rsidRPr="00C76EB4">
              <w:rPr>
                <w:rFonts w:cstheme="minorHAnsi"/>
                <w:color w:val="000000"/>
                <w:sz w:val="20"/>
                <w:szCs w:val="20"/>
              </w:rPr>
              <w:t>CZ11</w:t>
            </w:r>
          </w:p>
        </w:tc>
        <w:tc>
          <w:tcPr>
            <w:tcW w:w="1800" w:type="dxa"/>
            <w:shd w:val="clear" w:color="auto" w:fill="auto"/>
            <w:noWrap/>
            <w:vAlign w:val="bottom"/>
            <w:hideMark/>
          </w:tcPr>
          <w:p w14:paraId="111BF110" w14:textId="77777777" w:rsidR="00CE604C" w:rsidRPr="00C76EB4" w:rsidRDefault="00CE604C" w:rsidP="00CE604C">
            <w:pPr>
              <w:jc w:val="center"/>
              <w:rPr>
                <w:rFonts w:cstheme="minorHAnsi"/>
                <w:color w:val="000000"/>
                <w:sz w:val="20"/>
                <w:szCs w:val="20"/>
              </w:rPr>
            </w:pPr>
            <w:r w:rsidRPr="00C76EB4">
              <w:rPr>
                <w:rFonts w:cstheme="minorHAnsi"/>
                <w:color w:val="000000"/>
                <w:sz w:val="20"/>
                <w:szCs w:val="20"/>
              </w:rPr>
              <w:t>63.2</w:t>
            </w:r>
          </w:p>
        </w:tc>
        <w:tc>
          <w:tcPr>
            <w:tcW w:w="1890" w:type="dxa"/>
            <w:vAlign w:val="center"/>
          </w:tcPr>
          <w:p w14:paraId="4C6F50EE" w14:textId="3825CAD2" w:rsidR="00CE604C" w:rsidRPr="00EF39B3" w:rsidRDefault="00CE604C">
            <w:pPr>
              <w:jc w:val="center"/>
              <w:rPr>
                <w:rFonts w:cstheme="minorHAnsi"/>
                <w:color w:val="000000"/>
                <w:sz w:val="20"/>
                <w:szCs w:val="20"/>
              </w:rPr>
            </w:pPr>
            <w:r>
              <w:rPr>
                <w:rFonts w:ascii="Calibri" w:hAnsi="Calibri" w:cs="Calibri"/>
                <w:color w:val="000000"/>
                <w:sz w:val="20"/>
                <w:szCs w:val="20"/>
              </w:rPr>
              <w:t>52.5</w:t>
            </w:r>
          </w:p>
        </w:tc>
        <w:tc>
          <w:tcPr>
            <w:tcW w:w="2250" w:type="dxa"/>
            <w:vAlign w:val="center"/>
          </w:tcPr>
          <w:p w14:paraId="733FBB27" w14:textId="41363B60" w:rsidR="00CE604C" w:rsidRPr="00EF39B3" w:rsidRDefault="00CE604C">
            <w:pPr>
              <w:jc w:val="center"/>
              <w:rPr>
                <w:rFonts w:cstheme="minorHAnsi"/>
                <w:color w:val="000000"/>
                <w:sz w:val="20"/>
                <w:szCs w:val="20"/>
              </w:rPr>
            </w:pPr>
            <w:r>
              <w:rPr>
                <w:rFonts w:ascii="Calibri" w:hAnsi="Calibri" w:cs="Calibri"/>
                <w:color w:val="000000"/>
                <w:sz w:val="20"/>
                <w:szCs w:val="20"/>
              </w:rPr>
              <w:t>15.2</w:t>
            </w:r>
          </w:p>
        </w:tc>
      </w:tr>
      <w:tr w:rsidR="00CE604C" w:rsidRPr="00EF39B3" w14:paraId="05B760B8" w14:textId="2A40F821" w:rsidTr="002C58D0">
        <w:trPr>
          <w:trHeight w:val="245"/>
        </w:trPr>
        <w:tc>
          <w:tcPr>
            <w:tcW w:w="2335" w:type="dxa"/>
            <w:shd w:val="clear" w:color="auto" w:fill="auto"/>
            <w:noWrap/>
            <w:vAlign w:val="bottom"/>
            <w:hideMark/>
          </w:tcPr>
          <w:p w14:paraId="0A8F08EC" w14:textId="77777777" w:rsidR="00CE604C" w:rsidRPr="00C76EB4" w:rsidRDefault="00CE604C" w:rsidP="00CE604C">
            <w:pPr>
              <w:rPr>
                <w:rFonts w:cstheme="minorHAnsi"/>
                <w:color w:val="000000"/>
                <w:sz w:val="20"/>
                <w:szCs w:val="20"/>
              </w:rPr>
            </w:pPr>
            <w:r w:rsidRPr="00C76EB4">
              <w:rPr>
                <w:rFonts w:cstheme="minorHAnsi"/>
                <w:color w:val="000000"/>
                <w:sz w:val="20"/>
                <w:szCs w:val="20"/>
              </w:rPr>
              <w:t>PG&amp;E</w:t>
            </w:r>
          </w:p>
        </w:tc>
        <w:tc>
          <w:tcPr>
            <w:tcW w:w="990" w:type="dxa"/>
            <w:shd w:val="clear" w:color="auto" w:fill="auto"/>
            <w:noWrap/>
            <w:vAlign w:val="bottom"/>
            <w:hideMark/>
          </w:tcPr>
          <w:p w14:paraId="2C560281" w14:textId="77777777" w:rsidR="00CE604C" w:rsidRPr="00C76EB4" w:rsidRDefault="00CE604C" w:rsidP="00CE604C">
            <w:pPr>
              <w:rPr>
                <w:rFonts w:cstheme="minorHAnsi"/>
                <w:color w:val="000000"/>
                <w:sz w:val="20"/>
                <w:szCs w:val="20"/>
              </w:rPr>
            </w:pPr>
            <w:r w:rsidRPr="00C76EB4">
              <w:rPr>
                <w:rFonts w:cstheme="minorHAnsi"/>
                <w:color w:val="000000"/>
                <w:sz w:val="20"/>
                <w:szCs w:val="20"/>
              </w:rPr>
              <w:t>CZ12</w:t>
            </w:r>
          </w:p>
        </w:tc>
        <w:tc>
          <w:tcPr>
            <w:tcW w:w="1800" w:type="dxa"/>
            <w:shd w:val="clear" w:color="auto" w:fill="auto"/>
            <w:noWrap/>
            <w:vAlign w:val="bottom"/>
            <w:hideMark/>
          </w:tcPr>
          <w:p w14:paraId="7AAACE40" w14:textId="77777777" w:rsidR="00CE604C" w:rsidRPr="00C76EB4" w:rsidRDefault="00CE604C" w:rsidP="00CE604C">
            <w:pPr>
              <w:jc w:val="center"/>
              <w:rPr>
                <w:rFonts w:cstheme="minorHAnsi"/>
                <w:color w:val="000000"/>
                <w:sz w:val="20"/>
                <w:szCs w:val="20"/>
              </w:rPr>
            </w:pPr>
            <w:r w:rsidRPr="00C76EB4">
              <w:rPr>
                <w:rFonts w:cstheme="minorHAnsi"/>
                <w:color w:val="000000"/>
                <w:sz w:val="20"/>
                <w:szCs w:val="20"/>
              </w:rPr>
              <w:t>60.9</w:t>
            </w:r>
          </w:p>
        </w:tc>
        <w:tc>
          <w:tcPr>
            <w:tcW w:w="1890" w:type="dxa"/>
            <w:vAlign w:val="center"/>
          </w:tcPr>
          <w:p w14:paraId="70E2C6A6" w14:textId="3FD94B82" w:rsidR="00CE604C" w:rsidRPr="00EF39B3" w:rsidRDefault="00CE604C">
            <w:pPr>
              <w:jc w:val="center"/>
              <w:rPr>
                <w:rFonts w:cstheme="minorHAnsi"/>
                <w:color w:val="000000"/>
                <w:sz w:val="20"/>
                <w:szCs w:val="20"/>
              </w:rPr>
            </w:pPr>
            <w:r>
              <w:rPr>
                <w:rFonts w:ascii="Calibri" w:hAnsi="Calibri" w:cs="Calibri"/>
                <w:color w:val="000000"/>
                <w:sz w:val="20"/>
                <w:szCs w:val="20"/>
              </w:rPr>
              <w:t>54.9</w:t>
            </w:r>
          </w:p>
        </w:tc>
        <w:tc>
          <w:tcPr>
            <w:tcW w:w="2250" w:type="dxa"/>
            <w:vAlign w:val="center"/>
          </w:tcPr>
          <w:p w14:paraId="7D54EFA9" w14:textId="44E5C7AB" w:rsidR="00CE604C" w:rsidRPr="00EF39B3" w:rsidRDefault="00CE604C">
            <w:pPr>
              <w:jc w:val="center"/>
              <w:rPr>
                <w:rFonts w:cstheme="minorHAnsi"/>
                <w:color w:val="000000"/>
                <w:sz w:val="20"/>
                <w:szCs w:val="20"/>
              </w:rPr>
            </w:pPr>
            <w:r>
              <w:rPr>
                <w:rFonts w:ascii="Calibri" w:hAnsi="Calibri" w:cs="Calibri"/>
                <w:color w:val="000000"/>
                <w:sz w:val="20"/>
                <w:szCs w:val="20"/>
              </w:rPr>
              <w:t>15.9</w:t>
            </w:r>
          </w:p>
        </w:tc>
      </w:tr>
      <w:tr w:rsidR="00CE604C" w:rsidRPr="00EF39B3" w14:paraId="7D1BA1F2" w14:textId="18D3938E" w:rsidTr="002C58D0">
        <w:trPr>
          <w:trHeight w:val="245"/>
        </w:trPr>
        <w:tc>
          <w:tcPr>
            <w:tcW w:w="2335" w:type="dxa"/>
            <w:shd w:val="clear" w:color="auto" w:fill="auto"/>
            <w:noWrap/>
            <w:vAlign w:val="bottom"/>
            <w:hideMark/>
          </w:tcPr>
          <w:p w14:paraId="670622DF" w14:textId="77777777" w:rsidR="00CE604C" w:rsidRPr="00C76EB4" w:rsidRDefault="00CE604C" w:rsidP="00CE604C">
            <w:pPr>
              <w:rPr>
                <w:rFonts w:cstheme="minorHAnsi"/>
                <w:color w:val="000000"/>
                <w:sz w:val="20"/>
                <w:szCs w:val="20"/>
              </w:rPr>
            </w:pPr>
            <w:r w:rsidRPr="00C76EB4">
              <w:rPr>
                <w:rFonts w:cstheme="minorHAnsi"/>
                <w:color w:val="000000"/>
                <w:sz w:val="20"/>
                <w:szCs w:val="20"/>
              </w:rPr>
              <w:t>PG&amp;E/SoCalGas/SCE</w:t>
            </w:r>
          </w:p>
        </w:tc>
        <w:tc>
          <w:tcPr>
            <w:tcW w:w="990" w:type="dxa"/>
            <w:shd w:val="clear" w:color="auto" w:fill="auto"/>
            <w:noWrap/>
            <w:vAlign w:val="bottom"/>
            <w:hideMark/>
          </w:tcPr>
          <w:p w14:paraId="7174AF68" w14:textId="77777777" w:rsidR="00CE604C" w:rsidRPr="00C76EB4" w:rsidRDefault="00CE604C" w:rsidP="00CE604C">
            <w:pPr>
              <w:rPr>
                <w:rFonts w:cstheme="minorHAnsi"/>
                <w:color w:val="000000"/>
                <w:sz w:val="20"/>
                <w:szCs w:val="20"/>
              </w:rPr>
            </w:pPr>
            <w:r w:rsidRPr="00C76EB4">
              <w:rPr>
                <w:rFonts w:cstheme="minorHAnsi"/>
                <w:color w:val="000000"/>
                <w:sz w:val="20"/>
                <w:szCs w:val="20"/>
              </w:rPr>
              <w:t>CZ13</w:t>
            </w:r>
          </w:p>
        </w:tc>
        <w:tc>
          <w:tcPr>
            <w:tcW w:w="1800" w:type="dxa"/>
            <w:shd w:val="clear" w:color="auto" w:fill="auto"/>
            <w:noWrap/>
            <w:vAlign w:val="bottom"/>
            <w:hideMark/>
          </w:tcPr>
          <w:p w14:paraId="247A264A" w14:textId="77777777" w:rsidR="00CE604C" w:rsidRPr="00C76EB4" w:rsidRDefault="00CE604C" w:rsidP="00CE604C">
            <w:pPr>
              <w:jc w:val="center"/>
              <w:rPr>
                <w:rFonts w:cstheme="minorHAnsi"/>
                <w:color w:val="000000"/>
                <w:sz w:val="20"/>
                <w:szCs w:val="20"/>
              </w:rPr>
            </w:pPr>
            <w:r w:rsidRPr="00C76EB4">
              <w:rPr>
                <w:rFonts w:cstheme="minorHAnsi"/>
                <w:color w:val="000000"/>
                <w:sz w:val="20"/>
                <w:szCs w:val="20"/>
              </w:rPr>
              <w:t>64.1</w:t>
            </w:r>
          </w:p>
        </w:tc>
        <w:tc>
          <w:tcPr>
            <w:tcW w:w="1890" w:type="dxa"/>
            <w:vAlign w:val="center"/>
          </w:tcPr>
          <w:p w14:paraId="282DA2B9" w14:textId="62704ECE" w:rsidR="00CE604C" w:rsidRPr="00EF39B3" w:rsidRDefault="00CE604C">
            <w:pPr>
              <w:jc w:val="center"/>
              <w:rPr>
                <w:rFonts w:cstheme="minorHAnsi"/>
                <w:color w:val="000000"/>
                <w:sz w:val="20"/>
                <w:szCs w:val="20"/>
              </w:rPr>
            </w:pPr>
            <w:r>
              <w:rPr>
                <w:rFonts w:ascii="Calibri" w:hAnsi="Calibri" w:cs="Calibri"/>
                <w:color w:val="000000"/>
                <w:sz w:val="20"/>
                <w:szCs w:val="20"/>
              </w:rPr>
              <w:t>51.6</w:t>
            </w:r>
          </w:p>
        </w:tc>
        <w:tc>
          <w:tcPr>
            <w:tcW w:w="2250" w:type="dxa"/>
            <w:vAlign w:val="center"/>
          </w:tcPr>
          <w:p w14:paraId="305E5E4C" w14:textId="617FC1F4" w:rsidR="00CE604C" w:rsidRPr="00EF39B3" w:rsidRDefault="00CE604C">
            <w:pPr>
              <w:jc w:val="center"/>
              <w:rPr>
                <w:rFonts w:cstheme="minorHAnsi"/>
                <w:color w:val="000000"/>
                <w:sz w:val="20"/>
                <w:szCs w:val="20"/>
              </w:rPr>
            </w:pPr>
            <w:r>
              <w:rPr>
                <w:rFonts w:ascii="Calibri" w:hAnsi="Calibri" w:cs="Calibri"/>
                <w:color w:val="000000"/>
                <w:sz w:val="20"/>
                <w:szCs w:val="20"/>
              </w:rPr>
              <w:t>14.9</w:t>
            </w:r>
          </w:p>
        </w:tc>
      </w:tr>
      <w:tr w:rsidR="00CE604C" w:rsidRPr="00EF39B3" w14:paraId="64A138D1" w14:textId="165D692E" w:rsidTr="002C58D0">
        <w:trPr>
          <w:trHeight w:val="245"/>
        </w:trPr>
        <w:tc>
          <w:tcPr>
            <w:tcW w:w="2335" w:type="dxa"/>
            <w:shd w:val="clear" w:color="auto" w:fill="auto"/>
            <w:noWrap/>
            <w:vAlign w:val="bottom"/>
            <w:hideMark/>
          </w:tcPr>
          <w:p w14:paraId="2820C28B" w14:textId="77777777" w:rsidR="00CE604C" w:rsidRPr="00C76EB4" w:rsidRDefault="00CE604C" w:rsidP="00CE604C">
            <w:pPr>
              <w:rPr>
                <w:rFonts w:cstheme="minorHAnsi"/>
                <w:color w:val="000000"/>
                <w:sz w:val="20"/>
                <w:szCs w:val="20"/>
              </w:rPr>
            </w:pPr>
            <w:r w:rsidRPr="00C76EB4">
              <w:rPr>
                <w:rFonts w:cstheme="minorHAnsi"/>
                <w:color w:val="000000"/>
                <w:sz w:val="20"/>
                <w:szCs w:val="20"/>
              </w:rPr>
              <w:t>SoCalGas/SCE</w:t>
            </w:r>
          </w:p>
        </w:tc>
        <w:tc>
          <w:tcPr>
            <w:tcW w:w="990" w:type="dxa"/>
            <w:shd w:val="clear" w:color="auto" w:fill="auto"/>
            <w:noWrap/>
            <w:vAlign w:val="bottom"/>
            <w:hideMark/>
          </w:tcPr>
          <w:p w14:paraId="0BD40B44" w14:textId="77777777" w:rsidR="00CE604C" w:rsidRPr="00C76EB4" w:rsidRDefault="00CE604C" w:rsidP="00CE604C">
            <w:pPr>
              <w:rPr>
                <w:rFonts w:cstheme="minorHAnsi"/>
                <w:color w:val="000000"/>
                <w:sz w:val="20"/>
                <w:szCs w:val="20"/>
              </w:rPr>
            </w:pPr>
            <w:r w:rsidRPr="00C76EB4">
              <w:rPr>
                <w:rFonts w:cstheme="minorHAnsi"/>
                <w:color w:val="000000"/>
                <w:sz w:val="20"/>
                <w:szCs w:val="20"/>
              </w:rPr>
              <w:t>CZ14</w:t>
            </w:r>
          </w:p>
        </w:tc>
        <w:tc>
          <w:tcPr>
            <w:tcW w:w="1800" w:type="dxa"/>
            <w:shd w:val="clear" w:color="auto" w:fill="auto"/>
            <w:noWrap/>
            <w:vAlign w:val="bottom"/>
            <w:hideMark/>
          </w:tcPr>
          <w:p w14:paraId="60C0EF17" w14:textId="77777777" w:rsidR="00CE604C" w:rsidRPr="00C76EB4" w:rsidRDefault="00CE604C" w:rsidP="00CE604C">
            <w:pPr>
              <w:jc w:val="center"/>
              <w:rPr>
                <w:rFonts w:cstheme="minorHAnsi"/>
                <w:color w:val="000000"/>
                <w:sz w:val="20"/>
                <w:szCs w:val="20"/>
              </w:rPr>
            </w:pPr>
            <w:r w:rsidRPr="00C76EB4">
              <w:rPr>
                <w:rFonts w:cstheme="minorHAnsi"/>
                <w:color w:val="000000"/>
                <w:sz w:val="20"/>
                <w:szCs w:val="20"/>
              </w:rPr>
              <w:t>62.7</w:t>
            </w:r>
          </w:p>
        </w:tc>
        <w:tc>
          <w:tcPr>
            <w:tcW w:w="1890" w:type="dxa"/>
            <w:vAlign w:val="center"/>
          </w:tcPr>
          <w:p w14:paraId="7597617A" w14:textId="2F862C43" w:rsidR="00CE604C" w:rsidRPr="00EF39B3" w:rsidRDefault="00CE604C">
            <w:pPr>
              <w:jc w:val="center"/>
              <w:rPr>
                <w:rFonts w:cstheme="minorHAnsi"/>
                <w:color w:val="000000"/>
                <w:sz w:val="20"/>
                <w:szCs w:val="20"/>
              </w:rPr>
            </w:pPr>
            <w:r>
              <w:rPr>
                <w:rFonts w:ascii="Calibri" w:hAnsi="Calibri" w:cs="Calibri"/>
                <w:color w:val="000000"/>
                <w:sz w:val="20"/>
                <w:szCs w:val="20"/>
              </w:rPr>
              <w:t>53.0</w:t>
            </w:r>
          </w:p>
        </w:tc>
        <w:tc>
          <w:tcPr>
            <w:tcW w:w="2250" w:type="dxa"/>
            <w:vAlign w:val="center"/>
          </w:tcPr>
          <w:p w14:paraId="224EFF1E" w14:textId="0995A775" w:rsidR="00CE604C" w:rsidRPr="00EF39B3" w:rsidRDefault="00CE604C">
            <w:pPr>
              <w:jc w:val="center"/>
              <w:rPr>
                <w:rFonts w:cstheme="minorHAnsi"/>
                <w:color w:val="000000"/>
                <w:sz w:val="20"/>
                <w:szCs w:val="20"/>
              </w:rPr>
            </w:pPr>
            <w:r>
              <w:rPr>
                <w:rFonts w:ascii="Calibri" w:hAnsi="Calibri" w:cs="Calibri"/>
                <w:color w:val="000000"/>
                <w:sz w:val="20"/>
                <w:szCs w:val="20"/>
              </w:rPr>
              <w:t>15.3</w:t>
            </w:r>
          </w:p>
        </w:tc>
      </w:tr>
      <w:tr w:rsidR="00CE604C" w:rsidRPr="00EF39B3" w14:paraId="258B9CB7" w14:textId="3F1C546A" w:rsidTr="002C58D0">
        <w:trPr>
          <w:trHeight w:val="245"/>
        </w:trPr>
        <w:tc>
          <w:tcPr>
            <w:tcW w:w="2335" w:type="dxa"/>
            <w:shd w:val="clear" w:color="auto" w:fill="auto"/>
            <w:noWrap/>
            <w:vAlign w:val="bottom"/>
            <w:hideMark/>
          </w:tcPr>
          <w:p w14:paraId="180DA69C" w14:textId="77777777" w:rsidR="00CE604C" w:rsidRPr="00C76EB4" w:rsidRDefault="00CE604C" w:rsidP="00CE604C">
            <w:pPr>
              <w:rPr>
                <w:rFonts w:cstheme="minorHAnsi"/>
                <w:color w:val="000000"/>
                <w:sz w:val="20"/>
                <w:szCs w:val="20"/>
              </w:rPr>
            </w:pPr>
            <w:r w:rsidRPr="00C76EB4">
              <w:rPr>
                <w:rFonts w:cstheme="minorHAnsi"/>
                <w:color w:val="000000"/>
                <w:sz w:val="20"/>
                <w:szCs w:val="20"/>
              </w:rPr>
              <w:t>SoCalGas/SCE</w:t>
            </w:r>
          </w:p>
        </w:tc>
        <w:tc>
          <w:tcPr>
            <w:tcW w:w="990" w:type="dxa"/>
            <w:shd w:val="clear" w:color="auto" w:fill="auto"/>
            <w:noWrap/>
            <w:vAlign w:val="bottom"/>
            <w:hideMark/>
          </w:tcPr>
          <w:p w14:paraId="5EBD6BBD" w14:textId="77777777" w:rsidR="00CE604C" w:rsidRPr="00C76EB4" w:rsidRDefault="00CE604C" w:rsidP="00CE604C">
            <w:pPr>
              <w:rPr>
                <w:rFonts w:cstheme="minorHAnsi"/>
                <w:color w:val="000000"/>
                <w:sz w:val="20"/>
                <w:szCs w:val="20"/>
              </w:rPr>
            </w:pPr>
            <w:r w:rsidRPr="00C76EB4">
              <w:rPr>
                <w:rFonts w:cstheme="minorHAnsi"/>
                <w:color w:val="000000"/>
                <w:sz w:val="20"/>
                <w:szCs w:val="20"/>
              </w:rPr>
              <w:t>CZ15</w:t>
            </w:r>
          </w:p>
        </w:tc>
        <w:tc>
          <w:tcPr>
            <w:tcW w:w="1800" w:type="dxa"/>
            <w:shd w:val="clear" w:color="auto" w:fill="auto"/>
            <w:noWrap/>
            <w:vAlign w:val="bottom"/>
            <w:hideMark/>
          </w:tcPr>
          <w:p w14:paraId="23DB0CED" w14:textId="77777777" w:rsidR="00CE604C" w:rsidRPr="00C76EB4" w:rsidRDefault="00CE604C" w:rsidP="00CE604C">
            <w:pPr>
              <w:jc w:val="center"/>
              <w:rPr>
                <w:rFonts w:cstheme="minorHAnsi"/>
                <w:color w:val="000000"/>
                <w:sz w:val="20"/>
                <w:szCs w:val="20"/>
              </w:rPr>
            </w:pPr>
            <w:r w:rsidRPr="00C76EB4">
              <w:rPr>
                <w:rFonts w:cstheme="minorHAnsi"/>
                <w:color w:val="000000"/>
                <w:sz w:val="20"/>
                <w:szCs w:val="20"/>
              </w:rPr>
              <w:t>75.5</w:t>
            </w:r>
          </w:p>
        </w:tc>
        <w:tc>
          <w:tcPr>
            <w:tcW w:w="1890" w:type="dxa"/>
            <w:vAlign w:val="center"/>
          </w:tcPr>
          <w:p w14:paraId="11FCE5B8" w14:textId="0EB231BD" w:rsidR="00CE604C" w:rsidRPr="00EF39B3" w:rsidRDefault="00CE604C">
            <w:pPr>
              <w:jc w:val="center"/>
              <w:rPr>
                <w:rFonts w:cstheme="minorHAnsi"/>
                <w:color w:val="000000"/>
                <w:sz w:val="20"/>
                <w:szCs w:val="20"/>
              </w:rPr>
            </w:pPr>
            <w:r>
              <w:rPr>
                <w:rFonts w:ascii="Calibri" w:hAnsi="Calibri" w:cs="Calibri"/>
                <w:color w:val="000000"/>
                <w:sz w:val="20"/>
                <w:szCs w:val="20"/>
              </w:rPr>
              <w:t>39.8</w:t>
            </w:r>
          </w:p>
        </w:tc>
        <w:tc>
          <w:tcPr>
            <w:tcW w:w="2250" w:type="dxa"/>
            <w:vAlign w:val="center"/>
          </w:tcPr>
          <w:p w14:paraId="37D2D238" w14:textId="3582C7F1" w:rsidR="00CE604C" w:rsidRPr="00EF39B3" w:rsidRDefault="00CE604C">
            <w:pPr>
              <w:jc w:val="center"/>
              <w:rPr>
                <w:rFonts w:cstheme="minorHAnsi"/>
                <w:color w:val="000000"/>
                <w:sz w:val="20"/>
                <w:szCs w:val="20"/>
              </w:rPr>
            </w:pPr>
            <w:r>
              <w:rPr>
                <w:rFonts w:ascii="Calibri" w:hAnsi="Calibri" w:cs="Calibri"/>
                <w:color w:val="000000"/>
                <w:sz w:val="20"/>
                <w:szCs w:val="20"/>
              </w:rPr>
              <w:t>11.5</w:t>
            </w:r>
          </w:p>
        </w:tc>
      </w:tr>
      <w:tr w:rsidR="00CE604C" w:rsidRPr="00EF39B3" w14:paraId="1C31719A" w14:textId="17181CCE" w:rsidTr="002C58D0">
        <w:trPr>
          <w:trHeight w:val="245"/>
        </w:trPr>
        <w:tc>
          <w:tcPr>
            <w:tcW w:w="2335" w:type="dxa"/>
            <w:tcBorders>
              <w:bottom w:val="single" w:sz="4" w:space="0" w:color="auto"/>
            </w:tcBorders>
            <w:shd w:val="clear" w:color="auto" w:fill="auto"/>
            <w:noWrap/>
            <w:vAlign w:val="bottom"/>
            <w:hideMark/>
          </w:tcPr>
          <w:p w14:paraId="7807F04B" w14:textId="77777777" w:rsidR="00CE604C" w:rsidRPr="00C76EB4" w:rsidRDefault="00CE604C" w:rsidP="00CE604C">
            <w:pPr>
              <w:rPr>
                <w:rFonts w:cstheme="minorHAnsi"/>
                <w:color w:val="000000"/>
                <w:sz w:val="20"/>
                <w:szCs w:val="20"/>
              </w:rPr>
            </w:pPr>
            <w:r w:rsidRPr="00C76EB4">
              <w:rPr>
                <w:rFonts w:cstheme="minorHAnsi"/>
                <w:color w:val="000000"/>
                <w:sz w:val="20"/>
                <w:szCs w:val="20"/>
              </w:rPr>
              <w:t>PG&amp;E/SoCalGas/SCE</w:t>
            </w:r>
          </w:p>
        </w:tc>
        <w:tc>
          <w:tcPr>
            <w:tcW w:w="990" w:type="dxa"/>
            <w:tcBorders>
              <w:bottom w:val="single" w:sz="4" w:space="0" w:color="auto"/>
            </w:tcBorders>
            <w:shd w:val="clear" w:color="auto" w:fill="auto"/>
            <w:noWrap/>
            <w:vAlign w:val="bottom"/>
            <w:hideMark/>
          </w:tcPr>
          <w:p w14:paraId="639A68F3" w14:textId="77777777" w:rsidR="00CE604C" w:rsidRPr="00C76EB4" w:rsidRDefault="00CE604C" w:rsidP="00CE604C">
            <w:pPr>
              <w:rPr>
                <w:rFonts w:cstheme="minorHAnsi"/>
                <w:color w:val="000000"/>
                <w:sz w:val="20"/>
                <w:szCs w:val="20"/>
              </w:rPr>
            </w:pPr>
            <w:r w:rsidRPr="00C76EB4">
              <w:rPr>
                <w:rFonts w:cstheme="minorHAnsi"/>
                <w:color w:val="000000"/>
                <w:sz w:val="20"/>
                <w:szCs w:val="20"/>
              </w:rPr>
              <w:t>CZ16</w:t>
            </w:r>
          </w:p>
        </w:tc>
        <w:tc>
          <w:tcPr>
            <w:tcW w:w="1800" w:type="dxa"/>
            <w:tcBorders>
              <w:bottom w:val="single" w:sz="4" w:space="0" w:color="auto"/>
            </w:tcBorders>
            <w:shd w:val="clear" w:color="auto" w:fill="auto"/>
            <w:noWrap/>
            <w:vAlign w:val="bottom"/>
            <w:hideMark/>
          </w:tcPr>
          <w:p w14:paraId="35B92E49" w14:textId="77777777" w:rsidR="00CE604C" w:rsidRPr="00C76EB4" w:rsidRDefault="00CE604C" w:rsidP="00CE604C">
            <w:pPr>
              <w:jc w:val="center"/>
              <w:rPr>
                <w:rFonts w:cstheme="minorHAnsi"/>
                <w:color w:val="000000"/>
                <w:sz w:val="20"/>
                <w:szCs w:val="20"/>
              </w:rPr>
            </w:pPr>
            <w:r w:rsidRPr="00C76EB4">
              <w:rPr>
                <w:rFonts w:cstheme="minorHAnsi"/>
                <w:color w:val="000000"/>
                <w:sz w:val="20"/>
                <w:szCs w:val="20"/>
              </w:rPr>
              <w:t>51.8</w:t>
            </w:r>
          </w:p>
        </w:tc>
        <w:tc>
          <w:tcPr>
            <w:tcW w:w="1890" w:type="dxa"/>
            <w:tcBorders>
              <w:bottom w:val="single" w:sz="4" w:space="0" w:color="auto"/>
            </w:tcBorders>
            <w:vAlign w:val="center"/>
          </w:tcPr>
          <w:p w14:paraId="16E8AE03" w14:textId="48A79954" w:rsidR="00CE604C" w:rsidRPr="00EF39B3" w:rsidRDefault="00CE604C">
            <w:pPr>
              <w:jc w:val="center"/>
              <w:rPr>
                <w:rFonts w:cstheme="minorHAnsi"/>
                <w:color w:val="000000"/>
                <w:sz w:val="20"/>
                <w:szCs w:val="20"/>
              </w:rPr>
            </w:pPr>
            <w:r>
              <w:rPr>
                <w:rFonts w:ascii="Calibri" w:hAnsi="Calibri" w:cs="Calibri"/>
                <w:color w:val="000000"/>
                <w:sz w:val="20"/>
                <w:szCs w:val="20"/>
              </w:rPr>
              <w:t>64.3</w:t>
            </w:r>
          </w:p>
        </w:tc>
        <w:tc>
          <w:tcPr>
            <w:tcW w:w="2250" w:type="dxa"/>
            <w:tcBorders>
              <w:bottom w:val="single" w:sz="4" w:space="0" w:color="auto"/>
            </w:tcBorders>
            <w:vAlign w:val="center"/>
          </w:tcPr>
          <w:p w14:paraId="230E0DEC" w14:textId="2AB7AC62" w:rsidR="00CE604C" w:rsidRPr="00EF39B3" w:rsidRDefault="00CE604C">
            <w:pPr>
              <w:jc w:val="center"/>
              <w:rPr>
                <w:rFonts w:cstheme="minorHAnsi"/>
                <w:color w:val="000000"/>
                <w:sz w:val="20"/>
                <w:szCs w:val="20"/>
              </w:rPr>
            </w:pPr>
            <w:r>
              <w:rPr>
                <w:rFonts w:ascii="Calibri" w:hAnsi="Calibri" w:cs="Calibri"/>
                <w:color w:val="000000"/>
                <w:sz w:val="20"/>
                <w:szCs w:val="20"/>
              </w:rPr>
              <w:t>18.6</w:t>
            </w:r>
          </w:p>
        </w:tc>
      </w:tr>
      <w:tr w:rsidR="00CE604C" w:rsidRPr="00EF39B3" w14:paraId="4F1D621D" w14:textId="30333003" w:rsidTr="002C58D0">
        <w:trPr>
          <w:trHeight w:val="245"/>
        </w:trPr>
        <w:tc>
          <w:tcPr>
            <w:tcW w:w="2335" w:type="dxa"/>
            <w:shd w:val="clear" w:color="auto" w:fill="auto"/>
            <w:noWrap/>
            <w:vAlign w:val="bottom"/>
            <w:hideMark/>
          </w:tcPr>
          <w:p w14:paraId="2FDFD492" w14:textId="77777777" w:rsidR="00CE604C" w:rsidRPr="00C76EB4" w:rsidRDefault="00CE604C" w:rsidP="00CE604C">
            <w:pPr>
              <w:rPr>
                <w:rFonts w:cstheme="minorHAnsi"/>
                <w:b/>
                <w:bCs/>
                <w:color w:val="000000"/>
                <w:sz w:val="20"/>
                <w:szCs w:val="20"/>
              </w:rPr>
            </w:pPr>
            <w:r w:rsidRPr="00C76EB4">
              <w:rPr>
                <w:rFonts w:cstheme="minorHAnsi"/>
                <w:b/>
                <w:bCs/>
                <w:color w:val="000000"/>
                <w:sz w:val="20"/>
                <w:szCs w:val="20"/>
              </w:rPr>
              <w:t>PG&amp;E</w:t>
            </w:r>
          </w:p>
        </w:tc>
        <w:tc>
          <w:tcPr>
            <w:tcW w:w="990" w:type="dxa"/>
            <w:shd w:val="clear" w:color="auto" w:fill="auto"/>
            <w:noWrap/>
            <w:vAlign w:val="bottom"/>
            <w:hideMark/>
          </w:tcPr>
          <w:p w14:paraId="38EAC4A6" w14:textId="77777777" w:rsidR="00CE604C" w:rsidRPr="00C76EB4" w:rsidRDefault="00CE604C" w:rsidP="00CE604C">
            <w:pPr>
              <w:rPr>
                <w:rFonts w:cstheme="minorHAnsi"/>
                <w:b/>
                <w:bCs/>
                <w:color w:val="000000"/>
                <w:sz w:val="20"/>
                <w:szCs w:val="20"/>
              </w:rPr>
            </w:pPr>
          </w:p>
        </w:tc>
        <w:tc>
          <w:tcPr>
            <w:tcW w:w="1800" w:type="dxa"/>
            <w:shd w:val="clear" w:color="auto" w:fill="auto"/>
            <w:noWrap/>
            <w:vAlign w:val="bottom"/>
            <w:hideMark/>
          </w:tcPr>
          <w:p w14:paraId="2186E574" w14:textId="77777777" w:rsidR="00CE604C" w:rsidRPr="00C76EB4" w:rsidRDefault="00CE604C" w:rsidP="00CE604C">
            <w:pPr>
              <w:jc w:val="center"/>
              <w:rPr>
                <w:rFonts w:cstheme="minorHAnsi"/>
                <w:b/>
                <w:bCs/>
                <w:color w:val="000000"/>
                <w:sz w:val="20"/>
                <w:szCs w:val="20"/>
              </w:rPr>
            </w:pPr>
            <w:r w:rsidRPr="00C76EB4">
              <w:rPr>
                <w:rFonts w:cstheme="minorHAnsi"/>
                <w:b/>
                <w:bCs/>
                <w:color w:val="000000"/>
                <w:sz w:val="20"/>
                <w:szCs w:val="20"/>
              </w:rPr>
              <w:t>57.9</w:t>
            </w:r>
          </w:p>
        </w:tc>
        <w:tc>
          <w:tcPr>
            <w:tcW w:w="1890" w:type="dxa"/>
            <w:vAlign w:val="center"/>
          </w:tcPr>
          <w:p w14:paraId="3887A0D9" w14:textId="0244D620" w:rsidR="00CE604C" w:rsidRPr="00EF39B3" w:rsidRDefault="00CE604C">
            <w:pPr>
              <w:jc w:val="center"/>
              <w:rPr>
                <w:rFonts w:cstheme="minorHAnsi"/>
                <w:b/>
                <w:bCs/>
                <w:color w:val="000000"/>
                <w:sz w:val="20"/>
                <w:szCs w:val="20"/>
              </w:rPr>
            </w:pPr>
            <w:r>
              <w:rPr>
                <w:rFonts w:ascii="Calibri" w:hAnsi="Calibri" w:cs="Calibri"/>
                <w:color w:val="000000"/>
                <w:sz w:val="20"/>
                <w:szCs w:val="20"/>
              </w:rPr>
              <w:t>58.0</w:t>
            </w:r>
          </w:p>
        </w:tc>
        <w:tc>
          <w:tcPr>
            <w:tcW w:w="2250" w:type="dxa"/>
            <w:vAlign w:val="center"/>
          </w:tcPr>
          <w:p w14:paraId="21C1F78B" w14:textId="4B3EF7EA" w:rsidR="00CE604C" w:rsidRPr="00EF39B3" w:rsidRDefault="00CE604C">
            <w:pPr>
              <w:jc w:val="center"/>
              <w:rPr>
                <w:rFonts w:cstheme="minorHAnsi"/>
                <w:b/>
                <w:bCs/>
                <w:color w:val="000000"/>
                <w:sz w:val="20"/>
                <w:szCs w:val="20"/>
              </w:rPr>
            </w:pPr>
            <w:r>
              <w:rPr>
                <w:rFonts w:ascii="Calibri" w:hAnsi="Calibri" w:cs="Calibri"/>
                <w:color w:val="000000"/>
                <w:sz w:val="20"/>
                <w:szCs w:val="20"/>
              </w:rPr>
              <w:t>16.8</w:t>
            </w:r>
          </w:p>
        </w:tc>
      </w:tr>
      <w:tr w:rsidR="00CE604C" w:rsidRPr="00EF39B3" w14:paraId="71F9482F" w14:textId="38A87BD3" w:rsidTr="002C58D0">
        <w:trPr>
          <w:trHeight w:val="245"/>
        </w:trPr>
        <w:tc>
          <w:tcPr>
            <w:tcW w:w="2335" w:type="dxa"/>
            <w:shd w:val="clear" w:color="auto" w:fill="auto"/>
            <w:noWrap/>
            <w:vAlign w:val="bottom"/>
            <w:hideMark/>
          </w:tcPr>
          <w:p w14:paraId="3549DD9C" w14:textId="77777777" w:rsidR="00CE604C" w:rsidRPr="00C76EB4" w:rsidRDefault="00CE604C" w:rsidP="00CE604C">
            <w:pPr>
              <w:rPr>
                <w:rFonts w:cstheme="minorHAnsi"/>
                <w:b/>
                <w:bCs/>
                <w:color w:val="000000"/>
                <w:sz w:val="20"/>
                <w:szCs w:val="20"/>
              </w:rPr>
            </w:pPr>
            <w:r w:rsidRPr="00C76EB4">
              <w:rPr>
                <w:rFonts w:cstheme="minorHAnsi"/>
                <w:b/>
                <w:bCs/>
                <w:color w:val="000000"/>
                <w:sz w:val="20"/>
                <w:szCs w:val="20"/>
              </w:rPr>
              <w:t>SoCalGas</w:t>
            </w:r>
          </w:p>
        </w:tc>
        <w:tc>
          <w:tcPr>
            <w:tcW w:w="990" w:type="dxa"/>
            <w:shd w:val="clear" w:color="auto" w:fill="auto"/>
            <w:noWrap/>
            <w:vAlign w:val="bottom"/>
            <w:hideMark/>
          </w:tcPr>
          <w:p w14:paraId="6DC772CD" w14:textId="77777777" w:rsidR="00CE604C" w:rsidRPr="00C76EB4" w:rsidRDefault="00CE604C" w:rsidP="00CE604C">
            <w:pPr>
              <w:rPr>
                <w:rFonts w:cstheme="minorHAnsi"/>
                <w:b/>
                <w:bCs/>
                <w:color w:val="000000"/>
                <w:sz w:val="20"/>
                <w:szCs w:val="20"/>
              </w:rPr>
            </w:pPr>
          </w:p>
        </w:tc>
        <w:tc>
          <w:tcPr>
            <w:tcW w:w="1800" w:type="dxa"/>
            <w:shd w:val="clear" w:color="auto" w:fill="auto"/>
            <w:noWrap/>
            <w:vAlign w:val="bottom"/>
            <w:hideMark/>
          </w:tcPr>
          <w:p w14:paraId="178C071B" w14:textId="77777777" w:rsidR="00CE604C" w:rsidRPr="00C76EB4" w:rsidRDefault="00CE604C" w:rsidP="00CE604C">
            <w:pPr>
              <w:jc w:val="center"/>
              <w:rPr>
                <w:rFonts w:cstheme="minorHAnsi"/>
                <w:b/>
                <w:bCs/>
                <w:color w:val="000000"/>
                <w:sz w:val="20"/>
                <w:szCs w:val="20"/>
              </w:rPr>
            </w:pPr>
            <w:r w:rsidRPr="00C76EB4">
              <w:rPr>
                <w:rFonts w:cstheme="minorHAnsi"/>
                <w:b/>
                <w:bCs/>
                <w:color w:val="000000"/>
                <w:sz w:val="20"/>
                <w:szCs w:val="20"/>
              </w:rPr>
              <w:t>62.3</w:t>
            </w:r>
          </w:p>
        </w:tc>
        <w:tc>
          <w:tcPr>
            <w:tcW w:w="1890" w:type="dxa"/>
            <w:vAlign w:val="center"/>
          </w:tcPr>
          <w:p w14:paraId="0F6683F3" w14:textId="74249018" w:rsidR="00CE604C" w:rsidRPr="00EF39B3" w:rsidRDefault="00CE604C">
            <w:pPr>
              <w:jc w:val="center"/>
              <w:rPr>
                <w:rFonts w:cstheme="minorHAnsi"/>
                <w:b/>
                <w:bCs/>
                <w:color w:val="000000"/>
                <w:sz w:val="20"/>
                <w:szCs w:val="20"/>
              </w:rPr>
            </w:pPr>
            <w:r>
              <w:rPr>
                <w:rFonts w:ascii="Calibri" w:hAnsi="Calibri" w:cs="Calibri"/>
                <w:color w:val="000000"/>
                <w:sz w:val="20"/>
                <w:szCs w:val="20"/>
              </w:rPr>
              <w:t>53.5</w:t>
            </w:r>
          </w:p>
        </w:tc>
        <w:tc>
          <w:tcPr>
            <w:tcW w:w="2250" w:type="dxa"/>
            <w:vAlign w:val="center"/>
          </w:tcPr>
          <w:p w14:paraId="0363B631" w14:textId="032EB5B1" w:rsidR="00CE604C" w:rsidRPr="00EF39B3" w:rsidRDefault="00CE604C">
            <w:pPr>
              <w:jc w:val="center"/>
              <w:rPr>
                <w:rFonts w:cstheme="minorHAnsi"/>
                <w:b/>
                <w:bCs/>
                <w:color w:val="000000"/>
                <w:sz w:val="20"/>
                <w:szCs w:val="20"/>
              </w:rPr>
            </w:pPr>
            <w:r>
              <w:rPr>
                <w:rFonts w:ascii="Calibri" w:hAnsi="Calibri" w:cs="Calibri"/>
                <w:color w:val="000000"/>
                <w:sz w:val="20"/>
                <w:szCs w:val="20"/>
              </w:rPr>
              <w:t>15.4</w:t>
            </w:r>
          </w:p>
        </w:tc>
      </w:tr>
      <w:tr w:rsidR="00CE604C" w:rsidRPr="00EF39B3" w14:paraId="6252AFBF" w14:textId="32806829" w:rsidTr="002C58D0">
        <w:trPr>
          <w:trHeight w:val="245"/>
        </w:trPr>
        <w:tc>
          <w:tcPr>
            <w:tcW w:w="2335" w:type="dxa"/>
            <w:shd w:val="clear" w:color="auto" w:fill="auto"/>
            <w:noWrap/>
            <w:vAlign w:val="bottom"/>
            <w:hideMark/>
          </w:tcPr>
          <w:p w14:paraId="035327D1" w14:textId="77777777" w:rsidR="00CE604C" w:rsidRPr="00C76EB4" w:rsidRDefault="00CE604C" w:rsidP="00CE604C">
            <w:pPr>
              <w:rPr>
                <w:rFonts w:cstheme="minorHAnsi"/>
                <w:b/>
                <w:bCs/>
                <w:color w:val="000000"/>
                <w:sz w:val="20"/>
                <w:szCs w:val="20"/>
              </w:rPr>
            </w:pPr>
            <w:r w:rsidRPr="00C76EB4">
              <w:rPr>
                <w:rFonts w:cstheme="minorHAnsi"/>
                <w:b/>
                <w:bCs/>
                <w:color w:val="000000"/>
                <w:sz w:val="20"/>
                <w:szCs w:val="20"/>
              </w:rPr>
              <w:t>SDG&amp;E</w:t>
            </w:r>
          </w:p>
        </w:tc>
        <w:tc>
          <w:tcPr>
            <w:tcW w:w="990" w:type="dxa"/>
            <w:shd w:val="clear" w:color="auto" w:fill="auto"/>
            <w:noWrap/>
            <w:vAlign w:val="bottom"/>
            <w:hideMark/>
          </w:tcPr>
          <w:p w14:paraId="282B3067" w14:textId="77777777" w:rsidR="00CE604C" w:rsidRPr="00C76EB4" w:rsidRDefault="00CE604C" w:rsidP="00CE604C">
            <w:pPr>
              <w:rPr>
                <w:rFonts w:cstheme="minorHAnsi"/>
                <w:b/>
                <w:bCs/>
                <w:color w:val="000000"/>
                <w:sz w:val="20"/>
                <w:szCs w:val="20"/>
              </w:rPr>
            </w:pPr>
          </w:p>
        </w:tc>
        <w:tc>
          <w:tcPr>
            <w:tcW w:w="1800" w:type="dxa"/>
            <w:shd w:val="clear" w:color="auto" w:fill="auto"/>
            <w:noWrap/>
            <w:vAlign w:val="bottom"/>
            <w:hideMark/>
          </w:tcPr>
          <w:p w14:paraId="1BECB118" w14:textId="77777777" w:rsidR="00CE604C" w:rsidRPr="00C76EB4" w:rsidRDefault="00CE604C" w:rsidP="00CE604C">
            <w:pPr>
              <w:jc w:val="center"/>
              <w:rPr>
                <w:rFonts w:cstheme="minorHAnsi"/>
                <w:b/>
                <w:bCs/>
                <w:color w:val="000000"/>
                <w:sz w:val="20"/>
                <w:szCs w:val="20"/>
              </w:rPr>
            </w:pPr>
            <w:r w:rsidRPr="00C76EB4">
              <w:rPr>
                <w:rFonts w:cstheme="minorHAnsi"/>
                <w:b/>
                <w:bCs/>
                <w:color w:val="000000"/>
                <w:sz w:val="20"/>
                <w:szCs w:val="20"/>
              </w:rPr>
              <w:t>63.0</w:t>
            </w:r>
          </w:p>
        </w:tc>
        <w:tc>
          <w:tcPr>
            <w:tcW w:w="1890" w:type="dxa"/>
            <w:vAlign w:val="center"/>
          </w:tcPr>
          <w:p w14:paraId="1F2F54D9" w14:textId="535DFCBF" w:rsidR="00CE604C" w:rsidRPr="00EF39B3" w:rsidRDefault="00CE604C">
            <w:pPr>
              <w:jc w:val="center"/>
              <w:rPr>
                <w:rFonts w:cstheme="minorHAnsi"/>
                <w:b/>
                <w:bCs/>
                <w:color w:val="000000"/>
                <w:sz w:val="20"/>
                <w:szCs w:val="20"/>
              </w:rPr>
            </w:pPr>
            <w:r>
              <w:rPr>
                <w:rFonts w:ascii="Calibri" w:hAnsi="Calibri" w:cs="Calibri"/>
                <w:color w:val="000000"/>
                <w:sz w:val="20"/>
                <w:szCs w:val="20"/>
              </w:rPr>
              <w:t>52.7</w:t>
            </w:r>
          </w:p>
        </w:tc>
        <w:tc>
          <w:tcPr>
            <w:tcW w:w="2250" w:type="dxa"/>
            <w:vAlign w:val="center"/>
          </w:tcPr>
          <w:p w14:paraId="5A4582D1" w14:textId="00A22954" w:rsidR="00CE604C" w:rsidRPr="00EF39B3" w:rsidRDefault="00CE604C">
            <w:pPr>
              <w:jc w:val="center"/>
              <w:rPr>
                <w:rFonts w:cstheme="minorHAnsi"/>
                <w:b/>
                <w:bCs/>
                <w:color w:val="000000"/>
                <w:sz w:val="20"/>
                <w:szCs w:val="20"/>
              </w:rPr>
            </w:pPr>
            <w:r>
              <w:rPr>
                <w:rFonts w:ascii="Calibri" w:hAnsi="Calibri" w:cs="Calibri"/>
                <w:color w:val="000000"/>
                <w:sz w:val="20"/>
                <w:szCs w:val="20"/>
              </w:rPr>
              <w:t>15.2</w:t>
            </w:r>
          </w:p>
        </w:tc>
      </w:tr>
      <w:tr w:rsidR="00CE604C" w:rsidRPr="00EF39B3" w14:paraId="5BC3B8A9" w14:textId="0AA7080F" w:rsidTr="002C58D0">
        <w:trPr>
          <w:trHeight w:val="245"/>
        </w:trPr>
        <w:tc>
          <w:tcPr>
            <w:tcW w:w="2335" w:type="dxa"/>
            <w:shd w:val="clear" w:color="auto" w:fill="auto"/>
            <w:noWrap/>
            <w:vAlign w:val="bottom"/>
            <w:hideMark/>
          </w:tcPr>
          <w:p w14:paraId="192D1DE9" w14:textId="77777777" w:rsidR="00CE604C" w:rsidRPr="00C76EB4" w:rsidRDefault="00CE604C" w:rsidP="00CE604C">
            <w:pPr>
              <w:rPr>
                <w:rFonts w:cstheme="minorHAnsi"/>
                <w:b/>
                <w:bCs/>
                <w:color w:val="000000"/>
                <w:sz w:val="20"/>
                <w:szCs w:val="20"/>
              </w:rPr>
            </w:pPr>
            <w:r w:rsidRPr="00C76EB4">
              <w:rPr>
                <w:rFonts w:cstheme="minorHAnsi"/>
                <w:b/>
                <w:bCs/>
                <w:color w:val="000000"/>
                <w:sz w:val="20"/>
                <w:szCs w:val="20"/>
              </w:rPr>
              <w:t>SCE</w:t>
            </w:r>
          </w:p>
        </w:tc>
        <w:tc>
          <w:tcPr>
            <w:tcW w:w="990" w:type="dxa"/>
            <w:shd w:val="clear" w:color="auto" w:fill="auto"/>
            <w:noWrap/>
            <w:vAlign w:val="bottom"/>
            <w:hideMark/>
          </w:tcPr>
          <w:p w14:paraId="72E14038" w14:textId="77777777" w:rsidR="00CE604C" w:rsidRPr="00C76EB4" w:rsidRDefault="00CE604C" w:rsidP="00CE604C">
            <w:pPr>
              <w:rPr>
                <w:rFonts w:cstheme="minorHAnsi"/>
                <w:b/>
                <w:bCs/>
                <w:color w:val="000000"/>
                <w:sz w:val="20"/>
                <w:szCs w:val="20"/>
              </w:rPr>
            </w:pPr>
          </w:p>
        </w:tc>
        <w:tc>
          <w:tcPr>
            <w:tcW w:w="1800" w:type="dxa"/>
            <w:shd w:val="clear" w:color="auto" w:fill="auto"/>
            <w:noWrap/>
            <w:vAlign w:val="bottom"/>
            <w:hideMark/>
          </w:tcPr>
          <w:p w14:paraId="4669969C" w14:textId="77777777" w:rsidR="00CE604C" w:rsidRPr="00C76EB4" w:rsidRDefault="00CE604C" w:rsidP="00CE604C">
            <w:pPr>
              <w:jc w:val="center"/>
              <w:rPr>
                <w:rFonts w:cstheme="minorHAnsi"/>
                <w:b/>
                <w:bCs/>
                <w:color w:val="000000"/>
                <w:sz w:val="20"/>
                <w:szCs w:val="20"/>
              </w:rPr>
            </w:pPr>
            <w:r w:rsidRPr="00C76EB4">
              <w:rPr>
                <w:rFonts w:cstheme="minorHAnsi"/>
                <w:b/>
                <w:bCs/>
                <w:color w:val="000000"/>
                <w:sz w:val="20"/>
                <w:szCs w:val="20"/>
              </w:rPr>
              <w:t>63.4</w:t>
            </w:r>
          </w:p>
        </w:tc>
        <w:tc>
          <w:tcPr>
            <w:tcW w:w="1890" w:type="dxa"/>
            <w:vAlign w:val="center"/>
          </w:tcPr>
          <w:p w14:paraId="6A01E281" w14:textId="0165683F" w:rsidR="00CE604C" w:rsidRPr="00EF39B3" w:rsidRDefault="00CE604C">
            <w:pPr>
              <w:jc w:val="center"/>
              <w:rPr>
                <w:rFonts w:cstheme="minorHAnsi"/>
                <w:b/>
                <w:bCs/>
                <w:color w:val="000000"/>
                <w:sz w:val="20"/>
                <w:szCs w:val="20"/>
              </w:rPr>
            </w:pPr>
            <w:r>
              <w:rPr>
                <w:rFonts w:ascii="Calibri" w:hAnsi="Calibri" w:cs="Calibri"/>
                <w:color w:val="000000"/>
                <w:sz w:val="20"/>
                <w:szCs w:val="20"/>
              </w:rPr>
              <w:t>52.3</w:t>
            </w:r>
          </w:p>
        </w:tc>
        <w:tc>
          <w:tcPr>
            <w:tcW w:w="2250" w:type="dxa"/>
            <w:vAlign w:val="center"/>
          </w:tcPr>
          <w:p w14:paraId="2736DA0D" w14:textId="48DEE93A" w:rsidR="00CE604C" w:rsidRPr="00EF39B3" w:rsidRDefault="00CE604C">
            <w:pPr>
              <w:jc w:val="center"/>
              <w:rPr>
                <w:rFonts w:cstheme="minorHAnsi"/>
                <w:b/>
                <w:bCs/>
                <w:color w:val="000000"/>
                <w:sz w:val="20"/>
                <w:szCs w:val="20"/>
              </w:rPr>
            </w:pPr>
            <w:r>
              <w:rPr>
                <w:rFonts w:ascii="Calibri" w:hAnsi="Calibri" w:cs="Calibri"/>
                <w:color w:val="000000"/>
                <w:sz w:val="20"/>
                <w:szCs w:val="20"/>
              </w:rPr>
              <w:t>15.1</w:t>
            </w:r>
          </w:p>
        </w:tc>
      </w:tr>
      <w:tr w:rsidR="00CE604C" w:rsidRPr="00EF39B3" w14:paraId="717F3554" w14:textId="0FE7C75B" w:rsidTr="002C58D0">
        <w:trPr>
          <w:trHeight w:val="245"/>
        </w:trPr>
        <w:tc>
          <w:tcPr>
            <w:tcW w:w="2335" w:type="dxa"/>
            <w:shd w:val="clear" w:color="auto" w:fill="auto"/>
            <w:noWrap/>
            <w:vAlign w:val="bottom"/>
            <w:hideMark/>
          </w:tcPr>
          <w:p w14:paraId="7E900B00" w14:textId="6B039ACF" w:rsidR="00CE604C" w:rsidRPr="00C76EB4" w:rsidRDefault="00CE604C" w:rsidP="00CE604C">
            <w:pPr>
              <w:rPr>
                <w:rFonts w:cstheme="minorHAnsi"/>
                <w:b/>
                <w:bCs/>
                <w:color w:val="000000"/>
                <w:sz w:val="20"/>
                <w:szCs w:val="20"/>
              </w:rPr>
            </w:pPr>
            <w:r w:rsidRPr="00C76EB4">
              <w:rPr>
                <w:rFonts w:cstheme="minorHAnsi"/>
                <w:b/>
                <w:bCs/>
                <w:color w:val="000000"/>
                <w:sz w:val="20"/>
                <w:szCs w:val="20"/>
              </w:rPr>
              <w:t>A</w:t>
            </w:r>
            <w:r>
              <w:rPr>
                <w:rFonts w:cstheme="minorHAnsi"/>
                <w:b/>
                <w:bCs/>
                <w:color w:val="000000"/>
                <w:sz w:val="20"/>
                <w:szCs w:val="20"/>
              </w:rPr>
              <w:t>verage of all Climate Zones</w:t>
            </w:r>
          </w:p>
        </w:tc>
        <w:tc>
          <w:tcPr>
            <w:tcW w:w="990" w:type="dxa"/>
            <w:shd w:val="clear" w:color="auto" w:fill="auto"/>
            <w:noWrap/>
            <w:vAlign w:val="bottom"/>
            <w:hideMark/>
          </w:tcPr>
          <w:p w14:paraId="7702F682" w14:textId="77777777" w:rsidR="00CE604C" w:rsidRPr="00C76EB4" w:rsidRDefault="00CE604C" w:rsidP="00CE604C">
            <w:pPr>
              <w:rPr>
                <w:rFonts w:cstheme="minorHAnsi"/>
                <w:b/>
                <w:bCs/>
                <w:color w:val="000000"/>
                <w:sz w:val="20"/>
                <w:szCs w:val="20"/>
              </w:rPr>
            </w:pPr>
          </w:p>
        </w:tc>
        <w:tc>
          <w:tcPr>
            <w:tcW w:w="1800" w:type="dxa"/>
            <w:shd w:val="clear" w:color="auto" w:fill="auto"/>
            <w:noWrap/>
            <w:vAlign w:val="center"/>
            <w:hideMark/>
          </w:tcPr>
          <w:p w14:paraId="47B7CEA4" w14:textId="38EC3728" w:rsidR="00CE604C" w:rsidRPr="00C76EB4" w:rsidRDefault="00CE604C">
            <w:pPr>
              <w:jc w:val="center"/>
              <w:rPr>
                <w:rFonts w:cstheme="minorHAnsi"/>
                <w:b/>
                <w:color w:val="000000"/>
                <w:sz w:val="20"/>
                <w:szCs w:val="20"/>
              </w:rPr>
            </w:pPr>
            <w:r>
              <w:rPr>
                <w:rFonts w:cstheme="minorHAnsi"/>
                <w:b/>
                <w:color w:val="000000"/>
                <w:sz w:val="20"/>
                <w:szCs w:val="20"/>
              </w:rPr>
              <w:t>60</w:t>
            </w:r>
            <w:r w:rsidRPr="00C76EB4">
              <w:rPr>
                <w:rFonts w:cstheme="minorHAnsi"/>
                <w:b/>
                <w:color w:val="000000"/>
                <w:sz w:val="20"/>
                <w:szCs w:val="20"/>
              </w:rPr>
              <w:t>.</w:t>
            </w:r>
            <w:r>
              <w:rPr>
                <w:rFonts w:cstheme="minorHAnsi"/>
                <w:b/>
                <w:color w:val="000000"/>
                <w:sz w:val="20"/>
                <w:szCs w:val="20"/>
              </w:rPr>
              <w:t>9</w:t>
            </w:r>
          </w:p>
        </w:tc>
        <w:tc>
          <w:tcPr>
            <w:tcW w:w="1890" w:type="dxa"/>
            <w:vAlign w:val="center"/>
          </w:tcPr>
          <w:p w14:paraId="0073EE2A" w14:textId="44E63B13" w:rsidR="00CE604C" w:rsidRDefault="00CE604C">
            <w:pPr>
              <w:jc w:val="center"/>
              <w:rPr>
                <w:rFonts w:cstheme="minorHAnsi"/>
                <w:b/>
                <w:color w:val="000000"/>
                <w:sz w:val="20"/>
                <w:szCs w:val="20"/>
              </w:rPr>
            </w:pPr>
            <w:r>
              <w:rPr>
                <w:rFonts w:ascii="Calibri" w:hAnsi="Calibri" w:cs="Calibri"/>
                <w:color w:val="000000"/>
                <w:sz w:val="20"/>
                <w:szCs w:val="20"/>
              </w:rPr>
              <w:t>54.9</w:t>
            </w:r>
          </w:p>
        </w:tc>
        <w:tc>
          <w:tcPr>
            <w:tcW w:w="2250" w:type="dxa"/>
            <w:vAlign w:val="center"/>
          </w:tcPr>
          <w:p w14:paraId="71FB299B" w14:textId="5DF22CCB" w:rsidR="00CE604C" w:rsidRDefault="00CE604C">
            <w:pPr>
              <w:jc w:val="center"/>
              <w:rPr>
                <w:rFonts w:cstheme="minorHAnsi"/>
                <w:b/>
                <w:color w:val="000000"/>
                <w:sz w:val="20"/>
                <w:szCs w:val="20"/>
              </w:rPr>
            </w:pPr>
            <w:r>
              <w:rPr>
                <w:rFonts w:ascii="Calibri" w:hAnsi="Calibri" w:cs="Calibri"/>
                <w:color w:val="000000"/>
                <w:sz w:val="20"/>
                <w:szCs w:val="20"/>
              </w:rPr>
              <w:t>15.9</w:t>
            </w:r>
          </w:p>
        </w:tc>
      </w:tr>
    </w:tbl>
    <w:p w14:paraId="2C6ACFF8" w14:textId="77777777" w:rsidR="003F1298" w:rsidRPr="003F1298" w:rsidRDefault="003F1298" w:rsidP="003F1298">
      <w:pPr>
        <w:pStyle w:val="Reminders"/>
        <w:rPr>
          <w:rFonts w:asciiTheme="minorHAnsi" w:hAnsiTheme="minorHAnsi" w:cstheme="minorHAnsi"/>
          <w:i w:val="0"/>
          <w:color w:val="auto"/>
          <w:szCs w:val="22"/>
        </w:rPr>
      </w:pPr>
    </w:p>
    <w:p w14:paraId="36549294" w14:textId="4F0E8780" w:rsidR="00DA11A0" w:rsidRPr="00B1655F" w:rsidRDefault="00B1655F" w:rsidP="00E16609">
      <w:pPr>
        <w:pStyle w:val="Reminders"/>
        <w:rPr>
          <w:rFonts w:asciiTheme="minorHAnsi" w:hAnsiTheme="minorHAnsi" w:cstheme="minorHAnsi"/>
          <w:i w:val="0"/>
          <w:color w:val="auto"/>
          <w:szCs w:val="22"/>
        </w:rPr>
      </w:pPr>
      <w:r w:rsidRPr="00B1655F">
        <w:rPr>
          <w:rFonts w:asciiTheme="minorHAnsi" w:hAnsiTheme="minorHAnsi" w:cstheme="minorHAnsi"/>
          <w:i w:val="0"/>
          <w:color w:val="auto"/>
          <w:szCs w:val="22"/>
        </w:rPr>
        <w:t>Pre-</w:t>
      </w:r>
      <w:r w:rsidR="001030B2">
        <w:rPr>
          <w:rFonts w:asciiTheme="minorHAnsi" w:hAnsiTheme="minorHAnsi" w:cstheme="minorHAnsi"/>
          <w:i w:val="0"/>
          <w:color w:val="auto"/>
          <w:szCs w:val="22"/>
        </w:rPr>
        <w:t>r</w:t>
      </w:r>
      <w:r w:rsidRPr="00B1655F">
        <w:rPr>
          <w:rFonts w:asciiTheme="minorHAnsi" w:hAnsiTheme="minorHAnsi" w:cstheme="minorHAnsi"/>
          <w:i w:val="0"/>
          <w:color w:val="auto"/>
          <w:szCs w:val="22"/>
        </w:rPr>
        <w:t xml:space="preserve">inse </w:t>
      </w:r>
      <w:r w:rsidR="001030B2">
        <w:rPr>
          <w:rFonts w:asciiTheme="minorHAnsi" w:hAnsiTheme="minorHAnsi" w:cstheme="minorHAnsi"/>
          <w:i w:val="0"/>
          <w:color w:val="auto"/>
          <w:szCs w:val="22"/>
        </w:rPr>
        <w:t>s</w:t>
      </w:r>
      <w:r w:rsidRPr="00B1655F">
        <w:rPr>
          <w:rFonts w:asciiTheme="minorHAnsi" w:hAnsiTheme="minorHAnsi" w:cstheme="minorHAnsi"/>
          <w:i w:val="0"/>
          <w:color w:val="auto"/>
          <w:szCs w:val="22"/>
        </w:rPr>
        <w:t xml:space="preserve">pray </w:t>
      </w:r>
      <w:r w:rsidR="001030B2">
        <w:rPr>
          <w:rFonts w:asciiTheme="minorHAnsi" w:hAnsiTheme="minorHAnsi" w:cstheme="minorHAnsi"/>
          <w:i w:val="0"/>
          <w:color w:val="auto"/>
          <w:szCs w:val="22"/>
        </w:rPr>
        <w:t>v</w:t>
      </w:r>
      <w:r w:rsidRPr="00B1655F">
        <w:rPr>
          <w:rFonts w:asciiTheme="minorHAnsi" w:hAnsiTheme="minorHAnsi" w:cstheme="minorHAnsi"/>
          <w:i w:val="0"/>
          <w:color w:val="auto"/>
          <w:szCs w:val="22"/>
        </w:rPr>
        <w:t>alves are not documented in the READI tool.</w:t>
      </w:r>
      <w:r w:rsidR="009060D2">
        <w:rPr>
          <w:rFonts w:asciiTheme="minorHAnsi" w:hAnsiTheme="minorHAnsi" w:cstheme="minorHAnsi"/>
          <w:i w:val="0"/>
          <w:color w:val="auto"/>
          <w:szCs w:val="22"/>
        </w:rPr>
        <w:t xml:space="preserve"> </w:t>
      </w:r>
      <w:r w:rsidR="00F13B8B">
        <w:rPr>
          <w:rFonts w:asciiTheme="minorHAnsi" w:hAnsiTheme="minorHAnsi" w:cstheme="minorHAnsi"/>
          <w:i w:val="0"/>
          <w:color w:val="auto"/>
          <w:szCs w:val="22"/>
        </w:rPr>
        <w:t>Low-flow p</w:t>
      </w:r>
      <w:r w:rsidRPr="00B1655F">
        <w:rPr>
          <w:rFonts w:asciiTheme="minorHAnsi" w:hAnsiTheme="minorHAnsi" w:cstheme="minorHAnsi"/>
          <w:i w:val="0"/>
          <w:color w:val="auto"/>
          <w:szCs w:val="22"/>
        </w:rPr>
        <w:t>re-</w:t>
      </w:r>
      <w:r w:rsidR="00FA0683">
        <w:rPr>
          <w:rFonts w:asciiTheme="minorHAnsi" w:hAnsiTheme="minorHAnsi" w:cstheme="minorHAnsi"/>
          <w:i w:val="0"/>
          <w:color w:val="auto"/>
          <w:szCs w:val="22"/>
        </w:rPr>
        <w:t>r</w:t>
      </w:r>
      <w:r w:rsidRPr="00B1655F">
        <w:rPr>
          <w:rFonts w:asciiTheme="minorHAnsi" w:hAnsiTheme="minorHAnsi" w:cstheme="minorHAnsi"/>
          <w:i w:val="0"/>
          <w:color w:val="auto"/>
          <w:szCs w:val="22"/>
        </w:rPr>
        <w:t xml:space="preserve">inse </w:t>
      </w:r>
      <w:r w:rsidR="00FA0683">
        <w:rPr>
          <w:rFonts w:asciiTheme="minorHAnsi" w:hAnsiTheme="minorHAnsi" w:cstheme="minorHAnsi"/>
          <w:i w:val="0"/>
          <w:color w:val="auto"/>
          <w:szCs w:val="22"/>
        </w:rPr>
        <w:t>s</w:t>
      </w:r>
      <w:r w:rsidRPr="00B1655F">
        <w:rPr>
          <w:rFonts w:asciiTheme="minorHAnsi" w:hAnsiTheme="minorHAnsi" w:cstheme="minorHAnsi"/>
          <w:i w:val="0"/>
          <w:color w:val="auto"/>
          <w:szCs w:val="22"/>
        </w:rPr>
        <w:t xml:space="preserve">pray </w:t>
      </w:r>
      <w:r w:rsidR="00FA0683">
        <w:rPr>
          <w:rFonts w:asciiTheme="minorHAnsi" w:hAnsiTheme="minorHAnsi" w:cstheme="minorHAnsi"/>
          <w:i w:val="0"/>
          <w:color w:val="auto"/>
          <w:szCs w:val="22"/>
        </w:rPr>
        <w:t>v</w:t>
      </w:r>
      <w:r w:rsidRPr="00B1655F">
        <w:rPr>
          <w:rFonts w:asciiTheme="minorHAnsi" w:hAnsiTheme="minorHAnsi" w:cstheme="minorHAnsi"/>
          <w:i w:val="0"/>
          <w:color w:val="auto"/>
          <w:szCs w:val="22"/>
        </w:rPr>
        <w:t>alve</w:t>
      </w:r>
      <w:r w:rsidR="001030B2">
        <w:rPr>
          <w:rFonts w:asciiTheme="minorHAnsi" w:hAnsiTheme="minorHAnsi" w:cstheme="minorHAnsi"/>
          <w:i w:val="0"/>
          <w:color w:val="auto"/>
          <w:szCs w:val="22"/>
        </w:rPr>
        <w:t>s use</w:t>
      </w:r>
      <w:r w:rsidR="00F13B8B">
        <w:rPr>
          <w:rFonts w:asciiTheme="minorHAnsi" w:hAnsiTheme="minorHAnsi" w:cstheme="minorHAnsi"/>
          <w:i w:val="0"/>
          <w:color w:val="auto"/>
          <w:szCs w:val="22"/>
        </w:rPr>
        <w:t xml:space="preserve"> result</w:t>
      </w:r>
      <w:r w:rsidR="001030B2">
        <w:rPr>
          <w:rFonts w:asciiTheme="minorHAnsi" w:hAnsiTheme="minorHAnsi" w:cstheme="minorHAnsi"/>
          <w:i w:val="0"/>
          <w:color w:val="auto"/>
          <w:szCs w:val="22"/>
        </w:rPr>
        <w:t>s</w:t>
      </w:r>
      <w:r w:rsidR="00F13B8B">
        <w:rPr>
          <w:rFonts w:asciiTheme="minorHAnsi" w:hAnsiTheme="minorHAnsi" w:cstheme="minorHAnsi"/>
          <w:i w:val="0"/>
          <w:color w:val="auto"/>
          <w:szCs w:val="22"/>
        </w:rPr>
        <w:t xml:space="preserve"> in</w:t>
      </w:r>
      <w:r w:rsidRPr="00B1655F">
        <w:rPr>
          <w:rFonts w:asciiTheme="minorHAnsi" w:hAnsiTheme="minorHAnsi" w:cstheme="minorHAnsi"/>
          <w:i w:val="0"/>
          <w:color w:val="auto"/>
          <w:szCs w:val="22"/>
        </w:rPr>
        <w:t xml:space="preserve"> gas water </w:t>
      </w:r>
      <w:r w:rsidR="00F13B8B">
        <w:rPr>
          <w:rFonts w:asciiTheme="minorHAnsi" w:hAnsiTheme="minorHAnsi" w:cstheme="minorHAnsi"/>
          <w:i w:val="0"/>
          <w:color w:val="auto"/>
          <w:szCs w:val="22"/>
        </w:rPr>
        <w:t xml:space="preserve">heater </w:t>
      </w:r>
      <w:r w:rsidRPr="00B1655F">
        <w:rPr>
          <w:rFonts w:asciiTheme="minorHAnsi" w:hAnsiTheme="minorHAnsi" w:cstheme="minorHAnsi"/>
          <w:i w:val="0"/>
          <w:color w:val="auto"/>
          <w:szCs w:val="22"/>
        </w:rPr>
        <w:t>savings, so electric demand reduction is not applicable.</w:t>
      </w:r>
      <w:r w:rsidR="00945B8A">
        <w:rPr>
          <w:rFonts w:asciiTheme="minorHAnsi" w:hAnsiTheme="minorHAnsi" w:cstheme="minorHAnsi"/>
          <w:i w:val="0"/>
          <w:color w:val="auto"/>
          <w:szCs w:val="22"/>
        </w:rPr>
        <w:t xml:space="preserve"> </w:t>
      </w:r>
      <w:r w:rsidR="00D23770" w:rsidRPr="00B1655F">
        <w:rPr>
          <w:rFonts w:asciiTheme="minorHAnsi" w:hAnsiTheme="minorHAnsi" w:cstheme="minorHAnsi"/>
          <w:i w:val="0"/>
          <w:color w:val="auto"/>
          <w:szCs w:val="22"/>
        </w:rPr>
        <w:t xml:space="preserve">Demand reduction estimates must consider the DEER peak demand period, which is </w:t>
      </w:r>
      <w:r w:rsidR="004E297E" w:rsidRPr="00B1655F">
        <w:rPr>
          <w:rFonts w:asciiTheme="minorHAnsi" w:hAnsiTheme="minorHAnsi" w:cstheme="minorHAnsi"/>
          <w:i w:val="0"/>
          <w:color w:val="auto"/>
          <w:szCs w:val="22"/>
        </w:rPr>
        <w:t>2:00</w:t>
      </w:r>
      <w:r w:rsidR="004B750E" w:rsidRPr="00B1655F">
        <w:rPr>
          <w:rFonts w:asciiTheme="minorHAnsi" w:hAnsiTheme="minorHAnsi" w:cstheme="minorHAnsi"/>
          <w:i w:val="0"/>
          <w:color w:val="auto"/>
          <w:szCs w:val="22"/>
        </w:rPr>
        <w:t xml:space="preserve"> PM</w:t>
      </w:r>
      <w:r w:rsidR="004E297E" w:rsidRPr="00B1655F">
        <w:rPr>
          <w:rFonts w:asciiTheme="minorHAnsi" w:hAnsiTheme="minorHAnsi" w:cstheme="minorHAnsi"/>
          <w:i w:val="0"/>
          <w:color w:val="auto"/>
          <w:szCs w:val="22"/>
        </w:rPr>
        <w:t xml:space="preserve"> to 5:00 </w:t>
      </w:r>
      <w:r w:rsidR="004B750E" w:rsidRPr="00B1655F">
        <w:rPr>
          <w:rFonts w:asciiTheme="minorHAnsi" w:hAnsiTheme="minorHAnsi" w:cstheme="minorHAnsi"/>
          <w:i w:val="0"/>
          <w:color w:val="auto"/>
          <w:szCs w:val="22"/>
        </w:rPr>
        <w:t>PM</w:t>
      </w:r>
      <w:r w:rsidR="004B750E" w:rsidRPr="00B1655F">
        <w:rPr>
          <w:rFonts w:asciiTheme="minorHAnsi" w:hAnsiTheme="minorHAnsi"/>
          <w:color w:val="auto"/>
        </w:rPr>
        <w:t xml:space="preserve"> </w:t>
      </w:r>
      <w:r w:rsidR="004B750E" w:rsidRPr="00B1655F">
        <w:rPr>
          <w:rFonts w:asciiTheme="minorHAnsi" w:hAnsiTheme="minorHAnsi" w:cstheme="minorHAnsi"/>
          <w:i w:val="0"/>
          <w:color w:val="auto"/>
          <w:szCs w:val="22"/>
        </w:rPr>
        <w:t xml:space="preserve">during </w:t>
      </w:r>
      <w:r w:rsidR="00D23770" w:rsidRPr="00B1655F">
        <w:rPr>
          <w:rFonts w:asciiTheme="minorHAnsi" w:hAnsiTheme="minorHAnsi" w:cstheme="minorHAnsi"/>
          <w:i w:val="0"/>
          <w:color w:val="auto"/>
          <w:szCs w:val="22"/>
        </w:rPr>
        <w:t xml:space="preserve">specific </w:t>
      </w:r>
      <w:r w:rsidR="004B750E" w:rsidRPr="00B1655F">
        <w:rPr>
          <w:rFonts w:asciiTheme="minorHAnsi" w:hAnsiTheme="minorHAnsi" w:cstheme="minorHAnsi"/>
          <w:i w:val="0"/>
          <w:color w:val="auto"/>
          <w:szCs w:val="22"/>
        </w:rPr>
        <w:t>weekday period</w:t>
      </w:r>
      <w:r w:rsidR="00D23770" w:rsidRPr="00B1655F">
        <w:rPr>
          <w:rFonts w:asciiTheme="minorHAnsi" w:hAnsiTheme="minorHAnsi" w:cstheme="minorHAnsi"/>
          <w:i w:val="0"/>
          <w:color w:val="auto"/>
          <w:szCs w:val="22"/>
        </w:rPr>
        <w:t>s and varies by climate zone</w:t>
      </w:r>
      <w:r w:rsidR="00E05A80" w:rsidRPr="00B1655F">
        <w:rPr>
          <w:rFonts w:asciiTheme="minorHAnsi" w:hAnsiTheme="minorHAnsi" w:cstheme="minorHAnsi"/>
          <w:i w:val="0"/>
          <w:color w:val="auto"/>
          <w:szCs w:val="22"/>
        </w:rPr>
        <w:t>:</w:t>
      </w:r>
    </w:p>
    <w:tbl>
      <w:tblPr>
        <w:tblStyle w:val="TableGrid1"/>
        <w:tblW w:w="1680" w:type="pct"/>
        <w:jc w:val="center"/>
        <w:tblLook w:val="01E0" w:firstRow="1" w:lastRow="1" w:firstColumn="1" w:lastColumn="1" w:noHBand="0" w:noVBand="0"/>
      </w:tblPr>
      <w:tblGrid>
        <w:gridCol w:w="1391"/>
        <w:gridCol w:w="1751"/>
      </w:tblGrid>
      <w:tr w:rsidR="00523736" w:rsidRPr="00B1655F" w14:paraId="129C50E4" w14:textId="77777777" w:rsidTr="00920905">
        <w:trPr>
          <w:jc w:val="center"/>
        </w:trPr>
        <w:tc>
          <w:tcPr>
            <w:tcW w:w="2214" w:type="pct"/>
            <w:shd w:val="clear" w:color="auto" w:fill="D9D9D9" w:themeFill="background1" w:themeFillShade="D9"/>
          </w:tcPr>
          <w:p w14:paraId="65881580" w14:textId="77777777" w:rsidR="00E05A80" w:rsidRPr="00B1655F" w:rsidRDefault="00E05A80" w:rsidP="00BA2E7E">
            <w:pPr>
              <w:rPr>
                <w:rFonts w:cstheme="minorHAnsi"/>
                <w:b/>
                <w:szCs w:val="20"/>
                <w:highlight w:val="yellow"/>
              </w:rPr>
            </w:pPr>
            <w:r w:rsidRPr="00B1655F">
              <w:rPr>
                <w:rFonts w:cstheme="minorHAnsi"/>
                <w:b/>
                <w:szCs w:val="20"/>
              </w:rPr>
              <w:t>Climate Zone</w:t>
            </w:r>
          </w:p>
        </w:tc>
        <w:tc>
          <w:tcPr>
            <w:tcW w:w="2786" w:type="pct"/>
            <w:shd w:val="clear" w:color="auto" w:fill="D9D9D9" w:themeFill="background1" w:themeFillShade="D9"/>
          </w:tcPr>
          <w:p w14:paraId="30ADB242" w14:textId="77777777" w:rsidR="00E05A80" w:rsidRPr="00B1655F" w:rsidRDefault="00E05A80" w:rsidP="00BA2E7E">
            <w:pPr>
              <w:rPr>
                <w:rFonts w:cstheme="minorHAnsi"/>
                <w:b/>
                <w:szCs w:val="20"/>
              </w:rPr>
            </w:pPr>
            <w:r w:rsidRPr="00B1655F">
              <w:rPr>
                <w:rFonts w:cstheme="minorHAnsi"/>
                <w:b/>
                <w:szCs w:val="20"/>
              </w:rPr>
              <w:t>3-Weekday Period</w:t>
            </w:r>
          </w:p>
        </w:tc>
      </w:tr>
      <w:tr w:rsidR="00523736" w:rsidRPr="00B1655F" w14:paraId="5061ACA3" w14:textId="77777777" w:rsidTr="00C76EB4">
        <w:trPr>
          <w:jc w:val="center"/>
        </w:trPr>
        <w:tc>
          <w:tcPr>
            <w:tcW w:w="2214" w:type="pct"/>
          </w:tcPr>
          <w:p w14:paraId="11D7F62D" w14:textId="77777777" w:rsidR="00E05A80" w:rsidRPr="00B1655F" w:rsidRDefault="00E05A80" w:rsidP="00BA2E7E">
            <w:pPr>
              <w:rPr>
                <w:rFonts w:cstheme="minorHAnsi"/>
                <w:szCs w:val="20"/>
              </w:rPr>
            </w:pPr>
            <w:r w:rsidRPr="00B1655F">
              <w:rPr>
                <w:rFonts w:cstheme="minorHAnsi"/>
                <w:szCs w:val="20"/>
              </w:rPr>
              <w:t>1</w:t>
            </w:r>
          </w:p>
        </w:tc>
        <w:tc>
          <w:tcPr>
            <w:tcW w:w="2786" w:type="pct"/>
          </w:tcPr>
          <w:p w14:paraId="250BCA6E" w14:textId="77777777" w:rsidR="00E05A80" w:rsidRPr="00B1655F" w:rsidRDefault="00E05A80" w:rsidP="00BA2E7E">
            <w:pPr>
              <w:rPr>
                <w:rFonts w:cstheme="minorHAnsi"/>
                <w:szCs w:val="20"/>
              </w:rPr>
            </w:pPr>
            <w:r w:rsidRPr="00B1655F">
              <w:rPr>
                <w:rFonts w:cstheme="minorHAnsi"/>
                <w:szCs w:val="20"/>
              </w:rPr>
              <w:t>Sep 16 – Sep 18</w:t>
            </w:r>
          </w:p>
        </w:tc>
      </w:tr>
      <w:tr w:rsidR="00523736" w:rsidRPr="00B1655F" w14:paraId="6E3A4C64" w14:textId="77777777" w:rsidTr="00C76EB4">
        <w:trPr>
          <w:jc w:val="center"/>
        </w:trPr>
        <w:tc>
          <w:tcPr>
            <w:tcW w:w="2214" w:type="pct"/>
          </w:tcPr>
          <w:p w14:paraId="4E28B86A" w14:textId="77777777" w:rsidR="00E05A80" w:rsidRPr="00B1655F" w:rsidRDefault="00E05A80" w:rsidP="00BA2E7E">
            <w:pPr>
              <w:rPr>
                <w:rFonts w:cstheme="minorHAnsi"/>
                <w:szCs w:val="20"/>
              </w:rPr>
            </w:pPr>
            <w:r w:rsidRPr="00B1655F">
              <w:rPr>
                <w:rFonts w:cstheme="minorHAnsi"/>
                <w:szCs w:val="20"/>
              </w:rPr>
              <w:t>2</w:t>
            </w:r>
          </w:p>
        </w:tc>
        <w:tc>
          <w:tcPr>
            <w:tcW w:w="2786" w:type="pct"/>
          </w:tcPr>
          <w:p w14:paraId="0B379420" w14:textId="77777777" w:rsidR="00E05A80" w:rsidRPr="00B1655F" w:rsidRDefault="00E05A80" w:rsidP="00BA2E7E">
            <w:pPr>
              <w:rPr>
                <w:rFonts w:cstheme="minorHAnsi"/>
                <w:szCs w:val="20"/>
              </w:rPr>
            </w:pPr>
            <w:r w:rsidRPr="00B1655F">
              <w:rPr>
                <w:rFonts w:cstheme="minorHAnsi"/>
                <w:szCs w:val="20"/>
              </w:rPr>
              <w:t>July 8 – July 10</w:t>
            </w:r>
          </w:p>
        </w:tc>
      </w:tr>
      <w:tr w:rsidR="00523736" w:rsidRPr="00B1655F" w14:paraId="212773FF" w14:textId="77777777" w:rsidTr="00C76EB4">
        <w:trPr>
          <w:jc w:val="center"/>
        </w:trPr>
        <w:tc>
          <w:tcPr>
            <w:tcW w:w="2214" w:type="pct"/>
          </w:tcPr>
          <w:p w14:paraId="4D917E15" w14:textId="77777777" w:rsidR="00E05A80" w:rsidRPr="00B1655F" w:rsidRDefault="00E05A80" w:rsidP="00BA2E7E">
            <w:pPr>
              <w:rPr>
                <w:rFonts w:cstheme="minorHAnsi"/>
                <w:szCs w:val="20"/>
              </w:rPr>
            </w:pPr>
            <w:r w:rsidRPr="00B1655F">
              <w:rPr>
                <w:rFonts w:cstheme="minorHAnsi"/>
                <w:szCs w:val="20"/>
              </w:rPr>
              <w:t>3</w:t>
            </w:r>
          </w:p>
        </w:tc>
        <w:tc>
          <w:tcPr>
            <w:tcW w:w="2786" w:type="pct"/>
          </w:tcPr>
          <w:p w14:paraId="619EB8E1" w14:textId="77777777" w:rsidR="00E05A80" w:rsidRPr="00B1655F" w:rsidRDefault="00E05A80" w:rsidP="00BA2E7E">
            <w:pPr>
              <w:rPr>
                <w:rFonts w:cstheme="minorHAnsi"/>
                <w:szCs w:val="20"/>
              </w:rPr>
            </w:pPr>
            <w:r w:rsidRPr="00B1655F">
              <w:rPr>
                <w:rFonts w:cstheme="minorHAnsi"/>
                <w:szCs w:val="20"/>
              </w:rPr>
              <w:t>July 8 – July 10</w:t>
            </w:r>
          </w:p>
        </w:tc>
      </w:tr>
      <w:tr w:rsidR="00523736" w:rsidRPr="00B1655F" w14:paraId="05D977AE" w14:textId="77777777" w:rsidTr="00C76EB4">
        <w:trPr>
          <w:jc w:val="center"/>
        </w:trPr>
        <w:tc>
          <w:tcPr>
            <w:tcW w:w="2214" w:type="pct"/>
          </w:tcPr>
          <w:p w14:paraId="0199B277" w14:textId="77777777" w:rsidR="00E05A80" w:rsidRPr="00B1655F" w:rsidRDefault="00E05A80" w:rsidP="00BA2E7E">
            <w:pPr>
              <w:rPr>
                <w:rFonts w:cstheme="minorHAnsi"/>
                <w:szCs w:val="20"/>
              </w:rPr>
            </w:pPr>
            <w:r w:rsidRPr="00B1655F">
              <w:rPr>
                <w:rFonts w:cstheme="minorHAnsi"/>
                <w:szCs w:val="20"/>
              </w:rPr>
              <w:t>4</w:t>
            </w:r>
          </w:p>
        </w:tc>
        <w:tc>
          <w:tcPr>
            <w:tcW w:w="2786" w:type="pct"/>
          </w:tcPr>
          <w:p w14:paraId="006034E2" w14:textId="77777777" w:rsidR="00E05A80" w:rsidRPr="00B1655F" w:rsidRDefault="00E05A80" w:rsidP="00BA2E7E">
            <w:r w:rsidRPr="00B1655F">
              <w:rPr>
                <w:rFonts w:cstheme="minorHAnsi"/>
                <w:szCs w:val="20"/>
              </w:rPr>
              <w:t>Sep 1 – Sep 3</w:t>
            </w:r>
          </w:p>
        </w:tc>
      </w:tr>
      <w:tr w:rsidR="00523736" w:rsidRPr="00B1655F" w14:paraId="28D1701F" w14:textId="77777777" w:rsidTr="00C76EB4">
        <w:trPr>
          <w:jc w:val="center"/>
        </w:trPr>
        <w:tc>
          <w:tcPr>
            <w:tcW w:w="2214" w:type="pct"/>
          </w:tcPr>
          <w:p w14:paraId="02D10852" w14:textId="77777777" w:rsidR="00E05A80" w:rsidRPr="00B1655F" w:rsidRDefault="00E05A80" w:rsidP="00BA2E7E">
            <w:pPr>
              <w:rPr>
                <w:rFonts w:cstheme="minorHAnsi"/>
                <w:szCs w:val="20"/>
              </w:rPr>
            </w:pPr>
            <w:r w:rsidRPr="00B1655F">
              <w:rPr>
                <w:rFonts w:cstheme="minorHAnsi"/>
                <w:szCs w:val="20"/>
              </w:rPr>
              <w:t>5</w:t>
            </w:r>
          </w:p>
        </w:tc>
        <w:tc>
          <w:tcPr>
            <w:tcW w:w="2786" w:type="pct"/>
          </w:tcPr>
          <w:p w14:paraId="2838DF0B" w14:textId="77777777" w:rsidR="00E05A80" w:rsidRPr="00B1655F" w:rsidRDefault="00E05A80" w:rsidP="00BA2E7E">
            <w:r w:rsidRPr="00B1655F">
              <w:rPr>
                <w:rFonts w:cstheme="minorHAnsi"/>
                <w:szCs w:val="20"/>
              </w:rPr>
              <w:t>Sep 8 – Sep 10</w:t>
            </w:r>
          </w:p>
        </w:tc>
      </w:tr>
      <w:tr w:rsidR="00523736" w:rsidRPr="00B1655F" w14:paraId="744B592D" w14:textId="77777777" w:rsidTr="00C76EB4">
        <w:trPr>
          <w:jc w:val="center"/>
        </w:trPr>
        <w:tc>
          <w:tcPr>
            <w:tcW w:w="2214" w:type="pct"/>
          </w:tcPr>
          <w:p w14:paraId="05C71EBC" w14:textId="77777777" w:rsidR="00E05A80" w:rsidRPr="00B1655F" w:rsidRDefault="00E05A80" w:rsidP="00BA2E7E">
            <w:pPr>
              <w:rPr>
                <w:rFonts w:cstheme="minorHAnsi"/>
                <w:szCs w:val="20"/>
              </w:rPr>
            </w:pPr>
            <w:r w:rsidRPr="00B1655F">
              <w:rPr>
                <w:rFonts w:cstheme="minorHAnsi"/>
                <w:szCs w:val="20"/>
              </w:rPr>
              <w:t>6</w:t>
            </w:r>
          </w:p>
        </w:tc>
        <w:tc>
          <w:tcPr>
            <w:tcW w:w="2786" w:type="pct"/>
          </w:tcPr>
          <w:p w14:paraId="42F2B660" w14:textId="77777777" w:rsidR="00E05A80" w:rsidRPr="00B1655F" w:rsidRDefault="00E05A80" w:rsidP="00BA2E7E">
            <w:r w:rsidRPr="00B1655F">
              <w:rPr>
                <w:rFonts w:cstheme="minorHAnsi"/>
                <w:szCs w:val="20"/>
              </w:rPr>
              <w:t>Sep 1 – Sep 3</w:t>
            </w:r>
          </w:p>
        </w:tc>
      </w:tr>
      <w:tr w:rsidR="00523736" w:rsidRPr="00B1655F" w14:paraId="06E0C1F7" w14:textId="77777777" w:rsidTr="00C76EB4">
        <w:trPr>
          <w:jc w:val="center"/>
        </w:trPr>
        <w:tc>
          <w:tcPr>
            <w:tcW w:w="2214" w:type="pct"/>
          </w:tcPr>
          <w:p w14:paraId="09A902D8" w14:textId="77777777" w:rsidR="00E05A80" w:rsidRPr="00B1655F" w:rsidRDefault="00E05A80" w:rsidP="00BA2E7E">
            <w:pPr>
              <w:rPr>
                <w:rFonts w:cstheme="minorHAnsi"/>
                <w:szCs w:val="20"/>
              </w:rPr>
            </w:pPr>
            <w:r w:rsidRPr="00B1655F">
              <w:rPr>
                <w:rFonts w:cstheme="minorHAnsi"/>
                <w:szCs w:val="20"/>
              </w:rPr>
              <w:t>7</w:t>
            </w:r>
          </w:p>
        </w:tc>
        <w:tc>
          <w:tcPr>
            <w:tcW w:w="2786" w:type="pct"/>
          </w:tcPr>
          <w:p w14:paraId="33DED6BC" w14:textId="77777777" w:rsidR="00E05A80" w:rsidRPr="00B1655F" w:rsidRDefault="00E05A80" w:rsidP="00BA2E7E">
            <w:r w:rsidRPr="00B1655F">
              <w:rPr>
                <w:rFonts w:cstheme="minorHAnsi"/>
                <w:szCs w:val="20"/>
              </w:rPr>
              <w:t>Sep 1 – Sep 3</w:t>
            </w:r>
          </w:p>
        </w:tc>
      </w:tr>
      <w:tr w:rsidR="00523736" w:rsidRPr="00B1655F" w14:paraId="7F005266" w14:textId="77777777" w:rsidTr="00C76EB4">
        <w:trPr>
          <w:jc w:val="center"/>
        </w:trPr>
        <w:tc>
          <w:tcPr>
            <w:tcW w:w="2214" w:type="pct"/>
          </w:tcPr>
          <w:p w14:paraId="777DE822" w14:textId="77777777" w:rsidR="00E05A80" w:rsidRPr="00B1655F" w:rsidRDefault="00E05A80" w:rsidP="00BA2E7E">
            <w:pPr>
              <w:rPr>
                <w:rFonts w:cstheme="minorHAnsi"/>
                <w:szCs w:val="20"/>
              </w:rPr>
            </w:pPr>
            <w:r w:rsidRPr="00B1655F">
              <w:rPr>
                <w:rFonts w:cstheme="minorHAnsi"/>
                <w:szCs w:val="20"/>
              </w:rPr>
              <w:t>8</w:t>
            </w:r>
          </w:p>
        </w:tc>
        <w:tc>
          <w:tcPr>
            <w:tcW w:w="2786" w:type="pct"/>
          </w:tcPr>
          <w:p w14:paraId="343F6487" w14:textId="77777777" w:rsidR="00E05A80" w:rsidRPr="00B1655F" w:rsidRDefault="00E05A80" w:rsidP="00BA2E7E">
            <w:r w:rsidRPr="00B1655F">
              <w:rPr>
                <w:rFonts w:cstheme="minorHAnsi"/>
                <w:szCs w:val="20"/>
              </w:rPr>
              <w:t>Sep 1 – Sep 3</w:t>
            </w:r>
          </w:p>
        </w:tc>
      </w:tr>
      <w:tr w:rsidR="00523736" w:rsidRPr="00B1655F" w14:paraId="4FFD9AED" w14:textId="77777777" w:rsidTr="00C76EB4">
        <w:trPr>
          <w:jc w:val="center"/>
        </w:trPr>
        <w:tc>
          <w:tcPr>
            <w:tcW w:w="2214" w:type="pct"/>
          </w:tcPr>
          <w:p w14:paraId="4A661E92" w14:textId="77777777" w:rsidR="00E05A80" w:rsidRPr="00B1655F" w:rsidRDefault="00E05A80" w:rsidP="00BA2E7E">
            <w:pPr>
              <w:rPr>
                <w:rFonts w:cstheme="minorHAnsi"/>
                <w:szCs w:val="20"/>
              </w:rPr>
            </w:pPr>
            <w:r w:rsidRPr="00B1655F">
              <w:rPr>
                <w:rFonts w:cstheme="minorHAnsi"/>
                <w:szCs w:val="20"/>
              </w:rPr>
              <w:t>9</w:t>
            </w:r>
          </w:p>
        </w:tc>
        <w:tc>
          <w:tcPr>
            <w:tcW w:w="2786" w:type="pct"/>
          </w:tcPr>
          <w:p w14:paraId="4AAFA945" w14:textId="77777777" w:rsidR="00E05A80" w:rsidRPr="00B1655F" w:rsidRDefault="00E05A80" w:rsidP="00BA2E7E">
            <w:r w:rsidRPr="00B1655F">
              <w:rPr>
                <w:rFonts w:cstheme="minorHAnsi"/>
                <w:szCs w:val="20"/>
              </w:rPr>
              <w:t>Sep 1 – Sep 3</w:t>
            </w:r>
          </w:p>
        </w:tc>
      </w:tr>
      <w:tr w:rsidR="00523736" w:rsidRPr="00B1655F" w14:paraId="4E6F66B7" w14:textId="77777777" w:rsidTr="00C76EB4">
        <w:trPr>
          <w:jc w:val="center"/>
        </w:trPr>
        <w:tc>
          <w:tcPr>
            <w:tcW w:w="2214" w:type="pct"/>
          </w:tcPr>
          <w:p w14:paraId="4F2D4E4A" w14:textId="77777777" w:rsidR="00E05A80" w:rsidRPr="00B1655F" w:rsidRDefault="00E05A80" w:rsidP="00BA2E7E">
            <w:pPr>
              <w:rPr>
                <w:rFonts w:cstheme="minorHAnsi"/>
                <w:szCs w:val="20"/>
              </w:rPr>
            </w:pPr>
            <w:r w:rsidRPr="00B1655F">
              <w:rPr>
                <w:rFonts w:cstheme="minorHAnsi"/>
                <w:szCs w:val="20"/>
              </w:rPr>
              <w:t>10</w:t>
            </w:r>
          </w:p>
        </w:tc>
        <w:tc>
          <w:tcPr>
            <w:tcW w:w="2786" w:type="pct"/>
          </w:tcPr>
          <w:p w14:paraId="18213EB5" w14:textId="77777777" w:rsidR="00E05A80" w:rsidRPr="00B1655F" w:rsidRDefault="00E05A80" w:rsidP="00BA2E7E">
            <w:r w:rsidRPr="00B1655F">
              <w:rPr>
                <w:rFonts w:cstheme="minorHAnsi"/>
                <w:szCs w:val="20"/>
              </w:rPr>
              <w:t>Sep 1 – Sep 3</w:t>
            </w:r>
          </w:p>
        </w:tc>
      </w:tr>
      <w:tr w:rsidR="00523736" w:rsidRPr="00B1655F" w14:paraId="7D59763F" w14:textId="77777777" w:rsidTr="00C76EB4">
        <w:trPr>
          <w:jc w:val="center"/>
        </w:trPr>
        <w:tc>
          <w:tcPr>
            <w:tcW w:w="2214" w:type="pct"/>
          </w:tcPr>
          <w:p w14:paraId="22C466D4" w14:textId="77777777" w:rsidR="00E05A80" w:rsidRPr="00B1655F" w:rsidRDefault="00E05A80" w:rsidP="00BA2E7E">
            <w:pPr>
              <w:rPr>
                <w:rFonts w:cstheme="minorHAnsi"/>
                <w:szCs w:val="20"/>
              </w:rPr>
            </w:pPr>
            <w:r w:rsidRPr="00B1655F">
              <w:rPr>
                <w:rFonts w:cstheme="minorHAnsi"/>
                <w:szCs w:val="20"/>
              </w:rPr>
              <w:t>11</w:t>
            </w:r>
          </w:p>
        </w:tc>
        <w:tc>
          <w:tcPr>
            <w:tcW w:w="2786" w:type="pct"/>
          </w:tcPr>
          <w:p w14:paraId="63A99F84" w14:textId="77777777" w:rsidR="00E05A80" w:rsidRPr="00B1655F" w:rsidRDefault="00E05A80" w:rsidP="00BA2E7E">
            <w:r w:rsidRPr="00B1655F">
              <w:rPr>
                <w:rFonts w:cstheme="minorHAnsi"/>
                <w:szCs w:val="20"/>
              </w:rPr>
              <w:t>July 8 – July 10</w:t>
            </w:r>
          </w:p>
        </w:tc>
      </w:tr>
      <w:tr w:rsidR="00523736" w:rsidRPr="00B1655F" w14:paraId="3773AAC2" w14:textId="77777777" w:rsidTr="00C76EB4">
        <w:trPr>
          <w:jc w:val="center"/>
        </w:trPr>
        <w:tc>
          <w:tcPr>
            <w:tcW w:w="2214" w:type="pct"/>
          </w:tcPr>
          <w:p w14:paraId="6C1A5348" w14:textId="77777777" w:rsidR="00E05A80" w:rsidRPr="00B1655F" w:rsidRDefault="00E05A80" w:rsidP="00BA2E7E">
            <w:pPr>
              <w:rPr>
                <w:rFonts w:cstheme="minorHAnsi"/>
                <w:szCs w:val="20"/>
              </w:rPr>
            </w:pPr>
            <w:r w:rsidRPr="00B1655F">
              <w:rPr>
                <w:rFonts w:cstheme="minorHAnsi"/>
                <w:szCs w:val="20"/>
              </w:rPr>
              <w:t>12</w:t>
            </w:r>
          </w:p>
        </w:tc>
        <w:tc>
          <w:tcPr>
            <w:tcW w:w="2786" w:type="pct"/>
          </w:tcPr>
          <w:p w14:paraId="48F9EFDC" w14:textId="77777777" w:rsidR="00E05A80" w:rsidRPr="00B1655F" w:rsidRDefault="00E05A80" w:rsidP="00BA2E7E">
            <w:r w:rsidRPr="00B1655F">
              <w:rPr>
                <w:rFonts w:cstheme="minorHAnsi"/>
                <w:szCs w:val="20"/>
              </w:rPr>
              <w:t>July 8 – July 10</w:t>
            </w:r>
          </w:p>
        </w:tc>
      </w:tr>
      <w:tr w:rsidR="00523736" w:rsidRPr="00B1655F" w14:paraId="3CB9DBB5" w14:textId="77777777" w:rsidTr="00C76EB4">
        <w:trPr>
          <w:jc w:val="center"/>
        </w:trPr>
        <w:tc>
          <w:tcPr>
            <w:tcW w:w="2214" w:type="pct"/>
          </w:tcPr>
          <w:p w14:paraId="6B6A942A" w14:textId="77777777" w:rsidR="00E05A80" w:rsidRPr="00B1655F" w:rsidRDefault="00E05A80" w:rsidP="00BA2E7E">
            <w:pPr>
              <w:rPr>
                <w:rFonts w:cstheme="minorHAnsi"/>
                <w:szCs w:val="20"/>
              </w:rPr>
            </w:pPr>
            <w:r w:rsidRPr="00B1655F">
              <w:rPr>
                <w:rFonts w:cstheme="minorHAnsi"/>
                <w:szCs w:val="20"/>
              </w:rPr>
              <w:t>13</w:t>
            </w:r>
          </w:p>
        </w:tc>
        <w:tc>
          <w:tcPr>
            <w:tcW w:w="2786" w:type="pct"/>
          </w:tcPr>
          <w:p w14:paraId="72C2F83B" w14:textId="77777777" w:rsidR="00E05A80" w:rsidRPr="00B1655F" w:rsidRDefault="00E05A80" w:rsidP="00BA2E7E">
            <w:r w:rsidRPr="00B1655F">
              <w:rPr>
                <w:rFonts w:cstheme="minorHAnsi"/>
                <w:szCs w:val="20"/>
              </w:rPr>
              <w:t>July 8 – July 10</w:t>
            </w:r>
          </w:p>
        </w:tc>
      </w:tr>
      <w:tr w:rsidR="00523736" w:rsidRPr="00B1655F" w14:paraId="715A55BC" w14:textId="77777777" w:rsidTr="00C76EB4">
        <w:trPr>
          <w:jc w:val="center"/>
        </w:trPr>
        <w:tc>
          <w:tcPr>
            <w:tcW w:w="2214" w:type="pct"/>
          </w:tcPr>
          <w:p w14:paraId="412E745D" w14:textId="77777777" w:rsidR="00E05A80" w:rsidRPr="00B1655F" w:rsidRDefault="00E05A80" w:rsidP="00BA2E7E">
            <w:pPr>
              <w:rPr>
                <w:rFonts w:cstheme="minorHAnsi"/>
                <w:szCs w:val="20"/>
              </w:rPr>
            </w:pPr>
            <w:r w:rsidRPr="00B1655F">
              <w:rPr>
                <w:rFonts w:cstheme="minorHAnsi"/>
                <w:szCs w:val="20"/>
              </w:rPr>
              <w:t>14</w:t>
            </w:r>
          </w:p>
        </w:tc>
        <w:tc>
          <w:tcPr>
            <w:tcW w:w="2786" w:type="pct"/>
          </w:tcPr>
          <w:p w14:paraId="2E32E3CF" w14:textId="77777777" w:rsidR="00E05A80" w:rsidRPr="00B1655F" w:rsidRDefault="00E05A80" w:rsidP="00BA2E7E">
            <w:r w:rsidRPr="00B1655F">
              <w:rPr>
                <w:rFonts w:cstheme="minorHAnsi"/>
                <w:szCs w:val="20"/>
              </w:rPr>
              <w:t>Aug 26 – Aug 28</w:t>
            </w:r>
          </w:p>
        </w:tc>
      </w:tr>
      <w:tr w:rsidR="00523736" w:rsidRPr="00B1655F" w14:paraId="753B38B9" w14:textId="77777777" w:rsidTr="00C76EB4">
        <w:trPr>
          <w:jc w:val="center"/>
        </w:trPr>
        <w:tc>
          <w:tcPr>
            <w:tcW w:w="2214" w:type="pct"/>
          </w:tcPr>
          <w:p w14:paraId="31980FD3" w14:textId="77777777" w:rsidR="00E05A80" w:rsidRPr="00B1655F" w:rsidRDefault="00E05A80" w:rsidP="00BA2E7E">
            <w:pPr>
              <w:rPr>
                <w:rFonts w:cstheme="minorHAnsi"/>
                <w:szCs w:val="20"/>
              </w:rPr>
            </w:pPr>
            <w:r w:rsidRPr="00B1655F">
              <w:rPr>
                <w:rFonts w:cstheme="minorHAnsi"/>
                <w:szCs w:val="20"/>
              </w:rPr>
              <w:t>15</w:t>
            </w:r>
          </w:p>
        </w:tc>
        <w:tc>
          <w:tcPr>
            <w:tcW w:w="2786" w:type="pct"/>
          </w:tcPr>
          <w:p w14:paraId="31A3D550" w14:textId="77777777" w:rsidR="00E05A80" w:rsidRPr="00B1655F" w:rsidRDefault="00E05A80" w:rsidP="00BA2E7E">
            <w:r w:rsidRPr="00B1655F">
              <w:rPr>
                <w:rFonts w:cstheme="minorHAnsi"/>
                <w:szCs w:val="20"/>
              </w:rPr>
              <w:t>Aug 25 – Aug 27</w:t>
            </w:r>
          </w:p>
        </w:tc>
      </w:tr>
      <w:tr w:rsidR="00523736" w:rsidRPr="00B1655F" w14:paraId="6FB11D49" w14:textId="77777777" w:rsidTr="00C76EB4">
        <w:trPr>
          <w:jc w:val="center"/>
        </w:trPr>
        <w:tc>
          <w:tcPr>
            <w:tcW w:w="2214" w:type="pct"/>
          </w:tcPr>
          <w:p w14:paraId="7BFC092A" w14:textId="77777777" w:rsidR="00E05A80" w:rsidRPr="00B1655F" w:rsidRDefault="00E05A80" w:rsidP="00BA2E7E">
            <w:pPr>
              <w:rPr>
                <w:rFonts w:cstheme="minorHAnsi"/>
                <w:szCs w:val="20"/>
              </w:rPr>
            </w:pPr>
            <w:r w:rsidRPr="00B1655F">
              <w:rPr>
                <w:rFonts w:cstheme="minorHAnsi"/>
                <w:szCs w:val="20"/>
              </w:rPr>
              <w:t>16</w:t>
            </w:r>
          </w:p>
        </w:tc>
        <w:tc>
          <w:tcPr>
            <w:tcW w:w="2786" w:type="pct"/>
          </w:tcPr>
          <w:p w14:paraId="0EF8891F" w14:textId="77777777" w:rsidR="00E05A80" w:rsidRPr="00B1655F" w:rsidRDefault="00E05A80" w:rsidP="00BA2E7E">
            <w:r w:rsidRPr="00B1655F">
              <w:rPr>
                <w:rFonts w:cstheme="minorHAnsi"/>
                <w:szCs w:val="20"/>
              </w:rPr>
              <w:t>July 8 – July 10</w:t>
            </w:r>
          </w:p>
        </w:tc>
      </w:tr>
    </w:tbl>
    <w:p w14:paraId="78BD6E1B" w14:textId="33CF5027" w:rsidR="00E16609" w:rsidRPr="00B1655F" w:rsidRDefault="00E16609" w:rsidP="00C76EB4">
      <w:pPr>
        <w:pStyle w:val="Heading1"/>
        <w:keepNext w:val="0"/>
        <w:spacing w:after="0"/>
        <w:rPr>
          <w:rFonts w:cstheme="minorHAnsi"/>
        </w:rPr>
      </w:pPr>
      <w:bookmarkStart w:id="28" w:name="_Toc214003093"/>
      <w:r w:rsidRPr="00B1655F">
        <w:rPr>
          <w:rFonts w:cstheme="minorHAnsi"/>
        </w:rPr>
        <w:lastRenderedPageBreak/>
        <w:t>Section 3</w:t>
      </w:r>
      <w:r w:rsidR="00317970" w:rsidRPr="00B1655F">
        <w:rPr>
          <w:rFonts w:cstheme="minorHAnsi"/>
        </w:rPr>
        <w:t xml:space="preserve">. </w:t>
      </w:r>
      <w:r w:rsidRPr="00B1655F">
        <w:rPr>
          <w:rFonts w:cstheme="minorHAnsi"/>
        </w:rPr>
        <w:t>Load Shape</w:t>
      </w:r>
      <w:bookmarkEnd w:id="28"/>
      <w:r w:rsidRPr="00B1655F">
        <w:rPr>
          <w:rFonts w:cstheme="minorHAnsi"/>
        </w:rPr>
        <w:t>s</w:t>
      </w:r>
    </w:p>
    <w:p w14:paraId="394274A8" w14:textId="2820F785" w:rsidR="004F4C12" w:rsidRDefault="004F4C12" w:rsidP="004F4C12">
      <w:pPr>
        <w:rPr>
          <w:rFonts w:cs="Arial"/>
        </w:rPr>
      </w:pPr>
      <w:r>
        <w:rPr>
          <w:rFonts w:cs="Arial"/>
          <w:szCs w:val="20"/>
        </w:rPr>
        <w:fldChar w:fldCharType="begin"/>
      </w:r>
      <w:r>
        <w:rPr>
          <w:rFonts w:cs="Arial"/>
          <w:szCs w:val="20"/>
        </w:rPr>
        <w:instrText xml:space="preserve"> XE "load shape" </w:instrText>
      </w:r>
      <w:r>
        <w:rPr>
          <w:rFonts w:cs="Arial"/>
          <w:szCs w:val="20"/>
        </w:rPr>
        <w:fldChar w:fldCharType="end"/>
      </w:r>
      <w:r>
        <w:rPr>
          <w:rFonts w:cs="Arial"/>
          <w:szCs w:val="20"/>
        </w:rPr>
        <w:t xml:space="preserve">The closest load shape </w:t>
      </w:r>
      <w:r w:rsidR="00945B8A">
        <w:rPr>
          <w:rFonts w:cs="Arial"/>
          <w:szCs w:val="20"/>
        </w:rPr>
        <w:t xml:space="preserve">chosen </w:t>
      </w:r>
      <w:r>
        <w:rPr>
          <w:rFonts w:cs="Arial"/>
          <w:szCs w:val="20"/>
        </w:rPr>
        <w:t>for this measure is the DEER:</w:t>
      </w:r>
      <w:r w:rsidR="00391B6D">
        <w:rPr>
          <w:rFonts w:cs="Arial"/>
          <w:szCs w:val="20"/>
        </w:rPr>
        <w:t xml:space="preserve"> </w:t>
      </w:r>
      <w:r>
        <w:rPr>
          <w:rFonts w:cs="Arial"/>
          <w:szCs w:val="20"/>
        </w:rPr>
        <w:t xml:space="preserve">Indoor_Non-CFL_Ltg load shape. </w:t>
      </w:r>
      <w:r>
        <w:rPr>
          <w:rFonts w:cs="Arial"/>
        </w:rPr>
        <w:t>The base case load shape would be expected to follow a typical nonresidential foodservice end use load shape.</w:t>
      </w:r>
    </w:p>
    <w:p w14:paraId="4582216E" w14:textId="77777777" w:rsidR="004F4C12" w:rsidRDefault="004F4C12" w:rsidP="004F4C12">
      <w:pPr>
        <w:rPr>
          <w:rFonts w:cs="Arial"/>
          <w:sz w:val="20"/>
        </w:rPr>
      </w:pPr>
    </w:p>
    <w:p w14:paraId="2C494EFB" w14:textId="1F07B793" w:rsidR="004F4C12" w:rsidRDefault="004F4C12" w:rsidP="004F4C12">
      <w:pPr>
        <w:rPr>
          <w:rFonts w:cs="Arial"/>
        </w:rPr>
      </w:pPr>
      <w:r>
        <w:rPr>
          <w:rFonts w:cs="Arial"/>
        </w:rPr>
        <w:t>Commercial</w:t>
      </w:r>
      <w:r w:rsidR="00945B8A">
        <w:rPr>
          <w:rFonts w:cs="Arial"/>
        </w:rPr>
        <w:t xml:space="preserve"> pre-rinse spray valve</w:t>
      </w:r>
      <w:r>
        <w:rPr>
          <w:rFonts w:cs="Arial"/>
        </w:rPr>
        <w:t xml:space="preserve"> load shapes </w:t>
      </w:r>
      <w:r>
        <w:fldChar w:fldCharType="begin"/>
      </w:r>
      <w:r>
        <w:rPr>
          <w:rFonts w:cs="Arial"/>
        </w:rPr>
        <w:instrText xml:space="preserve"> XE "load shape" </w:instrText>
      </w:r>
      <w:r>
        <w:rPr>
          <w:rFonts w:cs="Arial"/>
        </w:rPr>
        <w:fldChar w:fldCharType="end"/>
      </w:r>
      <w:r w:rsidR="0063437B">
        <w:rPr>
          <w:rFonts w:cs="Arial"/>
        </w:rPr>
        <w:t>vary depending on</w:t>
      </w:r>
      <w:r>
        <w:rPr>
          <w:rFonts w:cs="Arial"/>
        </w:rPr>
        <w:t xml:space="preserve"> facility type</w:t>
      </w:r>
      <w:r w:rsidR="00945B8A">
        <w:rPr>
          <w:rFonts w:cs="Arial"/>
        </w:rPr>
        <w:t xml:space="preserve"> (quick</w:t>
      </w:r>
      <w:r>
        <w:rPr>
          <w:rFonts w:cs="Arial"/>
        </w:rPr>
        <w:t>-</w:t>
      </w:r>
      <w:r w:rsidR="00945B8A">
        <w:rPr>
          <w:rFonts w:cs="Arial"/>
        </w:rPr>
        <w:t>service, casual dining, hotels, college, schools, hospitals</w:t>
      </w:r>
      <w:r>
        <w:rPr>
          <w:rFonts w:cs="Arial"/>
        </w:rPr>
        <w:t>,</w:t>
      </w:r>
      <w:r w:rsidR="00945B8A">
        <w:rPr>
          <w:rFonts w:cs="Arial"/>
        </w:rPr>
        <w:t xml:space="preserve"> etc.)</w:t>
      </w:r>
      <w:r>
        <w:rPr>
          <w:rFonts w:cs="Arial"/>
        </w:rPr>
        <w:t>,</w:t>
      </w:r>
      <w:r w:rsidR="00945B8A">
        <w:rPr>
          <w:rFonts w:cs="Arial"/>
        </w:rPr>
        <w:t xml:space="preserve"> hours of operation, serving periods, day-of-</w:t>
      </w:r>
      <w:r>
        <w:rPr>
          <w:rFonts w:cs="Arial"/>
        </w:rPr>
        <w:t>the-</w:t>
      </w:r>
      <w:r w:rsidR="00945B8A">
        <w:rPr>
          <w:rFonts w:cs="Arial"/>
        </w:rPr>
        <w:t>week, and facility location (</w:t>
      </w:r>
      <w:r>
        <w:rPr>
          <w:rFonts w:cs="Arial"/>
        </w:rPr>
        <w:t>urban downtown</w:t>
      </w:r>
      <w:r w:rsidR="00945B8A">
        <w:rPr>
          <w:rFonts w:cs="Arial"/>
        </w:rPr>
        <w:t>, suburban mall, access to interstate highways, etc.). Consequently, applicable average</w:t>
      </w:r>
      <w:r w:rsidR="0063437B">
        <w:rPr>
          <w:rFonts w:cs="Arial"/>
        </w:rPr>
        <w:t xml:space="preserve"> Time-of-Use (</w:t>
      </w:r>
      <w:r w:rsidR="00945B8A">
        <w:rPr>
          <w:rFonts w:cs="Arial"/>
        </w:rPr>
        <w:t>TOU</w:t>
      </w:r>
      <w:r w:rsidR="0063437B">
        <w:rPr>
          <w:rFonts w:cs="Arial"/>
        </w:rPr>
        <w:t>)</w:t>
      </w:r>
      <w:r w:rsidR="00945B8A">
        <w:rPr>
          <w:rFonts w:cs="Arial"/>
        </w:rPr>
        <w:t xml:space="preserve"> and hourly load shapes for PRSVs are unavailable. Generally, PRSVs are used to clean dishes after tables have been bussed, so loads tend to increase after regular meal periods (breakfast, lunch, and dinner)</w:t>
      </w:r>
      <w:r w:rsidR="0063437B">
        <w:rPr>
          <w:rFonts w:cs="Arial"/>
        </w:rPr>
        <w:t xml:space="preserve">. </w:t>
      </w:r>
    </w:p>
    <w:p w14:paraId="1367BABE" w14:textId="77777777" w:rsidR="004F4C12" w:rsidRDefault="004F4C12" w:rsidP="004F4C12">
      <w:pPr>
        <w:rPr>
          <w:rFonts w:cs="Arial"/>
        </w:rPr>
      </w:pPr>
    </w:p>
    <w:p w14:paraId="1E02D490" w14:textId="317C3B6E" w:rsidR="00CF464D" w:rsidRPr="00C018E0" w:rsidRDefault="004F4C12" w:rsidP="00C76EB4">
      <w:r>
        <w:rPr>
          <w:rFonts w:cs="Arial"/>
          <w:szCs w:val="20"/>
        </w:rPr>
        <w:t>There are no measure case load shapes applicable to these measures. The base case shapes and measure load shapes are identical.</w:t>
      </w:r>
    </w:p>
    <w:p w14:paraId="7D0376C7" w14:textId="77777777" w:rsidR="00945B8A" w:rsidRDefault="00945B8A" w:rsidP="00E16609">
      <w:pPr>
        <w:rPr>
          <w:rFonts w:cstheme="minorHAnsi"/>
          <w:i/>
          <w:szCs w:val="22"/>
        </w:rPr>
      </w:pPr>
    </w:p>
    <w:p w14:paraId="63E4A803" w14:textId="742CAE14"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w:t>
      </w:r>
      <w:r w:rsidR="00611B87" w:rsidRPr="00500C4E">
        <w:rPr>
          <w:rFonts w:cstheme="minorHAnsi"/>
          <w:szCs w:val="22"/>
        </w:rPr>
        <w:t>closest</w:t>
      </w:r>
      <w:r w:rsidRPr="00500C4E">
        <w:rPr>
          <w:rFonts w:cstheme="minorHAnsi"/>
          <w:szCs w:val="22"/>
        </w:rPr>
        <w:t xml:space="preserve">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560E71B3" w14:textId="77777777"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2841"/>
        <w:gridCol w:w="3950"/>
        <w:gridCol w:w="2559"/>
      </w:tblGrid>
      <w:tr w:rsidR="00263C1C" w:rsidRPr="00500C4E" w14:paraId="7C368BB2" w14:textId="77777777" w:rsidTr="00920905">
        <w:tc>
          <w:tcPr>
            <w:tcW w:w="1686" w:type="pct"/>
            <w:shd w:val="clear" w:color="auto" w:fill="D9D9D9" w:themeFill="background1" w:themeFillShade="D9"/>
          </w:tcPr>
          <w:p w14:paraId="032CCE7A"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68F9C7C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5171221D" w14:textId="77777777"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263C1C" w:rsidRPr="004F4C12" w14:paraId="69F660A4" w14:textId="77777777" w:rsidTr="00920905">
        <w:tc>
          <w:tcPr>
            <w:tcW w:w="1686" w:type="pct"/>
          </w:tcPr>
          <w:p w14:paraId="539A31B6" w14:textId="77777777" w:rsidR="00263C1C" w:rsidRPr="004F4C12" w:rsidRDefault="00263C1C" w:rsidP="00BA2E7E">
            <w:pPr>
              <w:rPr>
                <w:rFonts w:cstheme="minorHAnsi"/>
                <w:szCs w:val="20"/>
              </w:rPr>
            </w:pPr>
            <w:r w:rsidRPr="004F4C12">
              <w:rPr>
                <w:rFonts w:cstheme="minorHAnsi"/>
                <w:szCs w:val="20"/>
              </w:rPr>
              <w:t>Restaurant – Fast Food</w:t>
            </w:r>
          </w:p>
        </w:tc>
        <w:tc>
          <w:tcPr>
            <w:tcW w:w="1779" w:type="pct"/>
          </w:tcPr>
          <w:p w14:paraId="5D71EB4E" w14:textId="14653D2D" w:rsidR="00263C1C" w:rsidRPr="00FC3C63" w:rsidRDefault="00FC3C63" w:rsidP="00BA2E7E">
            <w:pPr>
              <w:rPr>
                <w:rFonts w:ascii="Calibri" w:hAnsi="Calibri" w:cs="Calibri"/>
                <w:color w:val="000000"/>
                <w:szCs w:val="22"/>
              </w:rPr>
            </w:pPr>
            <w:r>
              <w:rPr>
                <w:rFonts w:ascii="Calibri" w:hAnsi="Calibri" w:cs="Calibri"/>
                <w:color w:val="000000"/>
                <w:sz w:val="22"/>
                <w:szCs w:val="22"/>
              </w:rPr>
              <w:t>SCG:NON_RES:DEER:Com:Indoor_CFL_Ltg</w:t>
            </w:r>
          </w:p>
        </w:tc>
        <w:tc>
          <w:tcPr>
            <w:tcW w:w="1535" w:type="pct"/>
          </w:tcPr>
          <w:p w14:paraId="765D0785" w14:textId="77777777" w:rsidR="00263C1C" w:rsidRPr="004F4C12" w:rsidRDefault="00263C1C" w:rsidP="00BA2E7E">
            <w:pPr>
              <w:rPr>
                <w:rFonts w:cstheme="minorHAnsi"/>
                <w:szCs w:val="20"/>
              </w:rPr>
            </w:pPr>
            <w:r w:rsidRPr="004F4C12">
              <w:rPr>
                <w:rFonts w:cstheme="minorHAnsi"/>
                <w:szCs w:val="20"/>
              </w:rPr>
              <w:t>NON_RES</w:t>
            </w:r>
          </w:p>
        </w:tc>
      </w:tr>
    </w:tbl>
    <w:p w14:paraId="2BE66000" w14:textId="77777777" w:rsidR="005552C3" w:rsidRDefault="00F95E2F" w:rsidP="00920905">
      <w:pPr>
        <w:pStyle w:val="Heading1"/>
      </w:pPr>
      <w:r>
        <w:t>Section 4. Costs</w:t>
      </w:r>
    </w:p>
    <w:p w14:paraId="3FFDB378" w14:textId="16A86489" w:rsidR="004F4C12" w:rsidRPr="004F4C12" w:rsidRDefault="004F4C12" w:rsidP="00920905">
      <w:pPr>
        <w:rPr>
          <w:rFonts w:cs="Arial"/>
        </w:rPr>
      </w:pPr>
      <w:r>
        <w:rPr>
          <w:rFonts w:cs="Arial"/>
        </w:rPr>
        <w:t>Generally, high</w:t>
      </w:r>
      <w:r w:rsidR="00391B6D">
        <w:rPr>
          <w:rFonts w:cs="Arial"/>
        </w:rPr>
        <w:t>-</w:t>
      </w:r>
      <w:r>
        <w:rPr>
          <w:rFonts w:cs="Arial"/>
        </w:rPr>
        <w:t xml:space="preserve">efficiency </w:t>
      </w:r>
      <w:r w:rsidR="002D28B1">
        <w:rPr>
          <w:rFonts w:cs="Arial"/>
        </w:rPr>
        <w:t>low-flow pre-rinse spray valves</w:t>
      </w:r>
      <w:r w:rsidR="00A65392">
        <w:rPr>
          <w:rFonts w:cs="Arial"/>
        </w:rPr>
        <w:t xml:space="preserve"> are</w:t>
      </w:r>
      <w:r>
        <w:rPr>
          <w:rFonts w:cs="Arial"/>
        </w:rPr>
        <w:t xml:space="preserve"> list</w:t>
      </w:r>
      <w:r w:rsidR="00A65392">
        <w:rPr>
          <w:rFonts w:cs="Arial"/>
        </w:rPr>
        <w:t>ed</w:t>
      </w:r>
      <w:r>
        <w:rPr>
          <w:rFonts w:cs="Arial"/>
        </w:rPr>
        <w:t xml:space="preserve"> </w:t>
      </w:r>
      <w:r w:rsidR="00B810B0">
        <w:rPr>
          <w:rFonts w:cs="Arial"/>
        </w:rPr>
        <w:t>at a higher</w:t>
      </w:r>
      <w:r w:rsidR="00A65392">
        <w:rPr>
          <w:rFonts w:cs="Arial"/>
        </w:rPr>
        <w:t xml:space="preserve"> </w:t>
      </w:r>
      <w:r w:rsidR="00611B87">
        <w:rPr>
          <w:rFonts w:cs="Arial"/>
        </w:rPr>
        <w:t>cost</w:t>
      </w:r>
      <w:r>
        <w:rPr>
          <w:rFonts w:cs="Arial"/>
        </w:rPr>
        <w:t xml:space="preserve"> than standard</w:t>
      </w:r>
      <w:r w:rsidR="00A65392">
        <w:rPr>
          <w:rFonts w:cs="Arial"/>
        </w:rPr>
        <w:t xml:space="preserve"> </w:t>
      </w:r>
      <w:r>
        <w:rPr>
          <w:rFonts w:cs="Arial"/>
        </w:rPr>
        <w:t xml:space="preserve">PRSVs. Equipment prices for </w:t>
      </w:r>
      <w:r w:rsidR="001C27B2">
        <w:rPr>
          <w:rFonts w:cs="Arial"/>
        </w:rPr>
        <w:t xml:space="preserve">this </w:t>
      </w:r>
      <w:r>
        <w:rPr>
          <w:rFonts w:cs="Arial"/>
        </w:rPr>
        <w:t>work</w:t>
      </w:r>
      <w:r w:rsidR="003250FA">
        <w:rPr>
          <w:rFonts w:cs="Arial"/>
        </w:rPr>
        <w:t xml:space="preserve"> </w:t>
      </w:r>
      <w:r>
        <w:rPr>
          <w:rFonts w:cs="Arial"/>
        </w:rPr>
        <w:t xml:space="preserve">paper were compiled from </w:t>
      </w:r>
      <w:r w:rsidR="001F32CB">
        <w:rPr>
          <w:rFonts w:cs="Arial"/>
        </w:rPr>
        <w:t>online retailers selling PRSVs.</w:t>
      </w:r>
    </w:p>
    <w:p w14:paraId="59FFBDD2" w14:textId="77777777" w:rsidR="00E16609" w:rsidRDefault="00E16609" w:rsidP="00824F1C">
      <w:pPr>
        <w:pStyle w:val="Heading2"/>
        <w:rPr>
          <w:rFonts w:asciiTheme="minorHAnsi" w:hAnsiTheme="minorHAnsi" w:cstheme="minorHAnsi"/>
        </w:rPr>
      </w:pPr>
      <w:bookmarkStart w:id="29" w:name="_MON_1399297811"/>
      <w:bookmarkStart w:id="30" w:name="_Toc214003097"/>
      <w:bookmarkEnd w:id="29"/>
      <w:r w:rsidRPr="00500C4E">
        <w:rPr>
          <w:rFonts w:asciiTheme="minorHAnsi" w:hAnsiTheme="minorHAnsi" w:cstheme="minorHAnsi"/>
        </w:rPr>
        <w:t>4.1 Base Case Cost</w:t>
      </w:r>
      <w:bookmarkEnd w:id="30"/>
    </w:p>
    <w:p w14:paraId="43221401" w14:textId="27F87E48" w:rsidR="004F4C12" w:rsidRPr="00C76EB4" w:rsidRDefault="004F4C12">
      <w:pPr>
        <w:rPr>
          <w:rFonts w:ascii="Times New Roman" w:hAnsi="Times New Roman"/>
          <w:sz w:val="28"/>
          <w:szCs w:val="28"/>
          <w:vertAlign w:val="superscript"/>
        </w:rPr>
      </w:pPr>
      <w:bookmarkStart w:id="31" w:name="_Toc214003098"/>
      <w:r>
        <w:rPr>
          <w:rFonts w:cs="Arial"/>
        </w:rPr>
        <w:t xml:space="preserve">The </w:t>
      </w:r>
      <w:r w:rsidR="005579EC">
        <w:rPr>
          <w:rFonts w:cs="Arial"/>
        </w:rPr>
        <w:t>b</w:t>
      </w:r>
      <w:r>
        <w:rPr>
          <w:rFonts w:cs="Arial"/>
        </w:rPr>
        <w:t xml:space="preserve">ase </w:t>
      </w:r>
      <w:r w:rsidR="005579EC">
        <w:rPr>
          <w:rFonts w:cs="Arial"/>
        </w:rPr>
        <w:t>c</w:t>
      </w:r>
      <w:r>
        <w:rPr>
          <w:rFonts w:cs="Arial"/>
        </w:rPr>
        <w:t>ase costs include only the equipment. High</w:t>
      </w:r>
      <w:r w:rsidR="004666D5">
        <w:rPr>
          <w:rFonts w:cs="Arial"/>
        </w:rPr>
        <w:t>-</w:t>
      </w:r>
      <w:r>
        <w:rPr>
          <w:rFonts w:cs="Arial"/>
        </w:rPr>
        <w:t xml:space="preserve">efficiency PRSVs require no additional labor or maintenance compared to base case PRSVs. Since this measure is applicable for </w:t>
      </w:r>
      <w:r w:rsidR="006C111B">
        <w:rPr>
          <w:rFonts w:cs="Arial"/>
        </w:rPr>
        <w:t>NR</w:t>
      </w:r>
      <w:r>
        <w:rPr>
          <w:rFonts w:cs="Arial"/>
        </w:rPr>
        <w:t xml:space="preserve"> and NC installations, the installation and maintenance costs are expected to be the same for the customer. The estimated equipment cost is based on recent list cost data for PRSVs </w:t>
      </w:r>
      <w:r w:rsidR="00C356D8">
        <w:rPr>
          <w:rFonts w:cs="Arial"/>
        </w:rPr>
        <w:t>from major online retailers.</w:t>
      </w:r>
      <w:r>
        <w:rPr>
          <w:rFonts w:cs="Arial"/>
        </w:rPr>
        <w:t xml:space="preserve"> </w:t>
      </w:r>
      <w:r w:rsidR="00E173F9">
        <w:rPr>
          <w:rFonts w:cs="Arial"/>
        </w:rPr>
        <w:t>Base cost was determined for federally regulated spray valves between 1.07 and 1.20 gpm</w:t>
      </w:r>
      <w:r w:rsidR="000B5518">
        <w:rPr>
          <w:rFonts w:cs="Arial"/>
        </w:rPr>
        <w:t xml:space="preserve"> because higher flow PRSVs are standard practice</w:t>
      </w:r>
      <w:r w:rsidR="00082427">
        <w:rPr>
          <w:rFonts w:cs="Arial"/>
        </w:rPr>
        <w:t>.</w:t>
      </w:r>
      <w:r w:rsidR="003D508E">
        <w:rPr>
          <w:rFonts w:cs="Arial"/>
        </w:rPr>
        <w:t xml:space="preserve"> More detailed pricing information can be found in Appendix A.</w:t>
      </w:r>
    </w:p>
    <w:p w14:paraId="0D6647BA" w14:textId="77777777" w:rsidR="004F4C12" w:rsidRDefault="004F4C12" w:rsidP="004F4C12">
      <w:pPr>
        <w:rPr>
          <w:rFonts w:ascii="Times New Roman" w:hAnsi="Times New Roman"/>
          <w:sz w:val="24"/>
        </w:rPr>
      </w:pPr>
    </w:p>
    <w:p w14:paraId="2445AB2D" w14:textId="184D48EC" w:rsidR="003B3E41" w:rsidRPr="00C24003" w:rsidRDefault="004F4C12" w:rsidP="004F4C12">
      <w:pPr>
        <w:rPr>
          <w:rFonts w:cs="Arial"/>
          <w:szCs w:val="22"/>
        </w:rPr>
      </w:pPr>
      <w:r w:rsidRPr="00C24003">
        <w:rPr>
          <w:rFonts w:cs="Arial"/>
          <w:szCs w:val="22"/>
        </w:rPr>
        <w:t xml:space="preserve">The following </w:t>
      </w:r>
      <w:r w:rsidR="00475B82" w:rsidRPr="00C24003">
        <w:rPr>
          <w:rFonts w:cs="Arial"/>
          <w:szCs w:val="22"/>
        </w:rPr>
        <w:t>m</w:t>
      </w:r>
      <w:r w:rsidRPr="00C24003">
        <w:rPr>
          <w:rFonts w:cs="Arial"/>
          <w:szCs w:val="22"/>
        </w:rPr>
        <w:t xml:space="preserve">easure </w:t>
      </w:r>
      <w:r w:rsidR="00475B82" w:rsidRPr="00C24003">
        <w:rPr>
          <w:rFonts w:cs="Arial"/>
          <w:szCs w:val="22"/>
        </w:rPr>
        <w:t>a</w:t>
      </w:r>
      <w:r w:rsidRPr="00C24003">
        <w:rPr>
          <w:rFonts w:cs="Arial"/>
          <w:szCs w:val="22"/>
        </w:rPr>
        <w:t xml:space="preserve">pplication </w:t>
      </w:r>
      <w:r w:rsidR="00475B82" w:rsidRPr="00C24003">
        <w:rPr>
          <w:rFonts w:cs="Arial"/>
          <w:szCs w:val="22"/>
        </w:rPr>
        <w:t>t</w:t>
      </w:r>
      <w:r w:rsidRPr="00C24003">
        <w:rPr>
          <w:rFonts w:cs="Arial"/>
          <w:szCs w:val="22"/>
        </w:rPr>
        <w:t xml:space="preserve">ypes are appropriate to these measures. The </w:t>
      </w:r>
      <w:r w:rsidR="00475B82" w:rsidRPr="00C24003">
        <w:rPr>
          <w:rFonts w:cs="Arial"/>
          <w:szCs w:val="22"/>
        </w:rPr>
        <w:t>b</w:t>
      </w:r>
      <w:r w:rsidRPr="00C24003">
        <w:rPr>
          <w:rFonts w:cs="Arial"/>
          <w:szCs w:val="22"/>
        </w:rPr>
        <w:t xml:space="preserve">ase </w:t>
      </w:r>
      <w:r w:rsidR="00475B82" w:rsidRPr="00C24003">
        <w:rPr>
          <w:rFonts w:cs="Arial"/>
          <w:szCs w:val="22"/>
        </w:rPr>
        <w:t>c</w:t>
      </w:r>
      <w:r w:rsidRPr="00C24003">
        <w:rPr>
          <w:rFonts w:cs="Arial"/>
          <w:szCs w:val="22"/>
        </w:rPr>
        <w:t xml:space="preserve">ase </w:t>
      </w:r>
      <w:r w:rsidR="00475B82" w:rsidRPr="00C24003">
        <w:rPr>
          <w:rFonts w:cs="Arial"/>
          <w:szCs w:val="22"/>
        </w:rPr>
        <w:t>c</w:t>
      </w:r>
      <w:r w:rsidRPr="00C24003">
        <w:rPr>
          <w:rFonts w:cs="Arial"/>
          <w:szCs w:val="22"/>
        </w:rPr>
        <w:t>osts are:</w:t>
      </w:r>
    </w:p>
    <w:p w14:paraId="18E19EBD" w14:textId="77777777" w:rsidR="003B3E41" w:rsidRDefault="003B3E41" w:rsidP="004F4C12">
      <w:pPr>
        <w:rPr>
          <w:rFonts w:cs="Arial"/>
          <w:sz w:val="20"/>
          <w:szCs w:val="20"/>
        </w:rPr>
      </w:pPr>
    </w:p>
    <w:p w14:paraId="4053EA25" w14:textId="0A2839FE" w:rsidR="004F4C12" w:rsidRPr="00C76EB4" w:rsidRDefault="004F4C12" w:rsidP="004F4C12">
      <w:pPr>
        <w:pStyle w:val="Table"/>
        <w:rPr>
          <w:rFonts w:asciiTheme="minorHAnsi" w:hAnsiTheme="minorHAnsi" w:cstheme="minorHAnsi"/>
          <w:b/>
        </w:rPr>
      </w:pPr>
      <w:bookmarkStart w:id="32" w:name="_Toc391398031"/>
      <w:r w:rsidRPr="00C76EB4">
        <w:rPr>
          <w:rFonts w:asciiTheme="minorHAnsi" w:hAnsiTheme="minorHAnsi" w:cstheme="minorHAnsi"/>
          <w:b/>
        </w:rPr>
        <w:t>Base Case Costs</w:t>
      </w:r>
      <w:bookmarkEnd w:id="32"/>
    </w:p>
    <w:tbl>
      <w:tblPr>
        <w:tblW w:w="9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5"/>
        <w:gridCol w:w="1377"/>
        <w:gridCol w:w="1504"/>
        <w:gridCol w:w="1388"/>
        <w:gridCol w:w="1311"/>
        <w:gridCol w:w="1481"/>
        <w:gridCol w:w="1120"/>
      </w:tblGrid>
      <w:tr w:rsidR="005627F5" w14:paraId="73185638" w14:textId="77777777" w:rsidTr="00AD2FAF">
        <w:trPr>
          <w:trHeight w:val="245"/>
        </w:trPr>
        <w:tc>
          <w:tcPr>
            <w:tcW w:w="140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E4A737E" w14:textId="4CAC3DDD" w:rsidR="004F4C12" w:rsidRPr="00C76EB4" w:rsidRDefault="004F4C12">
            <w:pPr>
              <w:rPr>
                <w:rFonts w:cs="Arial"/>
                <w:b/>
                <w:sz w:val="20"/>
                <w:szCs w:val="20"/>
              </w:rPr>
            </w:pPr>
            <w:r w:rsidRPr="00C76EB4">
              <w:rPr>
                <w:rFonts w:cs="Arial"/>
                <w:b/>
                <w:sz w:val="20"/>
                <w:szCs w:val="20"/>
              </w:rPr>
              <w:t xml:space="preserve">Measure </w:t>
            </w:r>
          </w:p>
        </w:tc>
        <w:tc>
          <w:tcPr>
            <w:tcW w:w="13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3D9D36" w14:textId="77777777" w:rsidR="004F4C12" w:rsidRDefault="004F4C12">
            <w:pPr>
              <w:rPr>
                <w:rFonts w:cs="Arial"/>
                <w:b/>
                <w:sz w:val="20"/>
                <w:szCs w:val="20"/>
              </w:rPr>
            </w:pPr>
            <w:r>
              <w:rPr>
                <w:rFonts w:cs="Arial"/>
                <w:b/>
                <w:sz w:val="20"/>
                <w:szCs w:val="20"/>
              </w:rPr>
              <w:t>Measure Application Type</w:t>
            </w:r>
          </w:p>
        </w:tc>
        <w:tc>
          <w:tcPr>
            <w:tcW w:w="150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BC504F3" w14:textId="77777777" w:rsidR="004F4C12" w:rsidRDefault="004F4C12">
            <w:pPr>
              <w:rPr>
                <w:rFonts w:cs="Arial"/>
                <w:b/>
                <w:sz w:val="20"/>
                <w:szCs w:val="20"/>
              </w:rPr>
            </w:pPr>
            <w:r>
              <w:rPr>
                <w:rFonts w:cs="Arial"/>
                <w:b/>
                <w:sz w:val="20"/>
                <w:szCs w:val="20"/>
              </w:rPr>
              <w:t>Baseline</w:t>
            </w:r>
          </w:p>
        </w:tc>
        <w:tc>
          <w:tcPr>
            <w:tcW w:w="138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5B9A13" w14:textId="77777777" w:rsidR="004F4C12" w:rsidRDefault="004F4C12">
            <w:pPr>
              <w:rPr>
                <w:rFonts w:cs="Arial"/>
                <w:b/>
                <w:sz w:val="20"/>
                <w:szCs w:val="20"/>
              </w:rPr>
            </w:pPr>
            <w:r>
              <w:rPr>
                <w:rFonts w:cs="Arial"/>
                <w:b/>
                <w:sz w:val="20"/>
                <w:szCs w:val="20"/>
              </w:rPr>
              <w:t>Equipment Cost</w:t>
            </w:r>
          </w:p>
        </w:tc>
        <w:tc>
          <w:tcPr>
            <w:tcW w:w="131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327C6D" w14:textId="77777777" w:rsidR="004F4C12" w:rsidRDefault="004F4C12">
            <w:pPr>
              <w:rPr>
                <w:rFonts w:cs="Arial"/>
                <w:b/>
                <w:sz w:val="20"/>
                <w:szCs w:val="20"/>
              </w:rPr>
            </w:pPr>
            <w:r>
              <w:rPr>
                <w:rFonts w:cs="Arial"/>
                <w:b/>
                <w:sz w:val="20"/>
                <w:szCs w:val="20"/>
              </w:rPr>
              <w:t>Labor / Installation Cost</w:t>
            </w:r>
          </w:p>
        </w:tc>
        <w:tc>
          <w:tcPr>
            <w:tcW w:w="148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DC6446" w14:textId="77777777" w:rsidR="004F4C12" w:rsidRDefault="004F4C12">
            <w:pPr>
              <w:rPr>
                <w:rFonts w:cs="Arial"/>
                <w:b/>
                <w:sz w:val="20"/>
                <w:szCs w:val="20"/>
              </w:rPr>
            </w:pPr>
            <w:r>
              <w:rPr>
                <w:rFonts w:cs="Arial"/>
                <w:b/>
                <w:sz w:val="20"/>
                <w:szCs w:val="20"/>
              </w:rPr>
              <w:t>Maintenance / Other Cost</w:t>
            </w:r>
          </w:p>
        </w:tc>
        <w:tc>
          <w:tcPr>
            <w:tcW w:w="112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DFFA2E1" w14:textId="77777777" w:rsidR="004F4C12" w:rsidRDefault="004F4C12">
            <w:pPr>
              <w:rPr>
                <w:rFonts w:cs="Arial"/>
                <w:b/>
                <w:sz w:val="20"/>
                <w:szCs w:val="20"/>
              </w:rPr>
            </w:pPr>
            <w:r>
              <w:rPr>
                <w:rFonts w:cs="Arial"/>
                <w:b/>
                <w:sz w:val="20"/>
                <w:szCs w:val="20"/>
              </w:rPr>
              <w:t>Total Base Case Cost</w:t>
            </w:r>
          </w:p>
        </w:tc>
      </w:tr>
      <w:tr w:rsidR="00AD2FAF" w:rsidRPr="003B3E41" w14:paraId="1C2CF956" w14:textId="77777777" w:rsidTr="00C24003">
        <w:trPr>
          <w:trHeight w:val="245"/>
        </w:trPr>
        <w:tc>
          <w:tcPr>
            <w:tcW w:w="1405" w:type="dxa"/>
            <w:tcBorders>
              <w:top w:val="single" w:sz="4" w:space="0" w:color="auto"/>
              <w:left w:val="single" w:sz="4" w:space="0" w:color="auto"/>
              <w:bottom w:val="single" w:sz="4" w:space="0" w:color="auto"/>
              <w:right w:val="single" w:sz="4" w:space="0" w:color="auto"/>
            </w:tcBorders>
            <w:shd w:val="clear" w:color="auto" w:fill="auto"/>
            <w:hideMark/>
          </w:tcPr>
          <w:p w14:paraId="7952FC69" w14:textId="57561CA8" w:rsidR="003B3E41" w:rsidRPr="00C76EB4" w:rsidRDefault="00174AA5" w:rsidP="008851E8">
            <w:pPr>
              <w:rPr>
                <w:rFonts w:cs="Arial"/>
                <w:sz w:val="20"/>
                <w:szCs w:val="20"/>
              </w:rPr>
            </w:pPr>
            <w:r>
              <w:rPr>
                <w:rFonts w:cs="Arial"/>
                <w:sz w:val="20"/>
                <w:szCs w:val="20"/>
              </w:rPr>
              <w:t xml:space="preserve">PRSV: </w:t>
            </w:r>
            <w:r>
              <w:rPr>
                <w:rFonts w:cs="Arial"/>
                <w:szCs w:val="20"/>
              </w:rPr>
              <w:t xml:space="preserve">&lt; </w:t>
            </w:r>
            <w:r w:rsidRPr="004F408B">
              <w:rPr>
                <w:rFonts w:cs="Arial"/>
                <w:szCs w:val="20"/>
              </w:rPr>
              <w:t xml:space="preserve">0.75 </w:t>
            </w:r>
            <w:r>
              <w:rPr>
                <w:rFonts w:cs="Arial"/>
                <w:szCs w:val="20"/>
              </w:rPr>
              <w:t>gpm</w:t>
            </w:r>
            <w:bookmarkStart w:id="33" w:name="_GoBack"/>
            <w:bookmarkEnd w:id="33"/>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7FAA3C94" w14:textId="53F3E27D" w:rsidR="003B3E41" w:rsidRPr="00C76EB4" w:rsidRDefault="006C111B" w:rsidP="008851E8">
            <w:pPr>
              <w:rPr>
                <w:rFonts w:cs="Arial"/>
                <w:sz w:val="20"/>
                <w:szCs w:val="20"/>
              </w:rPr>
            </w:pPr>
            <w:r>
              <w:rPr>
                <w:rFonts w:cs="Arial"/>
                <w:sz w:val="20"/>
                <w:szCs w:val="20"/>
              </w:rPr>
              <w:t>NR</w:t>
            </w:r>
            <w:r w:rsidR="003B3E41" w:rsidRPr="00C76EB4">
              <w:rPr>
                <w:rFonts w:cs="Arial"/>
                <w:sz w:val="20"/>
                <w:szCs w:val="20"/>
              </w:rPr>
              <w:t xml:space="preserve"> /NC</w:t>
            </w:r>
          </w:p>
        </w:tc>
        <w:tc>
          <w:tcPr>
            <w:tcW w:w="1504" w:type="dxa"/>
            <w:tcBorders>
              <w:top w:val="single" w:sz="4" w:space="0" w:color="auto"/>
              <w:left w:val="single" w:sz="4" w:space="0" w:color="auto"/>
              <w:bottom w:val="single" w:sz="4" w:space="0" w:color="auto"/>
              <w:right w:val="single" w:sz="4" w:space="0" w:color="auto"/>
            </w:tcBorders>
            <w:shd w:val="clear" w:color="auto" w:fill="auto"/>
            <w:hideMark/>
          </w:tcPr>
          <w:p w14:paraId="40E30475" w14:textId="4E44ACB3" w:rsidR="003B3E41" w:rsidRPr="00C76EB4" w:rsidRDefault="005627F5" w:rsidP="008851E8">
            <w:pPr>
              <w:rPr>
                <w:rFonts w:cs="Arial"/>
                <w:sz w:val="20"/>
                <w:szCs w:val="20"/>
              </w:rPr>
            </w:pPr>
            <w:r>
              <w:rPr>
                <w:rFonts w:cs="Arial"/>
                <w:sz w:val="20"/>
                <w:szCs w:val="20"/>
              </w:rPr>
              <w:t>Code/Standard</w:t>
            </w:r>
          </w:p>
        </w:tc>
        <w:tc>
          <w:tcPr>
            <w:tcW w:w="1388" w:type="dxa"/>
            <w:tcBorders>
              <w:top w:val="single" w:sz="4" w:space="0" w:color="auto"/>
              <w:left w:val="single" w:sz="4" w:space="0" w:color="auto"/>
              <w:bottom w:val="single" w:sz="4" w:space="0" w:color="auto"/>
              <w:right w:val="single" w:sz="4" w:space="0" w:color="auto"/>
            </w:tcBorders>
            <w:shd w:val="clear" w:color="auto" w:fill="auto"/>
            <w:hideMark/>
          </w:tcPr>
          <w:p w14:paraId="602EDEBC" w14:textId="47EF6B38" w:rsidR="003B3E41" w:rsidRPr="00C76EB4" w:rsidRDefault="003B3E41" w:rsidP="008851E8">
            <w:pPr>
              <w:rPr>
                <w:rFonts w:cs="Arial"/>
                <w:sz w:val="20"/>
                <w:szCs w:val="20"/>
              </w:rPr>
            </w:pPr>
            <w:r w:rsidRPr="00C76EB4">
              <w:rPr>
                <w:rFonts w:cs="Arial"/>
                <w:sz w:val="20"/>
                <w:szCs w:val="20"/>
              </w:rPr>
              <w:t>$</w:t>
            </w:r>
            <w:r w:rsidR="00E173F9">
              <w:rPr>
                <w:rFonts w:cs="Arial"/>
                <w:sz w:val="20"/>
                <w:szCs w:val="20"/>
              </w:rPr>
              <w:t>46</w:t>
            </w:r>
          </w:p>
        </w:tc>
        <w:tc>
          <w:tcPr>
            <w:tcW w:w="1311" w:type="dxa"/>
            <w:tcBorders>
              <w:top w:val="single" w:sz="4" w:space="0" w:color="auto"/>
              <w:left w:val="single" w:sz="4" w:space="0" w:color="auto"/>
              <w:bottom w:val="single" w:sz="4" w:space="0" w:color="auto"/>
              <w:right w:val="single" w:sz="4" w:space="0" w:color="auto"/>
            </w:tcBorders>
            <w:shd w:val="clear" w:color="auto" w:fill="auto"/>
            <w:hideMark/>
          </w:tcPr>
          <w:p w14:paraId="0123B129" w14:textId="77777777" w:rsidR="003B3E41" w:rsidRPr="00C76EB4" w:rsidRDefault="003B3E41" w:rsidP="008851E8">
            <w:pPr>
              <w:rPr>
                <w:rFonts w:cs="Arial"/>
                <w:sz w:val="20"/>
                <w:szCs w:val="20"/>
              </w:rPr>
            </w:pPr>
            <w:r w:rsidRPr="00C76EB4">
              <w:rPr>
                <w:rFonts w:cs="Arial"/>
                <w:sz w:val="20"/>
                <w:szCs w:val="20"/>
              </w:rPr>
              <w:t>$0</w:t>
            </w:r>
          </w:p>
        </w:tc>
        <w:tc>
          <w:tcPr>
            <w:tcW w:w="1481" w:type="dxa"/>
            <w:tcBorders>
              <w:top w:val="single" w:sz="4" w:space="0" w:color="auto"/>
              <w:left w:val="single" w:sz="4" w:space="0" w:color="auto"/>
              <w:bottom w:val="single" w:sz="4" w:space="0" w:color="auto"/>
              <w:right w:val="single" w:sz="4" w:space="0" w:color="auto"/>
            </w:tcBorders>
            <w:shd w:val="clear" w:color="auto" w:fill="auto"/>
            <w:hideMark/>
          </w:tcPr>
          <w:p w14:paraId="515023B9" w14:textId="77777777" w:rsidR="003B3E41" w:rsidRPr="00C76EB4" w:rsidRDefault="003B3E41" w:rsidP="008851E8">
            <w:pPr>
              <w:rPr>
                <w:rFonts w:cs="Arial"/>
                <w:sz w:val="20"/>
                <w:szCs w:val="20"/>
              </w:rPr>
            </w:pPr>
            <w:r w:rsidRPr="00C76EB4">
              <w:rPr>
                <w:rFonts w:cs="Arial"/>
                <w:sz w:val="20"/>
                <w:szCs w:val="20"/>
              </w:rPr>
              <w:t>$0</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0A774209" w14:textId="77E0D282" w:rsidR="003B3E41" w:rsidRPr="003B3E41" w:rsidRDefault="003B3E41" w:rsidP="008851E8">
            <w:pPr>
              <w:rPr>
                <w:rFonts w:cs="Arial"/>
                <w:sz w:val="20"/>
                <w:szCs w:val="20"/>
              </w:rPr>
            </w:pPr>
            <w:r w:rsidRPr="00C76EB4">
              <w:rPr>
                <w:rFonts w:cs="Arial"/>
                <w:sz w:val="20"/>
                <w:szCs w:val="20"/>
              </w:rPr>
              <w:t>$</w:t>
            </w:r>
            <w:r w:rsidR="00E173F9">
              <w:rPr>
                <w:rFonts w:cs="Arial"/>
                <w:sz w:val="20"/>
                <w:szCs w:val="20"/>
              </w:rPr>
              <w:t>46</w:t>
            </w:r>
          </w:p>
        </w:tc>
      </w:tr>
      <w:tr w:rsidR="00AD2FAF" w14:paraId="194B1826" w14:textId="77777777" w:rsidTr="00C24003">
        <w:trPr>
          <w:trHeight w:val="245"/>
        </w:trPr>
        <w:tc>
          <w:tcPr>
            <w:tcW w:w="1405" w:type="dxa"/>
            <w:tcBorders>
              <w:top w:val="single" w:sz="4" w:space="0" w:color="auto"/>
              <w:left w:val="single" w:sz="4" w:space="0" w:color="auto"/>
              <w:bottom w:val="single" w:sz="4" w:space="0" w:color="auto"/>
              <w:right w:val="single" w:sz="4" w:space="0" w:color="auto"/>
            </w:tcBorders>
            <w:shd w:val="clear" w:color="auto" w:fill="auto"/>
            <w:hideMark/>
          </w:tcPr>
          <w:p w14:paraId="07B0A34D" w14:textId="220220A0" w:rsidR="004F4C12" w:rsidRPr="00C76EB4" w:rsidRDefault="00174AA5">
            <w:pPr>
              <w:rPr>
                <w:rFonts w:cs="Arial"/>
                <w:sz w:val="20"/>
                <w:szCs w:val="20"/>
              </w:rPr>
            </w:pPr>
            <w:r>
              <w:rPr>
                <w:rFonts w:cs="Arial"/>
                <w:szCs w:val="20"/>
              </w:rPr>
              <w:t>PRSV: 0.75 – 1.07 gpm</w:t>
            </w:r>
          </w:p>
        </w:tc>
        <w:tc>
          <w:tcPr>
            <w:tcW w:w="1377" w:type="dxa"/>
            <w:tcBorders>
              <w:top w:val="single" w:sz="4" w:space="0" w:color="auto"/>
              <w:left w:val="single" w:sz="4" w:space="0" w:color="auto"/>
              <w:bottom w:val="single" w:sz="4" w:space="0" w:color="auto"/>
              <w:right w:val="single" w:sz="4" w:space="0" w:color="auto"/>
            </w:tcBorders>
            <w:shd w:val="clear" w:color="auto" w:fill="auto"/>
            <w:hideMark/>
          </w:tcPr>
          <w:p w14:paraId="1E756551" w14:textId="4F8D8767" w:rsidR="004F4C12" w:rsidRPr="00C76EB4" w:rsidRDefault="006C111B">
            <w:pPr>
              <w:rPr>
                <w:rFonts w:cs="Arial"/>
                <w:sz w:val="20"/>
                <w:szCs w:val="20"/>
              </w:rPr>
            </w:pPr>
            <w:r>
              <w:rPr>
                <w:rFonts w:cs="Arial"/>
                <w:sz w:val="20"/>
                <w:szCs w:val="20"/>
              </w:rPr>
              <w:t>NR</w:t>
            </w:r>
            <w:r w:rsidR="004F4C12" w:rsidRPr="00C76EB4">
              <w:rPr>
                <w:rFonts w:cs="Arial"/>
                <w:sz w:val="20"/>
                <w:szCs w:val="20"/>
              </w:rPr>
              <w:t xml:space="preserve"> /NC</w:t>
            </w:r>
          </w:p>
        </w:tc>
        <w:tc>
          <w:tcPr>
            <w:tcW w:w="1504" w:type="dxa"/>
            <w:tcBorders>
              <w:top w:val="single" w:sz="4" w:space="0" w:color="auto"/>
              <w:left w:val="single" w:sz="4" w:space="0" w:color="auto"/>
              <w:bottom w:val="single" w:sz="4" w:space="0" w:color="auto"/>
              <w:right w:val="single" w:sz="4" w:space="0" w:color="auto"/>
            </w:tcBorders>
            <w:shd w:val="clear" w:color="auto" w:fill="auto"/>
            <w:hideMark/>
          </w:tcPr>
          <w:p w14:paraId="18BC8B93" w14:textId="03905071" w:rsidR="004F4C12" w:rsidRPr="00C76EB4" w:rsidRDefault="005627F5">
            <w:pPr>
              <w:rPr>
                <w:rFonts w:cs="Arial"/>
                <w:sz w:val="20"/>
                <w:szCs w:val="20"/>
              </w:rPr>
            </w:pPr>
            <w:r>
              <w:rPr>
                <w:rFonts w:cs="Arial"/>
                <w:sz w:val="20"/>
                <w:szCs w:val="20"/>
              </w:rPr>
              <w:t>Code/Standard</w:t>
            </w:r>
          </w:p>
        </w:tc>
        <w:tc>
          <w:tcPr>
            <w:tcW w:w="1388" w:type="dxa"/>
            <w:tcBorders>
              <w:top w:val="single" w:sz="4" w:space="0" w:color="auto"/>
              <w:left w:val="single" w:sz="4" w:space="0" w:color="auto"/>
              <w:bottom w:val="single" w:sz="4" w:space="0" w:color="auto"/>
              <w:right w:val="single" w:sz="4" w:space="0" w:color="auto"/>
            </w:tcBorders>
            <w:shd w:val="clear" w:color="auto" w:fill="auto"/>
            <w:hideMark/>
          </w:tcPr>
          <w:p w14:paraId="14435441" w14:textId="5DBFDE04" w:rsidR="004F4C12" w:rsidRPr="00C76EB4" w:rsidRDefault="004F4C12">
            <w:pPr>
              <w:rPr>
                <w:rFonts w:cs="Arial"/>
                <w:sz w:val="20"/>
                <w:szCs w:val="20"/>
              </w:rPr>
            </w:pPr>
            <w:r w:rsidRPr="00C76EB4">
              <w:rPr>
                <w:rFonts w:cs="Arial"/>
                <w:sz w:val="20"/>
                <w:szCs w:val="20"/>
              </w:rPr>
              <w:t>$</w:t>
            </w:r>
            <w:r w:rsidR="00072D69">
              <w:rPr>
                <w:rFonts w:cs="Arial"/>
                <w:sz w:val="20"/>
                <w:szCs w:val="20"/>
              </w:rPr>
              <w:t>46</w:t>
            </w:r>
          </w:p>
        </w:tc>
        <w:tc>
          <w:tcPr>
            <w:tcW w:w="1311" w:type="dxa"/>
            <w:tcBorders>
              <w:top w:val="single" w:sz="4" w:space="0" w:color="auto"/>
              <w:left w:val="single" w:sz="4" w:space="0" w:color="auto"/>
              <w:bottom w:val="single" w:sz="4" w:space="0" w:color="auto"/>
              <w:right w:val="single" w:sz="4" w:space="0" w:color="auto"/>
            </w:tcBorders>
            <w:shd w:val="clear" w:color="auto" w:fill="auto"/>
            <w:hideMark/>
          </w:tcPr>
          <w:p w14:paraId="760410E2" w14:textId="77777777" w:rsidR="004F4C12" w:rsidRPr="00C76EB4" w:rsidRDefault="004F4C12">
            <w:pPr>
              <w:rPr>
                <w:rFonts w:cs="Arial"/>
                <w:sz w:val="20"/>
                <w:szCs w:val="20"/>
              </w:rPr>
            </w:pPr>
            <w:r w:rsidRPr="00C76EB4">
              <w:rPr>
                <w:rFonts w:cs="Arial"/>
                <w:sz w:val="20"/>
                <w:szCs w:val="20"/>
              </w:rPr>
              <w:t>$0</w:t>
            </w:r>
          </w:p>
        </w:tc>
        <w:tc>
          <w:tcPr>
            <w:tcW w:w="1481" w:type="dxa"/>
            <w:tcBorders>
              <w:top w:val="single" w:sz="4" w:space="0" w:color="auto"/>
              <w:left w:val="single" w:sz="4" w:space="0" w:color="auto"/>
              <w:bottom w:val="single" w:sz="4" w:space="0" w:color="auto"/>
              <w:right w:val="single" w:sz="4" w:space="0" w:color="auto"/>
            </w:tcBorders>
            <w:shd w:val="clear" w:color="auto" w:fill="auto"/>
            <w:hideMark/>
          </w:tcPr>
          <w:p w14:paraId="1508B50D" w14:textId="77777777" w:rsidR="004F4C12" w:rsidRPr="00C76EB4" w:rsidRDefault="004F4C12">
            <w:pPr>
              <w:rPr>
                <w:rFonts w:cs="Arial"/>
                <w:sz w:val="20"/>
                <w:szCs w:val="20"/>
              </w:rPr>
            </w:pPr>
            <w:r w:rsidRPr="00C76EB4">
              <w:rPr>
                <w:rFonts w:cs="Arial"/>
                <w:sz w:val="20"/>
                <w:szCs w:val="20"/>
              </w:rPr>
              <w:t>$0</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0A166C72" w14:textId="24B53145" w:rsidR="004F4C12" w:rsidRDefault="004F4C12">
            <w:pPr>
              <w:rPr>
                <w:rFonts w:cs="Arial"/>
                <w:sz w:val="20"/>
                <w:szCs w:val="20"/>
              </w:rPr>
            </w:pPr>
            <w:r w:rsidRPr="00C76EB4">
              <w:rPr>
                <w:rFonts w:cs="Arial"/>
                <w:sz w:val="20"/>
                <w:szCs w:val="20"/>
              </w:rPr>
              <w:t>$</w:t>
            </w:r>
            <w:r w:rsidR="00072D69">
              <w:rPr>
                <w:rFonts w:cs="Arial"/>
                <w:sz w:val="20"/>
                <w:szCs w:val="20"/>
              </w:rPr>
              <w:t>46</w:t>
            </w:r>
          </w:p>
        </w:tc>
      </w:tr>
    </w:tbl>
    <w:p w14:paraId="70EA2F43" w14:textId="71B43B78" w:rsidR="004F4C12" w:rsidRPr="00C76EB4" w:rsidRDefault="004F4C12" w:rsidP="004F4C12">
      <w:pPr>
        <w:rPr>
          <w:rFonts w:cs="Arial"/>
          <w:i/>
          <w:sz w:val="18"/>
          <w:szCs w:val="20"/>
        </w:rPr>
      </w:pPr>
      <w:r w:rsidRPr="00C76EB4">
        <w:rPr>
          <w:rFonts w:cs="Arial"/>
          <w:i/>
          <w:sz w:val="18"/>
          <w:szCs w:val="20"/>
        </w:rPr>
        <w:t>All costs are noted as $ per measure unit</w:t>
      </w:r>
    </w:p>
    <w:p w14:paraId="2A5A5585" w14:textId="668F8A95" w:rsidR="00857677" w:rsidRDefault="00857677" w:rsidP="004F4C12">
      <w:pPr>
        <w:rPr>
          <w:rFonts w:ascii="Arial" w:hAnsi="Arial" w:cs="Arial"/>
          <w:sz w:val="18"/>
          <w:szCs w:val="20"/>
        </w:rPr>
      </w:pPr>
    </w:p>
    <w:p w14:paraId="2BC469F8" w14:textId="77777777" w:rsidR="00857677" w:rsidRPr="00C76EB4" w:rsidRDefault="00857677" w:rsidP="004F4C12">
      <w:pPr>
        <w:rPr>
          <w:rFonts w:ascii="Arial" w:hAnsi="Arial" w:cs="Arial"/>
          <w:sz w:val="18"/>
          <w:szCs w:val="20"/>
        </w:rPr>
      </w:pPr>
    </w:p>
    <w:p w14:paraId="632405CA" w14:textId="562FFA88" w:rsidR="005A0E53" w:rsidRPr="00500C4E" w:rsidRDefault="005A0E53" w:rsidP="004F4C12">
      <w:pPr>
        <w:pStyle w:val="Heading2"/>
        <w:rPr>
          <w:rFonts w:asciiTheme="minorHAnsi" w:hAnsiTheme="minorHAnsi" w:cstheme="minorHAnsi"/>
        </w:rPr>
      </w:pPr>
      <w:r w:rsidRPr="00500C4E">
        <w:rPr>
          <w:rFonts w:asciiTheme="minorHAnsi" w:hAnsiTheme="minorHAnsi" w:cstheme="minorHAnsi"/>
        </w:rPr>
        <w:t>4.2 Measure Case Cost</w:t>
      </w:r>
    </w:p>
    <w:p w14:paraId="2194EAF9" w14:textId="20ABA3BE" w:rsidR="004F4C12" w:rsidRDefault="004F4C12" w:rsidP="004F4C12">
      <w:pPr>
        <w:rPr>
          <w:rFonts w:cs="Arial"/>
          <w:szCs w:val="20"/>
        </w:rPr>
      </w:pPr>
      <w:r>
        <w:rPr>
          <w:rFonts w:cs="Arial"/>
        </w:rPr>
        <w:t xml:space="preserve">The </w:t>
      </w:r>
      <w:r w:rsidR="00311912">
        <w:rPr>
          <w:rFonts w:cs="Arial"/>
        </w:rPr>
        <w:t>m</w:t>
      </w:r>
      <w:r>
        <w:rPr>
          <w:rFonts w:cs="Arial"/>
        </w:rPr>
        <w:t xml:space="preserve">easure costs include only the equipment, as explained in </w:t>
      </w:r>
      <w:r w:rsidR="00311912">
        <w:rPr>
          <w:rFonts w:cs="Arial"/>
        </w:rPr>
        <w:t>s</w:t>
      </w:r>
      <w:r>
        <w:rPr>
          <w:rFonts w:cs="Arial"/>
        </w:rPr>
        <w:t xml:space="preserve">ection 4.1. </w:t>
      </w:r>
      <w:r w:rsidR="00190A6D">
        <w:rPr>
          <w:rFonts w:cs="Arial"/>
        </w:rPr>
        <w:t>The estimated equipment cost is based on recent list cost data for PRSVs from major online retailers</w:t>
      </w:r>
      <w:r w:rsidR="00BB7E32">
        <w:rPr>
          <w:rFonts w:cs="Arial"/>
        </w:rPr>
        <w:t xml:space="preserve"> in September 2018</w:t>
      </w:r>
      <w:r w:rsidR="00190A6D">
        <w:rPr>
          <w:rFonts w:cs="Arial"/>
        </w:rPr>
        <w:t xml:space="preserve">. </w:t>
      </w:r>
      <w:r>
        <w:rPr>
          <w:rFonts w:cs="Arial"/>
          <w:szCs w:val="20"/>
        </w:rPr>
        <w:t>The following Measure Application Types are appropriate to these measures. The Measure Case Costs are:</w:t>
      </w:r>
    </w:p>
    <w:p w14:paraId="69070A5A" w14:textId="77777777" w:rsidR="004F4C12" w:rsidRDefault="004F4C12" w:rsidP="004F4C12">
      <w:pPr>
        <w:rPr>
          <w:rFonts w:cs="Arial"/>
          <w:szCs w:val="20"/>
        </w:rPr>
      </w:pPr>
    </w:p>
    <w:p w14:paraId="4E250BDE" w14:textId="73A41D90" w:rsidR="004F4C12" w:rsidRPr="00C76EB4" w:rsidRDefault="004F4C12" w:rsidP="004F4C12">
      <w:pPr>
        <w:pStyle w:val="Table"/>
        <w:rPr>
          <w:rFonts w:asciiTheme="minorHAnsi" w:hAnsiTheme="minorHAnsi" w:cstheme="minorHAnsi"/>
          <w:b/>
        </w:rPr>
      </w:pPr>
      <w:bookmarkStart w:id="34" w:name="_Toc391398032"/>
      <w:r w:rsidRPr="00C76EB4">
        <w:rPr>
          <w:rFonts w:asciiTheme="minorHAnsi" w:hAnsiTheme="minorHAnsi" w:cstheme="minorHAnsi"/>
          <w:b/>
        </w:rPr>
        <w:t>Measure Case Costs</w:t>
      </w:r>
      <w:bookmarkEnd w:id="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9"/>
        <w:gridCol w:w="1370"/>
        <w:gridCol w:w="1485"/>
        <w:gridCol w:w="1380"/>
        <w:gridCol w:w="1306"/>
        <w:gridCol w:w="1476"/>
        <w:gridCol w:w="1164"/>
      </w:tblGrid>
      <w:tr w:rsidR="005627F5" w14:paraId="19A58555" w14:textId="77777777" w:rsidTr="00AD2FAF">
        <w:tc>
          <w:tcPr>
            <w:tcW w:w="116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451012" w14:textId="526AA03E" w:rsidR="004F4C12" w:rsidRDefault="004F4C12">
            <w:pPr>
              <w:rPr>
                <w:rFonts w:cs="Arial"/>
                <w:b/>
                <w:i/>
                <w:sz w:val="20"/>
                <w:szCs w:val="20"/>
              </w:rPr>
            </w:pPr>
            <w:r>
              <w:rPr>
                <w:rFonts w:cs="Arial"/>
                <w:b/>
                <w:i/>
                <w:sz w:val="20"/>
                <w:szCs w:val="20"/>
              </w:rPr>
              <w:t xml:space="preserve">Measure </w:t>
            </w:r>
          </w:p>
        </w:tc>
        <w:tc>
          <w:tcPr>
            <w:tcW w:w="13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A868D3B" w14:textId="77777777" w:rsidR="004F4C12" w:rsidRDefault="004F4C12">
            <w:pPr>
              <w:rPr>
                <w:rFonts w:cs="Arial"/>
                <w:b/>
                <w:sz w:val="20"/>
                <w:szCs w:val="20"/>
              </w:rPr>
            </w:pPr>
            <w:r>
              <w:rPr>
                <w:rFonts w:cs="Arial"/>
                <w:b/>
                <w:sz w:val="20"/>
                <w:szCs w:val="20"/>
              </w:rPr>
              <w:t>Measure Application Type</w:t>
            </w:r>
          </w:p>
        </w:tc>
        <w:tc>
          <w:tcPr>
            <w:tcW w:w="14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6E4F2AA" w14:textId="77777777" w:rsidR="004F4C12" w:rsidRDefault="004F4C12">
            <w:pPr>
              <w:rPr>
                <w:rFonts w:cs="Arial"/>
                <w:b/>
                <w:sz w:val="20"/>
                <w:szCs w:val="20"/>
              </w:rPr>
            </w:pPr>
            <w:r>
              <w:rPr>
                <w:rFonts w:cs="Arial"/>
                <w:b/>
                <w:sz w:val="20"/>
                <w:szCs w:val="20"/>
              </w:rPr>
              <w:t>Baseline</w:t>
            </w:r>
          </w:p>
        </w:tc>
        <w:tc>
          <w:tcPr>
            <w:tcW w:w="138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3E429E" w14:textId="77777777" w:rsidR="004F4C12" w:rsidRDefault="004F4C12">
            <w:pPr>
              <w:rPr>
                <w:rFonts w:cs="Arial"/>
                <w:b/>
                <w:sz w:val="20"/>
                <w:szCs w:val="20"/>
              </w:rPr>
            </w:pPr>
            <w:r>
              <w:rPr>
                <w:rFonts w:cs="Arial"/>
                <w:b/>
                <w:sz w:val="20"/>
                <w:szCs w:val="20"/>
              </w:rPr>
              <w:t>Equipment Cost</w:t>
            </w:r>
          </w:p>
        </w:tc>
        <w:tc>
          <w:tcPr>
            <w:tcW w:w="13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78E7F96" w14:textId="77777777" w:rsidR="004F4C12" w:rsidRDefault="004F4C12">
            <w:pPr>
              <w:rPr>
                <w:rFonts w:cs="Arial"/>
                <w:b/>
                <w:sz w:val="20"/>
                <w:szCs w:val="20"/>
              </w:rPr>
            </w:pPr>
            <w:r>
              <w:rPr>
                <w:rFonts w:cs="Arial"/>
                <w:b/>
                <w:sz w:val="20"/>
                <w:szCs w:val="20"/>
              </w:rPr>
              <w:t>Labor / Installation Cost</w:t>
            </w:r>
          </w:p>
        </w:tc>
        <w:tc>
          <w:tcPr>
            <w:tcW w:w="14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C195AE" w14:textId="77777777" w:rsidR="004F4C12" w:rsidRDefault="004F4C12">
            <w:pPr>
              <w:rPr>
                <w:rFonts w:cs="Arial"/>
                <w:b/>
                <w:sz w:val="20"/>
                <w:szCs w:val="20"/>
              </w:rPr>
            </w:pPr>
            <w:r>
              <w:rPr>
                <w:rFonts w:cs="Arial"/>
                <w:b/>
                <w:sz w:val="20"/>
                <w:szCs w:val="20"/>
              </w:rPr>
              <w:t>Maintenance / Other Cost</w:t>
            </w:r>
          </w:p>
        </w:tc>
        <w:tc>
          <w:tcPr>
            <w:tcW w:w="116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97F52D" w14:textId="77777777" w:rsidR="004F4C12" w:rsidRDefault="004F4C12">
            <w:pPr>
              <w:rPr>
                <w:rFonts w:cs="Arial"/>
                <w:b/>
                <w:sz w:val="20"/>
                <w:szCs w:val="20"/>
              </w:rPr>
            </w:pPr>
            <w:r>
              <w:rPr>
                <w:rFonts w:cs="Arial"/>
                <w:b/>
                <w:sz w:val="20"/>
                <w:szCs w:val="20"/>
              </w:rPr>
              <w:t>Total Measure Case Cost</w:t>
            </w:r>
          </w:p>
        </w:tc>
      </w:tr>
      <w:tr w:rsidR="005627F5" w:rsidRPr="00CE4050" w14:paraId="0016BC2F" w14:textId="77777777" w:rsidTr="00AD2FAF">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2D4D10B1" w14:textId="19DEE1C0" w:rsidR="00AD2FAF" w:rsidRPr="00CE4050" w:rsidRDefault="00174AA5" w:rsidP="00AD2FAF">
            <w:pPr>
              <w:rPr>
                <w:rFonts w:cs="Arial"/>
                <w:sz w:val="20"/>
                <w:szCs w:val="20"/>
              </w:rPr>
            </w:pPr>
            <w:r>
              <w:rPr>
                <w:rFonts w:cs="Arial"/>
                <w:sz w:val="20"/>
                <w:szCs w:val="20"/>
              </w:rPr>
              <w:t xml:space="preserve">PRSV: </w:t>
            </w:r>
            <w:r>
              <w:rPr>
                <w:rFonts w:cs="Arial"/>
                <w:szCs w:val="20"/>
              </w:rPr>
              <w:t xml:space="preserve">&lt; </w:t>
            </w:r>
            <w:r w:rsidRPr="004F408B">
              <w:rPr>
                <w:rFonts w:cs="Arial"/>
                <w:szCs w:val="20"/>
              </w:rPr>
              <w:t xml:space="preserve">0.75 </w:t>
            </w:r>
            <w:r>
              <w:rPr>
                <w:rFonts w:cs="Arial"/>
                <w:szCs w:val="20"/>
              </w:rPr>
              <w:t>gpm</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14:paraId="00862521" w14:textId="425719E1" w:rsidR="00AD2FAF" w:rsidRPr="00CE4050" w:rsidRDefault="00AD2FAF" w:rsidP="00AD2FAF">
            <w:pPr>
              <w:rPr>
                <w:rFonts w:cs="Arial"/>
                <w:sz w:val="20"/>
                <w:szCs w:val="20"/>
              </w:rPr>
            </w:pPr>
            <w:r>
              <w:rPr>
                <w:rFonts w:cs="Arial"/>
                <w:sz w:val="20"/>
                <w:szCs w:val="20"/>
              </w:rPr>
              <w:t>NR</w:t>
            </w:r>
            <w:r w:rsidRPr="00CE4050">
              <w:rPr>
                <w:rFonts w:cs="Arial"/>
                <w:sz w:val="20"/>
                <w:szCs w:val="20"/>
              </w:rPr>
              <w:t xml:space="preserve"> /NC</w:t>
            </w:r>
          </w:p>
        </w:tc>
        <w:tc>
          <w:tcPr>
            <w:tcW w:w="1485" w:type="dxa"/>
            <w:tcBorders>
              <w:top w:val="single" w:sz="4" w:space="0" w:color="auto"/>
              <w:left w:val="single" w:sz="4" w:space="0" w:color="auto"/>
              <w:bottom w:val="single" w:sz="4" w:space="0" w:color="auto"/>
              <w:right w:val="single" w:sz="4" w:space="0" w:color="auto"/>
            </w:tcBorders>
            <w:shd w:val="clear" w:color="auto" w:fill="auto"/>
            <w:hideMark/>
          </w:tcPr>
          <w:p w14:paraId="354B19C3" w14:textId="22889AD1" w:rsidR="00AD2FAF" w:rsidRPr="00CE4050" w:rsidRDefault="005627F5" w:rsidP="00AD2FAF">
            <w:pPr>
              <w:rPr>
                <w:rFonts w:cs="Arial"/>
                <w:sz w:val="20"/>
                <w:szCs w:val="20"/>
              </w:rPr>
            </w:pPr>
            <w:r>
              <w:rPr>
                <w:rFonts w:cs="Arial"/>
                <w:sz w:val="20"/>
                <w:szCs w:val="20"/>
              </w:rPr>
              <w:t>Code/Standard</w:t>
            </w:r>
          </w:p>
        </w:tc>
        <w:tc>
          <w:tcPr>
            <w:tcW w:w="1380" w:type="dxa"/>
            <w:tcBorders>
              <w:top w:val="single" w:sz="4" w:space="0" w:color="auto"/>
              <w:left w:val="single" w:sz="4" w:space="0" w:color="auto"/>
              <w:bottom w:val="single" w:sz="4" w:space="0" w:color="auto"/>
              <w:right w:val="single" w:sz="4" w:space="0" w:color="auto"/>
            </w:tcBorders>
            <w:shd w:val="clear" w:color="auto" w:fill="auto"/>
            <w:hideMark/>
          </w:tcPr>
          <w:p w14:paraId="1D281F37" w14:textId="6BE596CD" w:rsidR="00AD2FAF" w:rsidRPr="00CE4050" w:rsidRDefault="00AD2FAF" w:rsidP="00AD2FAF">
            <w:pPr>
              <w:rPr>
                <w:rFonts w:cs="Arial"/>
                <w:sz w:val="20"/>
                <w:szCs w:val="20"/>
              </w:rPr>
            </w:pPr>
            <w:r w:rsidRPr="00CE4050">
              <w:rPr>
                <w:rFonts w:cs="Arial"/>
                <w:sz w:val="20"/>
                <w:szCs w:val="20"/>
              </w:rPr>
              <w:t>$</w:t>
            </w:r>
            <w:r>
              <w:rPr>
                <w:rFonts w:cs="Arial"/>
                <w:sz w:val="20"/>
                <w:szCs w:val="20"/>
              </w:rPr>
              <w:t>68</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27424A00" w14:textId="77777777" w:rsidR="00AD2FAF" w:rsidRPr="00CE4050" w:rsidRDefault="00AD2FAF" w:rsidP="00AD2FAF">
            <w:pPr>
              <w:rPr>
                <w:rFonts w:cs="Arial"/>
                <w:sz w:val="20"/>
                <w:szCs w:val="20"/>
              </w:rPr>
            </w:pPr>
            <w:r w:rsidRPr="00CE4050">
              <w:rPr>
                <w:rFonts w:cs="Arial"/>
                <w:sz w:val="20"/>
                <w:szCs w:val="20"/>
              </w:rPr>
              <w:t>$0</w:t>
            </w:r>
          </w:p>
        </w:tc>
        <w:tc>
          <w:tcPr>
            <w:tcW w:w="1476" w:type="dxa"/>
            <w:tcBorders>
              <w:top w:val="single" w:sz="4" w:space="0" w:color="auto"/>
              <w:left w:val="single" w:sz="4" w:space="0" w:color="auto"/>
              <w:bottom w:val="single" w:sz="4" w:space="0" w:color="auto"/>
              <w:right w:val="single" w:sz="4" w:space="0" w:color="auto"/>
            </w:tcBorders>
            <w:shd w:val="clear" w:color="auto" w:fill="auto"/>
            <w:hideMark/>
          </w:tcPr>
          <w:p w14:paraId="351DA8FF" w14:textId="77777777" w:rsidR="00AD2FAF" w:rsidRPr="00CE4050" w:rsidRDefault="00AD2FAF" w:rsidP="00AD2FAF">
            <w:pPr>
              <w:rPr>
                <w:rFonts w:cs="Arial"/>
                <w:sz w:val="20"/>
                <w:szCs w:val="20"/>
              </w:rPr>
            </w:pPr>
            <w:r w:rsidRPr="00CE4050">
              <w:rPr>
                <w:rFonts w:cs="Arial"/>
                <w:sz w:val="20"/>
                <w:szCs w:val="20"/>
              </w:rPr>
              <w:t>$0</w:t>
            </w:r>
          </w:p>
        </w:tc>
        <w:tc>
          <w:tcPr>
            <w:tcW w:w="1164" w:type="dxa"/>
            <w:tcBorders>
              <w:top w:val="single" w:sz="4" w:space="0" w:color="auto"/>
              <w:left w:val="single" w:sz="4" w:space="0" w:color="auto"/>
              <w:bottom w:val="single" w:sz="4" w:space="0" w:color="auto"/>
              <w:right w:val="single" w:sz="4" w:space="0" w:color="auto"/>
            </w:tcBorders>
            <w:shd w:val="clear" w:color="auto" w:fill="auto"/>
            <w:hideMark/>
          </w:tcPr>
          <w:p w14:paraId="4DE9094D" w14:textId="4190D58F" w:rsidR="00AD2FAF" w:rsidRPr="00CE4050" w:rsidRDefault="00AD2FAF" w:rsidP="00AD2FAF">
            <w:pPr>
              <w:rPr>
                <w:rFonts w:cs="Arial"/>
                <w:sz w:val="20"/>
                <w:szCs w:val="20"/>
              </w:rPr>
            </w:pPr>
            <w:r w:rsidRPr="00CE4050">
              <w:rPr>
                <w:rFonts w:cs="Arial"/>
                <w:sz w:val="20"/>
                <w:szCs w:val="20"/>
              </w:rPr>
              <w:t>$</w:t>
            </w:r>
            <w:r>
              <w:rPr>
                <w:rFonts w:cs="Arial"/>
                <w:sz w:val="20"/>
                <w:szCs w:val="20"/>
              </w:rPr>
              <w:t>68</w:t>
            </w:r>
          </w:p>
        </w:tc>
      </w:tr>
      <w:tr w:rsidR="005627F5" w14:paraId="3F1666E4" w14:textId="77777777" w:rsidTr="00AD2FAF">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033E13C5" w14:textId="3E92819C" w:rsidR="00AD2FAF" w:rsidRPr="00CE4050" w:rsidRDefault="00174AA5" w:rsidP="00AD2FAF">
            <w:pPr>
              <w:rPr>
                <w:rFonts w:cs="Arial"/>
                <w:sz w:val="20"/>
                <w:szCs w:val="20"/>
              </w:rPr>
            </w:pPr>
            <w:r>
              <w:rPr>
                <w:rFonts w:cs="Arial"/>
                <w:szCs w:val="20"/>
              </w:rPr>
              <w:t>PRSV: 0.75 – 1.07 gpm</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14:paraId="7F8924FC" w14:textId="38C5C498" w:rsidR="00AD2FAF" w:rsidRPr="00CE4050" w:rsidRDefault="00AD2FAF" w:rsidP="00AD2FAF">
            <w:pPr>
              <w:rPr>
                <w:rFonts w:cs="Arial"/>
                <w:sz w:val="20"/>
                <w:szCs w:val="20"/>
              </w:rPr>
            </w:pPr>
            <w:r>
              <w:rPr>
                <w:rFonts w:cs="Arial"/>
                <w:sz w:val="20"/>
                <w:szCs w:val="20"/>
              </w:rPr>
              <w:t>NR</w:t>
            </w:r>
            <w:r w:rsidRPr="00CE4050">
              <w:rPr>
                <w:rFonts w:cs="Arial"/>
                <w:sz w:val="20"/>
                <w:szCs w:val="20"/>
              </w:rPr>
              <w:t xml:space="preserve"> /NC</w:t>
            </w:r>
          </w:p>
        </w:tc>
        <w:tc>
          <w:tcPr>
            <w:tcW w:w="1485" w:type="dxa"/>
            <w:tcBorders>
              <w:top w:val="single" w:sz="4" w:space="0" w:color="auto"/>
              <w:left w:val="single" w:sz="4" w:space="0" w:color="auto"/>
              <w:bottom w:val="single" w:sz="4" w:space="0" w:color="auto"/>
              <w:right w:val="single" w:sz="4" w:space="0" w:color="auto"/>
            </w:tcBorders>
            <w:shd w:val="clear" w:color="auto" w:fill="auto"/>
            <w:hideMark/>
          </w:tcPr>
          <w:p w14:paraId="4B5CDCCA" w14:textId="1613D3DD" w:rsidR="00AD2FAF" w:rsidRPr="00CE4050" w:rsidRDefault="005627F5" w:rsidP="00AD2FAF">
            <w:pPr>
              <w:rPr>
                <w:rFonts w:cs="Arial"/>
                <w:sz w:val="20"/>
                <w:szCs w:val="20"/>
              </w:rPr>
            </w:pPr>
            <w:r>
              <w:rPr>
                <w:rFonts w:cs="Arial"/>
                <w:sz w:val="20"/>
                <w:szCs w:val="20"/>
              </w:rPr>
              <w:t>Code/Standard</w:t>
            </w:r>
          </w:p>
        </w:tc>
        <w:tc>
          <w:tcPr>
            <w:tcW w:w="1380" w:type="dxa"/>
            <w:tcBorders>
              <w:top w:val="single" w:sz="4" w:space="0" w:color="auto"/>
              <w:left w:val="single" w:sz="4" w:space="0" w:color="auto"/>
              <w:bottom w:val="single" w:sz="4" w:space="0" w:color="auto"/>
              <w:right w:val="single" w:sz="4" w:space="0" w:color="auto"/>
            </w:tcBorders>
            <w:shd w:val="clear" w:color="auto" w:fill="auto"/>
            <w:hideMark/>
          </w:tcPr>
          <w:p w14:paraId="448F01C8" w14:textId="32115371" w:rsidR="00AD2FAF" w:rsidRPr="00CE4050" w:rsidRDefault="00AD2FAF" w:rsidP="00AD2FAF">
            <w:pPr>
              <w:rPr>
                <w:rFonts w:cs="Arial"/>
                <w:sz w:val="20"/>
                <w:szCs w:val="20"/>
              </w:rPr>
            </w:pPr>
            <w:r w:rsidRPr="00CE4050">
              <w:rPr>
                <w:rFonts w:cs="Arial"/>
                <w:sz w:val="20"/>
                <w:szCs w:val="20"/>
              </w:rPr>
              <w:t>$</w:t>
            </w:r>
            <w:r>
              <w:rPr>
                <w:rFonts w:cs="Arial"/>
                <w:sz w:val="20"/>
                <w:szCs w:val="20"/>
              </w:rPr>
              <w:t>74</w:t>
            </w:r>
          </w:p>
        </w:tc>
        <w:tc>
          <w:tcPr>
            <w:tcW w:w="1306" w:type="dxa"/>
            <w:tcBorders>
              <w:top w:val="single" w:sz="4" w:space="0" w:color="auto"/>
              <w:left w:val="single" w:sz="4" w:space="0" w:color="auto"/>
              <w:bottom w:val="single" w:sz="4" w:space="0" w:color="auto"/>
              <w:right w:val="single" w:sz="4" w:space="0" w:color="auto"/>
            </w:tcBorders>
            <w:shd w:val="clear" w:color="auto" w:fill="auto"/>
            <w:hideMark/>
          </w:tcPr>
          <w:p w14:paraId="3D442BAD" w14:textId="77777777" w:rsidR="00AD2FAF" w:rsidRPr="00CE4050" w:rsidRDefault="00AD2FAF" w:rsidP="00AD2FAF">
            <w:pPr>
              <w:rPr>
                <w:rFonts w:cs="Arial"/>
                <w:sz w:val="20"/>
                <w:szCs w:val="20"/>
              </w:rPr>
            </w:pPr>
            <w:r w:rsidRPr="00CE4050">
              <w:rPr>
                <w:rFonts w:cs="Arial"/>
                <w:sz w:val="20"/>
                <w:szCs w:val="20"/>
              </w:rPr>
              <w:t>$0</w:t>
            </w:r>
          </w:p>
        </w:tc>
        <w:tc>
          <w:tcPr>
            <w:tcW w:w="1476" w:type="dxa"/>
            <w:tcBorders>
              <w:top w:val="single" w:sz="4" w:space="0" w:color="auto"/>
              <w:left w:val="single" w:sz="4" w:space="0" w:color="auto"/>
              <w:bottom w:val="single" w:sz="4" w:space="0" w:color="auto"/>
              <w:right w:val="single" w:sz="4" w:space="0" w:color="auto"/>
            </w:tcBorders>
            <w:shd w:val="clear" w:color="auto" w:fill="auto"/>
            <w:hideMark/>
          </w:tcPr>
          <w:p w14:paraId="7B4C5367" w14:textId="77777777" w:rsidR="00AD2FAF" w:rsidRPr="00CE4050" w:rsidRDefault="00AD2FAF" w:rsidP="00AD2FAF">
            <w:pPr>
              <w:rPr>
                <w:rFonts w:cs="Arial"/>
                <w:sz w:val="20"/>
                <w:szCs w:val="20"/>
              </w:rPr>
            </w:pPr>
            <w:r w:rsidRPr="00CE4050">
              <w:rPr>
                <w:rFonts w:cs="Arial"/>
                <w:sz w:val="20"/>
                <w:szCs w:val="20"/>
              </w:rPr>
              <w:t>$0</w:t>
            </w:r>
          </w:p>
        </w:tc>
        <w:tc>
          <w:tcPr>
            <w:tcW w:w="1164" w:type="dxa"/>
            <w:tcBorders>
              <w:top w:val="single" w:sz="4" w:space="0" w:color="auto"/>
              <w:left w:val="single" w:sz="4" w:space="0" w:color="auto"/>
              <w:bottom w:val="single" w:sz="4" w:space="0" w:color="auto"/>
              <w:right w:val="single" w:sz="4" w:space="0" w:color="auto"/>
            </w:tcBorders>
            <w:shd w:val="clear" w:color="auto" w:fill="auto"/>
            <w:hideMark/>
          </w:tcPr>
          <w:p w14:paraId="3A28822A" w14:textId="1BCF9D43" w:rsidR="00AD2FAF" w:rsidRDefault="00AD2FAF" w:rsidP="00AD2FAF">
            <w:pPr>
              <w:rPr>
                <w:rFonts w:cs="Arial"/>
                <w:sz w:val="20"/>
                <w:szCs w:val="20"/>
              </w:rPr>
            </w:pPr>
            <w:r w:rsidRPr="00CE4050">
              <w:rPr>
                <w:rFonts w:cs="Arial"/>
                <w:sz w:val="20"/>
                <w:szCs w:val="20"/>
              </w:rPr>
              <w:t>$</w:t>
            </w:r>
            <w:r>
              <w:rPr>
                <w:rFonts w:cs="Arial"/>
                <w:sz w:val="20"/>
                <w:szCs w:val="20"/>
              </w:rPr>
              <w:t>74</w:t>
            </w:r>
          </w:p>
        </w:tc>
      </w:tr>
    </w:tbl>
    <w:p w14:paraId="3D0C8157" w14:textId="7A0F01B7" w:rsidR="00857677" w:rsidRDefault="004F4C12" w:rsidP="004F4C12">
      <w:pPr>
        <w:rPr>
          <w:rFonts w:cs="Arial"/>
          <w:sz w:val="20"/>
          <w:szCs w:val="20"/>
        </w:rPr>
      </w:pPr>
      <w:r>
        <w:rPr>
          <w:rFonts w:cs="Arial"/>
          <w:i/>
          <w:sz w:val="20"/>
          <w:szCs w:val="20"/>
        </w:rPr>
        <w:t>All costs are noted as $ per measure unit</w:t>
      </w:r>
    </w:p>
    <w:p w14:paraId="273A1A37" w14:textId="2CC1B29B" w:rsidR="00E16609" w:rsidRDefault="005A0E53" w:rsidP="004F4C12">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31"/>
    </w:p>
    <w:p w14:paraId="26F6DE2B" w14:textId="7F70F500" w:rsidR="004F4C12" w:rsidRDefault="004F4C12" w:rsidP="004F4C12">
      <w:pPr>
        <w:rPr>
          <w:rFonts w:cs="Arial"/>
          <w:i/>
          <w:szCs w:val="20"/>
        </w:rPr>
      </w:pPr>
      <w:r>
        <w:rPr>
          <w:rFonts w:cs="Arial"/>
          <w:szCs w:val="20"/>
        </w:rPr>
        <w:t xml:space="preserve">Full </w:t>
      </w:r>
      <w:r w:rsidR="00A55A85">
        <w:rPr>
          <w:rFonts w:cs="Arial"/>
          <w:szCs w:val="20"/>
        </w:rPr>
        <w:t>m</w:t>
      </w:r>
      <w:r>
        <w:rPr>
          <w:rFonts w:cs="Arial"/>
          <w:szCs w:val="20"/>
        </w:rPr>
        <w:t xml:space="preserve">easure </w:t>
      </w:r>
      <w:r w:rsidR="00A55A85">
        <w:rPr>
          <w:rFonts w:cs="Arial"/>
          <w:szCs w:val="20"/>
        </w:rPr>
        <w:t>c</w:t>
      </w:r>
      <w:r>
        <w:rPr>
          <w:rFonts w:cs="Arial"/>
          <w:szCs w:val="20"/>
        </w:rPr>
        <w:t>ost is the cost to install an energy</w:t>
      </w:r>
      <w:r w:rsidR="00A55A85">
        <w:rPr>
          <w:rFonts w:cs="Arial"/>
          <w:szCs w:val="20"/>
        </w:rPr>
        <w:t>-</w:t>
      </w:r>
      <w:r>
        <w:rPr>
          <w:rFonts w:cs="Arial"/>
          <w:szCs w:val="20"/>
        </w:rPr>
        <w:t xml:space="preserve">efficient measure per the </w:t>
      </w:r>
      <w:r w:rsidR="00CF3942">
        <w:rPr>
          <w:rFonts w:cs="Arial"/>
          <w:szCs w:val="20"/>
        </w:rPr>
        <w:t xml:space="preserve">California Public Utility Commission (CPUC) </w:t>
      </w:r>
      <w:r>
        <w:rPr>
          <w:rFonts w:cs="Arial"/>
          <w:szCs w:val="20"/>
        </w:rPr>
        <w:t xml:space="preserve">calculators. This definition implies a different meaning depending on the </w:t>
      </w:r>
      <w:r w:rsidR="00CF3942">
        <w:rPr>
          <w:rFonts w:cs="Arial"/>
          <w:szCs w:val="20"/>
        </w:rPr>
        <w:t>m</w:t>
      </w:r>
      <w:r>
        <w:rPr>
          <w:rFonts w:cs="Arial"/>
          <w:szCs w:val="20"/>
        </w:rPr>
        <w:t xml:space="preserve">easure </w:t>
      </w:r>
      <w:r w:rsidR="00CF3942">
        <w:rPr>
          <w:rFonts w:cs="Arial"/>
          <w:szCs w:val="20"/>
        </w:rPr>
        <w:t>a</w:t>
      </w:r>
      <w:r>
        <w:rPr>
          <w:rFonts w:cs="Arial"/>
          <w:szCs w:val="20"/>
        </w:rPr>
        <w:t xml:space="preserve">pplication type. </w:t>
      </w:r>
      <w:r>
        <w:rPr>
          <w:rFonts w:cs="Arial"/>
          <w:i/>
          <w:szCs w:val="20"/>
        </w:rPr>
        <w:t xml:space="preserve">     </w:t>
      </w:r>
    </w:p>
    <w:p w14:paraId="45628290" w14:textId="77777777" w:rsidR="004F4C12" w:rsidRDefault="004F4C12">
      <w:pPr>
        <w:rPr>
          <w:b/>
        </w:rPr>
      </w:pPr>
    </w:p>
    <w:p w14:paraId="6F37A959" w14:textId="77777777"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2151"/>
        <w:gridCol w:w="2399"/>
        <w:gridCol w:w="2313"/>
        <w:gridCol w:w="2487"/>
      </w:tblGrid>
      <w:tr w:rsidR="00211153" w:rsidRPr="00500C4E" w14:paraId="58669139" w14:textId="77777777" w:rsidTr="00C24003">
        <w:tc>
          <w:tcPr>
            <w:tcW w:w="1150" w:type="pct"/>
            <w:vMerge w:val="restart"/>
            <w:shd w:val="clear" w:color="auto" w:fill="D9D9D9" w:themeFill="background1" w:themeFillShade="D9"/>
          </w:tcPr>
          <w:p w14:paraId="4568AFC5" w14:textId="77777777" w:rsidR="00211153" w:rsidRPr="00DE77D0" w:rsidRDefault="00211153" w:rsidP="00175D14">
            <w:pPr>
              <w:rPr>
                <w:rFonts w:cstheme="minorHAnsi"/>
                <w:b/>
                <w:szCs w:val="20"/>
                <w:highlight w:val="yellow"/>
              </w:rPr>
            </w:pPr>
            <w:r>
              <w:rPr>
                <w:rFonts w:cstheme="minorHAnsi"/>
                <w:b/>
                <w:szCs w:val="20"/>
              </w:rPr>
              <w:t>Installation Type</w:t>
            </w:r>
          </w:p>
        </w:tc>
        <w:tc>
          <w:tcPr>
            <w:tcW w:w="1283" w:type="pct"/>
            <w:vMerge w:val="restart"/>
            <w:shd w:val="clear" w:color="auto" w:fill="D9D9D9" w:themeFill="background1" w:themeFillShade="D9"/>
          </w:tcPr>
          <w:p w14:paraId="5C2BFCE5" w14:textId="77777777" w:rsidR="00211153" w:rsidRPr="00DE77D0" w:rsidRDefault="00211153" w:rsidP="00175D14">
            <w:pPr>
              <w:rPr>
                <w:rFonts w:cstheme="minorHAnsi"/>
                <w:b/>
                <w:szCs w:val="20"/>
              </w:rPr>
            </w:pPr>
            <w:r>
              <w:rPr>
                <w:rFonts w:cstheme="minorHAnsi"/>
                <w:b/>
                <w:szCs w:val="20"/>
              </w:rPr>
              <w:t>Incremental Measure Cost</w:t>
            </w:r>
          </w:p>
        </w:tc>
        <w:tc>
          <w:tcPr>
            <w:tcW w:w="2567" w:type="pct"/>
            <w:gridSpan w:val="2"/>
            <w:shd w:val="clear" w:color="auto" w:fill="D9D9D9" w:themeFill="background1" w:themeFillShade="D9"/>
          </w:tcPr>
          <w:p w14:paraId="1E91BF5A" w14:textId="77777777"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503502EF" w14:textId="77777777" w:rsidTr="00C24003">
        <w:tc>
          <w:tcPr>
            <w:tcW w:w="1150" w:type="pct"/>
            <w:vMerge/>
            <w:shd w:val="clear" w:color="auto" w:fill="D9D9D9" w:themeFill="background1" w:themeFillShade="D9"/>
          </w:tcPr>
          <w:p w14:paraId="71DE1404" w14:textId="77777777" w:rsidR="00211153" w:rsidRPr="00DE77D0" w:rsidRDefault="00211153" w:rsidP="00175D14">
            <w:pPr>
              <w:rPr>
                <w:rFonts w:cstheme="minorHAnsi"/>
                <w:b/>
                <w:szCs w:val="20"/>
              </w:rPr>
            </w:pPr>
          </w:p>
        </w:tc>
        <w:tc>
          <w:tcPr>
            <w:tcW w:w="1283" w:type="pct"/>
            <w:vMerge/>
            <w:shd w:val="clear" w:color="auto" w:fill="D9D9D9" w:themeFill="background1" w:themeFillShade="D9"/>
          </w:tcPr>
          <w:p w14:paraId="6FB2D543" w14:textId="77777777" w:rsidR="00211153" w:rsidRPr="00DE77D0" w:rsidRDefault="00211153" w:rsidP="00175D14">
            <w:pPr>
              <w:rPr>
                <w:rFonts w:cstheme="minorHAnsi"/>
                <w:b/>
                <w:szCs w:val="20"/>
              </w:rPr>
            </w:pPr>
          </w:p>
        </w:tc>
        <w:tc>
          <w:tcPr>
            <w:tcW w:w="1237" w:type="pct"/>
            <w:shd w:val="clear" w:color="auto" w:fill="F2F2F2" w:themeFill="background1" w:themeFillShade="F2"/>
          </w:tcPr>
          <w:p w14:paraId="3AAC5643" w14:textId="77777777"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330" w:type="pct"/>
            <w:shd w:val="clear" w:color="auto" w:fill="F2F2F2" w:themeFill="background1" w:themeFillShade="F2"/>
          </w:tcPr>
          <w:p w14:paraId="007629FA" w14:textId="77777777"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1611BDD4" w14:textId="77777777" w:rsidTr="00C24003">
        <w:tc>
          <w:tcPr>
            <w:tcW w:w="1150" w:type="pct"/>
          </w:tcPr>
          <w:p w14:paraId="1CBE5DA0" w14:textId="07F7A16D" w:rsidR="00211153" w:rsidRPr="00920905" w:rsidRDefault="006C111B" w:rsidP="00175D14">
            <w:pPr>
              <w:rPr>
                <w:rFonts w:cstheme="minorHAnsi"/>
                <w:szCs w:val="20"/>
              </w:rPr>
            </w:pPr>
            <w:r>
              <w:rPr>
                <w:rFonts w:cstheme="minorHAnsi"/>
                <w:szCs w:val="20"/>
              </w:rPr>
              <w:t>NR</w:t>
            </w:r>
            <w:r w:rsidR="00464BDA">
              <w:rPr>
                <w:rFonts w:cstheme="minorHAnsi"/>
                <w:szCs w:val="20"/>
              </w:rPr>
              <w:t>/NC</w:t>
            </w:r>
          </w:p>
        </w:tc>
        <w:tc>
          <w:tcPr>
            <w:tcW w:w="1283" w:type="pct"/>
            <w:vMerge w:val="restart"/>
          </w:tcPr>
          <w:p w14:paraId="4E1A770D" w14:textId="77777777" w:rsidR="00211153" w:rsidRPr="00920905" w:rsidRDefault="00211153" w:rsidP="00175D14">
            <w:pPr>
              <w:rPr>
                <w:rFonts w:cstheme="minorHAnsi"/>
                <w:szCs w:val="20"/>
              </w:rPr>
            </w:pPr>
            <w:r>
              <w:rPr>
                <w:rFonts w:cstheme="minorHAnsi"/>
                <w:szCs w:val="20"/>
              </w:rPr>
              <w:t>(MEC + MLC) – (BEC + BLC)</w:t>
            </w:r>
          </w:p>
        </w:tc>
        <w:tc>
          <w:tcPr>
            <w:tcW w:w="1237" w:type="pct"/>
            <w:vMerge w:val="restart"/>
          </w:tcPr>
          <w:p w14:paraId="685602D7" w14:textId="77777777" w:rsidR="00211153" w:rsidRPr="00920905" w:rsidRDefault="00211153" w:rsidP="00175D14">
            <w:pPr>
              <w:rPr>
                <w:rFonts w:cstheme="minorHAnsi"/>
                <w:szCs w:val="20"/>
              </w:rPr>
            </w:pPr>
            <w:r>
              <w:rPr>
                <w:rFonts w:cstheme="minorHAnsi"/>
                <w:szCs w:val="20"/>
              </w:rPr>
              <w:t>(MEC + MLC) – (BEC + BLC)</w:t>
            </w:r>
          </w:p>
        </w:tc>
        <w:tc>
          <w:tcPr>
            <w:tcW w:w="1330" w:type="pct"/>
            <w:vMerge w:val="restart"/>
          </w:tcPr>
          <w:p w14:paraId="46B7D922" w14:textId="77777777" w:rsidR="00211153" w:rsidRPr="00920905" w:rsidRDefault="00211153" w:rsidP="00175D14">
            <w:pPr>
              <w:rPr>
                <w:rFonts w:cstheme="minorHAnsi"/>
                <w:szCs w:val="20"/>
              </w:rPr>
            </w:pPr>
            <w:r>
              <w:rPr>
                <w:rFonts w:cstheme="minorHAnsi"/>
                <w:szCs w:val="20"/>
              </w:rPr>
              <w:t>N/A</w:t>
            </w:r>
          </w:p>
        </w:tc>
      </w:tr>
      <w:tr w:rsidR="00211153" w:rsidRPr="00500C4E" w14:paraId="5478AE10" w14:textId="77777777" w:rsidTr="00C24003">
        <w:tc>
          <w:tcPr>
            <w:tcW w:w="1150" w:type="pct"/>
          </w:tcPr>
          <w:p w14:paraId="41AC24A3" w14:textId="748A60F5" w:rsidR="00211153" w:rsidRPr="00920905" w:rsidRDefault="00211153" w:rsidP="00175D14">
            <w:pPr>
              <w:rPr>
                <w:rFonts w:cstheme="minorHAnsi"/>
                <w:szCs w:val="20"/>
              </w:rPr>
            </w:pPr>
            <w:r>
              <w:rPr>
                <w:rFonts w:cstheme="minorHAnsi"/>
                <w:szCs w:val="20"/>
              </w:rPr>
              <w:t>NC</w:t>
            </w:r>
            <w:r w:rsidR="00464BDA">
              <w:rPr>
                <w:rFonts w:cstheme="minorHAnsi"/>
                <w:szCs w:val="20"/>
              </w:rPr>
              <w:t>/NC</w:t>
            </w:r>
          </w:p>
        </w:tc>
        <w:tc>
          <w:tcPr>
            <w:tcW w:w="1283" w:type="pct"/>
            <w:vMerge/>
          </w:tcPr>
          <w:p w14:paraId="04066B04" w14:textId="77777777" w:rsidR="00211153" w:rsidRPr="00920905" w:rsidRDefault="00211153" w:rsidP="00175D14">
            <w:pPr>
              <w:rPr>
                <w:rFonts w:cstheme="minorHAnsi"/>
                <w:szCs w:val="20"/>
              </w:rPr>
            </w:pPr>
          </w:p>
        </w:tc>
        <w:tc>
          <w:tcPr>
            <w:tcW w:w="1237" w:type="pct"/>
            <w:vMerge/>
          </w:tcPr>
          <w:p w14:paraId="05443E37" w14:textId="77777777" w:rsidR="00211153" w:rsidRPr="00920905" w:rsidRDefault="00211153" w:rsidP="00175D14">
            <w:pPr>
              <w:rPr>
                <w:rFonts w:cstheme="minorHAnsi"/>
                <w:szCs w:val="20"/>
              </w:rPr>
            </w:pPr>
          </w:p>
        </w:tc>
        <w:tc>
          <w:tcPr>
            <w:tcW w:w="1330" w:type="pct"/>
            <w:vMerge/>
          </w:tcPr>
          <w:p w14:paraId="26137B94" w14:textId="77777777" w:rsidR="00211153" w:rsidRPr="00920905" w:rsidRDefault="00211153" w:rsidP="00175D14">
            <w:pPr>
              <w:rPr>
                <w:rFonts w:cstheme="minorHAnsi"/>
                <w:szCs w:val="20"/>
              </w:rPr>
            </w:pPr>
          </w:p>
        </w:tc>
      </w:tr>
    </w:tbl>
    <w:p w14:paraId="0BAD09D4" w14:textId="11DA75DD" w:rsidR="002405CD" w:rsidRPr="00C76EB4" w:rsidRDefault="002405CD" w:rsidP="00920905">
      <w:pPr>
        <w:rPr>
          <w:sz w:val="18"/>
          <w:szCs w:val="20"/>
        </w:rPr>
      </w:pPr>
      <w:r w:rsidRPr="00C76EB4">
        <w:rPr>
          <w:sz w:val="18"/>
          <w:szCs w:val="20"/>
        </w:rPr>
        <w:t>MEC = Measure Equipment Cost</w:t>
      </w:r>
      <w:r w:rsidR="00594EF5" w:rsidRPr="00C76EB4">
        <w:rPr>
          <w:sz w:val="18"/>
          <w:szCs w:val="20"/>
        </w:rPr>
        <w:t>;</w:t>
      </w:r>
      <w:r w:rsidRPr="00C76EB4">
        <w:rPr>
          <w:sz w:val="18"/>
          <w:szCs w:val="20"/>
        </w:rPr>
        <w:t xml:space="preserve"> MLC = Measure Labor Cost</w:t>
      </w:r>
      <w:r w:rsidR="001C27B2">
        <w:rPr>
          <w:sz w:val="18"/>
          <w:szCs w:val="20"/>
        </w:rPr>
        <w:t xml:space="preserve">; </w:t>
      </w:r>
      <w:r w:rsidRPr="00C76EB4">
        <w:rPr>
          <w:sz w:val="18"/>
          <w:szCs w:val="20"/>
        </w:rPr>
        <w:t>BEC = Base</w:t>
      </w:r>
      <w:r w:rsidR="00F46612" w:rsidRPr="00C76EB4">
        <w:rPr>
          <w:sz w:val="18"/>
          <w:szCs w:val="20"/>
        </w:rPr>
        <w:t xml:space="preserve"> Case</w:t>
      </w:r>
      <w:r w:rsidRPr="00C76EB4">
        <w:rPr>
          <w:sz w:val="18"/>
          <w:szCs w:val="20"/>
        </w:rPr>
        <w:t xml:space="preserve"> Equipment Cost</w:t>
      </w:r>
      <w:r w:rsidR="00594EF5" w:rsidRPr="00C76EB4">
        <w:rPr>
          <w:sz w:val="18"/>
          <w:szCs w:val="20"/>
        </w:rPr>
        <w:t>;</w:t>
      </w:r>
      <w:r w:rsidRPr="00C76EB4">
        <w:rPr>
          <w:sz w:val="18"/>
          <w:szCs w:val="20"/>
        </w:rPr>
        <w:t xml:space="preserve"> BLC = Base</w:t>
      </w:r>
      <w:r w:rsidR="00F46612" w:rsidRPr="00C76EB4">
        <w:rPr>
          <w:sz w:val="18"/>
          <w:szCs w:val="20"/>
        </w:rPr>
        <w:t xml:space="preserve"> Case</w:t>
      </w:r>
      <w:r w:rsidRPr="00C76EB4">
        <w:rPr>
          <w:sz w:val="18"/>
          <w:szCs w:val="20"/>
        </w:rPr>
        <w:t xml:space="preserve"> Labor Cost</w:t>
      </w:r>
    </w:p>
    <w:p w14:paraId="4E2DDF8D" w14:textId="2B74016E" w:rsidR="00391B6D" w:rsidRPr="002C58D0" w:rsidRDefault="00391B6D" w:rsidP="00920905">
      <w:pPr>
        <w:rPr>
          <w:i/>
          <w:sz w:val="18"/>
          <w:szCs w:val="20"/>
        </w:rPr>
      </w:pPr>
      <w:r w:rsidRPr="002C58D0">
        <w:rPr>
          <w:rFonts w:cs="Arial"/>
          <w:i/>
          <w:sz w:val="16"/>
          <w:szCs w:val="20"/>
        </w:rPr>
        <w:t>*Note: Various complicated price fluctuations are not addressed in these equations, such as future costs due to inflation in labor, future costs due to deflation in material cost, and other variables that cannot be accurately described at this time.</w:t>
      </w:r>
    </w:p>
    <w:p w14:paraId="085EBFAB" w14:textId="77777777" w:rsidR="00FF73B4" w:rsidRDefault="00FF73B4">
      <w:pPr>
        <w:rPr>
          <w:rFonts w:cs="Arial"/>
          <w:color w:val="FF0000"/>
          <w:szCs w:val="22"/>
        </w:rPr>
      </w:pPr>
    </w:p>
    <w:p w14:paraId="7A9074F0" w14:textId="3B06AD8E" w:rsidR="004F4C12" w:rsidRPr="004F4C12" w:rsidRDefault="004F4C12" w:rsidP="004F4C12">
      <w:pPr>
        <w:ind w:right="720"/>
        <w:rPr>
          <w:rFonts w:cs="Arial"/>
          <w:szCs w:val="22"/>
        </w:rPr>
      </w:pPr>
      <w:r>
        <w:rPr>
          <w:rFonts w:cs="Arial"/>
        </w:rPr>
        <w:t xml:space="preserve">Incremental </w:t>
      </w:r>
      <w:r w:rsidR="008279FA">
        <w:rPr>
          <w:rFonts w:cs="Arial"/>
        </w:rPr>
        <w:t>m</w:t>
      </w:r>
      <w:r>
        <w:rPr>
          <w:rFonts w:cs="Arial"/>
        </w:rPr>
        <w:t xml:space="preserve">easure </w:t>
      </w:r>
      <w:r w:rsidR="008279FA">
        <w:rPr>
          <w:rFonts w:cs="Arial"/>
        </w:rPr>
        <w:t>c</w:t>
      </w:r>
      <w:r>
        <w:rPr>
          <w:rFonts w:cs="Arial"/>
        </w:rPr>
        <w:t xml:space="preserve">ost </w:t>
      </w:r>
      <w:r w:rsidR="000C2ED7">
        <w:rPr>
          <w:rFonts w:cs="Arial"/>
        </w:rPr>
        <w:t xml:space="preserve">(IMC) </w:t>
      </w:r>
      <w:r>
        <w:rPr>
          <w:rFonts w:cs="Arial"/>
        </w:rPr>
        <w:t>is the premium cost to install an energy</w:t>
      </w:r>
      <w:r w:rsidR="008279FA">
        <w:rPr>
          <w:rFonts w:cs="Arial"/>
        </w:rPr>
        <w:t>-</w:t>
      </w:r>
      <w:r>
        <w:rPr>
          <w:rFonts w:cs="Arial"/>
        </w:rPr>
        <w:t>efficient measure over a standard</w:t>
      </w:r>
      <w:r w:rsidR="008279FA">
        <w:rPr>
          <w:rFonts w:cs="Arial"/>
        </w:rPr>
        <w:t>-</w:t>
      </w:r>
      <w:r>
        <w:rPr>
          <w:rFonts w:cs="Arial"/>
        </w:rPr>
        <w:t xml:space="preserve">efficiency measure or code baseline measure. While IMC has a straightforward definition depending on the </w:t>
      </w:r>
      <w:r w:rsidR="000C2ED7">
        <w:rPr>
          <w:rFonts w:cs="Arial"/>
        </w:rPr>
        <w:t>m</w:t>
      </w:r>
      <w:r>
        <w:rPr>
          <w:rFonts w:cs="Arial"/>
        </w:rPr>
        <w:t xml:space="preserve">easure </w:t>
      </w:r>
      <w:r w:rsidR="000C2ED7">
        <w:rPr>
          <w:rFonts w:cs="Arial"/>
        </w:rPr>
        <w:t>a</w:t>
      </w:r>
      <w:r>
        <w:rPr>
          <w:rFonts w:cs="Arial"/>
        </w:rPr>
        <w:t xml:space="preserve">pplication type, the equation does vary. </w:t>
      </w:r>
      <w:r>
        <w:rPr>
          <w:rFonts w:cs="Arial"/>
          <w:szCs w:val="22"/>
        </w:rPr>
        <w:t>Incremental measure costs are used in the analysis.</w:t>
      </w:r>
    </w:p>
    <w:p w14:paraId="12E31A45" w14:textId="77777777" w:rsidR="004F4C12" w:rsidRDefault="004F4C12">
      <w:pPr>
        <w:rPr>
          <w:b/>
        </w:rPr>
      </w:pPr>
    </w:p>
    <w:p w14:paraId="2D737EF1" w14:textId="434B4F75" w:rsidR="00FF73B4" w:rsidRDefault="00931E45">
      <w:pPr>
        <w:rPr>
          <w:b/>
        </w:rPr>
      </w:pPr>
      <w:r>
        <w:rPr>
          <w:b/>
        </w:rPr>
        <w:t xml:space="preserve">Full and </w:t>
      </w:r>
      <w:r w:rsidR="00FF73B4" w:rsidRPr="00DE77D0">
        <w:rPr>
          <w:b/>
        </w:rPr>
        <w:t>Incremental Cost</w:t>
      </w:r>
      <w:r w:rsidR="00FF73B4">
        <w:rPr>
          <w:b/>
        </w:rPr>
        <w:t>s</w:t>
      </w:r>
      <w:r w:rsidR="00DA72C2">
        <w:rPr>
          <w:b/>
        </w:rPr>
        <w:t xml:space="preserve"> </w:t>
      </w:r>
      <w:r w:rsidR="00C7335C">
        <w:rPr>
          <w:b/>
        </w:rPr>
        <w:t>&lt;=0.75gpm</w:t>
      </w:r>
    </w:p>
    <w:tbl>
      <w:tblPr>
        <w:tblStyle w:val="TableGrid1"/>
        <w:tblW w:w="5000" w:type="pct"/>
        <w:tblLook w:val="01E0" w:firstRow="1" w:lastRow="1" w:firstColumn="1" w:lastColumn="1" w:noHBand="0" w:noVBand="0"/>
      </w:tblPr>
      <w:tblGrid>
        <w:gridCol w:w="1257"/>
        <w:gridCol w:w="2698"/>
        <w:gridCol w:w="2611"/>
        <w:gridCol w:w="2784"/>
      </w:tblGrid>
      <w:tr w:rsidR="00F74B33" w:rsidRPr="00500C4E" w14:paraId="65B3D4FC" w14:textId="77777777" w:rsidTr="00175D14">
        <w:tc>
          <w:tcPr>
            <w:tcW w:w="672" w:type="pct"/>
            <w:vMerge w:val="restart"/>
            <w:shd w:val="clear" w:color="auto" w:fill="D9D9D9" w:themeFill="background1" w:themeFillShade="D9"/>
          </w:tcPr>
          <w:p w14:paraId="42D9AE08" w14:textId="77777777" w:rsidR="00F74B33" w:rsidRPr="00DE77D0" w:rsidRDefault="00F74B3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33F63183" w14:textId="77777777" w:rsidR="00F74B33" w:rsidRPr="00DE77D0" w:rsidRDefault="00F74B3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06D648CF" w14:textId="77777777" w:rsidR="00F74B33" w:rsidRPr="00DE77D0" w:rsidRDefault="00F74B33" w:rsidP="00175D14">
            <w:pPr>
              <w:rPr>
                <w:rFonts w:cstheme="minorHAnsi"/>
                <w:b/>
                <w:szCs w:val="20"/>
                <w:highlight w:val="yellow"/>
              </w:rPr>
            </w:pPr>
            <w:r>
              <w:rPr>
                <w:rFonts w:cstheme="minorHAnsi"/>
                <w:b/>
                <w:szCs w:val="20"/>
              </w:rPr>
              <w:t>Full Measure Cost</w:t>
            </w:r>
          </w:p>
        </w:tc>
      </w:tr>
      <w:tr w:rsidR="00F74B33" w:rsidRPr="00500C4E" w14:paraId="22273BC3" w14:textId="77777777" w:rsidTr="00175D14">
        <w:tc>
          <w:tcPr>
            <w:tcW w:w="672" w:type="pct"/>
            <w:vMerge/>
            <w:shd w:val="clear" w:color="auto" w:fill="D9D9D9" w:themeFill="background1" w:themeFillShade="D9"/>
          </w:tcPr>
          <w:p w14:paraId="3EFEB2B2" w14:textId="77777777" w:rsidR="00F74B33" w:rsidRPr="00DE77D0" w:rsidRDefault="00F74B33" w:rsidP="00175D14">
            <w:pPr>
              <w:rPr>
                <w:rFonts w:cstheme="minorHAnsi"/>
                <w:b/>
                <w:szCs w:val="20"/>
              </w:rPr>
            </w:pPr>
          </w:p>
        </w:tc>
        <w:tc>
          <w:tcPr>
            <w:tcW w:w="1443" w:type="pct"/>
            <w:vMerge/>
            <w:shd w:val="clear" w:color="auto" w:fill="D9D9D9" w:themeFill="background1" w:themeFillShade="D9"/>
          </w:tcPr>
          <w:p w14:paraId="4C1A26C3" w14:textId="77777777" w:rsidR="00F74B33" w:rsidRPr="00DE77D0" w:rsidRDefault="00F74B33" w:rsidP="00175D14">
            <w:pPr>
              <w:rPr>
                <w:rFonts w:cstheme="minorHAnsi"/>
                <w:b/>
                <w:szCs w:val="20"/>
              </w:rPr>
            </w:pPr>
          </w:p>
        </w:tc>
        <w:tc>
          <w:tcPr>
            <w:tcW w:w="1396" w:type="pct"/>
            <w:shd w:val="clear" w:color="auto" w:fill="F2F2F2" w:themeFill="background1" w:themeFillShade="F2"/>
          </w:tcPr>
          <w:p w14:paraId="224DE75A" w14:textId="77777777" w:rsidR="00F74B33" w:rsidRPr="00DE77D0" w:rsidRDefault="00F74B33"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21B11960" w14:textId="77777777" w:rsidR="00F74B33" w:rsidRPr="00DE77D0" w:rsidRDefault="00F74B33"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C7335C" w:rsidRPr="00500C4E" w14:paraId="088B33CF" w14:textId="77777777" w:rsidTr="009868FF">
        <w:tc>
          <w:tcPr>
            <w:tcW w:w="672" w:type="pct"/>
          </w:tcPr>
          <w:p w14:paraId="5DB0C3EA" w14:textId="19AC9A3E" w:rsidR="00C7335C" w:rsidRPr="00C76EB4" w:rsidRDefault="006C111B" w:rsidP="009868FF">
            <w:pPr>
              <w:rPr>
                <w:rFonts w:cstheme="minorHAnsi"/>
                <w:szCs w:val="20"/>
              </w:rPr>
            </w:pPr>
            <w:r>
              <w:rPr>
                <w:rFonts w:cstheme="minorHAnsi"/>
                <w:szCs w:val="20"/>
              </w:rPr>
              <w:t>NR</w:t>
            </w:r>
            <w:r w:rsidR="00464BDA">
              <w:rPr>
                <w:rFonts w:cstheme="minorHAnsi"/>
                <w:szCs w:val="20"/>
              </w:rPr>
              <w:t>/NC</w:t>
            </w:r>
          </w:p>
        </w:tc>
        <w:tc>
          <w:tcPr>
            <w:tcW w:w="1443" w:type="pct"/>
          </w:tcPr>
          <w:p w14:paraId="6158DC12" w14:textId="7414149D" w:rsidR="00C7335C" w:rsidRPr="00C76EB4" w:rsidRDefault="00C7335C" w:rsidP="009868FF">
            <w:pPr>
              <w:rPr>
                <w:rFonts w:cstheme="minorHAnsi"/>
                <w:szCs w:val="20"/>
              </w:rPr>
            </w:pPr>
            <w:r w:rsidRPr="00C76EB4">
              <w:rPr>
                <w:rFonts w:cstheme="minorHAnsi"/>
                <w:szCs w:val="20"/>
              </w:rPr>
              <w:t>$</w:t>
            </w:r>
            <w:r>
              <w:rPr>
                <w:rFonts w:cstheme="minorHAnsi"/>
                <w:szCs w:val="20"/>
              </w:rPr>
              <w:t>22</w:t>
            </w:r>
          </w:p>
        </w:tc>
        <w:tc>
          <w:tcPr>
            <w:tcW w:w="1396" w:type="pct"/>
          </w:tcPr>
          <w:p w14:paraId="28FF863E" w14:textId="5ADE4305" w:rsidR="00C7335C" w:rsidRPr="00C76EB4" w:rsidRDefault="00C7335C" w:rsidP="009868FF">
            <w:pPr>
              <w:rPr>
                <w:rFonts w:cstheme="minorHAnsi"/>
                <w:szCs w:val="20"/>
              </w:rPr>
            </w:pPr>
            <w:r w:rsidRPr="00C76EB4">
              <w:rPr>
                <w:rFonts w:cstheme="minorHAnsi"/>
                <w:szCs w:val="20"/>
              </w:rPr>
              <w:t>$</w:t>
            </w:r>
            <w:r>
              <w:rPr>
                <w:rFonts w:cstheme="minorHAnsi"/>
                <w:szCs w:val="20"/>
              </w:rPr>
              <w:t>22</w:t>
            </w:r>
          </w:p>
        </w:tc>
        <w:tc>
          <w:tcPr>
            <w:tcW w:w="1489" w:type="pct"/>
          </w:tcPr>
          <w:p w14:paraId="6DCDBAFB" w14:textId="77777777" w:rsidR="00C7335C" w:rsidRPr="00C76EB4" w:rsidRDefault="00C7335C" w:rsidP="009868FF">
            <w:pPr>
              <w:rPr>
                <w:rFonts w:cstheme="minorHAnsi"/>
                <w:szCs w:val="20"/>
              </w:rPr>
            </w:pPr>
            <w:r w:rsidRPr="00C76EB4">
              <w:rPr>
                <w:rFonts w:cstheme="minorHAnsi"/>
                <w:szCs w:val="20"/>
              </w:rPr>
              <w:t>N/A</w:t>
            </w:r>
          </w:p>
        </w:tc>
      </w:tr>
    </w:tbl>
    <w:p w14:paraId="4085155B" w14:textId="77777777" w:rsidR="00C76EB4" w:rsidRPr="00580170" w:rsidRDefault="00C76EB4" w:rsidP="00580170">
      <w:pPr>
        <w:rPr>
          <w:rFonts w:cstheme="minorHAnsi"/>
          <w:sz w:val="20"/>
          <w:szCs w:val="20"/>
        </w:rPr>
      </w:pPr>
      <w:bookmarkStart w:id="35" w:name="_Toc214003099"/>
    </w:p>
    <w:p w14:paraId="310288A4" w14:textId="57A3D5BB" w:rsidR="00DA72C2" w:rsidRDefault="00DA72C2" w:rsidP="00DA72C2">
      <w:pPr>
        <w:rPr>
          <w:b/>
        </w:rPr>
      </w:pPr>
      <w:r>
        <w:rPr>
          <w:b/>
        </w:rPr>
        <w:t xml:space="preserve">Full and </w:t>
      </w:r>
      <w:r w:rsidRPr="00DE77D0">
        <w:rPr>
          <w:b/>
        </w:rPr>
        <w:t>Incremental Cost</w:t>
      </w:r>
      <w:r>
        <w:rPr>
          <w:b/>
        </w:rPr>
        <w:t xml:space="preserve">s </w:t>
      </w:r>
      <w:r w:rsidR="00C7335C">
        <w:rPr>
          <w:b/>
        </w:rPr>
        <w:t>&lt;=1.07gpm</w:t>
      </w:r>
    </w:p>
    <w:tbl>
      <w:tblPr>
        <w:tblStyle w:val="TableGrid1"/>
        <w:tblW w:w="5000" w:type="pct"/>
        <w:tblLook w:val="01E0" w:firstRow="1" w:lastRow="1" w:firstColumn="1" w:lastColumn="1" w:noHBand="0" w:noVBand="0"/>
      </w:tblPr>
      <w:tblGrid>
        <w:gridCol w:w="1257"/>
        <w:gridCol w:w="2698"/>
        <w:gridCol w:w="2611"/>
        <w:gridCol w:w="2784"/>
      </w:tblGrid>
      <w:tr w:rsidR="00DA72C2" w:rsidRPr="00500C4E" w14:paraId="547D56F7" w14:textId="77777777" w:rsidTr="008851E8">
        <w:tc>
          <w:tcPr>
            <w:tcW w:w="672" w:type="pct"/>
            <w:vMerge w:val="restart"/>
            <w:shd w:val="clear" w:color="auto" w:fill="D9D9D9" w:themeFill="background1" w:themeFillShade="D9"/>
          </w:tcPr>
          <w:p w14:paraId="4940CCA6" w14:textId="77777777" w:rsidR="00DA72C2" w:rsidRPr="00DE77D0" w:rsidRDefault="00DA72C2" w:rsidP="008851E8">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55F7EAAC" w14:textId="77777777" w:rsidR="00DA72C2" w:rsidRPr="00DE77D0" w:rsidRDefault="00DA72C2" w:rsidP="008851E8">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22F2B7AE" w14:textId="77777777" w:rsidR="00DA72C2" w:rsidRPr="00DE77D0" w:rsidRDefault="00DA72C2" w:rsidP="008851E8">
            <w:pPr>
              <w:rPr>
                <w:rFonts w:cstheme="minorHAnsi"/>
                <w:b/>
                <w:szCs w:val="20"/>
                <w:highlight w:val="yellow"/>
              </w:rPr>
            </w:pPr>
            <w:r>
              <w:rPr>
                <w:rFonts w:cstheme="minorHAnsi"/>
                <w:b/>
                <w:szCs w:val="20"/>
              </w:rPr>
              <w:t>Full Measure Cost</w:t>
            </w:r>
          </w:p>
        </w:tc>
      </w:tr>
      <w:tr w:rsidR="00DA72C2" w:rsidRPr="00500C4E" w14:paraId="38A13E5F" w14:textId="77777777" w:rsidTr="008851E8">
        <w:tc>
          <w:tcPr>
            <w:tcW w:w="672" w:type="pct"/>
            <w:vMerge/>
            <w:shd w:val="clear" w:color="auto" w:fill="D9D9D9" w:themeFill="background1" w:themeFillShade="D9"/>
          </w:tcPr>
          <w:p w14:paraId="677E29E1" w14:textId="77777777" w:rsidR="00DA72C2" w:rsidRPr="00DE77D0" w:rsidRDefault="00DA72C2" w:rsidP="008851E8">
            <w:pPr>
              <w:rPr>
                <w:rFonts w:cstheme="minorHAnsi"/>
                <w:b/>
                <w:szCs w:val="20"/>
              </w:rPr>
            </w:pPr>
          </w:p>
        </w:tc>
        <w:tc>
          <w:tcPr>
            <w:tcW w:w="1443" w:type="pct"/>
            <w:vMerge/>
            <w:shd w:val="clear" w:color="auto" w:fill="D9D9D9" w:themeFill="background1" w:themeFillShade="D9"/>
          </w:tcPr>
          <w:p w14:paraId="6E198902" w14:textId="77777777" w:rsidR="00DA72C2" w:rsidRPr="00DE77D0" w:rsidRDefault="00DA72C2" w:rsidP="008851E8">
            <w:pPr>
              <w:rPr>
                <w:rFonts w:cstheme="minorHAnsi"/>
                <w:b/>
                <w:szCs w:val="20"/>
              </w:rPr>
            </w:pPr>
          </w:p>
        </w:tc>
        <w:tc>
          <w:tcPr>
            <w:tcW w:w="1396" w:type="pct"/>
            <w:shd w:val="clear" w:color="auto" w:fill="F2F2F2" w:themeFill="background1" w:themeFillShade="F2"/>
          </w:tcPr>
          <w:p w14:paraId="64A9FD9F" w14:textId="77777777" w:rsidR="00DA72C2" w:rsidRPr="00DE77D0" w:rsidRDefault="00DA72C2" w:rsidP="008851E8">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6873AC2E" w14:textId="77777777" w:rsidR="00DA72C2" w:rsidRPr="00DE77D0" w:rsidRDefault="00DA72C2" w:rsidP="008851E8">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C7335C" w:rsidRPr="00CE4050" w14:paraId="1D5C5DD5" w14:textId="77777777" w:rsidTr="009868FF">
        <w:tc>
          <w:tcPr>
            <w:tcW w:w="672" w:type="pct"/>
          </w:tcPr>
          <w:p w14:paraId="0AA823FE" w14:textId="363FCAC0" w:rsidR="00C7335C" w:rsidRPr="00CE4050" w:rsidRDefault="006C111B" w:rsidP="009868FF">
            <w:pPr>
              <w:rPr>
                <w:rFonts w:cstheme="minorHAnsi"/>
                <w:szCs w:val="20"/>
              </w:rPr>
            </w:pPr>
            <w:r>
              <w:rPr>
                <w:rFonts w:cstheme="minorHAnsi"/>
                <w:szCs w:val="20"/>
              </w:rPr>
              <w:t>NR</w:t>
            </w:r>
            <w:r w:rsidR="00464BDA">
              <w:rPr>
                <w:rFonts w:cstheme="minorHAnsi"/>
                <w:szCs w:val="20"/>
              </w:rPr>
              <w:t>/NC</w:t>
            </w:r>
          </w:p>
        </w:tc>
        <w:tc>
          <w:tcPr>
            <w:tcW w:w="1443" w:type="pct"/>
          </w:tcPr>
          <w:p w14:paraId="6F797683" w14:textId="73E365C2" w:rsidR="00C7335C" w:rsidRPr="00CE4050" w:rsidRDefault="00C7335C" w:rsidP="009868FF">
            <w:pPr>
              <w:rPr>
                <w:rFonts w:cstheme="minorHAnsi"/>
                <w:szCs w:val="20"/>
              </w:rPr>
            </w:pPr>
            <w:r w:rsidRPr="00CE4050">
              <w:rPr>
                <w:rFonts w:cstheme="minorHAnsi"/>
                <w:szCs w:val="20"/>
              </w:rPr>
              <w:t>$</w:t>
            </w:r>
            <w:r>
              <w:rPr>
                <w:rFonts w:cstheme="minorHAnsi"/>
                <w:szCs w:val="20"/>
              </w:rPr>
              <w:t>28</w:t>
            </w:r>
          </w:p>
        </w:tc>
        <w:tc>
          <w:tcPr>
            <w:tcW w:w="1396" w:type="pct"/>
          </w:tcPr>
          <w:p w14:paraId="21C480BB" w14:textId="77777777" w:rsidR="00C7335C" w:rsidRPr="00CE4050" w:rsidRDefault="00C7335C" w:rsidP="009868FF">
            <w:pPr>
              <w:rPr>
                <w:rFonts w:cstheme="minorHAnsi"/>
                <w:szCs w:val="20"/>
              </w:rPr>
            </w:pPr>
            <w:r w:rsidRPr="00CE4050">
              <w:rPr>
                <w:rFonts w:cstheme="minorHAnsi"/>
                <w:szCs w:val="20"/>
              </w:rPr>
              <w:t>$</w:t>
            </w:r>
            <w:r>
              <w:rPr>
                <w:rFonts w:cstheme="minorHAnsi"/>
                <w:szCs w:val="20"/>
              </w:rPr>
              <w:t>28</w:t>
            </w:r>
          </w:p>
        </w:tc>
        <w:tc>
          <w:tcPr>
            <w:tcW w:w="1489" w:type="pct"/>
          </w:tcPr>
          <w:p w14:paraId="0A8B4ED8" w14:textId="77777777" w:rsidR="00C7335C" w:rsidRPr="00CE4050" w:rsidRDefault="00C7335C" w:rsidP="009868FF">
            <w:pPr>
              <w:rPr>
                <w:rFonts w:cstheme="minorHAnsi"/>
                <w:szCs w:val="20"/>
              </w:rPr>
            </w:pPr>
            <w:r w:rsidRPr="00CE4050">
              <w:rPr>
                <w:rFonts w:cstheme="minorHAnsi"/>
                <w:szCs w:val="20"/>
              </w:rPr>
              <w:t>N/A</w:t>
            </w:r>
          </w:p>
        </w:tc>
      </w:tr>
    </w:tbl>
    <w:p w14:paraId="69E40C30" w14:textId="04E86559" w:rsidR="00E16609" w:rsidRPr="00920905" w:rsidRDefault="00E16609">
      <w:pPr>
        <w:rPr>
          <w:rFonts w:cstheme="minorHAnsi"/>
          <w:sz w:val="20"/>
          <w:szCs w:val="20"/>
        </w:rPr>
      </w:pPr>
    </w:p>
    <w:bookmarkEnd w:id="35"/>
    <w:p w14:paraId="758FAA79" w14:textId="7449DA28" w:rsidR="0097736F" w:rsidRPr="0097736F" w:rsidRDefault="00E16609" w:rsidP="00C76EB4">
      <w:pPr>
        <w:pStyle w:val="Heading1"/>
      </w:pPr>
      <w:r w:rsidRPr="00500C4E">
        <w:rPr>
          <w:rFonts w:cstheme="minorHAnsi"/>
        </w:rPr>
        <w:lastRenderedPageBreak/>
        <w:t>Attachments</w:t>
      </w:r>
    </w:p>
    <w:p w14:paraId="1143B7FB" w14:textId="40CFF2A1" w:rsidR="00C3121A" w:rsidRPr="00B40ADF" w:rsidRDefault="00CD0CDD" w:rsidP="00B40ADF">
      <w:pPr>
        <w:rPr>
          <w:rFonts w:cstheme="minorHAnsi"/>
        </w:rPr>
      </w:pPr>
      <w:r>
        <w:rPr>
          <w:rFonts w:cstheme="minorHAnsi"/>
        </w:rPr>
        <w:t>Attachment A: Savings Calculations and Measure Summary</w:t>
      </w:r>
    </w:p>
    <w:p w14:paraId="11F5D20F" w14:textId="049BE59B" w:rsidR="00986A0D" w:rsidRDefault="00986A0D" w:rsidP="00E16609">
      <w:pPr>
        <w:rPr>
          <w:rFonts w:cstheme="minorHAnsi"/>
        </w:rPr>
      </w:pPr>
    </w:p>
    <w:p w14:paraId="41DA8C07" w14:textId="77777777" w:rsidR="0097736F" w:rsidRPr="0097736F" w:rsidRDefault="0097736F" w:rsidP="0097736F">
      <w:pPr>
        <w:rPr>
          <w:rFonts w:cstheme="minorHAnsi"/>
        </w:rPr>
      </w:pPr>
    </w:p>
    <w:p w14:paraId="238BD39A" w14:textId="7B884A1D" w:rsidR="00612041" w:rsidRPr="00500C4E" w:rsidRDefault="00B40877">
      <w:pPr>
        <w:spacing w:after="200" w:line="276" w:lineRule="auto"/>
        <w:rPr>
          <w:rFonts w:cstheme="minorHAnsi"/>
        </w:rPr>
      </w:pPr>
      <w:r>
        <w:rPr>
          <w:rFonts w:cstheme="minorHAnsi"/>
        </w:rPr>
        <w:br w:type="page"/>
      </w:r>
    </w:p>
    <w:p w14:paraId="4641874C" w14:textId="77777777" w:rsidR="004F4C12" w:rsidRDefault="004F4C12" w:rsidP="004F4C12">
      <w:pPr>
        <w:pStyle w:val="Heading1"/>
      </w:pPr>
      <w:bookmarkStart w:id="36" w:name="_Toc391397031"/>
      <w:r>
        <w:lastRenderedPageBreak/>
        <w:t xml:space="preserve">Appendix </w:t>
      </w:r>
      <w:r>
        <w:rPr>
          <w:bCs w:val="0"/>
        </w:rPr>
        <w:t>A</w:t>
      </w:r>
      <w:bookmarkEnd w:id="36"/>
      <w:r>
        <w:t xml:space="preserve"> </w:t>
      </w:r>
    </w:p>
    <w:p w14:paraId="4F9F4F5F" w14:textId="796E93F8" w:rsidR="004F4C12" w:rsidRDefault="00B40877" w:rsidP="004F4C12">
      <w:pPr>
        <w:rPr>
          <w:rFonts w:cs="Arial"/>
        </w:rPr>
      </w:pPr>
      <w:r>
        <w:rPr>
          <w:rFonts w:cs="Arial"/>
        </w:rPr>
        <w:t>Generally, high-efficiency low-flow pre-rinse spray valves are listed at</w:t>
      </w:r>
      <w:r w:rsidR="00C76EB4">
        <w:rPr>
          <w:rFonts w:cs="Arial"/>
        </w:rPr>
        <w:t xml:space="preserve"> a</w:t>
      </w:r>
      <w:r>
        <w:rPr>
          <w:rFonts w:cs="Arial"/>
        </w:rPr>
        <w:t xml:space="preserve"> higher cost than standard PRSVs. Equipment prices for these work papers were compiled</w:t>
      </w:r>
      <w:r w:rsidR="00803404">
        <w:rPr>
          <w:rFonts w:cs="Arial"/>
        </w:rPr>
        <w:t xml:space="preserve"> in September 2018</w:t>
      </w:r>
      <w:r>
        <w:rPr>
          <w:rFonts w:cs="Arial"/>
        </w:rPr>
        <w:t xml:space="preserve"> from online retailers selling PRSVs</w:t>
      </w:r>
      <w:r w:rsidR="00C76EB4">
        <w:rPr>
          <w:rFonts w:cs="Arial"/>
        </w:rPr>
        <w:t xml:space="preserve"> with</w:t>
      </w:r>
      <w:r w:rsidR="00177469">
        <w:rPr>
          <w:rFonts w:cs="Arial"/>
        </w:rPr>
        <w:t xml:space="preserve"> most of the pricing data came from </w:t>
      </w:r>
      <w:r w:rsidR="00C76EB4" w:rsidRPr="00C76EB4">
        <w:rPr>
          <w:rFonts w:cs="Arial"/>
        </w:rPr>
        <w:t>WebstaurantStore</w:t>
      </w:r>
      <w:r w:rsidR="00C76EB4">
        <w:rPr>
          <w:rStyle w:val="EndnoteReference"/>
          <w:rFonts w:cs="Arial"/>
        </w:rPr>
        <w:endnoteReference w:id="15"/>
      </w:r>
      <w:r w:rsidR="00C76EB4">
        <w:rPr>
          <w:rFonts w:cs="Arial"/>
        </w:rPr>
        <w:t>,</w:t>
      </w:r>
      <w:r w:rsidR="00177469">
        <w:rPr>
          <w:rFonts w:cs="Arial"/>
        </w:rPr>
        <w:t xml:space="preserve"> </w:t>
      </w:r>
      <w:r w:rsidR="008F012A">
        <w:rPr>
          <w:rFonts w:cs="Arial"/>
        </w:rPr>
        <w:t>which is the largest online foodservice equipment retailer.</w:t>
      </w:r>
      <w:r w:rsidR="00B0478B">
        <w:rPr>
          <w:rFonts w:cs="Arial"/>
        </w:rPr>
        <w:t xml:space="preserve"> Pricing for baseline models for the 4.0</w:t>
      </w:r>
      <w:r w:rsidR="00C76EB4">
        <w:rPr>
          <w:rFonts w:cs="Arial"/>
        </w:rPr>
        <w:t xml:space="preserve"> – </w:t>
      </w:r>
      <w:r w:rsidR="00B0478B">
        <w:rPr>
          <w:rFonts w:cs="Arial"/>
        </w:rPr>
        <w:t xml:space="preserve">5.0 ozf category was not available at the </w:t>
      </w:r>
      <w:r w:rsidR="00D22541">
        <w:rPr>
          <w:rFonts w:cs="Arial"/>
        </w:rPr>
        <w:t xml:space="preserve">time of data collection, so the IMC </w:t>
      </w:r>
      <w:r w:rsidR="00C76EB4">
        <w:rPr>
          <w:rFonts w:cs="Arial"/>
        </w:rPr>
        <w:t>for the</w:t>
      </w:r>
      <w:r w:rsidR="00D22541">
        <w:rPr>
          <w:rFonts w:cs="Arial"/>
        </w:rPr>
        <w:t xml:space="preserve"> &gt;5.0 ozf category was applied to the </w:t>
      </w:r>
      <w:r w:rsidR="00F52DE2">
        <w:rPr>
          <w:rFonts w:cs="Arial"/>
        </w:rPr>
        <w:t>4.0</w:t>
      </w:r>
      <w:r w:rsidR="00C76EB4">
        <w:rPr>
          <w:rFonts w:cs="Arial"/>
        </w:rPr>
        <w:t xml:space="preserve"> – </w:t>
      </w:r>
      <w:r w:rsidR="00F52DE2">
        <w:rPr>
          <w:rFonts w:cs="Arial"/>
        </w:rPr>
        <w:t>5.0 ozf category to get baseline cost.</w:t>
      </w:r>
      <w:r w:rsidR="0073596E">
        <w:rPr>
          <w:rFonts w:cs="Arial"/>
        </w:rPr>
        <w:t xml:space="preserve"> All valves </w:t>
      </w:r>
      <w:r w:rsidR="0006170F">
        <w:rPr>
          <w:rFonts w:cs="Arial"/>
        </w:rPr>
        <w:t>selected for analysis</w:t>
      </w:r>
      <w:r w:rsidR="0073596E">
        <w:rPr>
          <w:rFonts w:cs="Arial"/>
        </w:rPr>
        <w:t xml:space="preserve"> meet the DOE 1.20gpm threshold.</w:t>
      </w:r>
      <w:r w:rsidR="00803404">
        <w:rPr>
          <w:rFonts w:cs="Arial"/>
        </w:rPr>
        <w:t xml:space="preserve"> </w:t>
      </w:r>
    </w:p>
    <w:p w14:paraId="6DE8D0FB" w14:textId="77777777" w:rsidR="001C27B2" w:rsidRDefault="001C27B2" w:rsidP="004F4C12"/>
    <w:p w14:paraId="2DB4C708" w14:textId="4EBBA7F8" w:rsidR="004F4C12" w:rsidRPr="00C76EB4" w:rsidRDefault="004F4C12" w:rsidP="004F4C12">
      <w:pPr>
        <w:keepNext/>
        <w:rPr>
          <w:rFonts w:cs="Arial"/>
          <w:b/>
          <w:vertAlign w:val="superscript"/>
        </w:rPr>
      </w:pPr>
      <w:r w:rsidRPr="00C76EB4">
        <w:rPr>
          <w:rFonts w:cs="Arial"/>
          <w:b/>
        </w:rPr>
        <w:t xml:space="preserve">Equipment Cost Data for Pre-Rinse Spray Valves </w:t>
      </w:r>
      <w:r w:rsidR="009B2C82" w:rsidRPr="009B2C82">
        <w:rPr>
          <w:rFonts w:cs="Arial"/>
          <w:b/>
          <w:bCs/>
        </w:rPr>
        <w:t>4.0</w:t>
      </w:r>
      <w:r w:rsidR="00C76EB4">
        <w:rPr>
          <w:rFonts w:cs="Arial"/>
          <w:b/>
          <w:bCs/>
        </w:rPr>
        <w:t xml:space="preserve"> – </w:t>
      </w:r>
      <w:r w:rsidR="009B2C82" w:rsidRPr="009B2C82">
        <w:rPr>
          <w:rFonts w:cs="Arial"/>
          <w:b/>
          <w:bCs/>
        </w:rPr>
        <w:t>5.0 ozf</w:t>
      </w:r>
      <w:r w:rsidR="002C58D0">
        <w:rPr>
          <w:rFonts w:cs="Arial"/>
          <w:b/>
          <w:bCs/>
        </w:rPr>
        <w:t>; &lt;0.75gpm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4"/>
        <w:gridCol w:w="1177"/>
        <w:gridCol w:w="1166"/>
        <w:gridCol w:w="1737"/>
        <w:gridCol w:w="2122"/>
        <w:gridCol w:w="1264"/>
      </w:tblGrid>
      <w:tr w:rsidR="00153353" w:rsidRPr="004F4C12" w14:paraId="72528D3E" w14:textId="77777777" w:rsidTr="00C76EB4">
        <w:trPr>
          <w:trHeight w:val="245"/>
          <w:tblHeader/>
          <w:jc w:val="center"/>
        </w:trPr>
        <w:tc>
          <w:tcPr>
            <w:tcW w:w="1007" w:type="pct"/>
            <w:shd w:val="clear" w:color="auto" w:fill="C0C0C0"/>
            <w:noWrap/>
            <w:vAlign w:val="bottom"/>
            <w:hideMark/>
          </w:tcPr>
          <w:p w14:paraId="0B443761" w14:textId="77777777" w:rsidR="004F4C12" w:rsidRPr="00C76EB4" w:rsidRDefault="004F4C12">
            <w:pPr>
              <w:jc w:val="center"/>
              <w:rPr>
                <w:rFonts w:cs="Arial"/>
                <w:b/>
                <w:color w:val="000000"/>
                <w:sz w:val="20"/>
                <w:szCs w:val="20"/>
              </w:rPr>
            </w:pPr>
            <w:r w:rsidRPr="00C76EB4">
              <w:rPr>
                <w:rFonts w:cs="Arial"/>
                <w:b/>
                <w:color w:val="000000"/>
                <w:sz w:val="20"/>
                <w:szCs w:val="20"/>
              </w:rPr>
              <w:t>Group</w:t>
            </w:r>
          </w:p>
        </w:tc>
        <w:tc>
          <w:tcPr>
            <w:tcW w:w="629" w:type="pct"/>
            <w:shd w:val="clear" w:color="auto" w:fill="C0C0C0"/>
          </w:tcPr>
          <w:p w14:paraId="33695360" w14:textId="02D7596A" w:rsidR="009B2C82" w:rsidRPr="00C76EB4" w:rsidRDefault="005C628F">
            <w:pPr>
              <w:jc w:val="center"/>
              <w:rPr>
                <w:rFonts w:cs="Arial"/>
                <w:b/>
                <w:color w:val="000000"/>
                <w:sz w:val="20"/>
                <w:szCs w:val="20"/>
              </w:rPr>
            </w:pPr>
            <w:r w:rsidRPr="00C76EB4">
              <w:rPr>
                <w:b/>
              </w:rPr>
              <w:t>Spray Force (ounces)</w:t>
            </w:r>
          </w:p>
        </w:tc>
        <w:tc>
          <w:tcPr>
            <w:tcW w:w="623" w:type="pct"/>
            <w:shd w:val="clear" w:color="auto" w:fill="C0C0C0"/>
          </w:tcPr>
          <w:p w14:paraId="2C8FB33E" w14:textId="1A8DECC9" w:rsidR="009B2C82" w:rsidRPr="00C76EB4" w:rsidRDefault="005C628F">
            <w:pPr>
              <w:jc w:val="center"/>
              <w:rPr>
                <w:rFonts w:cs="Arial"/>
                <w:b/>
                <w:color w:val="000000"/>
                <w:sz w:val="20"/>
                <w:szCs w:val="20"/>
              </w:rPr>
            </w:pPr>
            <w:r w:rsidRPr="00C76EB4">
              <w:rPr>
                <w:b/>
              </w:rPr>
              <w:t>Maximum Rated Flow Rate (gpm)</w:t>
            </w:r>
          </w:p>
        </w:tc>
        <w:tc>
          <w:tcPr>
            <w:tcW w:w="929" w:type="pct"/>
            <w:shd w:val="clear" w:color="auto" w:fill="C0C0C0"/>
            <w:noWrap/>
            <w:vAlign w:val="bottom"/>
            <w:hideMark/>
          </w:tcPr>
          <w:p w14:paraId="530D43ED" w14:textId="64AF1A45" w:rsidR="004F4C12" w:rsidRPr="00C76EB4" w:rsidRDefault="004F4C12">
            <w:pPr>
              <w:jc w:val="center"/>
              <w:rPr>
                <w:rFonts w:cs="Arial"/>
                <w:b/>
                <w:color w:val="000000"/>
                <w:sz w:val="20"/>
                <w:szCs w:val="20"/>
              </w:rPr>
            </w:pPr>
            <w:r w:rsidRPr="00C76EB4">
              <w:rPr>
                <w:rFonts w:cs="Arial"/>
                <w:b/>
                <w:color w:val="000000"/>
                <w:sz w:val="20"/>
                <w:szCs w:val="20"/>
              </w:rPr>
              <w:t>Make</w:t>
            </w:r>
          </w:p>
        </w:tc>
        <w:tc>
          <w:tcPr>
            <w:tcW w:w="1135" w:type="pct"/>
            <w:shd w:val="clear" w:color="auto" w:fill="C0C0C0"/>
            <w:noWrap/>
            <w:vAlign w:val="bottom"/>
            <w:hideMark/>
          </w:tcPr>
          <w:p w14:paraId="3EF3C413" w14:textId="77777777" w:rsidR="004F4C12" w:rsidRPr="00C76EB4" w:rsidRDefault="004F4C12">
            <w:pPr>
              <w:jc w:val="center"/>
              <w:rPr>
                <w:rFonts w:cs="Arial"/>
                <w:b/>
                <w:color w:val="000000"/>
                <w:sz w:val="20"/>
                <w:szCs w:val="20"/>
              </w:rPr>
            </w:pPr>
            <w:r w:rsidRPr="00C76EB4">
              <w:rPr>
                <w:rFonts w:cs="Arial"/>
                <w:b/>
                <w:color w:val="000000"/>
                <w:sz w:val="20"/>
                <w:szCs w:val="20"/>
              </w:rPr>
              <w:t>Model</w:t>
            </w:r>
          </w:p>
        </w:tc>
        <w:tc>
          <w:tcPr>
            <w:tcW w:w="676" w:type="pct"/>
            <w:shd w:val="clear" w:color="auto" w:fill="C0C0C0"/>
            <w:noWrap/>
            <w:vAlign w:val="bottom"/>
            <w:hideMark/>
          </w:tcPr>
          <w:p w14:paraId="62625B39" w14:textId="662E016C" w:rsidR="004F4C12" w:rsidRPr="00C76EB4" w:rsidRDefault="004F4C12">
            <w:pPr>
              <w:jc w:val="center"/>
              <w:rPr>
                <w:rFonts w:cs="Arial"/>
                <w:b/>
                <w:color w:val="000000"/>
                <w:sz w:val="20"/>
                <w:szCs w:val="20"/>
              </w:rPr>
            </w:pPr>
            <w:r w:rsidRPr="00C76EB4">
              <w:rPr>
                <w:rFonts w:cs="Arial"/>
                <w:b/>
                <w:color w:val="000000"/>
                <w:sz w:val="20"/>
                <w:szCs w:val="20"/>
              </w:rPr>
              <w:t>Cost ($)</w:t>
            </w:r>
          </w:p>
        </w:tc>
      </w:tr>
      <w:tr w:rsidR="00A85C44" w:rsidRPr="004F4C12" w14:paraId="5AEC5D44" w14:textId="77777777" w:rsidTr="00C76EB4">
        <w:trPr>
          <w:trHeight w:val="245"/>
          <w:jc w:val="center"/>
        </w:trPr>
        <w:tc>
          <w:tcPr>
            <w:tcW w:w="1007" w:type="pct"/>
            <w:noWrap/>
            <w:vAlign w:val="center"/>
            <w:hideMark/>
          </w:tcPr>
          <w:p w14:paraId="6401872C" w14:textId="77777777" w:rsidR="004F4C12" w:rsidRPr="00C76EB4" w:rsidRDefault="004F4C12">
            <w:pPr>
              <w:jc w:val="center"/>
              <w:rPr>
                <w:rFonts w:cs="Arial"/>
                <w:color w:val="000000"/>
                <w:sz w:val="20"/>
                <w:szCs w:val="20"/>
              </w:rPr>
            </w:pPr>
            <w:r w:rsidRPr="00C76EB4">
              <w:rPr>
                <w:rFonts w:cs="Arial"/>
                <w:color w:val="000000"/>
                <w:sz w:val="20"/>
                <w:szCs w:val="20"/>
              </w:rPr>
              <w:t>Energy Efficient</w:t>
            </w:r>
          </w:p>
        </w:tc>
        <w:tc>
          <w:tcPr>
            <w:tcW w:w="629" w:type="pct"/>
          </w:tcPr>
          <w:p w14:paraId="2B878904" w14:textId="42796D9A" w:rsidR="009B2C82" w:rsidRPr="00193973" w:rsidRDefault="00EA6773" w:rsidP="009B2C82">
            <w:pPr>
              <w:jc w:val="center"/>
              <w:rPr>
                <w:rFonts w:ascii="Calibri" w:hAnsi="Calibri" w:cs="Calibri"/>
                <w:color w:val="000000"/>
                <w:szCs w:val="22"/>
              </w:rPr>
            </w:pPr>
            <w:r w:rsidRPr="00FA62A4">
              <w:t>4.2</w:t>
            </w:r>
          </w:p>
        </w:tc>
        <w:tc>
          <w:tcPr>
            <w:tcW w:w="623" w:type="pct"/>
          </w:tcPr>
          <w:p w14:paraId="225B3F8D" w14:textId="476E776D" w:rsidR="009B2C82" w:rsidRPr="00193973" w:rsidRDefault="00EA6773" w:rsidP="009B2C82">
            <w:pPr>
              <w:jc w:val="center"/>
              <w:rPr>
                <w:rFonts w:ascii="Calibri" w:hAnsi="Calibri" w:cs="Calibri"/>
                <w:color w:val="000000"/>
                <w:szCs w:val="22"/>
              </w:rPr>
            </w:pPr>
            <w:r w:rsidRPr="00FA62A4">
              <w:t>0.7</w:t>
            </w:r>
          </w:p>
        </w:tc>
        <w:tc>
          <w:tcPr>
            <w:tcW w:w="929" w:type="pct"/>
            <w:noWrap/>
            <w:hideMark/>
          </w:tcPr>
          <w:p w14:paraId="29AB825F" w14:textId="0DF983AC" w:rsidR="004F4C12" w:rsidRPr="004F4C12" w:rsidRDefault="009B2C82">
            <w:pPr>
              <w:jc w:val="center"/>
              <w:rPr>
                <w:rFonts w:cs="Arial"/>
                <w:color w:val="000000"/>
                <w:sz w:val="20"/>
                <w:szCs w:val="20"/>
                <w:highlight w:val="yellow"/>
              </w:rPr>
            </w:pPr>
            <w:r w:rsidRPr="00193973">
              <w:rPr>
                <w:rFonts w:ascii="Calibri" w:hAnsi="Calibri" w:cs="Calibri"/>
                <w:color w:val="000000"/>
                <w:szCs w:val="22"/>
              </w:rPr>
              <w:t>Fisher</w:t>
            </w:r>
          </w:p>
        </w:tc>
        <w:tc>
          <w:tcPr>
            <w:tcW w:w="1135" w:type="pct"/>
            <w:noWrap/>
            <w:hideMark/>
          </w:tcPr>
          <w:p w14:paraId="33B532C1" w14:textId="383D257E" w:rsidR="004F4C12" w:rsidRPr="004F4C12" w:rsidRDefault="009B2C82">
            <w:pPr>
              <w:jc w:val="center"/>
              <w:rPr>
                <w:rFonts w:cs="Arial"/>
                <w:color w:val="000000"/>
                <w:sz w:val="20"/>
                <w:szCs w:val="20"/>
                <w:highlight w:val="yellow"/>
              </w:rPr>
            </w:pPr>
            <w:r w:rsidRPr="00193973">
              <w:rPr>
                <w:rFonts w:ascii="Calibri" w:hAnsi="Calibri" w:cs="Calibri"/>
                <w:color w:val="000000"/>
                <w:szCs w:val="22"/>
              </w:rPr>
              <w:t>10197</w:t>
            </w:r>
          </w:p>
        </w:tc>
        <w:tc>
          <w:tcPr>
            <w:tcW w:w="676" w:type="pct"/>
            <w:noWrap/>
            <w:vAlign w:val="bottom"/>
            <w:hideMark/>
          </w:tcPr>
          <w:p w14:paraId="5A03B2BA" w14:textId="1CD41B9B" w:rsidR="004F4C12" w:rsidRPr="004F4C12" w:rsidRDefault="009B2C82">
            <w:pPr>
              <w:jc w:val="center"/>
              <w:rPr>
                <w:rFonts w:cs="Arial"/>
                <w:color w:val="000000"/>
                <w:sz w:val="20"/>
                <w:szCs w:val="20"/>
                <w:highlight w:val="yellow"/>
              </w:rPr>
            </w:pPr>
            <w:r w:rsidRPr="00193973">
              <w:rPr>
                <w:rFonts w:ascii="Calibri" w:hAnsi="Calibri" w:cs="Calibri"/>
                <w:color w:val="000000"/>
                <w:szCs w:val="22"/>
              </w:rPr>
              <w:t xml:space="preserve"> $72.99 </w:t>
            </w:r>
          </w:p>
        </w:tc>
      </w:tr>
      <w:tr w:rsidR="00A85C44" w:rsidRPr="004F4C12" w14:paraId="029580D7" w14:textId="77777777" w:rsidTr="00C76EB4">
        <w:trPr>
          <w:trHeight w:val="245"/>
          <w:jc w:val="center"/>
        </w:trPr>
        <w:tc>
          <w:tcPr>
            <w:tcW w:w="1007" w:type="pct"/>
            <w:noWrap/>
            <w:vAlign w:val="center"/>
            <w:hideMark/>
          </w:tcPr>
          <w:p w14:paraId="38C2CF6C" w14:textId="77777777" w:rsidR="004F4C12" w:rsidRPr="00C76EB4" w:rsidRDefault="004F4C12">
            <w:pPr>
              <w:jc w:val="center"/>
              <w:rPr>
                <w:rFonts w:cs="Arial"/>
                <w:color w:val="000000"/>
                <w:sz w:val="20"/>
                <w:szCs w:val="20"/>
              </w:rPr>
            </w:pPr>
            <w:r w:rsidRPr="00C76EB4">
              <w:rPr>
                <w:rFonts w:cs="Arial"/>
                <w:color w:val="000000"/>
                <w:sz w:val="20"/>
                <w:szCs w:val="20"/>
              </w:rPr>
              <w:t>Energy Efficient</w:t>
            </w:r>
          </w:p>
        </w:tc>
        <w:tc>
          <w:tcPr>
            <w:tcW w:w="629" w:type="pct"/>
          </w:tcPr>
          <w:p w14:paraId="4E894957" w14:textId="73E85933" w:rsidR="009B2C82" w:rsidRPr="00193973" w:rsidRDefault="00EA6773" w:rsidP="009B2C82">
            <w:pPr>
              <w:jc w:val="center"/>
              <w:rPr>
                <w:rFonts w:ascii="Calibri" w:hAnsi="Calibri" w:cs="Calibri"/>
                <w:color w:val="000000"/>
                <w:szCs w:val="22"/>
              </w:rPr>
            </w:pPr>
            <w:r w:rsidRPr="00FA62A4">
              <w:t>4.2</w:t>
            </w:r>
          </w:p>
        </w:tc>
        <w:tc>
          <w:tcPr>
            <w:tcW w:w="623" w:type="pct"/>
          </w:tcPr>
          <w:p w14:paraId="43A792B5" w14:textId="33B2FA1B" w:rsidR="009B2C82" w:rsidRPr="00193973" w:rsidRDefault="00EA6773" w:rsidP="009B2C82">
            <w:pPr>
              <w:jc w:val="center"/>
              <w:rPr>
                <w:rFonts w:ascii="Calibri" w:hAnsi="Calibri" w:cs="Calibri"/>
                <w:color w:val="000000"/>
                <w:szCs w:val="22"/>
              </w:rPr>
            </w:pPr>
            <w:r w:rsidRPr="00FA62A4">
              <w:t>0.7</w:t>
            </w:r>
          </w:p>
        </w:tc>
        <w:tc>
          <w:tcPr>
            <w:tcW w:w="929" w:type="pct"/>
            <w:noWrap/>
            <w:hideMark/>
          </w:tcPr>
          <w:p w14:paraId="249C3448" w14:textId="1033D211" w:rsidR="004F4C12" w:rsidRPr="004F4C12" w:rsidRDefault="009B2C82">
            <w:pPr>
              <w:jc w:val="center"/>
              <w:rPr>
                <w:rFonts w:cs="Arial"/>
                <w:color w:val="000000"/>
                <w:sz w:val="20"/>
                <w:szCs w:val="20"/>
                <w:highlight w:val="yellow"/>
              </w:rPr>
            </w:pPr>
            <w:r w:rsidRPr="00193973">
              <w:rPr>
                <w:rFonts w:ascii="Calibri" w:hAnsi="Calibri" w:cs="Calibri"/>
                <w:color w:val="000000"/>
                <w:szCs w:val="22"/>
              </w:rPr>
              <w:t>Fisher</w:t>
            </w:r>
          </w:p>
        </w:tc>
        <w:tc>
          <w:tcPr>
            <w:tcW w:w="1135" w:type="pct"/>
            <w:noWrap/>
            <w:hideMark/>
          </w:tcPr>
          <w:p w14:paraId="178E8407" w14:textId="2F0E97F7" w:rsidR="004F4C12" w:rsidRPr="004F4C12" w:rsidRDefault="009B2C82">
            <w:pPr>
              <w:jc w:val="center"/>
              <w:rPr>
                <w:rFonts w:cs="Arial"/>
                <w:color w:val="000000"/>
                <w:sz w:val="20"/>
                <w:szCs w:val="20"/>
                <w:highlight w:val="yellow"/>
              </w:rPr>
            </w:pPr>
            <w:r w:rsidRPr="00193973">
              <w:rPr>
                <w:rFonts w:ascii="Calibri" w:hAnsi="Calibri" w:cs="Calibri"/>
                <w:color w:val="000000"/>
                <w:szCs w:val="22"/>
              </w:rPr>
              <w:t>13641</w:t>
            </w:r>
          </w:p>
        </w:tc>
        <w:tc>
          <w:tcPr>
            <w:tcW w:w="676" w:type="pct"/>
            <w:noWrap/>
            <w:vAlign w:val="bottom"/>
            <w:hideMark/>
          </w:tcPr>
          <w:p w14:paraId="2CD1AAE3" w14:textId="5DE8A4A3" w:rsidR="004F4C12" w:rsidRPr="004F4C12" w:rsidRDefault="009B2C82">
            <w:pPr>
              <w:jc w:val="center"/>
              <w:rPr>
                <w:rFonts w:cs="Arial"/>
                <w:color w:val="000000"/>
                <w:sz w:val="20"/>
                <w:szCs w:val="20"/>
                <w:highlight w:val="yellow"/>
              </w:rPr>
            </w:pPr>
            <w:r w:rsidRPr="00193973">
              <w:rPr>
                <w:rFonts w:ascii="Calibri" w:hAnsi="Calibri" w:cs="Calibri"/>
                <w:color w:val="000000"/>
                <w:szCs w:val="22"/>
              </w:rPr>
              <w:t xml:space="preserve"> $43.99 </w:t>
            </w:r>
          </w:p>
        </w:tc>
      </w:tr>
      <w:tr w:rsidR="00A85C44" w:rsidRPr="004F4C12" w14:paraId="75ADFD3D" w14:textId="77777777" w:rsidTr="00C76EB4">
        <w:trPr>
          <w:trHeight w:val="245"/>
          <w:jc w:val="center"/>
        </w:trPr>
        <w:tc>
          <w:tcPr>
            <w:tcW w:w="1007" w:type="pct"/>
            <w:noWrap/>
            <w:vAlign w:val="center"/>
            <w:hideMark/>
          </w:tcPr>
          <w:p w14:paraId="3C7C5853" w14:textId="4100ED1D" w:rsidR="004F4C12" w:rsidRPr="00C76EB4" w:rsidRDefault="00EA6773">
            <w:pPr>
              <w:jc w:val="center"/>
              <w:rPr>
                <w:rFonts w:cs="Arial"/>
                <w:color w:val="000000"/>
                <w:sz w:val="20"/>
                <w:szCs w:val="20"/>
              </w:rPr>
            </w:pPr>
            <w:r w:rsidRPr="00C76EB4">
              <w:rPr>
                <w:rFonts w:cs="Arial"/>
                <w:color w:val="000000"/>
                <w:sz w:val="20"/>
                <w:szCs w:val="20"/>
              </w:rPr>
              <w:t>Energy Efficient</w:t>
            </w:r>
          </w:p>
        </w:tc>
        <w:tc>
          <w:tcPr>
            <w:tcW w:w="629" w:type="pct"/>
          </w:tcPr>
          <w:p w14:paraId="4F80543E" w14:textId="7431ABF5" w:rsidR="009B2C82" w:rsidRPr="00193973" w:rsidRDefault="00EA6773" w:rsidP="009B2C82">
            <w:pPr>
              <w:jc w:val="center"/>
              <w:rPr>
                <w:rFonts w:ascii="Calibri" w:hAnsi="Calibri" w:cs="Calibri"/>
                <w:color w:val="000000"/>
                <w:szCs w:val="22"/>
              </w:rPr>
            </w:pPr>
            <w:r w:rsidRPr="00FA62A4">
              <w:t>4.4</w:t>
            </w:r>
          </w:p>
        </w:tc>
        <w:tc>
          <w:tcPr>
            <w:tcW w:w="623" w:type="pct"/>
          </w:tcPr>
          <w:p w14:paraId="2D72FBB1" w14:textId="309EC127" w:rsidR="009B2C82" w:rsidRPr="00193973" w:rsidRDefault="00EA6773" w:rsidP="009B2C82">
            <w:pPr>
              <w:jc w:val="center"/>
              <w:rPr>
                <w:rFonts w:ascii="Calibri" w:hAnsi="Calibri" w:cs="Calibri"/>
                <w:color w:val="000000"/>
                <w:szCs w:val="22"/>
              </w:rPr>
            </w:pPr>
            <w:r w:rsidRPr="00FA62A4">
              <w:t>0.65</w:t>
            </w:r>
          </w:p>
        </w:tc>
        <w:tc>
          <w:tcPr>
            <w:tcW w:w="929" w:type="pct"/>
            <w:noWrap/>
            <w:hideMark/>
          </w:tcPr>
          <w:p w14:paraId="0955460B" w14:textId="5B953A97" w:rsidR="004F4C12" w:rsidRPr="004F4C12" w:rsidRDefault="009B2C82">
            <w:pPr>
              <w:jc w:val="center"/>
              <w:rPr>
                <w:rFonts w:cs="Arial"/>
                <w:color w:val="000000"/>
                <w:sz w:val="20"/>
                <w:szCs w:val="20"/>
                <w:highlight w:val="yellow"/>
              </w:rPr>
            </w:pPr>
            <w:r w:rsidRPr="00193973">
              <w:rPr>
                <w:rFonts w:ascii="Calibri" w:hAnsi="Calibri" w:cs="Calibri"/>
                <w:color w:val="000000"/>
                <w:szCs w:val="22"/>
              </w:rPr>
              <w:t>T&amp;S Brass</w:t>
            </w:r>
          </w:p>
        </w:tc>
        <w:tc>
          <w:tcPr>
            <w:tcW w:w="1135" w:type="pct"/>
            <w:noWrap/>
            <w:hideMark/>
          </w:tcPr>
          <w:p w14:paraId="276CCEF7" w14:textId="06F59085" w:rsidR="004F4C12" w:rsidRPr="004F4C12" w:rsidRDefault="009B2C82">
            <w:pPr>
              <w:jc w:val="center"/>
              <w:rPr>
                <w:rFonts w:cs="Arial"/>
                <w:color w:val="000000"/>
                <w:sz w:val="20"/>
                <w:szCs w:val="20"/>
                <w:highlight w:val="yellow"/>
              </w:rPr>
            </w:pPr>
            <w:r w:rsidRPr="00193973">
              <w:rPr>
                <w:rFonts w:ascii="Calibri" w:hAnsi="Calibri" w:cs="Calibri"/>
                <w:color w:val="000000"/>
                <w:szCs w:val="22"/>
              </w:rPr>
              <w:t>B-0107-C</w:t>
            </w:r>
          </w:p>
        </w:tc>
        <w:tc>
          <w:tcPr>
            <w:tcW w:w="676" w:type="pct"/>
            <w:noWrap/>
            <w:vAlign w:val="bottom"/>
            <w:hideMark/>
          </w:tcPr>
          <w:p w14:paraId="5D49DCF1" w14:textId="15B5F3BE" w:rsidR="004F4C12" w:rsidRPr="004F4C12" w:rsidRDefault="009B2C82">
            <w:pPr>
              <w:jc w:val="center"/>
              <w:rPr>
                <w:rFonts w:cs="Arial"/>
                <w:color w:val="000000"/>
                <w:sz w:val="20"/>
                <w:szCs w:val="20"/>
                <w:highlight w:val="yellow"/>
              </w:rPr>
            </w:pPr>
            <w:r w:rsidRPr="00193973">
              <w:rPr>
                <w:rFonts w:ascii="Calibri" w:hAnsi="Calibri" w:cs="Calibri"/>
                <w:color w:val="000000"/>
                <w:szCs w:val="22"/>
              </w:rPr>
              <w:t xml:space="preserve"> $49.99 </w:t>
            </w:r>
          </w:p>
        </w:tc>
      </w:tr>
      <w:tr w:rsidR="00A85C44" w:rsidRPr="004F4C12" w14:paraId="2B1B49AB" w14:textId="77777777" w:rsidTr="00C76EB4">
        <w:trPr>
          <w:trHeight w:val="245"/>
          <w:jc w:val="center"/>
        </w:trPr>
        <w:tc>
          <w:tcPr>
            <w:tcW w:w="1007" w:type="pct"/>
            <w:noWrap/>
            <w:vAlign w:val="center"/>
            <w:hideMark/>
          </w:tcPr>
          <w:p w14:paraId="2ED8F862" w14:textId="0054870F" w:rsidR="004F4C12" w:rsidRPr="00C76EB4" w:rsidRDefault="00EA6773">
            <w:pPr>
              <w:jc w:val="center"/>
              <w:rPr>
                <w:rFonts w:cs="Arial"/>
                <w:color w:val="000000"/>
                <w:sz w:val="20"/>
                <w:szCs w:val="20"/>
              </w:rPr>
            </w:pPr>
            <w:r w:rsidRPr="00C76EB4">
              <w:rPr>
                <w:rFonts w:cs="Arial"/>
                <w:color w:val="000000"/>
                <w:sz w:val="20"/>
                <w:szCs w:val="20"/>
              </w:rPr>
              <w:t>Energy Efficient</w:t>
            </w:r>
          </w:p>
        </w:tc>
        <w:tc>
          <w:tcPr>
            <w:tcW w:w="629" w:type="pct"/>
          </w:tcPr>
          <w:p w14:paraId="215E3F3A" w14:textId="5564C56A" w:rsidR="009B2C82" w:rsidRPr="00193973" w:rsidRDefault="00EA6773" w:rsidP="009B2C82">
            <w:pPr>
              <w:jc w:val="center"/>
              <w:rPr>
                <w:rFonts w:ascii="Calibri" w:hAnsi="Calibri" w:cs="Calibri"/>
                <w:color w:val="000000"/>
                <w:szCs w:val="22"/>
              </w:rPr>
            </w:pPr>
            <w:r w:rsidRPr="00FA62A4">
              <w:t>4.4</w:t>
            </w:r>
          </w:p>
        </w:tc>
        <w:tc>
          <w:tcPr>
            <w:tcW w:w="623" w:type="pct"/>
          </w:tcPr>
          <w:p w14:paraId="2558D633" w14:textId="15F661F4" w:rsidR="009B2C82" w:rsidRPr="00193973" w:rsidRDefault="00EA6773" w:rsidP="009B2C82">
            <w:pPr>
              <w:jc w:val="center"/>
              <w:rPr>
                <w:rFonts w:ascii="Calibri" w:hAnsi="Calibri" w:cs="Calibri"/>
                <w:color w:val="000000"/>
                <w:szCs w:val="22"/>
              </w:rPr>
            </w:pPr>
            <w:r w:rsidRPr="00FA62A4">
              <w:t>0.65</w:t>
            </w:r>
          </w:p>
        </w:tc>
        <w:tc>
          <w:tcPr>
            <w:tcW w:w="929" w:type="pct"/>
            <w:noWrap/>
            <w:hideMark/>
          </w:tcPr>
          <w:p w14:paraId="54BD9EBE" w14:textId="45CE056B" w:rsidR="004F4C12" w:rsidRPr="004F4C12" w:rsidRDefault="009B2C82">
            <w:pPr>
              <w:jc w:val="center"/>
              <w:rPr>
                <w:rFonts w:cs="Arial"/>
                <w:color w:val="000000"/>
                <w:sz w:val="20"/>
                <w:szCs w:val="20"/>
                <w:highlight w:val="yellow"/>
              </w:rPr>
            </w:pPr>
            <w:r w:rsidRPr="00193973">
              <w:rPr>
                <w:rFonts w:ascii="Calibri" w:hAnsi="Calibri" w:cs="Calibri"/>
                <w:color w:val="000000"/>
                <w:szCs w:val="22"/>
              </w:rPr>
              <w:t>T&amp;S Brass</w:t>
            </w:r>
          </w:p>
        </w:tc>
        <w:tc>
          <w:tcPr>
            <w:tcW w:w="1135" w:type="pct"/>
            <w:noWrap/>
            <w:hideMark/>
          </w:tcPr>
          <w:p w14:paraId="097FC262" w14:textId="0BB2B1D8" w:rsidR="004F4C12" w:rsidRPr="004F4C12" w:rsidRDefault="009B2C82">
            <w:pPr>
              <w:jc w:val="center"/>
              <w:rPr>
                <w:rFonts w:cs="Arial"/>
                <w:color w:val="000000"/>
                <w:sz w:val="20"/>
                <w:szCs w:val="20"/>
                <w:highlight w:val="yellow"/>
              </w:rPr>
            </w:pPr>
            <w:r w:rsidRPr="00193973">
              <w:rPr>
                <w:rFonts w:ascii="Calibri" w:hAnsi="Calibri" w:cs="Calibri"/>
                <w:color w:val="000000"/>
                <w:szCs w:val="22"/>
              </w:rPr>
              <w:t>EB-0107-C</w:t>
            </w:r>
          </w:p>
        </w:tc>
        <w:tc>
          <w:tcPr>
            <w:tcW w:w="676" w:type="pct"/>
            <w:noWrap/>
            <w:vAlign w:val="bottom"/>
            <w:hideMark/>
          </w:tcPr>
          <w:p w14:paraId="09696383" w14:textId="615D5068" w:rsidR="004F4C12" w:rsidRPr="004F4C12" w:rsidRDefault="009B2C82">
            <w:pPr>
              <w:jc w:val="center"/>
              <w:rPr>
                <w:rFonts w:cs="Arial"/>
                <w:color w:val="000000"/>
                <w:sz w:val="20"/>
                <w:szCs w:val="20"/>
                <w:highlight w:val="yellow"/>
              </w:rPr>
            </w:pPr>
            <w:r w:rsidRPr="00193973">
              <w:rPr>
                <w:rFonts w:ascii="Calibri" w:hAnsi="Calibri" w:cs="Calibri"/>
                <w:color w:val="000000"/>
                <w:szCs w:val="22"/>
              </w:rPr>
              <w:t xml:space="preserve"> $58.99 </w:t>
            </w:r>
          </w:p>
        </w:tc>
      </w:tr>
      <w:tr w:rsidR="00A85C44" w:rsidRPr="004F4C12" w14:paraId="0C68FDDC" w14:textId="77777777" w:rsidTr="00C76EB4">
        <w:trPr>
          <w:trHeight w:val="245"/>
          <w:jc w:val="center"/>
        </w:trPr>
        <w:tc>
          <w:tcPr>
            <w:tcW w:w="1007" w:type="pct"/>
            <w:noWrap/>
            <w:vAlign w:val="center"/>
          </w:tcPr>
          <w:p w14:paraId="40F6B279" w14:textId="7109AABB" w:rsidR="009B2C82" w:rsidRPr="00C76EB4" w:rsidRDefault="00EA6773" w:rsidP="009B2C82">
            <w:pPr>
              <w:jc w:val="center"/>
              <w:rPr>
                <w:rFonts w:cs="Arial"/>
                <w:color w:val="000000"/>
                <w:sz w:val="20"/>
                <w:szCs w:val="20"/>
              </w:rPr>
            </w:pPr>
            <w:r w:rsidRPr="00C76EB4">
              <w:rPr>
                <w:rFonts w:cs="Arial"/>
                <w:color w:val="000000"/>
                <w:sz w:val="20"/>
                <w:szCs w:val="20"/>
              </w:rPr>
              <w:t>Energy Efficient</w:t>
            </w:r>
          </w:p>
        </w:tc>
        <w:tc>
          <w:tcPr>
            <w:tcW w:w="629" w:type="pct"/>
          </w:tcPr>
          <w:p w14:paraId="6FC5676A" w14:textId="28189D71" w:rsidR="009B2C82" w:rsidRPr="00193973" w:rsidRDefault="00EA6773" w:rsidP="009B2C82">
            <w:pPr>
              <w:jc w:val="center"/>
              <w:rPr>
                <w:rFonts w:ascii="Calibri" w:hAnsi="Calibri" w:cs="Calibri"/>
                <w:color w:val="000000"/>
                <w:szCs w:val="22"/>
              </w:rPr>
            </w:pPr>
            <w:r w:rsidRPr="00FA62A4">
              <w:t>4.6</w:t>
            </w:r>
          </w:p>
        </w:tc>
        <w:tc>
          <w:tcPr>
            <w:tcW w:w="623" w:type="pct"/>
          </w:tcPr>
          <w:p w14:paraId="246FD61F" w14:textId="535CBCAF" w:rsidR="009B2C82" w:rsidRPr="00193973" w:rsidRDefault="00EA6773" w:rsidP="009B2C82">
            <w:pPr>
              <w:jc w:val="center"/>
              <w:rPr>
                <w:rFonts w:ascii="Calibri" w:hAnsi="Calibri" w:cs="Calibri"/>
                <w:color w:val="000000"/>
                <w:szCs w:val="22"/>
              </w:rPr>
            </w:pPr>
            <w:r w:rsidRPr="00FA62A4">
              <w:t>0.65</w:t>
            </w:r>
          </w:p>
        </w:tc>
        <w:tc>
          <w:tcPr>
            <w:tcW w:w="929" w:type="pct"/>
            <w:noWrap/>
          </w:tcPr>
          <w:p w14:paraId="5329A7BE" w14:textId="58F404FA" w:rsidR="009B2C82" w:rsidRPr="00193973" w:rsidRDefault="009B2C82" w:rsidP="009B2C82">
            <w:pPr>
              <w:jc w:val="center"/>
              <w:rPr>
                <w:rFonts w:ascii="Calibri" w:hAnsi="Calibri" w:cs="Calibri"/>
                <w:color w:val="000000"/>
                <w:szCs w:val="22"/>
              </w:rPr>
            </w:pPr>
            <w:r w:rsidRPr="00193973">
              <w:rPr>
                <w:rFonts w:ascii="Calibri" w:hAnsi="Calibri" w:cs="Calibri"/>
                <w:color w:val="000000"/>
                <w:szCs w:val="22"/>
              </w:rPr>
              <w:t>T&amp;S Brass</w:t>
            </w:r>
          </w:p>
        </w:tc>
        <w:tc>
          <w:tcPr>
            <w:tcW w:w="1135" w:type="pct"/>
            <w:noWrap/>
          </w:tcPr>
          <w:p w14:paraId="0015116C" w14:textId="4356CFF6" w:rsidR="009B2C82" w:rsidRPr="004F4C12" w:rsidRDefault="009B2C82" w:rsidP="009B2C82">
            <w:pPr>
              <w:jc w:val="center"/>
              <w:rPr>
                <w:rFonts w:ascii="Calibri" w:hAnsi="Calibri" w:cs="Calibri"/>
                <w:color w:val="000000"/>
                <w:szCs w:val="22"/>
                <w:highlight w:val="yellow"/>
              </w:rPr>
            </w:pPr>
            <w:r w:rsidRPr="00193973">
              <w:rPr>
                <w:rFonts w:ascii="Calibri" w:hAnsi="Calibri" w:cs="Calibri"/>
                <w:color w:val="000000"/>
                <w:szCs w:val="22"/>
              </w:rPr>
              <w:t>B-0108-C</w:t>
            </w:r>
          </w:p>
        </w:tc>
        <w:tc>
          <w:tcPr>
            <w:tcW w:w="676" w:type="pct"/>
            <w:noWrap/>
            <w:vAlign w:val="bottom"/>
          </w:tcPr>
          <w:p w14:paraId="434A1734" w14:textId="46DEBCC9" w:rsidR="009B2C82" w:rsidRPr="004F4C12" w:rsidRDefault="009B2C82" w:rsidP="009B2C82">
            <w:pPr>
              <w:jc w:val="center"/>
              <w:rPr>
                <w:highlight w:val="yellow"/>
              </w:rPr>
            </w:pPr>
            <w:r w:rsidRPr="00193973">
              <w:rPr>
                <w:rFonts w:ascii="Calibri" w:hAnsi="Calibri" w:cs="Calibri"/>
                <w:color w:val="000000"/>
                <w:szCs w:val="22"/>
              </w:rPr>
              <w:t xml:space="preserve"> $69.99 </w:t>
            </w:r>
          </w:p>
        </w:tc>
      </w:tr>
      <w:tr w:rsidR="00A85C44" w:rsidRPr="004F4C12" w14:paraId="450607B9" w14:textId="77777777" w:rsidTr="00C76EB4">
        <w:trPr>
          <w:trHeight w:val="245"/>
          <w:jc w:val="center"/>
        </w:trPr>
        <w:tc>
          <w:tcPr>
            <w:tcW w:w="1007" w:type="pct"/>
            <w:noWrap/>
            <w:vAlign w:val="center"/>
          </w:tcPr>
          <w:p w14:paraId="53EB424D" w14:textId="580E4F72" w:rsidR="009B2C82" w:rsidRPr="00C76EB4" w:rsidRDefault="00EA6773" w:rsidP="009B2C82">
            <w:pPr>
              <w:jc w:val="center"/>
              <w:rPr>
                <w:rFonts w:cs="Arial"/>
                <w:color w:val="000000"/>
                <w:sz w:val="20"/>
                <w:szCs w:val="20"/>
              </w:rPr>
            </w:pPr>
            <w:r w:rsidRPr="00C76EB4">
              <w:rPr>
                <w:rFonts w:cs="Arial"/>
                <w:color w:val="000000"/>
                <w:sz w:val="20"/>
                <w:szCs w:val="20"/>
              </w:rPr>
              <w:t>Energy Efficient</w:t>
            </w:r>
          </w:p>
        </w:tc>
        <w:tc>
          <w:tcPr>
            <w:tcW w:w="629" w:type="pct"/>
          </w:tcPr>
          <w:p w14:paraId="0143047B" w14:textId="27BF6E1A" w:rsidR="009B2C82" w:rsidRPr="00193973" w:rsidRDefault="00EA6773" w:rsidP="009B2C82">
            <w:pPr>
              <w:jc w:val="center"/>
              <w:rPr>
                <w:rFonts w:ascii="Calibri" w:hAnsi="Calibri" w:cs="Calibri"/>
                <w:color w:val="000000"/>
                <w:szCs w:val="22"/>
              </w:rPr>
            </w:pPr>
            <w:r w:rsidRPr="00FA62A4">
              <w:t>4.9</w:t>
            </w:r>
          </w:p>
        </w:tc>
        <w:tc>
          <w:tcPr>
            <w:tcW w:w="623" w:type="pct"/>
          </w:tcPr>
          <w:p w14:paraId="21BDA064" w14:textId="75EF9DD4" w:rsidR="009B2C82" w:rsidRPr="00193973" w:rsidRDefault="00EA6773" w:rsidP="009B2C82">
            <w:pPr>
              <w:jc w:val="center"/>
              <w:rPr>
                <w:rFonts w:ascii="Calibri" w:hAnsi="Calibri" w:cs="Calibri"/>
                <w:color w:val="000000"/>
                <w:szCs w:val="22"/>
              </w:rPr>
            </w:pPr>
            <w:r w:rsidRPr="00FA62A4">
              <w:t>0.74</w:t>
            </w:r>
          </w:p>
        </w:tc>
        <w:tc>
          <w:tcPr>
            <w:tcW w:w="929" w:type="pct"/>
            <w:noWrap/>
          </w:tcPr>
          <w:p w14:paraId="035B5499" w14:textId="61C01A4B" w:rsidR="009B2C82" w:rsidRPr="00193973" w:rsidRDefault="009B2C82" w:rsidP="009B2C82">
            <w:pPr>
              <w:jc w:val="center"/>
              <w:rPr>
                <w:rFonts w:ascii="Calibri" w:hAnsi="Calibri" w:cs="Calibri"/>
                <w:color w:val="000000"/>
                <w:szCs w:val="22"/>
              </w:rPr>
            </w:pPr>
            <w:r w:rsidRPr="00193973">
              <w:rPr>
                <w:rFonts w:ascii="Calibri" w:hAnsi="Calibri" w:cs="Calibri"/>
                <w:color w:val="000000"/>
                <w:szCs w:val="22"/>
              </w:rPr>
              <w:t>Encore Series</w:t>
            </w:r>
          </w:p>
        </w:tc>
        <w:tc>
          <w:tcPr>
            <w:tcW w:w="1135" w:type="pct"/>
            <w:noWrap/>
          </w:tcPr>
          <w:p w14:paraId="61C93624" w14:textId="7474FBBD" w:rsidR="009B2C82" w:rsidRPr="004F4C12" w:rsidRDefault="009B2C82" w:rsidP="009B2C82">
            <w:pPr>
              <w:jc w:val="center"/>
              <w:rPr>
                <w:rFonts w:ascii="Calibri" w:hAnsi="Calibri" w:cs="Calibri"/>
                <w:color w:val="000000"/>
                <w:szCs w:val="22"/>
                <w:highlight w:val="yellow"/>
              </w:rPr>
            </w:pPr>
            <w:r w:rsidRPr="00193973">
              <w:rPr>
                <w:rFonts w:ascii="Calibri" w:hAnsi="Calibri" w:cs="Calibri"/>
                <w:color w:val="000000"/>
                <w:szCs w:val="22"/>
              </w:rPr>
              <w:t>KLP50-0220-74</w:t>
            </w:r>
          </w:p>
        </w:tc>
        <w:tc>
          <w:tcPr>
            <w:tcW w:w="676" w:type="pct"/>
            <w:noWrap/>
            <w:vAlign w:val="bottom"/>
          </w:tcPr>
          <w:p w14:paraId="7F2EE4A2" w14:textId="69FD3C2A" w:rsidR="009B2C82" w:rsidRPr="004F4C12" w:rsidRDefault="009B2C82" w:rsidP="009B2C82">
            <w:pPr>
              <w:jc w:val="center"/>
              <w:rPr>
                <w:highlight w:val="yellow"/>
              </w:rPr>
            </w:pPr>
            <w:r w:rsidRPr="00193973">
              <w:rPr>
                <w:rFonts w:ascii="Calibri" w:hAnsi="Calibri" w:cs="Calibri"/>
                <w:color w:val="000000"/>
                <w:szCs w:val="22"/>
              </w:rPr>
              <w:t xml:space="preserve"> $113.85 </w:t>
            </w:r>
          </w:p>
        </w:tc>
      </w:tr>
    </w:tbl>
    <w:p w14:paraId="79BFCED9" w14:textId="77777777" w:rsidR="009B2C82" w:rsidRDefault="009B2C82" w:rsidP="004F4C12">
      <w:pPr>
        <w:keepNext/>
        <w:rPr>
          <w:rFonts w:cs="Arial"/>
          <w:sz w:val="18"/>
          <w:szCs w:val="20"/>
          <w:highlight w:val="yellow"/>
        </w:rPr>
      </w:pPr>
    </w:p>
    <w:p w14:paraId="7F100334" w14:textId="2DC737FD" w:rsidR="009B2C82" w:rsidRPr="00C76EB4" w:rsidRDefault="009B2C82" w:rsidP="009B2C82">
      <w:pPr>
        <w:keepNext/>
        <w:rPr>
          <w:rFonts w:cs="Arial"/>
          <w:b/>
          <w:vertAlign w:val="superscript"/>
        </w:rPr>
      </w:pPr>
      <w:r w:rsidRPr="00C76EB4">
        <w:rPr>
          <w:rFonts w:cs="Arial"/>
          <w:b/>
        </w:rPr>
        <w:t xml:space="preserve">Equipment Cost Data for Pre-Rinse Spray Valves </w:t>
      </w:r>
      <w:r w:rsidRPr="009B2C82">
        <w:rPr>
          <w:rFonts w:cs="Arial"/>
          <w:b/>
          <w:bCs/>
        </w:rPr>
        <w:t>&gt;5.0 ozf</w:t>
      </w:r>
      <w:r w:rsidR="002C58D0">
        <w:rPr>
          <w:rFonts w:cs="Arial"/>
          <w:b/>
          <w:bCs/>
        </w:rPr>
        <w:t>; &gt;0.75gpm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6"/>
        <w:gridCol w:w="1169"/>
        <w:gridCol w:w="1171"/>
        <w:gridCol w:w="1709"/>
        <w:gridCol w:w="2162"/>
        <w:gridCol w:w="1253"/>
      </w:tblGrid>
      <w:tr w:rsidR="00EA6773" w:rsidRPr="004F4C12" w14:paraId="01E12864" w14:textId="77777777" w:rsidTr="00C76EB4">
        <w:trPr>
          <w:trHeight w:val="245"/>
          <w:tblHeader/>
          <w:jc w:val="center"/>
        </w:trPr>
        <w:tc>
          <w:tcPr>
            <w:tcW w:w="1009" w:type="pct"/>
            <w:shd w:val="clear" w:color="auto" w:fill="C0C0C0"/>
            <w:noWrap/>
            <w:vAlign w:val="bottom"/>
            <w:hideMark/>
          </w:tcPr>
          <w:p w14:paraId="52A06E43" w14:textId="77777777" w:rsidR="00EA6773" w:rsidRPr="00406747" w:rsidRDefault="00EA6773" w:rsidP="008851E8">
            <w:pPr>
              <w:jc w:val="center"/>
              <w:rPr>
                <w:rFonts w:cs="Arial"/>
                <w:b/>
                <w:bCs/>
                <w:color w:val="000000"/>
                <w:sz w:val="20"/>
                <w:szCs w:val="20"/>
              </w:rPr>
            </w:pPr>
            <w:r w:rsidRPr="00406747">
              <w:rPr>
                <w:rFonts w:cs="Arial"/>
                <w:b/>
                <w:bCs/>
                <w:color w:val="000000"/>
                <w:sz w:val="20"/>
                <w:szCs w:val="20"/>
              </w:rPr>
              <w:t>Group</w:t>
            </w:r>
          </w:p>
        </w:tc>
        <w:tc>
          <w:tcPr>
            <w:tcW w:w="625" w:type="pct"/>
            <w:shd w:val="clear" w:color="auto" w:fill="C0C0C0"/>
          </w:tcPr>
          <w:p w14:paraId="6FB2D322" w14:textId="77777777" w:rsidR="00EA6773" w:rsidRPr="00406747" w:rsidRDefault="00EA6773" w:rsidP="008851E8">
            <w:pPr>
              <w:jc w:val="center"/>
              <w:rPr>
                <w:rFonts w:cs="Arial"/>
                <w:b/>
                <w:bCs/>
                <w:color w:val="000000"/>
                <w:sz w:val="20"/>
                <w:szCs w:val="20"/>
              </w:rPr>
            </w:pPr>
            <w:r w:rsidRPr="00406747">
              <w:rPr>
                <w:b/>
              </w:rPr>
              <w:t>Spray Force (ounces)</w:t>
            </w:r>
          </w:p>
        </w:tc>
        <w:tc>
          <w:tcPr>
            <w:tcW w:w="626" w:type="pct"/>
            <w:shd w:val="clear" w:color="auto" w:fill="C0C0C0"/>
          </w:tcPr>
          <w:p w14:paraId="3A5AB48A" w14:textId="77777777" w:rsidR="00EA6773" w:rsidRPr="00406747" w:rsidRDefault="00EA6773" w:rsidP="008851E8">
            <w:pPr>
              <w:jc w:val="center"/>
              <w:rPr>
                <w:rFonts w:cs="Arial"/>
                <w:b/>
                <w:bCs/>
                <w:color w:val="000000"/>
                <w:sz w:val="20"/>
                <w:szCs w:val="20"/>
              </w:rPr>
            </w:pPr>
            <w:r w:rsidRPr="00406747">
              <w:rPr>
                <w:b/>
              </w:rPr>
              <w:t>Maximum Rated Flow Rate (gpm)</w:t>
            </w:r>
          </w:p>
        </w:tc>
        <w:tc>
          <w:tcPr>
            <w:tcW w:w="914" w:type="pct"/>
            <w:shd w:val="clear" w:color="auto" w:fill="C0C0C0"/>
            <w:noWrap/>
            <w:vAlign w:val="bottom"/>
            <w:hideMark/>
          </w:tcPr>
          <w:p w14:paraId="44CCEF45" w14:textId="77777777" w:rsidR="00EA6773" w:rsidRPr="00406747" w:rsidRDefault="00EA6773" w:rsidP="008851E8">
            <w:pPr>
              <w:jc w:val="center"/>
              <w:rPr>
                <w:rFonts w:cs="Arial"/>
                <w:b/>
                <w:bCs/>
                <w:color w:val="000000"/>
                <w:sz w:val="20"/>
                <w:szCs w:val="20"/>
              </w:rPr>
            </w:pPr>
            <w:r w:rsidRPr="00406747">
              <w:rPr>
                <w:rFonts w:cs="Arial"/>
                <w:b/>
                <w:bCs/>
                <w:color w:val="000000"/>
                <w:sz w:val="20"/>
                <w:szCs w:val="20"/>
              </w:rPr>
              <w:t>Make</w:t>
            </w:r>
          </w:p>
        </w:tc>
        <w:tc>
          <w:tcPr>
            <w:tcW w:w="1156" w:type="pct"/>
            <w:shd w:val="clear" w:color="auto" w:fill="C0C0C0"/>
            <w:noWrap/>
            <w:vAlign w:val="bottom"/>
            <w:hideMark/>
          </w:tcPr>
          <w:p w14:paraId="0503FB71" w14:textId="77777777" w:rsidR="00EA6773" w:rsidRPr="00406747" w:rsidRDefault="00EA6773" w:rsidP="008851E8">
            <w:pPr>
              <w:jc w:val="center"/>
              <w:rPr>
                <w:rFonts w:cs="Arial"/>
                <w:b/>
                <w:bCs/>
                <w:color w:val="000000"/>
                <w:sz w:val="20"/>
                <w:szCs w:val="20"/>
              </w:rPr>
            </w:pPr>
            <w:r w:rsidRPr="00406747">
              <w:rPr>
                <w:rFonts w:cs="Arial"/>
                <w:b/>
                <w:bCs/>
                <w:color w:val="000000"/>
                <w:sz w:val="20"/>
                <w:szCs w:val="20"/>
              </w:rPr>
              <w:t>Model</w:t>
            </w:r>
          </w:p>
        </w:tc>
        <w:tc>
          <w:tcPr>
            <w:tcW w:w="670" w:type="pct"/>
            <w:shd w:val="clear" w:color="auto" w:fill="C0C0C0"/>
            <w:noWrap/>
            <w:vAlign w:val="bottom"/>
            <w:hideMark/>
          </w:tcPr>
          <w:p w14:paraId="04D1DB92" w14:textId="0C34673A" w:rsidR="00EA6773" w:rsidRPr="00406747" w:rsidRDefault="00EA6773" w:rsidP="008851E8">
            <w:pPr>
              <w:jc w:val="center"/>
              <w:rPr>
                <w:rFonts w:cs="Arial"/>
                <w:b/>
                <w:bCs/>
                <w:color w:val="000000"/>
                <w:sz w:val="20"/>
                <w:szCs w:val="20"/>
              </w:rPr>
            </w:pPr>
            <w:r w:rsidRPr="00406747">
              <w:rPr>
                <w:rFonts w:cs="Arial"/>
                <w:b/>
                <w:bCs/>
                <w:color w:val="000000"/>
                <w:sz w:val="20"/>
                <w:szCs w:val="20"/>
              </w:rPr>
              <w:t>Cost ($)</w:t>
            </w:r>
          </w:p>
        </w:tc>
      </w:tr>
      <w:tr w:rsidR="00EA6773" w:rsidRPr="004F4C12" w14:paraId="633B1885" w14:textId="77777777" w:rsidTr="00C76EB4">
        <w:trPr>
          <w:trHeight w:val="245"/>
          <w:jc w:val="center"/>
        </w:trPr>
        <w:tc>
          <w:tcPr>
            <w:tcW w:w="1009" w:type="pct"/>
            <w:noWrap/>
            <w:vAlign w:val="center"/>
            <w:hideMark/>
          </w:tcPr>
          <w:p w14:paraId="35D72838" w14:textId="6EDE92FB" w:rsidR="00EA6773" w:rsidRPr="00C76EB4" w:rsidRDefault="00C44038" w:rsidP="008851E8">
            <w:pPr>
              <w:jc w:val="center"/>
              <w:rPr>
                <w:rFonts w:cs="Arial"/>
                <w:color w:val="000000"/>
                <w:sz w:val="20"/>
                <w:szCs w:val="20"/>
              </w:rPr>
            </w:pPr>
            <w:r w:rsidRPr="00C76EB4">
              <w:rPr>
                <w:rFonts w:cs="Arial"/>
                <w:color w:val="000000"/>
                <w:sz w:val="20"/>
                <w:szCs w:val="20"/>
              </w:rPr>
              <w:t>Baseline</w:t>
            </w:r>
          </w:p>
        </w:tc>
        <w:tc>
          <w:tcPr>
            <w:tcW w:w="625" w:type="pct"/>
          </w:tcPr>
          <w:p w14:paraId="1A2EC66A" w14:textId="0BA21768" w:rsidR="00EA6773" w:rsidRPr="00193973" w:rsidRDefault="00C44038" w:rsidP="008851E8">
            <w:pPr>
              <w:jc w:val="center"/>
              <w:rPr>
                <w:rFonts w:ascii="Calibri" w:hAnsi="Calibri" w:cs="Calibri"/>
                <w:color w:val="000000"/>
                <w:szCs w:val="22"/>
              </w:rPr>
            </w:pPr>
            <w:r w:rsidRPr="00193973">
              <w:rPr>
                <w:rFonts w:ascii="Calibri" w:hAnsi="Calibri" w:cs="Calibri"/>
                <w:color w:val="000000"/>
                <w:szCs w:val="22"/>
              </w:rPr>
              <w:t>7.5</w:t>
            </w:r>
          </w:p>
        </w:tc>
        <w:tc>
          <w:tcPr>
            <w:tcW w:w="626" w:type="pct"/>
          </w:tcPr>
          <w:p w14:paraId="0F7E815D" w14:textId="1C7DF4A5" w:rsidR="00EA6773" w:rsidRPr="00193973" w:rsidRDefault="00C44038" w:rsidP="008851E8">
            <w:pPr>
              <w:jc w:val="center"/>
              <w:rPr>
                <w:rFonts w:ascii="Calibri" w:hAnsi="Calibri" w:cs="Calibri"/>
                <w:color w:val="000000"/>
                <w:szCs w:val="22"/>
              </w:rPr>
            </w:pPr>
            <w:r w:rsidRPr="00193973">
              <w:rPr>
                <w:rFonts w:ascii="Calibri" w:hAnsi="Calibri" w:cs="Calibri"/>
                <w:color w:val="000000"/>
                <w:szCs w:val="22"/>
              </w:rPr>
              <w:t>1.15</w:t>
            </w:r>
          </w:p>
        </w:tc>
        <w:tc>
          <w:tcPr>
            <w:tcW w:w="914" w:type="pct"/>
            <w:noWrap/>
            <w:hideMark/>
          </w:tcPr>
          <w:p w14:paraId="033590C0" w14:textId="3B150D35" w:rsidR="00EA6773" w:rsidRPr="004F4C12" w:rsidRDefault="00EA6773" w:rsidP="008851E8">
            <w:pPr>
              <w:jc w:val="center"/>
              <w:rPr>
                <w:rFonts w:cs="Arial"/>
                <w:color w:val="000000"/>
                <w:sz w:val="20"/>
                <w:szCs w:val="20"/>
                <w:highlight w:val="yellow"/>
              </w:rPr>
            </w:pPr>
            <w:r w:rsidRPr="00193973">
              <w:rPr>
                <w:rFonts w:ascii="Calibri" w:hAnsi="Calibri" w:cs="Calibri"/>
                <w:color w:val="000000"/>
                <w:szCs w:val="22"/>
              </w:rPr>
              <w:t>Fisher</w:t>
            </w:r>
          </w:p>
        </w:tc>
        <w:tc>
          <w:tcPr>
            <w:tcW w:w="1156" w:type="pct"/>
            <w:noWrap/>
            <w:hideMark/>
          </w:tcPr>
          <w:p w14:paraId="38FEBF90" w14:textId="2839A5E5" w:rsidR="00EA6773" w:rsidRPr="004F4C12" w:rsidRDefault="00C44038" w:rsidP="008851E8">
            <w:pPr>
              <w:jc w:val="center"/>
              <w:rPr>
                <w:rFonts w:cs="Arial"/>
                <w:color w:val="000000"/>
                <w:sz w:val="20"/>
                <w:szCs w:val="20"/>
                <w:highlight w:val="yellow"/>
              </w:rPr>
            </w:pPr>
            <w:r w:rsidRPr="00193973">
              <w:rPr>
                <w:rFonts w:ascii="Calibri" w:hAnsi="Calibri" w:cs="Calibri"/>
                <w:color w:val="000000"/>
                <w:szCs w:val="22"/>
              </w:rPr>
              <w:t>2949</w:t>
            </w:r>
          </w:p>
        </w:tc>
        <w:tc>
          <w:tcPr>
            <w:tcW w:w="670" w:type="pct"/>
            <w:noWrap/>
            <w:vAlign w:val="bottom"/>
            <w:hideMark/>
          </w:tcPr>
          <w:p w14:paraId="2007B86E" w14:textId="366E8418" w:rsidR="00EA6773" w:rsidRPr="004F4C12" w:rsidRDefault="00EA6773" w:rsidP="008851E8">
            <w:pPr>
              <w:jc w:val="center"/>
              <w:rPr>
                <w:rFonts w:cs="Arial"/>
                <w:color w:val="000000"/>
                <w:sz w:val="20"/>
                <w:szCs w:val="20"/>
                <w:highlight w:val="yellow"/>
              </w:rPr>
            </w:pPr>
            <w:r w:rsidRPr="00193973">
              <w:rPr>
                <w:rFonts w:ascii="Calibri" w:hAnsi="Calibri" w:cs="Calibri"/>
                <w:color w:val="000000"/>
                <w:szCs w:val="22"/>
              </w:rPr>
              <w:t xml:space="preserve"> $</w:t>
            </w:r>
            <w:r w:rsidR="00C44038" w:rsidRPr="00193973">
              <w:rPr>
                <w:rFonts w:ascii="Calibri" w:hAnsi="Calibri" w:cs="Calibri"/>
                <w:color w:val="000000"/>
                <w:szCs w:val="22"/>
              </w:rPr>
              <w:t>41</w:t>
            </w:r>
            <w:r w:rsidRPr="00193973">
              <w:rPr>
                <w:rFonts w:ascii="Calibri" w:hAnsi="Calibri" w:cs="Calibri"/>
                <w:color w:val="000000"/>
                <w:szCs w:val="22"/>
              </w:rPr>
              <w:t xml:space="preserve">.99 </w:t>
            </w:r>
          </w:p>
        </w:tc>
      </w:tr>
      <w:tr w:rsidR="00EA6773" w:rsidRPr="004F4C12" w14:paraId="3DAD1360" w14:textId="77777777" w:rsidTr="00C76EB4">
        <w:trPr>
          <w:trHeight w:val="245"/>
          <w:jc w:val="center"/>
        </w:trPr>
        <w:tc>
          <w:tcPr>
            <w:tcW w:w="1009" w:type="pct"/>
            <w:noWrap/>
            <w:vAlign w:val="center"/>
            <w:hideMark/>
          </w:tcPr>
          <w:p w14:paraId="6D2887DF" w14:textId="37667535" w:rsidR="00EA6773" w:rsidRPr="00C76EB4" w:rsidRDefault="00C44038" w:rsidP="008851E8">
            <w:pPr>
              <w:jc w:val="center"/>
              <w:rPr>
                <w:rFonts w:cs="Arial"/>
                <w:color w:val="000000"/>
                <w:sz w:val="20"/>
                <w:szCs w:val="20"/>
              </w:rPr>
            </w:pPr>
            <w:r w:rsidRPr="00C76EB4">
              <w:rPr>
                <w:rFonts w:cs="Arial"/>
                <w:color w:val="000000"/>
                <w:sz w:val="20"/>
                <w:szCs w:val="20"/>
              </w:rPr>
              <w:t>Baseline</w:t>
            </w:r>
          </w:p>
        </w:tc>
        <w:tc>
          <w:tcPr>
            <w:tcW w:w="625" w:type="pct"/>
          </w:tcPr>
          <w:p w14:paraId="46F162E2" w14:textId="6E9B5FA7" w:rsidR="00EA6773" w:rsidRPr="00193973" w:rsidRDefault="00C44038" w:rsidP="008851E8">
            <w:pPr>
              <w:jc w:val="center"/>
              <w:rPr>
                <w:rFonts w:ascii="Calibri" w:hAnsi="Calibri" w:cs="Calibri"/>
                <w:color w:val="000000"/>
                <w:szCs w:val="22"/>
              </w:rPr>
            </w:pPr>
            <w:r w:rsidRPr="00193973">
              <w:rPr>
                <w:rFonts w:ascii="Calibri" w:hAnsi="Calibri" w:cs="Calibri"/>
                <w:color w:val="000000"/>
                <w:szCs w:val="22"/>
              </w:rPr>
              <w:t>7.5</w:t>
            </w:r>
          </w:p>
        </w:tc>
        <w:tc>
          <w:tcPr>
            <w:tcW w:w="626" w:type="pct"/>
          </w:tcPr>
          <w:p w14:paraId="356B4F18" w14:textId="07C44736" w:rsidR="00EA6773" w:rsidRPr="00193973" w:rsidRDefault="00C44038" w:rsidP="008851E8">
            <w:pPr>
              <w:jc w:val="center"/>
              <w:rPr>
                <w:rFonts w:ascii="Calibri" w:hAnsi="Calibri" w:cs="Calibri"/>
                <w:color w:val="000000"/>
                <w:szCs w:val="22"/>
              </w:rPr>
            </w:pPr>
            <w:r w:rsidRPr="00193973">
              <w:rPr>
                <w:rFonts w:ascii="Calibri" w:hAnsi="Calibri" w:cs="Calibri"/>
                <w:color w:val="000000"/>
                <w:szCs w:val="22"/>
              </w:rPr>
              <w:t>1.15</w:t>
            </w:r>
          </w:p>
        </w:tc>
        <w:tc>
          <w:tcPr>
            <w:tcW w:w="914" w:type="pct"/>
            <w:noWrap/>
            <w:hideMark/>
          </w:tcPr>
          <w:p w14:paraId="70C62122" w14:textId="3628644F" w:rsidR="00EA6773" w:rsidRPr="004F4C12" w:rsidRDefault="00EA6773" w:rsidP="008851E8">
            <w:pPr>
              <w:jc w:val="center"/>
              <w:rPr>
                <w:rFonts w:cs="Arial"/>
                <w:color w:val="000000"/>
                <w:sz w:val="20"/>
                <w:szCs w:val="20"/>
                <w:highlight w:val="yellow"/>
              </w:rPr>
            </w:pPr>
            <w:r w:rsidRPr="00193973">
              <w:rPr>
                <w:rFonts w:ascii="Calibri" w:hAnsi="Calibri" w:cs="Calibri"/>
                <w:color w:val="000000"/>
                <w:szCs w:val="22"/>
              </w:rPr>
              <w:t>Fisher</w:t>
            </w:r>
          </w:p>
        </w:tc>
        <w:tc>
          <w:tcPr>
            <w:tcW w:w="1156" w:type="pct"/>
            <w:noWrap/>
            <w:hideMark/>
          </w:tcPr>
          <w:p w14:paraId="7BF2183F" w14:textId="1084B6A7" w:rsidR="00EA6773" w:rsidRPr="004F4C12" w:rsidRDefault="00C44038" w:rsidP="008851E8">
            <w:pPr>
              <w:jc w:val="center"/>
              <w:rPr>
                <w:rFonts w:cs="Arial"/>
                <w:color w:val="000000"/>
                <w:sz w:val="20"/>
                <w:szCs w:val="20"/>
                <w:highlight w:val="yellow"/>
              </w:rPr>
            </w:pPr>
            <w:r w:rsidRPr="00193973">
              <w:rPr>
                <w:rFonts w:ascii="Calibri" w:hAnsi="Calibri" w:cs="Calibri"/>
                <w:color w:val="000000"/>
                <w:szCs w:val="22"/>
              </w:rPr>
              <w:t>2949R</w:t>
            </w:r>
          </w:p>
        </w:tc>
        <w:tc>
          <w:tcPr>
            <w:tcW w:w="670" w:type="pct"/>
            <w:noWrap/>
            <w:vAlign w:val="bottom"/>
            <w:hideMark/>
          </w:tcPr>
          <w:p w14:paraId="119935AE" w14:textId="48CE5EFD" w:rsidR="00EA6773" w:rsidRPr="004F4C12" w:rsidRDefault="00EA6773" w:rsidP="008851E8">
            <w:pPr>
              <w:jc w:val="center"/>
              <w:rPr>
                <w:rFonts w:cs="Arial"/>
                <w:color w:val="000000"/>
                <w:sz w:val="20"/>
                <w:szCs w:val="20"/>
                <w:highlight w:val="yellow"/>
              </w:rPr>
            </w:pPr>
            <w:r w:rsidRPr="00193973">
              <w:rPr>
                <w:rFonts w:ascii="Calibri" w:hAnsi="Calibri" w:cs="Calibri"/>
                <w:color w:val="000000"/>
                <w:szCs w:val="22"/>
              </w:rPr>
              <w:t xml:space="preserve"> $</w:t>
            </w:r>
            <w:r w:rsidR="00C44038" w:rsidRPr="00193973">
              <w:rPr>
                <w:rFonts w:ascii="Calibri" w:hAnsi="Calibri" w:cs="Calibri"/>
                <w:color w:val="000000"/>
                <w:szCs w:val="22"/>
              </w:rPr>
              <w:t>41</w:t>
            </w:r>
            <w:r w:rsidRPr="00193973">
              <w:rPr>
                <w:rFonts w:ascii="Calibri" w:hAnsi="Calibri" w:cs="Calibri"/>
                <w:color w:val="000000"/>
                <w:szCs w:val="22"/>
              </w:rPr>
              <w:t xml:space="preserve">.99 </w:t>
            </w:r>
          </w:p>
        </w:tc>
      </w:tr>
      <w:tr w:rsidR="00EA6773" w:rsidRPr="004F4C12" w14:paraId="14143E98" w14:textId="77777777" w:rsidTr="00C76EB4">
        <w:trPr>
          <w:trHeight w:val="245"/>
          <w:jc w:val="center"/>
        </w:trPr>
        <w:tc>
          <w:tcPr>
            <w:tcW w:w="1009" w:type="pct"/>
            <w:noWrap/>
            <w:vAlign w:val="center"/>
            <w:hideMark/>
          </w:tcPr>
          <w:p w14:paraId="33CD2870" w14:textId="2EFA35DE" w:rsidR="00EA6773" w:rsidRPr="00C76EB4" w:rsidRDefault="00C44038" w:rsidP="008851E8">
            <w:pPr>
              <w:jc w:val="center"/>
              <w:rPr>
                <w:rFonts w:cs="Arial"/>
                <w:color w:val="000000"/>
                <w:sz w:val="20"/>
                <w:szCs w:val="20"/>
              </w:rPr>
            </w:pPr>
            <w:r w:rsidRPr="00C76EB4">
              <w:rPr>
                <w:rFonts w:cs="Arial"/>
                <w:color w:val="000000"/>
                <w:sz w:val="20"/>
                <w:szCs w:val="20"/>
              </w:rPr>
              <w:t>Baseline</w:t>
            </w:r>
          </w:p>
        </w:tc>
        <w:tc>
          <w:tcPr>
            <w:tcW w:w="625" w:type="pct"/>
          </w:tcPr>
          <w:p w14:paraId="60950D01" w14:textId="048E6E24" w:rsidR="00EA6773" w:rsidRPr="00193973" w:rsidRDefault="00C44038" w:rsidP="008851E8">
            <w:pPr>
              <w:jc w:val="center"/>
              <w:rPr>
                <w:rFonts w:ascii="Calibri" w:hAnsi="Calibri" w:cs="Calibri"/>
                <w:color w:val="000000"/>
                <w:szCs w:val="22"/>
              </w:rPr>
            </w:pPr>
            <w:r w:rsidRPr="00193973">
              <w:rPr>
                <w:rFonts w:ascii="Calibri" w:hAnsi="Calibri" w:cs="Calibri"/>
                <w:color w:val="000000"/>
                <w:szCs w:val="22"/>
              </w:rPr>
              <w:t>7.5</w:t>
            </w:r>
          </w:p>
        </w:tc>
        <w:tc>
          <w:tcPr>
            <w:tcW w:w="626" w:type="pct"/>
          </w:tcPr>
          <w:p w14:paraId="5120C1AB" w14:textId="6E5A833A" w:rsidR="00EA6773" w:rsidRPr="00193973" w:rsidRDefault="00C44038" w:rsidP="008851E8">
            <w:pPr>
              <w:jc w:val="center"/>
              <w:rPr>
                <w:rFonts w:ascii="Calibri" w:hAnsi="Calibri" w:cs="Calibri"/>
                <w:color w:val="000000"/>
                <w:szCs w:val="22"/>
              </w:rPr>
            </w:pPr>
            <w:r w:rsidRPr="00193973">
              <w:rPr>
                <w:rFonts w:ascii="Calibri" w:hAnsi="Calibri" w:cs="Calibri"/>
                <w:color w:val="000000"/>
                <w:szCs w:val="22"/>
              </w:rPr>
              <w:t>1.15</w:t>
            </w:r>
          </w:p>
        </w:tc>
        <w:tc>
          <w:tcPr>
            <w:tcW w:w="914" w:type="pct"/>
            <w:noWrap/>
            <w:hideMark/>
          </w:tcPr>
          <w:p w14:paraId="70B2A2F2" w14:textId="4FF93DD5" w:rsidR="00EA6773" w:rsidRPr="004F4C12" w:rsidRDefault="00C44038" w:rsidP="008851E8">
            <w:pPr>
              <w:jc w:val="center"/>
              <w:rPr>
                <w:rFonts w:cs="Arial"/>
                <w:color w:val="000000"/>
                <w:sz w:val="20"/>
                <w:szCs w:val="20"/>
                <w:highlight w:val="yellow"/>
              </w:rPr>
            </w:pPr>
            <w:r w:rsidRPr="00193973">
              <w:rPr>
                <w:rFonts w:ascii="Calibri" w:hAnsi="Calibri" w:cs="Calibri"/>
                <w:color w:val="000000"/>
                <w:szCs w:val="22"/>
              </w:rPr>
              <w:t>Fisher</w:t>
            </w:r>
          </w:p>
        </w:tc>
        <w:tc>
          <w:tcPr>
            <w:tcW w:w="1156" w:type="pct"/>
            <w:noWrap/>
            <w:hideMark/>
          </w:tcPr>
          <w:p w14:paraId="1022185A" w14:textId="7310C0D1" w:rsidR="00EA6773" w:rsidRPr="004F4C12" w:rsidRDefault="00C44038" w:rsidP="008851E8">
            <w:pPr>
              <w:jc w:val="center"/>
              <w:rPr>
                <w:rFonts w:cs="Arial"/>
                <w:color w:val="000000"/>
                <w:sz w:val="20"/>
                <w:szCs w:val="20"/>
                <w:highlight w:val="yellow"/>
              </w:rPr>
            </w:pPr>
            <w:r w:rsidRPr="00193973">
              <w:rPr>
                <w:rFonts w:ascii="Calibri" w:hAnsi="Calibri" w:cs="Calibri"/>
                <w:color w:val="000000"/>
                <w:szCs w:val="22"/>
              </w:rPr>
              <w:t>71307</w:t>
            </w:r>
          </w:p>
        </w:tc>
        <w:tc>
          <w:tcPr>
            <w:tcW w:w="670" w:type="pct"/>
            <w:noWrap/>
            <w:vAlign w:val="bottom"/>
            <w:hideMark/>
          </w:tcPr>
          <w:p w14:paraId="070CE0AF" w14:textId="301EFAAF" w:rsidR="00EA6773" w:rsidRPr="004F4C12" w:rsidRDefault="00EA6773" w:rsidP="008851E8">
            <w:pPr>
              <w:jc w:val="center"/>
              <w:rPr>
                <w:rFonts w:cs="Arial"/>
                <w:color w:val="000000"/>
                <w:sz w:val="20"/>
                <w:szCs w:val="20"/>
                <w:highlight w:val="yellow"/>
              </w:rPr>
            </w:pPr>
            <w:r w:rsidRPr="00193973">
              <w:rPr>
                <w:rFonts w:ascii="Calibri" w:hAnsi="Calibri" w:cs="Calibri"/>
                <w:color w:val="000000"/>
                <w:szCs w:val="22"/>
              </w:rPr>
              <w:t xml:space="preserve"> $</w:t>
            </w:r>
            <w:r w:rsidR="00C44038" w:rsidRPr="00193973">
              <w:rPr>
                <w:rFonts w:ascii="Calibri" w:hAnsi="Calibri" w:cs="Calibri"/>
                <w:color w:val="000000"/>
                <w:szCs w:val="22"/>
              </w:rPr>
              <w:t>61</w:t>
            </w:r>
            <w:r w:rsidRPr="00193973">
              <w:rPr>
                <w:rFonts w:ascii="Calibri" w:hAnsi="Calibri" w:cs="Calibri"/>
                <w:color w:val="000000"/>
                <w:szCs w:val="22"/>
              </w:rPr>
              <w:t xml:space="preserve">.99 </w:t>
            </w:r>
          </w:p>
        </w:tc>
      </w:tr>
      <w:tr w:rsidR="00EA6773" w:rsidRPr="004F4C12" w14:paraId="48102450" w14:textId="77777777" w:rsidTr="00C76EB4">
        <w:trPr>
          <w:trHeight w:val="245"/>
          <w:jc w:val="center"/>
        </w:trPr>
        <w:tc>
          <w:tcPr>
            <w:tcW w:w="1009" w:type="pct"/>
            <w:noWrap/>
            <w:vAlign w:val="center"/>
            <w:hideMark/>
          </w:tcPr>
          <w:p w14:paraId="67B1F65A" w14:textId="26FD5612" w:rsidR="00EA6773" w:rsidRPr="00C76EB4" w:rsidRDefault="00C44038" w:rsidP="008851E8">
            <w:pPr>
              <w:jc w:val="center"/>
              <w:rPr>
                <w:rFonts w:cs="Arial"/>
                <w:color w:val="000000"/>
                <w:sz w:val="20"/>
                <w:szCs w:val="20"/>
              </w:rPr>
            </w:pPr>
            <w:r w:rsidRPr="00C76EB4">
              <w:rPr>
                <w:rFonts w:cs="Arial"/>
                <w:color w:val="000000"/>
                <w:sz w:val="20"/>
                <w:szCs w:val="20"/>
              </w:rPr>
              <w:t>Baseline</w:t>
            </w:r>
          </w:p>
        </w:tc>
        <w:tc>
          <w:tcPr>
            <w:tcW w:w="625" w:type="pct"/>
          </w:tcPr>
          <w:p w14:paraId="3144D02F" w14:textId="5F039761" w:rsidR="00EA6773" w:rsidRPr="00193973" w:rsidRDefault="00C44038" w:rsidP="008851E8">
            <w:pPr>
              <w:jc w:val="center"/>
              <w:rPr>
                <w:rFonts w:ascii="Calibri" w:hAnsi="Calibri" w:cs="Calibri"/>
                <w:color w:val="000000"/>
                <w:szCs w:val="22"/>
              </w:rPr>
            </w:pPr>
            <w:r w:rsidRPr="00193973">
              <w:rPr>
                <w:rFonts w:ascii="Calibri" w:hAnsi="Calibri" w:cs="Calibri"/>
                <w:color w:val="000000"/>
                <w:szCs w:val="22"/>
              </w:rPr>
              <w:t>7.7</w:t>
            </w:r>
          </w:p>
        </w:tc>
        <w:tc>
          <w:tcPr>
            <w:tcW w:w="626" w:type="pct"/>
          </w:tcPr>
          <w:p w14:paraId="37F36DB9" w14:textId="70A4D88B" w:rsidR="00EA6773" w:rsidRPr="00193973" w:rsidRDefault="00C44038" w:rsidP="008851E8">
            <w:pPr>
              <w:jc w:val="center"/>
              <w:rPr>
                <w:rFonts w:ascii="Calibri" w:hAnsi="Calibri" w:cs="Calibri"/>
                <w:color w:val="000000"/>
                <w:szCs w:val="22"/>
              </w:rPr>
            </w:pPr>
            <w:r w:rsidRPr="00193973">
              <w:rPr>
                <w:rFonts w:ascii="Calibri" w:hAnsi="Calibri" w:cs="Calibri"/>
                <w:color w:val="000000"/>
                <w:szCs w:val="22"/>
              </w:rPr>
              <w:t>1.2</w:t>
            </w:r>
          </w:p>
        </w:tc>
        <w:tc>
          <w:tcPr>
            <w:tcW w:w="914" w:type="pct"/>
            <w:noWrap/>
            <w:hideMark/>
          </w:tcPr>
          <w:p w14:paraId="10C51319" w14:textId="04DF467F" w:rsidR="00EA6773" w:rsidRPr="004F4C12" w:rsidRDefault="00EA6773" w:rsidP="008851E8">
            <w:pPr>
              <w:jc w:val="center"/>
              <w:rPr>
                <w:rFonts w:cs="Arial"/>
                <w:color w:val="000000"/>
                <w:sz w:val="20"/>
                <w:szCs w:val="20"/>
                <w:highlight w:val="yellow"/>
              </w:rPr>
            </w:pPr>
            <w:r w:rsidRPr="00193973">
              <w:rPr>
                <w:rFonts w:ascii="Calibri" w:hAnsi="Calibri" w:cs="Calibri"/>
                <w:color w:val="000000"/>
                <w:szCs w:val="22"/>
              </w:rPr>
              <w:t>T&amp;S Brass</w:t>
            </w:r>
          </w:p>
        </w:tc>
        <w:tc>
          <w:tcPr>
            <w:tcW w:w="1156" w:type="pct"/>
            <w:noWrap/>
            <w:hideMark/>
          </w:tcPr>
          <w:p w14:paraId="737A6518" w14:textId="104C537E" w:rsidR="00EA6773" w:rsidRPr="004F4C12" w:rsidRDefault="00C44038" w:rsidP="008851E8">
            <w:pPr>
              <w:jc w:val="center"/>
              <w:rPr>
                <w:rFonts w:cs="Arial"/>
                <w:color w:val="000000"/>
                <w:sz w:val="20"/>
                <w:szCs w:val="20"/>
                <w:highlight w:val="yellow"/>
              </w:rPr>
            </w:pPr>
            <w:r w:rsidRPr="00193973">
              <w:rPr>
                <w:rFonts w:ascii="Calibri" w:hAnsi="Calibri" w:cs="Calibri"/>
                <w:color w:val="000000"/>
                <w:szCs w:val="22"/>
              </w:rPr>
              <w:t>5SV-C</w:t>
            </w:r>
          </w:p>
        </w:tc>
        <w:tc>
          <w:tcPr>
            <w:tcW w:w="670" w:type="pct"/>
            <w:noWrap/>
            <w:vAlign w:val="bottom"/>
            <w:hideMark/>
          </w:tcPr>
          <w:p w14:paraId="398540B5" w14:textId="2F83DF32" w:rsidR="00EA6773" w:rsidRPr="004F4C12" w:rsidRDefault="00C44038" w:rsidP="008851E8">
            <w:pPr>
              <w:jc w:val="center"/>
              <w:rPr>
                <w:rFonts w:cs="Arial"/>
                <w:color w:val="000000"/>
                <w:sz w:val="20"/>
                <w:szCs w:val="20"/>
                <w:highlight w:val="yellow"/>
              </w:rPr>
            </w:pPr>
            <w:r w:rsidRPr="00193973">
              <w:rPr>
                <w:rFonts w:ascii="Calibri" w:hAnsi="Calibri" w:cs="Calibri"/>
                <w:color w:val="000000"/>
                <w:szCs w:val="22"/>
              </w:rPr>
              <w:t xml:space="preserve"> $38.49 </w:t>
            </w:r>
          </w:p>
        </w:tc>
      </w:tr>
      <w:tr w:rsidR="00EA6773" w:rsidRPr="004F4C12" w14:paraId="1971750A" w14:textId="77777777" w:rsidTr="00C76EB4">
        <w:trPr>
          <w:trHeight w:val="245"/>
          <w:jc w:val="center"/>
        </w:trPr>
        <w:tc>
          <w:tcPr>
            <w:tcW w:w="1009" w:type="pct"/>
            <w:noWrap/>
            <w:vAlign w:val="center"/>
          </w:tcPr>
          <w:p w14:paraId="29380470" w14:textId="77777777" w:rsidR="00EA6773" w:rsidRPr="00C76EB4" w:rsidRDefault="00EA6773" w:rsidP="008851E8">
            <w:pPr>
              <w:jc w:val="center"/>
              <w:rPr>
                <w:rFonts w:cs="Arial"/>
                <w:color w:val="000000"/>
                <w:sz w:val="20"/>
                <w:szCs w:val="20"/>
              </w:rPr>
            </w:pPr>
            <w:r w:rsidRPr="00C76EB4">
              <w:rPr>
                <w:rFonts w:cs="Arial"/>
                <w:color w:val="000000"/>
                <w:sz w:val="20"/>
                <w:szCs w:val="20"/>
              </w:rPr>
              <w:t>Energy Efficient</w:t>
            </w:r>
          </w:p>
        </w:tc>
        <w:tc>
          <w:tcPr>
            <w:tcW w:w="625" w:type="pct"/>
          </w:tcPr>
          <w:p w14:paraId="650EF8DA" w14:textId="77777777" w:rsidR="00EA6773" w:rsidRPr="00193973" w:rsidRDefault="00EA6773" w:rsidP="008851E8">
            <w:pPr>
              <w:jc w:val="center"/>
              <w:rPr>
                <w:rFonts w:ascii="Calibri" w:hAnsi="Calibri" w:cs="Calibri"/>
                <w:color w:val="000000"/>
                <w:szCs w:val="22"/>
              </w:rPr>
            </w:pPr>
            <w:r w:rsidRPr="00FA62A4">
              <w:t>6.4</w:t>
            </w:r>
          </w:p>
        </w:tc>
        <w:tc>
          <w:tcPr>
            <w:tcW w:w="626" w:type="pct"/>
          </w:tcPr>
          <w:p w14:paraId="0A6DBDEE" w14:textId="77777777" w:rsidR="00EA6773" w:rsidRPr="00193973" w:rsidRDefault="00EA6773" w:rsidP="008851E8">
            <w:pPr>
              <w:jc w:val="center"/>
              <w:rPr>
                <w:rFonts w:ascii="Calibri" w:hAnsi="Calibri" w:cs="Calibri"/>
                <w:color w:val="000000"/>
                <w:szCs w:val="22"/>
              </w:rPr>
            </w:pPr>
            <w:r w:rsidRPr="00FA62A4">
              <w:t>1.0</w:t>
            </w:r>
          </w:p>
        </w:tc>
        <w:tc>
          <w:tcPr>
            <w:tcW w:w="914" w:type="pct"/>
            <w:noWrap/>
          </w:tcPr>
          <w:p w14:paraId="2F1C1B2B" w14:textId="77777777" w:rsidR="00EA6773" w:rsidRPr="00193973" w:rsidRDefault="00EA6773" w:rsidP="008851E8">
            <w:pPr>
              <w:jc w:val="center"/>
              <w:rPr>
                <w:rFonts w:ascii="Calibri" w:hAnsi="Calibri" w:cs="Calibri"/>
                <w:color w:val="000000"/>
                <w:szCs w:val="22"/>
              </w:rPr>
            </w:pPr>
            <w:r w:rsidRPr="00193973">
              <w:rPr>
                <w:rFonts w:ascii="Calibri" w:hAnsi="Calibri" w:cs="Calibri"/>
                <w:color w:val="000000"/>
                <w:szCs w:val="22"/>
              </w:rPr>
              <w:t>Chicago Faucet</w:t>
            </w:r>
          </w:p>
        </w:tc>
        <w:tc>
          <w:tcPr>
            <w:tcW w:w="1156" w:type="pct"/>
            <w:noWrap/>
          </w:tcPr>
          <w:p w14:paraId="644B13F1" w14:textId="77777777" w:rsidR="00EA6773" w:rsidRPr="004F4C12" w:rsidRDefault="00EA6773" w:rsidP="008851E8">
            <w:pPr>
              <w:jc w:val="center"/>
              <w:rPr>
                <w:rFonts w:ascii="Calibri" w:hAnsi="Calibri" w:cs="Calibri"/>
                <w:color w:val="000000"/>
                <w:szCs w:val="22"/>
                <w:highlight w:val="yellow"/>
              </w:rPr>
            </w:pPr>
            <w:r w:rsidRPr="00193973">
              <w:rPr>
                <w:rFonts w:ascii="Calibri" w:hAnsi="Calibri" w:cs="Calibri"/>
                <w:color w:val="000000"/>
                <w:szCs w:val="22"/>
              </w:rPr>
              <w:t>90-ANGABCP</w:t>
            </w:r>
          </w:p>
        </w:tc>
        <w:tc>
          <w:tcPr>
            <w:tcW w:w="670" w:type="pct"/>
            <w:noWrap/>
            <w:vAlign w:val="bottom"/>
          </w:tcPr>
          <w:p w14:paraId="2F48DDCB" w14:textId="71164FE9" w:rsidR="00EA6773" w:rsidRPr="004F4C12" w:rsidRDefault="00EA6773" w:rsidP="008851E8">
            <w:pPr>
              <w:jc w:val="center"/>
              <w:rPr>
                <w:highlight w:val="yellow"/>
              </w:rPr>
            </w:pPr>
            <w:r w:rsidRPr="00193973">
              <w:rPr>
                <w:rFonts w:ascii="Calibri" w:hAnsi="Calibri" w:cs="Calibri"/>
                <w:color w:val="000000"/>
                <w:szCs w:val="22"/>
              </w:rPr>
              <w:t xml:space="preserve"> $76.38 </w:t>
            </w:r>
          </w:p>
        </w:tc>
      </w:tr>
      <w:tr w:rsidR="00EA6773" w:rsidRPr="004F4C12" w14:paraId="5062B2CD" w14:textId="77777777" w:rsidTr="00C76EB4">
        <w:trPr>
          <w:trHeight w:val="245"/>
          <w:jc w:val="center"/>
        </w:trPr>
        <w:tc>
          <w:tcPr>
            <w:tcW w:w="1009" w:type="pct"/>
            <w:noWrap/>
            <w:vAlign w:val="center"/>
          </w:tcPr>
          <w:p w14:paraId="30A3AE44" w14:textId="77777777" w:rsidR="00EA6773" w:rsidRPr="00C76EB4" w:rsidRDefault="00EA6773" w:rsidP="008851E8">
            <w:pPr>
              <w:jc w:val="center"/>
              <w:rPr>
                <w:rFonts w:cs="Arial"/>
                <w:color w:val="000000"/>
                <w:sz w:val="20"/>
                <w:szCs w:val="20"/>
              </w:rPr>
            </w:pPr>
            <w:r w:rsidRPr="00C76EB4">
              <w:rPr>
                <w:rFonts w:cs="Arial"/>
                <w:color w:val="000000"/>
                <w:sz w:val="20"/>
                <w:szCs w:val="20"/>
              </w:rPr>
              <w:t>Energy Efficient</w:t>
            </w:r>
          </w:p>
        </w:tc>
        <w:tc>
          <w:tcPr>
            <w:tcW w:w="625" w:type="pct"/>
          </w:tcPr>
          <w:p w14:paraId="126131EF" w14:textId="77777777" w:rsidR="00EA6773" w:rsidRPr="00193973" w:rsidRDefault="00EA6773" w:rsidP="008851E8">
            <w:pPr>
              <w:jc w:val="center"/>
              <w:rPr>
                <w:rFonts w:ascii="Calibri" w:hAnsi="Calibri" w:cs="Calibri"/>
                <w:color w:val="000000"/>
                <w:szCs w:val="22"/>
              </w:rPr>
            </w:pPr>
            <w:r w:rsidRPr="00FA62A4">
              <w:t>6.4</w:t>
            </w:r>
          </w:p>
        </w:tc>
        <w:tc>
          <w:tcPr>
            <w:tcW w:w="626" w:type="pct"/>
          </w:tcPr>
          <w:p w14:paraId="35C55F63" w14:textId="77777777" w:rsidR="00EA6773" w:rsidRPr="00193973" w:rsidRDefault="00EA6773" w:rsidP="008851E8">
            <w:pPr>
              <w:jc w:val="center"/>
              <w:rPr>
                <w:rFonts w:ascii="Calibri" w:hAnsi="Calibri" w:cs="Calibri"/>
                <w:color w:val="000000"/>
                <w:szCs w:val="22"/>
              </w:rPr>
            </w:pPr>
            <w:r w:rsidRPr="00FA62A4">
              <w:t>1.0</w:t>
            </w:r>
          </w:p>
        </w:tc>
        <w:tc>
          <w:tcPr>
            <w:tcW w:w="914" w:type="pct"/>
            <w:noWrap/>
          </w:tcPr>
          <w:p w14:paraId="6FE93054" w14:textId="77777777" w:rsidR="00EA6773" w:rsidRPr="00193973" w:rsidRDefault="00EA6773" w:rsidP="008851E8">
            <w:pPr>
              <w:jc w:val="center"/>
              <w:rPr>
                <w:rFonts w:ascii="Calibri" w:hAnsi="Calibri" w:cs="Calibri"/>
                <w:color w:val="000000"/>
                <w:szCs w:val="22"/>
              </w:rPr>
            </w:pPr>
            <w:r w:rsidRPr="00193973">
              <w:rPr>
                <w:rFonts w:ascii="Calibri" w:hAnsi="Calibri" w:cs="Calibri"/>
                <w:color w:val="000000"/>
                <w:szCs w:val="22"/>
              </w:rPr>
              <w:t>Chicago Faucet</w:t>
            </w:r>
          </w:p>
        </w:tc>
        <w:tc>
          <w:tcPr>
            <w:tcW w:w="1156" w:type="pct"/>
            <w:noWrap/>
          </w:tcPr>
          <w:p w14:paraId="5FEFFEC6" w14:textId="77777777" w:rsidR="00EA6773" w:rsidRPr="004F4C12" w:rsidRDefault="00EA6773" w:rsidP="008851E8">
            <w:pPr>
              <w:jc w:val="center"/>
              <w:rPr>
                <w:rFonts w:ascii="Calibri" w:hAnsi="Calibri" w:cs="Calibri"/>
                <w:color w:val="000000"/>
                <w:szCs w:val="22"/>
                <w:highlight w:val="yellow"/>
              </w:rPr>
            </w:pPr>
            <w:r w:rsidRPr="00193973">
              <w:rPr>
                <w:rFonts w:ascii="Calibri" w:hAnsi="Calibri" w:cs="Calibri"/>
                <w:color w:val="000000"/>
                <w:szCs w:val="22"/>
              </w:rPr>
              <w:t>90-LABCP</w:t>
            </w:r>
          </w:p>
        </w:tc>
        <w:tc>
          <w:tcPr>
            <w:tcW w:w="670" w:type="pct"/>
            <w:noWrap/>
            <w:vAlign w:val="bottom"/>
          </w:tcPr>
          <w:p w14:paraId="150DE04D" w14:textId="00049A2E" w:rsidR="00EA6773" w:rsidRPr="004F4C12" w:rsidRDefault="00EA6773" w:rsidP="008851E8">
            <w:pPr>
              <w:jc w:val="center"/>
              <w:rPr>
                <w:highlight w:val="yellow"/>
              </w:rPr>
            </w:pPr>
            <w:r w:rsidRPr="00193973">
              <w:rPr>
                <w:rFonts w:ascii="Calibri" w:hAnsi="Calibri" w:cs="Calibri"/>
                <w:color w:val="000000"/>
                <w:szCs w:val="22"/>
              </w:rPr>
              <w:t xml:space="preserve"> $49.93 </w:t>
            </w:r>
          </w:p>
        </w:tc>
      </w:tr>
      <w:tr w:rsidR="00EA6773" w:rsidRPr="004F4C12" w14:paraId="22D5A689" w14:textId="77777777" w:rsidTr="00C76EB4">
        <w:trPr>
          <w:trHeight w:val="245"/>
          <w:jc w:val="center"/>
        </w:trPr>
        <w:tc>
          <w:tcPr>
            <w:tcW w:w="1009" w:type="pct"/>
            <w:noWrap/>
            <w:vAlign w:val="center"/>
          </w:tcPr>
          <w:p w14:paraId="75725197" w14:textId="77777777" w:rsidR="00EA6773" w:rsidRPr="00C76EB4" w:rsidRDefault="00EA6773" w:rsidP="008851E8">
            <w:pPr>
              <w:jc w:val="center"/>
              <w:rPr>
                <w:rFonts w:cs="Arial"/>
                <w:color w:val="000000"/>
                <w:sz w:val="20"/>
                <w:szCs w:val="20"/>
              </w:rPr>
            </w:pPr>
            <w:r w:rsidRPr="00C76EB4">
              <w:rPr>
                <w:rFonts w:cs="Arial"/>
                <w:color w:val="000000"/>
                <w:sz w:val="20"/>
                <w:szCs w:val="20"/>
              </w:rPr>
              <w:t>Energy Efficient</w:t>
            </w:r>
          </w:p>
        </w:tc>
        <w:tc>
          <w:tcPr>
            <w:tcW w:w="625" w:type="pct"/>
          </w:tcPr>
          <w:p w14:paraId="3DB0F602" w14:textId="77777777" w:rsidR="00EA6773" w:rsidRPr="00193973" w:rsidRDefault="00EA6773" w:rsidP="008851E8">
            <w:pPr>
              <w:jc w:val="center"/>
              <w:rPr>
                <w:rFonts w:ascii="Calibri" w:hAnsi="Calibri" w:cs="Calibri"/>
                <w:color w:val="000000"/>
                <w:szCs w:val="22"/>
              </w:rPr>
            </w:pPr>
            <w:r w:rsidRPr="00FA62A4">
              <w:t>6.8</w:t>
            </w:r>
          </w:p>
        </w:tc>
        <w:tc>
          <w:tcPr>
            <w:tcW w:w="626" w:type="pct"/>
          </w:tcPr>
          <w:p w14:paraId="48DA70C9" w14:textId="77777777" w:rsidR="00EA6773" w:rsidRPr="00193973" w:rsidRDefault="00EA6773" w:rsidP="008851E8">
            <w:pPr>
              <w:jc w:val="center"/>
              <w:rPr>
                <w:rFonts w:ascii="Calibri" w:hAnsi="Calibri" w:cs="Calibri"/>
                <w:color w:val="000000"/>
                <w:szCs w:val="22"/>
              </w:rPr>
            </w:pPr>
            <w:r w:rsidRPr="00FA62A4">
              <w:t>1.05</w:t>
            </w:r>
          </w:p>
        </w:tc>
        <w:tc>
          <w:tcPr>
            <w:tcW w:w="914" w:type="pct"/>
            <w:noWrap/>
          </w:tcPr>
          <w:p w14:paraId="7F25A27C" w14:textId="77777777" w:rsidR="00EA6773" w:rsidRPr="00193973" w:rsidRDefault="00EA6773" w:rsidP="008851E8">
            <w:pPr>
              <w:jc w:val="center"/>
              <w:rPr>
                <w:rFonts w:ascii="Calibri" w:hAnsi="Calibri" w:cs="Calibri"/>
                <w:color w:val="000000"/>
                <w:szCs w:val="22"/>
              </w:rPr>
            </w:pPr>
            <w:r w:rsidRPr="00193973">
              <w:rPr>
                <w:rFonts w:ascii="Calibri" w:hAnsi="Calibri" w:cs="Calibri"/>
                <w:color w:val="000000"/>
                <w:szCs w:val="22"/>
              </w:rPr>
              <w:t>Encore Series</w:t>
            </w:r>
          </w:p>
        </w:tc>
        <w:tc>
          <w:tcPr>
            <w:tcW w:w="1156" w:type="pct"/>
            <w:noWrap/>
          </w:tcPr>
          <w:p w14:paraId="61D77C96" w14:textId="77777777" w:rsidR="00EA6773" w:rsidRPr="004F4C12" w:rsidRDefault="00EA6773" w:rsidP="008851E8">
            <w:pPr>
              <w:jc w:val="center"/>
              <w:rPr>
                <w:rFonts w:ascii="Calibri" w:hAnsi="Calibri" w:cs="Calibri"/>
                <w:color w:val="000000"/>
                <w:szCs w:val="22"/>
                <w:highlight w:val="yellow"/>
              </w:rPr>
            </w:pPr>
            <w:r w:rsidRPr="00193973">
              <w:rPr>
                <w:rFonts w:ascii="Calibri" w:hAnsi="Calibri" w:cs="Calibri"/>
                <w:color w:val="000000"/>
                <w:szCs w:val="22"/>
              </w:rPr>
              <w:t>KLP50-Y002105</w:t>
            </w:r>
          </w:p>
        </w:tc>
        <w:tc>
          <w:tcPr>
            <w:tcW w:w="670" w:type="pct"/>
            <w:noWrap/>
            <w:vAlign w:val="bottom"/>
          </w:tcPr>
          <w:p w14:paraId="22D364FB" w14:textId="4B9B85FE" w:rsidR="00EA6773" w:rsidRPr="004F4C12" w:rsidRDefault="00EA6773" w:rsidP="008851E8">
            <w:pPr>
              <w:jc w:val="center"/>
              <w:rPr>
                <w:highlight w:val="yellow"/>
              </w:rPr>
            </w:pPr>
            <w:r w:rsidRPr="00193973">
              <w:rPr>
                <w:rFonts w:ascii="Calibri" w:hAnsi="Calibri" w:cs="Calibri"/>
                <w:color w:val="000000"/>
                <w:szCs w:val="22"/>
              </w:rPr>
              <w:t xml:space="preserve"> $97.81 </w:t>
            </w:r>
          </w:p>
        </w:tc>
      </w:tr>
      <w:tr w:rsidR="00EA6773" w:rsidRPr="004F4C12" w14:paraId="6A9347F4" w14:textId="77777777" w:rsidTr="00C76EB4">
        <w:trPr>
          <w:trHeight w:val="245"/>
          <w:jc w:val="center"/>
        </w:trPr>
        <w:tc>
          <w:tcPr>
            <w:tcW w:w="1009" w:type="pct"/>
            <w:noWrap/>
            <w:vAlign w:val="center"/>
          </w:tcPr>
          <w:p w14:paraId="796295D4" w14:textId="77777777" w:rsidR="00EA6773" w:rsidRPr="00C76EB4" w:rsidRDefault="00EA6773" w:rsidP="008851E8">
            <w:pPr>
              <w:jc w:val="center"/>
              <w:rPr>
                <w:rFonts w:cs="Arial"/>
                <w:color w:val="000000"/>
                <w:sz w:val="20"/>
                <w:szCs w:val="20"/>
              </w:rPr>
            </w:pPr>
            <w:r w:rsidRPr="00C76EB4">
              <w:rPr>
                <w:rFonts w:cs="Arial"/>
                <w:color w:val="000000"/>
                <w:sz w:val="20"/>
                <w:szCs w:val="20"/>
              </w:rPr>
              <w:t>Energy Efficient</w:t>
            </w:r>
          </w:p>
        </w:tc>
        <w:tc>
          <w:tcPr>
            <w:tcW w:w="625" w:type="pct"/>
          </w:tcPr>
          <w:p w14:paraId="561AF1D5" w14:textId="77777777" w:rsidR="00EA6773" w:rsidRPr="00193973" w:rsidRDefault="00EA6773" w:rsidP="008851E8">
            <w:pPr>
              <w:jc w:val="center"/>
              <w:rPr>
                <w:rFonts w:ascii="Calibri" w:hAnsi="Calibri" w:cs="Calibri"/>
                <w:color w:val="000000"/>
                <w:szCs w:val="22"/>
              </w:rPr>
            </w:pPr>
            <w:r w:rsidRPr="00FA62A4">
              <w:t>6.8</w:t>
            </w:r>
          </w:p>
        </w:tc>
        <w:tc>
          <w:tcPr>
            <w:tcW w:w="626" w:type="pct"/>
          </w:tcPr>
          <w:p w14:paraId="62BC501E" w14:textId="77777777" w:rsidR="00EA6773" w:rsidRPr="00193973" w:rsidRDefault="00EA6773" w:rsidP="008851E8">
            <w:pPr>
              <w:jc w:val="center"/>
              <w:rPr>
                <w:rFonts w:ascii="Calibri" w:hAnsi="Calibri" w:cs="Calibri"/>
                <w:color w:val="000000"/>
                <w:szCs w:val="22"/>
              </w:rPr>
            </w:pPr>
            <w:r w:rsidRPr="00FA62A4">
              <w:t>1.05</w:t>
            </w:r>
          </w:p>
        </w:tc>
        <w:tc>
          <w:tcPr>
            <w:tcW w:w="914" w:type="pct"/>
            <w:noWrap/>
          </w:tcPr>
          <w:p w14:paraId="6D5A83A2" w14:textId="77777777" w:rsidR="00EA6773" w:rsidRPr="00193973" w:rsidRDefault="00EA6773" w:rsidP="008851E8">
            <w:pPr>
              <w:jc w:val="center"/>
              <w:rPr>
                <w:rFonts w:ascii="Calibri" w:hAnsi="Calibri" w:cs="Calibri"/>
                <w:color w:val="000000"/>
                <w:szCs w:val="22"/>
              </w:rPr>
            </w:pPr>
            <w:r w:rsidRPr="00193973">
              <w:rPr>
                <w:rFonts w:ascii="Calibri" w:hAnsi="Calibri" w:cs="Calibri"/>
                <w:color w:val="000000"/>
                <w:szCs w:val="22"/>
              </w:rPr>
              <w:t>Encore Series</w:t>
            </w:r>
          </w:p>
        </w:tc>
        <w:tc>
          <w:tcPr>
            <w:tcW w:w="1156" w:type="pct"/>
            <w:noWrap/>
          </w:tcPr>
          <w:p w14:paraId="4478DDE7" w14:textId="77777777" w:rsidR="00EA6773" w:rsidRPr="004F4C12" w:rsidRDefault="00EA6773" w:rsidP="008851E8">
            <w:pPr>
              <w:jc w:val="center"/>
              <w:rPr>
                <w:rFonts w:ascii="Calibri" w:hAnsi="Calibri" w:cs="Calibri"/>
                <w:color w:val="000000"/>
                <w:szCs w:val="22"/>
                <w:highlight w:val="yellow"/>
              </w:rPr>
            </w:pPr>
            <w:r w:rsidRPr="00193973">
              <w:rPr>
                <w:rFonts w:ascii="Calibri" w:hAnsi="Calibri" w:cs="Calibri"/>
                <w:color w:val="000000"/>
                <w:szCs w:val="22"/>
              </w:rPr>
              <w:t>KLP50-0220105</w:t>
            </w:r>
          </w:p>
        </w:tc>
        <w:tc>
          <w:tcPr>
            <w:tcW w:w="670" w:type="pct"/>
            <w:noWrap/>
            <w:vAlign w:val="bottom"/>
          </w:tcPr>
          <w:p w14:paraId="6BE5D117" w14:textId="28702C5B" w:rsidR="00EA6773" w:rsidRPr="004F4C12" w:rsidRDefault="00EA6773" w:rsidP="008851E8">
            <w:pPr>
              <w:jc w:val="center"/>
              <w:rPr>
                <w:highlight w:val="yellow"/>
              </w:rPr>
            </w:pPr>
            <w:r w:rsidRPr="00193973">
              <w:rPr>
                <w:rFonts w:ascii="Calibri" w:hAnsi="Calibri" w:cs="Calibri"/>
                <w:color w:val="000000"/>
                <w:szCs w:val="22"/>
              </w:rPr>
              <w:t xml:space="preserve"> $113.85 </w:t>
            </w:r>
          </w:p>
        </w:tc>
      </w:tr>
      <w:tr w:rsidR="00EA6773" w:rsidRPr="004F4C12" w14:paraId="64BA5E82" w14:textId="77777777" w:rsidTr="00C76EB4">
        <w:trPr>
          <w:trHeight w:val="245"/>
          <w:jc w:val="center"/>
        </w:trPr>
        <w:tc>
          <w:tcPr>
            <w:tcW w:w="1009" w:type="pct"/>
            <w:noWrap/>
            <w:vAlign w:val="center"/>
          </w:tcPr>
          <w:p w14:paraId="2F3C4B5C" w14:textId="77777777" w:rsidR="00EA6773" w:rsidRPr="00C76EB4" w:rsidRDefault="00EA6773" w:rsidP="008851E8">
            <w:pPr>
              <w:jc w:val="center"/>
              <w:rPr>
                <w:rFonts w:cs="Arial"/>
                <w:color w:val="000000"/>
                <w:sz w:val="20"/>
                <w:szCs w:val="20"/>
              </w:rPr>
            </w:pPr>
            <w:r w:rsidRPr="00C76EB4">
              <w:rPr>
                <w:rFonts w:cs="Arial"/>
                <w:color w:val="000000"/>
                <w:sz w:val="20"/>
                <w:szCs w:val="20"/>
              </w:rPr>
              <w:t>Energy Efficient</w:t>
            </w:r>
          </w:p>
        </w:tc>
        <w:tc>
          <w:tcPr>
            <w:tcW w:w="625" w:type="pct"/>
          </w:tcPr>
          <w:p w14:paraId="3723DB98" w14:textId="77777777" w:rsidR="00EA6773" w:rsidRPr="00193973" w:rsidRDefault="00EA6773" w:rsidP="008851E8">
            <w:pPr>
              <w:jc w:val="center"/>
              <w:rPr>
                <w:rFonts w:ascii="Calibri" w:hAnsi="Calibri" w:cs="Calibri"/>
                <w:color w:val="000000"/>
                <w:szCs w:val="22"/>
              </w:rPr>
            </w:pPr>
            <w:r w:rsidRPr="00FA62A4">
              <w:t>7.2</w:t>
            </w:r>
          </w:p>
        </w:tc>
        <w:tc>
          <w:tcPr>
            <w:tcW w:w="626" w:type="pct"/>
          </w:tcPr>
          <w:p w14:paraId="75AC2185" w14:textId="77777777" w:rsidR="00EA6773" w:rsidRPr="00193973" w:rsidRDefault="00EA6773" w:rsidP="008851E8">
            <w:pPr>
              <w:jc w:val="center"/>
              <w:rPr>
                <w:rFonts w:ascii="Calibri" w:hAnsi="Calibri" w:cs="Calibri"/>
                <w:color w:val="000000"/>
                <w:szCs w:val="22"/>
              </w:rPr>
            </w:pPr>
            <w:r w:rsidRPr="00FA62A4">
              <w:t>1.07</w:t>
            </w:r>
          </w:p>
        </w:tc>
        <w:tc>
          <w:tcPr>
            <w:tcW w:w="914" w:type="pct"/>
            <w:noWrap/>
          </w:tcPr>
          <w:p w14:paraId="678EDA35" w14:textId="77777777" w:rsidR="00EA6773" w:rsidRPr="00193973" w:rsidRDefault="00EA6773" w:rsidP="008851E8">
            <w:pPr>
              <w:jc w:val="center"/>
              <w:rPr>
                <w:rFonts w:ascii="Calibri" w:hAnsi="Calibri" w:cs="Calibri"/>
                <w:color w:val="000000"/>
                <w:szCs w:val="22"/>
              </w:rPr>
            </w:pPr>
            <w:r w:rsidRPr="00193973">
              <w:rPr>
                <w:rFonts w:ascii="Calibri" w:hAnsi="Calibri" w:cs="Calibri"/>
                <w:color w:val="000000"/>
                <w:szCs w:val="22"/>
              </w:rPr>
              <w:t>T&amp;S Brass</w:t>
            </w:r>
          </w:p>
        </w:tc>
        <w:tc>
          <w:tcPr>
            <w:tcW w:w="1156" w:type="pct"/>
            <w:noWrap/>
          </w:tcPr>
          <w:p w14:paraId="6E561CDC" w14:textId="77777777" w:rsidR="00EA6773" w:rsidRPr="004F4C12" w:rsidRDefault="00EA6773" w:rsidP="008851E8">
            <w:pPr>
              <w:jc w:val="center"/>
              <w:rPr>
                <w:rFonts w:ascii="Calibri" w:hAnsi="Calibri" w:cs="Calibri"/>
                <w:color w:val="000000"/>
                <w:szCs w:val="22"/>
                <w:highlight w:val="yellow"/>
              </w:rPr>
            </w:pPr>
            <w:r w:rsidRPr="00193973">
              <w:rPr>
                <w:rFonts w:ascii="Calibri" w:hAnsi="Calibri" w:cs="Calibri"/>
                <w:color w:val="000000"/>
                <w:szCs w:val="22"/>
              </w:rPr>
              <w:t>B-0107-J</w:t>
            </w:r>
          </w:p>
        </w:tc>
        <w:tc>
          <w:tcPr>
            <w:tcW w:w="670" w:type="pct"/>
            <w:noWrap/>
            <w:vAlign w:val="bottom"/>
          </w:tcPr>
          <w:p w14:paraId="789E1C8E" w14:textId="7262608B" w:rsidR="00EA6773" w:rsidRPr="004F4C12" w:rsidRDefault="00EA6773" w:rsidP="008851E8">
            <w:pPr>
              <w:jc w:val="center"/>
              <w:rPr>
                <w:highlight w:val="yellow"/>
              </w:rPr>
            </w:pPr>
            <w:r w:rsidRPr="00193973">
              <w:rPr>
                <w:rFonts w:ascii="Calibri" w:hAnsi="Calibri" w:cs="Calibri"/>
                <w:color w:val="000000"/>
                <w:szCs w:val="22"/>
              </w:rPr>
              <w:t xml:space="preserve"> $47.52 </w:t>
            </w:r>
          </w:p>
        </w:tc>
      </w:tr>
      <w:tr w:rsidR="00EA6773" w:rsidRPr="004F4C12" w14:paraId="1BA7ECF9" w14:textId="77777777" w:rsidTr="00C76EB4">
        <w:trPr>
          <w:trHeight w:val="245"/>
          <w:jc w:val="center"/>
        </w:trPr>
        <w:tc>
          <w:tcPr>
            <w:tcW w:w="1009" w:type="pct"/>
            <w:noWrap/>
            <w:vAlign w:val="center"/>
            <w:hideMark/>
          </w:tcPr>
          <w:p w14:paraId="5CC882DB" w14:textId="48330FCA" w:rsidR="00EA6773" w:rsidRPr="00C76EB4" w:rsidRDefault="00C44038" w:rsidP="008851E8">
            <w:pPr>
              <w:jc w:val="center"/>
              <w:rPr>
                <w:rFonts w:cs="Arial"/>
                <w:color w:val="000000"/>
                <w:sz w:val="20"/>
                <w:szCs w:val="20"/>
              </w:rPr>
            </w:pPr>
            <w:r w:rsidRPr="00C76EB4">
              <w:rPr>
                <w:rFonts w:cs="Arial"/>
                <w:color w:val="000000"/>
                <w:sz w:val="20"/>
                <w:szCs w:val="20"/>
              </w:rPr>
              <w:t>Energy Efficient</w:t>
            </w:r>
          </w:p>
        </w:tc>
        <w:tc>
          <w:tcPr>
            <w:tcW w:w="625" w:type="pct"/>
          </w:tcPr>
          <w:p w14:paraId="1350FF67" w14:textId="77777777" w:rsidR="00EA6773" w:rsidRPr="00193973" w:rsidRDefault="00EA6773" w:rsidP="008851E8">
            <w:pPr>
              <w:jc w:val="center"/>
              <w:rPr>
                <w:rFonts w:ascii="Calibri" w:hAnsi="Calibri" w:cs="Calibri"/>
                <w:color w:val="000000"/>
                <w:szCs w:val="22"/>
              </w:rPr>
            </w:pPr>
            <w:r w:rsidRPr="00FA62A4">
              <w:t>7.2</w:t>
            </w:r>
          </w:p>
        </w:tc>
        <w:tc>
          <w:tcPr>
            <w:tcW w:w="626" w:type="pct"/>
          </w:tcPr>
          <w:p w14:paraId="2562BEDA" w14:textId="77777777" w:rsidR="00EA6773" w:rsidRPr="00193973" w:rsidRDefault="00EA6773" w:rsidP="008851E8">
            <w:pPr>
              <w:jc w:val="center"/>
              <w:rPr>
                <w:rFonts w:ascii="Calibri" w:hAnsi="Calibri" w:cs="Calibri"/>
                <w:color w:val="000000"/>
                <w:szCs w:val="22"/>
              </w:rPr>
            </w:pPr>
            <w:r w:rsidRPr="00FA62A4">
              <w:t>1.07</w:t>
            </w:r>
          </w:p>
        </w:tc>
        <w:tc>
          <w:tcPr>
            <w:tcW w:w="914" w:type="pct"/>
            <w:noWrap/>
            <w:hideMark/>
          </w:tcPr>
          <w:p w14:paraId="58408005" w14:textId="77777777" w:rsidR="00EA6773" w:rsidRPr="004F4C12" w:rsidRDefault="00EA6773" w:rsidP="008851E8">
            <w:pPr>
              <w:jc w:val="center"/>
              <w:rPr>
                <w:rFonts w:cs="Arial"/>
                <w:color w:val="000000"/>
                <w:sz w:val="20"/>
                <w:szCs w:val="20"/>
                <w:highlight w:val="yellow"/>
              </w:rPr>
            </w:pPr>
            <w:r w:rsidRPr="00193973">
              <w:rPr>
                <w:rFonts w:ascii="Calibri" w:hAnsi="Calibri" w:cs="Calibri"/>
                <w:color w:val="000000"/>
                <w:szCs w:val="22"/>
              </w:rPr>
              <w:t>T&amp;S Brass</w:t>
            </w:r>
          </w:p>
        </w:tc>
        <w:tc>
          <w:tcPr>
            <w:tcW w:w="1156" w:type="pct"/>
            <w:noWrap/>
            <w:hideMark/>
          </w:tcPr>
          <w:p w14:paraId="3D7C1CF4" w14:textId="77777777" w:rsidR="00EA6773" w:rsidRPr="004F4C12" w:rsidRDefault="00EA6773" w:rsidP="008851E8">
            <w:pPr>
              <w:jc w:val="center"/>
              <w:rPr>
                <w:rFonts w:cs="Arial"/>
                <w:color w:val="000000"/>
                <w:sz w:val="20"/>
                <w:szCs w:val="20"/>
                <w:highlight w:val="yellow"/>
              </w:rPr>
            </w:pPr>
            <w:r w:rsidRPr="00193973">
              <w:rPr>
                <w:rFonts w:ascii="Calibri" w:hAnsi="Calibri" w:cs="Calibri"/>
                <w:color w:val="000000"/>
                <w:szCs w:val="22"/>
              </w:rPr>
              <w:t>EB-0107-J</w:t>
            </w:r>
          </w:p>
        </w:tc>
        <w:tc>
          <w:tcPr>
            <w:tcW w:w="670" w:type="pct"/>
            <w:noWrap/>
            <w:vAlign w:val="bottom"/>
            <w:hideMark/>
          </w:tcPr>
          <w:p w14:paraId="5D6F8E03" w14:textId="431EAB42" w:rsidR="00EA6773" w:rsidRPr="004F4C12" w:rsidRDefault="00EA6773" w:rsidP="008851E8">
            <w:pPr>
              <w:jc w:val="center"/>
              <w:rPr>
                <w:rFonts w:cs="Arial"/>
                <w:color w:val="000000"/>
                <w:sz w:val="20"/>
                <w:szCs w:val="20"/>
                <w:highlight w:val="yellow"/>
              </w:rPr>
            </w:pPr>
            <w:r w:rsidRPr="00193973">
              <w:rPr>
                <w:rFonts w:ascii="Calibri" w:hAnsi="Calibri" w:cs="Calibri"/>
                <w:color w:val="000000"/>
                <w:szCs w:val="22"/>
              </w:rPr>
              <w:t xml:space="preserve"> $58.99 </w:t>
            </w:r>
          </w:p>
        </w:tc>
      </w:tr>
    </w:tbl>
    <w:p w14:paraId="50F29F4B" w14:textId="0A9CD913" w:rsidR="004F4C12" w:rsidRPr="004F4C12" w:rsidRDefault="004F4C12" w:rsidP="004F4C12">
      <w:pPr>
        <w:keepNext/>
        <w:rPr>
          <w:rFonts w:cs="Arial"/>
          <w:sz w:val="20"/>
          <w:szCs w:val="20"/>
          <w:highlight w:val="yellow"/>
        </w:rPr>
      </w:pPr>
    </w:p>
    <w:p w14:paraId="06D5F1B1" w14:textId="3E405610" w:rsidR="004F4C12" w:rsidRPr="00C76EB4" w:rsidRDefault="004F4C12" w:rsidP="004F4C12">
      <w:pPr>
        <w:rPr>
          <w:rFonts w:cs="Arial"/>
          <w:b/>
        </w:rPr>
      </w:pPr>
      <w:r w:rsidRPr="00C76EB4">
        <w:rPr>
          <w:rFonts w:cs="Arial"/>
          <w:b/>
        </w:rPr>
        <w:t>Equipment Incremental Cost Data for Efficient Pre-Rinse Spray Valves</w:t>
      </w:r>
    </w:p>
    <w:tbl>
      <w:tblPr>
        <w:tblW w:w="3155" w:type="pct"/>
        <w:tblLook w:val="04A0" w:firstRow="1" w:lastRow="0" w:firstColumn="1" w:lastColumn="0" w:noHBand="0" w:noVBand="1"/>
      </w:tblPr>
      <w:tblGrid>
        <w:gridCol w:w="2880"/>
        <w:gridCol w:w="914"/>
        <w:gridCol w:w="900"/>
        <w:gridCol w:w="1221"/>
      </w:tblGrid>
      <w:tr w:rsidR="00C76EB4" w:rsidRPr="004F4C12" w14:paraId="272115F2" w14:textId="77777777" w:rsidTr="002C58D0">
        <w:trPr>
          <w:trHeight w:val="780"/>
        </w:trPr>
        <w:tc>
          <w:tcPr>
            <w:tcW w:w="2489" w:type="pct"/>
            <w:tcBorders>
              <w:top w:val="single" w:sz="4" w:space="0" w:color="auto"/>
              <w:left w:val="single" w:sz="4" w:space="0" w:color="auto"/>
              <w:bottom w:val="single" w:sz="4" w:space="0" w:color="auto"/>
              <w:right w:val="single" w:sz="4" w:space="0" w:color="auto"/>
            </w:tcBorders>
            <w:shd w:val="clear" w:color="auto" w:fill="C0C0C0"/>
            <w:vAlign w:val="bottom"/>
            <w:hideMark/>
          </w:tcPr>
          <w:p w14:paraId="58A5C6ED" w14:textId="77777777" w:rsidR="004F4C12" w:rsidRPr="00C76EB4" w:rsidRDefault="004F4C12">
            <w:pPr>
              <w:jc w:val="center"/>
              <w:rPr>
                <w:rFonts w:cs="Arial"/>
                <w:b/>
                <w:color w:val="000000"/>
                <w:sz w:val="20"/>
                <w:szCs w:val="20"/>
              </w:rPr>
            </w:pPr>
            <w:r w:rsidRPr="00C76EB4">
              <w:rPr>
                <w:rFonts w:cs="Arial"/>
                <w:b/>
                <w:color w:val="000000"/>
                <w:sz w:val="20"/>
                <w:szCs w:val="20"/>
              </w:rPr>
              <w:t>Category</w:t>
            </w:r>
          </w:p>
        </w:tc>
        <w:tc>
          <w:tcPr>
            <w:tcW w:w="756" w:type="pct"/>
            <w:tcBorders>
              <w:top w:val="single" w:sz="4" w:space="0" w:color="auto"/>
              <w:left w:val="nil"/>
              <w:bottom w:val="single" w:sz="4" w:space="0" w:color="auto"/>
              <w:right w:val="single" w:sz="4" w:space="0" w:color="auto"/>
            </w:tcBorders>
            <w:shd w:val="clear" w:color="auto" w:fill="C0C0C0"/>
            <w:vAlign w:val="bottom"/>
            <w:hideMark/>
          </w:tcPr>
          <w:p w14:paraId="244A36C6" w14:textId="77777777" w:rsidR="004F4C12" w:rsidRPr="00C76EB4" w:rsidRDefault="004F4C12">
            <w:pPr>
              <w:jc w:val="center"/>
              <w:rPr>
                <w:rFonts w:cs="Arial"/>
                <w:b/>
                <w:color w:val="000000"/>
                <w:sz w:val="20"/>
                <w:szCs w:val="20"/>
              </w:rPr>
            </w:pPr>
            <w:r w:rsidRPr="00C76EB4">
              <w:rPr>
                <w:rFonts w:cs="Arial"/>
                <w:b/>
                <w:color w:val="000000"/>
                <w:sz w:val="20"/>
                <w:szCs w:val="20"/>
              </w:rPr>
              <w:t>Baseline Unit Cost</w:t>
            </w:r>
          </w:p>
        </w:tc>
        <w:tc>
          <w:tcPr>
            <w:tcW w:w="745" w:type="pct"/>
            <w:tcBorders>
              <w:top w:val="single" w:sz="4" w:space="0" w:color="auto"/>
              <w:left w:val="nil"/>
              <w:bottom w:val="single" w:sz="4" w:space="0" w:color="auto"/>
              <w:right w:val="single" w:sz="4" w:space="0" w:color="auto"/>
            </w:tcBorders>
            <w:shd w:val="clear" w:color="auto" w:fill="C0C0C0"/>
            <w:vAlign w:val="bottom"/>
            <w:hideMark/>
          </w:tcPr>
          <w:p w14:paraId="4E240EF0" w14:textId="77777777" w:rsidR="004F4C12" w:rsidRPr="00C76EB4" w:rsidRDefault="004F4C12">
            <w:pPr>
              <w:jc w:val="center"/>
              <w:rPr>
                <w:rFonts w:cs="Arial"/>
                <w:b/>
                <w:color w:val="000000"/>
                <w:sz w:val="20"/>
                <w:szCs w:val="20"/>
              </w:rPr>
            </w:pPr>
            <w:r w:rsidRPr="00C76EB4">
              <w:rPr>
                <w:rFonts w:cs="Arial"/>
                <w:b/>
                <w:color w:val="000000"/>
                <w:sz w:val="20"/>
                <w:szCs w:val="20"/>
              </w:rPr>
              <w:t>Energy Efficient Unit Cost</w:t>
            </w:r>
          </w:p>
        </w:tc>
        <w:tc>
          <w:tcPr>
            <w:tcW w:w="1010" w:type="pct"/>
            <w:tcBorders>
              <w:top w:val="single" w:sz="4" w:space="0" w:color="auto"/>
              <w:left w:val="nil"/>
              <w:bottom w:val="single" w:sz="4" w:space="0" w:color="auto"/>
              <w:right w:val="single" w:sz="4" w:space="0" w:color="auto"/>
            </w:tcBorders>
            <w:shd w:val="clear" w:color="auto" w:fill="C0C0C0"/>
            <w:vAlign w:val="bottom"/>
            <w:hideMark/>
          </w:tcPr>
          <w:p w14:paraId="585DF231" w14:textId="77777777" w:rsidR="004F4C12" w:rsidRPr="00C76EB4" w:rsidRDefault="004F4C12">
            <w:pPr>
              <w:jc w:val="center"/>
              <w:rPr>
                <w:rFonts w:cs="Arial"/>
                <w:b/>
                <w:color w:val="000000"/>
                <w:sz w:val="20"/>
                <w:szCs w:val="20"/>
              </w:rPr>
            </w:pPr>
            <w:r w:rsidRPr="00C76EB4">
              <w:rPr>
                <w:rFonts w:cs="Arial"/>
                <w:b/>
                <w:color w:val="000000"/>
                <w:sz w:val="20"/>
                <w:szCs w:val="20"/>
              </w:rPr>
              <w:t>Incremental Measure Cost (IMC)</w:t>
            </w:r>
          </w:p>
        </w:tc>
      </w:tr>
      <w:tr w:rsidR="002C58D0" w14:paraId="38EB9E22" w14:textId="77777777" w:rsidTr="0073596E">
        <w:trPr>
          <w:trHeight w:val="300"/>
        </w:trPr>
        <w:tc>
          <w:tcPr>
            <w:tcW w:w="2489" w:type="pct"/>
            <w:tcBorders>
              <w:top w:val="single" w:sz="4" w:space="0" w:color="auto"/>
              <w:left w:val="single" w:sz="4" w:space="0" w:color="auto"/>
              <w:bottom w:val="single" w:sz="4" w:space="0" w:color="auto"/>
              <w:right w:val="single" w:sz="4" w:space="0" w:color="auto"/>
            </w:tcBorders>
            <w:noWrap/>
            <w:vAlign w:val="center"/>
            <w:hideMark/>
          </w:tcPr>
          <w:p w14:paraId="3B53BE14" w14:textId="5A7EB7B5" w:rsidR="002C58D0" w:rsidRPr="00C76EB4" w:rsidRDefault="002C58D0" w:rsidP="002C58D0">
            <w:pPr>
              <w:jc w:val="center"/>
              <w:rPr>
                <w:rFonts w:cs="Arial"/>
                <w:color w:val="000000"/>
                <w:sz w:val="20"/>
                <w:szCs w:val="20"/>
              </w:rPr>
            </w:pPr>
            <w:r w:rsidRPr="00C76EB4">
              <w:rPr>
                <w:rFonts w:cs="Arial"/>
                <w:color w:val="000000"/>
                <w:sz w:val="20"/>
                <w:szCs w:val="20"/>
              </w:rPr>
              <w:t xml:space="preserve">Pre-Rinse Spray Valve </w:t>
            </w:r>
            <w:r>
              <w:rPr>
                <w:rFonts w:cs="Arial"/>
                <w:color w:val="000000"/>
                <w:sz w:val="20"/>
                <w:szCs w:val="20"/>
              </w:rPr>
              <w:t>&lt;0.75gpm</w:t>
            </w:r>
          </w:p>
        </w:tc>
        <w:tc>
          <w:tcPr>
            <w:tcW w:w="756" w:type="pct"/>
            <w:vMerge w:val="restart"/>
            <w:tcBorders>
              <w:top w:val="single" w:sz="4" w:space="0" w:color="auto"/>
              <w:left w:val="nil"/>
              <w:right w:val="single" w:sz="4" w:space="0" w:color="auto"/>
            </w:tcBorders>
            <w:noWrap/>
            <w:vAlign w:val="center"/>
            <w:hideMark/>
          </w:tcPr>
          <w:p w14:paraId="566B1F04" w14:textId="3168D23F" w:rsidR="002C58D0" w:rsidRPr="00C76EB4" w:rsidRDefault="002C58D0" w:rsidP="0073596E">
            <w:pPr>
              <w:jc w:val="center"/>
              <w:rPr>
                <w:rFonts w:cs="Arial"/>
                <w:color w:val="000000"/>
                <w:sz w:val="20"/>
                <w:szCs w:val="20"/>
              </w:rPr>
            </w:pPr>
            <w:r w:rsidRPr="00406747">
              <w:rPr>
                <w:rFonts w:cs="Arial"/>
                <w:color w:val="000000"/>
                <w:sz w:val="20"/>
                <w:szCs w:val="20"/>
              </w:rPr>
              <w:t xml:space="preserve">$ </w:t>
            </w:r>
            <w:r>
              <w:rPr>
                <w:rFonts w:cs="Arial"/>
                <w:color w:val="000000"/>
                <w:sz w:val="20"/>
                <w:szCs w:val="20"/>
              </w:rPr>
              <w:t>46</w:t>
            </w:r>
          </w:p>
        </w:tc>
        <w:tc>
          <w:tcPr>
            <w:tcW w:w="745" w:type="pct"/>
            <w:tcBorders>
              <w:top w:val="single" w:sz="4" w:space="0" w:color="auto"/>
              <w:left w:val="nil"/>
              <w:bottom w:val="single" w:sz="4" w:space="0" w:color="auto"/>
              <w:right w:val="single" w:sz="4" w:space="0" w:color="auto"/>
            </w:tcBorders>
            <w:noWrap/>
            <w:vAlign w:val="center"/>
            <w:hideMark/>
          </w:tcPr>
          <w:p w14:paraId="6691CF64" w14:textId="3F1C298B" w:rsidR="002C58D0" w:rsidRPr="00C76EB4" w:rsidRDefault="002C58D0">
            <w:pPr>
              <w:jc w:val="center"/>
              <w:rPr>
                <w:rFonts w:cs="Arial"/>
                <w:color w:val="000000"/>
                <w:sz w:val="20"/>
                <w:szCs w:val="20"/>
              </w:rPr>
            </w:pPr>
            <w:r w:rsidRPr="00C76EB4">
              <w:rPr>
                <w:rFonts w:cs="Arial"/>
                <w:color w:val="000000"/>
                <w:sz w:val="20"/>
                <w:szCs w:val="20"/>
              </w:rPr>
              <w:t xml:space="preserve">$ </w:t>
            </w:r>
            <w:r>
              <w:rPr>
                <w:rFonts w:cs="Arial"/>
                <w:color w:val="000000"/>
                <w:sz w:val="20"/>
                <w:szCs w:val="20"/>
              </w:rPr>
              <w:t>68</w:t>
            </w:r>
          </w:p>
        </w:tc>
        <w:tc>
          <w:tcPr>
            <w:tcW w:w="1010" w:type="pct"/>
            <w:tcBorders>
              <w:top w:val="single" w:sz="4" w:space="0" w:color="auto"/>
              <w:left w:val="nil"/>
              <w:bottom w:val="single" w:sz="4" w:space="0" w:color="auto"/>
              <w:right w:val="single" w:sz="4" w:space="0" w:color="auto"/>
            </w:tcBorders>
            <w:noWrap/>
            <w:vAlign w:val="center"/>
            <w:hideMark/>
          </w:tcPr>
          <w:p w14:paraId="02CE2199" w14:textId="57A53092" w:rsidR="002C58D0" w:rsidRDefault="002C58D0">
            <w:pPr>
              <w:jc w:val="center"/>
              <w:rPr>
                <w:rFonts w:cs="Arial"/>
                <w:color w:val="000000"/>
                <w:sz w:val="20"/>
                <w:szCs w:val="20"/>
              </w:rPr>
            </w:pPr>
            <w:r w:rsidRPr="00C76EB4">
              <w:rPr>
                <w:rFonts w:cs="Arial"/>
                <w:color w:val="000000"/>
                <w:sz w:val="20"/>
                <w:szCs w:val="20"/>
              </w:rPr>
              <w:t xml:space="preserve">$ </w:t>
            </w:r>
            <w:r w:rsidR="00372231">
              <w:rPr>
                <w:rFonts w:cs="Arial"/>
                <w:color w:val="000000"/>
                <w:sz w:val="20"/>
                <w:szCs w:val="20"/>
              </w:rPr>
              <w:t>22</w:t>
            </w:r>
          </w:p>
        </w:tc>
      </w:tr>
      <w:tr w:rsidR="002C58D0" w14:paraId="4C94A4E7" w14:textId="77777777" w:rsidTr="0073596E">
        <w:trPr>
          <w:trHeight w:val="300"/>
        </w:trPr>
        <w:tc>
          <w:tcPr>
            <w:tcW w:w="2489" w:type="pct"/>
            <w:tcBorders>
              <w:top w:val="single" w:sz="4" w:space="0" w:color="auto"/>
              <w:left w:val="single" w:sz="4" w:space="0" w:color="auto"/>
              <w:bottom w:val="single" w:sz="4" w:space="0" w:color="auto"/>
              <w:right w:val="single" w:sz="4" w:space="0" w:color="auto"/>
            </w:tcBorders>
            <w:noWrap/>
            <w:vAlign w:val="center"/>
          </w:tcPr>
          <w:p w14:paraId="67585FD7" w14:textId="58407A0A" w:rsidR="002C58D0" w:rsidRPr="00C76EB4" w:rsidRDefault="002C58D0" w:rsidP="002C58D0">
            <w:pPr>
              <w:rPr>
                <w:rFonts w:cs="Arial"/>
                <w:color w:val="000000"/>
                <w:sz w:val="20"/>
                <w:szCs w:val="20"/>
              </w:rPr>
            </w:pPr>
            <w:r>
              <w:rPr>
                <w:rFonts w:cs="Arial"/>
                <w:color w:val="000000"/>
                <w:sz w:val="20"/>
                <w:szCs w:val="20"/>
              </w:rPr>
              <w:t xml:space="preserve"> </w:t>
            </w:r>
            <w:r w:rsidRPr="00C76EB4">
              <w:rPr>
                <w:rFonts w:cs="Arial"/>
                <w:color w:val="000000"/>
                <w:sz w:val="20"/>
                <w:szCs w:val="20"/>
              </w:rPr>
              <w:t>Pre-Rinse Spray Valve &gt;</w:t>
            </w:r>
            <w:r>
              <w:rPr>
                <w:rFonts w:cs="Arial"/>
                <w:color w:val="000000"/>
                <w:sz w:val="20"/>
                <w:szCs w:val="20"/>
              </w:rPr>
              <w:t>0.75gpm</w:t>
            </w:r>
          </w:p>
        </w:tc>
        <w:tc>
          <w:tcPr>
            <w:tcW w:w="756" w:type="pct"/>
            <w:vMerge/>
            <w:tcBorders>
              <w:left w:val="nil"/>
              <w:bottom w:val="single" w:sz="4" w:space="0" w:color="auto"/>
              <w:right w:val="single" w:sz="4" w:space="0" w:color="auto"/>
            </w:tcBorders>
            <w:noWrap/>
            <w:vAlign w:val="center"/>
          </w:tcPr>
          <w:p w14:paraId="3F1A9F63" w14:textId="53E27329" w:rsidR="002C58D0" w:rsidRPr="00C76EB4" w:rsidRDefault="002C58D0">
            <w:pPr>
              <w:jc w:val="center"/>
              <w:rPr>
                <w:rFonts w:cs="Arial"/>
                <w:color w:val="000000"/>
                <w:sz w:val="20"/>
                <w:szCs w:val="20"/>
              </w:rPr>
            </w:pPr>
          </w:p>
        </w:tc>
        <w:tc>
          <w:tcPr>
            <w:tcW w:w="745" w:type="pct"/>
            <w:tcBorders>
              <w:top w:val="single" w:sz="4" w:space="0" w:color="auto"/>
              <w:left w:val="nil"/>
              <w:bottom w:val="single" w:sz="4" w:space="0" w:color="auto"/>
              <w:right w:val="single" w:sz="4" w:space="0" w:color="auto"/>
            </w:tcBorders>
            <w:noWrap/>
            <w:vAlign w:val="center"/>
          </w:tcPr>
          <w:p w14:paraId="7B61805D" w14:textId="61F8DB3E" w:rsidR="002C58D0" w:rsidRPr="00C76EB4" w:rsidRDefault="002C58D0">
            <w:pPr>
              <w:jc w:val="center"/>
              <w:rPr>
                <w:rFonts w:cs="Arial"/>
                <w:color w:val="000000"/>
                <w:sz w:val="20"/>
                <w:szCs w:val="20"/>
              </w:rPr>
            </w:pPr>
            <w:r w:rsidRPr="00406747">
              <w:rPr>
                <w:rFonts w:cs="Arial"/>
                <w:color w:val="000000"/>
                <w:sz w:val="20"/>
                <w:szCs w:val="20"/>
              </w:rPr>
              <w:t xml:space="preserve">$ </w:t>
            </w:r>
            <w:r>
              <w:rPr>
                <w:rFonts w:cs="Arial"/>
                <w:color w:val="000000"/>
                <w:sz w:val="20"/>
                <w:szCs w:val="20"/>
              </w:rPr>
              <w:t>74</w:t>
            </w:r>
          </w:p>
        </w:tc>
        <w:tc>
          <w:tcPr>
            <w:tcW w:w="1010" w:type="pct"/>
            <w:tcBorders>
              <w:top w:val="single" w:sz="4" w:space="0" w:color="auto"/>
              <w:left w:val="nil"/>
              <w:bottom w:val="single" w:sz="4" w:space="0" w:color="auto"/>
              <w:right w:val="single" w:sz="4" w:space="0" w:color="auto"/>
            </w:tcBorders>
            <w:noWrap/>
            <w:vAlign w:val="center"/>
          </w:tcPr>
          <w:p w14:paraId="66866319" w14:textId="46A26C03" w:rsidR="002C58D0" w:rsidRPr="00C76EB4" w:rsidRDefault="002C58D0">
            <w:pPr>
              <w:jc w:val="center"/>
              <w:rPr>
                <w:rFonts w:cs="Arial"/>
                <w:color w:val="000000"/>
                <w:sz w:val="20"/>
                <w:szCs w:val="20"/>
              </w:rPr>
            </w:pPr>
            <w:r w:rsidRPr="00406747">
              <w:rPr>
                <w:rFonts w:cs="Arial"/>
                <w:color w:val="000000"/>
                <w:sz w:val="20"/>
                <w:szCs w:val="20"/>
              </w:rPr>
              <w:t xml:space="preserve">$ </w:t>
            </w:r>
            <w:r>
              <w:rPr>
                <w:rFonts w:cs="Arial"/>
                <w:color w:val="000000"/>
                <w:sz w:val="20"/>
                <w:szCs w:val="20"/>
              </w:rPr>
              <w:t>28</w:t>
            </w:r>
          </w:p>
        </w:tc>
      </w:tr>
    </w:tbl>
    <w:p w14:paraId="460D8A3A" w14:textId="77777777" w:rsidR="00C76EB4" w:rsidRDefault="00C76EB4" w:rsidP="00C76EB4">
      <w:pPr>
        <w:pStyle w:val="Heading1"/>
        <w:spacing w:after="0"/>
        <w:rPr>
          <w:sz w:val="20"/>
          <w:szCs w:val="20"/>
        </w:rPr>
      </w:pPr>
      <w:r>
        <w:rPr>
          <w:sz w:val="20"/>
          <w:szCs w:val="20"/>
        </w:rPr>
        <w:br w:type="page"/>
      </w:r>
    </w:p>
    <w:p w14:paraId="5BBA35BF" w14:textId="76815356" w:rsidR="00480E7B" w:rsidRPr="00920905" w:rsidRDefault="00C54EFF" w:rsidP="00C76EB4">
      <w:pPr>
        <w:pStyle w:val="Heading1"/>
        <w:spacing w:after="0"/>
      </w:pPr>
      <w:r w:rsidRPr="00500C4E">
        <w:rPr>
          <w:rFonts w:cstheme="minorHAnsi"/>
        </w:rPr>
        <w:lastRenderedPageBreak/>
        <w:t>References</w:t>
      </w:r>
    </w:p>
    <w:sectPr w:rsidR="00480E7B" w:rsidRPr="00920905" w:rsidSect="0048438C">
      <w:footerReference w:type="default" r:id="rId23"/>
      <w:endnotePr>
        <w:numFmt w:val="decimal"/>
      </w:endnotePr>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575CC7" w14:textId="77777777" w:rsidR="0055122F" w:rsidRDefault="0055122F" w:rsidP="00447D6E">
      <w:r>
        <w:separator/>
      </w:r>
    </w:p>
    <w:p w14:paraId="3A8F0F37" w14:textId="77777777" w:rsidR="0055122F" w:rsidRDefault="0055122F"/>
  </w:endnote>
  <w:endnote w:type="continuationSeparator" w:id="0">
    <w:p w14:paraId="5DA26094" w14:textId="77777777" w:rsidR="0055122F" w:rsidRDefault="0055122F" w:rsidP="00447D6E">
      <w:r>
        <w:continuationSeparator/>
      </w:r>
    </w:p>
    <w:p w14:paraId="395FFC23" w14:textId="77777777" w:rsidR="0055122F" w:rsidRDefault="0055122F"/>
  </w:endnote>
  <w:endnote w:type="continuationNotice" w:id="1">
    <w:p w14:paraId="0B212A9E" w14:textId="77777777" w:rsidR="0055122F" w:rsidRDefault="0055122F"/>
  </w:endnote>
  <w:endnote w:id="2">
    <w:p w14:paraId="256BDC7B" w14:textId="68E325B6" w:rsidR="0055122F" w:rsidRDefault="0055122F">
      <w:pPr>
        <w:pStyle w:val="EndnoteText"/>
        <w:rPr>
          <w:rFonts w:asciiTheme="minorHAnsi" w:hAnsiTheme="minorHAnsi" w:cstheme="minorHAnsi"/>
        </w:rPr>
      </w:pPr>
      <w:r>
        <w:rPr>
          <w:rStyle w:val="EndnoteReference"/>
        </w:rPr>
        <w:endnoteRef/>
      </w:r>
      <w:r>
        <w:t xml:space="preserve"> </w:t>
      </w:r>
      <w:r w:rsidRPr="00FF2059">
        <w:rPr>
          <w:rFonts w:asciiTheme="minorHAnsi" w:hAnsiTheme="minorHAnsi" w:cstheme="minorHAnsi"/>
        </w:rPr>
        <w:t xml:space="preserve">American Society for Testing and Materials. </w:t>
      </w:r>
      <w:r w:rsidRPr="00FF2059">
        <w:rPr>
          <w:rFonts w:asciiTheme="minorHAnsi" w:hAnsiTheme="minorHAnsi" w:cstheme="minorHAnsi"/>
          <w:i/>
        </w:rPr>
        <w:t xml:space="preserve">Standard Test Method for PreRinse Spray Valves. </w:t>
      </w:r>
      <w:r>
        <w:rPr>
          <w:rFonts w:asciiTheme="minorHAnsi" w:hAnsiTheme="minorHAnsi" w:cstheme="minorHAnsi"/>
        </w:rPr>
        <w:t xml:space="preserve">ASTM Designation </w:t>
      </w:r>
      <w:r w:rsidRPr="00FF2059">
        <w:rPr>
          <w:rFonts w:asciiTheme="minorHAnsi" w:hAnsiTheme="minorHAnsi" w:cstheme="minorHAnsi"/>
        </w:rPr>
        <w:t>F2324-</w:t>
      </w:r>
      <w:r>
        <w:rPr>
          <w:rFonts w:asciiTheme="minorHAnsi" w:hAnsiTheme="minorHAnsi" w:cstheme="minorHAnsi"/>
        </w:rPr>
        <w:t>1</w:t>
      </w:r>
      <w:r w:rsidRPr="00FF2059">
        <w:rPr>
          <w:rFonts w:asciiTheme="minorHAnsi" w:hAnsiTheme="minorHAnsi" w:cstheme="minorHAnsi"/>
        </w:rPr>
        <w:t>3, in Annual Book of ASTM Standards, West Conshohocken, PA.</w:t>
      </w:r>
    </w:p>
    <w:p w14:paraId="0C98E9DB" w14:textId="77777777" w:rsidR="0055122F" w:rsidRDefault="0055122F">
      <w:pPr>
        <w:pStyle w:val="EndnoteText"/>
      </w:pPr>
    </w:p>
  </w:endnote>
  <w:endnote w:id="3">
    <w:p w14:paraId="3706FF0D" w14:textId="3AEA00E1" w:rsidR="0055122F" w:rsidRDefault="0055122F">
      <w:pPr>
        <w:pStyle w:val="EndnoteText"/>
        <w:rPr>
          <w:rFonts w:asciiTheme="minorHAnsi" w:hAnsiTheme="minorHAnsi" w:cstheme="minorHAnsi"/>
        </w:rPr>
      </w:pPr>
      <w:r>
        <w:rPr>
          <w:rStyle w:val="EndnoteReference"/>
        </w:rPr>
        <w:endnoteRef/>
      </w:r>
      <w:r>
        <w:t xml:space="preserve"> </w:t>
      </w:r>
      <w:r>
        <w:rPr>
          <w:rFonts w:asciiTheme="minorHAnsi" w:hAnsiTheme="minorHAnsi" w:cstheme="minorHAnsi"/>
        </w:rPr>
        <w:t xml:space="preserve">Office of Energy Efficiency and Renewable Energy. (2015, December 18). </w:t>
      </w:r>
      <w:r w:rsidRPr="00FF2059">
        <w:rPr>
          <w:rFonts w:asciiTheme="minorHAnsi" w:hAnsiTheme="minorHAnsi" w:cstheme="minorHAnsi"/>
          <w:i/>
        </w:rPr>
        <w:t>Energy Conservation Program: Energy Conservation Standards for Commercial Prerinse Spray Valves.</w:t>
      </w:r>
      <w:r>
        <w:rPr>
          <w:rFonts w:asciiTheme="minorHAnsi" w:hAnsiTheme="minorHAnsi" w:cstheme="minorHAnsi"/>
          <w:i/>
        </w:rPr>
        <w:t xml:space="preserve"> </w:t>
      </w:r>
      <w:r>
        <w:rPr>
          <w:rFonts w:asciiTheme="minorHAnsi" w:hAnsiTheme="minorHAnsi" w:cstheme="minorHAnsi"/>
        </w:rPr>
        <w:t xml:space="preserve">Final Rule. Department of Energy. Retrieved from </w:t>
      </w:r>
      <w:hyperlink r:id="rId1" w:history="1">
        <w:r w:rsidRPr="00380B9C">
          <w:rPr>
            <w:rStyle w:val="Hyperlink"/>
            <w:rFonts w:asciiTheme="minorHAnsi" w:hAnsiTheme="minorHAnsi" w:cstheme="minorHAnsi"/>
          </w:rPr>
          <w:t>https://www.energy.gov/sites/prod/files/2015/12/f27/CPSV%20Final%20Rule.pdf</w:t>
        </w:r>
      </w:hyperlink>
      <w:r>
        <w:rPr>
          <w:rFonts w:asciiTheme="minorHAnsi" w:hAnsiTheme="minorHAnsi" w:cstheme="minorHAnsi"/>
        </w:rPr>
        <w:t>.</w:t>
      </w:r>
    </w:p>
    <w:p w14:paraId="524B0988" w14:textId="77777777" w:rsidR="0055122F" w:rsidRDefault="0055122F">
      <w:pPr>
        <w:pStyle w:val="EndnoteText"/>
      </w:pPr>
    </w:p>
  </w:endnote>
  <w:endnote w:id="4">
    <w:p w14:paraId="3CFB7871" w14:textId="77DDEEF8" w:rsidR="0055122F" w:rsidRDefault="0055122F">
      <w:pPr>
        <w:pStyle w:val="EndnoteText"/>
        <w:rPr>
          <w:rStyle w:val="Hyperlink"/>
          <w:rFonts w:asciiTheme="minorHAnsi" w:hAnsiTheme="minorHAnsi" w:cstheme="minorHAnsi"/>
        </w:rPr>
      </w:pPr>
      <w:r>
        <w:rPr>
          <w:rStyle w:val="EndnoteReference"/>
        </w:rPr>
        <w:endnoteRef/>
      </w:r>
      <w:r>
        <w:t xml:space="preserve"> </w:t>
      </w:r>
      <w:r>
        <w:rPr>
          <w:rFonts w:asciiTheme="minorHAnsi" w:hAnsiTheme="minorHAnsi" w:cstheme="minorHAnsi"/>
        </w:rPr>
        <w:t xml:space="preserve">Tso, B., Koeller, J. (2005, December 1). </w:t>
      </w:r>
      <w:r w:rsidRPr="00FF2059">
        <w:rPr>
          <w:rFonts w:asciiTheme="minorHAnsi" w:hAnsiTheme="minorHAnsi" w:cstheme="minorHAnsi"/>
          <w:i/>
        </w:rPr>
        <w:t>Pre-Rinse Spray Valves Programs: How are they Really Doing?”.</w:t>
      </w:r>
      <w:r>
        <w:rPr>
          <w:rFonts w:asciiTheme="minorHAnsi" w:hAnsiTheme="minorHAnsi" w:cstheme="minorHAnsi"/>
        </w:rPr>
        <w:t xml:space="preserve"> SBW Consultin, Inc. &amp; Koeller and Company. Retrieved from </w:t>
      </w:r>
      <w:hyperlink r:id="rId2" w:history="1">
        <w:r w:rsidRPr="00FF2059">
          <w:rPr>
            <w:rStyle w:val="Hyperlink"/>
            <w:rFonts w:asciiTheme="minorHAnsi" w:hAnsiTheme="minorHAnsi" w:cstheme="minorHAnsi"/>
          </w:rPr>
          <w:t>http://www.allianceforwaterefficiency.org/Commercial_Food_Service_Introduction.aspx</w:t>
        </w:r>
      </w:hyperlink>
    </w:p>
    <w:p w14:paraId="6E7E01BE" w14:textId="77777777" w:rsidR="0055122F" w:rsidRDefault="0055122F">
      <w:pPr>
        <w:pStyle w:val="EndnoteText"/>
      </w:pPr>
    </w:p>
  </w:endnote>
  <w:endnote w:id="5">
    <w:p w14:paraId="54BDFC6D" w14:textId="7D84C4CD" w:rsidR="0055122F" w:rsidRDefault="0055122F">
      <w:pPr>
        <w:pStyle w:val="EndnoteText"/>
        <w:rPr>
          <w:rFonts w:asciiTheme="minorHAnsi" w:hAnsiTheme="minorHAnsi" w:cstheme="minorHAnsi"/>
        </w:rPr>
      </w:pPr>
      <w:r>
        <w:rPr>
          <w:rStyle w:val="EndnoteReference"/>
        </w:rPr>
        <w:endnoteRef/>
      </w:r>
      <w:r>
        <w:t xml:space="preserve"> </w:t>
      </w:r>
      <w:r w:rsidRPr="00C76EB4">
        <w:rPr>
          <w:rFonts w:asciiTheme="minorHAnsi" w:hAnsiTheme="minorHAnsi"/>
        </w:rPr>
        <w:t xml:space="preserve">SBW Consulting, Inc. (2007, February 21). </w:t>
      </w:r>
      <w:r w:rsidRPr="00C76EB4">
        <w:rPr>
          <w:rFonts w:asciiTheme="minorHAnsi" w:hAnsiTheme="minorHAnsi" w:cstheme="minorHAnsi"/>
          <w:i/>
        </w:rPr>
        <w:t>“Impact and Process Evaluation Final Report for California Urban Water Conservation Council 2004-5 Pre-Rinse Spray Valve Installation Program (Phase 2).”</w:t>
      </w:r>
      <w:r w:rsidRPr="00C76EB4">
        <w:rPr>
          <w:rFonts w:asciiTheme="minorHAnsi" w:hAnsiTheme="minorHAnsi" w:cstheme="minorHAnsi"/>
        </w:rPr>
        <w:t xml:space="preserve"> California Public Utilities Commission.</w:t>
      </w:r>
    </w:p>
    <w:p w14:paraId="77584544" w14:textId="77777777" w:rsidR="0055122F" w:rsidRDefault="0055122F">
      <w:pPr>
        <w:pStyle w:val="EndnoteText"/>
      </w:pPr>
    </w:p>
  </w:endnote>
  <w:endnote w:id="6">
    <w:p w14:paraId="4D3CB328" w14:textId="03BC0EA6" w:rsidR="0055122F" w:rsidRDefault="0055122F">
      <w:pPr>
        <w:pStyle w:val="EndnoteText"/>
      </w:pPr>
      <w:r>
        <w:rPr>
          <w:rStyle w:val="EndnoteReference"/>
        </w:rPr>
        <w:endnoteRef/>
      </w:r>
      <w:r>
        <w:t xml:space="preserve"> </w:t>
      </w:r>
      <w:r w:rsidRPr="00FF2059">
        <w:rPr>
          <w:rFonts w:asciiTheme="minorHAnsi" w:hAnsiTheme="minorHAnsi" w:cstheme="minorHAnsi"/>
        </w:rPr>
        <w:t>DEER Database for Energy-Efficient Resources, Version 201</w:t>
      </w:r>
      <w:r>
        <w:rPr>
          <w:rFonts w:asciiTheme="minorHAnsi" w:hAnsiTheme="minorHAnsi" w:cstheme="minorHAnsi"/>
        </w:rPr>
        <w:t>8</w:t>
      </w:r>
      <w:r w:rsidRPr="00FF2059">
        <w:rPr>
          <w:rFonts w:asciiTheme="minorHAnsi" w:hAnsiTheme="minorHAnsi" w:cstheme="minorHAnsi"/>
        </w:rPr>
        <w:t xml:space="preserve">, </w:t>
      </w:r>
      <w:r>
        <w:rPr>
          <w:rFonts w:asciiTheme="minorHAnsi" w:hAnsiTheme="minorHAnsi" w:cstheme="minorHAnsi"/>
        </w:rPr>
        <w:t xml:space="preserve">READI Remote Ex-Ante Database Interface, Version 2.4.8. </w:t>
      </w:r>
      <w:hyperlink r:id="rId3" w:history="1">
        <w:r w:rsidRPr="00380B9C">
          <w:rPr>
            <w:rStyle w:val="Hyperlink"/>
            <w:rFonts w:asciiTheme="minorHAnsi" w:hAnsiTheme="minorHAnsi" w:cstheme="minorHAnsi"/>
          </w:rPr>
          <w:t>http://www.deeresources.com/</w:t>
        </w:r>
      </w:hyperlink>
      <w:r>
        <w:rPr>
          <w:rFonts w:asciiTheme="minorHAnsi" w:hAnsiTheme="minorHAnsi" w:cstheme="minorHAnsi"/>
        </w:rPr>
        <w:t xml:space="preserve"> </w:t>
      </w:r>
    </w:p>
    <w:p w14:paraId="60FDB280" w14:textId="77777777" w:rsidR="0055122F" w:rsidRDefault="0055122F">
      <w:pPr>
        <w:pStyle w:val="EndnoteText"/>
      </w:pPr>
    </w:p>
  </w:endnote>
  <w:endnote w:id="7">
    <w:p w14:paraId="7AAB8F24" w14:textId="0776AC44" w:rsidR="0055122F" w:rsidRDefault="0055122F">
      <w:pPr>
        <w:pStyle w:val="EndnoteText"/>
      </w:pPr>
      <w:r>
        <w:rPr>
          <w:rStyle w:val="EndnoteReference"/>
        </w:rPr>
        <w:endnoteRef/>
      </w:r>
      <w:r>
        <w:t xml:space="preserve"> </w:t>
      </w:r>
      <w:r w:rsidRPr="00C76EB4">
        <w:rPr>
          <w:rFonts w:asciiTheme="minorHAnsi" w:hAnsiTheme="minorHAnsi"/>
          <w:i/>
        </w:rPr>
        <w:t>Pre-Rinse Spray Valves Qualifying Product List, July 2018</w:t>
      </w:r>
      <w:r w:rsidRPr="00C76EB4">
        <w:rPr>
          <w:rFonts w:asciiTheme="minorHAnsi" w:hAnsiTheme="minorHAnsi"/>
        </w:rPr>
        <w:t>. Consortium for Energy Efficiency</w:t>
      </w:r>
      <w:r>
        <w:rPr>
          <w:rFonts w:asciiTheme="minorHAnsi" w:hAnsiTheme="minorHAnsi"/>
        </w:rPr>
        <w:t xml:space="preserve"> (CEE)</w:t>
      </w:r>
      <w:r w:rsidRPr="00C76EB4">
        <w:rPr>
          <w:rFonts w:asciiTheme="minorHAnsi" w:hAnsiTheme="minorHAnsi"/>
        </w:rPr>
        <w:t xml:space="preserve"> Commercial Kitchens Initiative. Retrieved from </w:t>
      </w:r>
      <w:hyperlink r:id="rId4" w:history="1">
        <w:r w:rsidRPr="00C76EB4">
          <w:rPr>
            <w:rStyle w:val="Hyperlink"/>
            <w:rFonts w:asciiTheme="minorHAnsi" w:hAnsiTheme="minorHAnsi"/>
          </w:rPr>
          <w:t>https://library.cee1.org/content/commercial-kitchen-pre-rinse-spray-valves-qualifying-products-list/</w:t>
        </w:r>
      </w:hyperlink>
      <w:r w:rsidRPr="00C76EB4">
        <w:rPr>
          <w:rFonts w:asciiTheme="minorHAnsi" w:hAnsiTheme="minorHAnsi"/>
        </w:rPr>
        <w:t>, spreadsheet 2018_July_CEE_PRSVs_QPL.xlsx.</w:t>
      </w:r>
    </w:p>
    <w:p w14:paraId="59B07E57" w14:textId="77777777" w:rsidR="0055122F" w:rsidRPr="00C76EB4" w:rsidRDefault="0055122F">
      <w:pPr>
        <w:pStyle w:val="EndnoteText"/>
      </w:pPr>
    </w:p>
  </w:endnote>
  <w:endnote w:id="8">
    <w:p w14:paraId="2649AF09" w14:textId="4F824EE2" w:rsidR="0055122F" w:rsidRPr="00C76EB4" w:rsidRDefault="0055122F">
      <w:pPr>
        <w:pStyle w:val="EndnoteText"/>
        <w:rPr>
          <w:rFonts w:asciiTheme="minorHAnsi" w:hAnsiTheme="minorHAnsi"/>
        </w:rPr>
      </w:pPr>
      <w:r>
        <w:rPr>
          <w:rStyle w:val="EndnoteReference"/>
        </w:rPr>
        <w:endnoteRef/>
      </w:r>
      <w:r>
        <w:t xml:space="preserve"> </w:t>
      </w:r>
      <w:r w:rsidRPr="00C76EB4">
        <w:rPr>
          <w:rFonts w:asciiTheme="minorHAnsi" w:hAnsiTheme="minorHAnsi"/>
        </w:rPr>
        <w:t xml:space="preserve">Thomas, L. (2018, June 19/22). </w:t>
      </w:r>
      <w:r w:rsidRPr="00C76EB4">
        <w:rPr>
          <w:rFonts w:asciiTheme="minorHAnsi" w:hAnsiTheme="minorHAnsi"/>
          <w:i/>
        </w:rPr>
        <w:t>Considering Revisions to the Pre-Rinse Spray Valve Specification</w:t>
      </w:r>
      <w:r w:rsidRPr="00C76EB4">
        <w:rPr>
          <w:rFonts w:asciiTheme="minorHAnsi" w:hAnsiTheme="minorHAnsi"/>
        </w:rPr>
        <w:t>. Consortium for Energy Efficiency (CEE) Commercial Kitchens Committee.</w:t>
      </w:r>
      <w:r>
        <w:rPr>
          <w:rFonts w:asciiTheme="minorHAnsi" w:hAnsiTheme="minorHAnsi"/>
        </w:rPr>
        <w:t xml:space="preserve"> Presentation.</w:t>
      </w:r>
    </w:p>
    <w:p w14:paraId="2DECEA3E" w14:textId="77777777" w:rsidR="0055122F" w:rsidRPr="00C76EB4" w:rsidRDefault="0055122F">
      <w:pPr>
        <w:pStyle w:val="EndnoteText"/>
      </w:pPr>
    </w:p>
  </w:endnote>
  <w:endnote w:id="9">
    <w:p w14:paraId="2BCC2C94" w14:textId="49692656" w:rsidR="0055122F" w:rsidRPr="00C76EB4" w:rsidRDefault="0055122F" w:rsidP="00F828A6">
      <w:pPr>
        <w:pStyle w:val="EndnoteText"/>
        <w:tabs>
          <w:tab w:val="left" w:pos="90"/>
          <w:tab w:val="left" w:pos="450"/>
        </w:tabs>
        <w:ind w:left="90" w:hanging="90"/>
        <w:rPr>
          <w:rFonts w:asciiTheme="minorHAnsi" w:hAnsiTheme="minorHAnsi" w:cstheme="minorHAnsi"/>
        </w:rPr>
      </w:pPr>
      <w:r w:rsidRPr="00C76EB4">
        <w:rPr>
          <w:rStyle w:val="EndnoteReference"/>
          <w:rFonts w:asciiTheme="minorHAnsi" w:hAnsiTheme="minorHAnsi" w:cstheme="minorHAnsi"/>
        </w:rPr>
        <w:endnoteRef/>
      </w:r>
      <w:r w:rsidRPr="00C76EB4">
        <w:rPr>
          <w:rFonts w:asciiTheme="minorHAnsi" w:hAnsiTheme="minorHAnsi" w:cstheme="minorHAnsi"/>
        </w:rPr>
        <w:t xml:space="preserve"> </w:t>
      </w:r>
      <w:r>
        <w:rPr>
          <w:rFonts w:asciiTheme="minorHAnsi" w:hAnsiTheme="minorHAnsi" w:cstheme="minorHAnsi"/>
        </w:rPr>
        <w:t xml:space="preserve">California Energy Commission. (2018, August). </w:t>
      </w:r>
      <w:r>
        <w:rPr>
          <w:rFonts w:asciiTheme="minorHAnsi" w:hAnsiTheme="minorHAnsi" w:cstheme="minorHAnsi"/>
          <w:i/>
        </w:rPr>
        <w:t xml:space="preserve">Title 20. Public Utilities and Energy. </w:t>
      </w:r>
      <w:r w:rsidRPr="00C76EB4">
        <w:rPr>
          <w:rFonts w:asciiTheme="minorHAnsi" w:hAnsiTheme="minorHAnsi" w:cstheme="minorHAnsi"/>
        </w:rPr>
        <w:t>Division 2. State Energy Resources Conservation and Development Commission.</w:t>
      </w:r>
      <w:r>
        <w:rPr>
          <w:rFonts w:asciiTheme="minorHAnsi" w:hAnsiTheme="minorHAnsi" w:cstheme="minorHAnsi"/>
          <w:i/>
        </w:rPr>
        <w:t xml:space="preserve"> </w:t>
      </w:r>
      <w:r>
        <w:rPr>
          <w:rFonts w:asciiTheme="minorHAnsi" w:hAnsiTheme="minorHAnsi" w:cstheme="minorHAnsi"/>
          <w:b/>
          <w:bCs/>
          <w:i/>
          <w:iCs/>
          <w:smallCaps/>
        </w:rPr>
        <w:t xml:space="preserve"> Con</w:t>
      </w:r>
      <w:r>
        <w:rPr>
          <w:rFonts w:asciiTheme="minorHAnsi" w:hAnsiTheme="minorHAnsi" w:cstheme="minorHAnsi"/>
          <w:i/>
        </w:rPr>
        <w:t xml:space="preserve">servation and FD </w:t>
      </w:r>
      <w:r>
        <w:rPr>
          <w:rFonts w:asciiTheme="minorHAnsi" w:hAnsiTheme="minorHAnsi" w:cstheme="minorHAnsi"/>
        </w:rPr>
        <w:t>California Code of Regulations.</w:t>
      </w:r>
      <w:r w:rsidRPr="00C76EB4">
        <w:rPr>
          <w:rFonts w:asciiTheme="minorHAnsi" w:hAnsiTheme="minorHAnsi" w:cstheme="minorHAnsi"/>
        </w:rPr>
        <w:t xml:space="preserve"> </w:t>
      </w:r>
      <w:r>
        <w:rPr>
          <w:rFonts w:asciiTheme="minorHAnsi" w:hAnsiTheme="minorHAnsi" w:cstheme="minorHAnsi"/>
        </w:rPr>
        <w:t xml:space="preserve">Retrieved from </w:t>
      </w:r>
      <w:hyperlink r:id="rId5" w:history="1">
        <w:r w:rsidRPr="00380B9C">
          <w:rPr>
            <w:rStyle w:val="Hyperlink"/>
            <w:rFonts w:asciiTheme="minorHAnsi" w:hAnsiTheme="minorHAnsi" w:cstheme="minorHAnsi"/>
          </w:rPr>
          <w:t>http://www.energy.ca.gov/2018publications/CEC-140-2018-002/CEC-140-2018-002-REV.pdf</w:t>
        </w:r>
      </w:hyperlink>
      <w:r>
        <w:rPr>
          <w:rFonts w:asciiTheme="minorHAnsi" w:hAnsiTheme="minorHAnsi" w:cstheme="minorHAnsi"/>
        </w:rPr>
        <w:t xml:space="preserve"> </w:t>
      </w:r>
    </w:p>
    <w:p w14:paraId="2DCB05CD" w14:textId="77777777" w:rsidR="0055122F" w:rsidRDefault="0055122F" w:rsidP="00C76EB4">
      <w:pPr>
        <w:pStyle w:val="EndnoteText"/>
        <w:tabs>
          <w:tab w:val="left" w:pos="90"/>
          <w:tab w:val="left" w:pos="450"/>
        </w:tabs>
      </w:pPr>
    </w:p>
  </w:endnote>
  <w:endnote w:id="10">
    <w:p w14:paraId="15DAAA57" w14:textId="5A1FEEB1" w:rsidR="0055122F" w:rsidRPr="00C76EB4" w:rsidRDefault="0055122F" w:rsidP="00C76EB4">
      <w:pPr>
        <w:pStyle w:val="EndnoteText"/>
        <w:rPr>
          <w:rFonts w:asciiTheme="minorHAnsi" w:hAnsiTheme="minorHAnsi"/>
        </w:rPr>
      </w:pPr>
      <w:r>
        <w:rPr>
          <w:rStyle w:val="EndnoteReference"/>
        </w:rPr>
        <w:endnoteRef/>
      </w:r>
      <w:r>
        <w:t xml:space="preserve"> </w:t>
      </w:r>
      <w:r w:rsidRPr="00C76EB4">
        <w:rPr>
          <w:rFonts w:asciiTheme="minorHAnsi" w:hAnsiTheme="minorHAnsi"/>
        </w:rPr>
        <w:t xml:space="preserve">SBW Consulting, Inc. (2004, May 3). </w:t>
      </w:r>
      <w:r w:rsidRPr="00C76EB4">
        <w:rPr>
          <w:rFonts w:asciiTheme="minorHAnsi" w:hAnsiTheme="minorHAnsi"/>
          <w:i/>
        </w:rPr>
        <w:t>Evaluation, Measurement, &amp; Verification Report for the CUWCC Pre-Rince Spray Head Distribution Program.</w:t>
      </w:r>
      <w:r w:rsidRPr="00C76EB4">
        <w:rPr>
          <w:rFonts w:asciiTheme="minorHAnsi" w:hAnsiTheme="minorHAnsi"/>
        </w:rPr>
        <w:t xml:space="preserve"> Report No. 0401. California Urban Water Conservation Council. </w:t>
      </w:r>
    </w:p>
    <w:p w14:paraId="1BF8F8DD" w14:textId="77777777" w:rsidR="0055122F" w:rsidRPr="00C76EB4" w:rsidRDefault="0055122F">
      <w:pPr>
        <w:pStyle w:val="EndnoteText"/>
      </w:pPr>
    </w:p>
  </w:endnote>
  <w:endnote w:id="11">
    <w:p w14:paraId="60EA33AF" w14:textId="548975F8" w:rsidR="0055122F" w:rsidRDefault="0055122F" w:rsidP="00520C16">
      <w:pPr>
        <w:pStyle w:val="EndnoteText"/>
        <w:tabs>
          <w:tab w:val="left" w:pos="90"/>
          <w:tab w:val="left" w:pos="450"/>
        </w:tabs>
        <w:ind w:left="90" w:hanging="90"/>
        <w:rPr>
          <w:rFonts w:asciiTheme="minorHAnsi" w:hAnsiTheme="minorHAnsi" w:cstheme="minorHAnsi"/>
        </w:rPr>
      </w:pPr>
      <w:r>
        <w:rPr>
          <w:rStyle w:val="EndnoteReference"/>
        </w:rPr>
        <w:endnoteRef/>
      </w:r>
      <w:r>
        <w:t xml:space="preserve"> </w:t>
      </w:r>
      <w:r>
        <w:rPr>
          <w:rFonts w:asciiTheme="minorHAnsi" w:hAnsiTheme="minorHAnsi" w:cstheme="minorHAnsi"/>
        </w:rPr>
        <w:t xml:space="preserve">Spoor, C., Zabrowski, D., &amp; Mills, L. (2014, October). Characterizing the Energy Efficiency Potential of Gas-Fired Commercial Foodservice Equipment. Energy Research and Development Division, California Energy Commission. Retrieved from </w:t>
      </w:r>
      <w:hyperlink r:id="rId6" w:history="1">
        <w:r w:rsidRPr="00380B9C">
          <w:rPr>
            <w:rStyle w:val="Hyperlink"/>
            <w:rFonts w:asciiTheme="minorHAnsi" w:hAnsiTheme="minorHAnsi" w:cstheme="minorHAnsi"/>
          </w:rPr>
          <w:t>http://www.energy.ca.gov/2014publications/CEC-500-2014-095/CEC-500-2014-095.pdf</w:t>
        </w:r>
      </w:hyperlink>
      <w:r>
        <w:rPr>
          <w:rFonts w:asciiTheme="minorHAnsi" w:hAnsiTheme="minorHAnsi" w:cstheme="minorHAnsi"/>
        </w:rPr>
        <w:t xml:space="preserve"> </w:t>
      </w:r>
    </w:p>
    <w:p w14:paraId="387F9784" w14:textId="77777777" w:rsidR="0055122F" w:rsidRPr="00C76EB4" w:rsidRDefault="0055122F" w:rsidP="00C76EB4">
      <w:pPr>
        <w:pStyle w:val="EndnoteText"/>
        <w:tabs>
          <w:tab w:val="left" w:pos="90"/>
          <w:tab w:val="left" w:pos="450"/>
        </w:tabs>
        <w:ind w:left="90" w:hanging="90"/>
        <w:rPr>
          <w:rFonts w:asciiTheme="minorHAnsi" w:hAnsiTheme="minorHAnsi" w:cstheme="minorHAnsi"/>
        </w:rPr>
      </w:pPr>
    </w:p>
  </w:endnote>
  <w:endnote w:id="12">
    <w:p w14:paraId="7D8C5B0F" w14:textId="72A4CEE0" w:rsidR="0055122F" w:rsidRPr="00C76EB4" w:rsidRDefault="0055122F" w:rsidP="00C76EB4">
      <w:pPr>
        <w:pStyle w:val="EndnoteText"/>
      </w:pPr>
      <w:r>
        <w:rPr>
          <w:rStyle w:val="EndnoteReference"/>
        </w:rPr>
        <w:endnoteRef/>
      </w:r>
      <w:r>
        <w:t xml:space="preserve"> </w:t>
      </w:r>
      <w:r w:rsidRPr="00C76EB4">
        <w:rPr>
          <w:rFonts w:asciiTheme="minorHAnsi" w:hAnsiTheme="minorHAnsi"/>
        </w:rPr>
        <w:t xml:space="preserve">Delagah, A., Karas, A. (2018, July). </w:t>
      </w:r>
      <w:r w:rsidRPr="00C76EB4">
        <w:rPr>
          <w:rFonts w:asciiTheme="minorHAnsi" w:hAnsiTheme="minorHAnsi"/>
          <w:i/>
        </w:rPr>
        <w:t>Pre-Rinse Operations Field Evaluation Report</w:t>
      </w:r>
      <w:r w:rsidRPr="00C76EB4">
        <w:rPr>
          <w:rFonts w:asciiTheme="minorHAnsi" w:hAnsiTheme="minorHAnsi"/>
        </w:rPr>
        <w:t>. Report #50136-R0. The Metropolitan Water District of Southern California. Agreement #166638.</w:t>
      </w:r>
      <w:r>
        <w:t xml:space="preserve"> </w:t>
      </w:r>
    </w:p>
    <w:p w14:paraId="781CA254" w14:textId="77777777" w:rsidR="0055122F" w:rsidRPr="00C76EB4" w:rsidRDefault="0055122F">
      <w:pPr>
        <w:pStyle w:val="EndnoteText"/>
      </w:pPr>
    </w:p>
  </w:endnote>
  <w:endnote w:id="13">
    <w:p w14:paraId="78FF31A7" w14:textId="47A432B6" w:rsidR="0055122F" w:rsidRDefault="0055122F">
      <w:pPr>
        <w:pStyle w:val="EndnoteText"/>
        <w:rPr>
          <w:rFonts w:asciiTheme="minorHAnsi" w:hAnsiTheme="minorHAnsi" w:cstheme="minorHAnsi"/>
        </w:rPr>
      </w:pPr>
      <w:r>
        <w:rPr>
          <w:rStyle w:val="EndnoteReference"/>
        </w:rPr>
        <w:endnoteRef/>
      </w:r>
      <w:r>
        <w:t xml:space="preserve"> </w:t>
      </w:r>
      <w:r>
        <w:rPr>
          <w:rFonts w:asciiTheme="minorHAnsi" w:hAnsiTheme="minorHAnsi" w:cstheme="minorHAnsi"/>
        </w:rPr>
        <w:t xml:space="preserve">Itron, Inc. (2006, March). </w:t>
      </w:r>
      <w:r>
        <w:rPr>
          <w:rFonts w:asciiTheme="minorHAnsi" w:hAnsiTheme="minorHAnsi" w:cstheme="minorHAnsi"/>
          <w:i/>
        </w:rPr>
        <w:t>California Commercial End-Use Survey</w:t>
      </w:r>
      <w:r>
        <w:rPr>
          <w:rFonts w:asciiTheme="minorHAnsi" w:hAnsiTheme="minorHAnsi" w:cstheme="minorHAnsi"/>
        </w:rPr>
        <w:t xml:space="preserve">. California Energy Commission. CEC-400-2006-005. Retrieved from </w:t>
      </w:r>
      <w:hyperlink r:id="rId7" w:history="1">
        <w:r w:rsidRPr="00380B9C">
          <w:rPr>
            <w:rStyle w:val="Hyperlink"/>
            <w:rFonts w:asciiTheme="minorHAnsi" w:hAnsiTheme="minorHAnsi" w:cstheme="minorHAnsi"/>
          </w:rPr>
          <w:t>http://www.energy.ca.gov/2006publications/CEC-400-2006-005/CEC-400-2006-005.PDF</w:t>
        </w:r>
      </w:hyperlink>
    </w:p>
    <w:p w14:paraId="013A4D7B" w14:textId="77777777" w:rsidR="0055122F" w:rsidRDefault="0055122F">
      <w:pPr>
        <w:pStyle w:val="EndnoteText"/>
      </w:pPr>
    </w:p>
  </w:endnote>
  <w:endnote w:id="14">
    <w:p w14:paraId="421B9809" w14:textId="567BD3C5" w:rsidR="0055122F" w:rsidRDefault="0055122F">
      <w:pPr>
        <w:pStyle w:val="EndnoteText"/>
      </w:pPr>
      <w:r>
        <w:rPr>
          <w:rStyle w:val="EndnoteReference"/>
        </w:rPr>
        <w:endnoteRef/>
      </w:r>
      <w:r>
        <w:t xml:space="preserve"> </w:t>
      </w:r>
      <w:r w:rsidRPr="00C76EB4">
        <w:rPr>
          <w:rFonts w:asciiTheme="minorHAnsi" w:hAnsiTheme="minorHAnsi"/>
        </w:rPr>
        <w:t xml:space="preserve">Pacific Gas &amp; Electric Company. (2016, July 1). </w:t>
      </w:r>
      <w:r w:rsidRPr="00C76EB4">
        <w:rPr>
          <w:rFonts w:asciiTheme="minorHAnsi" w:hAnsiTheme="minorHAnsi"/>
          <w:i/>
        </w:rPr>
        <w:t xml:space="preserve">Energy Efficient Door-Type Commercial Dishwashers. </w:t>
      </w:r>
      <w:r w:rsidRPr="00C76EB4">
        <w:rPr>
          <w:rFonts w:asciiTheme="minorHAnsi" w:hAnsiTheme="minorHAnsi"/>
        </w:rPr>
        <w:t>Work Paper PGECOFST126, Revision #0.</w:t>
      </w:r>
      <w:r>
        <w:t xml:space="preserve"> </w:t>
      </w:r>
    </w:p>
    <w:p w14:paraId="39940402" w14:textId="28504972" w:rsidR="0055122F" w:rsidRPr="00C76EB4" w:rsidRDefault="0055122F">
      <w:pPr>
        <w:pStyle w:val="EndnoteText"/>
      </w:pPr>
    </w:p>
  </w:endnote>
  <w:endnote w:id="15">
    <w:p w14:paraId="45A713AA" w14:textId="65D304DC" w:rsidR="0055122F" w:rsidRDefault="0055122F">
      <w:pPr>
        <w:pStyle w:val="EndnoteText"/>
      </w:pPr>
      <w:r>
        <w:rPr>
          <w:rStyle w:val="EndnoteReference"/>
        </w:rPr>
        <w:endnoteRef/>
      </w:r>
      <w:r>
        <w:t xml:space="preserve"> </w:t>
      </w:r>
      <w:r w:rsidRPr="00C76EB4">
        <w:rPr>
          <w:rFonts w:asciiTheme="minorHAnsi" w:hAnsiTheme="minorHAnsi" w:cstheme="minorHAnsi"/>
        </w:rPr>
        <w:t xml:space="preserve">WebstaurantStore. </w:t>
      </w:r>
      <w:hyperlink r:id="rId8" w:history="1">
        <w:r w:rsidRPr="00C76EB4">
          <w:rPr>
            <w:rStyle w:val="Hyperlink"/>
            <w:rFonts w:asciiTheme="minorHAnsi" w:hAnsiTheme="minorHAnsi" w:cstheme="minorHAnsi"/>
          </w:rPr>
          <w:t>https://www.webstaurantstore.com</w:t>
        </w:r>
      </w:hyperlink>
      <w:r w:rsidRPr="00C76EB4">
        <w:rPr>
          <w:rFonts w:asciiTheme="minorHAnsi" w:hAnsiTheme="minorHAnsi" w:cstheme="minorHAnsi"/>
        </w:rPr>
        <w:t>.</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473C1" w14:textId="55433900" w:rsidR="0055122F" w:rsidRDefault="00174AA5"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8-12-18T00:00:00Z">
          <w:dateFormat w:val="MMMM d, yyyy"/>
          <w:lid w:val="en-US"/>
          <w:storeMappedDataAs w:val="dateTime"/>
          <w:calendar w:val="gregorian"/>
        </w:date>
      </w:sdtPr>
      <w:sdtEndPr/>
      <w:sdtContent>
        <w:r w:rsidR="0055122F">
          <w:rPr>
            <w:rFonts w:cstheme="minorHAnsi"/>
            <w:b/>
            <w:sz w:val="36"/>
            <w:szCs w:val="36"/>
          </w:rPr>
          <w:t>December 18, 2018</w:t>
        </w:r>
      </w:sdtContent>
    </w:sdt>
  </w:p>
  <w:p w14:paraId="1759B2DE" w14:textId="77777777" w:rsidR="0055122F" w:rsidRPr="009500DC" w:rsidRDefault="0055122F"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08900" w14:textId="62E482B8" w:rsidR="0055122F" w:rsidRPr="009500DC" w:rsidRDefault="00174AA5" w:rsidP="002C58D0">
    <w:pPr>
      <w:pStyle w:val="Footer"/>
      <w:pBdr>
        <w:top w:val="single" w:sz="4" w:space="1" w:color="auto"/>
      </w:pBdr>
      <w:tabs>
        <w:tab w:val="left" w:pos="3090"/>
      </w:tabs>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55122F">
          <w:rPr>
            <w:rFonts w:cstheme="minorHAnsi"/>
            <w:b/>
            <w:sz w:val="20"/>
            <w:szCs w:val="20"/>
          </w:rPr>
          <w:t>WPSCGNRWH121113A</w:t>
        </w:r>
      </w:sdtContent>
    </w:sdt>
    <w:r w:rsidR="0055122F">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55122F">
          <w:rPr>
            <w:rFonts w:cstheme="minorHAnsi"/>
            <w:b/>
            <w:sz w:val="20"/>
            <w:szCs w:val="20"/>
          </w:rPr>
          <w:t>Revision 04</w:t>
        </w:r>
      </w:sdtContent>
    </w:sdt>
    <w:r w:rsidR="0055122F" w:rsidRPr="009500DC">
      <w:rPr>
        <w:rFonts w:cstheme="minorHAnsi"/>
        <w:b/>
        <w:sz w:val="20"/>
        <w:szCs w:val="20"/>
      </w:rPr>
      <w:tab/>
    </w:r>
    <w:r w:rsidR="0055122F">
      <w:rPr>
        <w:rFonts w:cstheme="minorHAnsi"/>
        <w:b/>
        <w:sz w:val="20"/>
        <w:szCs w:val="20"/>
      </w:rPr>
      <w:tab/>
    </w:r>
    <w:r w:rsidR="0055122F" w:rsidRPr="009500DC">
      <w:rPr>
        <w:rFonts w:cstheme="minorHAnsi"/>
        <w:b/>
        <w:sz w:val="20"/>
        <w:szCs w:val="20"/>
      </w:rPr>
      <w:fldChar w:fldCharType="begin"/>
    </w:r>
    <w:r w:rsidR="0055122F" w:rsidRPr="009500DC">
      <w:rPr>
        <w:rFonts w:cstheme="minorHAnsi"/>
        <w:b/>
        <w:sz w:val="20"/>
        <w:szCs w:val="20"/>
      </w:rPr>
      <w:instrText xml:space="preserve"> PAGE   \* MERGEFORMAT </w:instrText>
    </w:r>
    <w:r w:rsidR="0055122F" w:rsidRPr="009500DC">
      <w:rPr>
        <w:rFonts w:cstheme="minorHAnsi"/>
        <w:b/>
        <w:sz w:val="20"/>
        <w:szCs w:val="20"/>
      </w:rPr>
      <w:fldChar w:fldCharType="separate"/>
    </w:r>
    <w:r w:rsidR="0055122F">
      <w:rPr>
        <w:rFonts w:cstheme="minorHAnsi"/>
        <w:b/>
        <w:noProof/>
        <w:sz w:val="20"/>
        <w:szCs w:val="20"/>
      </w:rPr>
      <w:t>2</w:t>
    </w:r>
    <w:r w:rsidR="0055122F" w:rsidRPr="009500DC">
      <w:rPr>
        <w:rFonts w:cstheme="minorHAnsi"/>
        <w:b/>
        <w:noProof/>
        <w:sz w:val="20"/>
        <w:szCs w:val="20"/>
      </w:rPr>
      <w:fldChar w:fldCharType="end"/>
    </w:r>
    <w:r w:rsidR="0055122F"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18T00:00:00Z">
          <w:dateFormat w:val="MMMM d, yyyy"/>
          <w:lid w:val="en-US"/>
          <w:storeMappedDataAs w:val="dateTime"/>
          <w:calendar w:val="gregorian"/>
        </w:date>
      </w:sdtPr>
      <w:sdtEndPr/>
      <w:sdtContent>
        <w:r w:rsidR="0055122F">
          <w:rPr>
            <w:rFonts w:cstheme="minorHAnsi"/>
            <w:b/>
            <w:sz w:val="20"/>
            <w:szCs w:val="20"/>
          </w:rPr>
          <w:t>December 18, 2018</w:t>
        </w:r>
      </w:sdtContent>
    </w:sdt>
  </w:p>
  <w:p w14:paraId="51448CDB" w14:textId="43FAA87A" w:rsidR="0055122F" w:rsidRPr="009500DC" w:rsidRDefault="00174AA5"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55122F">
          <w:rPr>
            <w:rFonts w:cstheme="minorHAnsi"/>
            <w:b/>
            <w:sz w:val="20"/>
            <w:szCs w:val="20"/>
          </w:rPr>
          <w:t>Southern California Gas Company</w:t>
        </w:r>
      </w:sdtContent>
    </w:sdt>
  </w:p>
  <w:p w14:paraId="4DDC8ED1" w14:textId="77777777" w:rsidR="0055122F" w:rsidRDefault="0055122F"/>
  <w:p w14:paraId="215FB8ED" w14:textId="77777777" w:rsidR="0055122F" w:rsidRDefault="0055122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7EA3D5" w14:textId="77777777" w:rsidR="0055122F" w:rsidRDefault="0055122F" w:rsidP="00447D6E">
      <w:r>
        <w:separator/>
      </w:r>
    </w:p>
    <w:p w14:paraId="3B6011DF" w14:textId="77777777" w:rsidR="0055122F" w:rsidRDefault="0055122F"/>
  </w:footnote>
  <w:footnote w:type="continuationSeparator" w:id="0">
    <w:p w14:paraId="14AC773F" w14:textId="77777777" w:rsidR="0055122F" w:rsidRDefault="0055122F" w:rsidP="00447D6E">
      <w:r>
        <w:continuationSeparator/>
      </w:r>
    </w:p>
    <w:p w14:paraId="3767734B" w14:textId="77777777" w:rsidR="0055122F" w:rsidRDefault="0055122F"/>
  </w:footnote>
  <w:footnote w:type="continuationNotice" w:id="1">
    <w:p w14:paraId="33F31CD0" w14:textId="77777777" w:rsidR="0055122F" w:rsidRDefault="0055122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AFF1CC9"/>
    <w:multiLevelType w:val="hybridMultilevel"/>
    <w:tmpl w:val="4344D2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F957C84"/>
    <w:multiLevelType w:val="multilevel"/>
    <w:tmpl w:val="5E9E3468"/>
    <w:lvl w:ilvl="0">
      <w:start w:val="1"/>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pStyle w:val="WPPR2"/>
      <w:lvlText w:val="%1.%2.%3.%4"/>
      <w:lvlJc w:val="left"/>
      <w:pPr>
        <w:tabs>
          <w:tab w:val="num" w:pos="720"/>
        </w:tabs>
        <w:ind w:left="720" w:hanging="720"/>
      </w:pPr>
    </w:lvl>
    <w:lvl w:ilvl="4">
      <w:start w:val="1"/>
      <w:numFmt w:val="decimal"/>
      <w:pStyle w:val="WPPR3"/>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25C19D9"/>
    <w:multiLevelType w:val="multilevel"/>
    <w:tmpl w:val="47608528"/>
    <w:lvl w:ilvl="0">
      <w:start w:val="1"/>
      <w:numFmt w:val="decimal"/>
      <w:pStyle w:val="WPSCT"/>
      <w:suff w:val="nothing"/>
      <w:lvlText w:val="SECTION %1 - "/>
      <w:lvlJc w:val="left"/>
      <w:pPr>
        <w:ind w:left="576" w:hanging="576"/>
      </w:pPr>
      <w:rPr>
        <w:rFonts w:ascii="Arial" w:hAnsi="Arial" w:cs="Times New Roman" w:hint="default"/>
        <w:b/>
        <w:i w:val="0"/>
        <w:sz w:val="20"/>
      </w:rPr>
    </w:lvl>
    <w:lvl w:ilvl="1">
      <w:start w:val="1"/>
      <w:numFmt w:val="decimalZero"/>
      <w:pStyle w:val="ART"/>
      <w:lvlText w:val="%1.%2"/>
      <w:lvlJc w:val="left"/>
      <w:pPr>
        <w:tabs>
          <w:tab w:val="num" w:pos="720"/>
        </w:tabs>
        <w:ind w:left="720" w:hanging="720"/>
      </w:pPr>
      <w:rPr>
        <w:b/>
        <w:i w:val="0"/>
      </w:rPr>
    </w:lvl>
    <w:lvl w:ilvl="2">
      <w:start w:val="1"/>
      <w:numFmt w:val="upperLetter"/>
      <w:pStyle w:val="PR1"/>
      <w:lvlText w:val="%3."/>
      <w:lvlJc w:val="left"/>
      <w:pPr>
        <w:tabs>
          <w:tab w:val="num" w:pos="432"/>
        </w:tabs>
        <w:ind w:left="432" w:hanging="432"/>
      </w:pPr>
      <w:rPr>
        <w:rFonts w:asciiTheme="minorHAnsi" w:hAnsiTheme="minorHAnsi" w:cstheme="minorHAnsi" w:hint="default"/>
      </w:rPr>
    </w:lvl>
    <w:lvl w:ilvl="3">
      <w:start w:val="1"/>
      <w:numFmt w:val="decimal"/>
      <w:pStyle w:val="PR2"/>
      <w:lvlText w:val="%4."/>
      <w:lvlJc w:val="left"/>
      <w:pPr>
        <w:tabs>
          <w:tab w:val="num" w:pos="1584"/>
        </w:tabs>
        <w:ind w:left="1584" w:hanging="432"/>
      </w:pPr>
      <w:rPr>
        <w:rFonts w:ascii="Arial" w:hAnsi="Arial" w:cs="Times New Roman" w:hint="default"/>
        <w:b w:val="0"/>
        <w:i w:val="0"/>
        <w:sz w:val="20"/>
      </w:rPr>
    </w:lvl>
    <w:lvl w:ilvl="4">
      <w:start w:val="1"/>
      <w:numFmt w:val="lowerLetter"/>
      <w:pStyle w:val="PR3"/>
      <w:lvlText w:val="%5."/>
      <w:lvlJc w:val="left"/>
      <w:pPr>
        <w:tabs>
          <w:tab w:val="num" w:pos="2016"/>
        </w:tabs>
        <w:ind w:left="2016" w:hanging="432"/>
      </w:pPr>
      <w:rPr>
        <w:rFonts w:ascii="Arial" w:hAnsi="Arial" w:cs="Times New Roman" w:hint="default"/>
        <w:b w:val="0"/>
        <w:i w:val="0"/>
        <w:sz w:val="20"/>
      </w:rPr>
    </w:lvl>
    <w:lvl w:ilvl="5">
      <w:start w:val="1"/>
      <w:numFmt w:val="lowerRoman"/>
      <w:pStyle w:val="PR4"/>
      <w:lvlText w:val="%6."/>
      <w:lvlJc w:val="left"/>
      <w:pPr>
        <w:tabs>
          <w:tab w:val="num" w:pos="2736"/>
        </w:tabs>
        <w:ind w:left="2448" w:hanging="432"/>
      </w:pPr>
      <w:rPr>
        <w:rFonts w:ascii="Arial" w:hAnsi="Arial" w:cs="Times New Roman" w:hint="default"/>
        <w:b w:val="0"/>
        <w:i w:val="0"/>
        <w:sz w:val="20"/>
      </w:rPr>
    </w:lvl>
    <w:lvl w:ilvl="6">
      <w:start w:val="1"/>
      <w:numFmt w:val="lowerLetter"/>
      <w:pStyle w:val="PR5"/>
      <w:lvlText w:val="%7)"/>
      <w:lvlJc w:val="left"/>
      <w:pPr>
        <w:tabs>
          <w:tab w:val="num" w:pos="2880"/>
        </w:tabs>
        <w:ind w:left="2880" w:hanging="432"/>
      </w:pPr>
      <w:rPr>
        <w:rFonts w:ascii="Arial" w:hAnsi="Arial" w:cs="Times New Roman" w:hint="default"/>
        <w:b w:val="0"/>
        <w:i w:val="0"/>
        <w:sz w:val="20"/>
      </w:rPr>
    </w:lvl>
    <w:lvl w:ilvl="7">
      <w:start w:val="1"/>
      <w:numFmt w:val="lowerRoman"/>
      <w:pStyle w:val="PR6"/>
      <w:lvlText w:val="%8)"/>
      <w:lvlJc w:val="left"/>
      <w:pPr>
        <w:tabs>
          <w:tab w:val="num" w:pos="3600"/>
        </w:tabs>
        <w:ind w:left="3312" w:hanging="432"/>
      </w:pPr>
      <w:rPr>
        <w:rFonts w:ascii="Arial" w:hAnsi="Arial" w:cs="Times New Roman" w:hint="default"/>
        <w:b w:val="0"/>
        <w:i w:val="0"/>
        <w:sz w:val="20"/>
      </w:rPr>
    </w:lvl>
    <w:lvl w:ilvl="8">
      <w:start w:val="27"/>
      <w:numFmt w:val="lowerLetter"/>
      <w:pStyle w:val="PR7"/>
      <w:lvlText w:val="%9)"/>
      <w:lvlJc w:val="left"/>
      <w:pPr>
        <w:tabs>
          <w:tab w:val="num" w:pos="3744"/>
        </w:tabs>
        <w:ind w:left="3744" w:hanging="432"/>
      </w:pPr>
      <w:rPr>
        <w:rFonts w:ascii="Arial" w:hAnsi="Arial" w:cs="Times New Roman" w:hint="default"/>
        <w:b w:val="0"/>
        <w:i w:val="0"/>
        <w:sz w:val="20"/>
      </w:rPr>
    </w:lvl>
  </w:abstractNum>
  <w:abstractNum w:abstractNumId="6" w15:restartNumberingAfterBreak="0">
    <w:nsid w:val="135E357E"/>
    <w:multiLevelType w:val="hybridMultilevel"/>
    <w:tmpl w:val="A208AD4A"/>
    <w:lvl w:ilvl="0" w:tplc="661A4C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0"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pStyle w:val="WPPR1"/>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970040"/>
    <w:multiLevelType w:val="hybridMultilevel"/>
    <w:tmpl w:val="B098291A"/>
    <w:lvl w:ilvl="0" w:tplc="661A4C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183332B"/>
    <w:multiLevelType w:val="hybridMultilevel"/>
    <w:tmpl w:val="ED5A4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6D5518D"/>
    <w:multiLevelType w:val="hybridMultilevel"/>
    <w:tmpl w:val="53D0D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9123838"/>
    <w:multiLevelType w:val="hybridMultilevel"/>
    <w:tmpl w:val="F1D8A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74393D"/>
    <w:multiLevelType w:val="hybridMultilevel"/>
    <w:tmpl w:val="59AEC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2C12C3"/>
    <w:multiLevelType w:val="hybridMultilevel"/>
    <w:tmpl w:val="D4DEE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B35344"/>
    <w:multiLevelType w:val="hybridMultilevel"/>
    <w:tmpl w:val="7696D44A"/>
    <w:lvl w:ilvl="0" w:tplc="661A4C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5"/>
  </w:num>
  <w:num w:numId="3">
    <w:abstractNumId w:val="23"/>
  </w:num>
  <w:num w:numId="4">
    <w:abstractNumId w:val="20"/>
  </w:num>
  <w:num w:numId="5">
    <w:abstractNumId w:val="20"/>
  </w:num>
  <w:num w:numId="6">
    <w:abstractNumId w:val="2"/>
  </w:num>
  <w:num w:numId="7">
    <w:abstractNumId w:val="26"/>
  </w:num>
  <w:num w:numId="8">
    <w:abstractNumId w:val="22"/>
  </w:num>
  <w:num w:numId="9">
    <w:abstractNumId w:val="14"/>
  </w:num>
  <w:num w:numId="10">
    <w:abstractNumId w:val="9"/>
  </w:num>
  <w:num w:numId="11">
    <w:abstractNumId w:val="28"/>
  </w:num>
  <w:num w:numId="12">
    <w:abstractNumId w:val="19"/>
  </w:num>
  <w:num w:numId="13">
    <w:abstractNumId w:val="13"/>
  </w:num>
  <w:num w:numId="14">
    <w:abstractNumId w:val="40"/>
  </w:num>
  <w:num w:numId="15">
    <w:abstractNumId w:val="11"/>
  </w:num>
  <w:num w:numId="16">
    <w:abstractNumId w:val="15"/>
  </w:num>
  <w:num w:numId="17">
    <w:abstractNumId w:val="8"/>
  </w:num>
  <w:num w:numId="18">
    <w:abstractNumId w:val="0"/>
  </w:num>
  <w:num w:numId="19">
    <w:abstractNumId w:val="38"/>
  </w:num>
  <w:num w:numId="20">
    <w:abstractNumId w:val="7"/>
  </w:num>
  <w:num w:numId="21">
    <w:abstractNumId w:val="31"/>
  </w:num>
  <w:num w:numId="22">
    <w:abstractNumId w:val="33"/>
  </w:num>
  <w:num w:numId="23">
    <w:abstractNumId w:val="41"/>
  </w:num>
  <w:num w:numId="24">
    <w:abstractNumId w:val="37"/>
  </w:num>
  <w:num w:numId="25">
    <w:abstractNumId w:val="16"/>
  </w:num>
  <w:num w:numId="26">
    <w:abstractNumId w:val="18"/>
  </w:num>
  <w:num w:numId="27">
    <w:abstractNumId w:val="34"/>
  </w:num>
  <w:num w:numId="28">
    <w:abstractNumId w:val="17"/>
  </w:num>
  <w:num w:numId="29">
    <w:abstractNumId w:val="10"/>
  </w:num>
  <w:num w:numId="30">
    <w:abstractNumId w:val="1"/>
  </w:num>
  <w:num w:numId="31">
    <w:abstractNumId w:val="42"/>
  </w:num>
  <w:num w:numId="32">
    <w:abstractNumId w:val="30"/>
  </w:num>
  <w:num w:numId="33">
    <w:abstractNumId w:val="36"/>
  </w:num>
  <w:num w:numId="34">
    <w:abstractNumId w:val="12"/>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29"/>
  </w:num>
  <w:num w:numId="39">
    <w:abstractNumId w:val="39"/>
  </w:num>
  <w:num w:numId="40">
    <w:abstractNumId w:val="6"/>
  </w:num>
  <w:num w:numId="41">
    <w:abstractNumId w:val="21"/>
  </w:num>
  <w:num w:numId="42">
    <w:abstractNumId w:val="24"/>
  </w:num>
  <w:num w:numId="43">
    <w:abstractNumId w:val="32"/>
  </w:num>
  <w:num w:numId="44">
    <w:abstractNumId w:val="35"/>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609"/>
    <w:rsid w:val="00000094"/>
    <w:rsid w:val="000000DD"/>
    <w:rsid w:val="0000081E"/>
    <w:rsid w:val="00001575"/>
    <w:rsid w:val="000016DB"/>
    <w:rsid w:val="000025CF"/>
    <w:rsid w:val="00002FF3"/>
    <w:rsid w:val="000039DB"/>
    <w:rsid w:val="00004FF4"/>
    <w:rsid w:val="00005902"/>
    <w:rsid w:val="0001002B"/>
    <w:rsid w:val="0001007D"/>
    <w:rsid w:val="00010806"/>
    <w:rsid w:val="00012242"/>
    <w:rsid w:val="00012998"/>
    <w:rsid w:val="00013F71"/>
    <w:rsid w:val="0001462F"/>
    <w:rsid w:val="00014A79"/>
    <w:rsid w:val="00015AA4"/>
    <w:rsid w:val="00015D38"/>
    <w:rsid w:val="00016538"/>
    <w:rsid w:val="0001656C"/>
    <w:rsid w:val="00016C5A"/>
    <w:rsid w:val="000173BF"/>
    <w:rsid w:val="00020552"/>
    <w:rsid w:val="00021572"/>
    <w:rsid w:val="0002227D"/>
    <w:rsid w:val="000222A4"/>
    <w:rsid w:val="00024252"/>
    <w:rsid w:val="000245B5"/>
    <w:rsid w:val="0002556A"/>
    <w:rsid w:val="00027183"/>
    <w:rsid w:val="00032AF1"/>
    <w:rsid w:val="00033EA1"/>
    <w:rsid w:val="00034981"/>
    <w:rsid w:val="000353BF"/>
    <w:rsid w:val="00036926"/>
    <w:rsid w:val="00036CB3"/>
    <w:rsid w:val="00036FEE"/>
    <w:rsid w:val="0003710F"/>
    <w:rsid w:val="0003746D"/>
    <w:rsid w:val="000400EE"/>
    <w:rsid w:val="000401F4"/>
    <w:rsid w:val="0004020F"/>
    <w:rsid w:val="0004198F"/>
    <w:rsid w:val="00042D1F"/>
    <w:rsid w:val="000436CB"/>
    <w:rsid w:val="0005029B"/>
    <w:rsid w:val="00051DB6"/>
    <w:rsid w:val="00052E17"/>
    <w:rsid w:val="00056947"/>
    <w:rsid w:val="000608D2"/>
    <w:rsid w:val="00060E27"/>
    <w:rsid w:val="0006170F"/>
    <w:rsid w:val="00061A2D"/>
    <w:rsid w:val="00061A8E"/>
    <w:rsid w:val="00062264"/>
    <w:rsid w:val="000629B1"/>
    <w:rsid w:val="00064CB3"/>
    <w:rsid w:val="00064F4E"/>
    <w:rsid w:val="000651A5"/>
    <w:rsid w:val="000652C2"/>
    <w:rsid w:val="0006605D"/>
    <w:rsid w:val="000669CE"/>
    <w:rsid w:val="0007098D"/>
    <w:rsid w:val="00070BEE"/>
    <w:rsid w:val="00072040"/>
    <w:rsid w:val="00072D69"/>
    <w:rsid w:val="0007386B"/>
    <w:rsid w:val="00076B32"/>
    <w:rsid w:val="00076D8A"/>
    <w:rsid w:val="00076DF4"/>
    <w:rsid w:val="00076F51"/>
    <w:rsid w:val="000774DA"/>
    <w:rsid w:val="000810ED"/>
    <w:rsid w:val="00082427"/>
    <w:rsid w:val="00084205"/>
    <w:rsid w:val="00084F0C"/>
    <w:rsid w:val="00086751"/>
    <w:rsid w:val="00086F7F"/>
    <w:rsid w:val="00087FC0"/>
    <w:rsid w:val="0009074D"/>
    <w:rsid w:val="00093E72"/>
    <w:rsid w:val="00094F9A"/>
    <w:rsid w:val="000957EA"/>
    <w:rsid w:val="0009592B"/>
    <w:rsid w:val="000968C6"/>
    <w:rsid w:val="00097381"/>
    <w:rsid w:val="000A03D0"/>
    <w:rsid w:val="000A2387"/>
    <w:rsid w:val="000A63C9"/>
    <w:rsid w:val="000A6996"/>
    <w:rsid w:val="000B031E"/>
    <w:rsid w:val="000B157F"/>
    <w:rsid w:val="000B1668"/>
    <w:rsid w:val="000B2ADC"/>
    <w:rsid w:val="000B32BB"/>
    <w:rsid w:val="000B3765"/>
    <w:rsid w:val="000B47CF"/>
    <w:rsid w:val="000B4C46"/>
    <w:rsid w:val="000B52CD"/>
    <w:rsid w:val="000B5518"/>
    <w:rsid w:val="000B571B"/>
    <w:rsid w:val="000B655B"/>
    <w:rsid w:val="000C0000"/>
    <w:rsid w:val="000C11B1"/>
    <w:rsid w:val="000C18CC"/>
    <w:rsid w:val="000C2ED7"/>
    <w:rsid w:val="000C36EE"/>
    <w:rsid w:val="000C3E80"/>
    <w:rsid w:val="000C3E8D"/>
    <w:rsid w:val="000C4F20"/>
    <w:rsid w:val="000C687D"/>
    <w:rsid w:val="000C7199"/>
    <w:rsid w:val="000C7ED1"/>
    <w:rsid w:val="000D00B2"/>
    <w:rsid w:val="000D00FE"/>
    <w:rsid w:val="000D1362"/>
    <w:rsid w:val="000D2450"/>
    <w:rsid w:val="000D2ABB"/>
    <w:rsid w:val="000D325E"/>
    <w:rsid w:val="000D33DF"/>
    <w:rsid w:val="000D41B7"/>
    <w:rsid w:val="000D6A3B"/>
    <w:rsid w:val="000D6F43"/>
    <w:rsid w:val="000D789A"/>
    <w:rsid w:val="000E0055"/>
    <w:rsid w:val="000E4B5F"/>
    <w:rsid w:val="000E6F66"/>
    <w:rsid w:val="000E706D"/>
    <w:rsid w:val="000F0CB3"/>
    <w:rsid w:val="000F130A"/>
    <w:rsid w:val="000F2DBE"/>
    <w:rsid w:val="000F415A"/>
    <w:rsid w:val="000F4FD8"/>
    <w:rsid w:val="000F5173"/>
    <w:rsid w:val="000F5840"/>
    <w:rsid w:val="000F7BFA"/>
    <w:rsid w:val="001019A1"/>
    <w:rsid w:val="001027D9"/>
    <w:rsid w:val="00102C99"/>
    <w:rsid w:val="001030B2"/>
    <w:rsid w:val="00103518"/>
    <w:rsid w:val="001035F8"/>
    <w:rsid w:val="00104A49"/>
    <w:rsid w:val="00104B19"/>
    <w:rsid w:val="0010593C"/>
    <w:rsid w:val="001070C1"/>
    <w:rsid w:val="00107242"/>
    <w:rsid w:val="00107E72"/>
    <w:rsid w:val="00110DB3"/>
    <w:rsid w:val="00111CC5"/>
    <w:rsid w:val="00113F12"/>
    <w:rsid w:val="00116294"/>
    <w:rsid w:val="00116FE9"/>
    <w:rsid w:val="001174D5"/>
    <w:rsid w:val="001206F7"/>
    <w:rsid w:val="00121BC4"/>
    <w:rsid w:val="00122012"/>
    <w:rsid w:val="001236C1"/>
    <w:rsid w:val="00123BA4"/>
    <w:rsid w:val="001262D5"/>
    <w:rsid w:val="00127070"/>
    <w:rsid w:val="00127241"/>
    <w:rsid w:val="00131A52"/>
    <w:rsid w:val="001321FA"/>
    <w:rsid w:val="00132C36"/>
    <w:rsid w:val="00132E68"/>
    <w:rsid w:val="001338B4"/>
    <w:rsid w:val="00133EE8"/>
    <w:rsid w:val="00133F04"/>
    <w:rsid w:val="0013441A"/>
    <w:rsid w:val="001346B0"/>
    <w:rsid w:val="00135EE9"/>
    <w:rsid w:val="0014008D"/>
    <w:rsid w:val="0014092F"/>
    <w:rsid w:val="00140B30"/>
    <w:rsid w:val="00141608"/>
    <w:rsid w:val="00142EF2"/>
    <w:rsid w:val="001442D3"/>
    <w:rsid w:val="00144937"/>
    <w:rsid w:val="0014675D"/>
    <w:rsid w:val="00147155"/>
    <w:rsid w:val="001501C4"/>
    <w:rsid w:val="00152112"/>
    <w:rsid w:val="00153353"/>
    <w:rsid w:val="00153CB3"/>
    <w:rsid w:val="00154C3B"/>
    <w:rsid w:val="00155320"/>
    <w:rsid w:val="00155AED"/>
    <w:rsid w:val="00156313"/>
    <w:rsid w:val="00160158"/>
    <w:rsid w:val="0016076D"/>
    <w:rsid w:val="00161C35"/>
    <w:rsid w:val="001633D8"/>
    <w:rsid w:val="00163570"/>
    <w:rsid w:val="001643F1"/>
    <w:rsid w:val="00165357"/>
    <w:rsid w:val="001654C6"/>
    <w:rsid w:val="00167019"/>
    <w:rsid w:val="0016762E"/>
    <w:rsid w:val="0017159E"/>
    <w:rsid w:val="001722B7"/>
    <w:rsid w:val="00172569"/>
    <w:rsid w:val="001727D9"/>
    <w:rsid w:val="00173564"/>
    <w:rsid w:val="00173F97"/>
    <w:rsid w:val="00174AA5"/>
    <w:rsid w:val="00174BB4"/>
    <w:rsid w:val="00175D14"/>
    <w:rsid w:val="00177469"/>
    <w:rsid w:val="00180486"/>
    <w:rsid w:val="0018074F"/>
    <w:rsid w:val="001811EE"/>
    <w:rsid w:val="00185963"/>
    <w:rsid w:val="00185AD4"/>
    <w:rsid w:val="00185DC9"/>
    <w:rsid w:val="0018645A"/>
    <w:rsid w:val="0018648C"/>
    <w:rsid w:val="00186704"/>
    <w:rsid w:val="00186C5F"/>
    <w:rsid w:val="001871A6"/>
    <w:rsid w:val="0019008E"/>
    <w:rsid w:val="001906B6"/>
    <w:rsid w:val="00190A6D"/>
    <w:rsid w:val="00193973"/>
    <w:rsid w:val="001951DC"/>
    <w:rsid w:val="0019543A"/>
    <w:rsid w:val="001954B8"/>
    <w:rsid w:val="001976A8"/>
    <w:rsid w:val="001979AF"/>
    <w:rsid w:val="001A0EB4"/>
    <w:rsid w:val="001A13A0"/>
    <w:rsid w:val="001A1A86"/>
    <w:rsid w:val="001A1CFF"/>
    <w:rsid w:val="001A5F62"/>
    <w:rsid w:val="001A6A2A"/>
    <w:rsid w:val="001A6A7A"/>
    <w:rsid w:val="001A721D"/>
    <w:rsid w:val="001A79D9"/>
    <w:rsid w:val="001B015E"/>
    <w:rsid w:val="001B2301"/>
    <w:rsid w:val="001B38A3"/>
    <w:rsid w:val="001B3A6B"/>
    <w:rsid w:val="001B45DF"/>
    <w:rsid w:val="001B47ED"/>
    <w:rsid w:val="001B4DD2"/>
    <w:rsid w:val="001B5C63"/>
    <w:rsid w:val="001B618B"/>
    <w:rsid w:val="001B7F13"/>
    <w:rsid w:val="001C06E7"/>
    <w:rsid w:val="001C0A0C"/>
    <w:rsid w:val="001C1338"/>
    <w:rsid w:val="001C2582"/>
    <w:rsid w:val="001C2684"/>
    <w:rsid w:val="001C27B2"/>
    <w:rsid w:val="001C2A7C"/>
    <w:rsid w:val="001C3C40"/>
    <w:rsid w:val="001C4140"/>
    <w:rsid w:val="001C5581"/>
    <w:rsid w:val="001C5A94"/>
    <w:rsid w:val="001C7543"/>
    <w:rsid w:val="001D130F"/>
    <w:rsid w:val="001D2317"/>
    <w:rsid w:val="001D2FF9"/>
    <w:rsid w:val="001D3223"/>
    <w:rsid w:val="001D33EF"/>
    <w:rsid w:val="001D34C4"/>
    <w:rsid w:val="001D43ED"/>
    <w:rsid w:val="001D5AB3"/>
    <w:rsid w:val="001D5E1A"/>
    <w:rsid w:val="001E0519"/>
    <w:rsid w:val="001E0829"/>
    <w:rsid w:val="001E0F8E"/>
    <w:rsid w:val="001E1320"/>
    <w:rsid w:val="001E1A86"/>
    <w:rsid w:val="001E32C8"/>
    <w:rsid w:val="001E4773"/>
    <w:rsid w:val="001E556A"/>
    <w:rsid w:val="001E592B"/>
    <w:rsid w:val="001E67E9"/>
    <w:rsid w:val="001F05CE"/>
    <w:rsid w:val="001F1582"/>
    <w:rsid w:val="001F1905"/>
    <w:rsid w:val="001F212F"/>
    <w:rsid w:val="001F23EF"/>
    <w:rsid w:val="001F2ABE"/>
    <w:rsid w:val="001F2B75"/>
    <w:rsid w:val="001F32CB"/>
    <w:rsid w:val="001F4A65"/>
    <w:rsid w:val="001F7021"/>
    <w:rsid w:val="00200A0E"/>
    <w:rsid w:val="00201EC9"/>
    <w:rsid w:val="00205794"/>
    <w:rsid w:val="00205C45"/>
    <w:rsid w:val="002069F2"/>
    <w:rsid w:val="00207EFC"/>
    <w:rsid w:val="0021035B"/>
    <w:rsid w:val="00210D01"/>
    <w:rsid w:val="00211153"/>
    <w:rsid w:val="0021268A"/>
    <w:rsid w:val="00214805"/>
    <w:rsid w:val="0021521F"/>
    <w:rsid w:val="0021583F"/>
    <w:rsid w:val="0021615C"/>
    <w:rsid w:val="002172D0"/>
    <w:rsid w:val="002201CB"/>
    <w:rsid w:val="00220466"/>
    <w:rsid w:val="00220929"/>
    <w:rsid w:val="0022092C"/>
    <w:rsid w:val="002215AC"/>
    <w:rsid w:val="002230B3"/>
    <w:rsid w:val="00223A86"/>
    <w:rsid w:val="00227AAD"/>
    <w:rsid w:val="00227F3C"/>
    <w:rsid w:val="002317A4"/>
    <w:rsid w:val="002321DE"/>
    <w:rsid w:val="0023254A"/>
    <w:rsid w:val="00232A8C"/>
    <w:rsid w:val="002344FB"/>
    <w:rsid w:val="00235BA5"/>
    <w:rsid w:val="00236216"/>
    <w:rsid w:val="00236C75"/>
    <w:rsid w:val="00237DC9"/>
    <w:rsid w:val="002405CD"/>
    <w:rsid w:val="00240B74"/>
    <w:rsid w:val="002414B8"/>
    <w:rsid w:val="00243B62"/>
    <w:rsid w:val="00244F95"/>
    <w:rsid w:val="00245802"/>
    <w:rsid w:val="00246753"/>
    <w:rsid w:val="0024675B"/>
    <w:rsid w:val="002469DD"/>
    <w:rsid w:val="00247180"/>
    <w:rsid w:val="0024738B"/>
    <w:rsid w:val="00247694"/>
    <w:rsid w:val="00254671"/>
    <w:rsid w:val="00255760"/>
    <w:rsid w:val="00255D6E"/>
    <w:rsid w:val="00257D36"/>
    <w:rsid w:val="002622B8"/>
    <w:rsid w:val="0026242D"/>
    <w:rsid w:val="00263C1C"/>
    <w:rsid w:val="002654BB"/>
    <w:rsid w:val="002675A0"/>
    <w:rsid w:val="00271415"/>
    <w:rsid w:val="0027437D"/>
    <w:rsid w:val="00274978"/>
    <w:rsid w:val="00274FBE"/>
    <w:rsid w:val="002755F3"/>
    <w:rsid w:val="00275EEB"/>
    <w:rsid w:val="002762E1"/>
    <w:rsid w:val="00276BCB"/>
    <w:rsid w:val="002776D2"/>
    <w:rsid w:val="00280296"/>
    <w:rsid w:val="002804FB"/>
    <w:rsid w:val="002811BC"/>
    <w:rsid w:val="00282D7A"/>
    <w:rsid w:val="00283DE8"/>
    <w:rsid w:val="002851B6"/>
    <w:rsid w:val="00285225"/>
    <w:rsid w:val="00285552"/>
    <w:rsid w:val="00285966"/>
    <w:rsid w:val="00285A0D"/>
    <w:rsid w:val="00290C28"/>
    <w:rsid w:val="00290ED8"/>
    <w:rsid w:val="00292A49"/>
    <w:rsid w:val="00296B49"/>
    <w:rsid w:val="002A03FC"/>
    <w:rsid w:val="002A07D6"/>
    <w:rsid w:val="002A1843"/>
    <w:rsid w:val="002A3D26"/>
    <w:rsid w:val="002A4306"/>
    <w:rsid w:val="002A523E"/>
    <w:rsid w:val="002A597E"/>
    <w:rsid w:val="002B1ADF"/>
    <w:rsid w:val="002B2089"/>
    <w:rsid w:val="002B502E"/>
    <w:rsid w:val="002B657B"/>
    <w:rsid w:val="002C2853"/>
    <w:rsid w:val="002C2D5B"/>
    <w:rsid w:val="002C444C"/>
    <w:rsid w:val="002C458F"/>
    <w:rsid w:val="002C57DE"/>
    <w:rsid w:val="002C58D0"/>
    <w:rsid w:val="002C61E5"/>
    <w:rsid w:val="002C6C20"/>
    <w:rsid w:val="002C6C7A"/>
    <w:rsid w:val="002C7F78"/>
    <w:rsid w:val="002D28B1"/>
    <w:rsid w:val="002D3FAF"/>
    <w:rsid w:val="002D5277"/>
    <w:rsid w:val="002D56F4"/>
    <w:rsid w:val="002D5EF4"/>
    <w:rsid w:val="002D6015"/>
    <w:rsid w:val="002D67DB"/>
    <w:rsid w:val="002D71FA"/>
    <w:rsid w:val="002D73AF"/>
    <w:rsid w:val="002D7D67"/>
    <w:rsid w:val="002D7EBF"/>
    <w:rsid w:val="002E1AA7"/>
    <w:rsid w:val="002E24C3"/>
    <w:rsid w:val="002E4B32"/>
    <w:rsid w:val="002E4FD9"/>
    <w:rsid w:val="002E5A5D"/>
    <w:rsid w:val="002E5B58"/>
    <w:rsid w:val="002E7E5A"/>
    <w:rsid w:val="002F05CE"/>
    <w:rsid w:val="002F0960"/>
    <w:rsid w:val="002F13F6"/>
    <w:rsid w:val="002F1437"/>
    <w:rsid w:val="002F1E73"/>
    <w:rsid w:val="002F3767"/>
    <w:rsid w:val="002F3943"/>
    <w:rsid w:val="002F41B5"/>
    <w:rsid w:val="002F4E34"/>
    <w:rsid w:val="002F5551"/>
    <w:rsid w:val="002F6A42"/>
    <w:rsid w:val="002F79E7"/>
    <w:rsid w:val="003003EC"/>
    <w:rsid w:val="00301146"/>
    <w:rsid w:val="00301391"/>
    <w:rsid w:val="0030157E"/>
    <w:rsid w:val="00301FA5"/>
    <w:rsid w:val="003035E3"/>
    <w:rsid w:val="0030363A"/>
    <w:rsid w:val="00303E7C"/>
    <w:rsid w:val="00310441"/>
    <w:rsid w:val="00311912"/>
    <w:rsid w:val="003134BA"/>
    <w:rsid w:val="00313AD5"/>
    <w:rsid w:val="00313E1E"/>
    <w:rsid w:val="00313F9F"/>
    <w:rsid w:val="00314512"/>
    <w:rsid w:val="003146F5"/>
    <w:rsid w:val="00314753"/>
    <w:rsid w:val="00317970"/>
    <w:rsid w:val="00317ABD"/>
    <w:rsid w:val="00317EB0"/>
    <w:rsid w:val="00321C3C"/>
    <w:rsid w:val="003220F1"/>
    <w:rsid w:val="003223A1"/>
    <w:rsid w:val="0032392A"/>
    <w:rsid w:val="003250FA"/>
    <w:rsid w:val="00331048"/>
    <w:rsid w:val="0033234F"/>
    <w:rsid w:val="00332700"/>
    <w:rsid w:val="003358BD"/>
    <w:rsid w:val="003371D1"/>
    <w:rsid w:val="0033799A"/>
    <w:rsid w:val="00337C1E"/>
    <w:rsid w:val="00337F5C"/>
    <w:rsid w:val="003402BB"/>
    <w:rsid w:val="003408B9"/>
    <w:rsid w:val="003412BD"/>
    <w:rsid w:val="00342A47"/>
    <w:rsid w:val="003441AB"/>
    <w:rsid w:val="00344E88"/>
    <w:rsid w:val="00345D80"/>
    <w:rsid w:val="003467F0"/>
    <w:rsid w:val="003471D4"/>
    <w:rsid w:val="00347C43"/>
    <w:rsid w:val="00350BF1"/>
    <w:rsid w:val="00351609"/>
    <w:rsid w:val="00352BDD"/>
    <w:rsid w:val="00353846"/>
    <w:rsid w:val="00353C49"/>
    <w:rsid w:val="003540B1"/>
    <w:rsid w:val="0035444E"/>
    <w:rsid w:val="00355729"/>
    <w:rsid w:val="003557E9"/>
    <w:rsid w:val="00356038"/>
    <w:rsid w:val="003560BA"/>
    <w:rsid w:val="0036037A"/>
    <w:rsid w:val="00360F67"/>
    <w:rsid w:val="00361270"/>
    <w:rsid w:val="003630D7"/>
    <w:rsid w:val="00364CC6"/>
    <w:rsid w:val="003650F6"/>
    <w:rsid w:val="00365380"/>
    <w:rsid w:val="0036569E"/>
    <w:rsid w:val="00366553"/>
    <w:rsid w:val="0036726C"/>
    <w:rsid w:val="00367E80"/>
    <w:rsid w:val="00370D4B"/>
    <w:rsid w:val="00372231"/>
    <w:rsid w:val="00372BE3"/>
    <w:rsid w:val="00373B4A"/>
    <w:rsid w:val="00373B4E"/>
    <w:rsid w:val="00374849"/>
    <w:rsid w:val="003748E5"/>
    <w:rsid w:val="003759AA"/>
    <w:rsid w:val="00375A56"/>
    <w:rsid w:val="003761B2"/>
    <w:rsid w:val="00380D57"/>
    <w:rsid w:val="003830FD"/>
    <w:rsid w:val="003832D2"/>
    <w:rsid w:val="00383B9D"/>
    <w:rsid w:val="00383D2C"/>
    <w:rsid w:val="003845E5"/>
    <w:rsid w:val="00385AED"/>
    <w:rsid w:val="00391B6D"/>
    <w:rsid w:val="003926EF"/>
    <w:rsid w:val="00393137"/>
    <w:rsid w:val="00393661"/>
    <w:rsid w:val="00394FD1"/>
    <w:rsid w:val="00397406"/>
    <w:rsid w:val="003A23FC"/>
    <w:rsid w:val="003A3170"/>
    <w:rsid w:val="003A325D"/>
    <w:rsid w:val="003A360E"/>
    <w:rsid w:val="003A4A6D"/>
    <w:rsid w:val="003A4E7D"/>
    <w:rsid w:val="003A5ECA"/>
    <w:rsid w:val="003B1DE4"/>
    <w:rsid w:val="003B2CCF"/>
    <w:rsid w:val="003B3E41"/>
    <w:rsid w:val="003B4068"/>
    <w:rsid w:val="003B55BE"/>
    <w:rsid w:val="003B582E"/>
    <w:rsid w:val="003B7423"/>
    <w:rsid w:val="003C3BF2"/>
    <w:rsid w:val="003C52B5"/>
    <w:rsid w:val="003C7359"/>
    <w:rsid w:val="003C78BB"/>
    <w:rsid w:val="003D17A3"/>
    <w:rsid w:val="003D17FF"/>
    <w:rsid w:val="003D2871"/>
    <w:rsid w:val="003D2978"/>
    <w:rsid w:val="003D3939"/>
    <w:rsid w:val="003D3B28"/>
    <w:rsid w:val="003D44A2"/>
    <w:rsid w:val="003D4530"/>
    <w:rsid w:val="003D508E"/>
    <w:rsid w:val="003D5B83"/>
    <w:rsid w:val="003D6759"/>
    <w:rsid w:val="003D7340"/>
    <w:rsid w:val="003E0C3F"/>
    <w:rsid w:val="003E25B7"/>
    <w:rsid w:val="003E3B83"/>
    <w:rsid w:val="003E6E47"/>
    <w:rsid w:val="003F0623"/>
    <w:rsid w:val="003F1298"/>
    <w:rsid w:val="003F27AA"/>
    <w:rsid w:val="003F33DE"/>
    <w:rsid w:val="003F3A41"/>
    <w:rsid w:val="003F3B9C"/>
    <w:rsid w:val="003F4849"/>
    <w:rsid w:val="003F492A"/>
    <w:rsid w:val="003F4F84"/>
    <w:rsid w:val="003F534B"/>
    <w:rsid w:val="003F67E9"/>
    <w:rsid w:val="00401031"/>
    <w:rsid w:val="004023B7"/>
    <w:rsid w:val="00402BF7"/>
    <w:rsid w:val="0040321F"/>
    <w:rsid w:val="00403C14"/>
    <w:rsid w:val="004045A0"/>
    <w:rsid w:val="00405ED7"/>
    <w:rsid w:val="0040638C"/>
    <w:rsid w:val="00407FA0"/>
    <w:rsid w:val="00413C4F"/>
    <w:rsid w:val="00413CDB"/>
    <w:rsid w:val="00414D67"/>
    <w:rsid w:val="004153FD"/>
    <w:rsid w:val="00417EE4"/>
    <w:rsid w:val="00417EF5"/>
    <w:rsid w:val="004200FE"/>
    <w:rsid w:val="00420783"/>
    <w:rsid w:val="00421183"/>
    <w:rsid w:val="004213DB"/>
    <w:rsid w:val="00421BA6"/>
    <w:rsid w:val="00421C17"/>
    <w:rsid w:val="00423497"/>
    <w:rsid w:val="00424263"/>
    <w:rsid w:val="00425D5A"/>
    <w:rsid w:val="00425D77"/>
    <w:rsid w:val="00426079"/>
    <w:rsid w:val="00426CDE"/>
    <w:rsid w:val="00431798"/>
    <w:rsid w:val="004320FC"/>
    <w:rsid w:val="00433EA1"/>
    <w:rsid w:val="004342CD"/>
    <w:rsid w:val="00434D0A"/>
    <w:rsid w:val="004351A0"/>
    <w:rsid w:val="0043552B"/>
    <w:rsid w:val="0043554E"/>
    <w:rsid w:val="00437508"/>
    <w:rsid w:val="00441957"/>
    <w:rsid w:val="0044357B"/>
    <w:rsid w:val="00443D32"/>
    <w:rsid w:val="00445DB2"/>
    <w:rsid w:val="004469DD"/>
    <w:rsid w:val="00446E54"/>
    <w:rsid w:val="004476B2"/>
    <w:rsid w:val="00447CE5"/>
    <w:rsid w:val="00447D6E"/>
    <w:rsid w:val="0045048F"/>
    <w:rsid w:val="00450963"/>
    <w:rsid w:val="0045181B"/>
    <w:rsid w:val="00451D1A"/>
    <w:rsid w:val="00452133"/>
    <w:rsid w:val="004528D2"/>
    <w:rsid w:val="00452A07"/>
    <w:rsid w:val="00452C7A"/>
    <w:rsid w:val="00452D55"/>
    <w:rsid w:val="004538D5"/>
    <w:rsid w:val="00453D31"/>
    <w:rsid w:val="004547D2"/>
    <w:rsid w:val="0045529E"/>
    <w:rsid w:val="00456B53"/>
    <w:rsid w:val="004570A5"/>
    <w:rsid w:val="00457319"/>
    <w:rsid w:val="004606C3"/>
    <w:rsid w:val="004615B1"/>
    <w:rsid w:val="0046286E"/>
    <w:rsid w:val="0046439E"/>
    <w:rsid w:val="00464BDA"/>
    <w:rsid w:val="004666D5"/>
    <w:rsid w:val="004673A2"/>
    <w:rsid w:val="00467F18"/>
    <w:rsid w:val="00471234"/>
    <w:rsid w:val="0047154F"/>
    <w:rsid w:val="0047207D"/>
    <w:rsid w:val="00472250"/>
    <w:rsid w:val="00473036"/>
    <w:rsid w:val="0047437C"/>
    <w:rsid w:val="00475B82"/>
    <w:rsid w:val="0047601D"/>
    <w:rsid w:val="00476E07"/>
    <w:rsid w:val="0047724A"/>
    <w:rsid w:val="00477522"/>
    <w:rsid w:val="00480495"/>
    <w:rsid w:val="00480CA1"/>
    <w:rsid w:val="00480E7B"/>
    <w:rsid w:val="00482057"/>
    <w:rsid w:val="004820BE"/>
    <w:rsid w:val="004826F6"/>
    <w:rsid w:val="004827D7"/>
    <w:rsid w:val="0048438C"/>
    <w:rsid w:val="004843E5"/>
    <w:rsid w:val="004847F0"/>
    <w:rsid w:val="00484A43"/>
    <w:rsid w:val="00484BF6"/>
    <w:rsid w:val="0049052C"/>
    <w:rsid w:val="00492351"/>
    <w:rsid w:val="00492A57"/>
    <w:rsid w:val="00492F8C"/>
    <w:rsid w:val="00492FFA"/>
    <w:rsid w:val="00493457"/>
    <w:rsid w:val="00494628"/>
    <w:rsid w:val="0049529F"/>
    <w:rsid w:val="004955FD"/>
    <w:rsid w:val="0049566B"/>
    <w:rsid w:val="00495D42"/>
    <w:rsid w:val="00496351"/>
    <w:rsid w:val="00497338"/>
    <w:rsid w:val="00497E6A"/>
    <w:rsid w:val="004A1407"/>
    <w:rsid w:val="004A163A"/>
    <w:rsid w:val="004A1650"/>
    <w:rsid w:val="004A2A07"/>
    <w:rsid w:val="004A48B9"/>
    <w:rsid w:val="004A6EED"/>
    <w:rsid w:val="004A73C9"/>
    <w:rsid w:val="004B047B"/>
    <w:rsid w:val="004B1021"/>
    <w:rsid w:val="004B1184"/>
    <w:rsid w:val="004B2682"/>
    <w:rsid w:val="004B2CA1"/>
    <w:rsid w:val="004B30AC"/>
    <w:rsid w:val="004B4A3A"/>
    <w:rsid w:val="004B4CAB"/>
    <w:rsid w:val="004B5933"/>
    <w:rsid w:val="004B5CE5"/>
    <w:rsid w:val="004B750E"/>
    <w:rsid w:val="004C025F"/>
    <w:rsid w:val="004C2244"/>
    <w:rsid w:val="004C2394"/>
    <w:rsid w:val="004C23F1"/>
    <w:rsid w:val="004C2803"/>
    <w:rsid w:val="004C2ACE"/>
    <w:rsid w:val="004C3DE9"/>
    <w:rsid w:val="004C526B"/>
    <w:rsid w:val="004C6632"/>
    <w:rsid w:val="004D069A"/>
    <w:rsid w:val="004D52DD"/>
    <w:rsid w:val="004D54E9"/>
    <w:rsid w:val="004D7C03"/>
    <w:rsid w:val="004D7E74"/>
    <w:rsid w:val="004E01F5"/>
    <w:rsid w:val="004E12FB"/>
    <w:rsid w:val="004E257D"/>
    <w:rsid w:val="004E297E"/>
    <w:rsid w:val="004E3DE1"/>
    <w:rsid w:val="004E6667"/>
    <w:rsid w:val="004E6B8F"/>
    <w:rsid w:val="004E7240"/>
    <w:rsid w:val="004E76CA"/>
    <w:rsid w:val="004F0CCD"/>
    <w:rsid w:val="004F0EB0"/>
    <w:rsid w:val="004F1698"/>
    <w:rsid w:val="004F1D9F"/>
    <w:rsid w:val="004F3249"/>
    <w:rsid w:val="004F408B"/>
    <w:rsid w:val="004F4C12"/>
    <w:rsid w:val="004F5918"/>
    <w:rsid w:val="004F5B32"/>
    <w:rsid w:val="004F762E"/>
    <w:rsid w:val="00500C4E"/>
    <w:rsid w:val="00501ACC"/>
    <w:rsid w:val="005024AD"/>
    <w:rsid w:val="00503056"/>
    <w:rsid w:val="0050331C"/>
    <w:rsid w:val="005057D7"/>
    <w:rsid w:val="00505CEC"/>
    <w:rsid w:val="00507052"/>
    <w:rsid w:val="0050746F"/>
    <w:rsid w:val="00507617"/>
    <w:rsid w:val="00510118"/>
    <w:rsid w:val="0051020F"/>
    <w:rsid w:val="005102D5"/>
    <w:rsid w:val="00510772"/>
    <w:rsid w:val="00513CAB"/>
    <w:rsid w:val="0051422D"/>
    <w:rsid w:val="005159FA"/>
    <w:rsid w:val="00516CF5"/>
    <w:rsid w:val="00516DA4"/>
    <w:rsid w:val="00520C16"/>
    <w:rsid w:val="00522DF8"/>
    <w:rsid w:val="0052326E"/>
    <w:rsid w:val="00523597"/>
    <w:rsid w:val="00523736"/>
    <w:rsid w:val="005242C9"/>
    <w:rsid w:val="00526477"/>
    <w:rsid w:val="00531B82"/>
    <w:rsid w:val="00532530"/>
    <w:rsid w:val="005347AE"/>
    <w:rsid w:val="00535CA4"/>
    <w:rsid w:val="005411C9"/>
    <w:rsid w:val="00542C76"/>
    <w:rsid w:val="005445E4"/>
    <w:rsid w:val="005446A2"/>
    <w:rsid w:val="005467A3"/>
    <w:rsid w:val="005475C8"/>
    <w:rsid w:val="005476F6"/>
    <w:rsid w:val="005500D5"/>
    <w:rsid w:val="0055122F"/>
    <w:rsid w:val="005517A0"/>
    <w:rsid w:val="00551D72"/>
    <w:rsid w:val="005532CA"/>
    <w:rsid w:val="005540B6"/>
    <w:rsid w:val="005552C3"/>
    <w:rsid w:val="00555624"/>
    <w:rsid w:val="005556A5"/>
    <w:rsid w:val="005572C3"/>
    <w:rsid w:val="005579EC"/>
    <w:rsid w:val="00560934"/>
    <w:rsid w:val="005627F5"/>
    <w:rsid w:val="00562CBE"/>
    <w:rsid w:val="00563E58"/>
    <w:rsid w:val="00564960"/>
    <w:rsid w:val="005653C5"/>
    <w:rsid w:val="00565553"/>
    <w:rsid w:val="0056733B"/>
    <w:rsid w:val="00570654"/>
    <w:rsid w:val="00570F38"/>
    <w:rsid w:val="00571D85"/>
    <w:rsid w:val="005720F2"/>
    <w:rsid w:val="0057237E"/>
    <w:rsid w:val="00572498"/>
    <w:rsid w:val="005729C8"/>
    <w:rsid w:val="00572D2F"/>
    <w:rsid w:val="005734A4"/>
    <w:rsid w:val="00573903"/>
    <w:rsid w:val="00575536"/>
    <w:rsid w:val="00575DF9"/>
    <w:rsid w:val="00580170"/>
    <w:rsid w:val="00580961"/>
    <w:rsid w:val="00580D28"/>
    <w:rsid w:val="00583C83"/>
    <w:rsid w:val="00583EE6"/>
    <w:rsid w:val="0058550A"/>
    <w:rsid w:val="00590356"/>
    <w:rsid w:val="00590E4D"/>
    <w:rsid w:val="00591268"/>
    <w:rsid w:val="0059170C"/>
    <w:rsid w:val="0059403B"/>
    <w:rsid w:val="00594EF5"/>
    <w:rsid w:val="00596787"/>
    <w:rsid w:val="005A0E53"/>
    <w:rsid w:val="005A1078"/>
    <w:rsid w:val="005A13A8"/>
    <w:rsid w:val="005A172E"/>
    <w:rsid w:val="005A3F73"/>
    <w:rsid w:val="005A4658"/>
    <w:rsid w:val="005A496B"/>
    <w:rsid w:val="005A619B"/>
    <w:rsid w:val="005A7A38"/>
    <w:rsid w:val="005B03BB"/>
    <w:rsid w:val="005B1B76"/>
    <w:rsid w:val="005B28C1"/>
    <w:rsid w:val="005B3153"/>
    <w:rsid w:val="005B5ABD"/>
    <w:rsid w:val="005B5CA4"/>
    <w:rsid w:val="005B613D"/>
    <w:rsid w:val="005B6344"/>
    <w:rsid w:val="005B6E5E"/>
    <w:rsid w:val="005B6FA0"/>
    <w:rsid w:val="005B7E25"/>
    <w:rsid w:val="005C0333"/>
    <w:rsid w:val="005C1C74"/>
    <w:rsid w:val="005C2998"/>
    <w:rsid w:val="005C2E48"/>
    <w:rsid w:val="005C3F23"/>
    <w:rsid w:val="005C628F"/>
    <w:rsid w:val="005C6F53"/>
    <w:rsid w:val="005C711F"/>
    <w:rsid w:val="005C7CE6"/>
    <w:rsid w:val="005D4DD7"/>
    <w:rsid w:val="005D69C6"/>
    <w:rsid w:val="005D7B84"/>
    <w:rsid w:val="005E0112"/>
    <w:rsid w:val="005E12A9"/>
    <w:rsid w:val="005E2262"/>
    <w:rsid w:val="005E2E71"/>
    <w:rsid w:val="005E40A9"/>
    <w:rsid w:val="005E446C"/>
    <w:rsid w:val="005E7167"/>
    <w:rsid w:val="005E7F57"/>
    <w:rsid w:val="005F139E"/>
    <w:rsid w:val="005F2851"/>
    <w:rsid w:val="005F419B"/>
    <w:rsid w:val="005F69D5"/>
    <w:rsid w:val="005F7231"/>
    <w:rsid w:val="005F7A92"/>
    <w:rsid w:val="0060002B"/>
    <w:rsid w:val="00602799"/>
    <w:rsid w:val="00602F18"/>
    <w:rsid w:val="00604401"/>
    <w:rsid w:val="00604CC0"/>
    <w:rsid w:val="00604D9E"/>
    <w:rsid w:val="0060589A"/>
    <w:rsid w:val="00607C30"/>
    <w:rsid w:val="0061078F"/>
    <w:rsid w:val="006110F3"/>
    <w:rsid w:val="00611B87"/>
    <w:rsid w:val="00612041"/>
    <w:rsid w:val="00614AFF"/>
    <w:rsid w:val="00615D55"/>
    <w:rsid w:val="00616B0A"/>
    <w:rsid w:val="00616CF6"/>
    <w:rsid w:val="00621ABA"/>
    <w:rsid w:val="00622122"/>
    <w:rsid w:val="0062322A"/>
    <w:rsid w:val="0062629F"/>
    <w:rsid w:val="00631157"/>
    <w:rsid w:val="0063437B"/>
    <w:rsid w:val="00635991"/>
    <w:rsid w:val="006364E2"/>
    <w:rsid w:val="00636702"/>
    <w:rsid w:val="00636EEA"/>
    <w:rsid w:val="0063704E"/>
    <w:rsid w:val="006404E6"/>
    <w:rsid w:val="006445C7"/>
    <w:rsid w:val="00644ACA"/>
    <w:rsid w:val="006467D8"/>
    <w:rsid w:val="0064680F"/>
    <w:rsid w:val="0064729D"/>
    <w:rsid w:val="00647307"/>
    <w:rsid w:val="006479E8"/>
    <w:rsid w:val="00647ABE"/>
    <w:rsid w:val="0065022A"/>
    <w:rsid w:val="006516BA"/>
    <w:rsid w:val="00651C9D"/>
    <w:rsid w:val="0065261C"/>
    <w:rsid w:val="00652812"/>
    <w:rsid w:val="00652C3E"/>
    <w:rsid w:val="0065348B"/>
    <w:rsid w:val="006538AA"/>
    <w:rsid w:val="0065463A"/>
    <w:rsid w:val="006554D3"/>
    <w:rsid w:val="00655D2C"/>
    <w:rsid w:val="00660937"/>
    <w:rsid w:val="00662015"/>
    <w:rsid w:val="006644B2"/>
    <w:rsid w:val="00664B05"/>
    <w:rsid w:val="00664BCD"/>
    <w:rsid w:val="006654BD"/>
    <w:rsid w:val="00665AF2"/>
    <w:rsid w:val="00665C04"/>
    <w:rsid w:val="0066682D"/>
    <w:rsid w:val="00666850"/>
    <w:rsid w:val="00666E35"/>
    <w:rsid w:val="006677D9"/>
    <w:rsid w:val="006702C1"/>
    <w:rsid w:val="006706A9"/>
    <w:rsid w:val="00671B6E"/>
    <w:rsid w:val="006725EC"/>
    <w:rsid w:val="00672D01"/>
    <w:rsid w:val="006746FE"/>
    <w:rsid w:val="0067513D"/>
    <w:rsid w:val="006758B4"/>
    <w:rsid w:val="00675C03"/>
    <w:rsid w:val="00676E9F"/>
    <w:rsid w:val="006773C7"/>
    <w:rsid w:val="00680934"/>
    <w:rsid w:val="0068351B"/>
    <w:rsid w:val="006837AB"/>
    <w:rsid w:val="006838AE"/>
    <w:rsid w:val="006847A3"/>
    <w:rsid w:val="00684ADA"/>
    <w:rsid w:val="00685D5C"/>
    <w:rsid w:val="00691C98"/>
    <w:rsid w:val="006922C1"/>
    <w:rsid w:val="0069264D"/>
    <w:rsid w:val="0069358A"/>
    <w:rsid w:val="0069435D"/>
    <w:rsid w:val="006947CC"/>
    <w:rsid w:val="0069578B"/>
    <w:rsid w:val="00695A9A"/>
    <w:rsid w:val="00695D5D"/>
    <w:rsid w:val="00695D64"/>
    <w:rsid w:val="00696131"/>
    <w:rsid w:val="006970FE"/>
    <w:rsid w:val="00697868"/>
    <w:rsid w:val="00697B6D"/>
    <w:rsid w:val="00697CCB"/>
    <w:rsid w:val="006A0130"/>
    <w:rsid w:val="006A055F"/>
    <w:rsid w:val="006A126F"/>
    <w:rsid w:val="006A14E9"/>
    <w:rsid w:val="006A1D0E"/>
    <w:rsid w:val="006A1FB5"/>
    <w:rsid w:val="006A28BF"/>
    <w:rsid w:val="006A2A65"/>
    <w:rsid w:val="006A5293"/>
    <w:rsid w:val="006A63F7"/>
    <w:rsid w:val="006A67E4"/>
    <w:rsid w:val="006A6D15"/>
    <w:rsid w:val="006A7163"/>
    <w:rsid w:val="006B0DF3"/>
    <w:rsid w:val="006B0F11"/>
    <w:rsid w:val="006B2722"/>
    <w:rsid w:val="006B27FA"/>
    <w:rsid w:val="006B35E1"/>
    <w:rsid w:val="006B43C0"/>
    <w:rsid w:val="006B4A48"/>
    <w:rsid w:val="006B7A30"/>
    <w:rsid w:val="006C111B"/>
    <w:rsid w:val="006C234A"/>
    <w:rsid w:val="006C2C01"/>
    <w:rsid w:val="006C2C55"/>
    <w:rsid w:val="006C430A"/>
    <w:rsid w:val="006D07A3"/>
    <w:rsid w:val="006D125D"/>
    <w:rsid w:val="006D1529"/>
    <w:rsid w:val="006D2809"/>
    <w:rsid w:val="006D64D8"/>
    <w:rsid w:val="006D68DC"/>
    <w:rsid w:val="006D6935"/>
    <w:rsid w:val="006D7150"/>
    <w:rsid w:val="006D7DBC"/>
    <w:rsid w:val="006E0407"/>
    <w:rsid w:val="006E0508"/>
    <w:rsid w:val="006E1704"/>
    <w:rsid w:val="006E27A3"/>
    <w:rsid w:val="006E3342"/>
    <w:rsid w:val="006E33B1"/>
    <w:rsid w:val="006E490B"/>
    <w:rsid w:val="006E4B12"/>
    <w:rsid w:val="006E4B26"/>
    <w:rsid w:val="006E5509"/>
    <w:rsid w:val="006E65D0"/>
    <w:rsid w:val="006E6BA8"/>
    <w:rsid w:val="006E7CF6"/>
    <w:rsid w:val="006F040F"/>
    <w:rsid w:val="006F0521"/>
    <w:rsid w:val="006F0791"/>
    <w:rsid w:val="006F1B21"/>
    <w:rsid w:val="006F21E8"/>
    <w:rsid w:val="006F2D32"/>
    <w:rsid w:val="006F2DEF"/>
    <w:rsid w:val="006F36AB"/>
    <w:rsid w:val="006F4B45"/>
    <w:rsid w:val="006F4BAB"/>
    <w:rsid w:val="006F5FD9"/>
    <w:rsid w:val="006F61C6"/>
    <w:rsid w:val="006F6632"/>
    <w:rsid w:val="006F6D6A"/>
    <w:rsid w:val="006F78D5"/>
    <w:rsid w:val="006F7DDA"/>
    <w:rsid w:val="0070091B"/>
    <w:rsid w:val="00700D49"/>
    <w:rsid w:val="007013CC"/>
    <w:rsid w:val="0070214C"/>
    <w:rsid w:val="00703002"/>
    <w:rsid w:val="007037D1"/>
    <w:rsid w:val="00704414"/>
    <w:rsid w:val="007048AC"/>
    <w:rsid w:val="00704F38"/>
    <w:rsid w:val="00706118"/>
    <w:rsid w:val="0071030A"/>
    <w:rsid w:val="00713080"/>
    <w:rsid w:val="00716AFC"/>
    <w:rsid w:val="00717EB3"/>
    <w:rsid w:val="0072022C"/>
    <w:rsid w:val="0072514E"/>
    <w:rsid w:val="00726338"/>
    <w:rsid w:val="00726AD5"/>
    <w:rsid w:val="0072737A"/>
    <w:rsid w:val="00727890"/>
    <w:rsid w:val="00730A9A"/>
    <w:rsid w:val="00731F2A"/>
    <w:rsid w:val="00731F2B"/>
    <w:rsid w:val="00732B6E"/>
    <w:rsid w:val="00733C7D"/>
    <w:rsid w:val="0073596E"/>
    <w:rsid w:val="00737352"/>
    <w:rsid w:val="00740761"/>
    <w:rsid w:val="0074216A"/>
    <w:rsid w:val="0074229C"/>
    <w:rsid w:val="00744B18"/>
    <w:rsid w:val="00745F77"/>
    <w:rsid w:val="007464DE"/>
    <w:rsid w:val="00746919"/>
    <w:rsid w:val="00747CFB"/>
    <w:rsid w:val="0075197E"/>
    <w:rsid w:val="00752273"/>
    <w:rsid w:val="00752402"/>
    <w:rsid w:val="0075281D"/>
    <w:rsid w:val="00752884"/>
    <w:rsid w:val="007529EA"/>
    <w:rsid w:val="0075408D"/>
    <w:rsid w:val="007552AB"/>
    <w:rsid w:val="00755A45"/>
    <w:rsid w:val="00760AE1"/>
    <w:rsid w:val="00760CDC"/>
    <w:rsid w:val="00761209"/>
    <w:rsid w:val="00761416"/>
    <w:rsid w:val="007618B0"/>
    <w:rsid w:val="00761E00"/>
    <w:rsid w:val="0076207E"/>
    <w:rsid w:val="00763D1A"/>
    <w:rsid w:val="00764D0D"/>
    <w:rsid w:val="00764E1E"/>
    <w:rsid w:val="00765DD2"/>
    <w:rsid w:val="0076671A"/>
    <w:rsid w:val="007673AA"/>
    <w:rsid w:val="00767A62"/>
    <w:rsid w:val="00772400"/>
    <w:rsid w:val="00772DB0"/>
    <w:rsid w:val="00777C53"/>
    <w:rsid w:val="007859F6"/>
    <w:rsid w:val="007861A1"/>
    <w:rsid w:val="00786E92"/>
    <w:rsid w:val="00787103"/>
    <w:rsid w:val="00790B37"/>
    <w:rsid w:val="007914CD"/>
    <w:rsid w:val="00792F55"/>
    <w:rsid w:val="007933F1"/>
    <w:rsid w:val="00793C43"/>
    <w:rsid w:val="0079613C"/>
    <w:rsid w:val="007A017F"/>
    <w:rsid w:val="007A1B15"/>
    <w:rsid w:val="007A3297"/>
    <w:rsid w:val="007A5F52"/>
    <w:rsid w:val="007A65FC"/>
    <w:rsid w:val="007A6B23"/>
    <w:rsid w:val="007A707C"/>
    <w:rsid w:val="007A74FC"/>
    <w:rsid w:val="007B04B8"/>
    <w:rsid w:val="007B090A"/>
    <w:rsid w:val="007B2C46"/>
    <w:rsid w:val="007B3560"/>
    <w:rsid w:val="007C15E3"/>
    <w:rsid w:val="007C3142"/>
    <w:rsid w:val="007C4B08"/>
    <w:rsid w:val="007C7C22"/>
    <w:rsid w:val="007D2406"/>
    <w:rsid w:val="007D26E7"/>
    <w:rsid w:val="007D2ECA"/>
    <w:rsid w:val="007D31F0"/>
    <w:rsid w:val="007D3E24"/>
    <w:rsid w:val="007D4004"/>
    <w:rsid w:val="007D5517"/>
    <w:rsid w:val="007D72DD"/>
    <w:rsid w:val="007D7425"/>
    <w:rsid w:val="007D7579"/>
    <w:rsid w:val="007E0EE1"/>
    <w:rsid w:val="007E1340"/>
    <w:rsid w:val="007E14B0"/>
    <w:rsid w:val="007E2770"/>
    <w:rsid w:val="007E43F8"/>
    <w:rsid w:val="007E5076"/>
    <w:rsid w:val="007E656B"/>
    <w:rsid w:val="007E667E"/>
    <w:rsid w:val="007E7648"/>
    <w:rsid w:val="007F0822"/>
    <w:rsid w:val="007F10E2"/>
    <w:rsid w:val="007F2997"/>
    <w:rsid w:val="007F2E49"/>
    <w:rsid w:val="007F4265"/>
    <w:rsid w:val="007F50E8"/>
    <w:rsid w:val="007F54E2"/>
    <w:rsid w:val="007F78C1"/>
    <w:rsid w:val="007F7FBA"/>
    <w:rsid w:val="00800319"/>
    <w:rsid w:val="0080044E"/>
    <w:rsid w:val="0080068D"/>
    <w:rsid w:val="00800706"/>
    <w:rsid w:val="0080086E"/>
    <w:rsid w:val="008010AE"/>
    <w:rsid w:val="008010C4"/>
    <w:rsid w:val="0080189A"/>
    <w:rsid w:val="00801F7F"/>
    <w:rsid w:val="00803404"/>
    <w:rsid w:val="00803C2B"/>
    <w:rsid w:val="00807E50"/>
    <w:rsid w:val="00811945"/>
    <w:rsid w:val="0081216D"/>
    <w:rsid w:val="008129C3"/>
    <w:rsid w:val="00812A8E"/>
    <w:rsid w:val="00814156"/>
    <w:rsid w:val="008143B5"/>
    <w:rsid w:val="00814559"/>
    <w:rsid w:val="00814D23"/>
    <w:rsid w:val="00820100"/>
    <w:rsid w:val="00824753"/>
    <w:rsid w:val="00824F1C"/>
    <w:rsid w:val="0082599F"/>
    <w:rsid w:val="00825D47"/>
    <w:rsid w:val="00826688"/>
    <w:rsid w:val="00826C70"/>
    <w:rsid w:val="00827782"/>
    <w:rsid w:val="008279FA"/>
    <w:rsid w:val="008308DA"/>
    <w:rsid w:val="0083153E"/>
    <w:rsid w:val="0083369B"/>
    <w:rsid w:val="00835D38"/>
    <w:rsid w:val="008361D1"/>
    <w:rsid w:val="00836D4E"/>
    <w:rsid w:val="0084277D"/>
    <w:rsid w:val="00844EA5"/>
    <w:rsid w:val="00847A4E"/>
    <w:rsid w:val="00847E7F"/>
    <w:rsid w:val="00847F3F"/>
    <w:rsid w:val="00850A67"/>
    <w:rsid w:val="008533C2"/>
    <w:rsid w:val="00854795"/>
    <w:rsid w:val="00856DC6"/>
    <w:rsid w:val="00856EBE"/>
    <w:rsid w:val="00857677"/>
    <w:rsid w:val="00861926"/>
    <w:rsid w:val="0086283B"/>
    <w:rsid w:val="00864C83"/>
    <w:rsid w:val="00865233"/>
    <w:rsid w:val="00865B13"/>
    <w:rsid w:val="00871BBA"/>
    <w:rsid w:val="00871D79"/>
    <w:rsid w:val="00872854"/>
    <w:rsid w:val="0087393E"/>
    <w:rsid w:val="00881A42"/>
    <w:rsid w:val="00881E11"/>
    <w:rsid w:val="00882386"/>
    <w:rsid w:val="0088361D"/>
    <w:rsid w:val="00883C88"/>
    <w:rsid w:val="008851E8"/>
    <w:rsid w:val="00885E0A"/>
    <w:rsid w:val="0088603B"/>
    <w:rsid w:val="008861FC"/>
    <w:rsid w:val="00887663"/>
    <w:rsid w:val="008877AF"/>
    <w:rsid w:val="00890E13"/>
    <w:rsid w:val="00890FEB"/>
    <w:rsid w:val="0089132E"/>
    <w:rsid w:val="00891DF5"/>
    <w:rsid w:val="008933D4"/>
    <w:rsid w:val="00893D84"/>
    <w:rsid w:val="00893FC3"/>
    <w:rsid w:val="00895659"/>
    <w:rsid w:val="0089577B"/>
    <w:rsid w:val="00896354"/>
    <w:rsid w:val="008A3155"/>
    <w:rsid w:val="008A33C8"/>
    <w:rsid w:val="008A391D"/>
    <w:rsid w:val="008A4882"/>
    <w:rsid w:val="008A498B"/>
    <w:rsid w:val="008A52E2"/>
    <w:rsid w:val="008A5952"/>
    <w:rsid w:val="008B1024"/>
    <w:rsid w:val="008B1357"/>
    <w:rsid w:val="008B1420"/>
    <w:rsid w:val="008B2DB5"/>
    <w:rsid w:val="008B2DF3"/>
    <w:rsid w:val="008B320D"/>
    <w:rsid w:val="008B5367"/>
    <w:rsid w:val="008B7C94"/>
    <w:rsid w:val="008C2E0E"/>
    <w:rsid w:val="008C4160"/>
    <w:rsid w:val="008C4DE0"/>
    <w:rsid w:val="008D12E0"/>
    <w:rsid w:val="008D273E"/>
    <w:rsid w:val="008D3930"/>
    <w:rsid w:val="008D3B19"/>
    <w:rsid w:val="008D49B9"/>
    <w:rsid w:val="008D6112"/>
    <w:rsid w:val="008D62A5"/>
    <w:rsid w:val="008D67F9"/>
    <w:rsid w:val="008D7400"/>
    <w:rsid w:val="008D7865"/>
    <w:rsid w:val="008D788C"/>
    <w:rsid w:val="008E0BED"/>
    <w:rsid w:val="008E0E48"/>
    <w:rsid w:val="008E17CC"/>
    <w:rsid w:val="008E25B1"/>
    <w:rsid w:val="008E2AA2"/>
    <w:rsid w:val="008E4B59"/>
    <w:rsid w:val="008E56FB"/>
    <w:rsid w:val="008E72F9"/>
    <w:rsid w:val="008F012A"/>
    <w:rsid w:val="008F2167"/>
    <w:rsid w:val="008F3046"/>
    <w:rsid w:val="008F3090"/>
    <w:rsid w:val="008F33B4"/>
    <w:rsid w:val="008F4479"/>
    <w:rsid w:val="008F4669"/>
    <w:rsid w:val="008F609D"/>
    <w:rsid w:val="008F6298"/>
    <w:rsid w:val="008F7F32"/>
    <w:rsid w:val="0090077A"/>
    <w:rsid w:val="00900F47"/>
    <w:rsid w:val="009024C4"/>
    <w:rsid w:val="00904ADA"/>
    <w:rsid w:val="00904D48"/>
    <w:rsid w:val="0090603E"/>
    <w:rsid w:val="009060D2"/>
    <w:rsid w:val="0090637B"/>
    <w:rsid w:val="00906A0A"/>
    <w:rsid w:val="00907697"/>
    <w:rsid w:val="00910A69"/>
    <w:rsid w:val="00912970"/>
    <w:rsid w:val="009138A0"/>
    <w:rsid w:val="0091424C"/>
    <w:rsid w:val="0091595E"/>
    <w:rsid w:val="0091646A"/>
    <w:rsid w:val="00916F51"/>
    <w:rsid w:val="00917DE4"/>
    <w:rsid w:val="009204BE"/>
    <w:rsid w:val="00920718"/>
    <w:rsid w:val="00920905"/>
    <w:rsid w:val="00922B48"/>
    <w:rsid w:val="00922B85"/>
    <w:rsid w:val="0092426A"/>
    <w:rsid w:val="00925B79"/>
    <w:rsid w:val="009271B3"/>
    <w:rsid w:val="009277C5"/>
    <w:rsid w:val="00927F66"/>
    <w:rsid w:val="00930CDC"/>
    <w:rsid w:val="00931E45"/>
    <w:rsid w:val="00933188"/>
    <w:rsid w:val="00935192"/>
    <w:rsid w:val="009359C0"/>
    <w:rsid w:val="00935AF9"/>
    <w:rsid w:val="00937CA2"/>
    <w:rsid w:val="009403A5"/>
    <w:rsid w:val="00940E95"/>
    <w:rsid w:val="00941107"/>
    <w:rsid w:val="00942D2D"/>
    <w:rsid w:val="009437B1"/>
    <w:rsid w:val="009437FE"/>
    <w:rsid w:val="009439DC"/>
    <w:rsid w:val="00945B8A"/>
    <w:rsid w:val="00946C7E"/>
    <w:rsid w:val="00947B29"/>
    <w:rsid w:val="009500DC"/>
    <w:rsid w:val="00951923"/>
    <w:rsid w:val="0095300C"/>
    <w:rsid w:val="0095406C"/>
    <w:rsid w:val="00954679"/>
    <w:rsid w:val="00957AB5"/>
    <w:rsid w:val="0096049D"/>
    <w:rsid w:val="00961422"/>
    <w:rsid w:val="00964792"/>
    <w:rsid w:val="00964C39"/>
    <w:rsid w:val="00964FAF"/>
    <w:rsid w:val="009654A1"/>
    <w:rsid w:val="0097074C"/>
    <w:rsid w:val="00971C66"/>
    <w:rsid w:val="009728EC"/>
    <w:rsid w:val="00972C81"/>
    <w:rsid w:val="0097440F"/>
    <w:rsid w:val="00974E80"/>
    <w:rsid w:val="0097515A"/>
    <w:rsid w:val="0097569A"/>
    <w:rsid w:val="009768E1"/>
    <w:rsid w:val="0097736F"/>
    <w:rsid w:val="00977C46"/>
    <w:rsid w:val="0098042A"/>
    <w:rsid w:val="009824E9"/>
    <w:rsid w:val="009826E5"/>
    <w:rsid w:val="00982F9A"/>
    <w:rsid w:val="009844A1"/>
    <w:rsid w:val="009868FF"/>
    <w:rsid w:val="00986A0D"/>
    <w:rsid w:val="00986E20"/>
    <w:rsid w:val="00987CF0"/>
    <w:rsid w:val="00991091"/>
    <w:rsid w:val="00992B3C"/>
    <w:rsid w:val="0099445C"/>
    <w:rsid w:val="00994F62"/>
    <w:rsid w:val="0099515E"/>
    <w:rsid w:val="00995479"/>
    <w:rsid w:val="00995CB0"/>
    <w:rsid w:val="00997E77"/>
    <w:rsid w:val="009A2337"/>
    <w:rsid w:val="009A2734"/>
    <w:rsid w:val="009B0D33"/>
    <w:rsid w:val="009B0F62"/>
    <w:rsid w:val="009B176F"/>
    <w:rsid w:val="009B23CF"/>
    <w:rsid w:val="009B2A02"/>
    <w:rsid w:val="009B2B61"/>
    <w:rsid w:val="009B2C82"/>
    <w:rsid w:val="009B4812"/>
    <w:rsid w:val="009B48A2"/>
    <w:rsid w:val="009B5B7B"/>
    <w:rsid w:val="009B7B61"/>
    <w:rsid w:val="009B7D4A"/>
    <w:rsid w:val="009C1777"/>
    <w:rsid w:val="009C19C1"/>
    <w:rsid w:val="009C2C86"/>
    <w:rsid w:val="009C346D"/>
    <w:rsid w:val="009C65FF"/>
    <w:rsid w:val="009C6E3C"/>
    <w:rsid w:val="009C6FE0"/>
    <w:rsid w:val="009D010B"/>
    <w:rsid w:val="009D0753"/>
    <w:rsid w:val="009D0B80"/>
    <w:rsid w:val="009D10A4"/>
    <w:rsid w:val="009D2F30"/>
    <w:rsid w:val="009D3BF8"/>
    <w:rsid w:val="009D5131"/>
    <w:rsid w:val="009D5317"/>
    <w:rsid w:val="009D549F"/>
    <w:rsid w:val="009D6F71"/>
    <w:rsid w:val="009D7DC9"/>
    <w:rsid w:val="009E05E0"/>
    <w:rsid w:val="009E081C"/>
    <w:rsid w:val="009E1802"/>
    <w:rsid w:val="009E1CDE"/>
    <w:rsid w:val="009E2A8E"/>
    <w:rsid w:val="009E2B06"/>
    <w:rsid w:val="009E3829"/>
    <w:rsid w:val="009E51E2"/>
    <w:rsid w:val="009E5E33"/>
    <w:rsid w:val="009E77AB"/>
    <w:rsid w:val="009F111A"/>
    <w:rsid w:val="009F2B20"/>
    <w:rsid w:val="009F2FBF"/>
    <w:rsid w:val="009F30CA"/>
    <w:rsid w:val="009F3D57"/>
    <w:rsid w:val="009F66A8"/>
    <w:rsid w:val="009F6F69"/>
    <w:rsid w:val="009F7A61"/>
    <w:rsid w:val="00A0364A"/>
    <w:rsid w:val="00A04221"/>
    <w:rsid w:val="00A05B7D"/>
    <w:rsid w:val="00A06EF6"/>
    <w:rsid w:val="00A111EC"/>
    <w:rsid w:val="00A11800"/>
    <w:rsid w:val="00A11C16"/>
    <w:rsid w:val="00A133EC"/>
    <w:rsid w:val="00A1423E"/>
    <w:rsid w:val="00A154C3"/>
    <w:rsid w:val="00A155BD"/>
    <w:rsid w:val="00A17664"/>
    <w:rsid w:val="00A207C6"/>
    <w:rsid w:val="00A20E60"/>
    <w:rsid w:val="00A20FAF"/>
    <w:rsid w:val="00A215CB"/>
    <w:rsid w:val="00A228B5"/>
    <w:rsid w:val="00A24520"/>
    <w:rsid w:val="00A304C1"/>
    <w:rsid w:val="00A307CB"/>
    <w:rsid w:val="00A3164A"/>
    <w:rsid w:val="00A31F1B"/>
    <w:rsid w:val="00A32911"/>
    <w:rsid w:val="00A36101"/>
    <w:rsid w:val="00A365DE"/>
    <w:rsid w:val="00A36D37"/>
    <w:rsid w:val="00A37F42"/>
    <w:rsid w:val="00A40886"/>
    <w:rsid w:val="00A423E2"/>
    <w:rsid w:val="00A4282D"/>
    <w:rsid w:val="00A43000"/>
    <w:rsid w:val="00A4411F"/>
    <w:rsid w:val="00A4484F"/>
    <w:rsid w:val="00A46F34"/>
    <w:rsid w:val="00A47D3E"/>
    <w:rsid w:val="00A500D6"/>
    <w:rsid w:val="00A523FF"/>
    <w:rsid w:val="00A54756"/>
    <w:rsid w:val="00A54C66"/>
    <w:rsid w:val="00A55A85"/>
    <w:rsid w:val="00A57359"/>
    <w:rsid w:val="00A57D36"/>
    <w:rsid w:val="00A60CF3"/>
    <w:rsid w:val="00A61BB6"/>
    <w:rsid w:val="00A65392"/>
    <w:rsid w:val="00A65734"/>
    <w:rsid w:val="00A6676B"/>
    <w:rsid w:val="00A6687F"/>
    <w:rsid w:val="00A66CC3"/>
    <w:rsid w:val="00A6720F"/>
    <w:rsid w:val="00A67454"/>
    <w:rsid w:val="00A67907"/>
    <w:rsid w:val="00A67B9A"/>
    <w:rsid w:val="00A73CC1"/>
    <w:rsid w:val="00A74FE3"/>
    <w:rsid w:val="00A76BE3"/>
    <w:rsid w:val="00A76CF3"/>
    <w:rsid w:val="00A76F7C"/>
    <w:rsid w:val="00A80270"/>
    <w:rsid w:val="00A81090"/>
    <w:rsid w:val="00A81906"/>
    <w:rsid w:val="00A82D31"/>
    <w:rsid w:val="00A82DB1"/>
    <w:rsid w:val="00A83D98"/>
    <w:rsid w:val="00A84127"/>
    <w:rsid w:val="00A857B3"/>
    <w:rsid w:val="00A85C44"/>
    <w:rsid w:val="00A861CC"/>
    <w:rsid w:val="00A86DA2"/>
    <w:rsid w:val="00A90C82"/>
    <w:rsid w:val="00A90DFC"/>
    <w:rsid w:val="00A915F8"/>
    <w:rsid w:val="00A91BF3"/>
    <w:rsid w:val="00A9278D"/>
    <w:rsid w:val="00A949B9"/>
    <w:rsid w:val="00A94B90"/>
    <w:rsid w:val="00A96646"/>
    <w:rsid w:val="00A9751C"/>
    <w:rsid w:val="00AA09E5"/>
    <w:rsid w:val="00AA0A9C"/>
    <w:rsid w:val="00AA11A4"/>
    <w:rsid w:val="00AA16C0"/>
    <w:rsid w:val="00AA2646"/>
    <w:rsid w:val="00AA27E8"/>
    <w:rsid w:val="00AA4CDC"/>
    <w:rsid w:val="00AA53BD"/>
    <w:rsid w:val="00AA5743"/>
    <w:rsid w:val="00AB0E62"/>
    <w:rsid w:val="00AB16E7"/>
    <w:rsid w:val="00AB21D4"/>
    <w:rsid w:val="00AB21F5"/>
    <w:rsid w:val="00AB2B3A"/>
    <w:rsid w:val="00AB3386"/>
    <w:rsid w:val="00AB36DB"/>
    <w:rsid w:val="00AB40E8"/>
    <w:rsid w:val="00AC0B1D"/>
    <w:rsid w:val="00AC1F78"/>
    <w:rsid w:val="00AC2F5B"/>
    <w:rsid w:val="00AC3DAD"/>
    <w:rsid w:val="00AC5126"/>
    <w:rsid w:val="00AC5309"/>
    <w:rsid w:val="00AC54D6"/>
    <w:rsid w:val="00AC5A3F"/>
    <w:rsid w:val="00AC5B97"/>
    <w:rsid w:val="00AC6A2F"/>
    <w:rsid w:val="00AC7B23"/>
    <w:rsid w:val="00AC7C67"/>
    <w:rsid w:val="00AD2FAF"/>
    <w:rsid w:val="00AD3856"/>
    <w:rsid w:val="00AD43F0"/>
    <w:rsid w:val="00AD4DD0"/>
    <w:rsid w:val="00AD5B46"/>
    <w:rsid w:val="00AD7138"/>
    <w:rsid w:val="00AD7477"/>
    <w:rsid w:val="00AD7636"/>
    <w:rsid w:val="00AE08BF"/>
    <w:rsid w:val="00AE0A8D"/>
    <w:rsid w:val="00AE17F9"/>
    <w:rsid w:val="00AE1C06"/>
    <w:rsid w:val="00AE4FDD"/>
    <w:rsid w:val="00AE57DF"/>
    <w:rsid w:val="00AE7449"/>
    <w:rsid w:val="00AF55F0"/>
    <w:rsid w:val="00AF6342"/>
    <w:rsid w:val="00AF6B2A"/>
    <w:rsid w:val="00AF7B75"/>
    <w:rsid w:val="00B02281"/>
    <w:rsid w:val="00B042AA"/>
    <w:rsid w:val="00B0478B"/>
    <w:rsid w:val="00B053FB"/>
    <w:rsid w:val="00B05647"/>
    <w:rsid w:val="00B05E8F"/>
    <w:rsid w:val="00B0779A"/>
    <w:rsid w:val="00B07EE5"/>
    <w:rsid w:val="00B10739"/>
    <w:rsid w:val="00B11E15"/>
    <w:rsid w:val="00B13E09"/>
    <w:rsid w:val="00B1655F"/>
    <w:rsid w:val="00B20463"/>
    <w:rsid w:val="00B21A6C"/>
    <w:rsid w:val="00B21CC5"/>
    <w:rsid w:val="00B24D03"/>
    <w:rsid w:val="00B26771"/>
    <w:rsid w:val="00B26778"/>
    <w:rsid w:val="00B26B83"/>
    <w:rsid w:val="00B32074"/>
    <w:rsid w:val="00B32479"/>
    <w:rsid w:val="00B33B6C"/>
    <w:rsid w:val="00B33FE2"/>
    <w:rsid w:val="00B340B1"/>
    <w:rsid w:val="00B403ED"/>
    <w:rsid w:val="00B4065F"/>
    <w:rsid w:val="00B40877"/>
    <w:rsid w:val="00B40ADF"/>
    <w:rsid w:val="00B41D55"/>
    <w:rsid w:val="00B44653"/>
    <w:rsid w:val="00B44A26"/>
    <w:rsid w:val="00B44B46"/>
    <w:rsid w:val="00B45091"/>
    <w:rsid w:val="00B45447"/>
    <w:rsid w:val="00B462E8"/>
    <w:rsid w:val="00B508F3"/>
    <w:rsid w:val="00B51E0C"/>
    <w:rsid w:val="00B52842"/>
    <w:rsid w:val="00B5355D"/>
    <w:rsid w:val="00B55E31"/>
    <w:rsid w:val="00B614F1"/>
    <w:rsid w:val="00B61DB7"/>
    <w:rsid w:val="00B6230D"/>
    <w:rsid w:val="00B62571"/>
    <w:rsid w:val="00B62E70"/>
    <w:rsid w:val="00B63F8E"/>
    <w:rsid w:val="00B64A4C"/>
    <w:rsid w:val="00B64FD9"/>
    <w:rsid w:val="00B66EA0"/>
    <w:rsid w:val="00B70882"/>
    <w:rsid w:val="00B71334"/>
    <w:rsid w:val="00B71DB1"/>
    <w:rsid w:val="00B810B0"/>
    <w:rsid w:val="00B81D89"/>
    <w:rsid w:val="00B835AC"/>
    <w:rsid w:val="00B858BF"/>
    <w:rsid w:val="00B85DE7"/>
    <w:rsid w:val="00B866B4"/>
    <w:rsid w:val="00B86DB9"/>
    <w:rsid w:val="00B90A7C"/>
    <w:rsid w:val="00B92E80"/>
    <w:rsid w:val="00B94226"/>
    <w:rsid w:val="00B95D55"/>
    <w:rsid w:val="00B95EF9"/>
    <w:rsid w:val="00B96DF0"/>
    <w:rsid w:val="00BA0A8C"/>
    <w:rsid w:val="00BA0AF1"/>
    <w:rsid w:val="00BA0CEB"/>
    <w:rsid w:val="00BA2194"/>
    <w:rsid w:val="00BA2383"/>
    <w:rsid w:val="00BA2E7E"/>
    <w:rsid w:val="00BA3780"/>
    <w:rsid w:val="00BA590A"/>
    <w:rsid w:val="00BA5FE4"/>
    <w:rsid w:val="00BA6E50"/>
    <w:rsid w:val="00BB0892"/>
    <w:rsid w:val="00BB0B39"/>
    <w:rsid w:val="00BB19E9"/>
    <w:rsid w:val="00BB30D1"/>
    <w:rsid w:val="00BB39D8"/>
    <w:rsid w:val="00BB4EA5"/>
    <w:rsid w:val="00BB5A26"/>
    <w:rsid w:val="00BB5F75"/>
    <w:rsid w:val="00BB7BFC"/>
    <w:rsid w:val="00BB7E32"/>
    <w:rsid w:val="00BC26DF"/>
    <w:rsid w:val="00BC4201"/>
    <w:rsid w:val="00BC4747"/>
    <w:rsid w:val="00BC6524"/>
    <w:rsid w:val="00BC6E83"/>
    <w:rsid w:val="00BC7F13"/>
    <w:rsid w:val="00BD1D84"/>
    <w:rsid w:val="00BD293B"/>
    <w:rsid w:val="00BD3931"/>
    <w:rsid w:val="00BD5B88"/>
    <w:rsid w:val="00BD5D15"/>
    <w:rsid w:val="00BD5F58"/>
    <w:rsid w:val="00BD62DB"/>
    <w:rsid w:val="00BD7A36"/>
    <w:rsid w:val="00BE0AC1"/>
    <w:rsid w:val="00BE0AEB"/>
    <w:rsid w:val="00BE23CC"/>
    <w:rsid w:val="00BE4D55"/>
    <w:rsid w:val="00BE5115"/>
    <w:rsid w:val="00BE6FAF"/>
    <w:rsid w:val="00BE7CA3"/>
    <w:rsid w:val="00BE7D47"/>
    <w:rsid w:val="00BF08FC"/>
    <w:rsid w:val="00BF0A93"/>
    <w:rsid w:val="00BF139A"/>
    <w:rsid w:val="00BF48FD"/>
    <w:rsid w:val="00BF6113"/>
    <w:rsid w:val="00BF6645"/>
    <w:rsid w:val="00C01208"/>
    <w:rsid w:val="00C018E0"/>
    <w:rsid w:val="00C026D6"/>
    <w:rsid w:val="00C04A14"/>
    <w:rsid w:val="00C04F92"/>
    <w:rsid w:val="00C057C5"/>
    <w:rsid w:val="00C05AAF"/>
    <w:rsid w:val="00C06F76"/>
    <w:rsid w:val="00C10778"/>
    <w:rsid w:val="00C118C7"/>
    <w:rsid w:val="00C130FE"/>
    <w:rsid w:val="00C13DFD"/>
    <w:rsid w:val="00C1528C"/>
    <w:rsid w:val="00C17A3E"/>
    <w:rsid w:val="00C20877"/>
    <w:rsid w:val="00C20E7B"/>
    <w:rsid w:val="00C21456"/>
    <w:rsid w:val="00C21A3D"/>
    <w:rsid w:val="00C234B2"/>
    <w:rsid w:val="00C23667"/>
    <w:rsid w:val="00C24003"/>
    <w:rsid w:val="00C24D03"/>
    <w:rsid w:val="00C25182"/>
    <w:rsid w:val="00C255CC"/>
    <w:rsid w:val="00C25A3A"/>
    <w:rsid w:val="00C25E61"/>
    <w:rsid w:val="00C26CA8"/>
    <w:rsid w:val="00C30919"/>
    <w:rsid w:val="00C30B1F"/>
    <w:rsid w:val="00C30D8A"/>
    <w:rsid w:val="00C3121A"/>
    <w:rsid w:val="00C3210B"/>
    <w:rsid w:val="00C32D75"/>
    <w:rsid w:val="00C346BB"/>
    <w:rsid w:val="00C356D8"/>
    <w:rsid w:val="00C35A1B"/>
    <w:rsid w:val="00C37DAF"/>
    <w:rsid w:val="00C37DC0"/>
    <w:rsid w:val="00C40776"/>
    <w:rsid w:val="00C408A2"/>
    <w:rsid w:val="00C413F3"/>
    <w:rsid w:val="00C425A8"/>
    <w:rsid w:val="00C44038"/>
    <w:rsid w:val="00C44D8B"/>
    <w:rsid w:val="00C474B2"/>
    <w:rsid w:val="00C50EB9"/>
    <w:rsid w:val="00C517BE"/>
    <w:rsid w:val="00C525A2"/>
    <w:rsid w:val="00C53647"/>
    <w:rsid w:val="00C54EFF"/>
    <w:rsid w:val="00C55D03"/>
    <w:rsid w:val="00C60CB3"/>
    <w:rsid w:val="00C60E38"/>
    <w:rsid w:val="00C63548"/>
    <w:rsid w:val="00C63867"/>
    <w:rsid w:val="00C63F96"/>
    <w:rsid w:val="00C65450"/>
    <w:rsid w:val="00C66706"/>
    <w:rsid w:val="00C66719"/>
    <w:rsid w:val="00C677AF"/>
    <w:rsid w:val="00C67E59"/>
    <w:rsid w:val="00C72769"/>
    <w:rsid w:val="00C72B8B"/>
    <w:rsid w:val="00C72CB5"/>
    <w:rsid w:val="00C7335C"/>
    <w:rsid w:val="00C76BF4"/>
    <w:rsid w:val="00C76C41"/>
    <w:rsid w:val="00C76D4F"/>
    <w:rsid w:val="00C76EB4"/>
    <w:rsid w:val="00C77E37"/>
    <w:rsid w:val="00C805BC"/>
    <w:rsid w:val="00C80CEB"/>
    <w:rsid w:val="00C819FD"/>
    <w:rsid w:val="00C857EE"/>
    <w:rsid w:val="00C85ED2"/>
    <w:rsid w:val="00C90685"/>
    <w:rsid w:val="00C919CA"/>
    <w:rsid w:val="00C91FD1"/>
    <w:rsid w:val="00C93530"/>
    <w:rsid w:val="00C94AD0"/>
    <w:rsid w:val="00C959CA"/>
    <w:rsid w:val="00C95D16"/>
    <w:rsid w:val="00C97658"/>
    <w:rsid w:val="00C97C40"/>
    <w:rsid w:val="00CA0B96"/>
    <w:rsid w:val="00CA1C7F"/>
    <w:rsid w:val="00CA2AB4"/>
    <w:rsid w:val="00CA2E05"/>
    <w:rsid w:val="00CA551F"/>
    <w:rsid w:val="00CA5D4C"/>
    <w:rsid w:val="00CA5E4A"/>
    <w:rsid w:val="00CA6FEB"/>
    <w:rsid w:val="00CB0044"/>
    <w:rsid w:val="00CB0100"/>
    <w:rsid w:val="00CB04D2"/>
    <w:rsid w:val="00CB0FFA"/>
    <w:rsid w:val="00CB69D4"/>
    <w:rsid w:val="00CB7CAA"/>
    <w:rsid w:val="00CC0D41"/>
    <w:rsid w:val="00CC2BC1"/>
    <w:rsid w:val="00CC428F"/>
    <w:rsid w:val="00CC4A33"/>
    <w:rsid w:val="00CC5845"/>
    <w:rsid w:val="00CC77DC"/>
    <w:rsid w:val="00CD0CDD"/>
    <w:rsid w:val="00CD1631"/>
    <w:rsid w:val="00CD2E2C"/>
    <w:rsid w:val="00CD7234"/>
    <w:rsid w:val="00CD7EFE"/>
    <w:rsid w:val="00CE0484"/>
    <w:rsid w:val="00CE0C66"/>
    <w:rsid w:val="00CE28CF"/>
    <w:rsid w:val="00CE4371"/>
    <w:rsid w:val="00CE4386"/>
    <w:rsid w:val="00CE43F0"/>
    <w:rsid w:val="00CE4A0F"/>
    <w:rsid w:val="00CE4CDC"/>
    <w:rsid w:val="00CE5BEB"/>
    <w:rsid w:val="00CE5C1A"/>
    <w:rsid w:val="00CE604C"/>
    <w:rsid w:val="00CE69E9"/>
    <w:rsid w:val="00CE71F2"/>
    <w:rsid w:val="00CE7C26"/>
    <w:rsid w:val="00CF018E"/>
    <w:rsid w:val="00CF2878"/>
    <w:rsid w:val="00CF2B31"/>
    <w:rsid w:val="00CF3942"/>
    <w:rsid w:val="00CF3F65"/>
    <w:rsid w:val="00CF464D"/>
    <w:rsid w:val="00CF4E5A"/>
    <w:rsid w:val="00CF63F4"/>
    <w:rsid w:val="00CF7368"/>
    <w:rsid w:val="00CF74C6"/>
    <w:rsid w:val="00D024BA"/>
    <w:rsid w:val="00D0497A"/>
    <w:rsid w:val="00D05923"/>
    <w:rsid w:val="00D06274"/>
    <w:rsid w:val="00D06F3D"/>
    <w:rsid w:val="00D119C2"/>
    <w:rsid w:val="00D12D7E"/>
    <w:rsid w:val="00D12FD3"/>
    <w:rsid w:val="00D13C90"/>
    <w:rsid w:val="00D16E80"/>
    <w:rsid w:val="00D17EF4"/>
    <w:rsid w:val="00D22541"/>
    <w:rsid w:val="00D23770"/>
    <w:rsid w:val="00D23A1C"/>
    <w:rsid w:val="00D25074"/>
    <w:rsid w:val="00D26D8D"/>
    <w:rsid w:val="00D31114"/>
    <w:rsid w:val="00D33448"/>
    <w:rsid w:val="00D34517"/>
    <w:rsid w:val="00D3677E"/>
    <w:rsid w:val="00D36798"/>
    <w:rsid w:val="00D3725A"/>
    <w:rsid w:val="00D409B5"/>
    <w:rsid w:val="00D40FFB"/>
    <w:rsid w:val="00D44000"/>
    <w:rsid w:val="00D4481D"/>
    <w:rsid w:val="00D457EC"/>
    <w:rsid w:val="00D4596E"/>
    <w:rsid w:val="00D4655B"/>
    <w:rsid w:val="00D47E80"/>
    <w:rsid w:val="00D53B3E"/>
    <w:rsid w:val="00D54057"/>
    <w:rsid w:val="00D5584E"/>
    <w:rsid w:val="00D55AA6"/>
    <w:rsid w:val="00D55D87"/>
    <w:rsid w:val="00D600EE"/>
    <w:rsid w:val="00D6045E"/>
    <w:rsid w:val="00D617D1"/>
    <w:rsid w:val="00D61B1A"/>
    <w:rsid w:val="00D65549"/>
    <w:rsid w:val="00D65CD2"/>
    <w:rsid w:val="00D66BB0"/>
    <w:rsid w:val="00D70563"/>
    <w:rsid w:val="00D70D89"/>
    <w:rsid w:val="00D70FA5"/>
    <w:rsid w:val="00D710FD"/>
    <w:rsid w:val="00D72051"/>
    <w:rsid w:val="00D73320"/>
    <w:rsid w:val="00D7380B"/>
    <w:rsid w:val="00D7395B"/>
    <w:rsid w:val="00D751C5"/>
    <w:rsid w:val="00D75CCA"/>
    <w:rsid w:val="00D75D77"/>
    <w:rsid w:val="00D7639E"/>
    <w:rsid w:val="00D767C9"/>
    <w:rsid w:val="00D7733E"/>
    <w:rsid w:val="00D77D78"/>
    <w:rsid w:val="00D835EF"/>
    <w:rsid w:val="00D85F09"/>
    <w:rsid w:val="00D86A9D"/>
    <w:rsid w:val="00D900B5"/>
    <w:rsid w:val="00D90C5A"/>
    <w:rsid w:val="00D9244C"/>
    <w:rsid w:val="00D949BC"/>
    <w:rsid w:val="00D954A3"/>
    <w:rsid w:val="00D96C21"/>
    <w:rsid w:val="00DA05C7"/>
    <w:rsid w:val="00DA089A"/>
    <w:rsid w:val="00DA11A0"/>
    <w:rsid w:val="00DA2805"/>
    <w:rsid w:val="00DA2822"/>
    <w:rsid w:val="00DA3C6E"/>
    <w:rsid w:val="00DA4032"/>
    <w:rsid w:val="00DA690B"/>
    <w:rsid w:val="00DA7225"/>
    <w:rsid w:val="00DA72C2"/>
    <w:rsid w:val="00DB0078"/>
    <w:rsid w:val="00DB1039"/>
    <w:rsid w:val="00DB3650"/>
    <w:rsid w:val="00DB402E"/>
    <w:rsid w:val="00DB44E9"/>
    <w:rsid w:val="00DB4B34"/>
    <w:rsid w:val="00DB4F07"/>
    <w:rsid w:val="00DB6D34"/>
    <w:rsid w:val="00DC1966"/>
    <w:rsid w:val="00DC214E"/>
    <w:rsid w:val="00DC2989"/>
    <w:rsid w:val="00DC3031"/>
    <w:rsid w:val="00DC3259"/>
    <w:rsid w:val="00DC487E"/>
    <w:rsid w:val="00DD0523"/>
    <w:rsid w:val="00DD11DC"/>
    <w:rsid w:val="00DD27F2"/>
    <w:rsid w:val="00DD5C4B"/>
    <w:rsid w:val="00DD6D92"/>
    <w:rsid w:val="00DE27E4"/>
    <w:rsid w:val="00DE2EA4"/>
    <w:rsid w:val="00DE39DB"/>
    <w:rsid w:val="00DE3A39"/>
    <w:rsid w:val="00DE5758"/>
    <w:rsid w:val="00DE598A"/>
    <w:rsid w:val="00DE5E21"/>
    <w:rsid w:val="00DE5FCF"/>
    <w:rsid w:val="00DE6F00"/>
    <w:rsid w:val="00DF0411"/>
    <w:rsid w:val="00DF0460"/>
    <w:rsid w:val="00DF0D19"/>
    <w:rsid w:val="00DF1995"/>
    <w:rsid w:val="00DF1CE7"/>
    <w:rsid w:val="00DF2EE9"/>
    <w:rsid w:val="00DF6386"/>
    <w:rsid w:val="00DF6B73"/>
    <w:rsid w:val="00DF6FD8"/>
    <w:rsid w:val="00E04D6A"/>
    <w:rsid w:val="00E05A80"/>
    <w:rsid w:val="00E064CB"/>
    <w:rsid w:val="00E06A37"/>
    <w:rsid w:val="00E071A5"/>
    <w:rsid w:val="00E07752"/>
    <w:rsid w:val="00E07AB7"/>
    <w:rsid w:val="00E14B5C"/>
    <w:rsid w:val="00E14BF5"/>
    <w:rsid w:val="00E16609"/>
    <w:rsid w:val="00E16C58"/>
    <w:rsid w:val="00E16F08"/>
    <w:rsid w:val="00E173F9"/>
    <w:rsid w:val="00E17820"/>
    <w:rsid w:val="00E17E28"/>
    <w:rsid w:val="00E2286A"/>
    <w:rsid w:val="00E233F3"/>
    <w:rsid w:val="00E23B22"/>
    <w:rsid w:val="00E24A36"/>
    <w:rsid w:val="00E26B34"/>
    <w:rsid w:val="00E26B42"/>
    <w:rsid w:val="00E30FA6"/>
    <w:rsid w:val="00E314BA"/>
    <w:rsid w:val="00E325BE"/>
    <w:rsid w:val="00E326BA"/>
    <w:rsid w:val="00E33ED5"/>
    <w:rsid w:val="00E34202"/>
    <w:rsid w:val="00E35BB7"/>
    <w:rsid w:val="00E37F72"/>
    <w:rsid w:val="00E40BE5"/>
    <w:rsid w:val="00E40CF9"/>
    <w:rsid w:val="00E4182F"/>
    <w:rsid w:val="00E41D60"/>
    <w:rsid w:val="00E42A30"/>
    <w:rsid w:val="00E45D26"/>
    <w:rsid w:val="00E52F46"/>
    <w:rsid w:val="00E53EAB"/>
    <w:rsid w:val="00E5625D"/>
    <w:rsid w:val="00E5705E"/>
    <w:rsid w:val="00E578A3"/>
    <w:rsid w:val="00E57958"/>
    <w:rsid w:val="00E604DD"/>
    <w:rsid w:val="00E61781"/>
    <w:rsid w:val="00E62367"/>
    <w:rsid w:val="00E62CEE"/>
    <w:rsid w:val="00E648BB"/>
    <w:rsid w:val="00E64E04"/>
    <w:rsid w:val="00E6542C"/>
    <w:rsid w:val="00E673AD"/>
    <w:rsid w:val="00E67ACA"/>
    <w:rsid w:val="00E70B45"/>
    <w:rsid w:val="00E73480"/>
    <w:rsid w:val="00E734AC"/>
    <w:rsid w:val="00E763F0"/>
    <w:rsid w:val="00E76B31"/>
    <w:rsid w:val="00E76C5B"/>
    <w:rsid w:val="00E774C5"/>
    <w:rsid w:val="00E812B5"/>
    <w:rsid w:val="00E81F3E"/>
    <w:rsid w:val="00E826A7"/>
    <w:rsid w:val="00E844BB"/>
    <w:rsid w:val="00E84941"/>
    <w:rsid w:val="00E84C48"/>
    <w:rsid w:val="00E84CFE"/>
    <w:rsid w:val="00E84FC4"/>
    <w:rsid w:val="00E85924"/>
    <w:rsid w:val="00E859BD"/>
    <w:rsid w:val="00E859BE"/>
    <w:rsid w:val="00E86B70"/>
    <w:rsid w:val="00E87C8F"/>
    <w:rsid w:val="00E9099D"/>
    <w:rsid w:val="00E924C3"/>
    <w:rsid w:val="00E93952"/>
    <w:rsid w:val="00E952DD"/>
    <w:rsid w:val="00E954EE"/>
    <w:rsid w:val="00E95ECF"/>
    <w:rsid w:val="00E96759"/>
    <w:rsid w:val="00E9716B"/>
    <w:rsid w:val="00E97488"/>
    <w:rsid w:val="00EA01C8"/>
    <w:rsid w:val="00EA0D35"/>
    <w:rsid w:val="00EA1C5E"/>
    <w:rsid w:val="00EA241C"/>
    <w:rsid w:val="00EA2C30"/>
    <w:rsid w:val="00EA4437"/>
    <w:rsid w:val="00EA4C0E"/>
    <w:rsid w:val="00EA4D87"/>
    <w:rsid w:val="00EA5374"/>
    <w:rsid w:val="00EA6773"/>
    <w:rsid w:val="00EA6864"/>
    <w:rsid w:val="00EA778A"/>
    <w:rsid w:val="00EB132D"/>
    <w:rsid w:val="00EB159C"/>
    <w:rsid w:val="00EB3356"/>
    <w:rsid w:val="00EB34FC"/>
    <w:rsid w:val="00EB3683"/>
    <w:rsid w:val="00EB43D8"/>
    <w:rsid w:val="00EB4771"/>
    <w:rsid w:val="00EB76E1"/>
    <w:rsid w:val="00EC1695"/>
    <w:rsid w:val="00EC2499"/>
    <w:rsid w:val="00EC2D21"/>
    <w:rsid w:val="00EC42B4"/>
    <w:rsid w:val="00EC6880"/>
    <w:rsid w:val="00ED185D"/>
    <w:rsid w:val="00ED1956"/>
    <w:rsid w:val="00ED1C2B"/>
    <w:rsid w:val="00ED2DCB"/>
    <w:rsid w:val="00ED3666"/>
    <w:rsid w:val="00ED4030"/>
    <w:rsid w:val="00ED4126"/>
    <w:rsid w:val="00ED4FDE"/>
    <w:rsid w:val="00ED7226"/>
    <w:rsid w:val="00EE26A0"/>
    <w:rsid w:val="00EE2D15"/>
    <w:rsid w:val="00EE2D2F"/>
    <w:rsid w:val="00EE3236"/>
    <w:rsid w:val="00EE3506"/>
    <w:rsid w:val="00EE4120"/>
    <w:rsid w:val="00EF1BD3"/>
    <w:rsid w:val="00EF2E8A"/>
    <w:rsid w:val="00EF39B3"/>
    <w:rsid w:val="00EF44E8"/>
    <w:rsid w:val="00EF4E20"/>
    <w:rsid w:val="00EF4E6B"/>
    <w:rsid w:val="00EF5416"/>
    <w:rsid w:val="00EF6B98"/>
    <w:rsid w:val="00EF6DDA"/>
    <w:rsid w:val="00EF70C6"/>
    <w:rsid w:val="00EF72C4"/>
    <w:rsid w:val="00EF764F"/>
    <w:rsid w:val="00F02922"/>
    <w:rsid w:val="00F0327B"/>
    <w:rsid w:val="00F03564"/>
    <w:rsid w:val="00F03A6F"/>
    <w:rsid w:val="00F065B8"/>
    <w:rsid w:val="00F06CCF"/>
    <w:rsid w:val="00F07A2F"/>
    <w:rsid w:val="00F1053D"/>
    <w:rsid w:val="00F1090A"/>
    <w:rsid w:val="00F110D5"/>
    <w:rsid w:val="00F11B5F"/>
    <w:rsid w:val="00F11E63"/>
    <w:rsid w:val="00F12733"/>
    <w:rsid w:val="00F13B8B"/>
    <w:rsid w:val="00F1428E"/>
    <w:rsid w:val="00F142D3"/>
    <w:rsid w:val="00F171E1"/>
    <w:rsid w:val="00F20DCF"/>
    <w:rsid w:val="00F25B36"/>
    <w:rsid w:val="00F279F9"/>
    <w:rsid w:val="00F3052A"/>
    <w:rsid w:val="00F32FCB"/>
    <w:rsid w:val="00F341E3"/>
    <w:rsid w:val="00F3458D"/>
    <w:rsid w:val="00F35AEA"/>
    <w:rsid w:val="00F35D09"/>
    <w:rsid w:val="00F40DE8"/>
    <w:rsid w:val="00F4177B"/>
    <w:rsid w:val="00F42947"/>
    <w:rsid w:val="00F4304D"/>
    <w:rsid w:val="00F433E5"/>
    <w:rsid w:val="00F43957"/>
    <w:rsid w:val="00F45FF0"/>
    <w:rsid w:val="00F46612"/>
    <w:rsid w:val="00F4752B"/>
    <w:rsid w:val="00F476E8"/>
    <w:rsid w:val="00F50174"/>
    <w:rsid w:val="00F50743"/>
    <w:rsid w:val="00F50F3A"/>
    <w:rsid w:val="00F515C1"/>
    <w:rsid w:val="00F52DE2"/>
    <w:rsid w:val="00F541A6"/>
    <w:rsid w:val="00F541AE"/>
    <w:rsid w:val="00F5532B"/>
    <w:rsid w:val="00F55371"/>
    <w:rsid w:val="00F56792"/>
    <w:rsid w:val="00F571A6"/>
    <w:rsid w:val="00F6018B"/>
    <w:rsid w:val="00F60265"/>
    <w:rsid w:val="00F60CBF"/>
    <w:rsid w:val="00F60E32"/>
    <w:rsid w:val="00F644FF"/>
    <w:rsid w:val="00F65ABA"/>
    <w:rsid w:val="00F65E15"/>
    <w:rsid w:val="00F66E1C"/>
    <w:rsid w:val="00F70928"/>
    <w:rsid w:val="00F7242E"/>
    <w:rsid w:val="00F743D1"/>
    <w:rsid w:val="00F74B33"/>
    <w:rsid w:val="00F76F2C"/>
    <w:rsid w:val="00F7765D"/>
    <w:rsid w:val="00F777C9"/>
    <w:rsid w:val="00F77A1D"/>
    <w:rsid w:val="00F77D9C"/>
    <w:rsid w:val="00F80078"/>
    <w:rsid w:val="00F810DD"/>
    <w:rsid w:val="00F818DE"/>
    <w:rsid w:val="00F82660"/>
    <w:rsid w:val="00F828A6"/>
    <w:rsid w:val="00F83AC0"/>
    <w:rsid w:val="00F866FE"/>
    <w:rsid w:val="00F86C33"/>
    <w:rsid w:val="00F872E6"/>
    <w:rsid w:val="00F8758D"/>
    <w:rsid w:val="00F87AAA"/>
    <w:rsid w:val="00F90ED3"/>
    <w:rsid w:val="00F92789"/>
    <w:rsid w:val="00F929E6"/>
    <w:rsid w:val="00F92D2D"/>
    <w:rsid w:val="00F94D14"/>
    <w:rsid w:val="00F95E2F"/>
    <w:rsid w:val="00F96DEB"/>
    <w:rsid w:val="00FA0609"/>
    <w:rsid w:val="00FA0683"/>
    <w:rsid w:val="00FA0FD9"/>
    <w:rsid w:val="00FA1872"/>
    <w:rsid w:val="00FA1EFA"/>
    <w:rsid w:val="00FA28FB"/>
    <w:rsid w:val="00FA2A50"/>
    <w:rsid w:val="00FA44E6"/>
    <w:rsid w:val="00FA4696"/>
    <w:rsid w:val="00FA4F34"/>
    <w:rsid w:val="00FA5A1E"/>
    <w:rsid w:val="00FA5A5B"/>
    <w:rsid w:val="00FA6630"/>
    <w:rsid w:val="00FA7326"/>
    <w:rsid w:val="00FB13E3"/>
    <w:rsid w:val="00FB2590"/>
    <w:rsid w:val="00FB58BD"/>
    <w:rsid w:val="00FB69EF"/>
    <w:rsid w:val="00FC367E"/>
    <w:rsid w:val="00FC3C63"/>
    <w:rsid w:val="00FC4DEA"/>
    <w:rsid w:val="00FC54D3"/>
    <w:rsid w:val="00FC691B"/>
    <w:rsid w:val="00FC7307"/>
    <w:rsid w:val="00FD0C47"/>
    <w:rsid w:val="00FD31CE"/>
    <w:rsid w:val="00FD3325"/>
    <w:rsid w:val="00FD59DE"/>
    <w:rsid w:val="00FD5A8C"/>
    <w:rsid w:val="00FE0E2D"/>
    <w:rsid w:val="00FE286E"/>
    <w:rsid w:val="00FE2891"/>
    <w:rsid w:val="00FE3233"/>
    <w:rsid w:val="00FE416B"/>
    <w:rsid w:val="00FE4C68"/>
    <w:rsid w:val="00FE5F5D"/>
    <w:rsid w:val="00FE5FAF"/>
    <w:rsid w:val="00FE6B26"/>
    <w:rsid w:val="00FE6D74"/>
    <w:rsid w:val="00FF04F7"/>
    <w:rsid w:val="00FF2581"/>
    <w:rsid w:val="00FF4173"/>
    <w:rsid w:val="00FF44C0"/>
    <w:rsid w:val="00FF6A7C"/>
    <w:rsid w:val="00FF6DB9"/>
    <w:rsid w:val="00FF73B4"/>
    <w:rsid w:val="35ED749D"/>
    <w:rsid w:val="5D8BF7AE"/>
    <w:rsid w:val="7E9E0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F2560BE"/>
  <w15:docId w15:val="{6925F653-9F79-4F78-B4AE-8F00BB597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customStyle="1" w:styleId="TableChar">
    <w:name w:val="Table Char"/>
    <w:basedOn w:val="DefaultParagraphFont"/>
    <w:link w:val="Table"/>
    <w:locked/>
    <w:rsid w:val="00A81090"/>
    <w:rPr>
      <w:rFonts w:ascii="Arial" w:hAnsi="Arial" w:cs="Arial"/>
      <w:szCs w:val="24"/>
    </w:rPr>
  </w:style>
  <w:style w:type="paragraph" w:customStyle="1" w:styleId="Table">
    <w:name w:val="Table"/>
    <w:basedOn w:val="Normal"/>
    <w:link w:val="TableChar"/>
    <w:qFormat/>
    <w:rsid w:val="00A81090"/>
    <w:pPr>
      <w:tabs>
        <w:tab w:val="center" w:pos="4320"/>
        <w:tab w:val="right" w:pos="8640"/>
      </w:tabs>
    </w:pPr>
    <w:rPr>
      <w:rFonts w:ascii="Arial" w:eastAsiaTheme="minorHAnsi" w:hAnsi="Arial" w:cs="Arial"/>
    </w:rPr>
  </w:style>
  <w:style w:type="paragraph" w:customStyle="1" w:styleId="PR1">
    <w:name w:val="PR1"/>
    <w:basedOn w:val="ART"/>
    <w:rsid w:val="00F828A6"/>
    <w:pPr>
      <w:numPr>
        <w:ilvl w:val="2"/>
      </w:numPr>
      <w:outlineLvl w:val="2"/>
    </w:pPr>
    <w:rPr>
      <w:b w:val="0"/>
      <w:caps w:val="0"/>
    </w:rPr>
  </w:style>
  <w:style w:type="paragraph" w:customStyle="1" w:styleId="ART">
    <w:name w:val="ART"/>
    <w:basedOn w:val="Normal"/>
    <w:next w:val="PR1"/>
    <w:rsid w:val="00F828A6"/>
    <w:pPr>
      <w:numPr>
        <w:ilvl w:val="1"/>
        <w:numId w:val="35"/>
      </w:numPr>
      <w:suppressAutoHyphens/>
      <w:spacing w:before="240"/>
      <w:outlineLvl w:val="1"/>
    </w:pPr>
    <w:rPr>
      <w:rFonts w:ascii="Arial" w:eastAsia="Batang" w:hAnsi="Arial"/>
      <w:b/>
      <w:caps/>
      <w:sz w:val="20"/>
      <w:szCs w:val="20"/>
    </w:rPr>
  </w:style>
  <w:style w:type="paragraph" w:customStyle="1" w:styleId="PR2">
    <w:name w:val="PR2"/>
    <w:basedOn w:val="PR1"/>
    <w:rsid w:val="00F828A6"/>
    <w:pPr>
      <w:numPr>
        <w:ilvl w:val="3"/>
      </w:numPr>
      <w:spacing w:before="0"/>
      <w:outlineLvl w:val="3"/>
    </w:pPr>
  </w:style>
  <w:style w:type="paragraph" w:customStyle="1" w:styleId="PR3">
    <w:name w:val="PR3"/>
    <w:basedOn w:val="PR1"/>
    <w:rsid w:val="00F828A6"/>
    <w:pPr>
      <w:numPr>
        <w:ilvl w:val="4"/>
      </w:numPr>
      <w:spacing w:before="0"/>
      <w:outlineLvl w:val="4"/>
    </w:pPr>
  </w:style>
  <w:style w:type="paragraph" w:customStyle="1" w:styleId="PR4">
    <w:name w:val="PR4"/>
    <w:basedOn w:val="PR1"/>
    <w:rsid w:val="00F828A6"/>
    <w:pPr>
      <w:numPr>
        <w:ilvl w:val="5"/>
      </w:numPr>
      <w:tabs>
        <w:tab w:val="left" w:pos="2448"/>
      </w:tabs>
      <w:spacing w:before="0"/>
      <w:outlineLvl w:val="5"/>
    </w:pPr>
  </w:style>
  <w:style w:type="paragraph" w:customStyle="1" w:styleId="PR5">
    <w:name w:val="PR5"/>
    <w:basedOn w:val="PR1"/>
    <w:rsid w:val="00F828A6"/>
    <w:pPr>
      <w:numPr>
        <w:ilvl w:val="6"/>
      </w:numPr>
      <w:spacing w:before="0"/>
      <w:outlineLvl w:val="6"/>
    </w:pPr>
  </w:style>
  <w:style w:type="paragraph" w:customStyle="1" w:styleId="PR6">
    <w:name w:val="PR6"/>
    <w:basedOn w:val="PR1"/>
    <w:rsid w:val="00F828A6"/>
    <w:pPr>
      <w:numPr>
        <w:ilvl w:val="7"/>
      </w:numPr>
      <w:tabs>
        <w:tab w:val="left" w:pos="3744"/>
      </w:tabs>
      <w:spacing w:before="0"/>
      <w:outlineLvl w:val="7"/>
    </w:pPr>
  </w:style>
  <w:style w:type="paragraph" w:customStyle="1" w:styleId="PR7">
    <w:name w:val="PR7"/>
    <w:basedOn w:val="PR6"/>
    <w:rsid w:val="00F828A6"/>
    <w:pPr>
      <w:numPr>
        <w:ilvl w:val="8"/>
      </w:numPr>
      <w:tabs>
        <w:tab w:val="left" w:pos="4464"/>
      </w:tabs>
    </w:pPr>
  </w:style>
  <w:style w:type="paragraph" w:customStyle="1" w:styleId="WPSCT">
    <w:name w:val="WPSCT"/>
    <w:basedOn w:val="Normal"/>
    <w:next w:val="ART"/>
    <w:qFormat/>
    <w:rsid w:val="00F828A6"/>
    <w:pPr>
      <w:numPr>
        <w:numId w:val="35"/>
      </w:numPr>
      <w:suppressAutoHyphens/>
      <w:spacing w:before="240"/>
      <w:outlineLvl w:val="0"/>
    </w:pPr>
    <w:rPr>
      <w:rFonts w:ascii="Arial" w:eastAsia="Batang" w:hAnsi="Arial"/>
      <w:b/>
      <w:caps/>
      <w:sz w:val="20"/>
      <w:szCs w:val="20"/>
    </w:rPr>
  </w:style>
  <w:style w:type="paragraph" w:customStyle="1" w:styleId="Normal1">
    <w:name w:val="Normal1"/>
    <w:basedOn w:val="Normal"/>
    <w:rsid w:val="00F828A6"/>
    <w:pPr>
      <w:overflowPunct w:val="0"/>
      <w:autoSpaceDE w:val="0"/>
      <w:autoSpaceDN w:val="0"/>
      <w:adjustRightInd w:val="0"/>
      <w:spacing w:after="120" w:line="360" w:lineRule="atLeast"/>
    </w:pPr>
    <w:rPr>
      <w:rFonts w:ascii="Times New Roman" w:eastAsia="Batang" w:hAnsi="Times New Roman"/>
      <w:szCs w:val="20"/>
    </w:rPr>
  </w:style>
  <w:style w:type="paragraph" w:customStyle="1" w:styleId="WPPR2">
    <w:name w:val="WPPR2"/>
    <w:basedOn w:val="PR2"/>
    <w:qFormat/>
    <w:rsid w:val="00F828A6"/>
    <w:pPr>
      <w:numPr>
        <w:numId w:val="36"/>
      </w:numPr>
    </w:pPr>
  </w:style>
  <w:style w:type="paragraph" w:customStyle="1" w:styleId="WPPR3">
    <w:name w:val="WPPR3"/>
    <w:basedOn w:val="PR3"/>
    <w:qFormat/>
    <w:rsid w:val="00F828A6"/>
    <w:pPr>
      <w:numPr>
        <w:numId w:val="36"/>
      </w:numPr>
    </w:pPr>
  </w:style>
  <w:style w:type="paragraph" w:customStyle="1" w:styleId="WPPR1">
    <w:name w:val="WPPR1"/>
    <w:basedOn w:val="PR1"/>
    <w:qFormat/>
    <w:rsid w:val="00B33B6C"/>
    <w:pPr>
      <w:numPr>
        <w:numId w:val="1"/>
      </w:numPr>
    </w:pPr>
  </w:style>
  <w:style w:type="paragraph" w:customStyle="1" w:styleId="Vertical">
    <w:name w:val="Vertical"/>
    <w:basedOn w:val="Normal"/>
    <w:qFormat/>
    <w:rsid w:val="00B33B6C"/>
    <w:pPr>
      <w:overflowPunct w:val="0"/>
      <w:autoSpaceDE w:val="0"/>
      <w:autoSpaceDN w:val="0"/>
      <w:adjustRightInd w:val="0"/>
      <w:spacing w:after="120"/>
      <w:jc w:val="center"/>
    </w:pPr>
    <w:rPr>
      <w:rFonts w:ascii="Arial" w:hAnsi="Arial"/>
      <w:sz w:val="20"/>
      <w:szCs w:val="20"/>
    </w:rPr>
  </w:style>
  <w:style w:type="character" w:customStyle="1" w:styleId="breadcrumbs">
    <w:name w:val="breadcrumbs"/>
    <w:rsid w:val="004F4C12"/>
  </w:style>
  <w:style w:type="paragraph" w:styleId="TOC1">
    <w:name w:val="toc 1"/>
    <w:basedOn w:val="Normal"/>
    <w:next w:val="Normal"/>
    <w:autoRedefine/>
    <w:uiPriority w:val="39"/>
    <w:rsid w:val="007E1340"/>
    <w:rPr>
      <w:rFonts w:ascii="Arial" w:hAnsi="Arial"/>
    </w:rPr>
  </w:style>
  <w:style w:type="paragraph" w:styleId="TOC2">
    <w:name w:val="toc 2"/>
    <w:basedOn w:val="Normal"/>
    <w:next w:val="Normal"/>
    <w:autoRedefine/>
    <w:uiPriority w:val="39"/>
    <w:rsid w:val="007E1340"/>
    <w:pPr>
      <w:ind w:left="240"/>
    </w:pPr>
    <w:rPr>
      <w:rFonts w:ascii="Arial" w:hAnsi="Arial"/>
    </w:rPr>
  </w:style>
  <w:style w:type="paragraph" w:styleId="TOC3">
    <w:name w:val="toc 3"/>
    <w:basedOn w:val="Normal"/>
    <w:next w:val="Normal"/>
    <w:autoRedefine/>
    <w:uiPriority w:val="39"/>
    <w:rsid w:val="007E1340"/>
    <w:pPr>
      <w:ind w:left="480"/>
    </w:pPr>
    <w:rPr>
      <w:rFonts w:ascii="Arial" w:hAnsi="Arial"/>
    </w:rPr>
  </w:style>
  <w:style w:type="paragraph" w:styleId="TableofFigures">
    <w:name w:val="table of figures"/>
    <w:basedOn w:val="Normal"/>
    <w:next w:val="Normal"/>
    <w:uiPriority w:val="99"/>
    <w:rsid w:val="007E1340"/>
    <w:rPr>
      <w:rFonts w:ascii="Arial" w:hAnsi="Arial"/>
    </w:rPr>
  </w:style>
  <w:style w:type="character" w:styleId="FollowedHyperlink">
    <w:name w:val="FollowedHyperlink"/>
    <w:basedOn w:val="DefaultParagraphFont"/>
    <w:uiPriority w:val="99"/>
    <w:semiHidden/>
    <w:unhideWhenUsed/>
    <w:rsid w:val="009B7D4A"/>
    <w:rPr>
      <w:color w:val="800080" w:themeColor="followedHyperlink"/>
      <w:u w:val="single"/>
    </w:rPr>
  </w:style>
  <w:style w:type="table" w:customStyle="1" w:styleId="TableGrid11">
    <w:name w:val="Table Grid11"/>
    <w:basedOn w:val="TableNormal"/>
    <w:next w:val="TableGrid"/>
    <w:rsid w:val="002755F3"/>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271B3"/>
    <w:rPr>
      <w:color w:val="808080"/>
      <w:shd w:val="clear" w:color="auto" w:fill="E6E6E6"/>
    </w:rPr>
  </w:style>
  <w:style w:type="paragraph" w:styleId="Revision">
    <w:name w:val="Revision"/>
    <w:hidden/>
    <w:uiPriority w:val="99"/>
    <w:semiHidden/>
    <w:rsid w:val="00945B8A"/>
    <w:pPr>
      <w:spacing w:after="0" w:line="240" w:lineRule="auto"/>
    </w:pPr>
    <w:rPr>
      <w:rFonts w:eastAsia="Times New Roman" w:cs="Times New Roman"/>
      <w:szCs w:val="24"/>
    </w:rPr>
  </w:style>
  <w:style w:type="paragraph" w:customStyle="1" w:styleId="paragraph">
    <w:name w:val="paragraph"/>
    <w:basedOn w:val="Normal"/>
    <w:rsid w:val="0047154F"/>
    <w:pPr>
      <w:spacing w:before="100" w:beforeAutospacing="1" w:after="100" w:afterAutospacing="1"/>
    </w:pPr>
    <w:rPr>
      <w:rFonts w:ascii="Times New Roman" w:hAnsi="Times New Roman"/>
      <w:sz w:val="24"/>
    </w:rPr>
  </w:style>
  <w:style w:type="character" w:customStyle="1" w:styleId="normaltextrun">
    <w:name w:val="normaltextrun"/>
    <w:basedOn w:val="DefaultParagraphFont"/>
    <w:rsid w:val="0047154F"/>
  </w:style>
  <w:style w:type="character" w:customStyle="1" w:styleId="eop">
    <w:name w:val="eop"/>
    <w:basedOn w:val="DefaultParagraphFont"/>
    <w:rsid w:val="004715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98033">
      <w:bodyDiv w:val="1"/>
      <w:marLeft w:val="0"/>
      <w:marRight w:val="0"/>
      <w:marTop w:val="0"/>
      <w:marBottom w:val="0"/>
      <w:divBdr>
        <w:top w:val="none" w:sz="0" w:space="0" w:color="auto"/>
        <w:left w:val="none" w:sz="0" w:space="0" w:color="auto"/>
        <w:bottom w:val="none" w:sz="0" w:space="0" w:color="auto"/>
        <w:right w:val="none" w:sz="0" w:space="0" w:color="auto"/>
      </w:divBdr>
      <w:divsChild>
        <w:div w:id="2101412013">
          <w:marLeft w:val="0"/>
          <w:marRight w:val="0"/>
          <w:marTop w:val="0"/>
          <w:marBottom w:val="0"/>
          <w:divBdr>
            <w:top w:val="none" w:sz="0" w:space="0" w:color="auto"/>
            <w:left w:val="none" w:sz="0" w:space="0" w:color="auto"/>
            <w:bottom w:val="none" w:sz="0" w:space="0" w:color="auto"/>
            <w:right w:val="none" w:sz="0" w:space="0" w:color="auto"/>
          </w:divBdr>
          <w:divsChild>
            <w:div w:id="271983111">
              <w:marLeft w:val="0"/>
              <w:marRight w:val="0"/>
              <w:marTop w:val="0"/>
              <w:marBottom w:val="0"/>
              <w:divBdr>
                <w:top w:val="none" w:sz="0" w:space="0" w:color="auto"/>
                <w:left w:val="none" w:sz="0" w:space="0" w:color="auto"/>
                <w:bottom w:val="none" w:sz="0" w:space="0" w:color="auto"/>
                <w:right w:val="none" w:sz="0" w:space="0" w:color="auto"/>
              </w:divBdr>
            </w:div>
          </w:divsChild>
        </w:div>
        <w:div w:id="1376077683">
          <w:marLeft w:val="0"/>
          <w:marRight w:val="0"/>
          <w:marTop w:val="0"/>
          <w:marBottom w:val="0"/>
          <w:divBdr>
            <w:top w:val="none" w:sz="0" w:space="0" w:color="auto"/>
            <w:left w:val="none" w:sz="0" w:space="0" w:color="auto"/>
            <w:bottom w:val="none" w:sz="0" w:space="0" w:color="auto"/>
            <w:right w:val="none" w:sz="0" w:space="0" w:color="auto"/>
          </w:divBdr>
          <w:divsChild>
            <w:div w:id="2028167927">
              <w:marLeft w:val="0"/>
              <w:marRight w:val="0"/>
              <w:marTop w:val="0"/>
              <w:marBottom w:val="0"/>
              <w:divBdr>
                <w:top w:val="none" w:sz="0" w:space="0" w:color="auto"/>
                <w:left w:val="none" w:sz="0" w:space="0" w:color="auto"/>
                <w:bottom w:val="none" w:sz="0" w:space="0" w:color="auto"/>
                <w:right w:val="none" w:sz="0" w:space="0" w:color="auto"/>
              </w:divBdr>
            </w:div>
          </w:divsChild>
        </w:div>
        <w:div w:id="1813251523">
          <w:marLeft w:val="0"/>
          <w:marRight w:val="0"/>
          <w:marTop w:val="0"/>
          <w:marBottom w:val="0"/>
          <w:divBdr>
            <w:top w:val="none" w:sz="0" w:space="0" w:color="auto"/>
            <w:left w:val="none" w:sz="0" w:space="0" w:color="auto"/>
            <w:bottom w:val="none" w:sz="0" w:space="0" w:color="auto"/>
            <w:right w:val="none" w:sz="0" w:space="0" w:color="auto"/>
          </w:divBdr>
          <w:divsChild>
            <w:div w:id="503978612">
              <w:marLeft w:val="0"/>
              <w:marRight w:val="0"/>
              <w:marTop w:val="0"/>
              <w:marBottom w:val="0"/>
              <w:divBdr>
                <w:top w:val="none" w:sz="0" w:space="0" w:color="auto"/>
                <w:left w:val="none" w:sz="0" w:space="0" w:color="auto"/>
                <w:bottom w:val="none" w:sz="0" w:space="0" w:color="auto"/>
                <w:right w:val="none" w:sz="0" w:space="0" w:color="auto"/>
              </w:divBdr>
            </w:div>
          </w:divsChild>
        </w:div>
        <w:div w:id="1303971095">
          <w:marLeft w:val="0"/>
          <w:marRight w:val="0"/>
          <w:marTop w:val="0"/>
          <w:marBottom w:val="0"/>
          <w:divBdr>
            <w:top w:val="none" w:sz="0" w:space="0" w:color="auto"/>
            <w:left w:val="none" w:sz="0" w:space="0" w:color="auto"/>
            <w:bottom w:val="none" w:sz="0" w:space="0" w:color="auto"/>
            <w:right w:val="none" w:sz="0" w:space="0" w:color="auto"/>
          </w:divBdr>
          <w:divsChild>
            <w:div w:id="37516231">
              <w:marLeft w:val="0"/>
              <w:marRight w:val="0"/>
              <w:marTop w:val="0"/>
              <w:marBottom w:val="0"/>
              <w:divBdr>
                <w:top w:val="none" w:sz="0" w:space="0" w:color="auto"/>
                <w:left w:val="none" w:sz="0" w:space="0" w:color="auto"/>
                <w:bottom w:val="none" w:sz="0" w:space="0" w:color="auto"/>
                <w:right w:val="none" w:sz="0" w:space="0" w:color="auto"/>
              </w:divBdr>
            </w:div>
          </w:divsChild>
        </w:div>
        <w:div w:id="1339313489">
          <w:marLeft w:val="0"/>
          <w:marRight w:val="0"/>
          <w:marTop w:val="0"/>
          <w:marBottom w:val="0"/>
          <w:divBdr>
            <w:top w:val="none" w:sz="0" w:space="0" w:color="auto"/>
            <w:left w:val="none" w:sz="0" w:space="0" w:color="auto"/>
            <w:bottom w:val="none" w:sz="0" w:space="0" w:color="auto"/>
            <w:right w:val="none" w:sz="0" w:space="0" w:color="auto"/>
          </w:divBdr>
          <w:divsChild>
            <w:div w:id="1358118468">
              <w:marLeft w:val="0"/>
              <w:marRight w:val="0"/>
              <w:marTop w:val="0"/>
              <w:marBottom w:val="0"/>
              <w:divBdr>
                <w:top w:val="none" w:sz="0" w:space="0" w:color="auto"/>
                <w:left w:val="none" w:sz="0" w:space="0" w:color="auto"/>
                <w:bottom w:val="none" w:sz="0" w:space="0" w:color="auto"/>
                <w:right w:val="none" w:sz="0" w:space="0" w:color="auto"/>
              </w:divBdr>
            </w:div>
          </w:divsChild>
        </w:div>
        <w:div w:id="583808605">
          <w:marLeft w:val="0"/>
          <w:marRight w:val="0"/>
          <w:marTop w:val="0"/>
          <w:marBottom w:val="0"/>
          <w:divBdr>
            <w:top w:val="none" w:sz="0" w:space="0" w:color="auto"/>
            <w:left w:val="none" w:sz="0" w:space="0" w:color="auto"/>
            <w:bottom w:val="none" w:sz="0" w:space="0" w:color="auto"/>
            <w:right w:val="none" w:sz="0" w:space="0" w:color="auto"/>
          </w:divBdr>
          <w:divsChild>
            <w:div w:id="790977987">
              <w:marLeft w:val="0"/>
              <w:marRight w:val="0"/>
              <w:marTop w:val="0"/>
              <w:marBottom w:val="0"/>
              <w:divBdr>
                <w:top w:val="none" w:sz="0" w:space="0" w:color="auto"/>
                <w:left w:val="none" w:sz="0" w:space="0" w:color="auto"/>
                <w:bottom w:val="none" w:sz="0" w:space="0" w:color="auto"/>
                <w:right w:val="none" w:sz="0" w:space="0" w:color="auto"/>
              </w:divBdr>
            </w:div>
          </w:divsChild>
        </w:div>
        <w:div w:id="1619338307">
          <w:marLeft w:val="0"/>
          <w:marRight w:val="0"/>
          <w:marTop w:val="0"/>
          <w:marBottom w:val="0"/>
          <w:divBdr>
            <w:top w:val="none" w:sz="0" w:space="0" w:color="auto"/>
            <w:left w:val="none" w:sz="0" w:space="0" w:color="auto"/>
            <w:bottom w:val="none" w:sz="0" w:space="0" w:color="auto"/>
            <w:right w:val="none" w:sz="0" w:space="0" w:color="auto"/>
          </w:divBdr>
          <w:divsChild>
            <w:div w:id="787550602">
              <w:marLeft w:val="0"/>
              <w:marRight w:val="0"/>
              <w:marTop w:val="0"/>
              <w:marBottom w:val="0"/>
              <w:divBdr>
                <w:top w:val="none" w:sz="0" w:space="0" w:color="auto"/>
                <w:left w:val="none" w:sz="0" w:space="0" w:color="auto"/>
                <w:bottom w:val="none" w:sz="0" w:space="0" w:color="auto"/>
                <w:right w:val="none" w:sz="0" w:space="0" w:color="auto"/>
              </w:divBdr>
            </w:div>
          </w:divsChild>
        </w:div>
        <w:div w:id="1968927897">
          <w:marLeft w:val="0"/>
          <w:marRight w:val="0"/>
          <w:marTop w:val="0"/>
          <w:marBottom w:val="0"/>
          <w:divBdr>
            <w:top w:val="none" w:sz="0" w:space="0" w:color="auto"/>
            <w:left w:val="none" w:sz="0" w:space="0" w:color="auto"/>
            <w:bottom w:val="none" w:sz="0" w:space="0" w:color="auto"/>
            <w:right w:val="none" w:sz="0" w:space="0" w:color="auto"/>
          </w:divBdr>
          <w:divsChild>
            <w:div w:id="1096756000">
              <w:marLeft w:val="0"/>
              <w:marRight w:val="0"/>
              <w:marTop w:val="0"/>
              <w:marBottom w:val="0"/>
              <w:divBdr>
                <w:top w:val="none" w:sz="0" w:space="0" w:color="auto"/>
                <w:left w:val="none" w:sz="0" w:space="0" w:color="auto"/>
                <w:bottom w:val="none" w:sz="0" w:space="0" w:color="auto"/>
                <w:right w:val="none" w:sz="0" w:space="0" w:color="auto"/>
              </w:divBdr>
            </w:div>
          </w:divsChild>
        </w:div>
        <w:div w:id="1848131058">
          <w:marLeft w:val="0"/>
          <w:marRight w:val="0"/>
          <w:marTop w:val="0"/>
          <w:marBottom w:val="0"/>
          <w:divBdr>
            <w:top w:val="none" w:sz="0" w:space="0" w:color="auto"/>
            <w:left w:val="none" w:sz="0" w:space="0" w:color="auto"/>
            <w:bottom w:val="none" w:sz="0" w:space="0" w:color="auto"/>
            <w:right w:val="none" w:sz="0" w:space="0" w:color="auto"/>
          </w:divBdr>
          <w:divsChild>
            <w:div w:id="1257053149">
              <w:marLeft w:val="0"/>
              <w:marRight w:val="0"/>
              <w:marTop w:val="0"/>
              <w:marBottom w:val="0"/>
              <w:divBdr>
                <w:top w:val="none" w:sz="0" w:space="0" w:color="auto"/>
                <w:left w:val="none" w:sz="0" w:space="0" w:color="auto"/>
                <w:bottom w:val="none" w:sz="0" w:space="0" w:color="auto"/>
                <w:right w:val="none" w:sz="0" w:space="0" w:color="auto"/>
              </w:divBdr>
            </w:div>
          </w:divsChild>
        </w:div>
        <w:div w:id="1008941891">
          <w:marLeft w:val="0"/>
          <w:marRight w:val="0"/>
          <w:marTop w:val="0"/>
          <w:marBottom w:val="0"/>
          <w:divBdr>
            <w:top w:val="none" w:sz="0" w:space="0" w:color="auto"/>
            <w:left w:val="none" w:sz="0" w:space="0" w:color="auto"/>
            <w:bottom w:val="none" w:sz="0" w:space="0" w:color="auto"/>
            <w:right w:val="none" w:sz="0" w:space="0" w:color="auto"/>
          </w:divBdr>
          <w:divsChild>
            <w:div w:id="309019441">
              <w:marLeft w:val="0"/>
              <w:marRight w:val="0"/>
              <w:marTop w:val="0"/>
              <w:marBottom w:val="0"/>
              <w:divBdr>
                <w:top w:val="none" w:sz="0" w:space="0" w:color="auto"/>
                <w:left w:val="none" w:sz="0" w:space="0" w:color="auto"/>
                <w:bottom w:val="none" w:sz="0" w:space="0" w:color="auto"/>
                <w:right w:val="none" w:sz="0" w:space="0" w:color="auto"/>
              </w:divBdr>
            </w:div>
          </w:divsChild>
        </w:div>
        <w:div w:id="2006738576">
          <w:marLeft w:val="0"/>
          <w:marRight w:val="0"/>
          <w:marTop w:val="0"/>
          <w:marBottom w:val="0"/>
          <w:divBdr>
            <w:top w:val="none" w:sz="0" w:space="0" w:color="auto"/>
            <w:left w:val="none" w:sz="0" w:space="0" w:color="auto"/>
            <w:bottom w:val="none" w:sz="0" w:space="0" w:color="auto"/>
            <w:right w:val="none" w:sz="0" w:space="0" w:color="auto"/>
          </w:divBdr>
          <w:divsChild>
            <w:div w:id="416288115">
              <w:marLeft w:val="0"/>
              <w:marRight w:val="0"/>
              <w:marTop w:val="0"/>
              <w:marBottom w:val="0"/>
              <w:divBdr>
                <w:top w:val="none" w:sz="0" w:space="0" w:color="auto"/>
                <w:left w:val="none" w:sz="0" w:space="0" w:color="auto"/>
                <w:bottom w:val="none" w:sz="0" w:space="0" w:color="auto"/>
                <w:right w:val="none" w:sz="0" w:space="0" w:color="auto"/>
              </w:divBdr>
            </w:div>
          </w:divsChild>
        </w:div>
        <w:div w:id="767194941">
          <w:marLeft w:val="0"/>
          <w:marRight w:val="0"/>
          <w:marTop w:val="0"/>
          <w:marBottom w:val="0"/>
          <w:divBdr>
            <w:top w:val="none" w:sz="0" w:space="0" w:color="auto"/>
            <w:left w:val="none" w:sz="0" w:space="0" w:color="auto"/>
            <w:bottom w:val="none" w:sz="0" w:space="0" w:color="auto"/>
            <w:right w:val="none" w:sz="0" w:space="0" w:color="auto"/>
          </w:divBdr>
          <w:divsChild>
            <w:div w:id="1435857432">
              <w:marLeft w:val="0"/>
              <w:marRight w:val="0"/>
              <w:marTop w:val="0"/>
              <w:marBottom w:val="0"/>
              <w:divBdr>
                <w:top w:val="none" w:sz="0" w:space="0" w:color="auto"/>
                <w:left w:val="none" w:sz="0" w:space="0" w:color="auto"/>
                <w:bottom w:val="none" w:sz="0" w:space="0" w:color="auto"/>
                <w:right w:val="none" w:sz="0" w:space="0" w:color="auto"/>
              </w:divBdr>
            </w:div>
          </w:divsChild>
        </w:div>
        <w:div w:id="2047825687">
          <w:marLeft w:val="0"/>
          <w:marRight w:val="0"/>
          <w:marTop w:val="0"/>
          <w:marBottom w:val="0"/>
          <w:divBdr>
            <w:top w:val="none" w:sz="0" w:space="0" w:color="auto"/>
            <w:left w:val="none" w:sz="0" w:space="0" w:color="auto"/>
            <w:bottom w:val="none" w:sz="0" w:space="0" w:color="auto"/>
            <w:right w:val="none" w:sz="0" w:space="0" w:color="auto"/>
          </w:divBdr>
          <w:divsChild>
            <w:div w:id="269554729">
              <w:marLeft w:val="0"/>
              <w:marRight w:val="0"/>
              <w:marTop w:val="0"/>
              <w:marBottom w:val="0"/>
              <w:divBdr>
                <w:top w:val="none" w:sz="0" w:space="0" w:color="auto"/>
                <w:left w:val="none" w:sz="0" w:space="0" w:color="auto"/>
                <w:bottom w:val="none" w:sz="0" w:space="0" w:color="auto"/>
                <w:right w:val="none" w:sz="0" w:space="0" w:color="auto"/>
              </w:divBdr>
            </w:div>
          </w:divsChild>
        </w:div>
        <w:div w:id="551038587">
          <w:marLeft w:val="0"/>
          <w:marRight w:val="0"/>
          <w:marTop w:val="0"/>
          <w:marBottom w:val="0"/>
          <w:divBdr>
            <w:top w:val="none" w:sz="0" w:space="0" w:color="auto"/>
            <w:left w:val="none" w:sz="0" w:space="0" w:color="auto"/>
            <w:bottom w:val="none" w:sz="0" w:space="0" w:color="auto"/>
            <w:right w:val="none" w:sz="0" w:space="0" w:color="auto"/>
          </w:divBdr>
          <w:divsChild>
            <w:div w:id="881134520">
              <w:marLeft w:val="0"/>
              <w:marRight w:val="0"/>
              <w:marTop w:val="0"/>
              <w:marBottom w:val="0"/>
              <w:divBdr>
                <w:top w:val="none" w:sz="0" w:space="0" w:color="auto"/>
                <w:left w:val="none" w:sz="0" w:space="0" w:color="auto"/>
                <w:bottom w:val="none" w:sz="0" w:space="0" w:color="auto"/>
                <w:right w:val="none" w:sz="0" w:space="0" w:color="auto"/>
              </w:divBdr>
            </w:div>
          </w:divsChild>
        </w:div>
        <w:div w:id="931279132">
          <w:marLeft w:val="0"/>
          <w:marRight w:val="0"/>
          <w:marTop w:val="0"/>
          <w:marBottom w:val="0"/>
          <w:divBdr>
            <w:top w:val="none" w:sz="0" w:space="0" w:color="auto"/>
            <w:left w:val="none" w:sz="0" w:space="0" w:color="auto"/>
            <w:bottom w:val="none" w:sz="0" w:space="0" w:color="auto"/>
            <w:right w:val="none" w:sz="0" w:space="0" w:color="auto"/>
          </w:divBdr>
          <w:divsChild>
            <w:div w:id="982587598">
              <w:marLeft w:val="0"/>
              <w:marRight w:val="0"/>
              <w:marTop w:val="0"/>
              <w:marBottom w:val="0"/>
              <w:divBdr>
                <w:top w:val="none" w:sz="0" w:space="0" w:color="auto"/>
                <w:left w:val="none" w:sz="0" w:space="0" w:color="auto"/>
                <w:bottom w:val="none" w:sz="0" w:space="0" w:color="auto"/>
                <w:right w:val="none" w:sz="0" w:space="0" w:color="auto"/>
              </w:divBdr>
            </w:div>
          </w:divsChild>
        </w:div>
        <w:div w:id="1970429890">
          <w:marLeft w:val="0"/>
          <w:marRight w:val="0"/>
          <w:marTop w:val="0"/>
          <w:marBottom w:val="0"/>
          <w:divBdr>
            <w:top w:val="none" w:sz="0" w:space="0" w:color="auto"/>
            <w:left w:val="none" w:sz="0" w:space="0" w:color="auto"/>
            <w:bottom w:val="none" w:sz="0" w:space="0" w:color="auto"/>
            <w:right w:val="none" w:sz="0" w:space="0" w:color="auto"/>
          </w:divBdr>
          <w:divsChild>
            <w:div w:id="101078529">
              <w:marLeft w:val="0"/>
              <w:marRight w:val="0"/>
              <w:marTop w:val="0"/>
              <w:marBottom w:val="0"/>
              <w:divBdr>
                <w:top w:val="none" w:sz="0" w:space="0" w:color="auto"/>
                <w:left w:val="none" w:sz="0" w:space="0" w:color="auto"/>
                <w:bottom w:val="none" w:sz="0" w:space="0" w:color="auto"/>
                <w:right w:val="none" w:sz="0" w:space="0" w:color="auto"/>
              </w:divBdr>
            </w:div>
          </w:divsChild>
        </w:div>
        <w:div w:id="2055345908">
          <w:marLeft w:val="0"/>
          <w:marRight w:val="0"/>
          <w:marTop w:val="0"/>
          <w:marBottom w:val="0"/>
          <w:divBdr>
            <w:top w:val="none" w:sz="0" w:space="0" w:color="auto"/>
            <w:left w:val="none" w:sz="0" w:space="0" w:color="auto"/>
            <w:bottom w:val="none" w:sz="0" w:space="0" w:color="auto"/>
            <w:right w:val="none" w:sz="0" w:space="0" w:color="auto"/>
          </w:divBdr>
          <w:divsChild>
            <w:div w:id="666245672">
              <w:marLeft w:val="0"/>
              <w:marRight w:val="0"/>
              <w:marTop w:val="0"/>
              <w:marBottom w:val="0"/>
              <w:divBdr>
                <w:top w:val="none" w:sz="0" w:space="0" w:color="auto"/>
                <w:left w:val="none" w:sz="0" w:space="0" w:color="auto"/>
                <w:bottom w:val="none" w:sz="0" w:space="0" w:color="auto"/>
                <w:right w:val="none" w:sz="0" w:space="0" w:color="auto"/>
              </w:divBdr>
            </w:div>
          </w:divsChild>
        </w:div>
        <w:div w:id="1416441142">
          <w:marLeft w:val="0"/>
          <w:marRight w:val="0"/>
          <w:marTop w:val="0"/>
          <w:marBottom w:val="0"/>
          <w:divBdr>
            <w:top w:val="none" w:sz="0" w:space="0" w:color="auto"/>
            <w:left w:val="none" w:sz="0" w:space="0" w:color="auto"/>
            <w:bottom w:val="none" w:sz="0" w:space="0" w:color="auto"/>
            <w:right w:val="none" w:sz="0" w:space="0" w:color="auto"/>
          </w:divBdr>
          <w:divsChild>
            <w:div w:id="434596837">
              <w:marLeft w:val="0"/>
              <w:marRight w:val="0"/>
              <w:marTop w:val="0"/>
              <w:marBottom w:val="0"/>
              <w:divBdr>
                <w:top w:val="none" w:sz="0" w:space="0" w:color="auto"/>
                <w:left w:val="none" w:sz="0" w:space="0" w:color="auto"/>
                <w:bottom w:val="none" w:sz="0" w:space="0" w:color="auto"/>
                <w:right w:val="none" w:sz="0" w:space="0" w:color="auto"/>
              </w:divBdr>
            </w:div>
          </w:divsChild>
        </w:div>
        <w:div w:id="1792549809">
          <w:marLeft w:val="0"/>
          <w:marRight w:val="0"/>
          <w:marTop w:val="0"/>
          <w:marBottom w:val="0"/>
          <w:divBdr>
            <w:top w:val="none" w:sz="0" w:space="0" w:color="auto"/>
            <w:left w:val="none" w:sz="0" w:space="0" w:color="auto"/>
            <w:bottom w:val="none" w:sz="0" w:space="0" w:color="auto"/>
            <w:right w:val="none" w:sz="0" w:space="0" w:color="auto"/>
          </w:divBdr>
          <w:divsChild>
            <w:div w:id="2023587695">
              <w:marLeft w:val="0"/>
              <w:marRight w:val="0"/>
              <w:marTop w:val="0"/>
              <w:marBottom w:val="0"/>
              <w:divBdr>
                <w:top w:val="none" w:sz="0" w:space="0" w:color="auto"/>
                <w:left w:val="none" w:sz="0" w:space="0" w:color="auto"/>
                <w:bottom w:val="none" w:sz="0" w:space="0" w:color="auto"/>
                <w:right w:val="none" w:sz="0" w:space="0" w:color="auto"/>
              </w:divBdr>
            </w:div>
          </w:divsChild>
        </w:div>
        <w:div w:id="1733111876">
          <w:marLeft w:val="0"/>
          <w:marRight w:val="0"/>
          <w:marTop w:val="0"/>
          <w:marBottom w:val="0"/>
          <w:divBdr>
            <w:top w:val="none" w:sz="0" w:space="0" w:color="auto"/>
            <w:left w:val="none" w:sz="0" w:space="0" w:color="auto"/>
            <w:bottom w:val="none" w:sz="0" w:space="0" w:color="auto"/>
            <w:right w:val="none" w:sz="0" w:space="0" w:color="auto"/>
          </w:divBdr>
          <w:divsChild>
            <w:div w:id="157130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381386">
      <w:bodyDiv w:val="1"/>
      <w:marLeft w:val="0"/>
      <w:marRight w:val="0"/>
      <w:marTop w:val="0"/>
      <w:marBottom w:val="0"/>
      <w:divBdr>
        <w:top w:val="none" w:sz="0" w:space="0" w:color="auto"/>
        <w:left w:val="none" w:sz="0" w:space="0" w:color="auto"/>
        <w:bottom w:val="none" w:sz="0" w:space="0" w:color="auto"/>
        <w:right w:val="none" w:sz="0" w:space="0" w:color="auto"/>
      </w:divBdr>
    </w:div>
    <w:div w:id="304432569">
      <w:bodyDiv w:val="1"/>
      <w:marLeft w:val="0"/>
      <w:marRight w:val="0"/>
      <w:marTop w:val="0"/>
      <w:marBottom w:val="0"/>
      <w:divBdr>
        <w:top w:val="none" w:sz="0" w:space="0" w:color="auto"/>
        <w:left w:val="none" w:sz="0" w:space="0" w:color="auto"/>
        <w:bottom w:val="none" w:sz="0" w:space="0" w:color="auto"/>
        <w:right w:val="none" w:sz="0" w:space="0" w:color="auto"/>
      </w:divBdr>
    </w:div>
    <w:div w:id="325861022">
      <w:bodyDiv w:val="1"/>
      <w:marLeft w:val="0"/>
      <w:marRight w:val="0"/>
      <w:marTop w:val="0"/>
      <w:marBottom w:val="0"/>
      <w:divBdr>
        <w:top w:val="none" w:sz="0" w:space="0" w:color="auto"/>
        <w:left w:val="none" w:sz="0" w:space="0" w:color="auto"/>
        <w:bottom w:val="none" w:sz="0" w:space="0" w:color="auto"/>
        <w:right w:val="none" w:sz="0" w:space="0" w:color="auto"/>
      </w:divBdr>
    </w:div>
    <w:div w:id="449056790">
      <w:bodyDiv w:val="1"/>
      <w:marLeft w:val="0"/>
      <w:marRight w:val="0"/>
      <w:marTop w:val="0"/>
      <w:marBottom w:val="0"/>
      <w:divBdr>
        <w:top w:val="none" w:sz="0" w:space="0" w:color="auto"/>
        <w:left w:val="none" w:sz="0" w:space="0" w:color="auto"/>
        <w:bottom w:val="none" w:sz="0" w:space="0" w:color="auto"/>
        <w:right w:val="none" w:sz="0" w:space="0" w:color="auto"/>
      </w:divBdr>
    </w:div>
    <w:div w:id="481846665">
      <w:bodyDiv w:val="1"/>
      <w:marLeft w:val="0"/>
      <w:marRight w:val="0"/>
      <w:marTop w:val="0"/>
      <w:marBottom w:val="0"/>
      <w:divBdr>
        <w:top w:val="none" w:sz="0" w:space="0" w:color="auto"/>
        <w:left w:val="none" w:sz="0" w:space="0" w:color="auto"/>
        <w:bottom w:val="none" w:sz="0" w:space="0" w:color="auto"/>
        <w:right w:val="none" w:sz="0" w:space="0" w:color="auto"/>
      </w:divBdr>
    </w:div>
    <w:div w:id="495850042">
      <w:bodyDiv w:val="1"/>
      <w:marLeft w:val="0"/>
      <w:marRight w:val="0"/>
      <w:marTop w:val="0"/>
      <w:marBottom w:val="0"/>
      <w:divBdr>
        <w:top w:val="none" w:sz="0" w:space="0" w:color="auto"/>
        <w:left w:val="none" w:sz="0" w:space="0" w:color="auto"/>
        <w:bottom w:val="none" w:sz="0" w:space="0" w:color="auto"/>
        <w:right w:val="none" w:sz="0" w:space="0" w:color="auto"/>
      </w:divBdr>
    </w:div>
    <w:div w:id="578833998">
      <w:bodyDiv w:val="1"/>
      <w:marLeft w:val="0"/>
      <w:marRight w:val="0"/>
      <w:marTop w:val="0"/>
      <w:marBottom w:val="0"/>
      <w:divBdr>
        <w:top w:val="none" w:sz="0" w:space="0" w:color="auto"/>
        <w:left w:val="none" w:sz="0" w:space="0" w:color="auto"/>
        <w:bottom w:val="none" w:sz="0" w:space="0" w:color="auto"/>
        <w:right w:val="none" w:sz="0" w:space="0" w:color="auto"/>
      </w:divBdr>
    </w:div>
    <w:div w:id="715085630">
      <w:bodyDiv w:val="1"/>
      <w:marLeft w:val="0"/>
      <w:marRight w:val="0"/>
      <w:marTop w:val="0"/>
      <w:marBottom w:val="0"/>
      <w:divBdr>
        <w:top w:val="none" w:sz="0" w:space="0" w:color="auto"/>
        <w:left w:val="none" w:sz="0" w:space="0" w:color="auto"/>
        <w:bottom w:val="none" w:sz="0" w:space="0" w:color="auto"/>
        <w:right w:val="none" w:sz="0" w:space="0" w:color="auto"/>
      </w:divBdr>
    </w:div>
    <w:div w:id="771903032">
      <w:bodyDiv w:val="1"/>
      <w:marLeft w:val="0"/>
      <w:marRight w:val="0"/>
      <w:marTop w:val="0"/>
      <w:marBottom w:val="0"/>
      <w:divBdr>
        <w:top w:val="none" w:sz="0" w:space="0" w:color="auto"/>
        <w:left w:val="none" w:sz="0" w:space="0" w:color="auto"/>
        <w:bottom w:val="none" w:sz="0" w:space="0" w:color="auto"/>
        <w:right w:val="none" w:sz="0" w:space="0" w:color="auto"/>
      </w:divBdr>
    </w:div>
    <w:div w:id="775515891">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42628288">
      <w:bodyDiv w:val="1"/>
      <w:marLeft w:val="0"/>
      <w:marRight w:val="0"/>
      <w:marTop w:val="0"/>
      <w:marBottom w:val="0"/>
      <w:divBdr>
        <w:top w:val="none" w:sz="0" w:space="0" w:color="auto"/>
        <w:left w:val="none" w:sz="0" w:space="0" w:color="auto"/>
        <w:bottom w:val="none" w:sz="0" w:space="0" w:color="auto"/>
        <w:right w:val="none" w:sz="0" w:space="0" w:color="auto"/>
      </w:divBdr>
    </w:div>
    <w:div w:id="877621147">
      <w:bodyDiv w:val="1"/>
      <w:marLeft w:val="0"/>
      <w:marRight w:val="0"/>
      <w:marTop w:val="0"/>
      <w:marBottom w:val="0"/>
      <w:divBdr>
        <w:top w:val="none" w:sz="0" w:space="0" w:color="auto"/>
        <w:left w:val="none" w:sz="0" w:space="0" w:color="auto"/>
        <w:bottom w:val="none" w:sz="0" w:space="0" w:color="auto"/>
        <w:right w:val="none" w:sz="0" w:space="0" w:color="auto"/>
      </w:divBdr>
    </w:div>
    <w:div w:id="897320581">
      <w:bodyDiv w:val="1"/>
      <w:marLeft w:val="0"/>
      <w:marRight w:val="0"/>
      <w:marTop w:val="0"/>
      <w:marBottom w:val="0"/>
      <w:divBdr>
        <w:top w:val="none" w:sz="0" w:space="0" w:color="auto"/>
        <w:left w:val="none" w:sz="0" w:space="0" w:color="auto"/>
        <w:bottom w:val="none" w:sz="0" w:space="0" w:color="auto"/>
        <w:right w:val="none" w:sz="0" w:space="0" w:color="auto"/>
      </w:divBdr>
    </w:div>
    <w:div w:id="935214610">
      <w:bodyDiv w:val="1"/>
      <w:marLeft w:val="0"/>
      <w:marRight w:val="0"/>
      <w:marTop w:val="0"/>
      <w:marBottom w:val="0"/>
      <w:divBdr>
        <w:top w:val="none" w:sz="0" w:space="0" w:color="auto"/>
        <w:left w:val="none" w:sz="0" w:space="0" w:color="auto"/>
        <w:bottom w:val="none" w:sz="0" w:space="0" w:color="auto"/>
        <w:right w:val="none" w:sz="0" w:space="0" w:color="auto"/>
      </w:divBdr>
    </w:div>
    <w:div w:id="951128012">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37779370">
      <w:bodyDiv w:val="1"/>
      <w:marLeft w:val="0"/>
      <w:marRight w:val="0"/>
      <w:marTop w:val="0"/>
      <w:marBottom w:val="0"/>
      <w:divBdr>
        <w:top w:val="none" w:sz="0" w:space="0" w:color="auto"/>
        <w:left w:val="none" w:sz="0" w:space="0" w:color="auto"/>
        <w:bottom w:val="none" w:sz="0" w:space="0" w:color="auto"/>
        <w:right w:val="none" w:sz="0" w:space="0" w:color="auto"/>
      </w:divBdr>
      <w:divsChild>
        <w:div w:id="176771454">
          <w:marLeft w:val="0"/>
          <w:marRight w:val="0"/>
          <w:marTop w:val="0"/>
          <w:marBottom w:val="0"/>
          <w:divBdr>
            <w:top w:val="none" w:sz="0" w:space="0" w:color="auto"/>
            <w:left w:val="none" w:sz="0" w:space="0" w:color="auto"/>
            <w:bottom w:val="none" w:sz="0" w:space="0" w:color="auto"/>
            <w:right w:val="none" w:sz="0" w:space="0" w:color="auto"/>
          </w:divBdr>
        </w:div>
        <w:div w:id="1613972161">
          <w:marLeft w:val="0"/>
          <w:marRight w:val="0"/>
          <w:marTop w:val="0"/>
          <w:marBottom w:val="0"/>
          <w:divBdr>
            <w:top w:val="none" w:sz="0" w:space="0" w:color="auto"/>
            <w:left w:val="none" w:sz="0" w:space="0" w:color="auto"/>
            <w:bottom w:val="none" w:sz="0" w:space="0" w:color="auto"/>
            <w:right w:val="none" w:sz="0" w:space="0" w:color="auto"/>
          </w:divBdr>
        </w:div>
        <w:div w:id="346255039">
          <w:marLeft w:val="0"/>
          <w:marRight w:val="0"/>
          <w:marTop w:val="0"/>
          <w:marBottom w:val="0"/>
          <w:divBdr>
            <w:top w:val="none" w:sz="0" w:space="0" w:color="auto"/>
            <w:left w:val="none" w:sz="0" w:space="0" w:color="auto"/>
            <w:bottom w:val="none" w:sz="0" w:space="0" w:color="auto"/>
            <w:right w:val="none" w:sz="0" w:space="0" w:color="auto"/>
          </w:divBdr>
        </w:div>
      </w:divsChild>
    </w:div>
    <w:div w:id="1078020120">
      <w:bodyDiv w:val="1"/>
      <w:marLeft w:val="0"/>
      <w:marRight w:val="0"/>
      <w:marTop w:val="0"/>
      <w:marBottom w:val="0"/>
      <w:divBdr>
        <w:top w:val="none" w:sz="0" w:space="0" w:color="auto"/>
        <w:left w:val="none" w:sz="0" w:space="0" w:color="auto"/>
        <w:bottom w:val="none" w:sz="0" w:space="0" w:color="auto"/>
        <w:right w:val="none" w:sz="0" w:space="0" w:color="auto"/>
      </w:divBdr>
    </w:div>
    <w:div w:id="1078284604">
      <w:bodyDiv w:val="1"/>
      <w:marLeft w:val="0"/>
      <w:marRight w:val="0"/>
      <w:marTop w:val="0"/>
      <w:marBottom w:val="0"/>
      <w:divBdr>
        <w:top w:val="none" w:sz="0" w:space="0" w:color="auto"/>
        <w:left w:val="none" w:sz="0" w:space="0" w:color="auto"/>
        <w:bottom w:val="none" w:sz="0" w:space="0" w:color="auto"/>
        <w:right w:val="none" w:sz="0" w:space="0" w:color="auto"/>
      </w:divBdr>
    </w:div>
    <w:div w:id="1102146572">
      <w:bodyDiv w:val="1"/>
      <w:marLeft w:val="0"/>
      <w:marRight w:val="0"/>
      <w:marTop w:val="0"/>
      <w:marBottom w:val="0"/>
      <w:divBdr>
        <w:top w:val="none" w:sz="0" w:space="0" w:color="auto"/>
        <w:left w:val="none" w:sz="0" w:space="0" w:color="auto"/>
        <w:bottom w:val="none" w:sz="0" w:space="0" w:color="auto"/>
        <w:right w:val="none" w:sz="0" w:space="0" w:color="auto"/>
      </w:divBdr>
    </w:div>
    <w:div w:id="1202934967">
      <w:bodyDiv w:val="1"/>
      <w:marLeft w:val="0"/>
      <w:marRight w:val="0"/>
      <w:marTop w:val="0"/>
      <w:marBottom w:val="0"/>
      <w:divBdr>
        <w:top w:val="none" w:sz="0" w:space="0" w:color="auto"/>
        <w:left w:val="none" w:sz="0" w:space="0" w:color="auto"/>
        <w:bottom w:val="none" w:sz="0" w:space="0" w:color="auto"/>
        <w:right w:val="none" w:sz="0" w:space="0" w:color="auto"/>
      </w:divBdr>
    </w:div>
    <w:div w:id="1281183068">
      <w:bodyDiv w:val="1"/>
      <w:marLeft w:val="0"/>
      <w:marRight w:val="0"/>
      <w:marTop w:val="0"/>
      <w:marBottom w:val="0"/>
      <w:divBdr>
        <w:top w:val="none" w:sz="0" w:space="0" w:color="auto"/>
        <w:left w:val="none" w:sz="0" w:space="0" w:color="auto"/>
        <w:bottom w:val="none" w:sz="0" w:space="0" w:color="auto"/>
        <w:right w:val="none" w:sz="0" w:space="0" w:color="auto"/>
      </w:divBdr>
    </w:div>
    <w:div w:id="1380282222">
      <w:bodyDiv w:val="1"/>
      <w:marLeft w:val="0"/>
      <w:marRight w:val="0"/>
      <w:marTop w:val="0"/>
      <w:marBottom w:val="0"/>
      <w:divBdr>
        <w:top w:val="none" w:sz="0" w:space="0" w:color="auto"/>
        <w:left w:val="none" w:sz="0" w:space="0" w:color="auto"/>
        <w:bottom w:val="none" w:sz="0" w:space="0" w:color="auto"/>
        <w:right w:val="none" w:sz="0" w:space="0" w:color="auto"/>
      </w:divBdr>
    </w:div>
    <w:div w:id="1393390173">
      <w:bodyDiv w:val="1"/>
      <w:marLeft w:val="0"/>
      <w:marRight w:val="0"/>
      <w:marTop w:val="0"/>
      <w:marBottom w:val="0"/>
      <w:divBdr>
        <w:top w:val="none" w:sz="0" w:space="0" w:color="auto"/>
        <w:left w:val="none" w:sz="0" w:space="0" w:color="auto"/>
        <w:bottom w:val="none" w:sz="0" w:space="0" w:color="auto"/>
        <w:right w:val="none" w:sz="0" w:space="0" w:color="auto"/>
      </w:divBdr>
    </w:div>
    <w:div w:id="1439787767">
      <w:bodyDiv w:val="1"/>
      <w:marLeft w:val="0"/>
      <w:marRight w:val="0"/>
      <w:marTop w:val="0"/>
      <w:marBottom w:val="0"/>
      <w:divBdr>
        <w:top w:val="none" w:sz="0" w:space="0" w:color="auto"/>
        <w:left w:val="none" w:sz="0" w:space="0" w:color="auto"/>
        <w:bottom w:val="none" w:sz="0" w:space="0" w:color="auto"/>
        <w:right w:val="none" w:sz="0" w:space="0" w:color="auto"/>
      </w:divBdr>
    </w:div>
    <w:div w:id="1445542196">
      <w:bodyDiv w:val="1"/>
      <w:marLeft w:val="0"/>
      <w:marRight w:val="0"/>
      <w:marTop w:val="0"/>
      <w:marBottom w:val="0"/>
      <w:divBdr>
        <w:top w:val="none" w:sz="0" w:space="0" w:color="auto"/>
        <w:left w:val="none" w:sz="0" w:space="0" w:color="auto"/>
        <w:bottom w:val="none" w:sz="0" w:space="0" w:color="auto"/>
        <w:right w:val="none" w:sz="0" w:space="0" w:color="auto"/>
      </w:divBdr>
    </w:div>
    <w:div w:id="1489520071">
      <w:bodyDiv w:val="1"/>
      <w:marLeft w:val="0"/>
      <w:marRight w:val="0"/>
      <w:marTop w:val="0"/>
      <w:marBottom w:val="0"/>
      <w:divBdr>
        <w:top w:val="none" w:sz="0" w:space="0" w:color="auto"/>
        <w:left w:val="none" w:sz="0" w:space="0" w:color="auto"/>
        <w:bottom w:val="none" w:sz="0" w:space="0" w:color="auto"/>
        <w:right w:val="none" w:sz="0" w:space="0" w:color="auto"/>
      </w:divBdr>
    </w:div>
    <w:div w:id="1492599488">
      <w:bodyDiv w:val="1"/>
      <w:marLeft w:val="0"/>
      <w:marRight w:val="0"/>
      <w:marTop w:val="0"/>
      <w:marBottom w:val="0"/>
      <w:divBdr>
        <w:top w:val="none" w:sz="0" w:space="0" w:color="auto"/>
        <w:left w:val="none" w:sz="0" w:space="0" w:color="auto"/>
        <w:bottom w:val="none" w:sz="0" w:space="0" w:color="auto"/>
        <w:right w:val="none" w:sz="0" w:space="0" w:color="auto"/>
      </w:divBdr>
    </w:div>
    <w:div w:id="1502625040">
      <w:bodyDiv w:val="1"/>
      <w:marLeft w:val="0"/>
      <w:marRight w:val="0"/>
      <w:marTop w:val="0"/>
      <w:marBottom w:val="0"/>
      <w:divBdr>
        <w:top w:val="none" w:sz="0" w:space="0" w:color="auto"/>
        <w:left w:val="none" w:sz="0" w:space="0" w:color="auto"/>
        <w:bottom w:val="none" w:sz="0" w:space="0" w:color="auto"/>
        <w:right w:val="none" w:sz="0" w:space="0" w:color="auto"/>
      </w:divBdr>
      <w:divsChild>
        <w:div w:id="632100526">
          <w:marLeft w:val="0"/>
          <w:marRight w:val="0"/>
          <w:marTop w:val="0"/>
          <w:marBottom w:val="0"/>
          <w:divBdr>
            <w:top w:val="none" w:sz="0" w:space="0" w:color="auto"/>
            <w:left w:val="none" w:sz="0" w:space="0" w:color="auto"/>
            <w:bottom w:val="none" w:sz="0" w:space="0" w:color="auto"/>
            <w:right w:val="none" w:sz="0" w:space="0" w:color="auto"/>
          </w:divBdr>
        </w:div>
        <w:div w:id="616065962">
          <w:marLeft w:val="0"/>
          <w:marRight w:val="0"/>
          <w:marTop w:val="0"/>
          <w:marBottom w:val="0"/>
          <w:divBdr>
            <w:top w:val="none" w:sz="0" w:space="0" w:color="auto"/>
            <w:left w:val="none" w:sz="0" w:space="0" w:color="auto"/>
            <w:bottom w:val="none" w:sz="0" w:space="0" w:color="auto"/>
            <w:right w:val="none" w:sz="0" w:space="0" w:color="auto"/>
          </w:divBdr>
        </w:div>
        <w:div w:id="1866020643">
          <w:marLeft w:val="0"/>
          <w:marRight w:val="0"/>
          <w:marTop w:val="0"/>
          <w:marBottom w:val="0"/>
          <w:divBdr>
            <w:top w:val="none" w:sz="0" w:space="0" w:color="auto"/>
            <w:left w:val="none" w:sz="0" w:space="0" w:color="auto"/>
            <w:bottom w:val="none" w:sz="0" w:space="0" w:color="auto"/>
            <w:right w:val="none" w:sz="0" w:space="0" w:color="auto"/>
          </w:divBdr>
        </w:div>
      </w:divsChild>
    </w:div>
    <w:div w:id="1527674452">
      <w:bodyDiv w:val="1"/>
      <w:marLeft w:val="0"/>
      <w:marRight w:val="0"/>
      <w:marTop w:val="0"/>
      <w:marBottom w:val="0"/>
      <w:divBdr>
        <w:top w:val="none" w:sz="0" w:space="0" w:color="auto"/>
        <w:left w:val="none" w:sz="0" w:space="0" w:color="auto"/>
        <w:bottom w:val="none" w:sz="0" w:space="0" w:color="auto"/>
        <w:right w:val="none" w:sz="0" w:space="0" w:color="auto"/>
      </w:divBdr>
    </w:div>
    <w:div w:id="1694725040">
      <w:bodyDiv w:val="1"/>
      <w:marLeft w:val="0"/>
      <w:marRight w:val="0"/>
      <w:marTop w:val="0"/>
      <w:marBottom w:val="0"/>
      <w:divBdr>
        <w:top w:val="none" w:sz="0" w:space="0" w:color="auto"/>
        <w:left w:val="none" w:sz="0" w:space="0" w:color="auto"/>
        <w:bottom w:val="none" w:sz="0" w:space="0" w:color="auto"/>
        <w:right w:val="none" w:sz="0" w:space="0" w:color="auto"/>
      </w:divBdr>
    </w:div>
    <w:div w:id="1859731268">
      <w:bodyDiv w:val="1"/>
      <w:marLeft w:val="0"/>
      <w:marRight w:val="0"/>
      <w:marTop w:val="0"/>
      <w:marBottom w:val="0"/>
      <w:divBdr>
        <w:top w:val="none" w:sz="0" w:space="0" w:color="auto"/>
        <w:left w:val="none" w:sz="0" w:space="0" w:color="auto"/>
        <w:bottom w:val="none" w:sz="0" w:space="0" w:color="auto"/>
        <w:right w:val="none" w:sz="0" w:space="0" w:color="auto"/>
      </w:divBdr>
    </w:div>
    <w:div w:id="1910186985">
      <w:bodyDiv w:val="1"/>
      <w:marLeft w:val="0"/>
      <w:marRight w:val="0"/>
      <w:marTop w:val="0"/>
      <w:marBottom w:val="0"/>
      <w:divBdr>
        <w:top w:val="none" w:sz="0" w:space="0" w:color="auto"/>
        <w:left w:val="none" w:sz="0" w:space="0" w:color="auto"/>
        <w:bottom w:val="none" w:sz="0" w:space="0" w:color="auto"/>
        <w:right w:val="none" w:sz="0" w:space="0" w:color="auto"/>
      </w:divBdr>
    </w:div>
    <w:div w:id="2025938678">
      <w:bodyDiv w:val="1"/>
      <w:marLeft w:val="0"/>
      <w:marRight w:val="0"/>
      <w:marTop w:val="0"/>
      <w:marBottom w:val="0"/>
      <w:divBdr>
        <w:top w:val="none" w:sz="0" w:space="0" w:color="auto"/>
        <w:left w:val="none" w:sz="0" w:space="0" w:color="auto"/>
        <w:bottom w:val="none" w:sz="0" w:space="0" w:color="auto"/>
        <w:right w:val="none" w:sz="0" w:space="0" w:color="auto"/>
      </w:divBdr>
    </w:div>
    <w:div w:id="2038891533">
      <w:bodyDiv w:val="1"/>
      <w:marLeft w:val="0"/>
      <w:marRight w:val="0"/>
      <w:marTop w:val="0"/>
      <w:marBottom w:val="0"/>
      <w:divBdr>
        <w:top w:val="none" w:sz="0" w:space="0" w:color="auto"/>
        <w:left w:val="none" w:sz="0" w:space="0" w:color="auto"/>
        <w:bottom w:val="none" w:sz="0" w:space="0" w:color="auto"/>
        <w:right w:val="none" w:sz="0" w:space="0" w:color="auto"/>
      </w:divBdr>
    </w:div>
    <w:div w:id="209808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image" Target="media/image10.png"/></Relationships>
</file>

<file path=word/_rels/endnotes.xml.rels><?xml version="1.0" encoding="UTF-8" standalone="yes"?>
<Relationships xmlns="http://schemas.openxmlformats.org/package/2006/relationships"><Relationship Id="rId8" Type="http://schemas.openxmlformats.org/officeDocument/2006/relationships/hyperlink" Target="https://www.webstaurantstore.com" TargetMode="External"/><Relationship Id="rId3" Type="http://schemas.openxmlformats.org/officeDocument/2006/relationships/hyperlink" Target="http://www.deeresources.com/" TargetMode="External"/><Relationship Id="rId7" Type="http://schemas.openxmlformats.org/officeDocument/2006/relationships/hyperlink" Target="http://www.energy.ca.gov/2006publications/CEC-400-2006-005/CEC-400-2006-005.PDF" TargetMode="External"/><Relationship Id="rId2" Type="http://schemas.openxmlformats.org/officeDocument/2006/relationships/hyperlink" Target="http://www.allianceforwaterefficiency.org/Commercial_Food_Service_Introduction.aspx" TargetMode="External"/><Relationship Id="rId1" Type="http://schemas.openxmlformats.org/officeDocument/2006/relationships/hyperlink" Target="https://www.energy.gov/sites/prod/files/2015/12/f27/CPSV%20Final%20Rule.pdf" TargetMode="External"/><Relationship Id="rId6" Type="http://schemas.openxmlformats.org/officeDocument/2006/relationships/hyperlink" Target="http://www.energy.ca.gov/2014publications/CEC-500-2014-095/CEC-500-2014-095.pdf" TargetMode="External"/><Relationship Id="rId5" Type="http://schemas.openxmlformats.org/officeDocument/2006/relationships/hyperlink" Target="http://www.energy.ca.gov/2018publications/CEC-140-2018-002/CEC-140-2018-002-REV.pdf" TargetMode="External"/><Relationship Id="rId4" Type="http://schemas.openxmlformats.org/officeDocument/2006/relationships/hyperlink" Target="https://library.cee1.org/content/commercial-kitchen-pre-rinse-spray-valves-qualifying-products-lis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90983"/>
    <w:rsid w:val="00146151"/>
    <w:rsid w:val="00160BFB"/>
    <w:rsid w:val="00204A7F"/>
    <w:rsid w:val="0024326A"/>
    <w:rsid w:val="002525E4"/>
    <w:rsid w:val="002B514B"/>
    <w:rsid w:val="002C0C03"/>
    <w:rsid w:val="002C6B97"/>
    <w:rsid w:val="00304A8E"/>
    <w:rsid w:val="00311B0D"/>
    <w:rsid w:val="003A131F"/>
    <w:rsid w:val="003E7C50"/>
    <w:rsid w:val="004B6845"/>
    <w:rsid w:val="00541A42"/>
    <w:rsid w:val="00560392"/>
    <w:rsid w:val="006512C3"/>
    <w:rsid w:val="0067157D"/>
    <w:rsid w:val="006B7FA8"/>
    <w:rsid w:val="007C7D4F"/>
    <w:rsid w:val="008211B5"/>
    <w:rsid w:val="00874653"/>
    <w:rsid w:val="00990894"/>
    <w:rsid w:val="009E3AB5"/>
    <w:rsid w:val="00A5022A"/>
    <w:rsid w:val="00AC16BD"/>
    <w:rsid w:val="00AC3AED"/>
    <w:rsid w:val="00AE4C28"/>
    <w:rsid w:val="00B16463"/>
    <w:rsid w:val="00B6408C"/>
    <w:rsid w:val="00B73964"/>
    <w:rsid w:val="00B74704"/>
    <w:rsid w:val="00C123A8"/>
    <w:rsid w:val="00C932D1"/>
    <w:rsid w:val="00C947B8"/>
    <w:rsid w:val="00CC74B3"/>
    <w:rsid w:val="00D0496D"/>
    <w:rsid w:val="00D051F5"/>
    <w:rsid w:val="00D22621"/>
    <w:rsid w:val="00EC59D9"/>
    <w:rsid w:val="00EE7BD8"/>
    <w:rsid w:val="00EF47BC"/>
    <w:rsid w:val="00F1309A"/>
    <w:rsid w:val="00F702E3"/>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3AED"/>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C8FFB09E935F4CCF94BB8CF22DCA2B22">
    <w:name w:val="C8FFB09E935F4CCF94BB8CF22DCA2B22"/>
    <w:rsid w:val="00AC3AED"/>
    <w:pPr>
      <w:spacing w:after="160" w:line="259" w:lineRule="auto"/>
    </w:pPr>
  </w:style>
  <w:style w:type="paragraph" w:customStyle="1" w:styleId="E5F43E2CB14C485E92B9ECF162995B56">
    <w:name w:val="E5F43E2CB14C485E92B9ECF162995B56"/>
    <w:rsid w:val="00AC3AE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2018-12-18T00:00:00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haredWithUsers xmlns="c39d0427-23a3-434a-87a3-106c18a58fcc">
      <UserInfo>
        <DisplayName>David Zabrowski</DisplayName>
        <AccountId>88</AccountId>
        <AccountType/>
      </UserInfo>
      <UserInfo>
        <DisplayName>Denis Livchak</DisplayName>
        <AccountId>93</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6307EC439BB9C4881E1081A5B7EDB3E" ma:contentTypeVersion="10" ma:contentTypeDescription="Create a new document." ma:contentTypeScope="" ma:versionID="324506665d3a512a5d5650aae38b3543">
  <xsd:schema xmlns:xsd="http://www.w3.org/2001/XMLSchema" xmlns:xs="http://www.w3.org/2001/XMLSchema" xmlns:p="http://schemas.microsoft.com/office/2006/metadata/properties" xmlns:ns2="c39d0427-23a3-434a-87a3-106c18a58fcc" xmlns:ns3="e66e352d-2b92-4888-a5cf-03034ba3d8fd" targetNamespace="http://schemas.microsoft.com/office/2006/metadata/properties" ma:root="true" ma:fieldsID="943b666b7d0ea22d26631278b00fdb96" ns2:_="" ns3:_="">
    <xsd:import namespace="c39d0427-23a3-434a-87a3-106c18a58fcc"/>
    <xsd:import namespace="e66e352d-2b92-4888-a5cf-03034ba3d8f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9d0427-23a3-434a-87a3-106c18a58fc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66e352d-2b92-4888-a5cf-03034ba3d8fd"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3.xml><?xml version="1.0" encoding="utf-8"?>
<ds:datastoreItem xmlns:ds="http://schemas.openxmlformats.org/officeDocument/2006/customXml" ds:itemID="{E4C04AAA-17BA-43B1-B22C-74840CEAC41A}">
  <ds:schemaRefs>
    <ds:schemaRef ds:uri="http://purl.org/dc/terms/"/>
    <ds:schemaRef ds:uri="http://schemas.microsoft.com/office/2006/documentManagement/types"/>
    <ds:schemaRef ds:uri="http://purl.org/dc/elements/1.1/"/>
    <ds:schemaRef ds:uri="http://schemas.microsoft.com/office/2006/metadata/properties"/>
    <ds:schemaRef ds:uri="c39d0427-23a3-434a-87a3-106c18a58fcc"/>
    <ds:schemaRef ds:uri="http://schemas.microsoft.com/office/infopath/2007/PartnerControls"/>
    <ds:schemaRef ds:uri="http://schemas.openxmlformats.org/package/2006/metadata/core-properties"/>
    <ds:schemaRef ds:uri="e66e352d-2b92-4888-a5cf-03034ba3d8fd"/>
    <ds:schemaRef ds:uri="http://www.w3.org/XML/1998/namespace"/>
    <ds:schemaRef ds:uri="http://purl.org/dc/dcmitype/"/>
  </ds:schemaRefs>
</ds:datastoreItem>
</file>

<file path=customXml/itemProps4.xml><?xml version="1.0" encoding="utf-8"?>
<ds:datastoreItem xmlns:ds="http://schemas.openxmlformats.org/officeDocument/2006/customXml" ds:itemID="{E09B351E-E19D-4F57-9B7A-3B5375D565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9d0427-23a3-434a-87a3-106c18a58fcc"/>
    <ds:schemaRef ds:uri="e66e352d-2b92-4888-a5cf-03034ba3d8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CAF86E2-88B9-4D49-8854-E0A0F2B64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25</Pages>
  <Words>6367</Words>
  <Characters>36292</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WPSCGNRWH121113A</vt:lpstr>
    </vt:vector>
  </TitlesOfParts>
  <Company>Southern California Gas Company</Company>
  <LinksUpToDate>false</LinksUpToDate>
  <CharactersWithSpaces>42574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WPSCGNRWH121113A</dc:title>
  <dc:creator>Jim Wyatt (PG&amp;E);Jason Wang (SCE)</dc:creator>
  <cp:lastModifiedBy>Marquez, Andres</cp:lastModifiedBy>
  <cp:revision>10</cp:revision>
  <dcterms:created xsi:type="dcterms:W3CDTF">2018-12-27T17:30:00Z</dcterms:created>
  <dcterms:modified xsi:type="dcterms:W3CDTF">2018-12-28T16:40:00Z</dcterms:modified>
  <cp:contentStatus>Revision 04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0x01010016307EC439BB9C4881E1081A5B7EDB3E</vt:lpwstr>
  </property>
  <property fmtid="{D5CDD505-2E9C-101B-9397-08002B2CF9AE}" pid="3" name="Order">
    <vt:r8>1731700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