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3A41" w:rsidRPr="00500C4E" w:rsidRDefault="00A57D36" w:rsidP="00A57D36">
      <w:pPr>
        <w:pStyle w:val="WPnumber"/>
      </w:pPr>
      <w:bookmarkStart w:id="0" w:name="_Toc153189647"/>
      <w:bookmarkStart w:id="1" w:name="_Toc214003082"/>
      <w:r w:rsidRPr="00500C4E">
        <w:t xml:space="preserve">Work Paper </w:t>
      </w:r>
      <w:sdt>
        <w:sdtPr>
          <w:rPr>
            <w:rFonts w:cs="Arial"/>
          </w:rPr>
          <w:alias w:val="Title"/>
          <w:tag w:val=""/>
          <w:id w:val="650333005"/>
          <w:placeholder>
            <w:docPart w:val="8AF76D4BA89F40508BA1A114A8B4767F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44165C" w:rsidRPr="00FD634B">
            <w:rPr>
              <w:rFonts w:cs="Arial"/>
            </w:rPr>
            <w:t>WPSCG</w:t>
          </w:r>
          <w:r w:rsidR="0044165C">
            <w:rPr>
              <w:rFonts w:cs="Arial"/>
            </w:rPr>
            <w:t>NRHC180524</w:t>
          </w:r>
          <w:r w:rsidR="0044165C" w:rsidRPr="00FD634B">
            <w:rPr>
              <w:rFonts w:cs="Arial"/>
            </w:rPr>
            <w:t>A</w:t>
          </w:r>
        </w:sdtContent>
      </w:sdt>
    </w:p>
    <w:bookmarkEnd w:id="0"/>
    <w:p w:rsidR="00DA690B" w:rsidRPr="00500C4E" w:rsidRDefault="00B6569A" w:rsidP="00A57D36">
      <w:pPr>
        <w:pStyle w:val="Revnumber"/>
        <w:rPr>
          <w:rStyle w:val="CaptionChar"/>
          <w:rFonts w:asciiTheme="minorHAnsi" w:hAnsiTheme="minorHAnsi" w:cstheme="minorHAnsi"/>
          <w:b/>
          <w:bCs w:val="0"/>
          <w:sz w:val="48"/>
          <w:szCs w:val="48"/>
        </w:rPr>
      </w:pPr>
      <w:sdt>
        <w:sdtPr>
          <w:rPr>
            <w:rStyle w:val="CaptionChar"/>
            <w:rFonts w:asciiTheme="minorHAnsi" w:hAnsiTheme="minorHAnsi" w:cstheme="minorHAnsi"/>
            <w:b/>
            <w:bCs w:val="0"/>
            <w:sz w:val="48"/>
            <w:szCs w:val="48"/>
          </w:rPr>
          <w:alias w:val="Revision"/>
          <w:tag w:val=""/>
          <w:id w:val="-1338455471"/>
          <w:placeholder>
            <w:docPart w:val="96BEE5C1219847A898CB0CD2E0B5BB49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EndPr>
          <w:rPr>
            <w:rStyle w:val="CaptionChar"/>
          </w:rPr>
        </w:sdtEndPr>
        <w:sdtContent>
          <w:r w:rsidR="003F3A41" w:rsidRPr="00500C4E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 xml:space="preserve">Revision </w:t>
          </w:r>
          <w:r w:rsidR="00FD634B">
            <w:rPr>
              <w:rStyle w:val="CaptionChar"/>
              <w:rFonts w:asciiTheme="minorHAnsi" w:hAnsiTheme="minorHAnsi" w:cstheme="minorHAnsi"/>
              <w:b/>
              <w:bCs w:val="0"/>
              <w:sz w:val="48"/>
              <w:szCs w:val="48"/>
            </w:rPr>
            <w:t>0</w:t>
          </w:r>
        </w:sdtContent>
      </w:sdt>
    </w:p>
    <w:p w:rsidR="00285A0D" w:rsidRPr="00500C4E" w:rsidRDefault="00285A0D" w:rsidP="00DE5758">
      <w:pPr>
        <w:jc w:val="right"/>
        <w:rPr>
          <w:rFonts w:cstheme="minorHAnsi"/>
          <w:b/>
          <w:sz w:val="48"/>
          <w:szCs w:val="48"/>
        </w:rPr>
      </w:pPr>
    </w:p>
    <w:p w:rsidR="00DA690B" w:rsidRPr="00500C4E" w:rsidRDefault="00DA690B" w:rsidP="00DA690B">
      <w:pPr>
        <w:rPr>
          <w:rFonts w:cstheme="minorHAnsi"/>
        </w:rPr>
      </w:pPr>
    </w:p>
    <w:p w:rsidR="00B91CA6" w:rsidRDefault="00B91CA6" w:rsidP="00B91CA6">
      <w:pPr>
        <w:pBdr>
          <w:bottom w:val="single" w:sz="4" w:space="1" w:color="auto"/>
        </w:pBdr>
        <w:rPr>
          <w:rFonts w:cs="Arial"/>
          <w:b/>
          <w:sz w:val="36"/>
          <w:szCs w:val="36"/>
        </w:rPr>
      </w:pPr>
      <w:bookmarkStart w:id="2" w:name="_GoBack"/>
      <w:bookmarkEnd w:id="2"/>
    </w:p>
    <w:p w:rsidR="00B91CA6" w:rsidRDefault="00B91CA6" w:rsidP="00B91CA6">
      <w:pPr>
        <w:pBdr>
          <w:bottom w:val="single" w:sz="4" w:space="1" w:color="auto"/>
        </w:pBdr>
        <w:rPr>
          <w:rFonts w:cs="Arial"/>
          <w:b/>
          <w:sz w:val="36"/>
          <w:szCs w:val="36"/>
        </w:rPr>
      </w:pPr>
    </w:p>
    <w:p w:rsidR="00B91CA6" w:rsidRDefault="00B91CA6" w:rsidP="00B91CA6">
      <w:pPr>
        <w:pBdr>
          <w:bottom w:val="single" w:sz="4" w:space="1" w:color="auto"/>
        </w:pBdr>
        <w:rPr>
          <w:rFonts w:cs="Arial"/>
          <w:b/>
          <w:sz w:val="36"/>
          <w:szCs w:val="36"/>
        </w:rPr>
      </w:pPr>
    </w:p>
    <w:p w:rsidR="00B91CA6" w:rsidRDefault="00B91CA6" w:rsidP="00B91CA6">
      <w:pPr>
        <w:pBdr>
          <w:bottom w:val="single" w:sz="4" w:space="1" w:color="auto"/>
        </w:pBdr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>Southern California Gas Company</w:t>
      </w:r>
    </w:p>
    <w:p w:rsidR="00B91CA6" w:rsidRDefault="00B91CA6" w:rsidP="00B91CA6">
      <w:pPr>
        <w:tabs>
          <w:tab w:val="left" w:pos="6480"/>
          <w:tab w:val="left" w:pos="8100"/>
        </w:tabs>
        <w:ind w:right="-4"/>
        <w:rPr>
          <w:rFonts w:cs="Arial"/>
          <w:b/>
          <w:sz w:val="32"/>
          <w:szCs w:val="32"/>
        </w:rPr>
      </w:pPr>
    </w:p>
    <w:p w:rsidR="00B91CA6" w:rsidRDefault="00B91CA6" w:rsidP="00B91CA6">
      <w:pPr>
        <w:tabs>
          <w:tab w:val="left" w:pos="6480"/>
          <w:tab w:val="left" w:pos="8100"/>
        </w:tabs>
        <w:ind w:right="-4"/>
        <w:rPr>
          <w:rFonts w:cs="Arial"/>
          <w:b/>
          <w:sz w:val="32"/>
          <w:szCs w:val="32"/>
        </w:rPr>
      </w:pPr>
    </w:p>
    <w:p w:rsidR="00B91CA6" w:rsidRDefault="00B91CA6" w:rsidP="00B91CA6">
      <w:pPr>
        <w:tabs>
          <w:tab w:val="left" w:pos="6480"/>
          <w:tab w:val="left" w:pos="8100"/>
        </w:tabs>
        <w:ind w:right="-4"/>
        <w:rPr>
          <w:rFonts w:cs="Arial"/>
          <w:b/>
          <w:sz w:val="32"/>
          <w:szCs w:val="32"/>
        </w:rPr>
      </w:pPr>
    </w:p>
    <w:p w:rsidR="00396FB7" w:rsidRPr="00396FB7" w:rsidRDefault="00396FB7" w:rsidP="00396FB7">
      <w:pPr>
        <w:rPr>
          <w:rFonts w:cs="Arial"/>
          <w:b/>
          <w:sz w:val="48"/>
          <w:szCs w:val="48"/>
        </w:rPr>
      </w:pPr>
      <w:r w:rsidRPr="00396FB7">
        <w:rPr>
          <w:rFonts w:cs="Arial"/>
          <w:b/>
          <w:sz w:val="48"/>
          <w:szCs w:val="48"/>
        </w:rPr>
        <w:t xml:space="preserve">High Efficiency Gas Furnace 95% AFUE </w:t>
      </w:r>
    </w:p>
    <w:p w:rsidR="00B91CA6" w:rsidRDefault="00396FB7" w:rsidP="00396FB7">
      <w:pPr>
        <w:rPr>
          <w:rFonts w:cs="Arial"/>
          <w:b/>
          <w:sz w:val="48"/>
          <w:szCs w:val="48"/>
        </w:rPr>
      </w:pPr>
      <w:r w:rsidRPr="00396FB7">
        <w:rPr>
          <w:rFonts w:cs="Arial"/>
          <w:b/>
          <w:sz w:val="48"/>
          <w:szCs w:val="48"/>
        </w:rPr>
        <w:t>(1.04 HIR) - Nonresidential</w:t>
      </w:r>
    </w:p>
    <w:p w:rsidR="00866070" w:rsidRDefault="00866070" w:rsidP="00B91CA6">
      <w:pPr>
        <w:rPr>
          <w:rFonts w:cs="Arial"/>
          <w:b/>
          <w:sz w:val="48"/>
          <w:szCs w:val="48"/>
        </w:rPr>
      </w:pPr>
    </w:p>
    <w:p w:rsidR="00EF4E6B" w:rsidRPr="00500C4E" w:rsidRDefault="00EF4E6B" w:rsidP="00E76B31">
      <w:pPr>
        <w:pStyle w:val="Reminders"/>
        <w:rPr>
          <w:rFonts w:asciiTheme="minorHAnsi" w:hAnsiTheme="minorHAnsi" w:cstheme="minorHAnsi"/>
          <w:b/>
          <w:i w:val="0"/>
          <w:sz w:val="32"/>
          <w:szCs w:val="22"/>
        </w:rPr>
      </w:pPr>
    </w:p>
    <w:p w:rsidR="00523736" w:rsidRPr="00500C4E" w:rsidRDefault="00523736" w:rsidP="00E76B31">
      <w:pPr>
        <w:pStyle w:val="Reminders"/>
        <w:rPr>
          <w:rFonts w:asciiTheme="minorHAnsi" w:hAnsiTheme="minorHAnsi" w:cstheme="minorHAnsi"/>
          <w:b/>
          <w:i w:val="0"/>
          <w:sz w:val="32"/>
          <w:szCs w:val="22"/>
        </w:rPr>
        <w:sectPr w:rsidR="00523736" w:rsidRPr="00500C4E">
          <w:foot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88361D" w:rsidRPr="00500C4E" w:rsidRDefault="00EB34FC" w:rsidP="00C959CA">
      <w:pPr>
        <w:pStyle w:val="Heading1"/>
      </w:pPr>
      <w:r w:rsidRPr="00500C4E">
        <w:lastRenderedPageBreak/>
        <w:t>Revision History</w:t>
      </w:r>
    </w:p>
    <w:tbl>
      <w:tblPr>
        <w:tblStyle w:val="TableGrid1"/>
        <w:tblW w:w="5000" w:type="pct"/>
        <w:tblLook w:val="01E0" w:firstRow="1" w:lastRow="1" w:firstColumn="1" w:lastColumn="1" w:noHBand="0" w:noVBand="0"/>
      </w:tblPr>
      <w:tblGrid>
        <w:gridCol w:w="529"/>
        <w:gridCol w:w="954"/>
        <w:gridCol w:w="1391"/>
        <w:gridCol w:w="6476"/>
      </w:tblGrid>
      <w:tr w:rsidR="003845E5" w:rsidRPr="00500C4E" w:rsidTr="00847A4E">
        <w:trPr>
          <w:trHeight w:val="20"/>
        </w:trPr>
        <w:tc>
          <w:tcPr>
            <w:tcW w:w="283" w:type="pct"/>
            <w:shd w:val="clear" w:color="auto" w:fill="D9D9D9" w:themeFill="background1" w:themeFillShade="D9"/>
          </w:tcPr>
          <w:p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Rev</w:t>
            </w:r>
          </w:p>
        </w:tc>
        <w:tc>
          <w:tcPr>
            <w:tcW w:w="510" w:type="pct"/>
            <w:shd w:val="clear" w:color="auto" w:fill="D9D9D9" w:themeFill="background1" w:themeFillShade="D9"/>
          </w:tcPr>
          <w:p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Date</w:t>
            </w:r>
          </w:p>
        </w:tc>
        <w:tc>
          <w:tcPr>
            <w:tcW w:w="744" w:type="pct"/>
            <w:shd w:val="clear" w:color="auto" w:fill="D9D9D9" w:themeFill="background1" w:themeFillShade="D9"/>
          </w:tcPr>
          <w:p w:rsidR="00933188" w:rsidRPr="00500C4E" w:rsidRDefault="003845E5" w:rsidP="003845E5">
            <w:pPr>
              <w:rPr>
                <w:rFonts w:cstheme="minorHAnsi"/>
                <w:b/>
                <w:bCs/>
                <w:szCs w:val="20"/>
              </w:rPr>
            </w:pPr>
            <w:r>
              <w:rPr>
                <w:rFonts w:cstheme="minorHAnsi"/>
                <w:b/>
                <w:szCs w:val="20"/>
              </w:rPr>
              <w:t>Author</w:t>
            </w:r>
          </w:p>
        </w:tc>
        <w:tc>
          <w:tcPr>
            <w:tcW w:w="3463" w:type="pct"/>
            <w:shd w:val="clear" w:color="auto" w:fill="D9D9D9" w:themeFill="background1" w:themeFillShade="D9"/>
          </w:tcPr>
          <w:p w:rsidR="00933188" w:rsidRPr="00500C4E" w:rsidRDefault="00933188" w:rsidP="005729C8">
            <w:pPr>
              <w:rPr>
                <w:rFonts w:cstheme="minorHAnsi"/>
                <w:b/>
                <w:bCs/>
                <w:szCs w:val="20"/>
              </w:rPr>
            </w:pPr>
            <w:r w:rsidRPr="00920905">
              <w:rPr>
                <w:rFonts w:cstheme="minorHAnsi"/>
                <w:b/>
                <w:szCs w:val="20"/>
              </w:rPr>
              <w:t>Summary of Changes</w:t>
            </w:r>
          </w:p>
        </w:tc>
      </w:tr>
      <w:tr w:rsidR="000B060C" w:rsidRPr="000B060C" w:rsidTr="00847A4E">
        <w:trPr>
          <w:trHeight w:val="20"/>
        </w:trPr>
        <w:tc>
          <w:tcPr>
            <w:tcW w:w="283" w:type="pct"/>
          </w:tcPr>
          <w:p w:rsidR="00933188" w:rsidRPr="000B060C" w:rsidRDefault="00933188" w:rsidP="005729C8">
            <w:pPr>
              <w:rPr>
                <w:rFonts w:cstheme="minorHAnsi"/>
                <w:szCs w:val="20"/>
              </w:rPr>
            </w:pPr>
            <w:r w:rsidRPr="000B060C">
              <w:rPr>
                <w:rFonts w:cstheme="minorHAnsi"/>
                <w:szCs w:val="20"/>
              </w:rPr>
              <w:t>0</w:t>
            </w:r>
          </w:p>
        </w:tc>
        <w:tc>
          <w:tcPr>
            <w:tcW w:w="510" w:type="pct"/>
          </w:tcPr>
          <w:p w:rsidR="00933188" w:rsidRPr="000B060C" w:rsidRDefault="007F1B9B" w:rsidP="005729C8">
            <w:pPr>
              <w:rPr>
                <w:rFonts w:cstheme="minorHAnsi"/>
                <w:szCs w:val="20"/>
              </w:rPr>
            </w:pPr>
            <w:r>
              <w:rPr>
                <w:rFonts w:cstheme="minorHAnsi"/>
                <w:szCs w:val="20"/>
              </w:rPr>
              <w:t>7</w:t>
            </w:r>
            <w:r w:rsidR="00933188" w:rsidRPr="000B060C">
              <w:rPr>
                <w:rFonts w:cstheme="minorHAnsi"/>
                <w:szCs w:val="20"/>
              </w:rPr>
              <w:t>/</w:t>
            </w:r>
            <w:r>
              <w:rPr>
                <w:rFonts w:cstheme="minorHAnsi"/>
                <w:szCs w:val="20"/>
              </w:rPr>
              <w:t>24</w:t>
            </w:r>
            <w:r w:rsidR="00933188" w:rsidRPr="000B060C">
              <w:rPr>
                <w:rFonts w:cstheme="minorHAnsi"/>
                <w:szCs w:val="20"/>
              </w:rPr>
              <w:t>/1</w:t>
            </w:r>
            <w:r w:rsidR="00022613" w:rsidRPr="000B060C">
              <w:rPr>
                <w:rFonts w:cstheme="minorHAnsi"/>
                <w:szCs w:val="20"/>
              </w:rPr>
              <w:t>8</w:t>
            </w:r>
          </w:p>
        </w:tc>
        <w:tc>
          <w:tcPr>
            <w:tcW w:w="744" w:type="pct"/>
          </w:tcPr>
          <w:p w:rsidR="00933188" w:rsidRPr="000B060C" w:rsidRDefault="00022613" w:rsidP="001B2301">
            <w:pPr>
              <w:rPr>
                <w:rFonts w:cstheme="minorHAnsi"/>
                <w:szCs w:val="20"/>
              </w:rPr>
            </w:pPr>
            <w:r w:rsidRPr="000B060C">
              <w:rPr>
                <w:rFonts w:cstheme="minorHAnsi"/>
                <w:szCs w:val="20"/>
              </w:rPr>
              <w:t>Raad Bashar, SCG</w:t>
            </w:r>
          </w:p>
        </w:tc>
        <w:tc>
          <w:tcPr>
            <w:tcW w:w="3463" w:type="pct"/>
          </w:tcPr>
          <w:p w:rsidR="0036726C" w:rsidRPr="000B060C" w:rsidRDefault="000B060C" w:rsidP="000B060C">
            <w:pPr>
              <w:pStyle w:val="ListParagraph"/>
              <w:numPr>
                <w:ilvl w:val="0"/>
                <w:numId w:val="25"/>
              </w:numPr>
            </w:pPr>
            <w:r w:rsidRPr="000B060C">
              <w:t>New workpaper</w:t>
            </w:r>
          </w:p>
        </w:tc>
      </w:tr>
      <w:tr w:rsidR="003845E5" w:rsidRPr="00500C4E" w:rsidTr="00847A4E">
        <w:trPr>
          <w:trHeight w:val="20"/>
        </w:trPr>
        <w:tc>
          <w:tcPr>
            <w:tcW w:w="283" w:type="pct"/>
          </w:tcPr>
          <w:p w:rsidR="0036726C" w:rsidRPr="00500C4E" w:rsidRDefault="0036726C" w:rsidP="005729C8">
            <w:pPr>
              <w:rPr>
                <w:rFonts w:cstheme="minorHAnsi"/>
                <w:szCs w:val="20"/>
              </w:rPr>
            </w:pPr>
          </w:p>
        </w:tc>
        <w:tc>
          <w:tcPr>
            <w:tcW w:w="510" w:type="pct"/>
          </w:tcPr>
          <w:p w:rsidR="0036726C" w:rsidRPr="00500C4E" w:rsidRDefault="0036726C" w:rsidP="005729C8">
            <w:pPr>
              <w:rPr>
                <w:rFonts w:cstheme="minorHAnsi"/>
                <w:szCs w:val="20"/>
              </w:rPr>
            </w:pPr>
          </w:p>
        </w:tc>
        <w:tc>
          <w:tcPr>
            <w:tcW w:w="744" w:type="pct"/>
          </w:tcPr>
          <w:p w:rsidR="0036726C" w:rsidRPr="00500C4E" w:rsidRDefault="0036726C" w:rsidP="005729C8">
            <w:pPr>
              <w:rPr>
                <w:rFonts w:cstheme="minorHAnsi"/>
                <w:szCs w:val="20"/>
              </w:rPr>
            </w:pPr>
          </w:p>
        </w:tc>
        <w:tc>
          <w:tcPr>
            <w:tcW w:w="3463" w:type="pct"/>
          </w:tcPr>
          <w:p w:rsidR="0036726C" w:rsidRPr="00500C4E" w:rsidRDefault="0036726C" w:rsidP="005729C8">
            <w:pPr>
              <w:rPr>
                <w:rFonts w:cstheme="minorHAnsi"/>
                <w:bCs/>
                <w:szCs w:val="20"/>
              </w:rPr>
            </w:pPr>
          </w:p>
        </w:tc>
      </w:tr>
      <w:bookmarkEnd w:id="1"/>
    </w:tbl>
    <w:p w:rsidR="004F6832" w:rsidRDefault="004F6832" w:rsidP="000C2301">
      <w:pPr>
        <w:pStyle w:val="Heading2"/>
      </w:pPr>
      <w:r>
        <w:br w:type="page"/>
      </w:r>
    </w:p>
    <w:p w:rsidR="000C2301" w:rsidRDefault="000C2301" w:rsidP="000C2301">
      <w:pPr>
        <w:pStyle w:val="Heading2"/>
      </w:pPr>
      <w:r>
        <w:lastRenderedPageBreak/>
        <w:t>Measure Summary</w:t>
      </w:r>
      <w:r w:rsidRPr="0025216C">
        <w:t xml:space="preserve"> </w:t>
      </w:r>
    </w:p>
    <w:p w:rsidR="000C2301" w:rsidRDefault="000C2301" w:rsidP="000C2301">
      <w:pPr>
        <w:pStyle w:val="Caption"/>
        <w:keepNext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t>: Measure Summary Table</w:t>
      </w:r>
    </w:p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2358"/>
        <w:gridCol w:w="7200"/>
      </w:tblGrid>
      <w:tr w:rsidR="000C2301" w:rsidTr="009D1072">
        <w:trPr>
          <w:cantSplit/>
          <w:trHeight w:val="192"/>
          <w:tblHeader/>
        </w:trPr>
        <w:tc>
          <w:tcPr>
            <w:tcW w:w="2358" w:type="dxa"/>
          </w:tcPr>
          <w:p w:rsidR="000C2301" w:rsidRPr="002B4ED0" w:rsidRDefault="000C2301" w:rsidP="007342C0">
            <w:pPr>
              <w:jc w:val="center"/>
              <w:rPr>
                <w:b/>
                <w:sz w:val="24"/>
              </w:rPr>
            </w:pPr>
            <w:bookmarkStart w:id="3" w:name="_Hlk509229771"/>
            <w:r>
              <w:br w:type="page"/>
            </w:r>
            <w:r w:rsidRPr="002B4ED0">
              <w:rPr>
                <w:b/>
                <w:sz w:val="24"/>
              </w:rPr>
              <w:t>Section</w:t>
            </w:r>
            <w:r w:rsidR="00375873" w:rsidRPr="002B4ED0">
              <w:rPr>
                <w:b/>
                <w:sz w:val="24"/>
              </w:rPr>
              <w:t xml:space="preserve"> 1. Summary</w:t>
            </w:r>
          </w:p>
        </w:tc>
        <w:tc>
          <w:tcPr>
            <w:tcW w:w="7200" w:type="dxa"/>
          </w:tcPr>
          <w:p w:rsidR="000C2301" w:rsidRPr="00D86243" w:rsidRDefault="000C2301" w:rsidP="007342C0">
            <w:pPr>
              <w:jc w:val="center"/>
              <w:rPr>
                <w:b/>
              </w:rPr>
            </w:pPr>
            <w:r w:rsidRPr="00D86243">
              <w:rPr>
                <w:b/>
              </w:rPr>
              <w:t>Value</w:t>
            </w:r>
          </w:p>
        </w:tc>
      </w:tr>
      <w:bookmarkEnd w:id="3"/>
      <w:tr w:rsidR="000C2301" w:rsidTr="009D1072">
        <w:trPr>
          <w:cantSplit/>
          <w:trHeight w:val="2744"/>
        </w:trPr>
        <w:tc>
          <w:tcPr>
            <w:tcW w:w="2358" w:type="dxa"/>
            <w:vAlign w:val="center"/>
          </w:tcPr>
          <w:p w:rsidR="000C2301" w:rsidRPr="001D77F7" w:rsidRDefault="000C2301" w:rsidP="007342C0">
            <w:pPr>
              <w:rPr>
                <w:b/>
              </w:rPr>
            </w:pPr>
            <w:r>
              <w:rPr>
                <w:b/>
              </w:rPr>
              <w:t>Summary &amp; Purpose</w:t>
            </w:r>
          </w:p>
        </w:tc>
        <w:tc>
          <w:tcPr>
            <w:tcW w:w="7200" w:type="dxa"/>
          </w:tcPr>
          <w:p w:rsidR="000C2301" w:rsidRDefault="000C2301" w:rsidP="007342C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This short form </w:t>
            </w:r>
            <w:r w:rsidR="00396FB7">
              <w:rPr>
                <w:rFonts w:cs="Arial"/>
                <w:sz w:val="20"/>
                <w:szCs w:val="20"/>
              </w:rPr>
              <w:t xml:space="preserve">workpaper is based on PG&amp;E’s </w:t>
            </w:r>
            <w:r w:rsidR="00396FB7" w:rsidRPr="00396FB7">
              <w:rPr>
                <w:rFonts w:cs="Arial"/>
                <w:sz w:val="20"/>
                <w:szCs w:val="20"/>
              </w:rPr>
              <w:t>Work Paper PGECOHVC146</w:t>
            </w:r>
            <w:r w:rsidR="002D16E7">
              <w:rPr>
                <w:rStyle w:val="EndnoteReference"/>
                <w:rFonts w:cs="Arial"/>
                <w:sz w:val="20"/>
                <w:szCs w:val="20"/>
              </w:rPr>
              <w:endnoteReference w:id="1"/>
            </w:r>
            <w:r>
              <w:rPr>
                <w:rFonts w:cs="Arial"/>
                <w:sz w:val="20"/>
                <w:szCs w:val="20"/>
              </w:rPr>
              <w:t xml:space="preserve">. The following tables provide a summary of the Ex-ante data base.    </w:t>
            </w:r>
          </w:p>
          <w:p w:rsidR="000C2301" w:rsidRDefault="000C2301" w:rsidP="007342C0">
            <w:pPr>
              <w:rPr>
                <w:rFonts w:cs="Arial"/>
                <w:sz w:val="20"/>
                <w:szCs w:val="20"/>
              </w:rPr>
            </w:pPr>
          </w:p>
          <w:p w:rsidR="000C2301" w:rsidRDefault="00396FB7" w:rsidP="007342C0">
            <w:pPr>
              <w:rPr>
                <w:rFonts w:cs="Arial"/>
                <w:sz w:val="20"/>
                <w:szCs w:val="20"/>
              </w:rPr>
            </w:pPr>
            <w:r w:rsidRPr="00396FB7">
              <w:rPr>
                <w:rFonts w:cs="Arial"/>
                <w:sz w:val="20"/>
                <w:szCs w:val="20"/>
              </w:rPr>
              <w:t>Central natural gas furnace rated at 95% AFUE</w:t>
            </w:r>
            <w:r>
              <w:rPr>
                <w:rFonts w:cs="Arial"/>
                <w:sz w:val="20"/>
                <w:szCs w:val="20"/>
              </w:rPr>
              <w:t xml:space="preserve"> is from DEER 2014.</w:t>
            </w:r>
          </w:p>
          <w:p w:rsidR="00713133" w:rsidRDefault="00713133" w:rsidP="007342C0">
            <w:pPr>
              <w:rPr>
                <w:rFonts w:cs="Arial"/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224"/>
              <w:gridCol w:w="2792"/>
              <w:gridCol w:w="1554"/>
              <w:gridCol w:w="1404"/>
            </w:tblGrid>
            <w:tr w:rsidR="000C2301" w:rsidRPr="00F1332D" w:rsidTr="009D1072">
              <w:tc>
                <w:tcPr>
                  <w:tcW w:w="6974" w:type="dxa"/>
                  <w:gridSpan w:val="4"/>
                </w:tcPr>
                <w:p w:rsidR="000C2301" w:rsidRPr="00F1332D" w:rsidRDefault="000C2301" w:rsidP="007342C0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F1332D">
                    <w:rPr>
                      <w:rFonts w:cs="Arial"/>
                      <w:sz w:val="20"/>
                      <w:szCs w:val="20"/>
                    </w:rPr>
                    <w:t>Measure Characteristic</w:t>
                  </w:r>
                </w:p>
              </w:tc>
            </w:tr>
            <w:tr w:rsidR="000C2301" w:rsidRPr="00F1332D" w:rsidTr="009D1072">
              <w:tc>
                <w:tcPr>
                  <w:tcW w:w="1224" w:type="dxa"/>
                </w:tcPr>
                <w:p w:rsidR="000C2301" w:rsidRPr="00F1332D" w:rsidRDefault="000C2301" w:rsidP="007342C0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Measure Codes</w:t>
                  </w:r>
                </w:p>
              </w:tc>
              <w:tc>
                <w:tcPr>
                  <w:tcW w:w="2792" w:type="dxa"/>
                </w:tcPr>
                <w:p w:rsidR="000C2301" w:rsidRPr="00F1332D" w:rsidRDefault="000C2301" w:rsidP="007342C0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F1332D">
                    <w:rPr>
                      <w:rFonts w:cs="Arial"/>
                      <w:sz w:val="20"/>
                      <w:szCs w:val="20"/>
                    </w:rPr>
                    <w:t>DEER Measure ID</w:t>
                  </w:r>
                </w:p>
              </w:tc>
              <w:tc>
                <w:tcPr>
                  <w:tcW w:w="1554" w:type="dxa"/>
                </w:tcPr>
                <w:p w:rsidR="000C2301" w:rsidRPr="00F1332D" w:rsidRDefault="000C2301" w:rsidP="007342C0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F1332D">
                    <w:rPr>
                      <w:rFonts w:cs="Arial"/>
                      <w:sz w:val="20"/>
                      <w:szCs w:val="20"/>
                    </w:rPr>
                    <w:t>Delivery Type</w:t>
                  </w:r>
                </w:p>
              </w:tc>
              <w:tc>
                <w:tcPr>
                  <w:tcW w:w="1404" w:type="dxa"/>
                </w:tcPr>
                <w:p w:rsidR="000C2301" w:rsidRPr="00F1332D" w:rsidRDefault="000C2301" w:rsidP="007342C0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Version-Source</w:t>
                  </w:r>
                </w:p>
              </w:tc>
            </w:tr>
            <w:tr w:rsidR="000C2301" w:rsidRPr="00F1332D" w:rsidTr="009D1072">
              <w:tc>
                <w:tcPr>
                  <w:tcW w:w="1224" w:type="dxa"/>
                </w:tcPr>
                <w:p w:rsidR="000C2301" w:rsidRPr="00F1332D" w:rsidRDefault="000C2301" w:rsidP="007342C0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2792" w:type="dxa"/>
                </w:tcPr>
                <w:p w:rsidR="000C2301" w:rsidRPr="00F1332D" w:rsidRDefault="00396FB7" w:rsidP="007342C0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396FB7">
                    <w:rPr>
                      <w:rFonts w:cs="Arial"/>
                      <w:sz w:val="20"/>
                      <w:szCs w:val="20"/>
                    </w:rPr>
                    <w:t>Com-Furnace-dHIR</w:t>
                  </w:r>
                </w:p>
              </w:tc>
              <w:tc>
                <w:tcPr>
                  <w:tcW w:w="1554" w:type="dxa"/>
                </w:tcPr>
                <w:p w:rsidR="000C2301" w:rsidRPr="00F1332D" w:rsidRDefault="00DB4D06" w:rsidP="007342C0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PreReb</w:t>
                  </w:r>
                  <w:r w:rsidR="000C2301">
                    <w:rPr>
                      <w:rFonts w:cs="Arial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1404" w:type="dxa"/>
                </w:tcPr>
                <w:p w:rsidR="000C2301" w:rsidRPr="00F1332D" w:rsidRDefault="000C2301" w:rsidP="007342C0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DEER201</w:t>
                  </w:r>
                  <w:r w:rsidR="00396FB7">
                    <w:rPr>
                      <w:rFonts w:cs="Arial"/>
                      <w:sz w:val="20"/>
                      <w:szCs w:val="20"/>
                    </w:rPr>
                    <w:t>4</w:t>
                  </w:r>
                  <w:r>
                    <w:rPr>
                      <w:rFonts w:cs="Arial"/>
                      <w:sz w:val="20"/>
                      <w:szCs w:val="20"/>
                    </w:rPr>
                    <w:t>-</w:t>
                  </w:r>
                  <w:r>
                    <w:t xml:space="preserve"> </w:t>
                  </w:r>
                  <w:r w:rsidR="00396FB7" w:rsidRPr="00396FB7">
                    <w:rPr>
                      <w:rFonts w:cs="Arial"/>
                      <w:sz w:val="20"/>
                      <w:szCs w:val="20"/>
                    </w:rPr>
                    <w:t>D05 v2.01</w:t>
                  </w:r>
                </w:p>
              </w:tc>
            </w:tr>
          </w:tbl>
          <w:p w:rsidR="000C2301" w:rsidRPr="004C35E4" w:rsidRDefault="000C2301" w:rsidP="007342C0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231351" w:rsidRDefault="00231351">
      <w:pPr>
        <w:spacing w:after="200" w:line="276" w:lineRule="auto"/>
        <w:rPr>
          <w:rFonts w:cstheme="minorHAnsi"/>
        </w:rPr>
      </w:pPr>
    </w:p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2358"/>
        <w:gridCol w:w="7200"/>
      </w:tblGrid>
      <w:tr w:rsidR="00EA7B3F" w:rsidRPr="00D86243" w:rsidTr="009D1072">
        <w:trPr>
          <w:cantSplit/>
          <w:trHeight w:val="192"/>
          <w:tblHeader/>
        </w:trPr>
        <w:tc>
          <w:tcPr>
            <w:tcW w:w="2358" w:type="dxa"/>
          </w:tcPr>
          <w:p w:rsidR="00EA7B3F" w:rsidRPr="00D86243" w:rsidRDefault="00EA7B3F" w:rsidP="007342C0">
            <w:pPr>
              <w:jc w:val="center"/>
              <w:rPr>
                <w:b/>
              </w:rPr>
            </w:pPr>
            <w:r>
              <w:br w:type="page"/>
            </w:r>
            <w:r w:rsidRPr="00D86243">
              <w:rPr>
                <w:b/>
              </w:rPr>
              <w:t>Section</w:t>
            </w:r>
          </w:p>
        </w:tc>
        <w:tc>
          <w:tcPr>
            <w:tcW w:w="7200" w:type="dxa"/>
          </w:tcPr>
          <w:p w:rsidR="00EA7B3F" w:rsidRPr="00D86243" w:rsidRDefault="00EA7B3F" w:rsidP="007342C0">
            <w:pPr>
              <w:jc w:val="center"/>
              <w:rPr>
                <w:b/>
              </w:rPr>
            </w:pPr>
            <w:r w:rsidRPr="00D86243">
              <w:rPr>
                <w:b/>
              </w:rPr>
              <w:t>Value</w:t>
            </w:r>
          </w:p>
        </w:tc>
      </w:tr>
      <w:tr w:rsidR="00BA2EF3" w:rsidTr="001270EA">
        <w:trPr>
          <w:cantSplit/>
          <w:trHeight w:val="2888"/>
        </w:trPr>
        <w:tc>
          <w:tcPr>
            <w:tcW w:w="2358" w:type="dxa"/>
            <w:vAlign w:val="center"/>
          </w:tcPr>
          <w:p w:rsidR="00BA2EF3" w:rsidRPr="001D77F7" w:rsidRDefault="00BA2EF3" w:rsidP="007342C0">
            <w:pPr>
              <w:rPr>
                <w:b/>
              </w:rPr>
            </w:pPr>
            <w:r w:rsidRPr="001D77F7">
              <w:rPr>
                <w:b/>
              </w:rPr>
              <w:t>1.1 Measure &amp; Baseline Data</w:t>
            </w:r>
          </w:p>
        </w:tc>
        <w:tc>
          <w:tcPr>
            <w:tcW w:w="7200" w:type="dxa"/>
          </w:tcPr>
          <w:p w:rsidR="0075296C" w:rsidRDefault="00396FB7" w:rsidP="007342C0">
            <w:pPr>
              <w:tabs>
                <w:tab w:val="num" w:pos="1584"/>
              </w:tabs>
              <w:rPr>
                <w:sz w:val="20"/>
                <w:szCs w:val="20"/>
              </w:rPr>
            </w:pPr>
            <w:r w:rsidRPr="00396FB7">
              <w:rPr>
                <w:rFonts w:ascii="Calibri" w:hAnsi="Calibri"/>
                <w:sz w:val="20"/>
                <w:szCs w:val="20"/>
              </w:rPr>
              <w:t xml:space="preserve">This measure is intended for the replacement of standard efficiency furnaces with </w:t>
            </w:r>
            <w:bookmarkStart w:id="4" w:name="_Hlk525296982"/>
            <w:r w:rsidRPr="00396FB7">
              <w:rPr>
                <w:rFonts w:ascii="Calibri" w:hAnsi="Calibri"/>
                <w:sz w:val="20"/>
                <w:szCs w:val="20"/>
              </w:rPr>
              <w:t>high efficiency furnaces, with or without a Variable Speed Motor (VSM)</w:t>
            </w:r>
            <w:r w:rsidR="00BB2618">
              <w:rPr>
                <w:rFonts w:ascii="Calibri" w:hAnsi="Calibri"/>
                <w:sz w:val="20"/>
                <w:szCs w:val="20"/>
              </w:rPr>
              <w:t>.</w:t>
            </w:r>
            <w:r w:rsidR="00BA7EE6">
              <w:rPr>
                <w:rFonts w:ascii="Calibri" w:hAnsi="Calibri"/>
                <w:sz w:val="20"/>
                <w:szCs w:val="20"/>
              </w:rPr>
              <w:t xml:space="preserve"> </w:t>
            </w:r>
            <w:bookmarkEnd w:id="4"/>
            <w:r w:rsidR="00BB2618">
              <w:rPr>
                <w:rFonts w:ascii="Calibri" w:hAnsi="Calibri"/>
                <w:sz w:val="20"/>
                <w:szCs w:val="20"/>
              </w:rPr>
              <w:t>The</w:t>
            </w:r>
            <w:r w:rsidR="00BB2618" w:rsidRPr="00BB2618">
              <w:rPr>
                <w:rFonts w:ascii="Calibri" w:hAnsi="Calibri"/>
                <w:sz w:val="20"/>
                <w:szCs w:val="20"/>
              </w:rPr>
              <w:t xml:space="preserve"> natural gas furnace must have an Annual Fuel Utilizati</w:t>
            </w:r>
            <w:r w:rsidR="00BB2618">
              <w:rPr>
                <w:rFonts w:ascii="Calibri" w:hAnsi="Calibri"/>
                <w:sz w:val="20"/>
                <w:szCs w:val="20"/>
              </w:rPr>
              <w:t>on Efficiency (AFUE) rating of</w:t>
            </w:r>
            <w:r w:rsidR="00BB2618" w:rsidRPr="00BB2618">
              <w:rPr>
                <w:rFonts w:ascii="Calibri" w:hAnsi="Calibri"/>
                <w:sz w:val="20"/>
                <w:szCs w:val="20"/>
              </w:rPr>
              <w:t xml:space="preserve"> 95% </w:t>
            </w:r>
            <w:r w:rsidRPr="00396FB7">
              <w:rPr>
                <w:rFonts w:ascii="Calibri" w:hAnsi="Calibri"/>
                <w:sz w:val="20"/>
                <w:szCs w:val="20"/>
              </w:rPr>
              <w:t xml:space="preserve">or greater. </w:t>
            </w:r>
            <w:r w:rsidR="00BA2EF3">
              <w:rPr>
                <w:sz w:val="20"/>
                <w:szCs w:val="20"/>
              </w:rPr>
              <w:t xml:space="preserve"> </w:t>
            </w:r>
          </w:p>
          <w:p w:rsidR="00467261" w:rsidRDefault="00467261" w:rsidP="007342C0">
            <w:pPr>
              <w:tabs>
                <w:tab w:val="num" w:pos="1584"/>
              </w:tabs>
              <w:rPr>
                <w:sz w:val="20"/>
                <w:szCs w:val="20"/>
              </w:rPr>
            </w:pPr>
          </w:p>
          <w:p w:rsidR="00BC7D09" w:rsidRPr="00557C4D" w:rsidRDefault="0013488B" w:rsidP="00557C4D">
            <w:pPr>
              <w:tabs>
                <w:tab w:val="num" w:pos="1584"/>
              </w:tabs>
              <w:rPr>
                <w:sz w:val="20"/>
                <w:szCs w:val="20"/>
              </w:rPr>
            </w:pPr>
            <w:r w:rsidRPr="0013488B">
              <w:rPr>
                <w:sz w:val="20"/>
                <w:szCs w:val="20"/>
              </w:rPr>
              <w:t>Potential Technical Challenges</w:t>
            </w:r>
            <w:r>
              <w:rPr>
                <w:sz w:val="20"/>
                <w:szCs w:val="20"/>
              </w:rPr>
              <w:t xml:space="preserve"> or</w:t>
            </w:r>
            <w:r>
              <w:t xml:space="preserve"> </w:t>
            </w:r>
            <w:r>
              <w:rPr>
                <w:sz w:val="20"/>
                <w:szCs w:val="20"/>
              </w:rPr>
              <w:t>Impacts on</w:t>
            </w:r>
            <w:r w:rsidRPr="0013488B">
              <w:rPr>
                <w:sz w:val="20"/>
                <w:szCs w:val="20"/>
              </w:rPr>
              <w:t xml:space="preserve"> retrofit and new construction</w:t>
            </w:r>
            <w:r>
              <w:rPr>
                <w:sz w:val="20"/>
                <w:szCs w:val="20"/>
              </w:rPr>
              <w:t>:</w:t>
            </w:r>
          </w:p>
          <w:p w:rsidR="00BC7D09" w:rsidRDefault="00BC7D09" w:rsidP="007342C0">
            <w:pPr>
              <w:tabs>
                <w:tab w:val="num" w:pos="1584"/>
              </w:tabs>
              <w:rPr>
                <w:sz w:val="20"/>
                <w:szCs w:val="20"/>
              </w:rPr>
            </w:pPr>
          </w:p>
          <w:p w:rsidR="00467261" w:rsidRPr="00467261" w:rsidRDefault="0075296C" w:rsidP="00713133">
            <w:pPr>
              <w:pStyle w:val="ListParagraph"/>
              <w:numPr>
                <w:ilvl w:val="0"/>
                <w:numId w:val="39"/>
              </w:numPr>
              <w:rPr>
                <w:sz w:val="20"/>
                <w:szCs w:val="20"/>
              </w:rPr>
            </w:pPr>
            <w:r w:rsidRPr="0013488B">
              <w:rPr>
                <w:sz w:val="20"/>
                <w:szCs w:val="20"/>
              </w:rPr>
              <w:t>C</w:t>
            </w:r>
            <w:r w:rsidR="00467261">
              <w:rPr>
                <w:sz w:val="20"/>
                <w:szCs w:val="20"/>
              </w:rPr>
              <w:t>ombustion C</w:t>
            </w:r>
            <w:r w:rsidRPr="0013488B">
              <w:rPr>
                <w:sz w:val="20"/>
                <w:szCs w:val="20"/>
              </w:rPr>
              <w:t>ondensate management m</w:t>
            </w:r>
            <w:r w:rsidR="00467261">
              <w:rPr>
                <w:sz w:val="20"/>
                <w:szCs w:val="20"/>
              </w:rPr>
              <w:t xml:space="preserve">ust meet local codes and </w:t>
            </w:r>
            <w:r w:rsidR="00713133">
              <w:rPr>
                <w:sz w:val="20"/>
                <w:szCs w:val="20"/>
              </w:rPr>
              <w:t xml:space="preserve">demonstrate </w:t>
            </w:r>
            <w:r w:rsidR="00713133" w:rsidRPr="00713133">
              <w:rPr>
                <w:sz w:val="20"/>
                <w:szCs w:val="20"/>
              </w:rPr>
              <w:t>adequate freeze protection in colder climate rooftop environments</w:t>
            </w:r>
            <w:r w:rsidR="0013488B" w:rsidRPr="0013488B">
              <w:rPr>
                <w:sz w:val="20"/>
                <w:szCs w:val="20"/>
              </w:rPr>
              <w:t>.</w:t>
            </w:r>
            <w:r w:rsidR="00713133">
              <w:rPr>
                <w:sz w:val="20"/>
                <w:szCs w:val="20"/>
              </w:rPr>
              <w:t xml:space="preserve"> </w:t>
            </w:r>
            <w:r w:rsidR="001E353F">
              <w:rPr>
                <w:sz w:val="20"/>
                <w:szCs w:val="20"/>
              </w:rPr>
              <w:t xml:space="preserve">For that matter, </w:t>
            </w:r>
            <w:r w:rsidR="00713133">
              <w:rPr>
                <w:sz w:val="20"/>
                <w:szCs w:val="20"/>
              </w:rPr>
              <w:t>m</w:t>
            </w:r>
            <w:r w:rsidR="00467261">
              <w:rPr>
                <w:sz w:val="20"/>
                <w:szCs w:val="20"/>
              </w:rPr>
              <w:t>anufacturers</w:t>
            </w:r>
            <w:r w:rsidR="00BC7D09">
              <w:rPr>
                <w:sz w:val="20"/>
                <w:szCs w:val="20"/>
              </w:rPr>
              <w:t xml:space="preserve">’ </w:t>
            </w:r>
            <w:r w:rsidR="00467261">
              <w:rPr>
                <w:sz w:val="20"/>
                <w:szCs w:val="20"/>
              </w:rPr>
              <w:t>installation</w:t>
            </w:r>
            <w:r w:rsidR="00BC7D09">
              <w:rPr>
                <w:sz w:val="20"/>
                <w:szCs w:val="20"/>
              </w:rPr>
              <w:t xml:space="preserve"> instructions </w:t>
            </w:r>
            <w:r w:rsidR="00557C4D">
              <w:rPr>
                <w:sz w:val="20"/>
                <w:szCs w:val="20"/>
              </w:rPr>
              <w:t xml:space="preserve">must be followed </w:t>
            </w:r>
            <w:r w:rsidR="00B0770D">
              <w:rPr>
                <w:rStyle w:val="EndnoteReference"/>
                <w:sz w:val="20"/>
                <w:szCs w:val="20"/>
              </w:rPr>
              <w:endnoteReference w:id="2"/>
            </w:r>
            <w:r w:rsidR="00557C4D">
              <w:rPr>
                <w:sz w:val="20"/>
                <w:szCs w:val="20"/>
              </w:rPr>
              <w:t>.</w:t>
            </w:r>
          </w:p>
          <w:p w:rsidR="00BC7D09" w:rsidRPr="00467261" w:rsidRDefault="00BC7D09" w:rsidP="00BC7D09">
            <w:pPr>
              <w:pStyle w:val="Default"/>
              <w:ind w:left="1080"/>
              <w:rPr>
                <w:sz w:val="18"/>
                <w:szCs w:val="18"/>
              </w:rPr>
            </w:pPr>
          </w:p>
          <w:p w:rsidR="0075296C" w:rsidRDefault="0075296C" w:rsidP="0013488B">
            <w:pPr>
              <w:pStyle w:val="ListParagraph"/>
              <w:numPr>
                <w:ilvl w:val="0"/>
                <w:numId w:val="39"/>
              </w:numPr>
              <w:tabs>
                <w:tab w:val="num" w:pos="1584"/>
              </w:tabs>
              <w:rPr>
                <w:sz w:val="20"/>
                <w:szCs w:val="20"/>
              </w:rPr>
            </w:pPr>
            <w:r w:rsidRPr="0013488B">
              <w:rPr>
                <w:sz w:val="20"/>
                <w:szCs w:val="20"/>
              </w:rPr>
              <w:t>Furthermore, Combustion condensate is acidic and must be neutralization</w:t>
            </w:r>
            <w:r w:rsidR="0013488B" w:rsidRPr="0013488B">
              <w:rPr>
                <w:sz w:val="20"/>
                <w:szCs w:val="20"/>
              </w:rPr>
              <w:t xml:space="preserve"> by an approved dilution or neutralizing device</w:t>
            </w:r>
            <w:r w:rsidRPr="0013488B">
              <w:rPr>
                <w:sz w:val="20"/>
                <w:szCs w:val="20"/>
              </w:rPr>
              <w:t xml:space="preserve"> be</w:t>
            </w:r>
            <w:r w:rsidR="0013488B" w:rsidRPr="0013488B">
              <w:rPr>
                <w:sz w:val="20"/>
                <w:szCs w:val="20"/>
              </w:rPr>
              <w:t>fore discharging</w:t>
            </w:r>
            <w:r w:rsidRPr="0013488B">
              <w:rPr>
                <w:sz w:val="20"/>
                <w:szCs w:val="20"/>
              </w:rPr>
              <w:t xml:space="preserve"> int</w:t>
            </w:r>
            <w:r w:rsidR="0013488B" w:rsidRPr="0013488B">
              <w:rPr>
                <w:sz w:val="20"/>
                <w:szCs w:val="20"/>
              </w:rPr>
              <w:t>o the plumbing system.</w:t>
            </w:r>
          </w:p>
          <w:p w:rsidR="00BC7D09" w:rsidRDefault="00BC7D09" w:rsidP="007342C0">
            <w:pPr>
              <w:tabs>
                <w:tab w:val="num" w:pos="1584"/>
              </w:tabs>
              <w:rPr>
                <w:sz w:val="20"/>
                <w:szCs w:val="20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157"/>
              <w:gridCol w:w="3010"/>
              <w:gridCol w:w="1387"/>
              <w:gridCol w:w="1420"/>
            </w:tblGrid>
            <w:tr w:rsidR="00BA2EF3" w:rsidRPr="00846881" w:rsidTr="007342C0">
              <w:trPr>
                <w:trHeight w:val="422"/>
              </w:trPr>
              <w:tc>
                <w:tcPr>
                  <w:tcW w:w="8101" w:type="dxa"/>
                  <w:gridSpan w:val="4"/>
                </w:tcPr>
                <w:p w:rsidR="00BA2EF3" w:rsidRPr="00846881" w:rsidRDefault="00BA2EF3" w:rsidP="007342C0">
                  <w:pPr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Measure Characteristic</w:t>
                  </w:r>
                </w:p>
              </w:tc>
            </w:tr>
            <w:tr w:rsidR="00BA2EF3" w:rsidRPr="00846881" w:rsidTr="007342C0">
              <w:tc>
                <w:tcPr>
                  <w:tcW w:w="1261" w:type="dxa"/>
                </w:tcPr>
                <w:p w:rsidR="00BA2EF3" w:rsidRPr="00846881" w:rsidRDefault="00BA2EF3" w:rsidP="007342C0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Measure Code</w:t>
                  </w:r>
                </w:p>
              </w:tc>
              <w:tc>
                <w:tcPr>
                  <w:tcW w:w="3780" w:type="dxa"/>
                </w:tcPr>
                <w:p w:rsidR="00BA2EF3" w:rsidRPr="00846881" w:rsidRDefault="00BA2EF3" w:rsidP="007342C0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846881">
                    <w:rPr>
                      <w:rFonts w:cs="Arial"/>
                      <w:sz w:val="20"/>
                      <w:szCs w:val="20"/>
                    </w:rPr>
                    <w:t>DEER Measure Description</w:t>
                  </w:r>
                </w:p>
              </w:tc>
              <w:tc>
                <w:tcPr>
                  <w:tcW w:w="1620" w:type="dxa"/>
                </w:tcPr>
                <w:p w:rsidR="00BA2EF3" w:rsidRPr="00846881" w:rsidRDefault="00BA2EF3" w:rsidP="007342C0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 xml:space="preserve">DEER Baseline </w:t>
                  </w:r>
                </w:p>
              </w:tc>
              <w:tc>
                <w:tcPr>
                  <w:tcW w:w="1440" w:type="dxa"/>
                </w:tcPr>
                <w:p w:rsidR="00BA2EF3" w:rsidRPr="00846881" w:rsidRDefault="00BA2EF3" w:rsidP="007342C0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MeasAppType</w:t>
                  </w:r>
                </w:p>
              </w:tc>
            </w:tr>
            <w:tr w:rsidR="00BA2EF3" w:rsidRPr="00846881" w:rsidTr="00022E72">
              <w:trPr>
                <w:trHeight w:val="467"/>
              </w:trPr>
              <w:tc>
                <w:tcPr>
                  <w:tcW w:w="1261" w:type="dxa"/>
                </w:tcPr>
                <w:p w:rsidR="00BA2EF3" w:rsidRPr="00846881" w:rsidRDefault="00BA2EF3" w:rsidP="007342C0">
                  <w:pPr>
                    <w:rPr>
                      <w:rFonts w:cs="Arial"/>
                      <w:sz w:val="20"/>
                      <w:szCs w:val="20"/>
                    </w:rPr>
                  </w:pPr>
                </w:p>
              </w:tc>
              <w:tc>
                <w:tcPr>
                  <w:tcW w:w="3780" w:type="dxa"/>
                </w:tcPr>
                <w:p w:rsidR="00BA2EF3" w:rsidRPr="00846881" w:rsidRDefault="00396FB7" w:rsidP="007342C0">
                  <w:pPr>
                    <w:rPr>
                      <w:rFonts w:cs="Arial"/>
                      <w:sz w:val="20"/>
                      <w:szCs w:val="20"/>
                    </w:rPr>
                  </w:pPr>
                  <w:r w:rsidRPr="00396FB7">
                    <w:rPr>
                      <w:rFonts w:cs="Arial"/>
                      <w:sz w:val="20"/>
                      <w:szCs w:val="20"/>
                    </w:rPr>
                    <w:t>Packaged Furnace (Weatherized) 95 AFUE, HIR = 1.11884</w:t>
                  </w:r>
                </w:p>
              </w:tc>
              <w:tc>
                <w:tcPr>
                  <w:tcW w:w="1620" w:type="dxa"/>
                </w:tcPr>
                <w:p w:rsidR="00BA2EF3" w:rsidRPr="00846881" w:rsidRDefault="00557C4D" w:rsidP="007342C0">
                  <w:pPr>
                    <w:rPr>
                      <w:rFonts w:cs="Arial"/>
                      <w:sz w:val="20"/>
                      <w:szCs w:val="20"/>
                    </w:rPr>
                  </w:pPr>
                  <w:r>
                    <w:rPr>
                      <w:rFonts w:cs="Arial"/>
                      <w:sz w:val="20"/>
                      <w:szCs w:val="20"/>
                    </w:rPr>
                    <w:t>95 AFUE</w:t>
                  </w:r>
                </w:p>
              </w:tc>
              <w:tc>
                <w:tcPr>
                  <w:tcW w:w="1440" w:type="dxa"/>
                </w:tcPr>
                <w:p w:rsidR="00BA2EF3" w:rsidRPr="00846881" w:rsidRDefault="00BA2EF3" w:rsidP="007342C0">
                  <w:pPr>
                    <w:rPr>
                      <w:sz w:val="20"/>
                      <w:szCs w:val="20"/>
                    </w:rPr>
                  </w:pPr>
                  <w:r w:rsidRPr="00CC75F7">
                    <w:rPr>
                      <w:sz w:val="20"/>
                      <w:szCs w:val="20"/>
                    </w:rPr>
                    <w:t>ROB</w:t>
                  </w:r>
                </w:p>
              </w:tc>
            </w:tr>
          </w:tbl>
          <w:p w:rsidR="00BA2EF3" w:rsidRPr="00241A1F" w:rsidRDefault="00BA2EF3" w:rsidP="007342C0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467261" w:rsidRDefault="00467261">
      <w:pPr>
        <w:spacing w:after="200" w:line="276" w:lineRule="auto"/>
        <w:rPr>
          <w:rFonts w:cstheme="minorHAnsi"/>
        </w:rPr>
      </w:pPr>
    </w:p>
    <w:tbl>
      <w:tblPr>
        <w:tblStyle w:val="TableGrid"/>
        <w:tblW w:w="9558" w:type="dxa"/>
        <w:tblLook w:val="04A0" w:firstRow="1" w:lastRow="0" w:firstColumn="1" w:lastColumn="0" w:noHBand="0" w:noVBand="1"/>
      </w:tblPr>
      <w:tblGrid>
        <w:gridCol w:w="2358"/>
        <w:gridCol w:w="7200"/>
      </w:tblGrid>
      <w:tr w:rsidR="00EA7B3F" w:rsidRPr="00D86243" w:rsidTr="009D1072">
        <w:trPr>
          <w:cantSplit/>
          <w:trHeight w:val="192"/>
          <w:tblHeader/>
        </w:trPr>
        <w:tc>
          <w:tcPr>
            <w:tcW w:w="2358" w:type="dxa"/>
          </w:tcPr>
          <w:p w:rsidR="00EA7B3F" w:rsidRPr="00D86243" w:rsidRDefault="00EA7B3F" w:rsidP="007342C0">
            <w:pPr>
              <w:jc w:val="center"/>
              <w:rPr>
                <w:b/>
              </w:rPr>
            </w:pPr>
            <w:r>
              <w:br w:type="page"/>
            </w:r>
            <w:r w:rsidRPr="00D86243">
              <w:rPr>
                <w:b/>
              </w:rPr>
              <w:t>Section</w:t>
            </w:r>
          </w:p>
        </w:tc>
        <w:tc>
          <w:tcPr>
            <w:tcW w:w="7200" w:type="dxa"/>
          </w:tcPr>
          <w:p w:rsidR="00EA7B3F" w:rsidRPr="00D86243" w:rsidRDefault="00EA7B3F" w:rsidP="007342C0">
            <w:pPr>
              <w:jc w:val="center"/>
              <w:rPr>
                <w:b/>
              </w:rPr>
            </w:pPr>
            <w:r w:rsidRPr="00D86243">
              <w:rPr>
                <w:b/>
              </w:rPr>
              <w:t>Value</w:t>
            </w:r>
          </w:p>
        </w:tc>
      </w:tr>
    </w:tbl>
    <w:tbl>
      <w:tblPr>
        <w:tblStyle w:val="TableGrid2"/>
        <w:tblW w:w="9558" w:type="dxa"/>
        <w:tblLayout w:type="fixed"/>
        <w:tblLook w:val="04A0" w:firstRow="1" w:lastRow="0" w:firstColumn="1" w:lastColumn="0" w:noHBand="0" w:noVBand="1"/>
      </w:tblPr>
      <w:tblGrid>
        <w:gridCol w:w="2358"/>
        <w:gridCol w:w="7200"/>
      </w:tblGrid>
      <w:tr w:rsidR="008C56AE" w:rsidRPr="008C56AE" w:rsidTr="009268A8">
        <w:trPr>
          <w:cantSplit/>
          <w:trHeight w:val="384"/>
        </w:trPr>
        <w:tc>
          <w:tcPr>
            <w:tcW w:w="2358" w:type="dxa"/>
            <w:vAlign w:val="center"/>
          </w:tcPr>
          <w:p w:rsidR="008C56AE" w:rsidRPr="008C56AE" w:rsidRDefault="008C56AE" w:rsidP="008C56AE">
            <w:pPr>
              <w:rPr>
                <w:b/>
              </w:rPr>
            </w:pPr>
            <w:r w:rsidRPr="008C56AE">
              <w:rPr>
                <w:b/>
              </w:rPr>
              <w:lastRenderedPageBreak/>
              <w:t xml:space="preserve">1.2 Technical Description </w:t>
            </w:r>
          </w:p>
        </w:tc>
        <w:tc>
          <w:tcPr>
            <w:tcW w:w="7200" w:type="dxa"/>
          </w:tcPr>
          <w:p w:rsidR="000E7550" w:rsidRPr="00234080" w:rsidRDefault="007F6C7D" w:rsidP="008C6CA3">
            <w:pPr>
              <w:tabs>
                <w:tab w:val="num" w:pos="360"/>
              </w:tabs>
              <w:spacing w:before="40" w:after="40"/>
              <w:rPr>
                <w:rFonts w:ascii="Calibri" w:hAnsi="Calibri"/>
                <w:sz w:val="20"/>
                <w:szCs w:val="20"/>
              </w:rPr>
            </w:pPr>
            <w:r w:rsidRPr="00234080">
              <w:rPr>
                <w:rFonts w:ascii="Calibri" w:hAnsi="Calibri"/>
                <w:sz w:val="20"/>
                <w:szCs w:val="20"/>
              </w:rPr>
              <w:t xml:space="preserve">Traditional furnaces are built with just one heat exchanger. During the combustion process that takes place inside of this heat exchanger, a certain amount of the heat that is produced is lost up the </w:t>
            </w:r>
            <w:r w:rsidR="008C6CA3" w:rsidRPr="00234080">
              <w:rPr>
                <w:rFonts w:ascii="Calibri" w:hAnsi="Calibri"/>
                <w:sz w:val="20"/>
                <w:szCs w:val="20"/>
              </w:rPr>
              <w:t>exhaust duct</w:t>
            </w:r>
            <w:r w:rsidRPr="00234080">
              <w:rPr>
                <w:rFonts w:ascii="Calibri" w:hAnsi="Calibri"/>
                <w:sz w:val="20"/>
                <w:szCs w:val="20"/>
              </w:rPr>
              <w:t xml:space="preserve"> in the form of water vapor. </w:t>
            </w:r>
            <w:r w:rsidR="000E7550" w:rsidRPr="00234080">
              <w:rPr>
                <w:rFonts w:ascii="Calibri" w:hAnsi="Calibri"/>
                <w:sz w:val="20"/>
                <w:szCs w:val="20"/>
              </w:rPr>
              <w:t xml:space="preserve">Condensing furnaces typically have high efficiencies, </w:t>
            </w:r>
            <w:r w:rsidR="008C6CA3" w:rsidRPr="00234080">
              <w:rPr>
                <w:rFonts w:ascii="Calibri" w:hAnsi="Calibri"/>
                <w:sz w:val="20"/>
                <w:szCs w:val="20"/>
              </w:rPr>
              <w:t xml:space="preserve">ranging from 89 to 98%, because </w:t>
            </w:r>
            <w:r w:rsidR="000E7550" w:rsidRPr="00234080">
              <w:rPr>
                <w:rFonts w:ascii="Calibri" w:hAnsi="Calibri"/>
                <w:sz w:val="20"/>
                <w:szCs w:val="20"/>
              </w:rPr>
              <w:t>they have a specially designed secondary heat exchanger that extracts the heat of vaporization</w:t>
            </w:r>
            <w:r w:rsidR="009C4DEF" w:rsidRPr="00234080">
              <w:rPr>
                <w:rFonts w:ascii="Calibri" w:hAnsi="Calibri"/>
                <w:sz w:val="20"/>
                <w:szCs w:val="20"/>
              </w:rPr>
              <w:t xml:space="preserve"> of water vapor in the exhaust</w:t>
            </w:r>
            <w:r w:rsidR="008C6CA3" w:rsidRPr="00234080">
              <w:rPr>
                <w:rFonts w:ascii="Calibri" w:hAnsi="Calibri"/>
                <w:sz w:val="20"/>
                <w:szCs w:val="20"/>
              </w:rPr>
              <w:t>,</w:t>
            </w:r>
            <w:r w:rsidR="000E7550" w:rsidRPr="00234080">
              <w:rPr>
                <w:rFonts w:ascii="Calibri" w:hAnsi="Calibri"/>
                <w:sz w:val="20"/>
                <w:szCs w:val="20"/>
              </w:rPr>
              <w:t xml:space="preserve"> </w:t>
            </w:r>
            <w:r w:rsidR="008C6CA3" w:rsidRPr="00234080">
              <w:rPr>
                <w:rFonts w:ascii="Calibri" w:hAnsi="Calibri"/>
                <w:sz w:val="20"/>
                <w:szCs w:val="20"/>
              </w:rPr>
              <w:t xml:space="preserve">where it is condensed and turned into a liquid. </w:t>
            </w:r>
          </w:p>
          <w:p w:rsidR="002C0642" w:rsidRPr="00234080" w:rsidRDefault="002C0642" w:rsidP="008C6CA3">
            <w:pPr>
              <w:tabs>
                <w:tab w:val="num" w:pos="360"/>
              </w:tabs>
              <w:spacing w:before="40" w:after="40"/>
              <w:rPr>
                <w:rFonts w:ascii="Calibri" w:hAnsi="Calibri"/>
                <w:sz w:val="20"/>
                <w:szCs w:val="20"/>
              </w:rPr>
            </w:pPr>
          </w:p>
          <w:p w:rsidR="00782EE7" w:rsidRDefault="00882570" w:rsidP="008C56AE">
            <w:pPr>
              <w:tabs>
                <w:tab w:val="num" w:pos="360"/>
              </w:tabs>
              <w:spacing w:before="40" w:after="40"/>
              <w:rPr>
                <w:rFonts w:ascii="Calibri" w:hAnsi="Calibri"/>
                <w:sz w:val="20"/>
                <w:szCs w:val="20"/>
              </w:rPr>
            </w:pPr>
            <w:r w:rsidRPr="00234080">
              <w:rPr>
                <w:rFonts w:ascii="Calibri" w:hAnsi="Calibri"/>
                <w:sz w:val="20"/>
                <w:szCs w:val="20"/>
              </w:rPr>
              <w:t xml:space="preserve">Condensing combustion technology has been applied to indoor equipment for years, primarily to space heating product lines from gas-fired home furnaces to hot water/steam boilers in the residential through industrial sectors. However, its introduction into outdoor, packaged gas heating and electric air conditioning rooftop units (RTUs), used for space conditioning low-rise commercial and institutional buildings, has been slowed by certain economic and technical challenges. </w:t>
            </w:r>
          </w:p>
          <w:p w:rsidR="00782EE7" w:rsidRDefault="00782EE7" w:rsidP="008C56AE">
            <w:pPr>
              <w:tabs>
                <w:tab w:val="num" w:pos="360"/>
              </w:tabs>
              <w:spacing w:before="40" w:after="40"/>
              <w:rPr>
                <w:rFonts w:ascii="Calibri" w:hAnsi="Calibri"/>
                <w:sz w:val="20"/>
                <w:szCs w:val="20"/>
              </w:rPr>
            </w:pPr>
          </w:p>
          <w:p w:rsidR="00882570" w:rsidRDefault="00882570" w:rsidP="008C56AE">
            <w:pPr>
              <w:tabs>
                <w:tab w:val="num" w:pos="360"/>
              </w:tabs>
              <w:spacing w:before="40" w:after="40"/>
              <w:rPr>
                <w:rFonts w:ascii="Calibri" w:hAnsi="Calibri"/>
                <w:sz w:val="20"/>
                <w:szCs w:val="20"/>
              </w:rPr>
            </w:pPr>
            <w:r w:rsidRPr="00234080">
              <w:rPr>
                <w:rFonts w:ascii="Calibri" w:hAnsi="Calibri"/>
                <w:sz w:val="20"/>
                <w:szCs w:val="20"/>
              </w:rPr>
              <w:t>Economically, sufficient net annual operating energy cost savings must be demonstrated to payback the cost premium of the condensing RTU.</w:t>
            </w:r>
            <w:r w:rsidRPr="00234080">
              <w:rPr>
                <w:sz w:val="20"/>
                <w:szCs w:val="20"/>
              </w:rPr>
              <w:t xml:space="preserve"> </w:t>
            </w:r>
            <w:r w:rsidRPr="00234080">
              <w:rPr>
                <w:rFonts w:ascii="Calibri" w:hAnsi="Calibri"/>
                <w:sz w:val="20"/>
                <w:szCs w:val="20"/>
              </w:rPr>
              <w:t>Installation and any ongoing maintenance costs for ancillary equipment for combustion condensate management must also be accounted for in payback calculations.</w:t>
            </w:r>
          </w:p>
          <w:p w:rsidR="004F3BD0" w:rsidRDefault="004F3BD0" w:rsidP="008C56AE">
            <w:pPr>
              <w:tabs>
                <w:tab w:val="num" w:pos="360"/>
              </w:tabs>
              <w:spacing w:before="40" w:after="40"/>
              <w:rPr>
                <w:rFonts w:ascii="Calibri" w:hAnsi="Calibri"/>
                <w:sz w:val="20"/>
                <w:szCs w:val="20"/>
              </w:rPr>
            </w:pPr>
          </w:p>
          <w:p w:rsidR="004F3BD0" w:rsidRPr="00234080" w:rsidRDefault="005E140B" w:rsidP="008C56AE">
            <w:pPr>
              <w:tabs>
                <w:tab w:val="num" w:pos="360"/>
              </w:tabs>
              <w:spacing w:before="40" w:after="4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According to </w:t>
            </w:r>
            <w:r w:rsidR="000A3A39">
              <w:rPr>
                <w:rFonts w:ascii="Calibri" w:hAnsi="Calibri"/>
                <w:sz w:val="20"/>
                <w:szCs w:val="20"/>
              </w:rPr>
              <w:t xml:space="preserve">a 2017 report from </w:t>
            </w:r>
            <w:r>
              <w:rPr>
                <w:rFonts w:ascii="Calibri" w:hAnsi="Calibri"/>
                <w:sz w:val="20"/>
                <w:szCs w:val="20"/>
              </w:rPr>
              <w:t>Gas Technology Institute (GTI)</w:t>
            </w:r>
            <w:r w:rsidR="000A3A39">
              <w:rPr>
                <w:rStyle w:val="EndnoteReference"/>
                <w:rFonts w:ascii="Calibri" w:hAnsi="Calibri"/>
                <w:sz w:val="20"/>
                <w:szCs w:val="20"/>
              </w:rPr>
              <w:endnoteReference w:id="3"/>
            </w:r>
            <w:r>
              <w:rPr>
                <w:rFonts w:ascii="Calibri" w:hAnsi="Calibri"/>
                <w:sz w:val="20"/>
                <w:szCs w:val="20"/>
              </w:rPr>
              <w:t xml:space="preserve">, a </w:t>
            </w:r>
            <w:r w:rsidRPr="005E140B">
              <w:rPr>
                <w:rFonts w:ascii="Calibri" w:hAnsi="Calibri"/>
                <w:sz w:val="20"/>
                <w:szCs w:val="20"/>
              </w:rPr>
              <w:t xml:space="preserve">100% outdoor air </w:t>
            </w:r>
            <w:r w:rsidR="00157C12">
              <w:rPr>
                <w:rFonts w:ascii="Calibri" w:hAnsi="Calibri"/>
                <w:sz w:val="20"/>
                <w:szCs w:val="20"/>
              </w:rPr>
              <w:t>condensing_</w:t>
            </w:r>
            <w:r w:rsidR="00557C4D" w:rsidRPr="00557C4D">
              <w:rPr>
                <w:rFonts w:ascii="Calibri" w:hAnsi="Calibri"/>
                <w:sz w:val="20"/>
                <w:szCs w:val="20"/>
              </w:rPr>
              <w:t xml:space="preserve">Dedicated Outdoor Air System </w:t>
            </w:r>
            <w:r w:rsidR="002B263A">
              <w:rPr>
                <w:rFonts w:ascii="Calibri" w:hAnsi="Calibri"/>
                <w:sz w:val="20"/>
                <w:szCs w:val="20"/>
              </w:rPr>
              <w:t xml:space="preserve">(DOAS) </w:t>
            </w:r>
            <w:r w:rsidRPr="005E140B">
              <w:rPr>
                <w:rFonts w:ascii="Calibri" w:hAnsi="Calibri"/>
                <w:sz w:val="20"/>
                <w:szCs w:val="20"/>
              </w:rPr>
              <w:t>RTUs</w:t>
            </w:r>
            <w:r w:rsidR="00FD77A4">
              <w:rPr>
                <w:rFonts w:ascii="Calibri" w:hAnsi="Calibri"/>
                <w:sz w:val="20"/>
                <w:szCs w:val="20"/>
              </w:rPr>
              <w:t>,</w:t>
            </w:r>
            <w:r w:rsidRPr="005E140B">
              <w:rPr>
                <w:rFonts w:ascii="Calibri" w:hAnsi="Calibri"/>
                <w:sz w:val="20"/>
                <w:szCs w:val="20"/>
              </w:rPr>
              <w:t xml:space="preserve"> </w:t>
            </w:r>
            <w:r w:rsidR="00FD77A4">
              <w:rPr>
                <w:rFonts w:ascii="Calibri" w:hAnsi="Calibri"/>
                <w:sz w:val="20"/>
                <w:szCs w:val="20"/>
              </w:rPr>
              <w:t xml:space="preserve">operating at high equivalent full load hours (EFUL) </w:t>
            </w:r>
            <w:r w:rsidRPr="005E140B">
              <w:rPr>
                <w:rFonts w:ascii="Calibri" w:hAnsi="Calibri"/>
                <w:sz w:val="20"/>
                <w:szCs w:val="20"/>
              </w:rPr>
              <w:t>offer</w:t>
            </w:r>
            <w:r>
              <w:rPr>
                <w:rFonts w:ascii="Calibri" w:hAnsi="Calibri"/>
                <w:sz w:val="20"/>
                <w:szCs w:val="20"/>
              </w:rPr>
              <w:t>s the most</w:t>
            </w:r>
            <w:r w:rsidRPr="005E140B">
              <w:rPr>
                <w:rFonts w:ascii="Calibri" w:hAnsi="Calibri"/>
                <w:sz w:val="20"/>
                <w:szCs w:val="20"/>
              </w:rPr>
              <w:t xml:space="preserve"> attractive paybacks</w:t>
            </w:r>
            <w:r w:rsidR="008140CC">
              <w:rPr>
                <w:rFonts w:ascii="Calibri" w:hAnsi="Calibri"/>
                <w:sz w:val="20"/>
                <w:szCs w:val="20"/>
              </w:rPr>
              <w:t xml:space="preserve"> for</w:t>
            </w:r>
            <w:r w:rsidR="000A3A39">
              <w:rPr>
                <w:rFonts w:ascii="Calibri" w:hAnsi="Calibri"/>
                <w:sz w:val="20"/>
                <w:szCs w:val="20"/>
              </w:rPr>
              <w:t xml:space="preserve"> R</w:t>
            </w:r>
            <w:r w:rsidR="000A76A1">
              <w:rPr>
                <w:rFonts w:ascii="Calibri" w:hAnsi="Calibri"/>
                <w:sz w:val="20"/>
                <w:szCs w:val="20"/>
              </w:rPr>
              <w:t>TUs</w:t>
            </w:r>
            <w:r w:rsidR="000A3A39">
              <w:rPr>
                <w:rFonts w:ascii="Calibri" w:hAnsi="Calibri"/>
                <w:sz w:val="20"/>
                <w:szCs w:val="20"/>
              </w:rPr>
              <w:t>, as shown in the figure below.</w:t>
            </w:r>
          </w:p>
          <w:p w:rsidR="00126348" w:rsidRDefault="00126348" w:rsidP="008C56AE">
            <w:pPr>
              <w:tabs>
                <w:tab w:val="num" w:pos="360"/>
              </w:tabs>
              <w:spacing w:before="40" w:after="40"/>
              <w:rPr>
                <w:rFonts w:ascii="Calibri" w:hAnsi="Calibri"/>
                <w:sz w:val="20"/>
                <w:szCs w:val="20"/>
              </w:rPr>
            </w:pPr>
          </w:p>
          <w:p w:rsidR="004F3BD0" w:rsidRDefault="004F3BD0" w:rsidP="008C56AE">
            <w:pPr>
              <w:tabs>
                <w:tab w:val="num" w:pos="360"/>
              </w:tabs>
              <w:spacing w:before="40" w:after="40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noProof/>
                <w:sz w:val="20"/>
                <w:szCs w:val="20"/>
              </w:rPr>
              <w:drawing>
                <wp:inline distT="0" distB="0" distL="0" distR="0">
                  <wp:extent cx="4434840" cy="3338195"/>
                  <wp:effectExtent l="0" t="0" r="3810" b="0"/>
                  <wp:docPr id="1" name="Picture 1" descr="Screen Clipp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8A42767.tmp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34840" cy="3338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B263A" w:rsidRPr="008C56AE" w:rsidRDefault="002B263A" w:rsidP="008C56AE">
            <w:pPr>
              <w:tabs>
                <w:tab w:val="num" w:pos="360"/>
              </w:tabs>
              <w:spacing w:before="40" w:after="40"/>
              <w:rPr>
                <w:rFonts w:ascii="Calibri" w:hAnsi="Calibri"/>
                <w:sz w:val="20"/>
                <w:szCs w:val="20"/>
              </w:rPr>
            </w:pPr>
          </w:p>
        </w:tc>
      </w:tr>
      <w:tr w:rsidR="008C56AE" w:rsidRPr="00C67E61" w:rsidTr="009268A8">
        <w:trPr>
          <w:cantSplit/>
          <w:trHeight w:val="8720"/>
        </w:trPr>
        <w:tc>
          <w:tcPr>
            <w:tcW w:w="2358" w:type="dxa"/>
          </w:tcPr>
          <w:p w:rsidR="008C56AE" w:rsidRPr="00C67E61" w:rsidRDefault="008C56AE" w:rsidP="008C56AE">
            <w:pPr>
              <w:jc w:val="right"/>
              <w:rPr>
                <w:sz w:val="20"/>
                <w:szCs w:val="20"/>
              </w:rPr>
            </w:pPr>
            <w:r w:rsidRPr="00C67E61">
              <w:rPr>
                <w:sz w:val="20"/>
                <w:szCs w:val="20"/>
              </w:rPr>
              <w:lastRenderedPageBreak/>
              <w:t>Code for All Measures</w:t>
            </w:r>
          </w:p>
          <w:p w:rsidR="008C56AE" w:rsidRPr="00C67E61" w:rsidRDefault="008C56AE" w:rsidP="008C56AE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200" w:type="dxa"/>
          </w:tcPr>
          <w:p w:rsidR="008C56AE" w:rsidRPr="00C67E61" w:rsidRDefault="00E03F50" w:rsidP="008C56AE">
            <w:pPr>
              <w:rPr>
                <w:noProof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As cited per </w:t>
            </w:r>
            <w:r w:rsidR="008C56AE" w:rsidRPr="00C67E61">
              <w:rPr>
                <w:noProof/>
                <w:sz w:val="20"/>
                <w:szCs w:val="20"/>
              </w:rPr>
              <w:t xml:space="preserve"> </w:t>
            </w:r>
          </w:p>
          <w:p w:rsidR="00E42F1F" w:rsidRPr="00C67E61" w:rsidRDefault="00E42F1F" w:rsidP="008C56AE">
            <w:pPr>
              <w:rPr>
                <w:noProof/>
                <w:sz w:val="20"/>
                <w:szCs w:val="20"/>
              </w:rPr>
            </w:pPr>
          </w:p>
          <w:p w:rsidR="00C67E61" w:rsidRPr="00C67E61" w:rsidRDefault="00C67E61" w:rsidP="00C67E61">
            <w:pPr>
              <w:rPr>
                <w:sz w:val="20"/>
                <w:szCs w:val="20"/>
              </w:rPr>
            </w:pPr>
            <w:r w:rsidRPr="00C67E61">
              <w:rPr>
                <w:rFonts w:cs="Arial"/>
                <w:b/>
                <w:i/>
                <w:sz w:val="20"/>
                <w:szCs w:val="20"/>
              </w:rPr>
              <w:t>Title 20:</w:t>
            </w:r>
            <w:r w:rsidRPr="00C67E61">
              <w:rPr>
                <w:rFonts w:cs="Arial"/>
                <w:sz w:val="20"/>
                <w:szCs w:val="20"/>
              </w:rPr>
              <w:t xml:space="preserve"> This measure does fall under Title 20 of the California Energy Regulations. U</w:t>
            </w:r>
            <w:r w:rsidRPr="00C67E61">
              <w:rPr>
                <w:sz w:val="20"/>
                <w:szCs w:val="20"/>
              </w:rPr>
              <w:t xml:space="preserve">nder section 1605.1 on Table E-6, the minimum standard for gas furnaces with less than 225,000 </w:t>
            </w:r>
            <w:r w:rsidR="00633734">
              <w:rPr>
                <w:sz w:val="20"/>
                <w:szCs w:val="20"/>
              </w:rPr>
              <w:t xml:space="preserve">rated input </w:t>
            </w:r>
            <w:r w:rsidRPr="00C67E61">
              <w:rPr>
                <w:sz w:val="20"/>
                <w:szCs w:val="20"/>
              </w:rPr>
              <w:t>Btu/h</w:t>
            </w:r>
            <w:r w:rsidR="00126348">
              <w:rPr>
                <w:sz w:val="20"/>
                <w:szCs w:val="20"/>
              </w:rPr>
              <w:t>r</w:t>
            </w:r>
            <w:r w:rsidRPr="00C67E61">
              <w:rPr>
                <w:sz w:val="20"/>
                <w:szCs w:val="20"/>
              </w:rPr>
              <w:t xml:space="preserve"> is </w:t>
            </w:r>
            <w:r w:rsidR="00126348">
              <w:rPr>
                <w:sz w:val="20"/>
                <w:szCs w:val="20"/>
              </w:rPr>
              <w:t>81</w:t>
            </w:r>
            <w:r w:rsidRPr="00C67E61">
              <w:rPr>
                <w:sz w:val="20"/>
                <w:szCs w:val="20"/>
              </w:rPr>
              <w:t>% AFUE</w:t>
            </w:r>
            <w:r w:rsidR="0041086A">
              <w:rPr>
                <w:sz w:val="20"/>
                <w:szCs w:val="20"/>
              </w:rPr>
              <w:t>.</w:t>
            </w:r>
          </w:p>
          <w:p w:rsidR="00C67E61" w:rsidRPr="00C67E61" w:rsidRDefault="00C67E61" w:rsidP="00C67E61">
            <w:pPr>
              <w:keepNext/>
              <w:rPr>
                <w:b/>
                <w:bCs/>
                <w:sz w:val="20"/>
                <w:szCs w:val="20"/>
              </w:rPr>
            </w:pPr>
            <w:bookmarkStart w:id="5" w:name="_Toc327965525"/>
          </w:p>
          <w:tbl>
            <w:tblPr>
              <w:tblW w:w="754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645"/>
              <w:gridCol w:w="1440"/>
              <w:gridCol w:w="1080"/>
              <w:gridCol w:w="990"/>
              <w:gridCol w:w="2387"/>
            </w:tblGrid>
            <w:tr w:rsidR="00633734" w:rsidRPr="00C67E61" w:rsidTr="00234080">
              <w:trPr>
                <w:trHeight w:val="620"/>
              </w:trPr>
              <w:tc>
                <w:tcPr>
                  <w:tcW w:w="1645" w:type="dxa"/>
                  <w:shd w:val="clear" w:color="auto" w:fill="auto"/>
                  <w:vAlign w:val="center"/>
                </w:tcPr>
                <w:bookmarkEnd w:id="5"/>
                <w:p w:rsidR="00633734" w:rsidRPr="00C67E61" w:rsidRDefault="00633734" w:rsidP="00C67E61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C67E61">
                    <w:rPr>
                      <w:rFonts w:cstheme="minorHAnsi"/>
                      <w:b/>
                      <w:sz w:val="20"/>
                      <w:szCs w:val="20"/>
                    </w:rPr>
                    <w:t>Title 20 Std. Description</w:t>
                  </w:r>
                </w:p>
              </w:tc>
              <w:tc>
                <w:tcPr>
                  <w:tcW w:w="1440" w:type="dxa"/>
                  <w:shd w:val="clear" w:color="auto" w:fill="auto"/>
                  <w:vAlign w:val="center"/>
                </w:tcPr>
                <w:p w:rsidR="00633734" w:rsidRPr="00C67E61" w:rsidRDefault="00633734" w:rsidP="00C67E61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C67E61">
                    <w:rPr>
                      <w:rFonts w:cstheme="minorHAnsi"/>
                      <w:b/>
                      <w:sz w:val="20"/>
                      <w:szCs w:val="20"/>
                    </w:rPr>
                    <w:t>Base or Measure Case</w:t>
                  </w:r>
                </w:p>
              </w:tc>
              <w:tc>
                <w:tcPr>
                  <w:tcW w:w="1080" w:type="dxa"/>
                  <w:shd w:val="clear" w:color="auto" w:fill="auto"/>
                  <w:vAlign w:val="center"/>
                </w:tcPr>
                <w:p w:rsidR="00633734" w:rsidRPr="00C67E61" w:rsidRDefault="00633734" w:rsidP="00C67E61">
                  <w:pPr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C67E61">
                    <w:rPr>
                      <w:rFonts w:cstheme="minorHAnsi"/>
                      <w:b/>
                      <w:sz w:val="20"/>
                      <w:szCs w:val="20"/>
                    </w:rPr>
                    <w:t>Value</w:t>
                  </w:r>
                </w:p>
              </w:tc>
              <w:tc>
                <w:tcPr>
                  <w:tcW w:w="990" w:type="dxa"/>
                  <w:shd w:val="clear" w:color="auto" w:fill="auto"/>
                  <w:vAlign w:val="center"/>
                </w:tcPr>
                <w:p w:rsidR="00633734" w:rsidRPr="00C67E61" w:rsidRDefault="00633734" w:rsidP="00C67E61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C67E61">
                    <w:rPr>
                      <w:rFonts w:cstheme="minorHAnsi"/>
                      <w:b/>
                      <w:sz w:val="20"/>
                      <w:szCs w:val="20"/>
                    </w:rPr>
                    <w:t>Units</w:t>
                  </w:r>
                </w:p>
              </w:tc>
              <w:tc>
                <w:tcPr>
                  <w:tcW w:w="2387" w:type="dxa"/>
                  <w:shd w:val="clear" w:color="auto" w:fill="auto"/>
                  <w:vAlign w:val="center"/>
                </w:tcPr>
                <w:p w:rsidR="00633734" w:rsidRDefault="00633734" w:rsidP="00C67E61">
                  <w:pPr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C67E61">
                    <w:rPr>
                      <w:rFonts w:cstheme="minorHAnsi"/>
                      <w:b/>
                      <w:sz w:val="20"/>
                      <w:szCs w:val="20"/>
                    </w:rPr>
                    <w:t xml:space="preserve">Code Source or </w:t>
                  </w:r>
                </w:p>
                <w:p w:rsidR="00633734" w:rsidRPr="00C67E61" w:rsidRDefault="00633734" w:rsidP="00C67E61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C67E61">
                    <w:rPr>
                      <w:rFonts w:cstheme="minorHAnsi"/>
                      <w:b/>
                      <w:sz w:val="20"/>
                      <w:szCs w:val="20"/>
                    </w:rPr>
                    <w:t>Reference</w:t>
                  </w:r>
                </w:p>
              </w:tc>
            </w:tr>
            <w:tr w:rsidR="00633734" w:rsidRPr="00C67E61" w:rsidTr="00234080">
              <w:trPr>
                <w:trHeight w:val="530"/>
              </w:trPr>
              <w:tc>
                <w:tcPr>
                  <w:tcW w:w="1645" w:type="dxa"/>
                  <w:shd w:val="clear" w:color="auto" w:fill="auto"/>
                  <w:vAlign w:val="center"/>
                </w:tcPr>
                <w:p w:rsidR="00633734" w:rsidRPr="00C67E61" w:rsidRDefault="00633734" w:rsidP="0041086A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126348">
                    <w:rPr>
                      <w:rFonts w:cstheme="minorHAnsi"/>
                      <w:sz w:val="20"/>
                      <w:szCs w:val="20"/>
                    </w:rPr>
                    <w:t>Weatherized gas furnaces</w:t>
                  </w:r>
                </w:p>
              </w:tc>
              <w:tc>
                <w:tcPr>
                  <w:tcW w:w="1440" w:type="dxa"/>
                  <w:shd w:val="clear" w:color="auto" w:fill="auto"/>
                  <w:vAlign w:val="center"/>
                </w:tcPr>
                <w:p w:rsidR="00633734" w:rsidRPr="00C67E61" w:rsidRDefault="00633734" w:rsidP="0041086A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C67E61">
                    <w:rPr>
                      <w:rFonts w:cstheme="minorHAnsi"/>
                      <w:sz w:val="20"/>
                      <w:szCs w:val="20"/>
                    </w:rPr>
                    <w:t>Base</w:t>
                  </w:r>
                </w:p>
              </w:tc>
              <w:tc>
                <w:tcPr>
                  <w:tcW w:w="1080" w:type="dxa"/>
                  <w:shd w:val="clear" w:color="auto" w:fill="auto"/>
                  <w:vAlign w:val="center"/>
                </w:tcPr>
                <w:p w:rsidR="00633734" w:rsidRPr="00C67E61" w:rsidRDefault="00633734" w:rsidP="0041086A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C67E61">
                    <w:rPr>
                      <w:rFonts w:cstheme="minorHAnsi"/>
                      <w:sz w:val="20"/>
                      <w:szCs w:val="20"/>
                    </w:rPr>
                    <w:t>8</w:t>
                  </w:r>
                  <w:r>
                    <w:rPr>
                      <w:rFonts w:cstheme="minorHAnsi"/>
                      <w:sz w:val="20"/>
                      <w:szCs w:val="20"/>
                    </w:rPr>
                    <w:t>1</w:t>
                  </w:r>
                  <w:r w:rsidRPr="00C67E61">
                    <w:rPr>
                      <w:rFonts w:cstheme="minorHAnsi"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990" w:type="dxa"/>
                  <w:shd w:val="clear" w:color="auto" w:fill="auto"/>
                  <w:vAlign w:val="center"/>
                </w:tcPr>
                <w:p w:rsidR="00633734" w:rsidRPr="00C67E61" w:rsidRDefault="00633734" w:rsidP="0041086A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C67E61">
                    <w:rPr>
                      <w:rFonts w:cstheme="minorHAnsi"/>
                      <w:sz w:val="20"/>
                      <w:szCs w:val="20"/>
                    </w:rPr>
                    <w:t>AFUE</w:t>
                  </w:r>
                </w:p>
              </w:tc>
              <w:tc>
                <w:tcPr>
                  <w:tcW w:w="2387" w:type="dxa"/>
                  <w:shd w:val="clear" w:color="auto" w:fill="auto"/>
                  <w:vAlign w:val="center"/>
                </w:tcPr>
                <w:p w:rsidR="00633734" w:rsidRPr="00C67E61" w:rsidRDefault="00633734" w:rsidP="0041086A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C67E61">
                    <w:rPr>
                      <w:rFonts w:cstheme="minorHAnsi"/>
                      <w:sz w:val="20"/>
                      <w:szCs w:val="20"/>
                    </w:rPr>
                    <w:t>Table E-6,</w:t>
                  </w:r>
                </w:p>
                <w:p w:rsidR="00633734" w:rsidRPr="00C67E61" w:rsidRDefault="00633734" w:rsidP="0041086A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C67E61">
                    <w:rPr>
                      <w:rFonts w:cstheme="minorHAnsi"/>
                      <w:sz w:val="20"/>
                      <w:szCs w:val="20"/>
                    </w:rPr>
                    <w:t>Title 20, 201</w:t>
                  </w:r>
                  <w:r>
                    <w:rPr>
                      <w:rFonts w:cstheme="minorHAnsi"/>
                      <w:sz w:val="20"/>
                      <w:szCs w:val="20"/>
                    </w:rPr>
                    <w:t>6</w:t>
                  </w:r>
                </w:p>
              </w:tc>
            </w:tr>
          </w:tbl>
          <w:p w:rsidR="00C67E61" w:rsidRPr="00C67E61" w:rsidRDefault="00C67E61" w:rsidP="00C67E61">
            <w:pPr>
              <w:rPr>
                <w:rFonts w:cs="Arial"/>
                <w:i/>
                <w:sz w:val="20"/>
                <w:szCs w:val="20"/>
              </w:rPr>
            </w:pPr>
          </w:p>
          <w:p w:rsidR="00C67E61" w:rsidRPr="00C67E61" w:rsidRDefault="00C67E61" w:rsidP="00C67E61">
            <w:pPr>
              <w:rPr>
                <w:rFonts w:cstheme="minorHAnsi"/>
                <w:i/>
                <w:sz w:val="20"/>
                <w:szCs w:val="20"/>
              </w:rPr>
            </w:pPr>
            <w:r w:rsidRPr="00C67E61">
              <w:rPr>
                <w:rFonts w:cs="Arial"/>
                <w:b/>
                <w:i/>
                <w:sz w:val="20"/>
                <w:szCs w:val="20"/>
              </w:rPr>
              <w:t>Title 24:</w:t>
            </w:r>
            <w:r w:rsidRPr="00C67E61">
              <w:rPr>
                <w:b/>
                <w:sz w:val="20"/>
                <w:szCs w:val="20"/>
              </w:rPr>
              <w:t xml:space="preserve"> </w:t>
            </w:r>
            <w:r w:rsidRPr="00C67E61">
              <w:rPr>
                <w:rFonts w:cstheme="minorHAnsi"/>
                <w:sz w:val="20"/>
                <w:szCs w:val="20"/>
              </w:rPr>
              <w:t>This measure falls under Title 24 201</w:t>
            </w:r>
            <w:r w:rsidR="00CF7C51">
              <w:rPr>
                <w:rFonts w:cstheme="minorHAnsi"/>
                <w:sz w:val="20"/>
                <w:szCs w:val="20"/>
              </w:rPr>
              <w:t>6</w:t>
            </w:r>
            <w:r w:rsidRPr="00C67E61">
              <w:rPr>
                <w:rFonts w:cstheme="minorHAnsi"/>
                <w:sz w:val="20"/>
                <w:szCs w:val="20"/>
              </w:rPr>
              <w:t xml:space="preserve"> of the California Energy Regulations.  Under Title 24, table 4-1 provides the minimum standard for furnaces is </w:t>
            </w:r>
            <w:r w:rsidR="00633734">
              <w:rPr>
                <w:rFonts w:cstheme="minorHAnsi"/>
                <w:sz w:val="20"/>
                <w:szCs w:val="20"/>
              </w:rPr>
              <w:t>81% AFUE</w:t>
            </w:r>
            <w:r w:rsidR="007D0659">
              <w:rPr>
                <w:rFonts w:cstheme="minorHAnsi"/>
                <w:sz w:val="20"/>
                <w:szCs w:val="20"/>
              </w:rPr>
              <w:t xml:space="preserve"> for &lt; 225,000 Btu/hr capacity</w:t>
            </w:r>
            <w:r w:rsidRPr="00C67E61">
              <w:rPr>
                <w:rFonts w:cstheme="minorHAnsi"/>
                <w:sz w:val="20"/>
                <w:szCs w:val="20"/>
              </w:rPr>
              <w:t>.</w:t>
            </w:r>
          </w:p>
          <w:p w:rsidR="00C67E61" w:rsidRPr="00C67E61" w:rsidRDefault="00C67E61" w:rsidP="00C67E61">
            <w:pPr>
              <w:rPr>
                <w:i/>
                <w:sz w:val="20"/>
                <w:szCs w:val="20"/>
              </w:rPr>
            </w:pPr>
          </w:p>
          <w:tbl>
            <w:tblPr>
              <w:tblW w:w="790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648"/>
              <w:gridCol w:w="1080"/>
              <w:gridCol w:w="900"/>
              <w:gridCol w:w="810"/>
              <w:gridCol w:w="3464"/>
            </w:tblGrid>
            <w:tr w:rsidR="00C67E61" w:rsidRPr="00C67E61" w:rsidTr="007E7E3F">
              <w:tc>
                <w:tcPr>
                  <w:tcW w:w="1648" w:type="dxa"/>
                  <w:shd w:val="clear" w:color="auto" w:fill="auto"/>
                  <w:vAlign w:val="center"/>
                </w:tcPr>
                <w:p w:rsidR="00C67E61" w:rsidRPr="00C67E61" w:rsidRDefault="00C67E61" w:rsidP="00C67E61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C67E61">
                    <w:rPr>
                      <w:rFonts w:cstheme="minorHAnsi"/>
                      <w:b/>
                      <w:sz w:val="20"/>
                      <w:szCs w:val="20"/>
                    </w:rPr>
                    <w:t>Title 24 Std.  Description</w:t>
                  </w:r>
                </w:p>
              </w:tc>
              <w:tc>
                <w:tcPr>
                  <w:tcW w:w="1080" w:type="dxa"/>
                  <w:shd w:val="clear" w:color="auto" w:fill="auto"/>
                  <w:vAlign w:val="center"/>
                </w:tcPr>
                <w:p w:rsidR="00C67E61" w:rsidRPr="00C67E61" w:rsidRDefault="00C67E61" w:rsidP="00C67E61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C67E61">
                    <w:rPr>
                      <w:rFonts w:cstheme="minorHAnsi"/>
                      <w:b/>
                      <w:sz w:val="20"/>
                      <w:szCs w:val="20"/>
                    </w:rPr>
                    <w:t>Base or Measure Case</w:t>
                  </w: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:rsidR="00C67E61" w:rsidRPr="00C67E61" w:rsidRDefault="00C67E61" w:rsidP="00C67E61">
                  <w:pPr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C67E61">
                    <w:rPr>
                      <w:rFonts w:cstheme="minorHAnsi"/>
                      <w:b/>
                      <w:sz w:val="20"/>
                      <w:szCs w:val="20"/>
                    </w:rPr>
                    <w:t>Value</w:t>
                  </w:r>
                </w:p>
              </w:tc>
              <w:tc>
                <w:tcPr>
                  <w:tcW w:w="810" w:type="dxa"/>
                  <w:shd w:val="clear" w:color="auto" w:fill="auto"/>
                  <w:vAlign w:val="center"/>
                </w:tcPr>
                <w:p w:rsidR="00C67E61" w:rsidRPr="00C67E61" w:rsidRDefault="00C67E61" w:rsidP="00C67E61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C67E61">
                    <w:rPr>
                      <w:rFonts w:cstheme="minorHAnsi"/>
                      <w:b/>
                      <w:sz w:val="20"/>
                      <w:szCs w:val="20"/>
                    </w:rPr>
                    <w:t>Units</w:t>
                  </w:r>
                </w:p>
              </w:tc>
              <w:tc>
                <w:tcPr>
                  <w:tcW w:w="3464" w:type="dxa"/>
                  <w:shd w:val="clear" w:color="auto" w:fill="auto"/>
                  <w:vAlign w:val="center"/>
                </w:tcPr>
                <w:p w:rsidR="00202836" w:rsidRDefault="00C67E61" w:rsidP="00C67E61">
                  <w:pPr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C67E61">
                    <w:rPr>
                      <w:rFonts w:cstheme="minorHAnsi"/>
                      <w:b/>
                      <w:sz w:val="20"/>
                      <w:szCs w:val="20"/>
                    </w:rPr>
                    <w:t xml:space="preserve">Code Source or </w:t>
                  </w:r>
                </w:p>
                <w:p w:rsidR="00C67E61" w:rsidRPr="00C67E61" w:rsidRDefault="00C67E61" w:rsidP="00C67E61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C67E61">
                    <w:rPr>
                      <w:rFonts w:cstheme="minorHAnsi"/>
                      <w:b/>
                      <w:sz w:val="20"/>
                      <w:szCs w:val="20"/>
                    </w:rPr>
                    <w:t>Reference</w:t>
                  </w:r>
                </w:p>
              </w:tc>
            </w:tr>
            <w:tr w:rsidR="00C67E61" w:rsidRPr="00C67E61" w:rsidTr="007E7E3F">
              <w:trPr>
                <w:trHeight w:val="926"/>
              </w:trPr>
              <w:tc>
                <w:tcPr>
                  <w:tcW w:w="1648" w:type="dxa"/>
                  <w:shd w:val="clear" w:color="auto" w:fill="auto"/>
                  <w:vAlign w:val="center"/>
                </w:tcPr>
                <w:p w:rsidR="00C67E61" w:rsidRPr="00C67E61" w:rsidRDefault="00633734" w:rsidP="00C67E61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633734">
                    <w:rPr>
                      <w:rFonts w:cstheme="minorHAnsi"/>
                      <w:sz w:val="20"/>
                      <w:szCs w:val="20"/>
                    </w:rPr>
                    <w:t>Weatherized gas central furnaces</w:t>
                  </w:r>
                </w:p>
              </w:tc>
              <w:tc>
                <w:tcPr>
                  <w:tcW w:w="1080" w:type="dxa"/>
                  <w:shd w:val="clear" w:color="auto" w:fill="auto"/>
                  <w:vAlign w:val="center"/>
                </w:tcPr>
                <w:p w:rsidR="00C67E61" w:rsidRPr="00C67E61" w:rsidRDefault="00C67E61" w:rsidP="00C67E61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C67E61">
                    <w:rPr>
                      <w:rFonts w:cstheme="minorHAnsi"/>
                      <w:sz w:val="20"/>
                      <w:szCs w:val="20"/>
                    </w:rPr>
                    <w:t>Base</w:t>
                  </w:r>
                </w:p>
              </w:tc>
              <w:tc>
                <w:tcPr>
                  <w:tcW w:w="900" w:type="dxa"/>
                  <w:shd w:val="clear" w:color="auto" w:fill="auto"/>
                  <w:vAlign w:val="center"/>
                </w:tcPr>
                <w:p w:rsidR="00C67E61" w:rsidRPr="00C67E61" w:rsidRDefault="00C67E61" w:rsidP="00C67E61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C67E61">
                    <w:rPr>
                      <w:rFonts w:cstheme="minorHAnsi"/>
                      <w:sz w:val="20"/>
                      <w:szCs w:val="20"/>
                    </w:rPr>
                    <w:t>8</w:t>
                  </w:r>
                  <w:r w:rsidR="00633734">
                    <w:rPr>
                      <w:rFonts w:cstheme="minorHAnsi"/>
                      <w:sz w:val="20"/>
                      <w:szCs w:val="20"/>
                    </w:rPr>
                    <w:t>1</w:t>
                  </w:r>
                  <w:r w:rsidRPr="00C67E61">
                    <w:rPr>
                      <w:rFonts w:cstheme="minorHAnsi"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810" w:type="dxa"/>
                  <w:shd w:val="clear" w:color="auto" w:fill="auto"/>
                  <w:vAlign w:val="center"/>
                </w:tcPr>
                <w:p w:rsidR="00C67E61" w:rsidRPr="00C67E61" w:rsidRDefault="00633734" w:rsidP="00C67E61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AFUE</w:t>
                  </w:r>
                </w:p>
              </w:tc>
              <w:tc>
                <w:tcPr>
                  <w:tcW w:w="3464" w:type="dxa"/>
                  <w:shd w:val="clear" w:color="auto" w:fill="auto"/>
                  <w:vAlign w:val="center"/>
                </w:tcPr>
                <w:p w:rsidR="00C67E61" w:rsidRPr="00C67E61" w:rsidRDefault="00633734" w:rsidP="00C67E61">
                  <w:pPr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Table 4-1</w:t>
                  </w:r>
                  <w:r w:rsidR="00C67E61" w:rsidRPr="00C67E61">
                    <w:rPr>
                      <w:rFonts w:cstheme="minorHAnsi"/>
                      <w:sz w:val="20"/>
                      <w:szCs w:val="20"/>
                    </w:rPr>
                    <w:t>, Title 24, 201</w:t>
                  </w:r>
                  <w:r w:rsidR="007E7E3F">
                    <w:rPr>
                      <w:rFonts w:cstheme="minorHAnsi"/>
                      <w:sz w:val="20"/>
                      <w:szCs w:val="20"/>
                    </w:rPr>
                    <w:t>6</w:t>
                  </w:r>
                  <w:r w:rsidR="00C67E61" w:rsidRPr="00C67E61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</w:p>
                <w:p w:rsidR="00C67E61" w:rsidRPr="00C67E61" w:rsidRDefault="00C67E61" w:rsidP="00C67E61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C67E61">
                    <w:rPr>
                      <w:rFonts w:cstheme="minorHAnsi"/>
                      <w:sz w:val="20"/>
                      <w:szCs w:val="20"/>
                    </w:rPr>
                    <w:t>(</w:t>
                  </w:r>
                  <w:r w:rsidR="007E7E3F">
                    <w:rPr>
                      <w:rFonts w:cstheme="minorHAnsi"/>
                      <w:sz w:val="20"/>
                      <w:szCs w:val="20"/>
                    </w:rPr>
                    <w:t>Non-</w:t>
                  </w:r>
                  <w:r w:rsidRPr="00C67E61">
                    <w:rPr>
                      <w:rFonts w:cstheme="minorHAnsi"/>
                      <w:sz w:val="20"/>
                      <w:szCs w:val="20"/>
                    </w:rPr>
                    <w:t xml:space="preserve">Residential Compliance </w:t>
                  </w:r>
                </w:p>
                <w:p w:rsidR="00C67E61" w:rsidRPr="00C67E61" w:rsidRDefault="00C67E61" w:rsidP="00C67E61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C67E61">
                    <w:rPr>
                      <w:rFonts w:cstheme="minorHAnsi"/>
                      <w:sz w:val="20"/>
                      <w:szCs w:val="20"/>
                    </w:rPr>
                    <w:t xml:space="preserve">Manual-Building HVAC </w:t>
                  </w:r>
                </w:p>
                <w:p w:rsidR="00C67E61" w:rsidRPr="00C67E61" w:rsidRDefault="00C67E61" w:rsidP="00C67E61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C67E61">
                    <w:rPr>
                      <w:rFonts w:cstheme="minorHAnsi"/>
                      <w:sz w:val="20"/>
                      <w:szCs w:val="20"/>
                    </w:rPr>
                    <w:t>Requirements)</w:t>
                  </w:r>
                </w:p>
              </w:tc>
            </w:tr>
          </w:tbl>
          <w:p w:rsidR="00C67E61" w:rsidRPr="00C67E61" w:rsidRDefault="00C67E61" w:rsidP="00C67E61">
            <w:pPr>
              <w:rPr>
                <w:rFonts w:cs="Arial"/>
                <w:i/>
                <w:sz w:val="20"/>
                <w:szCs w:val="20"/>
                <w:highlight w:val="yellow"/>
              </w:rPr>
            </w:pPr>
          </w:p>
          <w:p w:rsidR="00C67E61" w:rsidRPr="00C67E61" w:rsidRDefault="00C67E61" w:rsidP="00C67E61">
            <w:pPr>
              <w:rPr>
                <w:rFonts w:cs="Arial"/>
                <w:sz w:val="20"/>
                <w:szCs w:val="20"/>
              </w:rPr>
            </w:pPr>
            <w:r w:rsidRPr="00C67E61">
              <w:rPr>
                <w:rFonts w:cs="Arial"/>
                <w:b/>
                <w:i/>
                <w:sz w:val="20"/>
                <w:szCs w:val="20"/>
              </w:rPr>
              <w:t>Federal Standards:</w:t>
            </w:r>
            <w:r w:rsidRPr="00C67E61">
              <w:rPr>
                <w:b/>
                <w:sz w:val="20"/>
                <w:szCs w:val="20"/>
              </w:rPr>
              <w:t xml:space="preserve"> </w:t>
            </w:r>
            <w:r w:rsidRPr="00C67E61">
              <w:rPr>
                <w:rFonts w:cs="Arial"/>
                <w:sz w:val="20"/>
                <w:szCs w:val="20"/>
              </w:rPr>
              <w:t xml:space="preserve">This measure falls under Federal DOE (10 CFR Part 430)[A] Energy Regulations. Under this regulation, compliance with the standards in the direct final rule will be required on May 1, 2013 for non-weatherized furnaces and on January 1, 2015 for weatherized furnaces and central air conditioners and heat pumps.  </w:t>
            </w:r>
            <w:r w:rsidR="00BA7EE6">
              <w:rPr>
                <w:rFonts w:cs="Arial"/>
                <w:sz w:val="20"/>
                <w:szCs w:val="20"/>
              </w:rPr>
              <w:t>Since</w:t>
            </w:r>
            <w:r w:rsidRPr="00C67E61">
              <w:rPr>
                <w:rFonts w:cs="Arial"/>
                <w:sz w:val="20"/>
                <w:szCs w:val="20"/>
              </w:rPr>
              <w:t xml:space="preserve"> most commercial type furnaces </w:t>
            </w:r>
            <w:r w:rsidR="00BA7EE6">
              <w:rPr>
                <w:rFonts w:cs="Arial"/>
                <w:sz w:val="20"/>
                <w:szCs w:val="20"/>
              </w:rPr>
              <w:t xml:space="preserve">of </w:t>
            </w:r>
            <w:r w:rsidRPr="00C67E61">
              <w:rPr>
                <w:rFonts w:cs="Arial"/>
                <w:sz w:val="20"/>
                <w:szCs w:val="20"/>
              </w:rPr>
              <w:t xml:space="preserve">less than 225,000 Btu/h input capacity are installed outside of the commercial building, it’s considered as weatherized for which the minimum AFUE is 81%.  </w:t>
            </w:r>
          </w:p>
          <w:p w:rsidR="00C67E61" w:rsidRPr="00C67E61" w:rsidRDefault="00C67E61" w:rsidP="00C67E61">
            <w:pPr>
              <w:rPr>
                <w:rFonts w:cs="Arial"/>
                <w:i/>
                <w:color w:val="FF0000"/>
                <w:sz w:val="20"/>
                <w:szCs w:val="20"/>
              </w:rPr>
            </w:pPr>
          </w:p>
          <w:tbl>
            <w:tblPr>
              <w:tblW w:w="7902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583"/>
              <w:gridCol w:w="1620"/>
              <w:gridCol w:w="1350"/>
              <w:gridCol w:w="1170"/>
              <w:gridCol w:w="2179"/>
            </w:tblGrid>
            <w:tr w:rsidR="00C67E61" w:rsidRPr="00C67E61" w:rsidTr="00202836">
              <w:tc>
                <w:tcPr>
                  <w:tcW w:w="1583" w:type="dxa"/>
                  <w:shd w:val="clear" w:color="auto" w:fill="auto"/>
                </w:tcPr>
                <w:p w:rsidR="00C67E61" w:rsidRPr="00C67E61" w:rsidRDefault="00C67E61" w:rsidP="00C67E61">
                  <w:pPr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C67E61">
                    <w:rPr>
                      <w:rFonts w:cstheme="minorHAnsi"/>
                      <w:b/>
                      <w:sz w:val="20"/>
                      <w:szCs w:val="20"/>
                    </w:rPr>
                    <w:t xml:space="preserve">Federal Std. Description </w:t>
                  </w:r>
                </w:p>
              </w:tc>
              <w:tc>
                <w:tcPr>
                  <w:tcW w:w="1620" w:type="dxa"/>
                  <w:shd w:val="clear" w:color="auto" w:fill="auto"/>
                </w:tcPr>
                <w:p w:rsidR="00C67E61" w:rsidRPr="00C67E61" w:rsidRDefault="00C67E61" w:rsidP="00C67E61">
                  <w:pPr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C67E61">
                    <w:rPr>
                      <w:rFonts w:cstheme="minorHAnsi"/>
                      <w:b/>
                      <w:sz w:val="20"/>
                      <w:szCs w:val="20"/>
                    </w:rPr>
                    <w:t>Base or Measure Case</w:t>
                  </w:r>
                </w:p>
              </w:tc>
              <w:tc>
                <w:tcPr>
                  <w:tcW w:w="1350" w:type="dxa"/>
                  <w:shd w:val="clear" w:color="auto" w:fill="auto"/>
                </w:tcPr>
                <w:p w:rsidR="00C67E61" w:rsidRPr="00C67E61" w:rsidRDefault="00C67E61" w:rsidP="00C67E61">
                  <w:pPr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C67E61">
                    <w:rPr>
                      <w:rFonts w:cstheme="minorHAnsi"/>
                      <w:b/>
                      <w:sz w:val="20"/>
                      <w:szCs w:val="20"/>
                    </w:rPr>
                    <w:t>Value</w:t>
                  </w:r>
                </w:p>
              </w:tc>
              <w:tc>
                <w:tcPr>
                  <w:tcW w:w="1170" w:type="dxa"/>
                  <w:shd w:val="clear" w:color="auto" w:fill="auto"/>
                </w:tcPr>
                <w:p w:rsidR="00C67E61" w:rsidRPr="00C67E61" w:rsidRDefault="00C67E61" w:rsidP="00C67E61">
                  <w:pPr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C67E61">
                    <w:rPr>
                      <w:rFonts w:cstheme="minorHAnsi"/>
                      <w:b/>
                      <w:sz w:val="20"/>
                      <w:szCs w:val="20"/>
                    </w:rPr>
                    <w:t>Units</w:t>
                  </w:r>
                </w:p>
              </w:tc>
              <w:tc>
                <w:tcPr>
                  <w:tcW w:w="2179" w:type="dxa"/>
                  <w:shd w:val="clear" w:color="auto" w:fill="auto"/>
                </w:tcPr>
                <w:p w:rsidR="00202836" w:rsidRDefault="00C67E61" w:rsidP="00C67E61">
                  <w:pPr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C67E61">
                    <w:rPr>
                      <w:rFonts w:cstheme="minorHAnsi"/>
                      <w:b/>
                      <w:sz w:val="20"/>
                      <w:szCs w:val="20"/>
                    </w:rPr>
                    <w:t xml:space="preserve">Code Source </w:t>
                  </w:r>
                </w:p>
                <w:p w:rsidR="00C67E61" w:rsidRPr="00C67E61" w:rsidRDefault="00C67E61" w:rsidP="00C67E61">
                  <w:pPr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C67E61">
                    <w:rPr>
                      <w:rFonts w:cstheme="minorHAnsi"/>
                      <w:b/>
                      <w:sz w:val="20"/>
                      <w:szCs w:val="20"/>
                    </w:rPr>
                    <w:t>or Reference</w:t>
                  </w:r>
                </w:p>
              </w:tc>
            </w:tr>
            <w:tr w:rsidR="00C67E61" w:rsidRPr="00C67E61" w:rsidTr="00202836">
              <w:trPr>
                <w:trHeight w:val="422"/>
              </w:trPr>
              <w:tc>
                <w:tcPr>
                  <w:tcW w:w="1583" w:type="dxa"/>
                  <w:shd w:val="clear" w:color="auto" w:fill="auto"/>
                  <w:vAlign w:val="center"/>
                </w:tcPr>
                <w:p w:rsidR="00C67E61" w:rsidRPr="00C67E61" w:rsidRDefault="00C67E61" w:rsidP="00C67E61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C67E61">
                    <w:rPr>
                      <w:rFonts w:cstheme="minorHAnsi"/>
                      <w:sz w:val="20"/>
                      <w:szCs w:val="20"/>
                    </w:rPr>
                    <w:t>Central Furnaces</w:t>
                  </w:r>
                </w:p>
              </w:tc>
              <w:tc>
                <w:tcPr>
                  <w:tcW w:w="1620" w:type="dxa"/>
                  <w:shd w:val="clear" w:color="auto" w:fill="auto"/>
                  <w:vAlign w:val="center"/>
                </w:tcPr>
                <w:p w:rsidR="00C67E61" w:rsidRPr="00C67E61" w:rsidRDefault="00C67E61" w:rsidP="00C67E61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C67E61">
                    <w:rPr>
                      <w:rFonts w:cstheme="minorHAnsi"/>
                      <w:sz w:val="20"/>
                      <w:szCs w:val="20"/>
                    </w:rPr>
                    <w:t>Non-Weatherized gas</w:t>
                  </w:r>
                </w:p>
              </w:tc>
              <w:tc>
                <w:tcPr>
                  <w:tcW w:w="1350" w:type="dxa"/>
                  <w:shd w:val="clear" w:color="auto" w:fill="auto"/>
                  <w:vAlign w:val="center"/>
                </w:tcPr>
                <w:p w:rsidR="00C67E61" w:rsidRPr="00C67E61" w:rsidRDefault="00C67E61" w:rsidP="00C67E61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C67E61">
                    <w:rPr>
                      <w:rFonts w:cstheme="minorHAnsi"/>
                      <w:sz w:val="20"/>
                      <w:szCs w:val="20"/>
                    </w:rPr>
                    <w:t>80% AFUE</w:t>
                  </w:r>
                </w:p>
              </w:tc>
              <w:tc>
                <w:tcPr>
                  <w:tcW w:w="1170" w:type="dxa"/>
                  <w:shd w:val="clear" w:color="auto" w:fill="auto"/>
                  <w:vAlign w:val="center"/>
                </w:tcPr>
                <w:p w:rsidR="00C67E61" w:rsidRPr="00C67E61" w:rsidRDefault="00C67E61" w:rsidP="00C67E61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C67E61">
                    <w:rPr>
                      <w:rFonts w:cstheme="minorHAnsi"/>
                      <w:sz w:val="20"/>
                      <w:szCs w:val="20"/>
                    </w:rPr>
                    <w:t>Per System</w:t>
                  </w:r>
                </w:p>
              </w:tc>
              <w:tc>
                <w:tcPr>
                  <w:tcW w:w="2179" w:type="dxa"/>
                  <w:shd w:val="clear" w:color="auto" w:fill="auto"/>
                  <w:vAlign w:val="center"/>
                </w:tcPr>
                <w:p w:rsidR="00C67E61" w:rsidRPr="00C67E61" w:rsidRDefault="00C67E61" w:rsidP="00202836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C67E61">
                    <w:rPr>
                      <w:rFonts w:cstheme="minorHAnsi"/>
                      <w:sz w:val="20"/>
                      <w:szCs w:val="20"/>
                    </w:rPr>
                    <w:t>CFR Part 430</w:t>
                  </w:r>
                </w:p>
              </w:tc>
            </w:tr>
            <w:tr w:rsidR="00C67E61" w:rsidRPr="00C67E61" w:rsidTr="00202836">
              <w:trPr>
                <w:trHeight w:val="440"/>
              </w:trPr>
              <w:tc>
                <w:tcPr>
                  <w:tcW w:w="1583" w:type="dxa"/>
                  <w:shd w:val="clear" w:color="auto" w:fill="auto"/>
                  <w:vAlign w:val="center"/>
                </w:tcPr>
                <w:p w:rsidR="00C67E61" w:rsidRPr="00C67E61" w:rsidRDefault="00C67E61" w:rsidP="00C67E61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C67E61">
                    <w:rPr>
                      <w:rFonts w:cstheme="minorHAnsi"/>
                      <w:sz w:val="20"/>
                      <w:szCs w:val="20"/>
                    </w:rPr>
                    <w:t xml:space="preserve">Central Furnaces </w:t>
                  </w:r>
                </w:p>
              </w:tc>
              <w:tc>
                <w:tcPr>
                  <w:tcW w:w="1620" w:type="dxa"/>
                  <w:shd w:val="clear" w:color="auto" w:fill="auto"/>
                  <w:vAlign w:val="center"/>
                </w:tcPr>
                <w:p w:rsidR="00C67E61" w:rsidRPr="00C67E61" w:rsidRDefault="00C67E61" w:rsidP="00C67E61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C67E61">
                    <w:rPr>
                      <w:rFonts w:cstheme="minorHAnsi"/>
                      <w:sz w:val="20"/>
                      <w:szCs w:val="20"/>
                    </w:rPr>
                    <w:t>Weatherized gas</w:t>
                  </w:r>
                </w:p>
              </w:tc>
              <w:tc>
                <w:tcPr>
                  <w:tcW w:w="1350" w:type="dxa"/>
                  <w:shd w:val="clear" w:color="auto" w:fill="auto"/>
                  <w:vAlign w:val="center"/>
                </w:tcPr>
                <w:p w:rsidR="00C67E61" w:rsidRPr="00C67E61" w:rsidRDefault="00C67E61" w:rsidP="00C67E61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C67E61">
                    <w:rPr>
                      <w:rFonts w:cstheme="minorHAnsi"/>
                      <w:sz w:val="20"/>
                      <w:szCs w:val="20"/>
                    </w:rPr>
                    <w:t>81% AFUE</w:t>
                  </w:r>
                </w:p>
              </w:tc>
              <w:tc>
                <w:tcPr>
                  <w:tcW w:w="1170" w:type="dxa"/>
                  <w:shd w:val="clear" w:color="auto" w:fill="auto"/>
                  <w:vAlign w:val="center"/>
                </w:tcPr>
                <w:p w:rsidR="00C67E61" w:rsidRPr="00C67E61" w:rsidRDefault="00C67E61" w:rsidP="00C67E61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C67E61">
                    <w:rPr>
                      <w:rFonts w:cstheme="minorHAnsi"/>
                      <w:sz w:val="20"/>
                      <w:szCs w:val="20"/>
                    </w:rPr>
                    <w:t>Per System</w:t>
                  </w:r>
                </w:p>
              </w:tc>
              <w:tc>
                <w:tcPr>
                  <w:tcW w:w="2179" w:type="dxa"/>
                  <w:shd w:val="clear" w:color="auto" w:fill="auto"/>
                  <w:vAlign w:val="center"/>
                </w:tcPr>
                <w:p w:rsidR="00C67E61" w:rsidRPr="00C67E61" w:rsidRDefault="00C67E61" w:rsidP="00202836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C67E61">
                    <w:rPr>
                      <w:rFonts w:cstheme="minorHAnsi"/>
                      <w:sz w:val="20"/>
                      <w:szCs w:val="20"/>
                    </w:rPr>
                    <w:t>CFR Part 430</w:t>
                  </w:r>
                </w:p>
              </w:tc>
            </w:tr>
          </w:tbl>
          <w:p w:rsidR="009D1072" w:rsidRPr="00C67E61" w:rsidRDefault="009D1072" w:rsidP="001A0F76">
            <w:pPr>
              <w:tabs>
                <w:tab w:val="num" w:pos="1584"/>
              </w:tabs>
              <w:rPr>
                <w:sz w:val="20"/>
                <w:szCs w:val="20"/>
              </w:rPr>
            </w:pPr>
          </w:p>
        </w:tc>
      </w:tr>
    </w:tbl>
    <w:p w:rsidR="00C14C7F" w:rsidRDefault="00C14C7F">
      <w:pPr>
        <w:spacing w:after="200" w:line="276" w:lineRule="auto"/>
        <w:rPr>
          <w:rFonts w:cstheme="minorHAnsi"/>
          <w:sz w:val="20"/>
          <w:szCs w:val="20"/>
        </w:rPr>
      </w:pPr>
    </w:p>
    <w:p w:rsidR="00D34E58" w:rsidRDefault="00D34E58">
      <w:pPr>
        <w:spacing w:after="200" w:line="276" w:lineRule="auto"/>
        <w:rPr>
          <w:rFonts w:cstheme="minorHAnsi"/>
          <w:sz w:val="20"/>
          <w:szCs w:val="20"/>
        </w:rPr>
      </w:pPr>
    </w:p>
    <w:p w:rsidR="00D34E58" w:rsidRDefault="00D34E58">
      <w:pPr>
        <w:spacing w:after="200" w:line="276" w:lineRule="auto"/>
        <w:rPr>
          <w:rFonts w:cstheme="minorHAnsi"/>
          <w:sz w:val="20"/>
          <w:szCs w:val="20"/>
        </w:rPr>
      </w:pPr>
    </w:p>
    <w:p w:rsidR="00D34E58" w:rsidRDefault="00D34E58">
      <w:pPr>
        <w:spacing w:after="200" w:line="276" w:lineRule="auto"/>
        <w:rPr>
          <w:rFonts w:cstheme="minorHAnsi"/>
          <w:sz w:val="20"/>
          <w:szCs w:val="20"/>
        </w:rPr>
      </w:pPr>
    </w:p>
    <w:p w:rsidR="00D34E58" w:rsidRDefault="00D34E58">
      <w:pPr>
        <w:spacing w:after="200" w:line="276" w:lineRule="auto"/>
        <w:rPr>
          <w:rFonts w:cstheme="minorHAnsi"/>
          <w:sz w:val="20"/>
          <w:szCs w:val="20"/>
        </w:rPr>
      </w:pPr>
    </w:p>
    <w:p w:rsidR="00D34E58" w:rsidRDefault="00D34E58">
      <w:pPr>
        <w:spacing w:after="200" w:line="276" w:lineRule="auto"/>
        <w:rPr>
          <w:rFonts w:cstheme="minorHAnsi"/>
          <w:sz w:val="20"/>
          <w:szCs w:val="20"/>
        </w:rPr>
      </w:pPr>
    </w:p>
    <w:p w:rsidR="00D34E58" w:rsidRPr="00C67E61" w:rsidRDefault="00D34E58">
      <w:pPr>
        <w:spacing w:after="200" w:line="276" w:lineRule="auto"/>
        <w:rPr>
          <w:rFonts w:cstheme="minorHAnsi"/>
          <w:sz w:val="20"/>
          <w:szCs w:val="20"/>
        </w:rPr>
      </w:pPr>
    </w:p>
    <w:tbl>
      <w:tblPr>
        <w:tblStyle w:val="TableGrid3"/>
        <w:tblW w:w="9558" w:type="dxa"/>
        <w:tblLook w:val="04A0" w:firstRow="1" w:lastRow="0" w:firstColumn="1" w:lastColumn="0" w:noHBand="0" w:noVBand="1"/>
      </w:tblPr>
      <w:tblGrid>
        <w:gridCol w:w="2155"/>
        <w:gridCol w:w="7403"/>
      </w:tblGrid>
      <w:tr w:rsidR="00A620F3" w:rsidRPr="00C67E61" w:rsidTr="00376919">
        <w:trPr>
          <w:trHeight w:val="192"/>
        </w:trPr>
        <w:tc>
          <w:tcPr>
            <w:tcW w:w="2155" w:type="dxa"/>
          </w:tcPr>
          <w:p w:rsidR="00A620F3" w:rsidRPr="00C67E61" w:rsidRDefault="00A620F3" w:rsidP="007342C0">
            <w:pPr>
              <w:jc w:val="center"/>
              <w:rPr>
                <w:b/>
                <w:sz w:val="20"/>
                <w:szCs w:val="20"/>
              </w:rPr>
            </w:pPr>
            <w:r w:rsidRPr="00C67E61">
              <w:rPr>
                <w:sz w:val="20"/>
                <w:szCs w:val="20"/>
              </w:rPr>
              <w:lastRenderedPageBreak/>
              <w:br w:type="page"/>
            </w:r>
            <w:r w:rsidRPr="00C67E61">
              <w:rPr>
                <w:b/>
                <w:sz w:val="20"/>
                <w:szCs w:val="20"/>
              </w:rPr>
              <w:t>Section</w:t>
            </w:r>
          </w:p>
        </w:tc>
        <w:tc>
          <w:tcPr>
            <w:tcW w:w="7403" w:type="dxa"/>
          </w:tcPr>
          <w:p w:rsidR="00A620F3" w:rsidRPr="00C67E61" w:rsidRDefault="00A620F3" w:rsidP="007342C0">
            <w:pPr>
              <w:jc w:val="center"/>
              <w:rPr>
                <w:b/>
                <w:sz w:val="20"/>
                <w:szCs w:val="20"/>
              </w:rPr>
            </w:pPr>
            <w:r w:rsidRPr="00C67E61">
              <w:rPr>
                <w:b/>
                <w:sz w:val="20"/>
                <w:szCs w:val="20"/>
              </w:rPr>
              <w:t>Value</w:t>
            </w:r>
          </w:p>
        </w:tc>
      </w:tr>
      <w:tr w:rsidR="00A620F3" w:rsidRPr="00C67E61" w:rsidTr="00157C12">
        <w:trPr>
          <w:cantSplit/>
          <w:trHeight w:val="818"/>
        </w:trPr>
        <w:tc>
          <w:tcPr>
            <w:tcW w:w="2155" w:type="dxa"/>
          </w:tcPr>
          <w:p w:rsidR="00A620F3" w:rsidRPr="00C67E61" w:rsidRDefault="00A620F3" w:rsidP="007342C0">
            <w:pPr>
              <w:rPr>
                <w:b/>
                <w:sz w:val="20"/>
                <w:szCs w:val="20"/>
              </w:rPr>
            </w:pPr>
            <w:r w:rsidRPr="00C67E61">
              <w:rPr>
                <w:b/>
                <w:sz w:val="20"/>
                <w:szCs w:val="20"/>
              </w:rPr>
              <w:t>1.3 Installation Type and Delivery Mechanisms</w:t>
            </w:r>
          </w:p>
        </w:tc>
        <w:tc>
          <w:tcPr>
            <w:tcW w:w="7403" w:type="dxa"/>
          </w:tcPr>
          <w:p w:rsidR="00AE0F9B" w:rsidRPr="00C67E61" w:rsidRDefault="00AE0F9B" w:rsidP="007342C0">
            <w:pPr>
              <w:rPr>
                <w:rFonts w:cs="Arial"/>
                <w:sz w:val="20"/>
                <w:szCs w:val="20"/>
              </w:rPr>
            </w:pPr>
          </w:p>
        </w:tc>
      </w:tr>
      <w:tr w:rsidR="003F4FB3" w:rsidRPr="00022E72" w:rsidTr="00376919">
        <w:trPr>
          <w:cantSplit/>
          <w:trHeight w:val="179"/>
        </w:trPr>
        <w:tc>
          <w:tcPr>
            <w:tcW w:w="2155" w:type="dxa"/>
            <w:vAlign w:val="center"/>
          </w:tcPr>
          <w:p w:rsidR="003F4FB3" w:rsidRPr="00022E72" w:rsidRDefault="00157C12" w:rsidP="003F4FB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Measure Application </w:t>
            </w:r>
            <w:r w:rsidR="003F4FB3" w:rsidRPr="00022E72">
              <w:rPr>
                <w:sz w:val="20"/>
                <w:szCs w:val="20"/>
              </w:rPr>
              <w:t>Type</w:t>
            </w:r>
          </w:p>
        </w:tc>
        <w:tc>
          <w:tcPr>
            <w:tcW w:w="7403" w:type="dxa"/>
          </w:tcPr>
          <w:p w:rsidR="003F4FB3" w:rsidRPr="00F52060" w:rsidRDefault="008E378C" w:rsidP="003F4FB3">
            <w:pPr>
              <w:rPr>
                <w:rFonts w:cs="Arial"/>
                <w:sz w:val="20"/>
                <w:szCs w:val="20"/>
              </w:rPr>
            </w:pPr>
            <w:r w:rsidRPr="008E378C">
              <w:rPr>
                <w:sz w:val="20"/>
                <w:szCs w:val="20"/>
              </w:rPr>
              <w:t>ROB and NC</w:t>
            </w:r>
          </w:p>
        </w:tc>
      </w:tr>
      <w:tr w:rsidR="003F4FB3" w:rsidRPr="00022E72" w:rsidTr="00376919">
        <w:trPr>
          <w:cantSplit/>
          <w:trHeight w:val="376"/>
        </w:trPr>
        <w:tc>
          <w:tcPr>
            <w:tcW w:w="2155" w:type="dxa"/>
            <w:vAlign w:val="center"/>
          </w:tcPr>
          <w:p w:rsidR="003F4FB3" w:rsidRPr="00022E72" w:rsidRDefault="00157C12" w:rsidP="003F4FB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Measure </w:t>
            </w:r>
            <w:r w:rsidR="003F4FB3" w:rsidRPr="00022E72">
              <w:rPr>
                <w:sz w:val="20"/>
                <w:szCs w:val="20"/>
              </w:rPr>
              <w:t xml:space="preserve">Delivery </w:t>
            </w:r>
            <w:r>
              <w:rPr>
                <w:sz w:val="20"/>
                <w:szCs w:val="20"/>
              </w:rPr>
              <w:t>Type</w:t>
            </w:r>
          </w:p>
        </w:tc>
        <w:tc>
          <w:tcPr>
            <w:tcW w:w="7403" w:type="dxa"/>
          </w:tcPr>
          <w:p w:rsidR="003F4FB3" w:rsidRPr="00FE636E" w:rsidRDefault="00157C12" w:rsidP="003F4FB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PreReb</w:t>
            </w:r>
          </w:p>
        </w:tc>
      </w:tr>
      <w:tr w:rsidR="00A620F3" w:rsidRPr="00022E72" w:rsidTr="00376919">
        <w:trPr>
          <w:cantSplit/>
          <w:trHeight w:val="350"/>
        </w:trPr>
        <w:tc>
          <w:tcPr>
            <w:tcW w:w="2155" w:type="dxa"/>
          </w:tcPr>
          <w:p w:rsidR="00A620F3" w:rsidRPr="00022E72" w:rsidRDefault="00A620F3" w:rsidP="007342C0">
            <w:pPr>
              <w:rPr>
                <w:b/>
              </w:rPr>
            </w:pPr>
            <w:r w:rsidRPr="00022E72">
              <w:rPr>
                <w:b/>
              </w:rPr>
              <w:t>1.4.1 DEER Data</w:t>
            </w:r>
          </w:p>
        </w:tc>
        <w:tc>
          <w:tcPr>
            <w:tcW w:w="7403" w:type="dxa"/>
          </w:tcPr>
          <w:p w:rsidR="00A620F3" w:rsidRPr="00022E72" w:rsidRDefault="008E378C" w:rsidP="007342C0">
            <w:pPr>
              <w:rPr>
                <w:rFonts w:ascii="Calibri" w:hAnsi="Calibri"/>
                <w:sz w:val="20"/>
                <w:szCs w:val="20"/>
              </w:rPr>
            </w:pPr>
            <w:r w:rsidRPr="008E378C">
              <w:rPr>
                <w:rFonts w:ascii="Calibri" w:hAnsi="Calibri"/>
                <w:sz w:val="20"/>
                <w:szCs w:val="20"/>
              </w:rPr>
              <w:t>Com-Furnace-dHIR</w:t>
            </w:r>
          </w:p>
        </w:tc>
      </w:tr>
      <w:tr w:rsidR="00A620F3" w:rsidRPr="00D86243" w:rsidTr="00376919">
        <w:trPr>
          <w:trHeight w:val="192"/>
        </w:trPr>
        <w:tc>
          <w:tcPr>
            <w:tcW w:w="2155" w:type="dxa"/>
          </w:tcPr>
          <w:p w:rsidR="00C14C7F" w:rsidRPr="00D86243" w:rsidRDefault="00C14C7F" w:rsidP="007342C0">
            <w:pPr>
              <w:jc w:val="center"/>
              <w:rPr>
                <w:b/>
              </w:rPr>
            </w:pPr>
            <w:bookmarkStart w:id="6" w:name="_Hlk509230939"/>
            <w:r>
              <w:br w:type="page"/>
            </w:r>
            <w:r w:rsidRPr="00D86243">
              <w:rPr>
                <w:b/>
              </w:rPr>
              <w:t>Section</w:t>
            </w:r>
          </w:p>
        </w:tc>
        <w:tc>
          <w:tcPr>
            <w:tcW w:w="7403" w:type="dxa"/>
          </w:tcPr>
          <w:p w:rsidR="00C14C7F" w:rsidRPr="00D86243" w:rsidRDefault="00C14C7F" w:rsidP="007342C0">
            <w:pPr>
              <w:jc w:val="center"/>
              <w:rPr>
                <w:b/>
              </w:rPr>
            </w:pPr>
            <w:r w:rsidRPr="00D86243">
              <w:rPr>
                <w:b/>
              </w:rPr>
              <w:t>Value</w:t>
            </w:r>
          </w:p>
        </w:tc>
      </w:tr>
    </w:tbl>
    <w:tbl>
      <w:tblPr>
        <w:tblStyle w:val="TableGrid"/>
        <w:tblW w:w="9535" w:type="dxa"/>
        <w:tblLook w:val="04A0" w:firstRow="1" w:lastRow="0" w:firstColumn="1" w:lastColumn="0" w:noHBand="0" w:noVBand="1"/>
      </w:tblPr>
      <w:tblGrid>
        <w:gridCol w:w="2110"/>
        <w:gridCol w:w="7425"/>
      </w:tblGrid>
      <w:tr w:rsidR="00C14C7F" w:rsidRPr="00A92029" w:rsidTr="000A46F6">
        <w:trPr>
          <w:cantSplit/>
        </w:trPr>
        <w:tc>
          <w:tcPr>
            <w:tcW w:w="2110" w:type="dxa"/>
            <w:vAlign w:val="center"/>
          </w:tcPr>
          <w:bookmarkEnd w:id="6"/>
          <w:p w:rsidR="00C14C7F" w:rsidRPr="00A92029" w:rsidRDefault="00C14C7F" w:rsidP="007342C0">
            <w:pPr>
              <w:jc w:val="right"/>
              <w:rPr>
                <w:rFonts w:cstheme="minorHAnsi"/>
                <w:sz w:val="20"/>
                <w:szCs w:val="20"/>
              </w:rPr>
            </w:pPr>
            <w:r w:rsidRPr="00A92029">
              <w:rPr>
                <w:rFonts w:cstheme="minorHAnsi"/>
                <w:sz w:val="20"/>
                <w:szCs w:val="20"/>
              </w:rPr>
              <w:t>Net-to-Gross Ratio</w:t>
            </w:r>
          </w:p>
        </w:tc>
        <w:tc>
          <w:tcPr>
            <w:tcW w:w="7425" w:type="dxa"/>
          </w:tcPr>
          <w:p w:rsidR="00C14C7F" w:rsidRDefault="008E378C" w:rsidP="007342C0">
            <w:pPr>
              <w:rPr>
                <w:rFonts w:cstheme="minorHAnsi"/>
                <w:sz w:val="20"/>
                <w:szCs w:val="20"/>
              </w:rPr>
            </w:pPr>
            <w:r w:rsidRPr="008E378C">
              <w:rPr>
                <w:rFonts w:cstheme="minorHAnsi"/>
                <w:sz w:val="20"/>
                <w:szCs w:val="20"/>
              </w:rPr>
              <w:t>The data cited by DEER is not exactly applicable to the measures because the DEER data are scaled and converted to the appropriate savings per unit</w:t>
            </w:r>
            <w:r w:rsidR="00376919">
              <w:rPr>
                <w:rFonts w:cstheme="minorHAnsi"/>
                <w:sz w:val="20"/>
                <w:szCs w:val="20"/>
              </w:rPr>
              <w:t xml:space="preserve"> (ther</w:t>
            </w:r>
            <w:r w:rsidR="00192E26">
              <w:rPr>
                <w:rFonts w:cstheme="minorHAnsi"/>
                <w:sz w:val="20"/>
                <w:szCs w:val="20"/>
              </w:rPr>
              <w:t>ms/M</w:t>
            </w:r>
            <w:r w:rsidR="00376919">
              <w:rPr>
                <w:rFonts w:cstheme="minorHAnsi"/>
                <w:sz w:val="20"/>
                <w:szCs w:val="20"/>
              </w:rPr>
              <w:t>Btuh)</w:t>
            </w:r>
            <w:r w:rsidRPr="008E378C">
              <w:rPr>
                <w:rFonts w:cstheme="minorHAnsi"/>
                <w:sz w:val="20"/>
                <w:szCs w:val="20"/>
              </w:rPr>
              <w:t xml:space="preserve"> for incentive purposes. See the calculation section (2) for this conversion.  DEER values are used for Net-to-Gross, EUL, and ISR.</w:t>
            </w:r>
          </w:p>
          <w:p w:rsidR="008E378C" w:rsidRPr="00A92029" w:rsidRDefault="008E378C" w:rsidP="007342C0">
            <w:pPr>
              <w:rPr>
                <w:rFonts w:cstheme="minorHAnsi"/>
                <w:sz w:val="20"/>
                <w:szCs w:val="20"/>
              </w:rPr>
            </w:pPr>
          </w:p>
          <w:tbl>
            <w:tblPr>
              <w:tblStyle w:val="TableGrid"/>
              <w:tblW w:w="7174" w:type="dxa"/>
              <w:tblLook w:val="04A0" w:firstRow="1" w:lastRow="0" w:firstColumn="1" w:lastColumn="0" w:noHBand="0" w:noVBand="1"/>
            </w:tblPr>
            <w:tblGrid>
              <w:gridCol w:w="1353"/>
              <w:gridCol w:w="1921"/>
              <w:gridCol w:w="848"/>
              <w:gridCol w:w="1087"/>
              <w:gridCol w:w="1195"/>
              <w:gridCol w:w="770"/>
            </w:tblGrid>
            <w:tr w:rsidR="00C14C7F" w:rsidRPr="00A92029" w:rsidTr="00F20091">
              <w:tc>
                <w:tcPr>
                  <w:tcW w:w="7174" w:type="dxa"/>
                  <w:gridSpan w:val="6"/>
                  <w:shd w:val="clear" w:color="auto" w:fill="BFBFBF" w:themeFill="background1" w:themeFillShade="BF"/>
                  <w:vAlign w:val="center"/>
                </w:tcPr>
                <w:p w:rsidR="00C14C7F" w:rsidRPr="00A92029" w:rsidRDefault="00C14C7F" w:rsidP="007342C0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A92029">
                    <w:rPr>
                      <w:rFonts w:cstheme="minorHAnsi"/>
                      <w:sz w:val="20"/>
                      <w:szCs w:val="20"/>
                    </w:rPr>
                    <w:t>Net-to-Gross Ratio</w:t>
                  </w:r>
                </w:p>
              </w:tc>
            </w:tr>
            <w:tr w:rsidR="00C14C7F" w:rsidRPr="00A92029" w:rsidTr="00892229">
              <w:tc>
                <w:tcPr>
                  <w:tcW w:w="1105" w:type="dxa"/>
                  <w:vAlign w:val="center"/>
                </w:tcPr>
                <w:p w:rsidR="00C14C7F" w:rsidRPr="00A92029" w:rsidRDefault="00C14C7F" w:rsidP="007342C0">
                  <w:pPr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A92029">
                    <w:rPr>
                      <w:rFonts w:cstheme="minorHAnsi"/>
                      <w:b/>
                      <w:sz w:val="20"/>
                      <w:szCs w:val="20"/>
                    </w:rPr>
                    <w:t>NTGR_ID*</w:t>
                  </w:r>
                </w:p>
              </w:tc>
              <w:tc>
                <w:tcPr>
                  <w:tcW w:w="2135" w:type="dxa"/>
                  <w:vAlign w:val="center"/>
                </w:tcPr>
                <w:p w:rsidR="00C14C7F" w:rsidRPr="00A92029" w:rsidRDefault="00C14C7F" w:rsidP="007342C0">
                  <w:pPr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A92029">
                    <w:rPr>
                      <w:rFonts w:cstheme="minorHAnsi"/>
                      <w:b/>
                      <w:sz w:val="20"/>
                      <w:szCs w:val="20"/>
                    </w:rPr>
                    <w:t>Description*</w:t>
                  </w:r>
                </w:p>
              </w:tc>
              <w:tc>
                <w:tcPr>
                  <w:tcW w:w="849" w:type="dxa"/>
                  <w:vAlign w:val="center"/>
                </w:tcPr>
                <w:p w:rsidR="00C14C7F" w:rsidRPr="00A92029" w:rsidRDefault="00C14C7F" w:rsidP="007342C0">
                  <w:pPr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A92029">
                    <w:rPr>
                      <w:rFonts w:cstheme="minorHAnsi"/>
                      <w:b/>
                      <w:sz w:val="20"/>
                      <w:szCs w:val="20"/>
                    </w:rPr>
                    <w:t>Sector*</w:t>
                  </w:r>
                </w:p>
              </w:tc>
              <w:tc>
                <w:tcPr>
                  <w:tcW w:w="1089" w:type="dxa"/>
                  <w:vAlign w:val="center"/>
                </w:tcPr>
                <w:p w:rsidR="00C14C7F" w:rsidRPr="00A92029" w:rsidRDefault="00C14C7F" w:rsidP="007342C0">
                  <w:pPr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A92029">
                    <w:rPr>
                      <w:rFonts w:cstheme="minorHAnsi"/>
                      <w:b/>
                      <w:sz w:val="20"/>
                      <w:szCs w:val="20"/>
                    </w:rPr>
                    <w:t>BldgType*</w:t>
                  </w:r>
                </w:p>
              </w:tc>
              <w:tc>
                <w:tcPr>
                  <w:tcW w:w="0" w:type="auto"/>
                  <w:vAlign w:val="center"/>
                </w:tcPr>
                <w:p w:rsidR="00C14C7F" w:rsidRPr="00A92029" w:rsidRDefault="00C14C7F" w:rsidP="007342C0">
                  <w:pPr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A92029">
                    <w:rPr>
                      <w:rFonts w:cstheme="minorHAnsi"/>
                      <w:b/>
                      <w:sz w:val="20"/>
                      <w:szCs w:val="20"/>
                    </w:rPr>
                    <w:t>ProgDelivID</w:t>
                  </w:r>
                </w:p>
              </w:tc>
              <w:tc>
                <w:tcPr>
                  <w:tcW w:w="801" w:type="dxa"/>
                  <w:vAlign w:val="center"/>
                </w:tcPr>
                <w:p w:rsidR="00C14C7F" w:rsidRPr="00A92029" w:rsidRDefault="00C14C7F" w:rsidP="007342C0">
                  <w:pPr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A92029">
                    <w:rPr>
                      <w:rFonts w:cstheme="minorHAnsi"/>
                      <w:b/>
                      <w:sz w:val="20"/>
                      <w:szCs w:val="20"/>
                    </w:rPr>
                    <w:t>NTG*</w:t>
                  </w:r>
                </w:p>
              </w:tc>
            </w:tr>
            <w:tr w:rsidR="00C14C7F" w:rsidRPr="00A92029" w:rsidTr="00892229">
              <w:tc>
                <w:tcPr>
                  <w:tcW w:w="1105" w:type="dxa"/>
                  <w:vAlign w:val="center"/>
                </w:tcPr>
                <w:p w:rsidR="00C14C7F" w:rsidRPr="00A92029" w:rsidRDefault="00892229" w:rsidP="007342C0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892229">
                    <w:rPr>
                      <w:rFonts w:cstheme="minorHAnsi"/>
                      <w:sz w:val="20"/>
                      <w:szCs w:val="20"/>
                    </w:rPr>
                    <w:t>All-Default&lt;=2yrs</w:t>
                  </w:r>
                </w:p>
              </w:tc>
              <w:tc>
                <w:tcPr>
                  <w:tcW w:w="2135" w:type="dxa"/>
                  <w:vAlign w:val="center"/>
                </w:tcPr>
                <w:p w:rsidR="00C14C7F" w:rsidRPr="00A92029" w:rsidRDefault="008E378C" w:rsidP="007342C0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8E378C">
                    <w:rPr>
                      <w:rFonts w:cstheme="minorHAnsi"/>
                      <w:sz w:val="20"/>
                      <w:szCs w:val="20"/>
                    </w:rPr>
                    <w:t xml:space="preserve">All other EEMs with no evaluated NTGR; existing EEM in programs with </w:t>
                  </w:r>
                  <w:r w:rsidR="00157C12">
                    <w:rPr>
                      <w:rFonts w:cstheme="minorHAnsi"/>
                      <w:sz w:val="20"/>
                      <w:szCs w:val="20"/>
                    </w:rPr>
                    <w:t>same delivery mechanism for less</w:t>
                  </w:r>
                  <w:r w:rsidRPr="008E378C">
                    <w:rPr>
                      <w:rFonts w:cstheme="minorHAnsi"/>
                      <w:sz w:val="20"/>
                      <w:szCs w:val="20"/>
                    </w:rPr>
                    <w:t xml:space="preserve"> than 2 years</w:t>
                  </w:r>
                </w:p>
              </w:tc>
              <w:tc>
                <w:tcPr>
                  <w:tcW w:w="849" w:type="dxa"/>
                  <w:vAlign w:val="center"/>
                </w:tcPr>
                <w:p w:rsidR="00C14C7F" w:rsidRPr="00A92029" w:rsidRDefault="00892229" w:rsidP="007342C0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All</w:t>
                  </w:r>
                </w:p>
              </w:tc>
              <w:tc>
                <w:tcPr>
                  <w:tcW w:w="1089" w:type="dxa"/>
                  <w:vAlign w:val="center"/>
                </w:tcPr>
                <w:p w:rsidR="00C14C7F" w:rsidRPr="00A92029" w:rsidRDefault="00892229" w:rsidP="007342C0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Any</w:t>
                  </w:r>
                </w:p>
              </w:tc>
              <w:tc>
                <w:tcPr>
                  <w:tcW w:w="0" w:type="auto"/>
                  <w:vAlign w:val="center"/>
                </w:tcPr>
                <w:p w:rsidR="00C14C7F" w:rsidRPr="00A92029" w:rsidRDefault="00892229" w:rsidP="007342C0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Any</w:t>
                  </w:r>
                </w:p>
              </w:tc>
              <w:tc>
                <w:tcPr>
                  <w:tcW w:w="801" w:type="dxa"/>
                  <w:vAlign w:val="center"/>
                </w:tcPr>
                <w:p w:rsidR="00C14C7F" w:rsidRPr="00A92029" w:rsidRDefault="00C14C7F" w:rsidP="007342C0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A92029">
                    <w:rPr>
                      <w:rFonts w:cstheme="minorHAnsi"/>
                      <w:sz w:val="20"/>
                      <w:szCs w:val="20"/>
                    </w:rPr>
                    <w:t>0.</w:t>
                  </w:r>
                  <w:r w:rsidR="00157C12">
                    <w:rPr>
                      <w:rFonts w:cstheme="minorHAnsi"/>
                      <w:sz w:val="20"/>
                      <w:szCs w:val="20"/>
                    </w:rPr>
                    <w:t>7</w:t>
                  </w:r>
                  <w:r w:rsidR="008E378C">
                    <w:rPr>
                      <w:rFonts w:cstheme="minorHAnsi"/>
                      <w:sz w:val="20"/>
                      <w:szCs w:val="20"/>
                    </w:rPr>
                    <w:t>0</w:t>
                  </w:r>
                </w:p>
              </w:tc>
            </w:tr>
          </w:tbl>
          <w:p w:rsidR="00C14C7F" w:rsidRPr="00A92029" w:rsidRDefault="00C14C7F" w:rsidP="007342C0">
            <w:pPr>
              <w:tabs>
                <w:tab w:val="right" w:pos="6732"/>
              </w:tabs>
              <w:rPr>
                <w:rFonts w:cstheme="minorHAnsi"/>
                <w:sz w:val="20"/>
                <w:szCs w:val="20"/>
              </w:rPr>
            </w:pPr>
          </w:p>
        </w:tc>
      </w:tr>
      <w:tr w:rsidR="00C14C7F" w:rsidRPr="00A92029" w:rsidTr="000A46F6">
        <w:trPr>
          <w:cantSplit/>
        </w:trPr>
        <w:tc>
          <w:tcPr>
            <w:tcW w:w="2110" w:type="dxa"/>
            <w:vAlign w:val="center"/>
          </w:tcPr>
          <w:p w:rsidR="00C14C7F" w:rsidRPr="00A92029" w:rsidRDefault="00C14C7F" w:rsidP="007342C0">
            <w:pPr>
              <w:jc w:val="right"/>
              <w:rPr>
                <w:rFonts w:cstheme="minorHAnsi"/>
                <w:sz w:val="20"/>
                <w:szCs w:val="20"/>
              </w:rPr>
            </w:pPr>
            <w:r w:rsidRPr="00A92029">
              <w:rPr>
                <w:rFonts w:cstheme="minorHAnsi"/>
                <w:sz w:val="20"/>
                <w:szCs w:val="20"/>
              </w:rPr>
              <w:t>GSIA</w:t>
            </w:r>
          </w:p>
        </w:tc>
        <w:tc>
          <w:tcPr>
            <w:tcW w:w="7425" w:type="dxa"/>
          </w:tcPr>
          <w:p w:rsidR="00C14C7F" w:rsidRPr="00A92029" w:rsidRDefault="00C14C7F" w:rsidP="007342C0">
            <w:pPr>
              <w:rPr>
                <w:rFonts w:cstheme="minorHAnsi"/>
                <w:sz w:val="20"/>
                <w:szCs w:val="20"/>
              </w:rPr>
            </w:pPr>
          </w:p>
          <w:tbl>
            <w:tblPr>
              <w:tblStyle w:val="TableGrid"/>
              <w:tblW w:w="5000" w:type="pct"/>
              <w:tblLook w:val="04A0" w:firstRow="1" w:lastRow="0" w:firstColumn="1" w:lastColumn="0" w:noHBand="0" w:noVBand="1"/>
            </w:tblPr>
            <w:tblGrid>
              <w:gridCol w:w="1285"/>
              <w:gridCol w:w="1353"/>
              <w:gridCol w:w="851"/>
              <w:gridCol w:w="1120"/>
              <w:gridCol w:w="1359"/>
              <w:gridCol w:w="1231"/>
            </w:tblGrid>
            <w:tr w:rsidR="00C14C7F" w:rsidRPr="00A92029" w:rsidTr="00F20091">
              <w:tc>
                <w:tcPr>
                  <w:tcW w:w="892" w:type="pct"/>
                </w:tcPr>
                <w:p w:rsidR="00C14C7F" w:rsidRPr="00A92029" w:rsidRDefault="00C14C7F" w:rsidP="007342C0">
                  <w:pPr>
                    <w:tabs>
                      <w:tab w:val="right" w:pos="6732"/>
                    </w:tabs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A92029">
                    <w:rPr>
                      <w:rFonts w:cstheme="minorHAnsi"/>
                      <w:b/>
                      <w:sz w:val="20"/>
                      <w:szCs w:val="20"/>
                    </w:rPr>
                    <w:t>GSIA</w:t>
                  </w:r>
                </w:p>
              </w:tc>
              <w:tc>
                <w:tcPr>
                  <w:tcW w:w="940" w:type="pct"/>
                </w:tcPr>
                <w:p w:rsidR="00C14C7F" w:rsidRPr="00A92029" w:rsidRDefault="00C14C7F" w:rsidP="007342C0">
                  <w:pPr>
                    <w:tabs>
                      <w:tab w:val="right" w:pos="6732"/>
                    </w:tabs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A92029">
                    <w:rPr>
                      <w:rFonts w:cstheme="minorHAnsi"/>
                      <w:b/>
                      <w:sz w:val="20"/>
                      <w:szCs w:val="20"/>
                    </w:rPr>
                    <w:t>Description</w:t>
                  </w:r>
                </w:p>
              </w:tc>
              <w:tc>
                <w:tcPr>
                  <w:tcW w:w="591" w:type="pct"/>
                </w:tcPr>
                <w:p w:rsidR="00C14C7F" w:rsidRPr="00A92029" w:rsidRDefault="00C14C7F" w:rsidP="007342C0">
                  <w:pPr>
                    <w:tabs>
                      <w:tab w:val="right" w:pos="6732"/>
                    </w:tabs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A92029">
                    <w:rPr>
                      <w:rFonts w:cstheme="minorHAnsi"/>
                      <w:b/>
                      <w:sz w:val="20"/>
                      <w:szCs w:val="20"/>
                    </w:rPr>
                    <w:t>Sector</w:t>
                  </w:r>
                </w:p>
              </w:tc>
              <w:tc>
                <w:tcPr>
                  <w:tcW w:w="778" w:type="pct"/>
                </w:tcPr>
                <w:p w:rsidR="00C14C7F" w:rsidRPr="00A92029" w:rsidRDefault="00C14C7F" w:rsidP="007342C0">
                  <w:pPr>
                    <w:tabs>
                      <w:tab w:val="right" w:pos="6732"/>
                    </w:tabs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A92029">
                    <w:rPr>
                      <w:rFonts w:cstheme="minorHAnsi"/>
                      <w:b/>
                      <w:sz w:val="20"/>
                      <w:szCs w:val="20"/>
                    </w:rPr>
                    <w:t>BldgType</w:t>
                  </w:r>
                </w:p>
              </w:tc>
              <w:tc>
                <w:tcPr>
                  <w:tcW w:w="944" w:type="pct"/>
                </w:tcPr>
                <w:p w:rsidR="00C14C7F" w:rsidRPr="00A92029" w:rsidRDefault="00C14C7F" w:rsidP="007342C0">
                  <w:pPr>
                    <w:tabs>
                      <w:tab w:val="right" w:pos="6732"/>
                    </w:tabs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A92029">
                    <w:rPr>
                      <w:rFonts w:cstheme="minorHAnsi"/>
                      <w:b/>
                      <w:sz w:val="20"/>
                      <w:szCs w:val="20"/>
                    </w:rPr>
                    <w:t>ProgDelivID</w:t>
                  </w:r>
                </w:p>
              </w:tc>
              <w:tc>
                <w:tcPr>
                  <w:tcW w:w="855" w:type="pct"/>
                </w:tcPr>
                <w:p w:rsidR="00C14C7F" w:rsidRPr="00A92029" w:rsidRDefault="00C14C7F" w:rsidP="007342C0">
                  <w:pPr>
                    <w:tabs>
                      <w:tab w:val="right" w:pos="6732"/>
                    </w:tabs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A92029">
                    <w:rPr>
                      <w:rFonts w:cstheme="minorHAnsi"/>
                      <w:b/>
                      <w:sz w:val="20"/>
                      <w:szCs w:val="20"/>
                    </w:rPr>
                    <w:t>GSIAValue</w:t>
                  </w:r>
                </w:p>
              </w:tc>
            </w:tr>
            <w:tr w:rsidR="00C14C7F" w:rsidRPr="00A92029" w:rsidTr="00F20091">
              <w:tc>
                <w:tcPr>
                  <w:tcW w:w="892" w:type="pct"/>
                </w:tcPr>
                <w:p w:rsidR="00C14C7F" w:rsidRPr="00A92029" w:rsidRDefault="00C14C7F" w:rsidP="007342C0">
                  <w:pPr>
                    <w:tabs>
                      <w:tab w:val="right" w:pos="6732"/>
                    </w:tabs>
                    <w:rPr>
                      <w:rFonts w:cstheme="minorHAnsi"/>
                      <w:sz w:val="20"/>
                      <w:szCs w:val="20"/>
                    </w:rPr>
                  </w:pPr>
                  <w:r w:rsidRPr="00A92029">
                    <w:rPr>
                      <w:rFonts w:cstheme="minorHAnsi"/>
                      <w:sz w:val="20"/>
                      <w:szCs w:val="20"/>
                    </w:rPr>
                    <w:t>Def-GSIA</w:t>
                  </w:r>
                </w:p>
              </w:tc>
              <w:tc>
                <w:tcPr>
                  <w:tcW w:w="940" w:type="pct"/>
                </w:tcPr>
                <w:p w:rsidR="00C14C7F" w:rsidRPr="00A92029" w:rsidRDefault="00C14C7F" w:rsidP="007342C0">
                  <w:pPr>
                    <w:tabs>
                      <w:tab w:val="right" w:pos="6732"/>
                    </w:tabs>
                    <w:rPr>
                      <w:rFonts w:cstheme="minorHAnsi"/>
                      <w:sz w:val="20"/>
                      <w:szCs w:val="20"/>
                    </w:rPr>
                  </w:pPr>
                  <w:r w:rsidRPr="00A92029">
                    <w:rPr>
                      <w:rFonts w:cstheme="minorHAnsi"/>
                      <w:sz w:val="20"/>
                      <w:szCs w:val="20"/>
                    </w:rPr>
                    <w:t>Default GSIA</w:t>
                  </w:r>
                </w:p>
              </w:tc>
              <w:tc>
                <w:tcPr>
                  <w:tcW w:w="591" w:type="pct"/>
                </w:tcPr>
                <w:p w:rsidR="00C14C7F" w:rsidRPr="00A92029" w:rsidRDefault="00C14C7F" w:rsidP="007342C0">
                  <w:pPr>
                    <w:tabs>
                      <w:tab w:val="right" w:pos="6732"/>
                    </w:tabs>
                    <w:rPr>
                      <w:rFonts w:cstheme="minorHAnsi"/>
                      <w:sz w:val="20"/>
                      <w:szCs w:val="20"/>
                    </w:rPr>
                  </w:pPr>
                  <w:r w:rsidRPr="00A92029">
                    <w:rPr>
                      <w:rFonts w:cstheme="minorHAnsi"/>
                      <w:sz w:val="20"/>
                      <w:szCs w:val="20"/>
                    </w:rPr>
                    <w:t>Any</w:t>
                  </w:r>
                </w:p>
              </w:tc>
              <w:tc>
                <w:tcPr>
                  <w:tcW w:w="778" w:type="pct"/>
                </w:tcPr>
                <w:p w:rsidR="00C14C7F" w:rsidRPr="00A92029" w:rsidRDefault="00C14C7F" w:rsidP="007342C0">
                  <w:pPr>
                    <w:tabs>
                      <w:tab w:val="right" w:pos="6732"/>
                    </w:tabs>
                    <w:rPr>
                      <w:rFonts w:cstheme="minorHAnsi"/>
                      <w:sz w:val="20"/>
                      <w:szCs w:val="20"/>
                    </w:rPr>
                  </w:pPr>
                  <w:r w:rsidRPr="00A92029">
                    <w:rPr>
                      <w:rFonts w:cstheme="minorHAnsi"/>
                      <w:sz w:val="20"/>
                      <w:szCs w:val="20"/>
                    </w:rPr>
                    <w:t>Any</w:t>
                  </w:r>
                </w:p>
              </w:tc>
              <w:tc>
                <w:tcPr>
                  <w:tcW w:w="944" w:type="pct"/>
                </w:tcPr>
                <w:p w:rsidR="00C14C7F" w:rsidRPr="00A92029" w:rsidRDefault="00C14C7F" w:rsidP="007342C0">
                  <w:pPr>
                    <w:tabs>
                      <w:tab w:val="right" w:pos="6732"/>
                    </w:tabs>
                    <w:rPr>
                      <w:rFonts w:cstheme="minorHAnsi"/>
                      <w:sz w:val="20"/>
                      <w:szCs w:val="20"/>
                    </w:rPr>
                  </w:pPr>
                  <w:r w:rsidRPr="00A92029">
                    <w:rPr>
                      <w:rFonts w:cstheme="minorHAnsi"/>
                      <w:sz w:val="20"/>
                      <w:szCs w:val="20"/>
                    </w:rPr>
                    <w:t>Any</w:t>
                  </w:r>
                </w:p>
              </w:tc>
              <w:tc>
                <w:tcPr>
                  <w:tcW w:w="855" w:type="pct"/>
                </w:tcPr>
                <w:p w:rsidR="00C14C7F" w:rsidRPr="00A92029" w:rsidRDefault="00C14C7F" w:rsidP="007342C0">
                  <w:pPr>
                    <w:tabs>
                      <w:tab w:val="right" w:pos="6732"/>
                    </w:tabs>
                    <w:rPr>
                      <w:rFonts w:cstheme="minorHAnsi"/>
                      <w:sz w:val="20"/>
                      <w:szCs w:val="20"/>
                    </w:rPr>
                  </w:pPr>
                  <w:r w:rsidRPr="00A92029">
                    <w:rPr>
                      <w:rFonts w:cstheme="minorHAnsi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C14C7F" w:rsidRPr="00A92029" w:rsidRDefault="00C14C7F" w:rsidP="007342C0">
            <w:pPr>
              <w:tabs>
                <w:tab w:val="right" w:pos="6732"/>
              </w:tabs>
              <w:rPr>
                <w:rFonts w:cstheme="minorHAnsi"/>
                <w:sz w:val="20"/>
                <w:szCs w:val="20"/>
              </w:rPr>
            </w:pPr>
          </w:p>
        </w:tc>
      </w:tr>
      <w:tr w:rsidR="00C14C7F" w:rsidRPr="00A92029" w:rsidTr="000A46F6">
        <w:trPr>
          <w:cantSplit/>
        </w:trPr>
        <w:tc>
          <w:tcPr>
            <w:tcW w:w="2110" w:type="dxa"/>
            <w:vAlign w:val="center"/>
          </w:tcPr>
          <w:p w:rsidR="00C14C7F" w:rsidRPr="00A92029" w:rsidRDefault="00C14C7F" w:rsidP="007342C0">
            <w:pPr>
              <w:jc w:val="right"/>
              <w:rPr>
                <w:rFonts w:cstheme="minorHAnsi"/>
                <w:sz w:val="20"/>
                <w:szCs w:val="20"/>
              </w:rPr>
            </w:pPr>
            <w:r w:rsidRPr="00A92029">
              <w:rPr>
                <w:rFonts w:cstheme="minorHAnsi"/>
                <w:sz w:val="20"/>
                <w:szCs w:val="20"/>
              </w:rPr>
              <w:t>Effective and Remaining Useful Life</w:t>
            </w:r>
          </w:p>
        </w:tc>
        <w:tc>
          <w:tcPr>
            <w:tcW w:w="7425" w:type="dxa"/>
          </w:tcPr>
          <w:p w:rsidR="00C14C7F" w:rsidRPr="008E378C" w:rsidRDefault="00C14C7F" w:rsidP="007342C0">
            <w:pPr>
              <w:rPr>
                <w:rFonts w:cstheme="minorHAnsi"/>
                <w:sz w:val="20"/>
                <w:szCs w:val="20"/>
              </w:rPr>
            </w:pPr>
          </w:p>
          <w:tbl>
            <w:tblPr>
              <w:tblStyle w:val="TableGrid"/>
              <w:tblW w:w="7199" w:type="dxa"/>
              <w:tblLook w:val="04A0" w:firstRow="1" w:lastRow="0" w:firstColumn="1" w:lastColumn="0" w:noHBand="0" w:noVBand="1"/>
            </w:tblPr>
            <w:tblGrid>
              <w:gridCol w:w="1285"/>
              <w:gridCol w:w="1170"/>
              <w:gridCol w:w="1972"/>
              <w:gridCol w:w="1358"/>
              <w:gridCol w:w="1414"/>
            </w:tblGrid>
            <w:tr w:rsidR="00C14C7F" w:rsidRPr="008E378C" w:rsidTr="00234080">
              <w:tc>
                <w:tcPr>
                  <w:tcW w:w="1285" w:type="dxa"/>
                  <w:vAlign w:val="center"/>
                </w:tcPr>
                <w:p w:rsidR="00C14C7F" w:rsidRPr="008E378C" w:rsidRDefault="000D62DD" w:rsidP="007342C0">
                  <w:pPr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8E378C">
                    <w:rPr>
                      <w:rFonts w:cstheme="minorHAnsi"/>
                      <w:b/>
                      <w:sz w:val="20"/>
                      <w:szCs w:val="20"/>
                    </w:rPr>
                    <w:t>EUL ID</w:t>
                  </w:r>
                </w:p>
              </w:tc>
              <w:tc>
                <w:tcPr>
                  <w:tcW w:w="1170" w:type="dxa"/>
                  <w:vAlign w:val="center"/>
                </w:tcPr>
                <w:p w:rsidR="00C14C7F" w:rsidRPr="008E378C" w:rsidRDefault="00C14C7F" w:rsidP="007342C0">
                  <w:pPr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8E378C">
                    <w:rPr>
                      <w:rFonts w:cstheme="minorHAnsi"/>
                      <w:b/>
                      <w:sz w:val="20"/>
                      <w:szCs w:val="20"/>
                    </w:rPr>
                    <w:t>Enduse</w:t>
                  </w:r>
                </w:p>
              </w:tc>
              <w:tc>
                <w:tcPr>
                  <w:tcW w:w="1972" w:type="dxa"/>
                  <w:vAlign w:val="center"/>
                </w:tcPr>
                <w:p w:rsidR="00C14C7F" w:rsidRPr="008E378C" w:rsidRDefault="00C14C7F" w:rsidP="007342C0">
                  <w:pPr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8E378C">
                    <w:rPr>
                      <w:rFonts w:cstheme="minorHAnsi"/>
                      <w:b/>
                      <w:sz w:val="20"/>
                      <w:szCs w:val="20"/>
                    </w:rPr>
                    <w:t>Measure</w:t>
                  </w:r>
                </w:p>
              </w:tc>
              <w:tc>
                <w:tcPr>
                  <w:tcW w:w="1358" w:type="dxa"/>
                  <w:vAlign w:val="center"/>
                </w:tcPr>
                <w:p w:rsidR="00C14C7F" w:rsidRPr="008E378C" w:rsidRDefault="00C14C7F" w:rsidP="007342C0">
                  <w:pPr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8E378C">
                    <w:rPr>
                      <w:rFonts w:cstheme="minorHAnsi"/>
                      <w:b/>
                      <w:sz w:val="20"/>
                      <w:szCs w:val="20"/>
                    </w:rPr>
                    <w:t>EUL (Years)</w:t>
                  </w:r>
                </w:p>
              </w:tc>
              <w:tc>
                <w:tcPr>
                  <w:tcW w:w="1414" w:type="dxa"/>
                  <w:vAlign w:val="center"/>
                </w:tcPr>
                <w:p w:rsidR="00C14C7F" w:rsidRPr="008E378C" w:rsidRDefault="00C14C7F" w:rsidP="007342C0">
                  <w:pPr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8E378C">
                    <w:rPr>
                      <w:rFonts w:cstheme="minorHAnsi"/>
                      <w:b/>
                      <w:sz w:val="20"/>
                      <w:szCs w:val="20"/>
                    </w:rPr>
                    <w:t>RUL (Years)</w:t>
                  </w:r>
                </w:p>
              </w:tc>
            </w:tr>
            <w:tr w:rsidR="00C14C7F" w:rsidRPr="008E378C" w:rsidTr="00234080">
              <w:trPr>
                <w:trHeight w:val="404"/>
              </w:trPr>
              <w:tc>
                <w:tcPr>
                  <w:tcW w:w="1285" w:type="dxa"/>
                </w:tcPr>
                <w:p w:rsidR="00C14C7F" w:rsidRPr="008E378C" w:rsidRDefault="008E378C" w:rsidP="007342C0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8E378C">
                    <w:rPr>
                      <w:rFonts w:cstheme="minorHAnsi"/>
                      <w:sz w:val="20"/>
                      <w:szCs w:val="20"/>
                    </w:rPr>
                    <w:t>HVAC-Frnc</w:t>
                  </w:r>
                </w:p>
              </w:tc>
              <w:tc>
                <w:tcPr>
                  <w:tcW w:w="1170" w:type="dxa"/>
                </w:tcPr>
                <w:p w:rsidR="00C14C7F" w:rsidRPr="008E378C" w:rsidRDefault="008E378C" w:rsidP="007342C0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8E378C">
                    <w:rPr>
                      <w:rFonts w:cstheme="minorHAnsi"/>
                      <w:sz w:val="20"/>
                      <w:szCs w:val="20"/>
                    </w:rPr>
                    <w:t>HVAC</w:t>
                  </w:r>
                </w:p>
              </w:tc>
              <w:tc>
                <w:tcPr>
                  <w:tcW w:w="1972" w:type="dxa"/>
                </w:tcPr>
                <w:p w:rsidR="00C14C7F" w:rsidRPr="008E378C" w:rsidRDefault="008E378C" w:rsidP="007342C0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8E378C">
                    <w:rPr>
                      <w:rFonts w:cstheme="minorHAnsi"/>
                      <w:sz w:val="20"/>
                      <w:szCs w:val="20"/>
                    </w:rPr>
                    <w:t>High Efficiency Gas Furnace</w:t>
                  </w:r>
                </w:p>
              </w:tc>
              <w:tc>
                <w:tcPr>
                  <w:tcW w:w="1358" w:type="dxa"/>
                  <w:vAlign w:val="center"/>
                </w:tcPr>
                <w:p w:rsidR="00C14C7F" w:rsidRPr="008E378C" w:rsidRDefault="005C1FE9" w:rsidP="007342C0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8E378C">
                    <w:rPr>
                      <w:rFonts w:cstheme="minorHAnsi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414" w:type="dxa"/>
                  <w:vAlign w:val="center"/>
                </w:tcPr>
                <w:p w:rsidR="00C14C7F" w:rsidRPr="008E378C" w:rsidRDefault="005C1FE9" w:rsidP="007342C0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8E378C">
                    <w:rPr>
                      <w:rFonts w:cstheme="minorHAnsi"/>
                      <w:sz w:val="20"/>
                      <w:szCs w:val="20"/>
                    </w:rPr>
                    <w:t>6.7</w:t>
                  </w:r>
                </w:p>
              </w:tc>
            </w:tr>
          </w:tbl>
          <w:p w:rsidR="00C14C7F" w:rsidRPr="008E378C" w:rsidRDefault="00C14C7F" w:rsidP="007342C0">
            <w:pPr>
              <w:tabs>
                <w:tab w:val="right" w:pos="6732"/>
              </w:tabs>
              <w:rPr>
                <w:rFonts w:cstheme="minorHAnsi"/>
                <w:sz w:val="20"/>
                <w:szCs w:val="20"/>
              </w:rPr>
            </w:pPr>
          </w:p>
        </w:tc>
      </w:tr>
      <w:tr w:rsidR="002B4ED0" w:rsidRPr="00A92029" w:rsidTr="009F503E">
        <w:trPr>
          <w:cantSplit/>
        </w:trPr>
        <w:tc>
          <w:tcPr>
            <w:tcW w:w="9535" w:type="dxa"/>
            <w:gridSpan w:val="2"/>
            <w:vAlign w:val="center"/>
          </w:tcPr>
          <w:p w:rsidR="002B4ED0" w:rsidRDefault="002B4ED0" w:rsidP="007342C0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2B4ED0" w:rsidRDefault="002B4ED0" w:rsidP="007342C0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2B4ED0" w:rsidRDefault="002B4ED0" w:rsidP="007342C0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2B4ED0" w:rsidRDefault="002B4ED0" w:rsidP="007342C0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2B4ED0" w:rsidRDefault="002B4ED0" w:rsidP="007342C0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2B4ED0" w:rsidRDefault="002B4ED0" w:rsidP="007342C0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2B4ED0" w:rsidRDefault="002B4ED0" w:rsidP="007342C0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2B4ED0" w:rsidRDefault="002B4ED0" w:rsidP="007342C0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2B4ED0" w:rsidRDefault="002B4ED0" w:rsidP="007342C0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2B4ED0" w:rsidRDefault="002B4ED0" w:rsidP="007342C0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2B4ED0" w:rsidRDefault="002B4ED0" w:rsidP="007342C0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2B4ED0" w:rsidRDefault="002B4ED0" w:rsidP="007342C0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2B4ED0" w:rsidRDefault="002B4ED0" w:rsidP="007342C0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2B4ED0" w:rsidRDefault="002B4ED0" w:rsidP="007342C0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2B4ED0" w:rsidRDefault="002B4ED0" w:rsidP="007342C0">
            <w:pPr>
              <w:jc w:val="right"/>
              <w:rPr>
                <w:rFonts w:cstheme="minorHAnsi"/>
                <w:sz w:val="20"/>
                <w:szCs w:val="20"/>
              </w:rPr>
            </w:pPr>
          </w:p>
          <w:p w:rsidR="002B4ED0" w:rsidRPr="008E378C" w:rsidRDefault="002B4ED0" w:rsidP="007342C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14C7F" w:rsidRPr="00A92029" w:rsidTr="000A46F6">
        <w:trPr>
          <w:cantSplit/>
        </w:trPr>
        <w:tc>
          <w:tcPr>
            <w:tcW w:w="2110" w:type="dxa"/>
            <w:vAlign w:val="center"/>
          </w:tcPr>
          <w:p w:rsidR="00C14C7F" w:rsidRPr="002B4ED0" w:rsidRDefault="00C14C7F" w:rsidP="007342C0">
            <w:pPr>
              <w:rPr>
                <w:rFonts w:cstheme="minorHAnsi"/>
                <w:b/>
                <w:sz w:val="24"/>
              </w:rPr>
            </w:pPr>
            <w:r w:rsidRPr="002B4ED0">
              <w:rPr>
                <w:rFonts w:cstheme="minorHAnsi"/>
                <w:b/>
                <w:sz w:val="24"/>
              </w:rPr>
              <w:lastRenderedPageBreak/>
              <w:t>Section 2. Calculation Methodology</w:t>
            </w:r>
          </w:p>
        </w:tc>
        <w:tc>
          <w:tcPr>
            <w:tcW w:w="7425" w:type="dxa"/>
            <w:vAlign w:val="center"/>
          </w:tcPr>
          <w:p w:rsidR="00C14C7F" w:rsidRDefault="00C14C7F" w:rsidP="007342C0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:rsidR="00202836" w:rsidRPr="00375873" w:rsidRDefault="00375873" w:rsidP="00375873">
            <w:pPr>
              <w:rPr>
                <w:rFonts w:cstheme="minorHAnsi"/>
                <w:sz w:val="20"/>
                <w:szCs w:val="20"/>
              </w:rPr>
            </w:pPr>
            <w:r w:rsidRPr="00375873">
              <w:rPr>
                <w:rFonts w:cstheme="minorHAnsi"/>
                <w:sz w:val="20"/>
                <w:szCs w:val="20"/>
              </w:rPr>
              <w:t>Energy Savings for the measures included in t</w:t>
            </w:r>
            <w:r w:rsidR="00376919">
              <w:rPr>
                <w:rFonts w:cstheme="minorHAnsi"/>
                <w:sz w:val="20"/>
                <w:szCs w:val="20"/>
              </w:rPr>
              <w:t>his workpaper are taken from</w:t>
            </w:r>
            <w:r w:rsidRPr="00375873">
              <w:rPr>
                <w:rFonts w:cstheme="minorHAnsi"/>
                <w:sz w:val="20"/>
                <w:szCs w:val="20"/>
              </w:rPr>
              <w:t xml:space="preserve"> DE</w:t>
            </w:r>
            <w:r w:rsidR="00376919">
              <w:rPr>
                <w:rFonts w:cstheme="minorHAnsi"/>
                <w:sz w:val="20"/>
                <w:szCs w:val="20"/>
              </w:rPr>
              <w:t xml:space="preserve">ER and compiled from </w:t>
            </w:r>
            <w:r w:rsidR="00376919" w:rsidRPr="00376919">
              <w:rPr>
                <w:rFonts w:cstheme="minorHAnsi"/>
                <w:sz w:val="20"/>
                <w:szCs w:val="20"/>
              </w:rPr>
              <w:t>READI v.2.4.7</w:t>
            </w:r>
            <w:r w:rsidR="00376919">
              <w:rPr>
                <w:rFonts w:cstheme="minorHAnsi"/>
                <w:sz w:val="20"/>
                <w:szCs w:val="20"/>
              </w:rPr>
              <w:t xml:space="preserve">. These results have </w:t>
            </w:r>
            <w:r w:rsidRPr="00375873">
              <w:rPr>
                <w:rFonts w:cstheme="minorHAnsi"/>
                <w:sz w:val="20"/>
                <w:szCs w:val="20"/>
              </w:rPr>
              <w:t xml:space="preserve">been modified </w:t>
            </w:r>
            <w:r w:rsidR="00157C12">
              <w:rPr>
                <w:rFonts w:cstheme="minorHAnsi"/>
                <w:sz w:val="20"/>
                <w:szCs w:val="20"/>
              </w:rPr>
              <w:t xml:space="preserve">for different normalizing units </w:t>
            </w:r>
            <w:r w:rsidR="00376919">
              <w:rPr>
                <w:rFonts w:cstheme="minorHAnsi"/>
                <w:sz w:val="20"/>
                <w:szCs w:val="20"/>
              </w:rPr>
              <w:t>and the</w:t>
            </w:r>
            <w:r w:rsidRPr="00375873">
              <w:rPr>
                <w:rFonts w:cstheme="minorHAnsi"/>
                <w:sz w:val="20"/>
                <w:szCs w:val="20"/>
              </w:rPr>
              <w:t xml:space="preserve"> calculation spreadsheet</w:t>
            </w:r>
            <w:r w:rsidR="00376919">
              <w:rPr>
                <w:rFonts w:cstheme="minorHAnsi"/>
                <w:sz w:val="20"/>
                <w:szCs w:val="20"/>
              </w:rPr>
              <w:t xml:space="preserve"> are included in </w:t>
            </w:r>
            <w:r w:rsidR="00376919" w:rsidRPr="00376919">
              <w:rPr>
                <w:rFonts w:cstheme="minorHAnsi"/>
                <w:b/>
                <w:i/>
                <w:sz w:val="20"/>
                <w:szCs w:val="20"/>
              </w:rPr>
              <w:t>Attachment-A</w:t>
            </w:r>
            <w:r w:rsidRPr="00375873">
              <w:rPr>
                <w:rFonts w:cstheme="minorHAnsi"/>
                <w:sz w:val="20"/>
                <w:szCs w:val="20"/>
              </w:rPr>
              <w:t>.</w:t>
            </w:r>
          </w:p>
          <w:p w:rsidR="00202836" w:rsidRPr="00376919" w:rsidRDefault="00202836" w:rsidP="0037691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C14C7F" w:rsidRPr="00A92029" w:rsidTr="00547B44">
        <w:trPr>
          <w:trHeight w:val="872"/>
        </w:trPr>
        <w:tc>
          <w:tcPr>
            <w:tcW w:w="2110" w:type="dxa"/>
            <w:vAlign w:val="center"/>
          </w:tcPr>
          <w:p w:rsidR="00C14C7F" w:rsidRPr="00A92029" w:rsidRDefault="00C14C7F" w:rsidP="00375873">
            <w:pPr>
              <w:rPr>
                <w:rFonts w:cstheme="minorHAnsi"/>
                <w:sz w:val="20"/>
                <w:szCs w:val="20"/>
              </w:rPr>
            </w:pPr>
            <w:r w:rsidRPr="00A92029">
              <w:rPr>
                <w:rFonts w:cstheme="minorHAnsi"/>
                <w:sz w:val="20"/>
                <w:szCs w:val="20"/>
              </w:rPr>
              <w:t>Energy Savings/Peak Demand Reduction – All Measures</w:t>
            </w:r>
          </w:p>
        </w:tc>
        <w:tc>
          <w:tcPr>
            <w:tcW w:w="7425" w:type="dxa"/>
          </w:tcPr>
          <w:p w:rsidR="00DD27F3" w:rsidRPr="00DD27F3" w:rsidRDefault="00DD27F3" w:rsidP="00DD27F3">
            <w:pPr>
              <w:tabs>
                <w:tab w:val="right" w:pos="6732"/>
              </w:tabs>
              <w:rPr>
                <w:rFonts w:cstheme="minorHAnsi"/>
                <w:sz w:val="20"/>
                <w:szCs w:val="20"/>
              </w:rPr>
            </w:pPr>
            <w:r w:rsidRPr="00DD27F3">
              <w:rPr>
                <w:rFonts w:cstheme="minorHAnsi"/>
                <w:sz w:val="20"/>
                <w:szCs w:val="20"/>
              </w:rPr>
              <w:t>Scaling of DEER Results</w:t>
            </w:r>
          </w:p>
          <w:p w:rsidR="00DD27F3" w:rsidRPr="00DD27F3" w:rsidRDefault="00DD27F3" w:rsidP="00DD27F3">
            <w:pPr>
              <w:tabs>
                <w:tab w:val="right" w:pos="6732"/>
              </w:tabs>
              <w:rPr>
                <w:rFonts w:cstheme="minorHAnsi"/>
                <w:sz w:val="20"/>
                <w:szCs w:val="20"/>
              </w:rPr>
            </w:pPr>
            <w:r w:rsidRPr="00DD27F3">
              <w:rPr>
                <w:rFonts w:cstheme="minorHAnsi"/>
                <w:sz w:val="20"/>
                <w:szCs w:val="20"/>
              </w:rPr>
              <w:t>The gas savings for this measure are calculated from the DEER201</w:t>
            </w:r>
            <w:r w:rsidR="00275209">
              <w:rPr>
                <w:rFonts w:cstheme="minorHAnsi"/>
                <w:sz w:val="20"/>
                <w:szCs w:val="20"/>
              </w:rPr>
              <w:t>4</w:t>
            </w:r>
            <w:r w:rsidRPr="00DD27F3">
              <w:rPr>
                <w:rFonts w:cstheme="minorHAnsi"/>
                <w:sz w:val="20"/>
                <w:szCs w:val="20"/>
              </w:rPr>
              <w:t xml:space="preserve"> database impact ID, Furnace-Pkg_AFUE95, as described below. DEER presents the savings in annual therms/1,000 square feet served which are conv</w:t>
            </w:r>
            <w:r w:rsidR="00BA7EE6">
              <w:rPr>
                <w:rFonts w:cstheme="minorHAnsi"/>
                <w:sz w:val="20"/>
                <w:szCs w:val="20"/>
              </w:rPr>
              <w:t>erted to units of therms/MBtuh</w:t>
            </w:r>
            <w:r w:rsidRPr="00DD27F3">
              <w:rPr>
                <w:rFonts w:cstheme="minorHAnsi"/>
                <w:sz w:val="20"/>
                <w:szCs w:val="20"/>
              </w:rPr>
              <w:t>. The calculation is described below under Normalization.</w:t>
            </w:r>
          </w:p>
          <w:p w:rsidR="00DD27F3" w:rsidRPr="00DD27F3" w:rsidRDefault="00DD27F3" w:rsidP="00DD27F3">
            <w:pPr>
              <w:tabs>
                <w:tab w:val="right" w:pos="6732"/>
              </w:tabs>
              <w:rPr>
                <w:rFonts w:cstheme="minorHAnsi"/>
                <w:sz w:val="20"/>
                <w:szCs w:val="20"/>
              </w:rPr>
            </w:pPr>
          </w:p>
          <w:p w:rsidR="00DD27F3" w:rsidRPr="00DD27F3" w:rsidRDefault="00DD27F3" w:rsidP="00DD27F3">
            <w:pPr>
              <w:tabs>
                <w:tab w:val="right" w:pos="6732"/>
              </w:tabs>
              <w:rPr>
                <w:rFonts w:cstheme="minorHAnsi"/>
                <w:sz w:val="20"/>
                <w:szCs w:val="20"/>
              </w:rPr>
            </w:pPr>
            <w:r w:rsidRPr="00DD27F3">
              <w:rPr>
                <w:rFonts w:cstheme="minorHAnsi"/>
                <w:sz w:val="20"/>
                <w:szCs w:val="20"/>
              </w:rPr>
              <w:t>Normalization by MBtuh Furnace Input Rating</w:t>
            </w:r>
          </w:p>
          <w:p w:rsidR="00DD27F3" w:rsidRDefault="00DD27F3" w:rsidP="00DD27F3">
            <w:pPr>
              <w:tabs>
                <w:tab w:val="right" w:pos="6732"/>
              </w:tabs>
              <w:rPr>
                <w:rFonts w:cstheme="minorHAnsi"/>
                <w:sz w:val="20"/>
                <w:szCs w:val="20"/>
              </w:rPr>
            </w:pPr>
            <w:r w:rsidRPr="00DD27F3">
              <w:rPr>
                <w:rFonts w:cstheme="minorHAnsi"/>
                <w:sz w:val="20"/>
                <w:szCs w:val="20"/>
              </w:rPr>
              <w:t>DEER201</w:t>
            </w:r>
            <w:r w:rsidR="002D4270">
              <w:rPr>
                <w:rFonts w:cstheme="minorHAnsi"/>
                <w:sz w:val="20"/>
                <w:szCs w:val="20"/>
              </w:rPr>
              <w:t>4</w:t>
            </w:r>
            <w:r w:rsidRPr="00DD27F3">
              <w:rPr>
                <w:rFonts w:cstheme="minorHAnsi"/>
                <w:sz w:val="20"/>
                <w:szCs w:val="20"/>
              </w:rPr>
              <w:t xml:space="preserve"> gas energy savings are presented in units of annual </w:t>
            </w:r>
            <w:r w:rsidR="00B73693">
              <w:rPr>
                <w:rFonts w:cstheme="minorHAnsi"/>
                <w:sz w:val="20"/>
                <w:szCs w:val="20"/>
              </w:rPr>
              <w:t>therms</w:t>
            </w:r>
            <w:r w:rsidRPr="00DD27F3">
              <w:rPr>
                <w:rFonts w:cstheme="minorHAnsi"/>
                <w:sz w:val="20"/>
                <w:szCs w:val="20"/>
              </w:rPr>
              <w:t>/1,000 square feet served. To convert the DEER units of therms/1,000sqft to therm</w:t>
            </w:r>
            <w:r w:rsidR="009D4E70">
              <w:rPr>
                <w:rFonts w:cstheme="minorHAnsi"/>
                <w:sz w:val="20"/>
                <w:szCs w:val="20"/>
              </w:rPr>
              <w:t>s</w:t>
            </w:r>
            <w:r w:rsidRPr="00DD27F3">
              <w:rPr>
                <w:rFonts w:cstheme="minorHAnsi"/>
                <w:sz w:val="20"/>
                <w:szCs w:val="20"/>
              </w:rPr>
              <w:t>/</w:t>
            </w:r>
            <w:r w:rsidR="002D4270">
              <w:rPr>
                <w:rFonts w:cstheme="minorHAnsi"/>
                <w:sz w:val="20"/>
                <w:szCs w:val="20"/>
              </w:rPr>
              <w:t>MBtuh</w:t>
            </w:r>
            <w:r w:rsidR="00C83A27">
              <w:rPr>
                <w:rFonts w:cstheme="minorHAnsi"/>
                <w:sz w:val="20"/>
                <w:szCs w:val="20"/>
              </w:rPr>
              <w:t xml:space="preserve"> (Input Rating)</w:t>
            </w:r>
            <w:r w:rsidR="00BC43BC">
              <w:rPr>
                <w:rFonts w:cstheme="minorHAnsi"/>
                <w:sz w:val="20"/>
                <w:szCs w:val="20"/>
              </w:rPr>
              <w:t xml:space="preserve">, the units are first converted from 1000 sqft to </w:t>
            </w:r>
            <w:r w:rsidR="00192E26">
              <w:rPr>
                <w:rFonts w:cstheme="minorHAnsi"/>
                <w:sz w:val="20"/>
                <w:szCs w:val="20"/>
              </w:rPr>
              <w:t>MBtuh using a heating</w:t>
            </w:r>
            <w:r w:rsidRPr="00DD27F3">
              <w:rPr>
                <w:rFonts w:cstheme="minorHAnsi"/>
                <w:sz w:val="20"/>
                <w:szCs w:val="20"/>
              </w:rPr>
              <w:t xml:space="preserve"> Connected Load </w:t>
            </w:r>
            <w:r w:rsidR="00BC43BC">
              <w:rPr>
                <w:rFonts w:cstheme="minorHAnsi"/>
                <w:sz w:val="20"/>
                <w:szCs w:val="20"/>
              </w:rPr>
              <w:t xml:space="preserve">in </w:t>
            </w:r>
            <w:r w:rsidRPr="00DD27F3">
              <w:rPr>
                <w:rFonts w:cstheme="minorHAnsi"/>
                <w:sz w:val="20"/>
                <w:szCs w:val="20"/>
              </w:rPr>
              <w:t>(</w:t>
            </w:r>
            <w:r w:rsidR="00B73693">
              <w:rPr>
                <w:rFonts w:cstheme="minorHAnsi"/>
                <w:sz w:val="20"/>
                <w:szCs w:val="20"/>
              </w:rPr>
              <w:t>sqft/MBtuh</w:t>
            </w:r>
            <w:r w:rsidRPr="00DD27F3">
              <w:rPr>
                <w:rFonts w:cstheme="minorHAnsi"/>
                <w:sz w:val="20"/>
                <w:szCs w:val="20"/>
              </w:rPr>
              <w:t>) from California’s Com</w:t>
            </w:r>
            <w:r w:rsidR="002D4270">
              <w:rPr>
                <w:rFonts w:cstheme="minorHAnsi"/>
                <w:sz w:val="20"/>
                <w:szCs w:val="20"/>
              </w:rPr>
              <w:t>mercial End-Use Survey (CEUS)</w:t>
            </w:r>
            <w:r w:rsidR="002D16E7">
              <w:rPr>
                <w:rStyle w:val="EndnoteReference"/>
                <w:rFonts w:cstheme="minorHAnsi"/>
                <w:sz w:val="20"/>
                <w:szCs w:val="20"/>
              </w:rPr>
              <w:endnoteReference w:id="4"/>
            </w:r>
            <w:r w:rsidRPr="00DD27F3">
              <w:rPr>
                <w:rFonts w:cstheme="minorHAnsi"/>
                <w:sz w:val="20"/>
                <w:szCs w:val="20"/>
              </w:rPr>
              <w:t xml:space="preserve">. </w:t>
            </w:r>
          </w:p>
          <w:p w:rsidR="00D769B3" w:rsidRDefault="00D769B3" w:rsidP="00DD27F3">
            <w:pPr>
              <w:tabs>
                <w:tab w:val="right" w:pos="6732"/>
              </w:tabs>
              <w:rPr>
                <w:rFonts w:cstheme="minorHAnsi"/>
                <w:sz w:val="20"/>
                <w:szCs w:val="20"/>
              </w:rPr>
            </w:pPr>
          </w:p>
          <w:p w:rsidR="00F52210" w:rsidRDefault="00D769B3" w:rsidP="00D769B3">
            <w:pPr>
              <w:tabs>
                <w:tab w:val="right" w:pos="6732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However, the</w:t>
            </w:r>
            <w:r w:rsidR="00BC43BC">
              <w:rPr>
                <w:rFonts w:cstheme="minorHAnsi"/>
                <w:sz w:val="20"/>
                <w:szCs w:val="20"/>
              </w:rPr>
              <w:t xml:space="preserve"> CEUS</w:t>
            </w:r>
            <w:r w:rsidR="00C773F1">
              <w:rPr>
                <w:rStyle w:val="EndnoteReference"/>
                <w:rFonts w:cstheme="minorHAnsi"/>
                <w:sz w:val="20"/>
                <w:szCs w:val="20"/>
              </w:rPr>
              <w:endnoteReference w:id="5"/>
            </w:r>
            <w:r w:rsidR="00BC43BC">
              <w:rPr>
                <w:rFonts w:cstheme="minorHAnsi"/>
                <w:sz w:val="20"/>
                <w:szCs w:val="20"/>
              </w:rPr>
              <w:t xml:space="preserve"> Energy-use</w:t>
            </w:r>
            <w:r w:rsidRPr="00872B34">
              <w:rPr>
                <w:rFonts w:cstheme="minorHAnsi"/>
                <w:sz w:val="20"/>
                <w:szCs w:val="20"/>
              </w:rPr>
              <w:t xml:space="preserve"> data </w:t>
            </w:r>
            <w:r w:rsidR="00F52210">
              <w:rPr>
                <w:rFonts w:cstheme="minorHAnsi"/>
                <w:sz w:val="20"/>
                <w:szCs w:val="20"/>
              </w:rPr>
              <w:t xml:space="preserve">had to be adjusted </w:t>
            </w:r>
            <w:r w:rsidR="0021275E">
              <w:rPr>
                <w:rFonts w:cstheme="minorHAnsi"/>
                <w:sz w:val="20"/>
                <w:szCs w:val="20"/>
              </w:rPr>
              <w:t xml:space="preserve">in this analysis </w:t>
            </w:r>
            <w:r w:rsidR="00F52210">
              <w:rPr>
                <w:rFonts w:cstheme="minorHAnsi"/>
                <w:sz w:val="20"/>
                <w:szCs w:val="20"/>
              </w:rPr>
              <w:t>for the following:</w:t>
            </w:r>
          </w:p>
          <w:p w:rsidR="0021275E" w:rsidRDefault="0021275E" w:rsidP="00D769B3">
            <w:pPr>
              <w:tabs>
                <w:tab w:val="right" w:pos="6732"/>
              </w:tabs>
              <w:rPr>
                <w:rFonts w:cstheme="minorHAnsi"/>
                <w:sz w:val="20"/>
                <w:szCs w:val="20"/>
              </w:rPr>
            </w:pPr>
          </w:p>
          <w:p w:rsidR="00F52210" w:rsidRDefault="00F52210" w:rsidP="00F52210">
            <w:pPr>
              <w:pStyle w:val="ListParagraph"/>
              <w:numPr>
                <w:ilvl w:val="0"/>
                <w:numId w:val="38"/>
              </w:numPr>
              <w:tabs>
                <w:tab w:val="right" w:pos="6732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The building type used by CEUS are matched by a CEC </w:t>
            </w:r>
            <w:r w:rsidRPr="00F52210">
              <w:rPr>
                <w:rFonts w:cstheme="minorHAnsi"/>
                <w:sz w:val="20"/>
                <w:szCs w:val="20"/>
              </w:rPr>
              <w:t>key building type (</w:t>
            </w:r>
            <w:r w:rsidR="002002ED">
              <w:rPr>
                <w:rFonts w:cstheme="minorHAnsi"/>
                <w:sz w:val="20"/>
                <w:szCs w:val="20"/>
              </w:rPr>
              <w:t xml:space="preserve">Commercial, </w:t>
            </w:r>
            <w:r w:rsidRPr="00F52210">
              <w:rPr>
                <w:rFonts w:cstheme="minorHAnsi"/>
                <w:sz w:val="20"/>
                <w:szCs w:val="20"/>
              </w:rPr>
              <w:t xml:space="preserve">Grocery, Hotel, Hospital, Large Office, Misc, Restaurant, Retail, School, Small Office, University, Warehouse – </w:t>
            </w:r>
            <w:r w:rsidR="009D4E70" w:rsidRPr="00F52210">
              <w:rPr>
                <w:rFonts w:cstheme="minorHAnsi"/>
                <w:sz w:val="20"/>
                <w:szCs w:val="20"/>
              </w:rPr>
              <w:t>non- refrigerated</w:t>
            </w:r>
            <w:r w:rsidRPr="00F52210">
              <w:rPr>
                <w:rFonts w:cstheme="minorHAnsi"/>
                <w:sz w:val="20"/>
                <w:szCs w:val="20"/>
              </w:rPr>
              <w:t>, and Warehouse – refrigerated) since CEUS and DEER building types are dissimilar.</w:t>
            </w:r>
          </w:p>
          <w:p w:rsidR="00F52210" w:rsidRDefault="00F52210" w:rsidP="00F52210">
            <w:pPr>
              <w:pStyle w:val="ListParagraph"/>
              <w:numPr>
                <w:ilvl w:val="0"/>
                <w:numId w:val="38"/>
              </w:numPr>
              <w:tabs>
                <w:tab w:val="right" w:pos="6732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The CEUS </w:t>
            </w:r>
            <w:r w:rsidR="00192E26">
              <w:rPr>
                <w:rFonts w:cstheme="minorHAnsi"/>
                <w:sz w:val="20"/>
                <w:szCs w:val="20"/>
              </w:rPr>
              <w:t xml:space="preserve">heating </w:t>
            </w:r>
            <w:r>
              <w:rPr>
                <w:rFonts w:cstheme="minorHAnsi"/>
                <w:sz w:val="20"/>
                <w:szCs w:val="20"/>
              </w:rPr>
              <w:t xml:space="preserve">connected load data </w:t>
            </w:r>
            <w:r w:rsidR="00C83A27">
              <w:rPr>
                <w:rFonts w:cstheme="minorHAnsi"/>
                <w:sz w:val="20"/>
                <w:szCs w:val="20"/>
              </w:rPr>
              <w:t>is</w:t>
            </w:r>
            <w:r w:rsidR="00C83A27" w:rsidRPr="00F52210">
              <w:rPr>
                <w:rFonts w:cstheme="minorHAnsi"/>
                <w:sz w:val="20"/>
                <w:szCs w:val="20"/>
              </w:rPr>
              <w:t xml:space="preserve"> </w:t>
            </w:r>
            <w:r w:rsidR="00BC43BC" w:rsidRPr="00F52210">
              <w:rPr>
                <w:rFonts w:cstheme="minorHAnsi"/>
                <w:sz w:val="20"/>
                <w:szCs w:val="20"/>
              </w:rPr>
              <w:t>based on</w:t>
            </w:r>
            <w:r w:rsidR="00D769B3" w:rsidRPr="00F52210">
              <w:rPr>
                <w:rFonts w:cstheme="minorHAnsi"/>
                <w:sz w:val="20"/>
                <w:szCs w:val="20"/>
              </w:rPr>
              <w:t xml:space="preserve"> the Forecasting Climate Zone Map (FCZ)</w:t>
            </w:r>
            <w:r w:rsidR="00BC43BC" w:rsidRPr="00F52210">
              <w:rPr>
                <w:rFonts w:cstheme="minorHAnsi"/>
                <w:sz w:val="20"/>
                <w:szCs w:val="20"/>
              </w:rPr>
              <w:t xml:space="preserve"> and not the </w:t>
            </w:r>
            <w:r>
              <w:rPr>
                <w:rFonts w:cstheme="minorHAnsi"/>
                <w:sz w:val="20"/>
                <w:szCs w:val="20"/>
              </w:rPr>
              <w:t>(</w:t>
            </w:r>
            <w:r w:rsidR="00BC43BC" w:rsidRPr="00F52210">
              <w:rPr>
                <w:rFonts w:cstheme="minorHAnsi"/>
                <w:sz w:val="20"/>
                <w:szCs w:val="20"/>
              </w:rPr>
              <w:t>16</w:t>
            </w:r>
            <w:r>
              <w:rPr>
                <w:rFonts w:cstheme="minorHAnsi"/>
                <w:sz w:val="20"/>
                <w:szCs w:val="20"/>
              </w:rPr>
              <w:t>)</w:t>
            </w:r>
            <w:r w:rsidR="00BC43BC" w:rsidRPr="00F52210">
              <w:rPr>
                <w:rFonts w:cstheme="minorHAnsi"/>
                <w:sz w:val="20"/>
                <w:szCs w:val="20"/>
              </w:rPr>
              <w:t xml:space="preserve"> California Weather Climate Zones currently used in DEER</w:t>
            </w:r>
            <w:r w:rsidR="00D769B3" w:rsidRPr="00F52210">
              <w:rPr>
                <w:rFonts w:cstheme="minorHAnsi"/>
                <w:sz w:val="20"/>
                <w:szCs w:val="20"/>
              </w:rPr>
              <w:t>. The</w:t>
            </w:r>
            <w:r w:rsidR="00BC43BC" w:rsidRPr="00F52210">
              <w:rPr>
                <w:rFonts w:cstheme="minorHAnsi"/>
                <w:sz w:val="20"/>
                <w:szCs w:val="20"/>
              </w:rPr>
              <w:t xml:space="preserve">refore, the data for </w:t>
            </w:r>
            <w:r w:rsidR="00D769B3" w:rsidRPr="00F52210">
              <w:rPr>
                <w:rFonts w:cstheme="minorHAnsi"/>
                <w:sz w:val="20"/>
                <w:szCs w:val="20"/>
              </w:rPr>
              <w:t xml:space="preserve">each </w:t>
            </w:r>
            <w:r w:rsidR="00BC43BC" w:rsidRPr="00F52210">
              <w:rPr>
                <w:rFonts w:cstheme="minorHAnsi"/>
                <w:sz w:val="20"/>
                <w:szCs w:val="20"/>
              </w:rPr>
              <w:t xml:space="preserve">building type in </w:t>
            </w:r>
            <w:r w:rsidR="00C83A27">
              <w:rPr>
                <w:rFonts w:cstheme="minorHAnsi"/>
                <w:sz w:val="20"/>
                <w:szCs w:val="20"/>
              </w:rPr>
              <w:t xml:space="preserve">the </w:t>
            </w:r>
            <w:r w:rsidR="00D769B3" w:rsidRPr="00F52210">
              <w:rPr>
                <w:rFonts w:cstheme="minorHAnsi"/>
                <w:sz w:val="20"/>
                <w:szCs w:val="20"/>
              </w:rPr>
              <w:t>CEUS weather climat</w:t>
            </w:r>
            <w:r>
              <w:rPr>
                <w:rFonts w:cstheme="minorHAnsi"/>
                <w:sz w:val="20"/>
                <w:szCs w:val="20"/>
              </w:rPr>
              <w:t xml:space="preserve">e </w:t>
            </w:r>
            <w:r w:rsidR="00C83A27">
              <w:rPr>
                <w:rFonts w:cstheme="minorHAnsi"/>
                <w:sz w:val="20"/>
                <w:szCs w:val="20"/>
              </w:rPr>
              <w:t xml:space="preserve">zones </w:t>
            </w:r>
            <w:r>
              <w:rPr>
                <w:rFonts w:cstheme="minorHAnsi"/>
                <w:sz w:val="20"/>
                <w:szCs w:val="20"/>
              </w:rPr>
              <w:t>are</w:t>
            </w:r>
            <w:r w:rsidR="00D769B3" w:rsidRPr="00F52210">
              <w:rPr>
                <w:rFonts w:cstheme="minorHAnsi"/>
                <w:sz w:val="20"/>
                <w:szCs w:val="20"/>
              </w:rPr>
              <w:t xml:space="preserve"> normalized to the most appropriate CEC Title 24 cl</w:t>
            </w:r>
            <w:r w:rsidR="00BC43BC" w:rsidRPr="00F52210">
              <w:rPr>
                <w:rFonts w:cstheme="minorHAnsi"/>
                <w:sz w:val="20"/>
                <w:szCs w:val="20"/>
              </w:rPr>
              <w:t>imate zones</w:t>
            </w:r>
            <w:r w:rsidR="00D769B3" w:rsidRPr="00F52210">
              <w:rPr>
                <w:rFonts w:cstheme="minorHAnsi"/>
                <w:sz w:val="20"/>
                <w:szCs w:val="20"/>
              </w:rPr>
              <w:t xml:space="preserve">. </w:t>
            </w:r>
          </w:p>
          <w:p w:rsidR="00B41038" w:rsidRDefault="00B41038" w:rsidP="00B41038">
            <w:pPr>
              <w:pStyle w:val="ListParagraph"/>
              <w:tabs>
                <w:tab w:val="right" w:pos="6732"/>
              </w:tabs>
              <w:rPr>
                <w:rFonts w:cstheme="minorHAnsi"/>
                <w:sz w:val="20"/>
                <w:szCs w:val="20"/>
              </w:rPr>
            </w:pPr>
          </w:p>
          <w:p w:rsidR="00D769B3" w:rsidRPr="00B41038" w:rsidRDefault="00B41038" w:rsidP="00B41038">
            <w:pPr>
              <w:tabs>
                <w:tab w:val="right" w:pos="6732"/>
              </w:tabs>
              <w:rPr>
                <w:rFonts w:cstheme="minorHAnsi"/>
                <w:sz w:val="20"/>
                <w:szCs w:val="20"/>
              </w:rPr>
            </w:pPr>
            <w:r w:rsidRPr="00B41038">
              <w:rPr>
                <w:rFonts w:cstheme="minorHAnsi"/>
                <w:sz w:val="20"/>
                <w:szCs w:val="20"/>
              </w:rPr>
              <w:t>The normalized DEER savings are given by the following</w:t>
            </w:r>
            <w:r w:rsidR="00D769B3" w:rsidRPr="00B41038">
              <w:rPr>
                <w:rFonts w:cstheme="minorHAnsi"/>
                <w:sz w:val="20"/>
                <w:szCs w:val="20"/>
              </w:rPr>
              <w:t>:</w:t>
            </w:r>
          </w:p>
          <w:p w:rsidR="00DD27F3" w:rsidRDefault="00DD27F3" w:rsidP="00C5055F">
            <w:pPr>
              <w:tabs>
                <w:tab w:val="right" w:pos="6732"/>
              </w:tabs>
              <w:rPr>
                <w:rFonts w:cstheme="minorHAnsi"/>
                <w:sz w:val="18"/>
                <w:szCs w:val="18"/>
              </w:rPr>
            </w:pPr>
          </w:p>
          <w:p w:rsidR="00C5055F" w:rsidRPr="007342C0" w:rsidRDefault="00B6569A" w:rsidP="00C5055F">
            <w:pPr>
              <w:rPr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Therms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1000 sqft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sqft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MBtuh</m:t>
                    </m:r>
                  </m:den>
                </m:f>
                <m:r>
                  <w:rPr>
                    <w:rFonts w:ascii="Cambria Math" w:eastAsiaTheme="majorEastAsia" w:hAnsi="Cambria Math" w:cstheme="majorBidi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Theme="majorEastAsia" w:hAnsi="Cambria Math" w:cstheme="majorBidi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Theme="majorEastAsia" w:hAnsi="Cambria Math" w:cstheme="majorBidi"/>
                        <w:sz w:val="20"/>
                        <w:szCs w:val="20"/>
                      </w:rPr>
                      <m:t>Therms</m:t>
                    </m:r>
                  </m:num>
                  <m:den>
                    <m:r>
                      <w:rPr>
                        <w:rFonts w:ascii="Cambria Math" w:eastAsiaTheme="majorEastAsia" w:hAnsi="Cambria Math" w:cstheme="majorBidi"/>
                        <w:sz w:val="20"/>
                        <w:szCs w:val="20"/>
                      </w:rPr>
                      <m:t>MBtuh</m:t>
                    </m:r>
                  </m:den>
                </m:f>
              </m:oMath>
            </m:oMathPara>
          </w:p>
          <w:p w:rsidR="00C5055F" w:rsidRDefault="00C5055F" w:rsidP="00C5055F">
            <w:pPr>
              <w:tabs>
                <w:tab w:val="right" w:pos="6732"/>
              </w:tabs>
              <w:rPr>
                <w:rFonts w:cstheme="minorHAnsi"/>
                <w:sz w:val="18"/>
                <w:szCs w:val="18"/>
              </w:rPr>
            </w:pPr>
          </w:p>
          <w:p w:rsidR="00C5055F" w:rsidRPr="00D769B3" w:rsidRDefault="00C5055F" w:rsidP="00C5055F">
            <w:pPr>
              <w:tabs>
                <w:tab w:val="right" w:pos="6732"/>
              </w:tabs>
              <w:rPr>
                <w:rFonts w:asciiTheme="majorHAnsi" w:hAnsiTheme="majorHAnsi" w:cstheme="minorHAnsi"/>
                <w:sz w:val="18"/>
                <w:szCs w:val="18"/>
              </w:rPr>
            </w:pPr>
            <w:r w:rsidRPr="00D769B3">
              <w:rPr>
                <w:rFonts w:asciiTheme="majorHAnsi" w:hAnsiTheme="majorHAnsi" w:cstheme="minorHAnsi"/>
                <w:sz w:val="18"/>
                <w:szCs w:val="18"/>
              </w:rPr>
              <w:t xml:space="preserve">Where: </w:t>
            </w:r>
          </w:p>
          <w:p w:rsidR="00C5055F" w:rsidRPr="00D769B3" w:rsidRDefault="00C5055F" w:rsidP="00C5055F">
            <w:pPr>
              <w:tabs>
                <w:tab w:val="right" w:pos="6732"/>
              </w:tabs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DD27F3" w:rsidRPr="00D769B3" w:rsidRDefault="00DD27F3" w:rsidP="00C5055F">
            <w:pPr>
              <w:rPr>
                <w:rFonts w:asciiTheme="majorHAnsi" w:hAnsiTheme="majorHAnsi" w:cstheme="minorHAnsi"/>
                <w:sz w:val="20"/>
                <w:szCs w:val="20"/>
              </w:rPr>
            </w:pPr>
            <w:r w:rsidRPr="00D769B3">
              <w:rPr>
                <w:rFonts w:asciiTheme="majorHAnsi" w:hAnsiTheme="majorHAnsi" w:cstheme="minorHAnsi"/>
                <w:sz w:val="20"/>
                <w:szCs w:val="20"/>
              </w:rPr>
              <w:t xml:space="preserve"> </w:t>
            </w:r>
            <w:r w:rsidR="00872B34" w:rsidRPr="00D769B3">
              <w:rPr>
                <w:rFonts w:asciiTheme="majorHAnsi" w:hAnsiTheme="majorHAnsi" w:cstheme="minorHAnsi"/>
                <w:sz w:val="20"/>
                <w:szCs w:val="20"/>
              </w:rPr>
              <w:t xml:space="preserve"> </w:t>
            </w:r>
            <w:r w:rsidR="00C5055F" w:rsidRPr="00D769B3">
              <w:rPr>
                <w:rFonts w:asciiTheme="majorHAnsi" w:hAnsiTheme="majorHAnsi" w:cstheme="minorHAnsi"/>
                <w:sz w:val="20"/>
                <w:szCs w:val="20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2"/>
                    </w:rPr>
                    <m:t>Therms</m:t>
                  </m:r>
                </m:num>
                <m:den>
                  <m:r>
                    <w:rPr>
                      <w:rFonts w:ascii="Cambria Math" w:hAnsi="Cambria Math"/>
                      <w:szCs w:val="22"/>
                    </w:rPr>
                    <m:t>1000 sqft</m:t>
                  </m:r>
                </m:den>
              </m:f>
            </m:oMath>
            <w:r w:rsidR="00C5055F" w:rsidRPr="00D769B3">
              <w:rPr>
                <w:rFonts w:asciiTheme="majorHAnsi" w:hAnsiTheme="majorHAnsi" w:cstheme="minorHAnsi"/>
                <w:sz w:val="20"/>
                <w:szCs w:val="20"/>
              </w:rPr>
              <w:t xml:space="preserve"> </w:t>
            </w:r>
            <w:r w:rsidR="009D4E70" w:rsidRPr="00D769B3">
              <w:rPr>
                <w:rFonts w:asciiTheme="majorHAnsi" w:hAnsiTheme="majorHAnsi" w:cstheme="minorHAnsi"/>
                <w:sz w:val="20"/>
                <w:szCs w:val="20"/>
              </w:rPr>
              <w:t>= is</w:t>
            </w:r>
            <w:r w:rsidRPr="00D769B3">
              <w:rPr>
                <w:rFonts w:asciiTheme="majorHAnsi" w:hAnsiTheme="majorHAnsi" w:cstheme="minorHAnsi"/>
                <w:sz w:val="20"/>
                <w:szCs w:val="20"/>
              </w:rPr>
              <w:t xml:space="preserve"> the DEER201</w:t>
            </w:r>
            <w:r w:rsidR="00B41038">
              <w:rPr>
                <w:rFonts w:asciiTheme="majorHAnsi" w:hAnsiTheme="majorHAnsi" w:cstheme="minorHAnsi"/>
                <w:sz w:val="20"/>
                <w:szCs w:val="20"/>
              </w:rPr>
              <w:t>4</w:t>
            </w:r>
            <w:r w:rsidRPr="00D769B3">
              <w:rPr>
                <w:rFonts w:asciiTheme="majorHAnsi" w:hAnsiTheme="majorHAnsi" w:cstheme="minorHAnsi"/>
                <w:sz w:val="20"/>
                <w:szCs w:val="20"/>
              </w:rPr>
              <w:t xml:space="preserve"> (Measure ID: Furnace-Pkg_AFUE95) savings data.</w:t>
            </w:r>
          </w:p>
          <w:p w:rsidR="00C5055F" w:rsidRPr="00D769B3" w:rsidRDefault="00C5055F" w:rsidP="00C5055F">
            <w:pPr>
              <w:rPr>
                <w:rFonts w:asciiTheme="majorHAnsi" w:hAnsiTheme="majorHAnsi" w:cstheme="minorHAnsi"/>
                <w:sz w:val="20"/>
                <w:szCs w:val="20"/>
              </w:rPr>
            </w:pPr>
          </w:p>
          <w:p w:rsidR="00D769B3" w:rsidRDefault="00C5055F" w:rsidP="0092203A">
            <w:pPr>
              <w:tabs>
                <w:tab w:val="left" w:pos="810"/>
              </w:tabs>
              <w:ind w:left="900" w:hanging="900"/>
              <w:rPr>
                <w:rFonts w:cstheme="minorHAnsi"/>
                <w:sz w:val="20"/>
                <w:szCs w:val="20"/>
              </w:rPr>
            </w:pPr>
            <w:r w:rsidRPr="00D769B3">
              <w:rPr>
                <w:rFonts w:asciiTheme="majorHAnsi" w:hAnsiTheme="majorHAnsi" w:cstheme="minorHAnsi"/>
                <w:sz w:val="20"/>
                <w:szCs w:val="20"/>
              </w:rPr>
              <w:t xml:space="preserve">   </w:t>
            </w:r>
            <m:oMath>
              <m:f>
                <m:fPr>
                  <m:ctrlPr>
                    <w:rPr>
                      <w:rFonts w:ascii="Cambria Math" w:eastAsiaTheme="majorEastAsia" w:hAnsi="Cambria Math" w:cstheme="minorHAnsi"/>
                      <w:i/>
                      <w:szCs w:val="22"/>
                    </w:rPr>
                  </m:ctrlPr>
                </m:fPr>
                <m:num>
                  <m:r>
                    <w:rPr>
                      <w:rFonts w:ascii="Cambria Math" w:eastAsiaTheme="majorEastAsia" w:hAnsi="Cambria Math" w:cstheme="minorHAnsi"/>
                      <w:szCs w:val="22"/>
                    </w:rPr>
                    <m:t>sqft</m:t>
                  </m:r>
                </m:num>
                <m:den>
                  <m:r>
                    <w:rPr>
                      <w:rFonts w:ascii="Cambria Math" w:eastAsiaTheme="majorEastAsia" w:hAnsi="Cambria Math" w:cstheme="minorHAnsi"/>
                      <w:szCs w:val="22"/>
                    </w:rPr>
                    <m:t>MBtuh</m:t>
                  </m:r>
                </m:den>
              </m:f>
              <m:r>
                <w:rPr>
                  <w:rFonts w:ascii="Cambria Math" w:eastAsiaTheme="majorEastAsia" w:hAnsi="Cambria Math" w:cstheme="minorHAnsi"/>
                  <w:sz w:val="20"/>
                  <w:szCs w:val="20"/>
                </w:rPr>
                <m:t xml:space="preserve"> </m:t>
              </m:r>
            </m:oMath>
            <w:r w:rsidR="009D4E70" w:rsidRPr="00D769B3">
              <w:rPr>
                <w:rFonts w:asciiTheme="majorHAnsi" w:hAnsiTheme="majorHAnsi" w:cstheme="minorHAnsi"/>
                <w:sz w:val="20"/>
                <w:szCs w:val="20"/>
              </w:rPr>
              <w:t>= is</w:t>
            </w:r>
            <w:r w:rsidR="00DD27F3" w:rsidRPr="00D769B3">
              <w:rPr>
                <w:rFonts w:asciiTheme="majorHAnsi" w:hAnsiTheme="majorHAnsi" w:cstheme="minorHAnsi"/>
                <w:sz w:val="20"/>
                <w:szCs w:val="20"/>
              </w:rPr>
              <w:t xml:space="preserve"> the </w:t>
            </w:r>
            <w:r w:rsidR="00192E26">
              <w:rPr>
                <w:rFonts w:asciiTheme="majorHAnsi" w:hAnsiTheme="majorHAnsi" w:cstheme="minorHAnsi"/>
                <w:sz w:val="20"/>
                <w:szCs w:val="20"/>
              </w:rPr>
              <w:t xml:space="preserve">heating </w:t>
            </w:r>
            <w:r w:rsidR="00DD27F3" w:rsidRPr="00D769B3">
              <w:rPr>
                <w:rFonts w:asciiTheme="majorHAnsi" w:hAnsiTheme="majorHAnsi" w:cstheme="minorHAnsi"/>
                <w:sz w:val="20"/>
                <w:szCs w:val="20"/>
              </w:rPr>
              <w:t>“connected load” data obtained from</w:t>
            </w:r>
            <w:r w:rsidR="00D769B3" w:rsidRPr="00D769B3">
              <w:rPr>
                <w:rFonts w:asciiTheme="majorHAnsi" w:hAnsiTheme="majorHAnsi" w:cstheme="minorHAnsi"/>
                <w:sz w:val="20"/>
                <w:szCs w:val="20"/>
              </w:rPr>
              <w:t xml:space="preserve"> the CEUS website, that is, the</w:t>
            </w:r>
            <w:r w:rsidR="00D769B3">
              <w:rPr>
                <w:rFonts w:cstheme="minorHAnsi"/>
                <w:sz w:val="20"/>
                <w:szCs w:val="20"/>
              </w:rPr>
              <w:t xml:space="preserve"> average </w:t>
            </w:r>
            <w:r w:rsidR="00DD27F3" w:rsidRPr="00C5055F">
              <w:rPr>
                <w:rFonts w:cstheme="minorHAnsi"/>
                <w:sz w:val="20"/>
                <w:szCs w:val="20"/>
              </w:rPr>
              <w:t xml:space="preserve">furnace </w:t>
            </w:r>
            <w:r w:rsidR="00D769B3">
              <w:rPr>
                <w:rFonts w:cstheme="minorHAnsi"/>
                <w:sz w:val="20"/>
                <w:szCs w:val="20"/>
              </w:rPr>
              <w:t xml:space="preserve">output </w:t>
            </w:r>
            <w:r w:rsidR="00192E26">
              <w:rPr>
                <w:rFonts w:cstheme="minorHAnsi"/>
                <w:sz w:val="20"/>
                <w:szCs w:val="20"/>
              </w:rPr>
              <w:t>capacity installed per conditioned</w:t>
            </w:r>
            <w:r w:rsidR="00DD27F3" w:rsidRPr="00C5055F">
              <w:rPr>
                <w:rFonts w:cstheme="minorHAnsi"/>
                <w:sz w:val="20"/>
                <w:szCs w:val="20"/>
              </w:rPr>
              <w:t xml:space="preserve"> area. The CEUS website provides this data for differ</w:t>
            </w:r>
            <w:r w:rsidR="00B73693" w:rsidRPr="00C5055F">
              <w:rPr>
                <w:rFonts w:cstheme="minorHAnsi"/>
                <w:sz w:val="20"/>
                <w:szCs w:val="20"/>
              </w:rPr>
              <w:t xml:space="preserve">ent forecast climate zones and </w:t>
            </w:r>
            <w:r w:rsidR="00DD27F3" w:rsidRPr="00C5055F">
              <w:rPr>
                <w:rFonts w:cstheme="minorHAnsi"/>
                <w:sz w:val="20"/>
                <w:szCs w:val="20"/>
              </w:rPr>
              <w:t>building</w:t>
            </w:r>
            <w:r w:rsidR="0092203A" w:rsidRPr="00C5055F">
              <w:rPr>
                <w:rFonts w:cstheme="minorHAnsi"/>
                <w:sz w:val="20"/>
                <w:szCs w:val="20"/>
              </w:rPr>
              <w:t xml:space="preserve"> types</w:t>
            </w:r>
            <w:r w:rsidR="00D769B3">
              <w:rPr>
                <w:rFonts w:cstheme="minorHAnsi"/>
                <w:sz w:val="20"/>
                <w:szCs w:val="20"/>
              </w:rPr>
              <w:t>.</w:t>
            </w:r>
          </w:p>
          <w:p w:rsidR="00DD27F3" w:rsidRPr="0092203A" w:rsidRDefault="0092203A" w:rsidP="0092203A">
            <w:pPr>
              <w:tabs>
                <w:tab w:val="left" w:pos="810"/>
              </w:tabs>
              <w:ind w:left="900" w:hanging="900"/>
              <w:rPr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ab/>
              <w:t xml:space="preserve"> </w:t>
            </w:r>
            <w:r w:rsidR="00DD27F3" w:rsidRPr="00DD27F3">
              <w:rPr>
                <w:rFonts w:cstheme="minorHAnsi"/>
                <w:sz w:val="20"/>
                <w:szCs w:val="20"/>
              </w:rPr>
              <w:t xml:space="preserve">          </w:t>
            </w:r>
            <w:r w:rsidR="00DD27F3" w:rsidRPr="00DD27F3">
              <w:rPr>
                <w:rFonts w:cstheme="minorHAnsi"/>
                <w:sz w:val="20"/>
                <w:szCs w:val="20"/>
              </w:rPr>
              <w:tab/>
            </w:r>
          </w:p>
          <w:p w:rsidR="00872B34" w:rsidRDefault="00D769B3" w:rsidP="00872B34">
            <w:pPr>
              <w:tabs>
                <w:tab w:val="right" w:pos="6732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For</w:t>
            </w:r>
            <w:r w:rsidR="00B41038">
              <w:rPr>
                <w:rFonts w:cstheme="minorHAnsi"/>
                <w:sz w:val="20"/>
                <w:szCs w:val="20"/>
              </w:rPr>
              <w:t xml:space="preserve"> example, the annual gas </w:t>
            </w:r>
            <w:r w:rsidR="00DD27F3" w:rsidRPr="00DD27F3">
              <w:rPr>
                <w:rFonts w:cstheme="minorHAnsi"/>
                <w:sz w:val="20"/>
                <w:szCs w:val="20"/>
              </w:rPr>
              <w:t xml:space="preserve">savings for a small office (OFS) DEER building type </w:t>
            </w:r>
            <w:r w:rsidR="00EA469F">
              <w:rPr>
                <w:rFonts w:cstheme="minorHAnsi"/>
                <w:sz w:val="20"/>
                <w:szCs w:val="20"/>
              </w:rPr>
              <w:t>in climate zone 06</w:t>
            </w:r>
            <w:r w:rsidR="0021275E">
              <w:rPr>
                <w:rFonts w:cstheme="minorHAnsi"/>
                <w:sz w:val="20"/>
                <w:szCs w:val="20"/>
              </w:rPr>
              <w:t xml:space="preserve"> </w:t>
            </w:r>
            <w:r w:rsidR="00DD27F3" w:rsidRPr="00DD27F3">
              <w:rPr>
                <w:rFonts w:cstheme="minorHAnsi"/>
                <w:sz w:val="20"/>
                <w:szCs w:val="20"/>
              </w:rPr>
              <w:t>can be calculated as follows:</w:t>
            </w:r>
          </w:p>
          <w:p w:rsidR="00187B78" w:rsidRDefault="00187B78" w:rsidP="00872B34">
            <w:pPr>
              <w:tabs>
                <w:tab w:val="right" w:pos="6732"/>
              </w:tabs>
              <w:rPr>
                <w:rFonts w:cstheme="minorHAnsi"/>
                <w:sz w:val="20"/>
                <w:szCs w:val="20"/>
              </w:rPr>
            </w:pPr>
          </w:p>
          <w:p w:rsidR="00187B78" w:rsidRPr="007342C0" w:rsidRDefault="00B6569A" w:rsidP="00187B78">
            <w:pPr>
              <w:rPr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0.225 Therms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1000 sqft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44.7 sqft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MBtuh</m:t>
                    </m:r>
                  </m:den>
                </m:f>
                <m:r>
                  <w:rPr>
                    <w:rFonts w:ascii="Cambria Math" w:eastAsiaTheme="majorEastAsia" w:hAnsi="Cambria Math" w:cstheme="majorBidi"/>
                    <w:sz w:val="20"/>
                    <w:szCs w:val="20"/>
                  </w:rPr>
                  <m:t xml:space="preserve">=0.01 </m:t>
                </m:r>
                <m:f>
                  <m:fPr>
                    <m:ctrlPr>
                      <w:rPr>
                        <w:rFonts w:ascii="Cambria Math" w:eastAsiaTheme="majorEastAsia" w:hAnsi="Cambria Math" w:cstheme="majorBidi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Theme="majorEastAsia" w:hAnsi="Cambria Math" w:cstheme="majorBidi"/>
                        <w:sz w:val="20"/>
                        <w:szCs w:val="20"/>
                      </w:rPr>
                      <m:t>Therms</m:t>
                    </m:r>
                  </m:num>
                  <m:den>
                    <m:r>
                      <w:rPr>
                        <w:rFonts w:ascii="Cambria Math" w:eastAsiaTheme="majorEastAsia" w:hAnsi="Cambria Math" w:cstheme="majorBidi"/>
                        <w:sz w:val="20"/>
                        <w:szCs w:val="20"/>
                      </w:rPr>
                      <m:t>MBtuh</m:t>
                    </m:r>
                  </m:den>
                </m:f>
              </m:oMath>
            </m:oMathPara>
          </w:p>
          <w:p w:rsidR="00187B78" w:rsidRPr="00DD27F3" w:rsidRDefault="00187B78" w:rsidP="00872B34">
            <w:pPr>
              <w:tabs>
                <w:tab w:val="right" w:pos="6732"/>
              </w:tabs>
              <w:rPr>
                <w:rFonts w:cstheme="minorHAnsi"/>
                <w:sz w:val="20"/>
                <w:szCs w:val="20"/>
              </w:rPr>
            </w:pPr>
          </w:p>
          <w:p w:rsidR="002B4ED0" w:rsidRDefault="002B4ED0" w:rsidP="00D769B3">
            <w:pPr>
              <w:tabs>
                <w:tab w:val="right" w:pos="6732"/>
              </w:tabs>
              <w:rPr>
                <w:rFonts w:cstheme="minorHAnsi"/>
                <w:sz w:val="20"/>
                <w:szCs w:val="20"/>
              </w:rPr>
            </w:pPr>
          </w:p>
          <w:p w:rsidR="00872B34" w:rsidRDefault="008748B9" w:rsidP="00D769B3">
            <w:pPr>
              <w:tabs>
                <w:tab w:val="right" w:pos="6732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While, the gas savings for </w:t>
            </w:r>
            <w:r w:rsidR="00EA469F">
              <w:rPr>
                <w:rFonts w:cstheme="minorHAnsi"/>
                <w:sz w:val="20"/>
                <w:szCs w:val="20"/>
              </w:rPr>
              <w:t>a Nursing Home (Nrs) in zone 06</w:t>
            </w:r>
            <w:r w:rsidR="0021275E">
              <w:rPr>
                <w:rFonts w:cstheme="minorHAnsi"/>
                <w:sz w:val="20"/>
                <w:szCs w:val="20"/>
              </w:rPr>
              <w:t xml:space="preserve"> </w:t>
            </w:r>
            <w:r w:rsidR="00AA00B3">
              <w:rPr>
                <w:rFonts w:cstheme="minorHAnsi"/>
                <w:sz w:val="20"/>
                <w:szCs w:val="20"/>
              </w:rPr>
              <w:t>will be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:rsidR="008748B9" w:rsidRDefault="008748B9" w:rsidP="00D769B3">
            <w:pPr>
              <w:tabs>
                <w:tab w:val="right" w:pos="6732"/>
              </w:tabs>
              <w:rPr>
                <w:rFonts w:cstheme="minorHAnsi"/>
                <w:sz w:val="20"/>
                <w:szCs w:val="20"/>
              </w:rPr>
            </w:pPr>
          </w:p>
          <w:p w:rsidR="008748B9" w:rsidRPr="007342C0" w:rsidRDefault="00B6569A" w:rsidP="008748B9">
            <w:pPr>
              <w:rPr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11.3 Therms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1000 sqft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26.57 sqft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MBtuh</m:t>
                    </m:r>
                  </m:den>
                </m:f>
                <m:r>
                  <w:rPr>
                    <w:rFonts w:ascii="Cambria Math" w:eastAsiaTheme="majorEastAsia" w:hAnsi="Cambria Math" w:cstheme="majorBidi"/>
                    <w:sz w:val="20"/>
                    <w:szCs w:val="20"/>
                  </w:rPr>
                  <m:t xml:space="preserve">=0.30 </m:t>
                </m:r>
                <m:f>
                  <m:fPr>
                    <m:ctrlPr>
                      <w:rPr>
                        <w:rFonts w:ascii="Cambria Math" w:eastAsiaTheme="majorEastAsia" w:hAnsi="Cambria Math" w:cstheme="majorBidi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Theme="majorEastAsia" w:hAnsi="Cambria Math" w:cstheme="majorBidi"/>
                        <w:sz w:val="20"/>
                        <w:szCs w:val="20"/>
                      </w:rPr>
                      <m:t>Therms</m:t>
                    </m:r>
                  </m:num>
                  <m:den>
                    <m:r>
                      <w:rPr>
                        <w:rFonts w:ascii="Cambria Math" w:eastAsiaTheme="majorEastAsia" w:hAnsi="Cambria Math" w:cstheme="majorBidi"/>
                        <w:sz w:val="20"/>
                        <w:szCs w:val="20"/>
                      </w:rPr>
                      <m:t>MBtuh</m:t>
                    </m:r>
                  </m:den>
                </m:f>
              </m:oMath>
            </m:oMathPara>
          </w:p>
          <w:p w:rsidR="008748B9" w:rsidRDefault="008748B9" w:rsidP="00D769B3">
            <w:pPr>
              <w:tabs>
                <w:tab w:val="right" w:pos="6732"/>
              </w:tabs>
              <w:rPr>
                <w:rFonts w:cstheme="minorHAnsi"/>
                <w:sz w:val="20"/>
                <w:szCs w:val="20"/>
              </w:rPr>
            </w:pPr>
          </w:p>
          <w:p w:rsidR="004B0A68" w:rsidRDefault="004B0A68" w:rsidP="00D769B3">
            <w:pPr>
              <w:tabs>
                <w:tab w:val="right" w:pos="6732"/>
              </w:tabs>
              <w:rPr>
                <w:rFonts w:cstheme="minorHAnsi"/>
                <w:sz w:val="20"/>
                <w:szCs w:val="20"/>
              </w:rPr>
            </w:pPr>
          </w:p>
          <w:p w:rsidR="00DB4835" w:rsidRDefault="00DB4835" w:rsidP="00D769B3">
            <w:pPr>
              <w:tabs>
                <w:tab w:val="right" w:pos="6732"/>
              </w:tabs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And </w:t>
            </w:r>
            <w:r w:rsidR="008B6706">
              <w:rPr>
                <w:rFonts w:cstheme="minorHAnsi"/>
                <w:sz w:val="20"/>
                <w:szCs w:val="20"/>
              </w:rPr>
              <w:t xml:space="preserve">the </w:t>
            </w:r>
            <w:r>
              <w:rPr>
                <w:rFonts w:cstheme="minorHAnsi"/>
                <w:sz w:val="20"/>
                <w:szCs w:val="20"/>
              </w:rPr>
              <w:t>gas savings for an Assembly hall (Asm)</w:t>
            </w:r>
            <w:r w:rsidR="008B6706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in zone</w:t>
            </w:r>
            <w:r w:rsidR="008B6706">
              <w:rPr>
                <w:rFonts w:cstheme="minorHAnsi"/>
                <w:sz w:val="20"/>
                <w:szCs w:val="20"/>
              </w:rPr>
              <w:t xml:space="preserve"> 06</w:t>
            </w:r>
            <w:r w:rsidR="004B0A68">
              <w:rPr>
                <w:rFonts w:cstheme="minorHAnsi"/>
                <w:sz w:val="20"/>
                <w:szCs w:val="20"/>
              </w:rPr>
              <w:t>,</w:t>
            </w:r>
            <w:r w:rsidR="008B6706">
              <w:rPr>
                <w:rFonts w:cstheme="minorHAnsi"/>
                <w:sz w:val="20"/>
                <w:szCs w:val="20"/>
              </w:rPr>
              <w:t xml:space="preserve"> will be:</w:t>
            </w:r>
          </w:p>
          <w:p w:rsidR="008B6706" w:rsidRDefault="008B6706" w:rsidP="00D769B3">
            <w:pPr>
              <w:tabs>
                <w:tab w:val="right" w:pos="6732"/>
              </w:tabs>
              <w:rPr>
                <w:rFonts w:cstheme="minorHAnsi"/>
                <w:sz w:val="20"/>
                <w:szCs w:val="20"/>
              </w:rPr>
            </w:pPr>
          </w:p>
          <w:p w:rsidR="008B6706" w:rsidRPr="007342C0" w:rsidRDefault="00B6569A" w:rsidP="008B6706">
            <w:pPr>
              <w:rPr>
                <w:sz w:val="20"/>
                <w:szCs w:val="20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27.6 Therms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1000 sqft</m:t>
                    </m:r>
                  </m:den>
                </m:f>
                <m:r>
                  <w:rPr>
                    <w:rFonts w:ascii="Cambria Math" w:hAnsi="Cambria Math"/>
                    <w:sz w:val="20"/>
                    <w:szCs w:val="20"/>
                  </w:rPr>
                  <m:t>×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47.98 sqft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MBtuh</m:t>
                    </m:r>
                  </m:den>
                </m:f>
                <m:r>
                  <w:rPr>
                    <w:rFonts w:ascii="Cambria Math" w:eastAsiaTheme="majorEastAsia" w:hAnsi="Cambria Math" w:cstheme="majorBidi"/>
                    <w:sz w:val="20"/>
                    <w:szCs w:val="20"/>
                  </w:rPr>
                  <m:t xml:space="preserve">=1.32 </m:t>
                </m:r>
                <m:f>
                  <m:fPr>
                    <m:ctrlPr>
                      <w:rPr>
                        <w:rFonts w:ascii="Cambria Math" w:eastAsiaTheme="majorEastAsia" w:hAnsi="Cambria Math" w:cstheme="majorBidi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eastAsiaTheme="majorEastAsia" w:hAnsi="Cambria Math" w:cstheme="majorBidi"/>
                        <w:sz w:val="20"/>
                        <w:szCs w:val="20"/>
                      </w:rPr>
                      <m:t>Therms</m:t>
                    </m:r>
                  </m:num>
                  <m:den>
                    <m:r>
                      <w:rPr>
                        <w:rFonts w:ascii="Cambria Math" w:eastAsiaTheme="majorEastAsia" w:hAnsi="Cambria Math" w:cstheme="majorBidi"/>
                        <w:sz w:val="20"/>
                        <w:szCs w:val="20"/>
                      </w:rPr>
                      <m:t>MBtuh</m:t>
                    </m:r>
                  </m:den>
                </m:f>
              </m:oMath>
            </m:oMathPara>
          </w:p>
          <w:p w:rsidR="008B6706" w:rsidRPr="00A92029" w:rsidRDefault="008B6706" w:rsidP="00D769B3">
            <w:pPr>
              <w:tabs>
                <w:tab w:val="right" w:pos="6732"/>
              </w:tabs>
              <w:rPr>
                <w:rFonts w:cstheme="minorHAnsi"/>
                <w:sz w:val="20"/>
                <w:szCs w:val="20"/>
              </w:rPr>
            </w:pPr>
          </w:p>
        </w:tc>
      </w:tr>
      <w:tr w:rsidR="00C14C7F" w:rsidRPr="00A92029" w:rsidTr="000A46F6">
        <w:trPr>
          <w:cantSplit/>
        </w:trPr>
        <w:tc>
          <w:tcPr>
            <w:tcW w:w="2110" w:type="dxa"/>
            <w:vAlign w:val="center"/>
          </w:tcPr>
          <w:p w:rsidR="00C14C7F" w:rsidRPr="002B4ED0" w:rsidRDefault="00C14C7F" w:rsidP="007342C0">
            <w:pPr>
              <w:rPr>
                <w:rFonts w:cstheme="minorHAnsi"/>
                <w:b/>
                <w:sz w:val="24"/>
              </w:rPr>
            </w:pPr>
            <w:r w:rsidRPr="002B4ED0">
              <w:rPr>
                <w:rFonts w:cstheme="minorHAnsi"/>
                <w:b/>
                <w:sz w:val="24"/>
              </w:rPr>
              <w:lastRenderedPageBreak/>
              <w:t>Section 3. Load Shapes</w:t>
            </w:r>
          </w:p>
        </w:tc>
        <w:tc>
          <w:tcPr>
            <w:tcW w:w="7425" w:type="dxa"/>
          </w:tcPr>
          <w:p w:rsidR="00C14C7F" w:rsidRDefault="00C14C7F" w:rsidP="007342C0">
            <w:pPr>
              <w:tabs>
                <w:tab w:val="right" w:pos="6732"/>
              </w:tabs>
              <w:rPr>
                <w:rFonts w:cstheme="minorHAnsi"/>
                <w:sz w:val="20"/>
                <w:szCs w:val="20"/>
              </w:rPr>
            </w:pPr>
          </w:p>
          <w:p w:rsidR="008B6706" w:rsidRPr="00A92029" w:rsidRDefault="008B6706" w:rsidP="007342C0">
            <w:pPr>
              <w:tabs>
                <w:tab w:val="right" w:pos="6732"/>
              </w:tabs>
              <w:rPr>
                <w:rFonts w:cstheme="minorHAnsi"/>
                <w:sz w:val="20"/>
                <w:szCs w:val="20"/>
              </w:rPr>
            </w:pPr>
          </w:p>
        </w:tc>
      </w:tr>
      <w:tr w:rsidR="00AE0F9B" w:rsidRPr="00A92029" w:rsidTr="000A46F6">
        <w:trPr>
          <w:trHeight w:val="440"/>
        </w:trPr>
        <w:tc>
          <w:tcPr>
            <w:tcW w:w="2110" w:type="dxa"/>
          </w:tcPr>
          <w:p w:rsidR="00AE0F9B" w:rsidRPr="002B4ED0" w:rsidRDefault="00AE0F9B" w:rsidP="007342C0">
            <w:pPr>
              <w:rPr>
                <w:rFonts w:cstheme="minorHAnsi"/>
                <w:b/>
                <w:sz w:val="24"/>
              </w:rPr>
            </w:pPr>
            <w:r w:rsidRPr="002B4ED0">
              <w:rPr>
                <w:rFonts w:cstheme="minorHAnsi"/>
                <w:b/>
                <w:sz w:val="24"/>
              </w:rPr>
              <w:t>Section 4. Costs</w:t>
            </w:r>
          </w:p>
        </w:tc>
        <w:tc>
          <w:tcPr>
            <w:tcW w:w="7425" w:type="dxa"/>
          </w:tcPr>
          <w:p w:rsidR="00AE0F9B" w:rsidRPr="00A92029" w:rsidRDefault="00AE0F9B" w:rsidP="007342C0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AE0F9B" w:rsidRPr="00A92029" w:rsidTr="000A46F6">
        <w:tc>
          <w:tcPr>
            <w:tcW w:w="2110" w:type="dxa"/>
          </w:tcPr>
          <w:p w:rsidR="00AE0F9B" w:rsidRPr="00153C64" w:rsidRDefault="00AE0F9B" w:rsidP="00AE0F9B">
            <w:r w:rsidRPr="00153C64">
              <w:t>Section 4.1 Modeled Costs</w:t>
            </w:r>
          </w:p>
        </w:tc>
        <w:tc>
          <w:tcPr>
            <w:tcW w:w="7425" w:type="dxa"/>
          </w:tcPr>
          <w:p w:rsidR="00B32DE7" w:rsidRDefault="00B32DE7" w:rsidP="00AE0F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cost estimate for </w:t>
            </w:r>
            <w:r w:rsidRPr="00B32DE7">
              <w:rPr>
                <w:sz w:val="20"/>
                <w:szCs w:val="20"/>
              </w:rPr>
              <w:t>central natural gas furnace (weatherized) is not in DEER</w:t>
            </w:r>
            <w:r>
              <w:rPr>
                <w:sz w:val="20"/>
                <w:szCs w:val="20"/>
              </w:rPr>
              <w:t>.</w:t>
            </w:r>
            <w:r w:rsidRPr="00B32DE7">
              <w:rPr>
                <w:sz w:val="20"/>
                <w:szCs w:val="20"/>
              </w:rPr>
              <w:t xml:space="preserve"> </w:t>
            </w:r>
            <w:r w:rsidR="004C02D2">
              <w:rPr>
                <w:sz w:val="20"/>
                <w:szCs w:val="20"/>
              </w:rPr>
              <w:t>T</w:t>
            </w:r>
            <w:r w:rsidR="00AA46FE" w:rsidRPr="00AA46FE">
              <w:rPr>
                <w:sz w:val="20"/>
                <w:szCs w:val="20"/>
              </w:rPr>
              <w:t>he</w:t>
            </w:r>
            <w:r>
              <w:rPr>
                <w:sz w:val="20"/>
                <w:szCs w:val="20"/>
              </w:rPr>
              <w:t>refore, the</w:t>
            </w:r>
            <w:r w:rsidR="00AA46FE" w:rsidRPr="00AA46FE">
              <w:rPr>
                <w:sz w:val="20"/>
                <w:szCs w:val="20"/>
              </w:rPr>
              <w:t xml:space="preserve"> </w:t>
            </w:r>
            <w:r w:rsidR="004C02D2">
              <w:rPr>
                <w:sz w:val="20"/>
                <w:szCs w:val="20"/>
              </w:rPr>
              <w:t xml:space="preserve">estimated </w:t>
            </w:r>
            <w:r w:rsidR="00AA46FE" w:rsidRPr="00AA46FE">
              <w:rPr>
                <w:sz w:val="20"/>
                <w:szCs w:val="20"/>
              </w:rPr>
              <w:t xml:space="preserve">cost of </w:t>
            </w:r>
            <w:r w:rsidR="004C02D2">
              <w:rPr>
                <w:sz w:val="20"/>
                <w:szCs w:val="20"/>
              </w:rPr>
              <w:t xml:space="preserve">a </w:t>
            </w:r>
            <w:r w:rsidR="00AA46FE" w:rsidRPr="00AA46FE">
              <w:rPr>
                <w:sz w:val="20"/>
                <w:szCs w:val="20"/>
              </w:rPr>
              <w:t xml:space="preserve">non-residential </w:t>
            </w:r>
            <w:r w:rsidR="004C02D2">
              <w:rPr>
                <w:sz w:val="20"/>
                <w:szCs w:val="20"/>
              </w:rPr>
              <w:t xml:space="preserve">furnaces </w:t>
            </w:r>
            <w:r w:rsidR="009D4E70">
              <w:rPr>
                <w:sz w:val="20"/>
                <w:szCs w:val="20"/>
              </w:rPr>
              <w:t>was</w:t>
            </w:r>
            <w:r w:rsidR="004C02D2">
              <w:rPr>
                <w:sz w:val="20"/>
                <w:szCs w:val="20"/>
              </w:rPr>
              <w:t xml:space="preserve"> based on vendor’s data </w:t>
            </w:r>
            <w:r>
              <w:rPr>
                <w:sz w:val="20"/>
                <w:szCs w:val="20"/>
              </w:rPr>
              <w:t xml:space="preserve">and the 2016 RSMeans Mechanical Cost Data (equipment and labor) </w:t>
            </w:r>
            <w:r w:rsidR="004C02D2">
              <w:rPr>
                <w:sz w:val="20"/>
                <w:szCs w:val="20"/>
              </w:rPr>
              <w:t xml:space="preserve">for different </w:t>
            </w:r>
            <w:r w:rsidR="00AA46FE" w:rsidRPr="00AA46FE">
              <w:rPr>
                <w:sz w:val="20"/>
                <w:szCs w:val="20"/>
              </w:rPr>
              <w:t>size</w:t>
            </w:r>
            <w:r w:rsidR="004C02D2">
              <w:rPr>
                <w:sz w:val="20"/>
                <w:szCs w:val="20"/>
              </w:rPr>
              <w:t>s</w:t>
            </w:r>
            <w:r w:rsidR="00AA46FE" w:rsidRPr="00AA46FE">
              <w:rPr>
                <w:sz w:val="20"/>
                <w:szCs w:val="20"/>
              </w:rPr>
              <w:t xml:space="preserve"> and type of equipment</w:t>
            </w:r>
            <w:r w:rsidR="004C02D2">
              <w:rPr>
                <w:sz w:val="20"/>
                <w:szCs w:val="20"/>
              </w:rPr>
              <w:t xml:space="preserve"> (standard efficiency and condensing)</w:t>
            </w:r>
            <w:r w:rsidR="003D0AD7" w:rsidRPr="003D0AD7">
              <w:rPr>
                <w:sz w:val="20"/>
                <w:szCs w:val="20"/>
              </w:rPr>
              <w:t>, (</w:t>
            </w:r>
            <w:r w:rsidR="003D0AD7" w:rsidRPr="003D0AD7">
              <w:rPr>
                <w:i/>
                <w:sz w:val="20"/>
                <w:szCs w:val="20"/>
              </w:rPr>
              <w:t>Attachment-B</w:t>
            </w:r>
            <w:r w:rsidR="003D0AD7" w:rsidRPr="003D0AD7">
              <w:rPr>
                <w:sz w:val="20"/>
                <w:szCs w:val="20"/>
              </w:rPr>
              <w:t>).</w:t>
            </w:r>
            <w:r w:rsidR="00AA46FE" w:rsidRPr="00AA46FE">
              <w:rPr>
                <w:sz w:val="20"/>
                <w:szCs w:val="20"/>
              </w:rPr>
              <w:t xml:space="preserve"> </w:t>
            </w:r>
          </w:p>
          <w:p w:rsidR="00574402" w:rsidRDefault="00574402" w:rsidP="00AE0F9B">
            <w:pPr>
              <w:rPr>
                <w:sz w:val="20"/>
                <w:szCs w:val="20"/>
              </w:rPr>
            </w:pPr>
          </w:p>
          <w:p w:rsidR="00B32DE7" w:rsidRDefault="00AA46FE" w:rsidP="00AE0F9B">
            <w:pPr>
              <w:rPr>
                <w:sz w:val="20"/>
                <w:szCs w:val="20"/>
              </w:rPr>
            </w:pPr>
            <w:r w:rsidRPr="00AA46FE">
              <w:rPr>
                <w:sz w:val="20"/>
                <w:szCs w:val="20"/>
              </w:rPr>
              <w:t xml:space="preserve">The </w:t>
            </w:r>
            <w:r w:rsidR="00B32DE7">
              <w:rPr>
                <w:sz w:val="20"/>
                <w:szCs w:val="20"/>
              </w:rPr>
              <w:t>base case estimate for</w:t>
            </w:r>
            <w:r w:rsidRPr="00AA46FE">
              <w:rPr>
                <w:sz w:val="20"/>
                <w:szCs w:val="20"/>
              </w:rPr>
              <w:t xml:space="preserve"> </w:t>
            </w:r>
            <w:r w:rsidR="00B8373A">
              <w:rPr>
                <w:sz w:val="20"/>
                <w:szCs w:val="20"/>
              </w:rPr>
              <w:t>Rooftop units, sizes from 4 to 12.</w:t>
            </w:r>
            <w:r w:rsidR="008B263F">
              <w:rPr>
                <w:sz w:val="20"/>
                <w:szCs w:val="20"/>
              </w:rPr>
              <w:t>5 ton</w:t>
            </w:r>
            <w:r w:rsidR="00B8373A">
              <w:rPr>
                <w:sz w:val="20"/>
                <w:szCs w:val="20"/>
              </w:rPr>
              <w:t>s</w:t>
            </w:r>
            <w:r w:rsidR="008B263F">
              <w:rPr>
                <w:sz w:val="20"/>
                <w:szCs w:val="20"/>
              </w:rPr>
              <w:t xml:space="preserve"> cooling </w:t>
            </w:r>
            <w:r w:rsidR="008B263F" w:rsidRPr="008B263F">
              <w:rPr>
                <w:sz w:val="20"/>
                <w:szCs w:val="20"/>
              </w:rPr>
              <w:t xml:space="preserve">(14 SEER) </w:t>
            </w:r>
            <w:r w:rsidR="008B263F">
              <w:rPr>
                <w:sz w:val="20"/>
                <w:szCs w:val="20"/>
              </w:rPr>
              <w:t>and 9</w:t>
            </w:r>
            <w:r w:rsidR="00B8373A">
              <w:rPr>
                <w:sz w:val="20"/>
                <w:szCs w:val="20"/>
              </w:rPr>
              <w:t>5</w:t>
            </w:r>
            <w:r w:rsidR="008B263F">
              <w:rPr>
                <w:sz w:val="20"/>
                <w:szCs w:val="20"/>
              </w:rPr>
              <w:t xml:space="preserve">,000 </w:t>
            </w:r>
            <w:r w:rsidR="00B8373A">
              <w:rPr>
                <w:sz w:val="20"/>
                <w:szCs w:val="20"/>
              </w:rPr>
              <w:t xml:space="preserve">to 200,000 </w:t>
            </w:r>
            <w:r w:rsidR="008B263F">
              <w:rPr>
                <w:sz w:val="20"/>
                <w:szCs w:val="20"/>
              </w:rPr>
              <w:t xml:space="preserve">Btuh </w:t>
            </w:r>
            <w:r w:rsidR="00B8373A">
              <w:rPr>
                <w:sz w:val="20"/>
                <w:szCs w:val="20"/>
              </w:rPr>
              <w:t xml:space="preserve">heating </w:t>
            </w:r>
            <w:r w:rsidR="008B263F">
              <w:rPr>
                <w:sz w:val="20"/>
                <w:szCs w:val="20"/>
              </w:rPr>
              <w:t>input capacity</w:t>
            </w:r>
            <w:r w:rsidR="00B8373A" w:rsidRPr="00B8373A">
              <w:rPr>
                <w:sz w:val="20"/>
                <w:szCs w:val="20"/>
              </w:rPr>
              <w:t xml:space="preserve"> </w:t>
            </w:r>
            <w:r w:rsidR="00B8373A">
              <w:rPr>
                <w:sz w:val="20"/>
                <w:szCs w:val="20"/>
              </w:rPr>
              <w:t>(</w:t>
            </w:r>
            <w:r w:rsidR="00B8373A" w:rsidRPr="00B8373A">
              <w:rPr>
                <w:sz w:val="20"/>
                <w:szCs w:val="20"/>
              </w:rPr>
              <w:t>81% AFUE</w:t>
            </w:r>
            <w:r w:rsidR="00B8373A">
              <w:rPr>
                <w:sz w:val="20"/>
                <w:szCs w:val="20"/>
              </w:rPr>
              <w:t>) were calculated as $53.35 per MBtuh</w:t>
            </w:r>
            <w:r w:rsidR="003D0AD7">
              <w:rPr>
                <w:sz w:val="20"/>
                <w:szCs w:val="20"/>
              </w:rPr>
              <w:t>.</w:t>
            </w:r>
          </w:p>
          <w:p w:rsidR="00B8373A" w:rsidRDefault="00B8373A" w:rsidP="00AE0F9B">
            <w:pPr>
              <w:rPr>
                <w:sz w:val="20"/>
                <w:szCs w:val="20"/>
              </w:rPr>
            </w:pPr>
          </w:p>
          <w:p w:rsidR="00B8373A" w:rsidRPr="004E48D6" w:rsidRDefault="00B8373A" w:rsidP="00AE0F9B">
            <w:pPr>
              <w:rPr>
                <w:i/>
                <w:sz w:val="20"/>
                <w:szCs w:val="20"/>
              </w:rPr>
            </w:pPr>
            <w:r w:rsidRPr="004E48D6">
              <w:rPr>
                <w:i/>
                <w:sz w:val="20"/>
                <w:szCs w:val="20"/>
              </w:rPr>
              <w:t xml:space="preserve">For example, 5 ton gas htg/ elec clg RTU </w:t>
            </w:r>
            <w:r w:rsidR="003D0AD7" w:rsidRPr="004E48D6">
              <w:rPr>
                <w:i/>
                <w:sz w:val="20"/>
                <w:szCs w:val="20"/>
              </w:rPr>
              <w:t xml:space="preserve">in RSMeans Mech Book, </w:t>
            </w:r>
            <w:r w:rsidRPr="004E48D6">
              <w:rPr>
                <w:i/>
                <w:sz w:val="20"/>
                <w:szCs w:val="20"/>
              </w:rPr>
              <w:t>are as follows:</w:t>
            </w:r>
          </w:p>
          <w:p w:rsidR="00574402" w:rsidRPr="004E48D6" w:rsidRDefault="003D0AD7" w:rsidP="00AE0F9B">
            <w:pPr>
              <w:rPr>
                <w:i/>
                <w:sz w:val="20"/>
                <w:szCs w:val="20"/>
              </w:rPr>
            </w:pPr>
            <w:r w:rsidRPr="004E48D6">
              <w:rPr>
                <w:i/>
                <w:sz w:val="20"/>
                <w:szCs w:val="20"/>
              </w:rPr>
              <w:t>E</w:t>
            </w:r>
            <w:r w:rsidR="00B8373A" w:rsidRPr="004E48D6">
              <w:rPr>
                <w:i/>
                <w:sz w:val="20"/>
                <w:szCs w:val="20"/>
              </w:rPr>
              <w:t>quipment cost</w:t>
            </w:r>
            <w:r w:rsidR="00AA46FE" w:rsidRPr="004E48D6">
              <w:rPr>
                <w:i/>
                <w:sz w:val="20"/>
                <w:szCs w:val="20"/>
              </w:rPr>
              <w:t xml:space="preserve"> </w:t>
            </w:r>
            <w:r w:rsidR="00574402" w:rsidRPr="004E48D6">
              <w:rPr>
                <w:i/>
                <w:sz w:val="20"/>
                <w:szCs w:val="20"/>
              </w:rPr>
              <w:t>= $5,</w:t>
            </w:r>
            <w:r w:rsidRPr="004E48D6">
              <w:rPr>
                <w:i/>
                <w:sz w:val="20"/>
                <w:szCs w:val="20"/>
              </w:rPr>
              <w:t>275</w:t>
            </w:r>
            <w:r w:rsidR="00574402" w:rsidRPr="004E48D6">
              <w:rPr>
                <w:i/>
                <w:sz w:val="20"/>
                <w:szCs w:val="20"/>
              </w:rPr>
              <w:t xml:space="preserve"> </w:t>
            </w:r>
          </w:p>
          <w:p w:rsidR="00B32DE7" w:rsidRPr="004E48D6" w:rsidRDefault="00B8373A" w:rsidP="00AE0F9B">
            <w:pPr>
              <w:rPr>
                <w:i/>
                <w:sz w:val="20"/>
                <w:szCs w:val="20"/>
              </w:rPr>
            </w:pPr>
            <w:r w:rsidRPr="004E48D6">
              <w:rPr>
                <w:i/>
                <w:sz w:val="20"/>
                <w:szCs w:val="20"/>
              </w:rPr>
              <w:t>Labor estimate cost</w:t>
            </w:r>
            <w:r w:rsidR="00B32DE7" w:rsidRPr="004E48D6">
              <w:rPr>
                <w:i/>
                <w:sz w:val="20"/>
                <w:szCs w:val="20"/>
              </w:rPr>
              <w:t xml:space="preserve"> </w:t>
            </w:r>
            <w:r w:rsidR="00574402" w:rsidRPr="004E48D6">
              <w:rPr>
                <w:i/>
                <w:sz w:val="20"/>
                <w:szCs w:val="20"/>
              </w:rPr>
              <w:t>= $</w:t>
            </w:r>
            <w:r w:rsidR="003D0AD7" w:rsidRPr="004E48D6">
              <w:rPr>
                <w:i/>
                <w:sz w:val="20"/>
                <w:szCs w:val="20"/>
              </w:rPr>
              <w:t>1,</w:t>
            </w:r>
            <w:r w:rsidR="00574402" w:rsidRPr="004E48D6">
              <w:rPr>
                <w:i/>
                <w:sz w:val="20"/>
                <w:szCs w:val="20"/>
              </w:rPr>
              <w:t>5</w:t>
            </w:r>
            <w:r w:rsidR="003D0AD7" w:rsidRPr="004E48D6">
              <w:rPr>
                <w:i/>
                <w:sz w:val="20"/>
                <w:szCs w:val="20"/>
              </w:rPr>
              <w:t>00</w:t>
            </w:r>
          </w:p>
          <w:p w:rsidR="00574402" w:rsidRPr="004E48D6" w:rsidRDefault="00574402" w:rsidP="00AE0F9B">
            <w:pPr>
              <w:rPr>
                <w:i/>
                <w:sz w:val="20"/>
                <w:szCs w:val="20"/>
              </w:rPr>
            </w:pPr>
            <w:r w:rsidRPr="004E48D6">
              <w:rPr>
                <w:i/>
                <w:sz w:val="20"/>
                <w:szCs w:val="20"/>
              </w:rPr>
              <w:t xml:space="preserve">Total installed cost = </w:t>
            </w:r>
            <w:r w:rsidR="008B263F" w:rsidRPr="004E48D6">
              <w:rPr>
                <w:i/>
                <w:sz w:val="20"/>
                <w:szCs w:val="20"/>
              </w:rPr>
              <w:t>$6,7</w:t>
            </w:r>
            <w:r w:rsidR="003D0AD7" w:rsidRPr="004E48D6">
              <w:rPr>
                <w:i/>
                <w:sz w:val="20"/>
                <w:szCs w:val="20"/>
              </w:rPr>
              <w:t>75</w:t>
            </w:r>
            <w:r w:rsidR="008B263F" w:rsidRPr="004E48D6">
              <w:rPr>
                <w:i/>
                <w:sz w:val="20"/>
                <w:szCs w:val="20"/>
              </w:rPr>
              <w:t xml:space="preserve"> per unit</w:t>
            </w:r>
            <w:r w:rsidRPr="004E48D6">
              <w:rPr>
                <w:i/>
                <w:sz w:val="20"/>
                <w:szCs w:val="20"/>
              </w:rPr>
              <w:t xml:space="preserve"> (or </w:t>
            </w:r>
            <w:r w:rsidR="002224B0" w:rsidRPr="004E48D6">
              <w:rPr>
                <w:i/>
                <w:sz w:val="20"/>
                <w:szCs w:val="20"/>
              </w:rPr>
              <w:t>$</w:t>
            </w:r>
            <w:r w:rsidR="003D0AD7" w:rsidRPr="004E48D6">
              <w:rPr>
                <w:i/>
                <w:sz w:val="20"/>
                <w:szCs w:val="20"/>
              </w:rPr>
              <w:t>60.49</w:t>
            </w:r>
            <w:r w:rsidR="002224B0" w:rsidRPr="004E48D6">
              <w:rPr>
                <w:i/>
                <w:sz w:val="20"/>
                <w:szCs w:val="20"/>
              </w:rPr>
              <w:t xml:space="preserve"> /MBtuh)</w:t>
            </w:r>
          </w:p>
          <w:p w:rsidR="002224B0" w:rsidRDefault="002224B0" w:rsidP="00AE0F9B">
            <w:pPr>
              <w:rPr>
                <w:sz w:val="20"/>
                <w:szCs w:val="20"/>
              </w:rPr>
            </w:pPr>
          </w:p>
          <w:p w:rsidR="004E48D6" w:rsidRDefault="00CA2FD3" w:rsidP="000515DC">
            <w:pPr>
              <w:rPr>
                <w:sz w:val="20"/>
                <w:szCs w:val="20"/>
              </w:rPr>
            </w:pPr>
            <w:r w:rsidRPr="00CA2FD3">
              <w:rPr>
                <w:sz w:val="20"/>
                <w:szCs w:val="20"/>
              </w:rPr>
              <w:t>There</w:t>
            </w:r>
            <w:r>
              <w:rPr>
                <w:sz w:val="20"/>
                <w:szCs w:val="20"/>
              </w:rPr>
              <w:t xml:space="preserve"> </w:t>
            </w:r>
            <w:r w:rsidRPr="00CA2FD3">
              <w:rPr>
                <w:sz w:val="20"/>
                <w:szCs w:val="20"/>
              </w:rPr>
              <w:t>are</w:t>
            </w:r>
            <w:r>
              <w:rPr>
                <w:sz w:val="20"/>
                <w:szCs w:val="20"/>
              </w:rPr>
              <w:t xml:space="preserve"> </w:t>
            </w:r>
            <w:r w:rsidR="00175A43">
              <w:rPr>
                <w:sz w:val="20"/>
                <w:szCs w:val="20"/>
              </w:rPr>
              <w:t xml:space="preserve">very </w:t>
            </w:r>
            <w:r w:rsidRPr="00CA2FD3">
              <w:rPr>
                <w:sz w:val="20"/>
                <w:szCs w:val="20"/>
              </w:rPr>
              <w:t>few</w:t>
            </w:r>
            <w:r>
              <w:rPr>
                <w:sz w:val="20"/>
                <w:szCs w:val="20"/>
              </w:rPr>
              <w:t xml:space="preserve"> </w:t>
            </w:r>
            <w:r w:rsidRPr="00CA2FD3">
              <w:rPr>
                <w:sz w:val="20"/>
                <w:szCs w:val="20"/>
              </w:rPr>
              <w:t>producers</w:t>
            </w:r>
            <w:r>
              <w:rPr>
                <w:sz w:val="20"/>
                <w:szCs w:val="20"/>
              </w:rPr>
              <w:t xml:space="preserve"> </w:t>
            </w:r>
            <w:r w:rsidRPr="00CA2FD3">
              <w:rPr>
                <w:sz w:val="20"/>
                <w:szCs w:val="20"/>
              </w:rPr>
              <w:t>of</w:t>
            </w:r>
            <w:r>
              <w:rPr>
                <w:sz w:val="20"/>
                <w:szCs w:val="20"/>
              </w:rPr>
              <w:t xml:space="preserve"> </w:t>
            </w:r>
            <w:r w:rsidRPr="00CA2FD3">
              <w:rPr>
                <w:sz w:val="20"/>
                <w:szCs w:val="20"/>
              </w:rPr>
              <w:t>condensing</w:t>
            </w:r>
            <w:r>
              <w:rPr>
                <w:sz w:val="20"/>
                <w:szCs w:val="20"/>
              </w:rPr>
              <w:t xml:space="preserve"> </w:t>
            </w:r>
            <w:r w:rsidRPr="00CA2FD3">
              <w:rPr>
                <w:sz w:val="20"/>
                <w:szCs w:val="20"/>
              </w:rPr>
              <w:t>gas</w:t>
            </w:r>
            <w:r>
              <w:rPr>
                <w:sz w:val="20"/>
                <w:szCs w:val="20"/>
              </w:rPr>
              <w:t xml:space="preserve"> </w:t>
            </w:r>
            <w:r w:rsidR="000515DC">
              <w:rPr>
                <w:sz w:val="20"/>
                <w:szCs w:val="20"/>
              </w:rPr>
              <w:t>RTUs</w:t>
            </w:r>
            <w:r w:rsidR="002826E1">
              <w:rPr>
                <w:sz w:val="20"/>
                <w:szCs w:val="20"/>
              </w:rPr>
              <w:t xml:space="preserve"> due to their high cost and lack of promoting these systems.</w:t>
            </w:r>
          </w:p>
          <w:p w:rsidR="00AE0F9B" w:rsidRDefault="00AA46FE" w:rsidP="00AE0F9B">
            <w:pPr>
              <w:rPr>
                <w:sz w:val="20"/>
                <w:szCs w:val="20"/>
              </w:rPr>
            </w:pPr>
            <w:r w:rsidRPr="00AA46FE">
              <w:rPr>
                <w:sz w:val="20"/>
                <w:szCs w:val="20"/>
              </w:rPr>
              <w:t xml:space="preserve">The </w:t>
            </w:r>
            <w:r w:rsidR="003D0AD7">
              <w:rPr>
                <w:sz w:val="20"/>
                <w:szCs w:val="20"/>
              </w:rPr>
              <w:t xml:space="preserve">average </w:t>
            </w:r>
            <w:r w:rsidR="005F30D7">
              <w:rPr>
                <w:sz w:val="20"/>
                <w:szCs w:val="20"/>
              </w:rPr>
              <w:t>cost for the proposed condensing type fu</w:t>
            </w:r>
            <w:r w:rsidR="003D0AD7">
              <w:rPr>
                <w:sz w:val="20"/>
                <w:szCs w:val="20"/>
              </w:rPr>
              <w:t>rnace of 95% AFUE and same rated capacity</w:t>
            </w:r>
            <w:r w:rsidR="002224B0">
              <w:rPr>
                <w:sz w:val="20"/>
                <w:szCs w:val="20"/>
              </w:rPr>
              <w:t xml:space="preserve"> </w:t>
            </w:r>
            <w:r w:rsidR="00175A43">
              <w:rPr>
                <w:sz w:val="20"/>
                <w:szCs w:val="20"/>
              </w:rPr>
              <w:t>i</w:t>
            </w:r>
            <w:r w:rsidR="002224B0">
              <w:rPr>
                <w:sz w:val="20"/>
                <w:szCs w:val="20"/>
              </w:rPr>
              <w:t>s $</w:t>
            </w:r>
            <w:r w:rsidR="00175A43">
              <w:rPr>
                <w:sz w:val="20"/>
                <w:szCs w:val="20"/>
              </w:rPr>
              <w:t>9</w:t>
            </w:r>
            <w:r w:rsidR="003D0AD7">
              <w:rPr>
                <w:sz w:val="20"/>
                <w:szCs w:val="20"/>
              </w:rPr>
              <w:t>4</w:t>
            </w:r>
            <w:r w:rsidR="00175A43">
              <w:rPr>
                <w:sz w:val="20"/>
                <w:szCs w:val="20"/>
              </w:rPr>
              <w:t>.</w:t>
            </w:r>
            <w:r w:rsidR="003D0AD7">
              <w:rPr>
                <w:sz w:val="20"/>
                <w:szCs w:val="20"/>
              </w:rPr>
              <w:t>09</w:t>
            </w:r>
            <w:r w:rsidR="0005701B" w:rsidRPr="0005701B">
              <w:rPr>
                <w:sz w:val="20"/>
                <w:szCs w:val="20"/>
              </w:rPr>
              <w:t>/MBtuh</w:t>
            </w:r>
            <w:r w:rsidR="005F30D7">
              <w:rPr>
                <w:sz w:val="20"/>
                <w:szCs w:val="20"/>
              </w:rPr>
              <w:t>. Therefore, the IMC is $</w:t>
            </w:r>
            <w:r w:rsidR="003D0AD7">
              <w:rPr>
                <w:sz w:val="20"/>
                <w:szCs w:val="20"/>
              </w:rPr>
              <w:t>40</w:t>
            </w:r>
            <w:r w:rsidR="002224B0">
              <w:rPr>
                <w:sz w:val="20"/>
                <w:szCs w:val="20"/>
              </w:rPr>
              <w:t>.</w:t>
            </w:r>
            <w:r w:rsidR="003D0AD7">
              <w:rPr>
                <w:sz w:val="20"/>
                <w:szCs w:val="20"/>
              </w:rPr>
              <w:t>7</w:t>
            </w:r>
            <w:r w:rsidR="002224B0">
              <w:rPr>
                <w:sz w:val="20"/>
                <w:szCs w:val="20"/>
              </w:rPr>
              <w:t>4</w:t>
            </w:r>
            <w:r w:rsidR="005F30D7">
              <w:rPr>
                <w:sz w:val="20"/>
                <w:szCs w:val="20"/>
              </w:rPr>
              <w:t>/MBtuh.</w:t>
            </w:r>
          </w:p>
          <w:p w:rsidR="0021275E" w:rsidRPr="00E60A3C" w:rsidRDefault="0021275E" w:rsidP="00AE0F9B">
            <w:pPr>
              <w:rPr>
                <w:sz w:val="20"/>
                <w:szCs w:val="20"/>
              </w:rPr>
            </w:pPr>
          </w:p>
        </w:tc>
      </w:tr>
      <w:tr w:rsidR="00C14C7F" w:rsidRPr="00A92029" w:rsidTr="000A46F6">
        <w:trPr>
          <w:cantSplit/>
        </w:trPr>
        <w:tc>
          <w:tcPr>
            <w:tcW w:w="2110" w:type="dxa"/>
          </w:tcPr>
          <w:p w:rsidR="00C14C7F" w:rsidRPr="00A92029" w:rsidRDefault="00C14C7F" w:rsidP="00A620F3">
            <w:pPr>
              <w:jc w:val="right"/>
              <w:rPr>
                <w:rFonts w:cstheme="minorHAnsi"/>
                <w:sz w:val="20"/>
                <w:szCs w:val="20"/>
              </w:rPr>
            </w:pPr>
            <w:r w:rsidRPr="00A92029">
              <w:rPr>
                <w:rFonts w:cstheme="minorHAnsi"/>
                <w:sz w:val="20"/>
                <w:szCs w:val="20"/>
              </w:rPr>
              <w:t>Base Cost –</w:t>
            </w:r>
          </w:p>
        </w:tc>
        <w:tc>
          <w:tcPr>
            <w:tcW w:w="7425" w:type="dxa"/>
          </w:tcPr>
          <w:p w:rsidR="00C14C7F" w:rsidRPr="00A92029" w:rsidRDefault="00C14C7F" w:rsidP="007342C0">
            <w:pPr>
              <w:rPr>
                <w:rFonts w:cstheme="minorHAnsi"/>
                <w:sz w:val="20"/>
                <w:szCs w:val="20"/>
              </w:rPr>
            </w:pPr>
          </w:p>
          <w:tbl>
            <w:tblPr>
              <w:tblStyle w:val="TableGrid"/>
              <w:tblW w:w="4828" w:type="pct"/>
              <w:tblLook w:val="04A0" w:firstRow="1" w:lastRow="0" w:firstColumn="1" w:lastColumn="0" w:noHBand="0" w:noVBand="1"/>
            </w:tblPr>
            <w:tblGrid>
              <w:gridCol w:w="5153"/>
              <w:gridCol w:w="1798"/>
            </w:tblGrid>
            <w:tr w:rsidR="00C14C7F" w:rsidRPr="00A92029" w:rsidTr="00416481">
              <w:trPr>
                <w:trHeight w:val="251"/>
              </w:trPr>
              <w:tc>
                <w:tcPr>
                  <w:tcW w:w="5000" w:type="pct"/>
                  <w:gridSpan w:val="2"/>
                  <w:shd w:val="clear" w:color="auto" w:fill="BFBFBF" w:themeFill="background1" w:themeFillShade="BF"/>
                </w:tcPr>
                <w:p w:rsidR="00C14C7F" w:rsidRPr="00A92029" w:rsidRDefault="00C14C7F" w:rsidP="007342C0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A92029">
                    <w:rPr>
                      <w:rFonts w:cstheme="minorHAnsi"/>
                      <w:sz w:val="20"/>
                      <w:szCs w:val="20"/>
                    </w:rPr>
                    <w:t>Base Cost</w:t>
                  </w:r>
                </w:p>
              </w:tc>
            </w:tr>
            <w:tr w:rsidR="00C14C7F" w:rsidRPr="00A92029" w:rsidTr="00B530F2">
              <w:trPr>
                <w:trHeight w:val="251"/>
              </w:trPr>
              <w:tc>
                <w:tcPr>
                  <w:tcW w:w="3707" w:type="pct"/>
                </w:tcPr>
                <w:p w:rsidR="00C14C7F" w:rsidRPr="00A92029" w:rsidRDefault="00C14C7F" w:rsidP="007342C0">
                  <w:pPr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A92029">
                    <w:rPr>
                      <w:rFonts w:cstheme="minorHAnsi"/>
                      <w:b/>
                      <w:sz w:val="20"/>
                      <w:szCs w:val="20"/>
                    </w:rPr>
                    <w:t>Base Measure Cost ID</w:t>
                  </w:r>
                </w:p>
              </w:tc>
              <w:tc>
                <w:tcPr>
                  <w:tcW w:w="1293" w:type="pct"/>
                </w:tcPr>
                <w:p w:rsidR="00C14C7F" w:rsidRPr="00A92029" w:rsidRDefault="00C14C7F" w:rsidP="007342C0">
                  <w:pPr>
                    <w:jc w:val="center"/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A92029">
                    <w:rPr>
                      <w:rFonts w:cstheme="minorHAnsi"/>
                      <w:b/>
                      <w:sz w:val="20"/>
                      <w:szCs w:val="20"/>
                    </w:rPr>
                    <w:t>Base Equipment Cost</w:t>
                  </w:r>
                </w:p>
              </w:tc>
            </w:tr>
            <w:tr w:rsidR="00C14C7F" w:rsidRPr="00A92029" w:rsidTr="00B530F2">
              <w:trPr>
                <w:trHeight w:val="485"/>
              </w:trPr>
              <w:tc>
                <w:tcPr>
                  <w:tcW w:w="3707" w:type="pct"/>
                  <w:vAlign w:val="bottom"/>
                </w:tcPr>
                <w:p w:rsidR="00C14C7F" w:rsidRPr="00A92029" w:rsidRDefault="00AA46FE" w:rsidP="00B530F2">
                  <w:pPr>
                    <w:spacing w:line="360" w:lineRule="auto"/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Federal</w:t>
                  </w:r>
                  <w:r w:rsidRPr="008C3F4B">
                    <w:rPr>
                      <w:rFonts w:cstheme="minorHAnsi"/>
                      <w:sz w:val="20"/>
                      <w:szCs w:val="20"/>
                    </w:rPr>
                    <w:t xml:space="preserve"> code</w:t>
                  </w:r>
                </w:p>
              </w:tc>
              <w:tc>
                <w:tcPr>
                  <w:tcW w:w="1293" w:type="pct"/>
                  <w:vAlign w:val="center"/>
                </w:tcPr>
                <w:p w:rsidR="00C14C7F" w:rsidRPr="00A92029" w:rsidRDefault="002224B0" w:rsidP="007342C0">
                  <w:pPr>
                    <w:jc w:val="center"/>
                    <w:rPr>
                      <w:rFonts w:cstheme="minorHAnsi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$</w:t>
                  </w:r>
                  <w:r w:rsidR="003D0AD7">
                    <w:rPr>
                      <w:rFonts w:cstheme="minorHAnsi"/>
                      <w:sz w:val="20"/>
                      <w:szCs w:val="20"/>
                    </w:rPr>
                    <w:t xml:space="preserve">53.35 </w:t>
                  </w:r>
                  <w:r w:rsidR="005F30D7">
                    <w:rPr>
                      <w:rFonts w:cstheme="minorHAnsi"/>
                      <w:sz w:val="20"/>
                      <w:szCs w:val="20"/>
                    </w:rPr>
                    <w:t>/MBtuh</w:t>
                  </w:r>
                </w:p>
              </w:tc>
            </w:tr>
          </w:tbl>
          <w:p w:rsidR="00C14C7F" w:rsidRPr="00A92029" w:rsidRDefault="00C14C7F" w:rsidP="007342C0">
            <w:pPr>
              <w:rPr>
                <w:rFonts w:cstheme="minorHAnsi"/>
                <w:color w:val="FF0000"/>
                <w:sz w:val="20"/>
                <w:szCs w:val="20"/>
              </w:rPr>
            </w:pPr>
          </w:p>
        </w:tc>
      </w:tr>
      <w:tr w:rsidR="000A46F6" w:rsidRPr="00A92029" w:rsidTr="000A46F6">
        <w:trPr>
          <w:cantSplit/>
          <w:trHeight w:val="1403"/>
        </w:trPr>
        <w:tc>
          <w:tcPr>
            <w:tcW w:w="2110" w:type="dxa"/>
          </w:tcPr>
          <w:p w:rsidR="000A46F6" w:rsidRPr="00A92029" w:rsidRDefault="000A46F6" w:rsidP="00170D24">
            <w:pPr>
              <w:jc w:val="right"/>
              <w:rPr>
                <w:rFonts w:cstheme="minorHAnsi"/>
                <w:sz w:val="20"/>
                <w:szCs w:val="20"/>
              </w:rPr>
            </w:pPr>
            <w:r w:rsidRPr="00A92029">
              <w:rPr>
                <w:rFonts w:cstheme="minorHAnsi"/>
                <w:sz w:val="20"/>
                <w:szCs w:val="20"/>
              </w:rPr>
              <w:t>Measure Cost –</w:t>
            </w:r>
          </w:p>
        </w:tc>
        <w:tc>
          <w:tcPr>
            <w:tcW w:w="7425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62"/>
              <w:gridCol w:w="1791"/>
              <w:gridCol w:w="1802"/>
              <w:gridCol w:w="1800"/>
            </w:tblGrid>
            <w:tr w:rsidR="000A46F6" w:rsidRPr="00A92029" w:rsidTr="00170D24">
              <w:tc>
                <w:tcPr>
                  <w:tcW w:w="6955" w:type="dxa"/>
                  <w:gridSpan w:val="4"/>
                  <w:shd w:val="clear" w:color="auto" w:fill="BFBFBF" w:themeFill="background1" w:themeFillShade="BF"/>
                </w:tcPr>
                <w:p w:rsidR="000A46F6" w:rsidRPr="00A92029" w:rsidRDefault="000A46F6" w:rsidP="00170D24">
                  <w:pPr>
                    <w:tabs>
                      <w:tab w:val="right" w:pos="6732"/>
                    </w:tabs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A92029">
                    <w:rPr>
                      <w:rFonts w:cstheme="minorHAnsi"/>
                      <w:sz w:val="20"/>
                      <w:szCs w:val="20"/>
                    </w:rPr>
                    <w:t>Measure Cost</w:t>
                  </w:r>
                </w:p>
              </w:tc>
            </w:tr>
            <w:tr w:rsidR="000A46F6" w:rsidRPr="00A92029" w:rsidTr="00B530F2">
              <w:tc>
                <w:tcPr>
                  <w:tcW w:w="1562" w:type="dxa"/>
                </w:tcPr>
                <w:p w:rsidR="000A46F6" w:rsidRPr="00A92029" w:rsidRDefault="000A46F6" w:rsidP="00170D24">
                  <w:pPr>
                    <w:tabs>
                      <w:tab w:val="right" w:pos="6732"/>
                    </w:tabs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A92029">
                    <w:rPr>
                      <w:rFonts w:cstheme="minorHAnsi"/>
                      <w:b/>
                      <w:sz w:val="20"/>
                      <w:szCs w:val="20"/>
                    </w:rPr>
                    <w:t>Implementation ID</w:t>
                  </w:r>
                </w:p>
              </w:tc>
              <w:tc>
                <w:tcPr>
                  <w:tcW w:w="1791" w:type="dxa"/>
                </w:tcPr>
                <w:p w:rsidR="000A46F6" w:rsidRPr="00A92029" w:rsidRDefault="000A46F6" w:rsidP="00170D24">
                  <w:pPr>
                    <w:tabs>
                      <w:tab w:val="right" w:pos="6732"/>
                    </w:tabs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A92029">
                    <w:rPr>
                      <w:rFonts w:cstheme="minorHAnsi"/>
                      <w:b/>
                      <w:sz w:val="20"/>
                      <w:szCs w:val="20"/>
                    </w:rPr>
                    <w:t>Measure Name</w:t>
                  </w:r>
                </w:p>
              </w:tc>
              <w:tc>
                <w:tcPr>
                  <w:tcW w:w="1802" w:type="dxa"/>
                </w:tcPr>
                <w:p w:rsidR="000A46F6" w:rsidRPr="00A92029" w:rsidRDefault="000A46F6" w:rsidP="00170D24">
                  <w:pPr>
                    <w:tabs>
                      <w:tab w:val="right" w:pos="6732"/>
                    </w:tabs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A92029">
                    <w:rPr>
                      <w:rFonts w:cstheme="minorHAnsi"/>
                      <w:b/>
                      <w:sz w:val="20"/>
                      <w:szCs w:val="20"/>
                    </w:rPr>
                    <w:t>Measure Cost ID</w:t>
                  </w:r>
                </w:p>
              </w:tc>
              <w:tc>
                <w:tcPr>
                  <w:tcW w:w="1800" w:type="dxa"/>
                </w:tcPr>
                <w:p w:rsidR="000A46F6" w:rsidRPr="00A92029" w:rsidRDefault="000A46F6" w:rsidP="00170D24">
                  <w:pPr>
                    <w:tabs>
                      <w:tab w:val="right" w:pos="6732"/>
                    </w:tabs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A92029">
                    <w:rPr>
                      <w:rFonts w:cstheme="minorHAnsi"/>
                      <w:b/>
                      <w:sz w:val="20"/>
                      <w:szCs w:val="20"/>
                    </w:rPr>
                    <w:t>Measure Equipment Cost</w:t>
                  </w:r>
                </w:p>
              </w:tc>
            </w:tr>
            <w:tr w:rsidR="000A46F6" w:rsidRPr="00A92029" w:rsidTr="00B530F2">
              <w:tc>
                <w:tcPr>
                  <w:tcW w:w="1562" w:type="dxa"/>
                  <w:vAlign w:val="center"/>
                </w:tcPr>
                <w:p w:rsidR="000A46F6" w:rsidRPr="00A92029" w:rsidRDefault="000A46F6" w:rsidP="00170D24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</w:p>
              </w:tc>
              <w:tc>
                <w:tcPr>
                  <w:tcW w:w="1791" w:type="dxa"/>
                  <w:vAlign w:val="bottom"/>
                </w:tcPr>
                <w:p w:rsidR="000A46F6" w:rsidRPr="00A92029" w:rsidRDefault="000A46F6" w:rsidP="00170D24">
                  <w:pPr>
                    <w:rPr>
                      <w:rFonts w:cstheme="minorHAnsi"/>
                      <w:sz w:val="20"/>
                      <w:szCs w:val="20"/>
                    </w:rPr>
                  </w:pPr>
                  <w:r w:rsidRPr="00AA46FE">
                    <w:rPr>
                      <w:rFonts w:cs="Arial"/>
                      <w:sz w:val="20"/>
                      <w:szCs w:val="20"/>
                    </w:rPr>
                    <w:t>Packaged Furnace (Weatherized) 95 AFUE,</w:t>
                  </w:r>
                </w:p>
              </w:tc>
              <w:tc>
                <w:tcPr>
                  <w:tcW w:w="1802" w:type="dxa"/>
                </w:tcPr>
                <w:p w:rsidR="000A46F6" w:rsidRPr="00A92029" w:rsidRDefault="000A46F6" w:rsidP="00170D24">
                  <w:pPr>
                    <w:tabs>
                      <w:tab w:val="right" w:pos="6732"/>
                    </w:tabs>
                    <w:rPr>
                      <w:rFonts w:cstheme="minorHAnsi"/>
                      <w:sz w:val="20"/>
                      <w:szCs w:val="20"/>
                    </w:rPr>
                  </w:pPr>
                  <w:r w:rsidRPr="00AA46FE">
                    <w:rPr>
                      <w:rFonts w:cstheme="minorHAnsi"/>
                      <w:sz w:val="20"/>
                      <w:szCs w:val="20"/>
                    </w:rPr>
                    <w:t>Com-Furnace-dHIR</w:t>
                  </w:r>
                </w:p>
              </w:tc>
              <w:tc>
                <w:tcPr>
                  <w:tcW w:w="1800" w:type="dxa"/>
                  <w:vAlign w:val="center"/>
                </w:tcPr>
                <w:p w:rsidR="000A46F6" w:rsidRPr="00A92029" w:rsidRDefault="000A46F6" w:rsidP="00170D24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$</w:t>
                  </w:r>
                  <w:r w:rsidR="003D0AD7">
                    <w:rPr>
                      <w:rFonts w:cstheme="minorHAnsi"/>
                      <w:sz w:val="20"/>
                      <w:szCs w:val="20"/>
                    </w:rPr>
                    <w:t>94.09</w:t>
                  </w:r>
                  <w:r>
                    <w:rPr>
                      <w:rFonts w:cstheme="minorHAnsi"/>
                      <w:sz w:val="20"/>
                      <w:szCs w:val="20"/>
                    </w:rPr>
                    <w:t>/MBtuh</w:t>
                  </w:r>
                </w:p>
              </w:tc>
            </w:tr>
          </w:tbl>
          <w:p w:rsidR="000A46F6" w:rsidRPr="00A92029" w:rsidRDefault="000A46F6" w:rsidP="00170D24">
            <w:pPr>
              <w:tabs>
                <w:tab w:val="right" w:pos="6732"/>
              </w:tabs>
              <w:rPr>
                <w:rFonts w:cstheme="minorHAnsi"/>
                <w:sz w:val="20"/>
                <w:szCs w:val="20"/>
              </w:rPr>
            </w:pPr>
            <w:r w:rsidRPr="00A92029">
              <w:rPr>
                <w:rFonts w:cstheme="minorHAnsi"/>
                <w:sz w:val="20"/>
                <w:szCs w:val="20"/>
              </w:rPr>
              <w:tab/>
            </w:r>
          </w:p>
        </w:tc>
      </w:tr>
      <w:tr w:rsidR="003B0AB3" w:rsidRPr="00A92029" w:rsidTr="000A46F6">
        <w:trPr>
          <w:cantSplit/>
          <w:trHeight w:val="1403"/>
        </w:trPr>
        <w:tc>
          <w:tcPr>
            <w:tcW w:w="2110" w:type="dxa"/>
          </w:tcPr>
          <w:p w:rsidR="003B0AB3" w:rsidRPr="00A92029" w:rsidRDefault="000A46F6" w:rsidP="007342C0">
            <w:pPr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IMC</w:t>
            </w:r>
            <w:r w:rsidR="003B0AB3" w:rsidRPr="00A92029">
              <w:rPr>
                <w:rFonts w:cstheme="minorHAnsi"/>
                <w:sz w:val="20"/>
                <w:szCs w:val="20"/>
              </w:rPr>
              <w:t xml:space="preserve"> </w:t>
            </w:r>
            <w:r w:rsidR="00B530F2" w:rsidRPr="00B530F2">
              <w:rPr>
                <w:rFonts w:cstheme="minorHAnsi"/>
                <w:sz w:val="20"/>
                <w:szCs w:val="20"/>
              </w:rPr>
              <w:t xml:space="preserve">Measure </w:t>
            </w:r>
            <w:r w:rsidR="003B0AB3" w:rsidRPr="00A92029">
              <w:rPr>
                <w:rFonts w:cstheme="minorHAnsi"/>
                <w:sz w:val="20"/>
                <w:szCs w:val="20"/>
              </w:rPr>
              <w:t>Cost –</w:t>
            </w:r>
          </w:p>
        </w:tc>
        <w:tc>
          <w:tcPr>
            <w:tcW w:w="7425" w:type="dxa"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562"/>
              <w:gridCol w:w="1791"/>
              <w:gridCol w:w="1802"/>
              <w:gridCol w:w="1800"/>
            </w:tblGrid>
            <w:tr w:rsidR="003B0AB3" w:rsidRPr="00A92029" w:rsidTr="0021275E">
              <w:tc>
                <w:tcPr>
                  <w:tcW w:w="6955" w:type="dxa"/>
                  <w:gridSpan w:val="4"/>
                  <w:shd w:val="clear" w:color="auto" w:fill="BFBFBF" w:themeFill="background1" w:themeFillShade="BF"/>
                </w:tcPr>
                <w:p w:rsidR="003B0AB3" w:rsidRPr="00A92029" w:rsidRDefault="00B530F2" w:rsidP="007342C0">
                  <w:pPr>
                    <w:tabs>
                      <w:tab w:val="right" w:pos="6732"/>
                    </w:tabs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IMC</w:t>
                  </w:r>
                  <w:r w:rsidR="003B0AB3" w:rsidRPr="00A92029">
                    <w:rPr>
                      <w:rFonts w:cstheme="minorHAnsi"/>
                      <w:sz w:val="20"/>
                      <w:szCs w:val="20"/>
                    </w:rPr>
                    <w:t xml:space="preserve"> </w:t>
                  </w:r>
                  <w:r w:rsidRPr="00B530F2">
                    <w:rPr>
                      <w:rFonts w:cstheme="minorHAnsi"/>
                      <w:sz w:val="20"/>
                      <w:szCs w:val="20"/>
                    </w:rPr>
                    <w:t xml:space="preserve">Measure </w:t>
                  </w:r>
                  <w:r w:rsidR="003B0AB3" w:rsidRPr="00A92029">
                    <w:rPr>
                      <w:rFonts w:cstheme="minorHAnsi"/>
                      <w:sz w:val="20"/>
                      <w:szCs w:val="20"/>
                    </w:rPr>
                    <w:t>Cost</w:t>
                  </w:r>
                </w:p>
              </w:tc>
            </w:tr>
            <w:tr w:rsidR="003B0AB3" w:rsidRPr="00A92029" w:rsidTr="00B530F2">
              <w:tc>
                <w:tcPr>
                  <w:tcW w:w="1562" w:type="dxa"/>
                </w:tcPr>
                <w:p w:rsidR="003B0AB3" w:rsidRPr="00A92029" w:rsidRDefault="00B530F2" w:rsidP="007342C0">
                  <w:pPr>
                    <w:tabs>
                      <w:tab w:val="right" w:pos="6732"/>
                    </w:tabs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3D3FAC">
                    <w:rPr>
                      <w:rFonts w:cstheme="minorHAnsi"/>
                      <w:b/>
                      <w:sz w:val="20"/>
                      <w:szCs w:val="20"/>
                    </w:rPr>
                    <w:t>Install/Program  Type</w:t>
                  </w:r>
                </w:p>
              </w:tc>
              <w:tc>
                <w:tcPr>
                  <w:tcW w:w="1791" w:type="dxa"/>
                </w:tcPr>
                <w:p w:rsidR="00B530F2" w:rsidRPr="00B530F2" w:rsidRDefault="00B530F2" w:rsidP="00B530F2">
                  <w:pPr>
                    <w:tabs>
                      <w:tab w:val="right" w:pos="6732"/>
                    </w:tabs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530F2">
                    <w:rPr>
                      <w:rFonts w:cstheme="minorHAnsi"/>
                      <w:b/>
                      <w:sz w:val="20"/>
                      <w:szCs w:val="20"/>
                    </w:rPr>
                    <w:t>Gross Measure Cost</w:t>
                  </w:r>
                </w:p>
                <w:p w:rsidR="003B0AB3" w:rsidRPr="00A92029" w:rsidRDefault="00B530F2" w:rsidP="00B530F2">
                  <w:pPr>
                    <w:tabs>
                      <w:tab w:val="right" w:pos="6732"/>
                    </w:tabs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530F2">
                    <w:rPr>
                      <w:rFonts w:cstheme="minorHAnsi"/>
                      <w:b/>
                      <w:sz w:val="20"/>
                      <w:szCs w:val="20"/>
                    </w:rPr>
                    <w:t>(First Baseline Period)</w:t>
                  </w:r>
                </w:p>
              </w:tc>
              <w:tc>
                <w:tcPr>
                  <w:tcW w:w="1802" w:type="dxa"/>
                </w:tcPr>
                <w:p w:rsidR="00B530F2" w:rsidRPr="00B530F2" w:rsidRDefault="00B530F2" w:rsidP="00B530F2">
                  <w:pPr>
                    <w:tabs>
                      <w:tab w:val="right" w:pos="6732"/>
                    </w:tabs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530F2">
                    <w:rPr>
                      <w:rFonts w:cstheme="minorHAnsi"/>
                      <w:b/>
                      <w:sz w:val="20"/>
                      <w:szCs w:val="20"/>
                    </w:rPr>
                    <w:t>Gross Measure Cost</w:t>
                  </w:r>
                </w:p>
                <w:p w:rsidR="003B0AB3" w:rsidRPr="00A92029" w:rsidRDefault="00B530F2" w:rsidP="00B530F2">
                  <w:pPr>
                    <w:tabs>
                      <w:tab w:val="right" w:pos="6732"/>
                    </w:tabs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530F2">
                    <w:rPr>
                      <w:rFonts w:cstheme="minorHAnsi"/>
                      <w:b/>
                      <w:sz w:val="20"/>
                      <w:szCs w:val="20"/>
                    </w:rPr>
                    <w:t>(Second Baseline Period)</w:t>
                  </w:r>
                </w:p>
              </w:tc>
              <w:tc>
                <w:tcPr>
                  <w:tcW w:w="1800" w:type="dxa"/>
                </w:tcPr>
                <w:p w:rsidR="003B0AB3" w:rsidRPr="00A92029" w:rsidRDefault="00B530F2" w:rsidP="007342C0">
                  <w:pPr>
                    <w:tabs>
                      <w:tab w:val="right" w:pos="6732"/>
                    </w:tabs>
                    <w:rPr>
                      <w:rFonts w:cstheme="minorHAnsi"/>
                      <w:b/>
                      <w:sz w:val="20"/>
                      <w:szCs w:val="20"/>
                    </w:rPr>
                  </w:pPr>
                  <w:r w:rsidRPr="00B530F2">
                    <w:rPr>
                      <w:rFonts w:cstheme="minorHAnsi"/>
                      <w:b/>
                      <w:sz w:val="20"/>
                      <w:szCs w:val="20"/>
                    </w:rPr>
                    <w:t>Incremental Measure Cost</w:t>
                  </w:r>
                </w:p>
              </w:tc>
            </w:tr>
            <w:tr w:rsidR="003B0AB3" w:rsidRPr="00A92029" w:rsidTr="00B530F2">
              <w:trPr>
                <w:trHeight w:val="566"/>
              </w:trPr>
              <w:tc>
                <w:tcPr>
                  <w:tcW w:w="1562" w:type="dxa"/>
                  <w:vAlign w:val="center"/>
                </w:tcPr>
                <w:p w:rsidR="003B0AB3" w:rsidRPr="00A92029" w:rsidRDefault="00B530F2" w:rsidP="007342C0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 w:rsidRPr="000A46F6">
                    <w:rPr>
                      <w:rFonts w:cs="Arial"/>
                      <w:sz w:val="20"/>
                      <w:szCs w:val="20"/>
                    </w:rPr>
                    <w:t>ROB and NC</w:t>
                  </w:r>
                </w:p>
              </w:tc>
              <w:tc>
                <w:tcPr>
                  <w:tcW w:w="1791" w:type="dxa"/>
                  <w:vAlign w:val="bottom"/>
                </w:tcPr>
                <w:p w:rsidR="003B0AB3" w:rsidRPr="00A92029" w:rsidRDefault="00B530F2" w:rsidP="00B530F2">
                  <w:pPr>
                    <w:spacing w:line="360" w:lineRule="auto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$</w:t>
                  </w:r>
                  <w:r w:rsidR="002224B0">
                    <w:rPr>
                      <w:rFonts w:cstheme="minorHAnsi"/>
                      <w:sz w:val="20"/>
                      <w:szCs w:val="20"/>
                    </w:rPr>
                    <w:t>4</w:t>
                  </w:r>
                  <w:r w:rsidR="003D0AD7">
                    <w:rPr>
                      <w:rFonts w:cstheme="minorHAnsi"/>
                      <w:sz w:val="20"/>
                      <w:szCs w:val="20"/>
                    </w:rPr>
                    <w:t>0</w:t>
                  </w:r>
                  <w:r w:rsidR="002224B0">
                    <w:rPr>
                      <w:rFonts w:cstheme="minorHAnsi"/>
                      <w:sz w:val="20"/>
                      <w:szCs w:val="20"/>
                    </w:rPr>
                    <w:t>.</w:t>
                  </w:r>
                  <w:r w:rsidR="003D0AD7">
                    <w:rPr>
                      <w:rFonts w:cstheme="minorHAnsi"/>
                      <w:sz w:val="20"/>
                      <w:szCs w:val="20"/>
                    </w:rPr>
                    <w:t>7</w:t>
                  </w:r>
                  <w:r w:rsidR="002224B0">
                    <w:rPr>
                      <w:rFonts w:cstheme="minorHAnsi"/>
                      <w:sz w:val="20"/>
                      <w:szCs w:val="20"/>
                    </w:rPr>
                    <w:t>4</w:t>
                  </w:r>
                  <w:r>
                    <w:rPr>
                      <w:rFonts w:cstheme="minorHAnsi"/>
                      <w:sz w:val="20"/>
                      <w:szCs w:val="20"/>
                    </w:rPr>
                    <w:t>/MBtuh</w:t>
                  </w:r>
                </w:p>
              </w:tc>
              <w:tc>
                <w:tcPr>
                  <w:tcW w:w="1802" w:type="dxa"/>
                </w:tcPr>
                <w:p w:rsidR="00B530F2" w:rsidRDefault="00B530F2" w:rsidP="00B530F2">
                  <w:pPr>
                    <w:tabs>
                      <w:tab w:val="right" w:pos="6732"/>
                    </w:tabs>
                    <w:rPr>
                      <w:rFonts w:cstheme="minorHAnsi"/>
                      <w:sz w:val="20"/>
                      <w:szCs w:val="20"/>
                    </w:rPr>
                  </w:pPr>
                </w:p>
                <w:p w:rsidR="003B0AB3" w:rsidRPr="00A92029" w:rsidRDefault="00B530F2" w:rsidP="00B530F2">
                  <w:pPr>
                    <w:tabs>
                      <w:tab w:val="right" w:pos="6732"/>
                    </w:tabs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N/A</w:t>
                  </w:r>
                </w:p>
              </w:tc>
              <w:tc>
                <w:tcPr>
                  <w:tcW w:w="1800" w:type="dxa"/>
                  <w:vAlign w:val="center"/>
                </w:tcPr>
                <w:p w:rsidR="003B0AB3" w:rsidRPr="00A92029" w:rsidRDefault="00B530F2" w:rsidP="007342C0">
                  <w:pPr>
                    <w:jc w:val="center"/>
                    <w:rPr>
                      <w:rFonts w:cstheme="minorHAnsi"/>
                      <w:sz w:val="20"/>
                      <w:szCs w:val="20"/>
                    </w:rPr>
                  </w:pPr>
                  <w:r>
                    <w:rPr>
                      <w:rFonts w:cstheme="minorHAnsi"/>
                      <w:sz w:val="20"/>
                      <w:szCs w:val="20"/>
                    </w:rPr>
                    <w:t>$</w:t>
                  </w:r>
                  <w:r w:rsidR="003D0AD7">
                    <w:rPr>
                      <w:rFonts w:cstheme="minorHAnsi"/>
                      <w:sz w:val="20"/>
                      <w:szCs w:val="20"/>
                    </w:rPr>
                    <w:t>40</w:t>
                  </w:r>
                  <w:r w:rsidR="002224B0">
                    <w:rPr>
                      <w:rFonts w:cstheme="minorHAnsi"/>
                      <w:sz w:val="20"/>
                      <w:szCs w:val="20"/>
                    </w:rPr>
                    <w:t>.</w:t>
                  </w:r>
                  <w:r w:rsidR="003D0AD7">
                    <w:rPr>
                      <w:rFonts w:cstheme="minorHAnsi"/>
                      <w:sz w:val="20"/>
                      <w:szCs w:val="20"/>
                    </w:rPr>
                    <w:t>7</w:t>
                  </w:r>
                  <w:r w:rsidR="002224B0">
                    <w:rPr>
                      <w:rFonts w:cstheme="minorHAnsi"/>
                      <w:sz w:val="20"/>
                      <w:szCs w:val="20"/>
                    </w:rPr>
                    <w:t>4</w:t>
                  </w:r>
                  <w:r w:rsidR="005F30D7">
                    <w:rPr>
                      <w:rFonts w:cstheme="minorHAnsi"/>
                      <w:sz w:val="20"/>
                      <w:szCs w:val="20"/>
                    </w:rPr>
                    <w:t>/MBtuh</w:t>
                  </w:r>
                </w:p>
              </w:tc>
            </w:tr>
          </w:tbl>
          <w:p w:rsidR="003B0AB3" w:rsidRPr="00A92029" w:rsidRDefault="003B0AB3" w:rsidP="007342C0">
            <w:pPr>
              <w:tabs>
                <w:tab w:val="right" w:pos="6732"/>
              </w:tabs>
              <w:rPr>
                <w:rFonts w:cstheme="minorHAnsi"/>
                <w:sz w:val="20"/>
                <w:szCs w:val="20"/>
              </w:rPr>
            </w:pPr>
            <w:r w:rsidRPr="00A92029">
              <w:rPr>
                <w:rFonts w:cstheme="minorHAnsi"/>
                <w:sz w:val="20"/>
                <w:szCs w:val="20"/>
              </w:rPr>
              <w:tab/>
            </w:r>
          </w:p>
        </w:tc>
      </w:tr>
    </w:tbl>
    <w:p w:rsidR="002B4ED0" w:rsidRDefault="002B4ED0">
      <w:pPr>
        <w:spacing w:after="200" w:line="276" w:lineRule="auto"/>
        <w:rPr>
          <w:rFonts w:cstheme="minorHAnsi"/>
          <w:b/>
          <w:bCs/>
          <w:smallCaps/>
          <w:kern w:val="32"/>
          <w:sz w:val="36"/>
          <w:szCs w:val="32"/>
        </w:rPr>
      </w:pPr>
    </w:p>
    <w:p w:rsidR="002224B0" w:rsidRDefault="002224B0">
      <w:pPr>
        <w:spacing w:after="200" w:line="276" w:lineRule="auto"/>
        <w:rPr>
          <w:rFonts w:cstheme="minorHAnsi"/>
          <w:b/>
          <w:bCs/>
          <w:smallCaps/>
          <w:kern w:val="32"/>
          <w:sz w:val="36"/>
          <w:szCs w:val="32"/>
        </w:rPr>
      </w:pPr>
      <w:r>
        <w:rPr>
          <w:rFonts w:cstheme="minorHAnsi"/>
        </w:rPr>
        <w:br w:type="page"/>
      </w:r>
    </w:p>
    <w:p w:rsidR="00E16609" w:rsidRPr="00500C4E" w:rsidRDefault="00E16609" w:rsidP="00E16609">
      <w:pPr>
        <w:pStyle w:val="Heading1"/>
        <w:rPr>
          <w:rFonts w:cstheme="minorHAnsi"/>
        </w:rPr>
      </w:pPr>
      <w:r w:rsidRPr="00500C4E">
        <w:rPr>
          <w:rFonts w:cstheme="minorHAnsi"/>
        </w:rPr>
        <w:lastRenderedPageBreak/>
        <w:t>Attachments</w:t>
      </w:r>
    </w:p>
    <w:p w:rsidR="00A500D6" w:rsidRDefault="00A500D6" w:rsidP="00E16609">
      <w:pPr>
        <w:rPr>
          <w:rFonts w:cstheme="minorHAnsi"/>
        </w:rPr>
      </w:pPr>
    </w:p>
    <w:p w:rsidR="00134145" w:rsidRDefault="00C6441A" w:rsidP="002D16E7">
      <w:pPr>
        <w:rPr>
          <w:rFonts w:cstheme="minorHAnsi"/>
        </w:rPr>
      </w:pPr>
      <w:r w:rsidRPr="00C6441A">
        <w:rPr>
          <w:rFonts w:cstheme="minorHAnsi"/>
        </w:rPr>
        <w:t xml:space="preserve">Attachment-A_ EnergyImpacts and normalized </w:t>
      </w:r>
      <w:r w:rsidR="00010313">
        <w:rPr>
          <w:rFonts w:cstheme="minorHAnsi"/>
        </w:rPr>
        <w:t xml:space="preserve">DEER </w:t>
      </w:r>
      <w:r w:rsidRPr="00C6441A">
        <w:rPr>
          <w:rFonts w:cstheme="minorHAnsi"/>
        </w:rPr>
        <w:t>savings calculations</w:t>
      </w:r>
    </w:p>
    <w:p w:rsidR="004E48D6" w:rsidRDefault="004E48D6" w:rsidP="002D16E7">
      <w:pPr>
        <w:rPr>
          <w:rFonts w:cstheme="minorHAnsi"/>
        </w:rPr>
      </w:pPr>
    </w:p>
    <w:p w:rsidR="004E48D6" w:rsidRDefault="004E48D6" w:rsidP="002D16E7">
      <w:pPr>
        <w:rPr>
          <w:rFonts w:cstheme="minorHAnsi"/>
        </w:rPr>
      </w:pPr>
      <w:r>
        <w:rPr>
          <w:rFonts w:cstheme="minorHAnsi"/>
        </w:rPr>
        <w:t>Attachment-B_Cost estimate</w:t>
      </w:r>
      <w:r w:rsidR="00FA0508">
        <w:rPr>
          <w:rFonts w:cstheme="minorHAnsi"/>
        </w:rPr>
        <w:t>s</w:t>
      </w:r>
    </w:p>
    <w:p w:rsidR="002B263A" w:rsidRDefault="002B263A" w:rsidP="002D16E7">
      <w:pPr>
        <w:rPr>
          <w:rFonts w:cstheme="minorHAnsi"/>
        </w:rPr>
      </w:pPr>
    </w:p>
    <w:p w:rsidR="002B263A" w:rsidRDefault="002B263A" w:rsidP="002D16E7">
      <w:pPr>
        <w:rPr>
          <w:rFonts w:cstheme="minorHAnsi"/>
        </w:rPr>
      </w:pPr>
    </w:p>
    <w:p w:rsidR="00612041" w:rsidRPr="00500C4E" w:rsidRDefault="00612041" w:rsidP="00E16609">
      <w:pPr>
        <w:rPr>
          <w:rFonts w:cstheme="minorHAnsi"/>
        </w:rPr>
      </w:pPr>
    </w:p>
    <w:p w:rsidR="00C54EFF" w:rsidRPr="00500C4E" w:rsidRDefault="00C54EFF" w:rsidP="00E16609">
      <w:pPr>
        <w:rPr>
          <w:rFonts w:cstheme="minorHAnsi"/>
        </w:rPr>
      </w:pPr>
    </w:p>
    <w:p w:rsidR="00C54EFF" w:rsidRPr="00500C4E" w:rsidRDefault="00C54EFF">
      <w:pPr>
        <w:spacing w:after="200" w:line="276" w:lineRule="auto"/>
        <w:rPr>
          <w:rFonts w:cstheme="minorHAnsi"/>
        </w:rPr>
      </w:pPr>
      <w:r w:rsidRPr="00500C4E">
        <w:rPr>
          <w:rFonts w:cstheme="minorHAnsi"/>
        </w:rPr>
        <w:br w:type="page"/>
      </w:r>
    </w:p>
    <w:p w:rsidR="00480E7B" w:rsidRPr="002D16E7" w:rsidRDefault="00C54EFF" w:rsidP="002D16E7">
      <w:pPr>
        <w:pStyle w:val="Heading1"/>
        <w:rPr>
          <w:rFonts w:cstheme="minorHAnsi"/>
        </w:rPr>
      </w:pPr>
      <w:r w:rsidRPr="00500C4E">
        <w:rPr>
          <w:rFonts w:cstheme="minorHAnsi"/>
        </w:rPr>
        <w:lastRenderedPageBreak/>
        <w:t>References</w:t>
      </w:r>
    </w:p>
    <w:sectPr w:rsidR="00480E7B" w:rsidRPr="002D16E7" w:rsidSect="00E87C8F">
      <w:footerReference w:type="default" r:id="rId11"/>
      <w:pgSz w:w="12240" w:h="15840"/>
      <w:pgMar w:top="1440" w:right="1440" w:bottom="155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569A" w:rsidRDefault="00B6569A" w:rsidP="00447D6E">
      <w:r>
        <w:separator/>
      </w:r>
    </w:p>
    <w:p w:rsidR="00B6569A" w:rsidRDefault="00B6569A"/>
  </w:endnote>
  <w:endnote w:type="continuationSeparator" w:id="0">
    <w:p w:rsidR="00B6569A" w:rsidRDefault="00B6569A" w:rsidP="00447D6E">
      <w:r>
        <w:continuationSeparator/>
      </w:r>
    </w:p>
    <w:p w:rsidR="00B6569A" w:rsidRDefault="00B6569A"/>
  </w:endnote>
  <w:endnote w:id="1">
    <w:p w:rsidR="002C7588" w:rsidRDefault="002D16E7" w:rsidP="002C7588">
      <w:pPr>
        <w:pStyle w:val="EndnoteText"/>
      </w:pPr>
      <w:r>
        <w:rPr>
          <w:rStyle w:val="EndnoteReference"/>
        </w:rPr>
        <w:endnoteRef/>
      </w:r>
      <w:r>
        <w:t xml:space="preserve"> PG&amp;E Work Paper PGECOHVC146 </w:t>
      </w:r>
      <w:r w:rsidR="002C7588">
        <w:t xml:space="preserve">High Efficiency Gas Furnace 95% AFUE </w:t>
      </w:r>
    </w:p>
    <w:p w:rsidR="002D16E7" w:rsidRDefault="002C7588" w:rsidP="002C7588">
      <w:pPr>
        <w:pStyle w:val="EndnoteText"/>
      </w:pPr>
      <w:r>
        <w:t>(1.04 HIR) – Nonresidential, Revision-4.</w:t>
      </w:r>
    </w:p>
    <w:p w:rsidR="002D16E7" w:rsidRDefault="002D16E7">
      <w:pPr>
        <w:pStyle w:val="EndnoteText"/>
      </w:pPr>
    </w:p>
    <w:p w:rsidR="00B5516D" w:rsidRDefault="00B5516D">
      <w:pPr>
        <w:pStyle w:val="EndnoteText"/>
      </w:pPr>
    </w:p>
  </w:endnote>
  <w:endnote w:id="2">
    <w:p w:rsidR="00B0770D" w:rsidRDefault="00B0770D" w:rsidP="00B0770D">
      <w:pPr>
        <w:pStyle w:val="EndnoteText"/>
        <w:rPr>
          <w:rStyle w:val="Hyperlink"/>
        </w:rPr>
      </w:pPr>
      <w:r>
        <w:rPr>
          <w:rStyle w:val="EndnoteReference"/>
        </w:rPr>
        <w:endnoteRef/>
      </w:r>
      <w:r>
        <w:t xml:space="preserve"> Gas Technology Institute, </w:t>
      </w:r>
      <w:r w:rsidRPr="00B0770D">
        <w:t xml:space="preserve">High-Efficiency Heating Rooftop Units (RTUs) – </w:t>
      </w:r>
      <w:r>
        <w:t>Page</w:t>
      </w:r>
      <w:r w:rsidR="00D14681">
        <w:t>s</w:t>
      </w:r>
      <w:r w:rsidRPr="00B0770D">
        <w:t xml:space="preserve"> 13 and 14</w:t>
      </w:r>
      <w:r>
        <w:t xml:space="preserve"> of “</w:t>
      </w:r>
      <w:r w:rsidRPr="00B0770D">
        <w:t>The Final Frontier for Condensing Gas Furnaces</w:t>
      </w:r>
      <w:r>
        <w:t>, May 19, 2014.”</w:t>
      </w:r>
    </w:p>
    <w:p w:rsidR="00B0770D" w:rsidRDefault="00B6569A" w:rsidP="00B0770D">
      <w:pPr>
        <w:pStyle w:val="EndnoteText"/>
      </w:pPr>
      <w:hyperlink r:id="rId1" w:history="1">
        <w:r w:rsidR="00B0770D" w:rsidRPr="00DE3843">
          <w:rPr>
            <w:rStyle w:val="Hyperlink"/>
          </w:rPr>
          <w:t>http://www.gastechnology.org/Expertise/Documents/ETP/ETP-CenterPoint-Energy-Conference-Condensing-RTU-Presentation-05-21-2014.pdf</w:t>
        </w:r>
      </w:hyperlink>
    </w:p>
    <w:p w:rsidR="00FD77A4" w:rsidRDefault="00FD77A4" w:rsidP="00FD77A4">
      <w:pPr>
        <w:pStyle w:val="EndnoteText"/>
      </w:pPr>
      <w:r>
        <w:t>TECHNOLOGY SNAPSHOT: Condensing Rooftop Units (RTUs)</w:t>
      </w:r>
    </w:p>
    <w:p w:rsidR="00FD77A4" w:rsidRDefault="00B6569A" w:rsidP="00FD77A4">
      <w:pPr>
        <w:pStyle w:val="EndnoteText"/>
      </w:pPr>
      <w:hyperlink r:id="rId2" w:history="1">
        <w:r w:rsidR="00FD77A4" w:rsidRPr="00DE3843">
          <w:rPr>
            <w:rStyle w:val="Hyperlink"/>
          </w:rPr>
          <w:t>http://www.gastechnology.org/Expertise/Documents/ETP/Condensing-Roof-Top-Units-Technology-Snapshot-02-2017.pdf</w:t>
        </w:r>
      </w:hyperlink>
    </w:p>
    <w:p w:rsidR="00FD77A4" w:rsidRDefault="00FD77A4" w:rsidP="00B0770D">
      <w:pPr>
        <w:pStyle w:val="EndnoteText"/>
      </w:pPr>
    </w:p>
    <w:p w:rsidR="00B0770D" w:rsidRDefault="00B0770D">
      <w:pPr>
        <w:pStyle w:val="EndnoteText"/>
      </w:pPr>
    </w:p>
  </w:endnote>
  <w:endnote w:id="3">
    <w:p w:rsidR="000A3A39" w:rsidRDefault="000A3A39">
      <w:pPr>
        <w:pStyle w:val="EndnoteText"/>
      </w:pPr>
      <w:r>
        <w:rPr>
          <w:rStyle w:val="EndnoteReference"/>
        </w:rPr>
        <w:endnoteRef/>
      </w:r>
      <w:r>
        <w:t xml:space="preserve"> GTI’s </w:t>
      </w:r>
      <w:r w:rsidRPr="000A3A39">
        <w:t>New and Emerging Natural Gas Technologies</w:t>
      </w:r>
      <w:r>
        <w:t xml:space="preserve">, </w:t>
      </w:r>
      <w:r w:rsidRPr="000A3A39">
        <w:t>2017 Energy Efficiency and Technology Conference</w:t>
      </w:r>
      <w:r>
        <w:t xml:space="preserve">  </w:t>
      </w:r>
      <w:hyperlink r:id="rId3" w:history="1">
        <w:r w:rsidRPr="00DE3843">
          <w:rPr>
            <w:rStyle w:val="Hyperlink"/>
          </w:rPr>
          <w:t>https://www.centerpointenergy.com/en-us/Documents/Track 3 Session 2_New and Emerging Natural Gas Technologies.pdf</w:t>
        </w:r>
      </w:hyperlink>
    </w:p>
    <w:p w:rsidR="000A3A39" w:rsidRDefault="000A3A39">
      <w:pPr>
        <w:pStyle w:val="EndnoteText"/>
      </w:pPr>
    </w:p>
    <w:p w:rsidR="00B5516D" w:rsidRDefault="00B5516D">
      <w:pPr>
        <w:pStyle w:val="EndnoteText"/>
      </w:pPr>
    </w:p>
  </w:endnote>
  <w:endnote w:id="4">
    <w:p w:rsidR="002D16E7" w:rsidRDefault="002D16E7" w:rsidP="002D16E7">
      <w:r>
        <w:rPr>
          <w:rStyle w:val="EndnoteReference"/>
        </w:rPr>
        <w:endnoteRef/>
      </w:r>
      <w:r>
        <w:t xml:space="preserve"> </w:t>
      </w:r>
      <w:r w:rsidRPr="008A2B23">
        <w:t xml:space="preserve">California Commercial End-Use Survey (CEUS), published by the California Energy Commission (CEC), CEC-400-2006-005, accessed at </w:t>
      </w:r>
      <w:hyperlink r:id="rId4" w:history="1">
        <w:r w:rsidRPr="008A2B23">
          <w:rPr>
            <w:rStyle w:val="Hyperlink"/>
          </w:rPr>
          <w:t>http://www.energy.ca.gov/ceus/index.html</w:t>
        </w:r>
      </w:hyperlink>
      <w:r w:rsidRPr="008A2B23">
        <w:t>, March 2006.</w:t>
      </w:r>
    </w:p>
    <w:p w:rsidR="002D16E7" w:rsidRDefault="002D16E7">
      <w:pPr>
        <w:pStyle w:val="EndnoteText"/>
      </w:pPr>
    </w:p>
    <w:p w:rsidR="00B5516D" w:rsidRDefault="00B5516D">
      <w:pPr>
        <w:pStyle w:val="EndnoteText"/>
      </w:pPr>
    </w:p>
  </w:endnote>
  <w:endnote w:id="5">
    <w:p w:rsidR="00C773F1" w:rsidRDefault="00C773F1">
      <w:pPr>
        <w:pStyle w:val="EndnoteText"/>
        <w:rPr>
          <w:rStyle w:val="Hyperlink"/>
        </w:rPr>
      </w:pPr>
      <w:r>
        <w:rPr>
          <w:rStyle w:val="EndnoteReference"/>
        </w:rPr>
        <w:endnoteRef/>
      </w:r>
      <w:r>
        <w:t xml:space="preserve"> CEUS </w:t>
      </w:r>
      <w:r w:rsidRPr="00C773F1">
        <w:t>Energy-use data</w:t>
      </w:r>
      <w:r>
        <w:t xml:space="preserve"> </w:t>
      </w:r>
      <w:hyperlink r:id="rId5" w:history="1">
        <w:r w:rsidRPr="00431BC7">
          <w:rPr>
            <w:rStyle w:val="Hyperlink"/>
          </w:rPr>
          <w:t>http://capabilities.itron.com/CeusWeb/ChartsSF/Default2.aspx</w:t>
        </w:r>
      </w:hyperlink>
    </w:p>
    <w:p w:rsidR="001E353F" w:rsidRDefault="001E353F">
      <w:pPr>
        <w:pStyle w:val="EndnoteText"/>
      </w:pPr>
    </w:p>
    <w:p w:rsidR="001E353F" w:rsidRDefault="001E353F">
      <w:pPr>
        <w:pStyle w:val="EndnoteText"/>
      </w:pPr>
    </w:p>
    <w:p w:rsidR="00C773F1" w:rsidRDefault="00FD77A4" w:rsidP="00FD77A4">
      <w:pPr>
        <w:pStyle w:val="EndnoteText"/>
      </w:pPr>
      <w:r>
        <w:rPr>
          <w:sz w:val="18"/>
          <w:szCs w:val="18"/>
        </w:rPr>
        <w:t xml:space="preserve">  </w:t>
      </w:r>
    </w:p>
    <w:p w:rsidR="002B263A" w:rsidRDefault="002B263A">
      <w:pPr>
        <w:pStyle w:val="EndnoteText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altName w:val="Times New Roman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42C0" w:rsidRDefault="00B6569A" w:rsidP="00F571A6">
    <w:pPr>
      <w:pStyle w:val="Footer"/>
      <w:jc w:val="right"/>
      <w:rPr>
        <w:rFonts w:cstheme="minorHAnsi"/>
        <w:b/>
        <w:sz w:val="36"/>
        <w:szCs w:val="36"/>
      </w:rPr>
    </w:pPr>
    <w:sdt>
      <w:sdtPr>
        <w:rPr>
          <w:rFonts w:cstheme="minorHAnsi"/>
          <w:b/>
          <w:sz w:val="36"/>
          <w:szCs w:val="36"/>
        </w:rPr>
        <w:alias w:val="Date"/>
        <w:tag w:val=""/>
        <w:id w:val="-507450817"/>
        <w:placeholder>
          <w:docPart w:val="F35B0C5DED46403682E831B0B6DC2920"/>
        </w:placeholder>
        <w:dataBinding w:prefixMappings="xmlns:ns0='http://schemas.microsoft.com/office/2006/coverPageProps' " w:xpath="/ns0:CoverPageProperties[1]/ns0:PublishDate[1]" w:storeItemID="{55AF091B-3C7A-41E3-B477-F2FDAA23CFDA}"/>
        <w:date w:fullDate="2018-07-24T00:00:00Z">
          <w:dateFormat w:val="MMMM d, yyyy"/>
          <w:lid w:val="en-US"/>
          <w:storeMappedDataAs w:val="dateTime"/>
          <w:calendar w:val="gregorian"/>
        </w:date>
      </w:sdtPr>
      <w:sdtEndPr/>
      <w:sdtContent>
        <w:r w:rsidR="007F1B9B">
          <w:rPr>
            <w:rFonts w:cstheme="minorHAnsi"/>
            <w:b/>
            <w:sz w:val="36"/>
            <w:szCs w:val="36"/>
          </w:rPr>
          <w:t>July</w:t>
        </w:r>
        <w:r w:rsidR="007342C0">
          <w:rPr>
            <w:rFonts w:cstheme="minorHAnsi"/>
            <w:b/>
            <w:sz w:val="36"/>
            <w:szCs w:val="36"/>
          </w:rPr>
          <w:t xml:space="preserve"> </w:t>
        </w:r>
        <w:r w:rsidR="007F1B9B">
          <w:rPr>
            <w:rFonts w:cstheme="minorHAnsi"/>
            <w:b/>
            <w:sz w:val="36"/>
            <w:szCs w:val="36"/>
          </w:rPr>
          <w:t>24</w:t>
        </w:r>
        <w:r w:rsidR="007342C0">
          <w:rPr>
            <w:rFonts w:cstheme="minorHAnsi"/>
            <w:b/>
            <w:sz w:val="36"/>
            <w:szCs w:val="36"/>
          </w:rPr>
          <w:t>, 2018</w:t>
        </w:r>
      </w:sdtContent>
    </w:sdt>
  </w:p>
  <w:p w:rsidR="007342C0" w:rsidRPr="009500DC" w:rsidRDefault="007342C0" w:rsidP="00447D6E">
    <w:pPr>
      <w:pStyle w:val="Footer"/>
      <w:jc w:val="right"/>
      <w:rPr>
        <w:rFonts w:cstheme="minorHAns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342C0" w:rsidRPr="009500DC" w:rsidRDefault="00B6569A" w:rsidP="009500DC">
    <w:pPr>
      <w:pStyle w:val="Footer"/>
      <w:pBdr>
        <w:top w:val="single" w:sz="4" w:space="1" w:color="auto"/>
      </w:pBdr>
      <w:rPr>
        <w:rFonts w:cstheme="minorHAnsi"/>
        <w:b/>
        <w:sz w:val="20"/>
        <w:szCs w:val="20"/>
      </w:rPr>
    </w:pPr>
    <w:sdt>
      <w:sdtPr>
        <w:rPr>
          <w:rFonts w:cstheme="minorHAnsi"/>
          <w:b/>
          <w:sz w:val="20"/>
          <w:szCs w:val="20"/>
        </w:rPr>
        <w:alias w:val="Title"/>
        <w:tag w:val=""/>
        <w:id w:val="75309839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4165C">
          <w:rPr>
            <w:rFonts w:cstheme="minorHAnsi"/>
            <w:b/>
            <w:sz w:val="20"/>
            <w:szCs w:val="20"/>
          </w:rPr>
          <w:t>WPSCGNRHC180524A</w:t>
        </w:r>
      </w:sdtContent>
    </w:sdt>
    <w:r w:rsidR="007342C0">
      <w:rPr>
        <w:rFonts w:cstheme="minorHAnsi"/>
        <w:b/>
        <w:sz w:val="20"/>
        <w:szCs w:val="20"/>
      </w:rPr>
      <w:t xml:space="preserve">, </w:t>
    </w:r>
    <w:sdt>
      <w:sdtPr>
        <w:rPr>
          <w:rFonts w:cstheme="minorHAnsi"/>
          <w:b/>
          <w:sz w:val="20"/>
          <w:szCs w:val="20"/>
        </w:rPr>
        <w:alias w:val="Revision"/>
        <w:tag w:val=""/>
        <w:id w:val="-2113278608"/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7342C0">
          <w:rPr>
            <w:rFonts w:cstheme="minorHAnsi"/>
            <w:b/>
            <w:sz w:val="20"/>
            <w:szCs w:val="20"/>
          </w:rPr>
          <w:t>Revision 0</w:t>
        </w:r>
      </w:sdtContent>
    </w:sdt>
    <w:r w:rsidR="007342C0" w:rsidRPr="009500DC">
      <w:rPr>
        <w:rFonts w:cstheme="minorHAnsi"/>
        <w:b/>
        <w:sz w:val="20"/>
        <w:szCs w:val="20"/>
      </w:rPr>
      <w:tab/>
    </w:r>
    <w:r w:rsidR="007342C0" w:rsidRPr="009500DC">
      <w:rPr>
        <w:rFonts w:cstheme="minorHAnsi"/>
        <w:b/>
        <w:sz w:val="20"/>
        <w:szCs w:val="20"/>
      </w:rPr>
      <w:fldChar w:fldCharType="begin"/>
    </w:r>
    <w:r w:rsidR="007342C0" w:rsidRPr="009500DC">
      <w:rPr>
        <w:rFonts w:cstheme="minorHAnsi"/>
        <w:b/>
        <w:sz w:val="20"/>
        <w:szCs w:val="20"/>
      </w:rPr>
      <w:instrText xml:space="preserve"> PAGE   \* MERGEFORMAT </w:instrText>
    </w:r>
    <w:r w:rsidR="007342C0" w:rsidRPr="009500DC">
      <w:rPr>
        <w:rFonts w:cstheme="minorHAnsi"/>
        <w:b/>
        <w:sz w:val="20"/>
        <w:szCs w:val="20"/>
      </w:rPr>
      <w:fldChar w:fldCharType="separate"/>
    </w:r>
    <w:r w:rsidR="001E0551">
      <w:rPr>
        <w:rFonts w:cstheme="minorHAnsi"/>
        <w:b/>
        <w:noProof/>
        <w:sz w:val="20"/>
        <w:szCs w:val="20"/>
      </w:rPr>
      <w:t>5</w:t>
    </w:r>
    <w:r w:rsidR="007342C0" w:rsidRPr="009500DC">
      <w:rPr>
        <w:rFonts w:cstheme="minorHAnsi"/>
        <w:b/>
        <w:noProof/>
        <w:sz w:val="20"/>
        <w:szCs w:val="20"/>
      </w:rPr>
      <w:fldChar w:fldCharType="end"/>
    </w:r>
    <w:r w:rsidR="007342C0" w:rsidRPr="009500DC">
      <w:rPr>
        <w:rFonts w:cstheme="minorHAnsi"/>
        <w:b/>
        <w:sz w:val="20"/>
        <w:szCs w:val="20"/>
      </w:rPr>
      <w:tab/>
    </w:r>
    <w:sdt>
      <w:sdtPr>
        <w:rPr>
          <w:rFonts w:cstheme="minorHAnsi"/>
          <w:b/>
          <w:sz w:val="20"/>
          <w:szCs w:val="20"/>
        </w:rPr>
        <w:alias w:val="Date"/>
        <w:tag w:val=""/>
        <w:id w:val="1618402214"/>
        <w:dataBinding w:prefixMappings="xmlns:ns0='http://schemas.microsoft.com/office/2006/coverPageProps' " w:xpath="/ns0:CoverPageProperties[1]/ns0:PublishDate[1]" w:storeItemID="{55AF091B-3C7A-41E3-B477-F2FDAA23CFDA}"/>
        <w:date w:fullDate="2018-07-24T00:00:00Z">
          <w:dateFormat w:val="MMMM d, yyyy"/>
          <w:lid w:val="en-US"/>
          <w:storeMappedDataAs w:val="dateTime"/>
          <w:calendar w:val="gregorian"/>
        </w:date>
      </w:sdtPr>
      <w:sdtEndPr/>
      <w:sdtContent>
        <w:r w:rsidR="007F1B9B">
          <w:rPr>
            <w:rFonts w:cstheme="minorHAnsi"/>
            <w:b/>
            <w:sz w:val="20"/>
            <w:szCs w:val="20"/>
          </w:rPr>
          <w:t>July 24, 2018</w:t>
        </w:r>
      </w:sdtContent>
    </w:sdt>
  </w:p>
  <w:p w:rsidR="007342C0" w:rsidRPr="009500DC" w:rsidRDefault="00B6569A" w:rsidP="009500DC">
    <w:pPr>
      <w:pStyle w:val="Footer"/>
      <w:pBdr>
        <w:top w:val="single" w:sz="4" w:space="1" w:color="auto"/>
      </w:pBdr>
      <w:rPr>
        <w:rFonts w:cstheme="minorHAnsi"/>
      </w:rPr>
    </w:pPr>
    <w:sdt>
      <w:sdtPr>
        <w:rPr>
          <w:rFonts w:cstheme="minorHAnsi"/>
          <w:b/>
          <w:sz w:val="20"/>
          <w:szCs w:val="20"/>
        </w:rPr>
        <w:alias w:val="Company"/>
        <w:tag w:val=""/>
        <w:id w:val="-368612514"/>
        <w:dataBinding w:prefixMappings="xmlns:ns0='http://schemas.openxmlformats.org/officeDocument/2006/extended-properties' " w:xpath="/ns0:Properties[1]/ns0:Company[1]" w:storeItemID="{6668398D-A668-4E3E-A5EB-62B293D839F1}"/>
        <w:text/>
      </w:sdtPr>
      <w:sdtEndPr/>
      <w:sdtContent>
        <w:r w:rsidR="007342C0">
          <w:rPr>
            <w:rFonts w:cstheme="minorHAnsi"/>
            <w:b/>
            <w:sz w:val="20"/>
            <w:szCs w:val="20"/>
          </w:rPr>
          <w:t>Program Administrator</w:t>
        </w:r>
      </w:sdtContent>
    </w:sdt>
  </w:p>
  <w:p w:rsidR="007342C0" w:rsidRDefault="007342C0"/>
  <w:p w:rsidR="007342C0" w:rsidRDefault="007342C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569A" w:rsidRDefault="00B6569A" w:rsidP="00447D6E">
      <w:r>
        <w:separator/>
      </w:r>
    </w:p>
    <w:p w:rsidR="00B6569A" w:rsidRDefault="00B6569A"/>
  </w:footnote>
  <w:footnote w:type="continuationSeparator" w:id="0">
    <w:p w:rsidR="00B6569A" w:rsidRDefault="00B6569A" w:rsidP="00447D6E">
      <w:r>
        <w:continuationSeparator/>
      </w:r>
    </w:p>
    <w:p w:rsidR="00B6569A" w:rsidRDefault="00B6569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4E3825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D74AD"/>
    <w:multiLevelType w:val="hybridMultilevel"/>
    <w:tmpl w:val="B9BCD416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C59A5"/>
    <w:multiLevelType w:val="hybridMultilevel"/>
    <w:tmpl w:val="B6D23B28"/>
    <w:lvl w:ilvl="0" w:tplc="0409000F">
      <w:start w:val="1"/>
      <w:numFmt w:val="decimal"/>
      <w:lvlText w:val="%1."/>
      <w:lvlJc w:val="left"/>
      <w:pPr>
        <w:tabs>
          <w:tab w:val="num" w:pos="-720"/>
        </w:tabs>
        <w:ind w:left="-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" w15:restartNumberingAfterBreak="0">
    <w:nsid w:val="148E47C5"/>
    <w:multiLevelType w:val="hybridMultilevel"/>
    <w:tmpl w:val="1D940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70A78"/>
    <w:multiLevelType w:val="hybridMultilevel"/>
    <w:tmpl w:val="23BA0F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892702"/>
    <w:multiLevelType w:val="hybridMultilevel"/>
    <w:tmpl w:val="85684AB6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6" w15:restartNumberingAfterBreak="0">
    <w:nsid w:val="1D9F21F6"/>
    <w:multiLevelType w:val="hybridMultilevel"/>
    <w:tmpl w:val="181A0B8E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F74D6A"/>
    <w:multiLevelType w:val="hybridMultilevel"/>
    <w:tmpl w:val="49E421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B862A7"/>
    <w:multiLevelType w:val="hybridMultilevel"/>
    <w:tmpl w:val="F1C828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0D545BB"/>
    <w:multiLevelType w:val="hybridMultilevel"/>
    <w:tmpl w:val="9DAE8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031577"/>
    <w:multiLevelType w:val="hybridMultilevel"/>
    <w:tmpl w:val="3732D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091ED8"/>
    <w:multiLevelType w:val="hybridMultilevel"/>
    <w:tmpl w:val="DC5C6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4359AD"/>
    <w:multiLevelType w:val="hybridMultilevel"/>
    <w:tmpl w:val="058E9634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D47FD2"/>
    <w:multiLevelType w:val="hybridMultilevel"/>
    <w:tmpl w:val="EDAA4A9C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B619B9"/>
    <w:multiLevelType w:val="hybridMultilevel"/>
    <w:tmpl w:val="138EA3A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026C56"/>
    <w:multiLevelType w:val="hybridMultilevel"/>
    <w:tmpl w:val="B64C09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B73035A"/>
    <w:multiLevelType w:val="hybridMultilevel"/>
    <w:tmpl w:val="A84CD4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D70A9F"/>
    <w:multiLevelType w:val="hybridMultilevel"/>
    <w:tmpl w:val="6ABC05BC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EB13A3"/>
    <w:multiLevelType w:val="hybridMultilevel"/>
    <w:tmpl w:val="060C7B20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9" w15:restartNumberingAfterBreak="0">
    <w:nsid w:val="3076623A"/>
    <w:multiLevelType w:val="multilevel"/>
    <w:tmpl w:val="59EC4572"/>
    <w:lvl w:ilvl="0">
      <w:start w:val="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34C770E7"/>
    <w:multiLevelType w:val="hybridMultilevel"/>
    <w:tmpl w:val="5596BE7A"/>
    <w:lvl w:ilvl="0" w:tplc="40BE3C82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64CD5A2">
      <w:start w:val="1"/>
      <w:numFmt w:val="bullet"/>
      <w:lvlText w:val="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A06B79"/>
    <w:multiLevelType w:val="hybridMultilevel"/>
    <w:tmpl w:val="7C4AAB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8444676"/>
    <w:multiLevelType w:val="hybridMultilevel"/>
    <w:tmpl w:val="C3E0E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6D579D"/>
    <w:multiLevelType w:val="hybridMultilevel"/>
    <w:tmpl w:val="BA40DA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002EED"/>
    <w:multiLevelType w:val="hybridMultilevel"/>
    <w:tmpl w:val="08C86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764FE8"/>
    <w:multiLevelType w:val="hybridMultilevel"/>
    <w:tmpl w:val="646E6C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EE4522"/>
    <w:multiLevelType w:val="hybridMultilevel"/>
    <w:tmpl w:val="DCA2B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081C3C"/>
    <w:multiLevelType w:val="hybridMultilevel"/>
    <w:tmpl w:val="B8425F62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3A61D0"/>
    <w:multiLevelType w:val="hybridMultilevel"/>
    <w:tmpl w:val="50CC32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8D21835"/>
    <w:multiLevelType w:val="hybridMultilevel"/>
    <w:tmpl w:val="AD6814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C96767"/>
    <w:multiLevelType w:val="hybridMultilevel"/>
    <w:tmpl w:val="463AB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35289E"/>
    <w:multiLevelType w:val="hybridMultilevel"/>
    <w:tmpl w:val="63F894B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10E6E72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7392A5F"/>
    <w:multiLevelType w:val="hybridMultilevel"/>
    <w:tmpl w:val="5170B2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3E3253"/>
    <w:multiLevelType w:val="hybridMultilevel"/>
    <w:tmpl w:val="B6162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5F16AE"/>
    <w:multiLevelType w:val="hybridMultilevel"/>
    <w:tmpl w:val="AE7AFC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3211DF"/>
    <w:multiLevelType w:val="hybridMultilevel"/>
    <w:tmpl w:val="724E749A"/>
    <w:lvl w:ilvl="0" w:tplc="C67C15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7E2F62"/>
    <w:multiLevelType w:val="hybridMultilevel"/>
    <w:tmpl w:val="1D4658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0"/>
  </w:num>
  <w:num w:numId="3">
    <w:abstractNumId w:val="19"/>
  </w:num>
  <w:num w:numId="4">
    <w:abstractNumId w:val="17"/>
  </w:num>
  <w:num w:numId="5">
    <w:abstractNumId w:val="17"/>
  </w:num>
  <w:num w:numId="6">
    <w:abstractNumId w:val="2"/>
  </w:num>
  <w:num w:numId="7">
    <w:abstractNumId w:val="21"/>
  </w:num>
  <w:num w:numId="8">
    <w:abstractNumId w:val="18"/>
  </w:num>
  <w:num w:numId="9">
    <w:abstractNumId w:val="10"/>
  </w:num>
  <w:num w:numId="10">
    <w:abstractNumId w:val="5"/>
  </w:num>
  <w:num w:numId="11">
    <w:abstractNumId w:val="22"/>
  </w:num>
  <w:num w:numId="12">
    <w:abstractNumId w:val="16"/>
  </w:num>
  <w:num w:numId="13">
    <w:abstractNumId w:val="9"/>
  </w:num>
  <w:num w:numId="14">
    <w:abstractNumId w:val="33"/>
  </w:num>
  <w:num w:numId="15">
    <w:abstractNumId w:val="7"/>
  </w:num>
  <w:num w:numId="16">
    <w:abstractNumId w:val="11"/>
  </w:num>
  <w:num w:numId="17">
    <w:abstractNumId w:val="4"/>
  </w:num>
  <w:num w:numId="18">
    <w:abstractNumId w:val="0"/>
  </w:num>
  <w:num w:numId="19">
    <w:abstractNumId w:val="30"/>
  </w:num>
  <w:num w:numId="20">
    <w:abstractNumId w:val="3"/>
  </w:num>
  <w:num w:numId="21">
    <w:abstractNumId w:val="24"/>
  </w:num>
  <w:num w:numId="22">
    <w:abstractNumId w:val="26"/>
  </w:num>
  <w:num w:numId="23">
    <w:abstractNumId w:val="34"/>
  </w:num>
  <w:num w:numId="24">
    <w:abstractNumId w:val="29"/>
  </w:num>
  <w:num w:numId="25">
    <w:abstractNumId w:val="12"/>
  </w:num>
  <w:num w:numId="26">
    <w:abstractNumId w:val="14"/>
  </w:num>
  <w:num w:numId="27">
    <w:abstractNumId w:val="27"/>
  </w:num>
  <w:num w:numId="28">
    <w:abstractNumId w:val="13"/>
  </w:num>
  <w:num w:numId="29">
    <w:abstractNumId w:val="6"/>
  </w:num>
  <w:num w:numId="30">
    <w:abstractNumId w:val="1"/>
  </w:num>
  <w:num w:numId="31">
    <w:abstractNumId w:val="35"/>
  </w:num>
  <w:num w:numId="32">
    <w:abstractNumId w:val="23"/>
  </w:num>
  <w:num w:numId="33">
    <w:abstractNumId w:val="28"/>
  </w:num>
  <w:num w:numId="34">
    <w:abstractNumId w:val="8"/>
  </w:num>
  <w:num w:numId="35">
    <w:abstractNumId w:val="15"/>
  </w:num>
  <w:num w:numId="36">
    <w:abstractNumId w:val="36"/>
  </w:num>
  <w:num w:numId="37">
    <w:abstractNumId w:val="25"/>
  </w:num>
  <w:num w:numId="38">
    <w:abstractNumId w:val="32"/>
  </w:num>
  <w:num w:numId="3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609"/>
    <w:rsid w:val="000016DB"/>
    <w:rsid w:val="00005902"/>
    <w:rsid w:val="0001002B"/>
    <w:rsid w:val="00010313"/>
    <w:rsid w:val="00010806"/>
    <w:rsid w:val="00013F71"/>
    <w:rsid w:val="000173BF"/>
    <w:rsid w:val="00022613"/>
    <w:rsid w:val="00022E72"/>
    <w:rsid w:val="00024252"/>
    <w:rsid w:val="000245B5"/>
    <w:rsid w:val="00027183"/>
    <w:rsid w:val="00033EA1"/>
    <w:rsid w:val="0003746D"/>
    <w:rsid w:val="0004020F"/>
    <w:rsid w:val="000436CB"/>
    <w:rsid w:val="000515DC"/>
    <w:rsid w:val="00052E17"/>
    <w:rsid w:val="00056947"/>
    <w:rsid w:val="0005701B"/>
    <w:rsid w:val="00061A8E"/>
    <w:rsid w:val="00064CB3"/>
    <w:rsid w:val="00070BEE"/>
    <w:rsid w:val="00072040"/>
    <w:rsid w:val="00076DF4"/>
    <w:rsid w:val="00076F51"/>
    <w:rsid w:val="00086F7F"/>
    <w:rsid w:val="0009074D"/>
    <w:rsid w:val="0009592B"/>
    <w:rsid w:val="000968C6"/>
    <w:rsid w:val="000A3A39"/>
    <w:rsid w:val="000A46F6"/>
    <w:rsid w:val="000A63C9"/>
    <w:rsid w:val="000A76A1"/>
    <w:rsid w:val="000B060C"/>
    <w:rsid w:val="000B3765"/>
    <w:rsid w:val="000B50E8"/>
    <w:rsid w:val="000B655B"/>
    <w:rsid w:val="000C0000"/>
    <w:rsid w:val="000C18CC"/>
    <w:rsid w:val="000C2301"/>
    <w:rsid w:val="000C5071"/>
    <w:rsid w:val="000C687D"/>
    <w:rsid w:val="000C7ED1"/>
    <w:rsid w:val="000D62DD"/>
    <w:rsid w:val="000D789A"/>
    <w:rsid w:val="000E4B5F"/>
    <w:rsid w:val="000E706D"/>
    <w:rsid w:val="000E7550"/>
    <w:rsid w:val="000F130A"/>
    <w:rsid w:val="000F4FD8"/>
    <w:rsid w:val="00105DC5"/>
    <w:rsid w:val="00107242"/>
    <w:rsid w:val="0010730C"/>
    <w:rsid w:val="00111CC5"/>
    <w:rsid w:val="001206F7"/>
    <w:rsid w:val="001236C1"/>
    <w:rsid w:val="00126348"/>
    <w:rsid w:val="001270EA"/>
    <w:rsid w:val="00133EE8"/>
    <w:rsid w:val="00134145"/>
    <w:rsid w:val="0013488B"/>
    <w:rsid w:val="00140B30"/>
    <w:rsid w:val="00147155"/>
    <w:rsid w:val="00153CB3"/>
    <w:rsid w:val="00154C3B"/>
    <w:rsid w:val="00157C12"/>
    <w:rsid w:val="00160158"/>
    <w:rsid w:val="00165357"/>
    <w:rsid w:val="001665B1"/>
    <w:rsid w:val="001722B7"/>
    <w:rsid w:val="001727D9"/>
    <w:rsid w:val="00174BB4"/>
    <w:rsid w:val="00175A43"/>
    <w:rsid w:val="00175D14"/>
    <w:rsid w:val="001811EE"/>
    <w:rsid w:val="00183AEE"/>
    <w:rsid w:val="00185AD4"/>
    <w:rsid w:val="001875F5"/>
    <w:rsid w:val="00187B78"/>
    <w:rsid w:val="00192E26"/>
    <w:rsid w:val="001979AF"/>
    <w:rsid w:val="001A0EB4"/>
    <w:rsid w:val="001A0F76"/>
    <w:rsid w:val="001A1A86"/>
    <w:rsid w:val="001A4751"/>
    <w:rsid w:val="001A5F62"/>
    <w:rsid w:val="001B015E"/>
    <w:rsid w:val="001B2301"/>
    <w:rsid w:val="001B618B"/>
    <w:rsid w:val="001B61EF"/>
    <w:rsid w:val="001B7A91"/>
    <w:rsid w:val="001C1338"/>
    <w:rsid w:val="001C4140"/>
    <w:rsid w:val="001C5A94"/>
    <w:rsid w:val="001D2317"/>
    <w:rsid w:val="001D3223"/>
    <w:rsid w:val="001D33EF"/>
    <w:rsid w:val="001D5AB3"/>
    <w:rsid w:val="001E0519"/>
    <w:rsid w:val="001E0551"/>
    <w:rsid w:val="001E0829"/>
    <w:rsid w:val="001E1320"/>
    <w:rsid w:val="001E353F"/>
    <w:rsid w:val="001E556A"/>
    <w:rsid w:val="001F05CE"/>
    <w:rsid w:val="001F1905"/>
    <w:rsid w:val="001F4A65"/>
    <w:rsid w:val="002002ED"/>
    <w:rsid w:val="00202836"/>
    <w:rsid w:val="00205C45"/>
    <w:rsid w:val="0021035B"/>
    <w:rsid w:val="00211153"/>
    <w:rsid w:val="0021275E"/>
    <w:rsid w:val="002224B0"/>
    <w:rsid w:val="00231351"/>
    <w:rsid w:val="0023254A"/>
    <w:rsid w:val="00234080"/>
    <w:rsid w:val="002344FB"/>
    <w:rsid w:val="00236216"/>
    <w:rsid w:val="002405CD"/>
    <w:rsid w:val="00240B74"/>
    <w:rsid w:val="00243B62"/>
    <w:rsid w:val="0024675B"/>
    <w:rsid w:val="002469DD"/>
    <w:rsid w:val="00247180"/>
    <w:rsid w:val="002532CE"/>
    <w:rsid w:val="00254671"/>
    <w:rsid w:val="00257D36"/>
    <w:rsid w:val="00263C1C"/>
    <w:rsid w:val="00271415"/>
    <w:rsid w:val="00274FBE"/>
    <w:rsid w:val="00275209"/>
    <w:rsid w:val="002762E1"/>
    <w:rsid w:val="002811BC"/>
    <w:rsid w:val="002826E1"/>
    <w:rsid w:val="00283DE8"/>
    <w:rsid w:val="00285552"/>
    <w:rsid w:val="00285966"/>
    <w:rsid w:val="00285A0D"/>
    <w:rsid w:val="00290ED8"/>
    <w:rsid w:val="00296B49"/>
    <w:rsid w:val="002A03FC"/>
    <w:rsid w:val="002A1843"/>
    <w:rsid w:val="002A3D26"/>
    <w:rsid w:val="002A523E"/>
    <w:rsid w:val="002B1ADF"/>
    <w:rsid w:val="002B263A"/>
    <w:rsid w:val="002B4ED0"/>
    <w:rsid w:val="002B502E"/>
    <w:rsid w:val="002B657B"/>
    <w:rsid w:val="002C0642"/>
    <w:rsid w:val="002C2853"/>
    <w:rsid w:val="002C444C"/>
    <w:rsid w:val="002C458F"/>
    <w:rsid w:val="002C6C20"/>
    <w:rsid w:val="002C6C7A"/>
    <w:rsid w:val="002C7588"/>
    <w:rsid w:val="002C7F78"/>
    <w:rsid w:val="002D16E7"/>
    <w:rsid w:val="002D4270"/>
    <w:rsid w:val="002D5277"/>
    <w:rsid w:val="002D71FA"/>
    <w:rsid w:val="002D73AF"/>
    <w:rsid w:val="002E4FD9"/>
    <w:rsid w:val="002E5B58"/>
    <w:rsid w:val="002F1437"/>
    <w:rsid w:val="002F3943"/>
    <w:rsid w:val="002F4E34"/>
    <w:rsid w:val="002F6A42"/>
    <w:rsid w:val="002F79E7"/>
    <w:rsid w:val="003003EC"/>
    <w:rsid w:val="003035E3"/>
    <w:rsid w:val="0030363A"/>
    <w:rsid w:val="00317970"/>
    <w:rsid w:val="00317EB0"/>
    <w:rsid w:val="00332700"/>
    <w:rsid w:val="003358BD"/>
    <w:rsid w:val="00343B65"/>
    <w:rsid w:val="003446FD"/>
    <w:rsid w:val="00344E88"/>
    <w:rsid w:val="00345D80"/>
    <w:rsid w:val="003471D4"/>
    <w:rsid w:val="00350BF1"/>
    <w:rsid w:val="00353C49"/>
    <w:rsid w:val="003540B1"/>
    <w:rsid w:val="003557E9"/>
    <w:rsid w:val="00355A87"/>
    <w:rsid w:val="003560BA"/>
    <w:rsid w:val="00364CC6"/>
    <w:rsid w:val="003650F6"/>
    <w:rsid w:val="0036726C"/>
    <w:rsid w:val="00375873"/>
    <w:rsid w:val="00376919"/>
    <w:rsid w:val="003832D2"/>
    <w:rsid w:val="003845E5"/>
    <w:rsid w:val="00393137"/>
    <w:rsid w:val="00396FB7"/>
    <w:rsid w:val="00397406"/>
    <w:rsid w:val="003A3170"/>
    <w:rsid w:val="003A360E"/>
    <w:rsid w:val="003B0AB3"/>
    <w:rsid w:val="003D0AD7"/>
    <w:rsid w:val="003D17FF"/>
    <w:rsid w:val="003D2871"/>
    <w:rsid w:val="003D5B83"/>
    <w:rsid w:val="003D767A"/>
    <w:rsid w:val="003E6E47"/>
    <w:rsid w:val="003F0623"/>
    <w:rsid w:val="003F33DE"/>
    <w:rsid w:val="003F3A41"/>
    <w:rsid w:val="003F4FB3"/>
    <w:rsid w:val="003F5443"/>
    <w:rsid w:val="003F67E9"/>
    <w:rsid w:val="00401031"/>
    <w:rsid w:val="004023B7"/>
    <w:rsid w:val="004045A0"/>
    <w:rsid w:val="0041086A"/>
    <w:rsid w:val="00413CDB"/>
    <w:rsid w:val="00416481"/>
    <w:rsid w:val="004200FE"/>
    <w:rsid w:val="00421183"/>
    <w:rsid w:val="00421BA6"/>
    <w:rsid w:val="00421C17"/>
    <w:rsid w:val="004259D2"/>
    <w:rsid w:val="00426CDE"/>
    <w:rsid w:val="00433EA1"/>
    <w:rsid w:val="0044165C"/>
    <w:rsid w:val="00441957"/>
    <w:rsid w:val="00443D32"/>
    <w:rsid w:val="004469DD"/>
    <w:rsid w:val="004476B2"/>
    <w:rsid w:val="00447CE5"/>
    <w:rsid w:val="00447D6E"/>
    <w:rsid w:val="0045048F"/>
    <w:rsid w:val="0045181B"/>
    <w:rsid w:val="00452133"/>
    <w:rsid w:val="00452C7A"/>
    <w:rsid w:val="00456B53"/>
    <w:rsid w:val="0046286E"/>
    <w:rsid w:val="00467261"/>
    <w:rsid w:val="004673A2"/>
    <w:rsid w:val="00471234"/>
    <w:rsid w:val="00472250"/>
    <w:rsid w:val="004734E8"/>
    <w:rsid w:val="0047437C"/>
    <w:rsid w:val="00477522"/>
    <w:rsid w:val="004802FA"/>
    <w:rsid w:val="00480700"/>
    <w:rsid w:val="00480E7B"/>
    <w:rsid w:val="00481A5C"/>
    <w:rsid w:val="004843E5"/>
    <w:rsid w:val="00484BF6"/>
    <w:rsid w:val="0049052C"/>
    <w:rsid w:val="00493457"/>
    <w:rsid w:val="00494628"/>
    <w:rsid w:val="0049566B"/>
    <w:rsid w:val="00497338"/>
    <w:rsid w:val="0049792E"/>
    <w:rsid w:val="004A1650"/>
    <w:rsid w:val="004B0A68"/>
    <w:rsid w:val="004B1184"/>
    <w:rsid w:val="004B4A3A"/>
    <w:rsid w:val="004B5CE5"/>
    <w:rsid w:val="004B750E"/>
    <w:rsid w:val="004C02D2"/>
    <w:rsid w:val="004C2244"/>
    <w:rsid w:val="004C23F1"/>
    <w:rsid w:val="004D069A"/>
    <w:rsid w:val="004D2AD3"/>
    <w:rsid w:val="004E01F5"/>
    <w:rsid w:val="004E297E"/>
    <w:rsid w:val="004E48D6"/>
    <w:rsid w:val="004E76CA"/>
    <w:rsid w:val="004F1698"/>
    <w:rsid w:val="004F3BD0"/>
    <w:rsid w:val="004F6832"/>
    <w:rsid w:val="00500C4E"/>
    <w:rsid w:val="00505CEC"/>
    <w:rsid w:val="0051020F"/>
    <w:rsid w:val="00513CAB"/>
    <w:rsid w:val="00516CF5"/>
    <w:rsid w:val="00516E97"/>
    <w:rsid w:val="00521A77"/>
    <w:rsid w:val="00523597"/>
    <w:rsid w:val="00523736"/>
    <w:rsid w:val="00532530"/>
    <w:rsid w:val="00535CA4"/>
    <w:rsid w:val="005476F6"/>
    <w:rsid w:val="00547B44"/>
    <w:rsid w:val="00551D72"/>
    <w:rsid w:val="005540B6"/>
    <w:rsid w:val="005552C3"/>
    <w:rsid w:val="00557C4D"/>
    <w:rsid w:val="00560934"/>
    <w:rsid w:val="00563E58"/>
    <w:rsid w:val="00564960"/>
    <w:rsid w:val="00570654"/>
    <w:rsid w:val="00570F38"/>
    <w:rsid w:val="005720F2"/>
    <w:rsid w:val="005729C8"/>
    <w:rsid w:val="00572D2F"/>
    <w:rsid w:val="005734A4"/>
    <w:rsid w:val="00574402"/>
    <w:rsid w:val="00580EF6"/>
    <w:rsid w:val="00581886"/>
    <w:rsid w:val="00592115"/>
    <w:rsid w:val="00594EF5"/>
    <w:rsid w:val="005A0E53"/>
    <w:rsid w:val="005A1078"/>
    <w:rsid w:val="005A4658"/>
    <w:rsid w:val="005A496B"/>
    <w:rsid w:val="005B28C1"/>
    <w:rsid w:val="005B59C3"/>
    <w:rsid w:val="005B6344"/>
    <w:rsid w:val="005C1C74"/>
    <w:rsid w:val="005C1FE9"/>
    <w:rsid w:val="005C2E48"/>
    <w:rsid w:val="005C3F23"/>
    <w:rsid w:val="005D1937"/>
    <w:rsid w:val="005D4DD7"/>
    <w:rsid w:val="005E12A9"/>
    <w:rsid w:val="005E140B"/>
    <w:rsid w:val="005F139E"/>
    <w:rsid w:val="005F30D7"/>
    <w:rsid w:val="005F69D5"/>
    <w:rsid w:val="00602799"/>
    <w:rsid w:val="00602F18"/>
    <w:rsid w:val="006035DF"/>
    <w:rsid w:val="00607C30"/>
    <w:rsid w:val="006110F3"/>
    <w:rsid w:val="00612041"/>
    <w:rsid w:val="00614AFF"/>
    <w:rsid w:val="00621ABA"/>
    <w:rsid w:val="0062322A"/>
    <w:rsid w:val="0062745B"/>
    <w:rsid w:val="00631157"/>
    <w:rsid w:val="00633734"/>
    <w:rsid w:val="006404E6"/>
    <w:rsid w:val="0064680F"/>
    <w:rsid w:val="0064729D"/>
    <w:rsid w:val="00647ABE"/>
    <w:rsid w:val="006516BA"/>
    <w:rsid w:val="00664B05"/>
    <w:rsid w:val="00665C04"/>
    <w:rsid w:val="00665C8F"/>
    <w:rsid w:val="0066682D"/>
    <w:rsid w:val="00670F93"/>
    <w:rsid w:val="006746FE"/>
    <w:rsid w:val="00676E9F"/>
    <w:rsid w:val="00680934"/>
    <w:rsid w:val="006842C6"/>
    <w:rsid w:val="00684978"/>
    <w:rsid w:val="00685D5C"/>
    <w:rsid w:val="0069264D"/>
    <w:rsid w:val="0069578B"/>
    <w:rsid w:val="00697868"/>
    <w:rsid w:val="006A055F"/>
    <w:rsid w:val="006A126F"/>
    <w:rsid w:val="006A14E9"/>
    <w:rsid w:val="006A2A65"/>
    <w:rsid w:val="006A5293"/>
    <w:rsid w:val="006A67E4"/>
    <w:rsid w:val="006A6D15"/>
    <w:rsid w:val="006B0DF3"/>
    <w:rsid w:val="006B0F11"/>
    <w:rsid w:val="006B27FA"/>
    <w:rsid w:val="006B4A48"/>
    <w:rsid w:val="006C2276"/>
    <w:rsid w:val="006C2C55"/>
    <w:rsid w:val="006C430A"/>
    <w:rsid w:val="006D2809"/>
    <w:rsid w:val="006E27A3"/>
    <w:rsid w:val="006E3342"/>
    <w:rsid w:val="006E4B12"/>
    <w:rsid w:val="006E65D0"/>
    <w:rsid w:val="006F1B21"/>
    <w:rsid w:val="006F21E8"/>
    <w:rsid w:val="006F78D5"/>
    <w:rsid w:val="0070091B"/>
    <w:rsid w:val="007048AC"/>
    <w:rsid w:val="00704AE2"/>
    <w:rsid w:val="0071200F"/>
    <w:rsid w:val="00713133"/>
    <w:rsid w:val="0072344B"/>
    <w:rsid w:val="00726338"/>
    <w:rsid w:val="00726AD5"/>
    <w:rsid w:val="00733C7D"/>
    <w:rsid w:val="007342C0"/>
    <w:rsid w:val="00740761"/>
    <w:rsid w:val="00745F77"/>
    <w:rsid w:val="007464DE"/>
    <w:rsid w:val="0075296C"/>
    <w:rsid w:val="007529EA"/>
    <w:rsid w:val="00753788"/>
    <w:rsid w:val="00755A45"/>
    <w:rsid w:val="00760CDC"/>
    <w:rsid w:val="00764D0D"/>
    <w:rsid w:val="00777C53"/>
    <w:rsid w:val="00782EE7"/>
    <w:rsid w:val="00786E92"/>
    <w:rsid w:val="007933F1"/>
    <w:rsid w:val="007A5F52"/>
    <w:rsid w:val="007B090A"/>
    <w:rsid w:val="007C1F5B"/>
    <w:rsid w:val="007D0659"/>
    <w:rsid w:val="007D0A39"/>
    <w:rsid w:val="007E43F8"/>
    <w:rsid w:val="007E5076"/>
    <w:rsid w:val="007E656B"/>
    <w:rsid w:val="007E7E3F"/>
    <w:rsid w:val="007F1B9B"/>
    <w:rsid w:val="007F2997"/>
    <w:rsid w:val="007F50E8"/>
    <w:rsid w:val="007F54E2"/>
    <w:rsid w:val="007F6C7D"/>
    <w:rsid w:val="007F7FBA"/>
    <w:rsid w:val="00800319"/>
    <w:rsid w:val="0080044E"/>
    <w:rsid w:val="00800706"/>
    <w:rsid w:val="00801706"/>
    <w:rsid w:val="0080189A"/>
    <w:rsid w:val="00801F7F"/>
    <w:rsid w:val="00803C2B"/>
    <w:rsid w:val="00811945"/>
    <w:rsid w:val="008140CC"/>
    <w:rsid w:val="00824F1C"/>
    <w:rsid w:val="00826688"/>
    <w:rsid w:val="0083369B"/>
    <w:rsid w:val="00835D38"/>
    <w:rsid w:val="00846BFF"/>
    <w:rsid w:val="00847A4E"/>
    <w:rsid w:val="00866070"/>
    <w:rsid w:val="00871D79"/>
    <w:rsid w:val="00872B34"/>
    <w:rsid w:val="0087393E"/>
    <w:rsid w:val="008748B9"/>
    <w:rsid w:val="00881A42"/>
    <w:rsid w:val="00882386"/>
    <w:rsid w:val="00882570"/>
    <w:rsid w:val="0088361D"/>
    <w:rsid w:val="00885E0A"/>
    <w:rsid w:val="0088603B"/>
    <w:rsid w:val="008877AF"/>
    <w:rsid w:val="00892229"/>
    <w:rsid w:val="00893FC3"/>
    <w:rsid w:val="0089577B"/>
    <w:rsid w:val="008B1024"/>
    <w:rsid w:val="008B1357"/>
    <w:rsid w:val="008B263F"/>
    <w:rsid w:val="008B2DF3"/>
    <w:rsid w:val="008B6706"/>
    <w:rsid w:val="008C115D"/>
    <w:rsid w:val="008C2E0E"/>
    <w:rsid w:val="008C3A6E"/>
    <w:rsid w:val="008C4DE0"/>
    <w:rsid w:val="008C56AE"/>
    <w:rsid w:val="008C6CA3"/>
    <w:rsid w:val="008D3930"/>
    <w:rsid w:val="008D67F9"/>
    <w:rsid w:val="008E17CC"/>
    <w:rsid w:val="008E25B1"/>
    <w:rsid w:val="008E378C"/>
    <w:rsid w:val="008E56FB"/>
    <w:rsid w:val="008F0D79"/>
    <w:rsid w:val="008F2167"/>
    <w:rsid w:val="008F33B4"/>
    <w:rsid w:val="008F6298"/>
    <w:rsid w:val="0090077A"/>
    <w:rsid w:val="00900F47"/>
    <w:rsid w:val="00904ADA"/>
    <w:rsid w:val="00907697"/>
    <w:rsid w:val="00910A69"/>
    <w:rsid w:val="009138A0"/>
    <w:rsid w:val="0091424C"/>
    <w:rsid w:val="00917DE4"/>
    <w:rsid w:val="00920905"/>
    <w:rsid w:val="0092203A"/>
    <w:rsid w:val="00922B85"/>
    <w:rsid w:val="009268A8"/>
    <w:rsid w:val="00930CDC"/>
    <w:rsid w:val="00931E45"/>
    <w:rsid w:val="00933188"/>
    <w:rsid w:val="00935AF9"/>
    <w:rsid w:val="009403A5"/>
    <w:rsid w:val="009500DC"/>
    <w:rsid w:val="00951923"/>
    <w:rsid w:val="00971E54"/>
    <w:rsid w:val="00972C81"/>
    <w:rsid w:val="009824E9"/>
    <w:rsid w:val="009826E5"/>
    <w:rsid w:val="009844A1"/>
    <w:rsid w:val="00986E20"/>
    <w:rsid w:val="00991266"/>
    <w:rsid w:val="00995479"/>
    <w:rsid w:val="00995CB0"/>
    <w:rsid w:val="00997E77"/>
    <w:rsid w:val="009A2734"/>
    <w:rsid w:val="009B2A02"/>
    <w:rsid w:val="009B2B61"/>
    <w:rsid w:val="009B5B7B"/>
    <w:rsid w:val="009C1777"/>
    <w:rsid w:val="009C2C86"/>
    <w:rsid w:val="009C4DEF"/>
    <w:rsid w:val="009C6FE0"/>
    <w:rsid w:val="009D0753"/>
    <w:rsid w:val="009D1072"/>
    <w:rsid w:val="009D10A4"/>
    <w:rsid w:val="009D4E70"/>
    <w:rsid w:val="009D5131"/>
    <w:rsid w:val="009D6F71"/>
    <w:rsid w:val="009E1802"/>
    <w:rsid w:val="009E1CDE"/>
    <w:rsid w:val="009E2B06"/>
    <w:rsid w:val="009E3829"/>
    <w:rsid w:val="009E51E2"/>
    <w:rsid w:val="009F7A61"/>
    <w:rsid w:val="00A11800"/>
    <w:rsid w:val="00A11C16"/>
    <w:rsid w:val="00A1423E"/>
    <w:rsid w:val="00A17664"/>
    <w:rsid w:val="00A20FAF"/>
    <w:rsid w:val="00A24520"/>
    <w:rsid w:val="00A3164A"/>
    <w:rsid w:val="00A347BC"/>
    <w:rsid w:val="00A37F42"/>
    <w:rsid w:val="00A4411F"/>
    <w:rsid w:val="00A500D6"/>
    <w:rsid w:val="00A523FF"/>
    <w:rsid w:val="00A54756"/>
    <w:rsid w:val="00A54C66"/>
    <w:rsid w:val="00A571A2"/>
    <w:rsid w:val="00A57D36"/>
    <w:rsid w:val="00A61BB6"/>
    <w:rsid w:val="00A620F3"/>
    <w:rsid w:val="00A65734"/>
    <w:rsid w:val="00A6687F"/>
    <w:rsid w:val="00A67907"/>
    <w:rsid w:val="00A73CC1"/>
    <w:rsid w:val="00A80270"/>
    <w:rsid w:val="00A82DB1"/>
    <w:rsid w:val="00A84127"/>
    <w:rsid w:val="00A86DA2"/>
    <w:rsid w:val="00A90DFC"/>
    <w:rsid w:val="00A91BF3"/>
    <w:rsid w:val="00A93CEC"/>
    <w:rsid w:val="00AA00B3"/>
    <w:rsid w:val="00AA0A9C"/>
    <w:rsid w:val="00AA0D75"/>
    <w:rsid w:val="00AA16C0"/>
    <w:rsid w:val="00AA46FE"/>
    <w:rsid w:val="00AA4CDC"/>
    <w:rsid w:val="00AB21D4"/>
    <w:rsid w:val="00AB21F5"/>
    <w:rsid w:val="00AB3386"/>
    <w:rsid w:val="00AB36DB"/>
    <w:rsid w:val="00AC0B1D"/>
    <w:rsid w:val="00AC2C3F"/>
    <w:rsid w:val="00AC2F5B"/>
    <w:rsid w:val="00AC3DAD"/>
    <w:rsid w:val="00AC5309"/>
    <w:rsid w:val="00AC5B97"/>
    <w:rsid w:val="00AD049F"/>
    <w:rsid w:val="00AD4DD0"/>
    <w:rsid w:val="00AE0A8D"/>
    <w:rsid w:val="00AE0F9B"/>
    <w:rsid w:val="00AF6342"/>
    <w:rsid w:val="00B0353E"/>
    <w:rsid w:val="00B053FB"/>
    <w:rsid w:val="00B05647"/>
    <w:rsid w:val="00B070AC"/>
    <w:rsid w:val="00B0770D"/>
    <w:rsid w:val="00B07EE5"/>
    <w:rsid w:val="00B21CC5"/>
    <w:rsid w:val="00B26778"/>
    <w:rsid w:val="00B26B83"/>
    <w:rsid w:val="00B32479"/>
    <w:rsid w:val="00B32DE7"/>
    <w:rsid w:val="00B33FE2"/>
    <w:rsid w:val="00B403ED"/>
    <w:rsid w:val="00B4065F"/>
    <w:rsid w:val="00B41038"/>
    <w:rsid w:val="00B45091"/>
    <w:rsid w:val="00B45447"/>
    <w:rsid w:val="00B52E1E"/>
    <w:rsid w:val="00B530F2"/>
    <w:rsid w:val="00B5516D"/>
    <w:rsid w:val="00B614F1"/>
    <w:rsid w:val="00B6569A"/>
    <w:rsid w:val="00B73693"/>
    <w:rsid w:val="00B8373A"/>
    <w:rsid w:val="00B866B4"/>
    <w:rsid w:val="00B91CA6"/>
    <w:rsid w:val="00B94226"/>
    <w:rsid w:val="00BA0A8C"/>
    <w:rsid w:val="00BA0CEB"/>
    <w:rsid w:val="00BA0FF6"/>
    <w:rsid w:val="00BA2383"/>
    <w:rsid w:val="00BA2E7E"/>
    <w:rsid w:val="00BA2EF3"/>
    <w:rsid w:val="00BA590A"/>
    <w:rsid w:val="00BA5FE4"/>
    <w:rsid w:val="00BA6862"/>
    <w:rsid w:val="00BA7EE6"/>
    <w:rsid w:val="00BB0B39"/>
    <w:rsid w:val="00BB2618"/>
    <w:rsid w:val="00BB30D1"/>
    <w:rsid w:val="00BB39D8"/>
    <w:rsid w:val="00BB5F75"/>
    <w:rsid w:val="00BC43BC"/>
    <w:rsid w:val="00BC4D96"/>
    <w:rsid w:val="00BC6524"/>
    <w:rsid w:val="00BC7D09"/>
    <w:rsid w:val="00BD1DF4"/>
    <w:rsid w:val="00BD3931"/>
    <w:rsid w:val="00BD5B88"/>
    <w:rsid w:val="00BD5F58"/>
    <w:rsid w:val="00BE0AEB"/>
    <w:rsid w:val="00C018E0"/>
    <w:rsid w:val="00C05AAF"/>
    <w:rsid w:val="00C07494"/>
    <w:rsid w:val="00C118C7"/>
    <w:rsid w:val="00C14C7F"/>
    <w:rsid w:val="00C207EA"/>
    <w:rsid w:val="00C20877"/>
    <w:rsid w:val="00C20E7B"/>
    <w:rsid w:val="00C21456"/>
    <w:rsid w:val="00C24D03"/>
    <w:rsid w:val="00C25E61"/>
    <w:rsid w:val="00C331B6"/>
    <w:rsid w:val="00C35A1B"/>
    <w:rsid w:val="00C413F3"/>
    <w:rsid w:val="00C5055F"/>
    <w:rsid w:val="00C54EFF"/>
    <w:rsid w:val="00C55D03"/>
    <w:rsid w:val="00C63548"/>
    <w:rsid w:val="00C63F96"/>
    <w:rsid w:val="00C6441A"/>
    <w:rsid w:val="00C65450"/>
    <w:rsid w:val="00C675F4"/>
    <w:rsid w:val="00C677AF"/>
    <w:rsid w:val="00C67E59"/>
    <w:rsid w:val="00C67E61"/>
    <w:rsid w:val="00C72339"/>
    <w:rsid w:val="00C72B8B"/>
    <w:rsid w:val="00C72CB5"/>
    <w:rsid w:val="00C76D4F"/>
    <w:rsid w:val="00C773F1"/>
    <w:rsid w:val="00C805BC"/>
    <w:rsid w:val="00C82C4B"/>
    <w:rsid w:val="00C83A27"/>
    <w:rsid w:val="00C959CA"/>
    <w:rsid w:val="00C95D16"/>
    <w:rsid w:val="00CA2AB4"/>
    <w:rsid w:val="00CA2FD3"/>
    <w:rsid w:val="00CA3284"/>
    <w:rsid w:val="00CB0100"/>
    <w:rsid w:val="00CB04D2"/>
    <w:rsid w:val="00CD7EFE"/>
    <w:rsid w:val="00CE0C66"/>
    <w:rsid w:val="00CE28CF"/>
    <w:rsid w:val="00CE4386"/>
    <w:rsid w:val="00CE4CDC"/>
    <w:rsid w:val="00CE5BEB"/>
    <w:rsid w:val="00CE69E9"/>
    <w:rsid w:val="00CE71F2"/>
    <w:rsid w:val="00CF29F8"/>
    <w:rsid w:val="00CF3F65"/>
    <w:rsid w:val="00CF464D"/>
    <w:rsid w:val="00CF7C51"/>
    <w:rsid w:val="00D022E1"/>
    <w:rsid w:val="00D14681"/>
    <w:rsid w:val="00D17EF4"/>
    <w:rsid w:val="00D23770"/>
    <w:rsid w:val="00D25074"/>
    <w:rsid w:val="00D34517"/>
    <w:rsid w:val="00D34E58"/>
    <w:rsid w:val="00D36798"/>
    <w:rsid w:val="00D47E80"/>
    <w:rsid w:val="00D70563"/>
    <w:rsid w:val="00D70A2D"/>
    <w:rsid w:val="00D70D89"/>
    <w:rsid w:val="00D72051"/>
    <w:rsid w:val="00D7380B"/>
    <w:rsid w:val="00D75D77"/>
    <w:rsid w:val="00D7639E"/>
    <w:rsid w:val="00D769B3"/>
    <w:rsid w:val="00D835EF"/>
    <w:rsid w:val="00D85F09"/>
    <w:rsid w:val="00D86A9D"/>
    <w:rsid w:val="00D93CC0"/>
    <w:rsid w:val="00DA089A"/>
    <w:rsid w:val="00DA11A0"/>
    <w:rsid w:val="00DA2822"/>
    <w:rsid w:val="00DA690B"/>
    <w:rsid w:val="00DA7225"/>
    <w:rsid w:val="00DB44E9"/>
    <w:rsid w:val="00DB4835"/>
    <w:rsid w:val="00DB4D06"/>
    <w:rsid w:val="00DC1966"/>
    <w:rsid w:val="00DC3259"/>
    <w:rsid w:val="00DD0523"/>
    <w:rsid w:val="00DD27F3"/>
    <w:rsid w:val="00DE04FF"/>
    <w:rsid w:val="00DE5758"/>
    <w:rsid w:val="00DE5FCF"/>
    <w:rsid w:val="00DF0D19"/>
    <w:rsid w:val="00DF2EE9"/>
    <w:rsid w:val="00DF6745"/>
    <w:rsid w:val="00DF6FD8"/>
    <w:rsid w:val="00E03F50"/>
    <w:rsid w:val="00E05A80"/>
    <w:rsid w:val="00E06A37"/>
    <w:rsid w:val="00E071A5"/>
    <w:rsid w:val="00E07752"/>
    <w:rsid w:val="00E16609"/>
    <w:rsid w:val="00E16F08"/>
    <w:rsid w:val="00E233F3"/>
    <w:rsid w:val="00E26B34"/>
    <w:rsid w:val="00E314BA"/>
    <w:rsid w:val="00E325BE"/>
    <w:rsid w:val="00E326BA"/>
    <w:rsid w:val="00E34202"/>
    <w:rsid w:val="00E37F72"/>
    <w:rsid w:val="00E40BB3"/>
    <w:rsid w:val="00E40BE5"/>
    <w:rsid w:val="00E40CF9"/>
    <w:rsid w:val="00E42A30"/>
    <w:rsid w:val="00E42F1F"/>
    <w:rsid w:val="00E5625D"/>
    <w:rsid w:val="00E5702D"/>
    <w:rsid w:val="00E60A3C"/>
    <w:rsid w:val="00E648BB"/>
    <w:rsid w:val="00E67ACA"/>
    <w:rsid w:val="00E70AF1"/>
    <w:rsid w:val="00E76B31"/>
    <w:rsid w:val="00E81F3E"/>
    <w:rsid w:val="00E844BB"/>
    <w:rsid w:val="00E84C48"/>
    <w:rsid w:val="00E859BD"/>
    <w:rsid w:val="00E86B70"/>
    <w:rsid w:val="00E87C8F"/>
    <w:rsid w:val="00E924C3"/>
    <w:rsid w:val="00E954EE"/>
    <w:rsid w:val="00E96759"/>
    <w:rsid w:val="00EA4437"/>
    <w:rsid w:val="00EA469F"/>
    <w:rsid w:val="00EA4D87"/>
    <w:rsid w:val="00EA7B3F"/>
    <w:rsid w:val="00EB34FC"/>
    <w:rsid w:val="00EB76E1"/>
    <w:rsid w:val="00EC2499"/>
    <w:rsid w:val="00EE4120"/>
    <w:rsid w:val="00EF2E8A"/>
    <w:rsid w:val="00EF4E6B"/>
    <w:rsid w:val="00EF5416"/>
    <w:rsid w:val="00F06CCF"/>
    <w:rsid w:val="00F1053D"/>
    <w:rsid w:val="00F110D5"/>
    <w:rsid w:val="00F11E63"/>
    <w:rsid w:val="00F12733"/>
    <w:rsid w:val="00F171E1"/>
    <w:rsid w:val="00F20091"/>
    <w:rsid w:val="00F20DCF"/>
    <w:rsid w:val="00F25B36"/>
    <w:rsid w:val="00F3052A"/>
    <w:rsid w:val="00F341E3"/>
    <w:rsid w:val="00F35D09"/>
    <w:rsid w:val="00F4304D"/>
    <w:rsid w:val="00F46612"/>
    <w:rsid w:val="00F4752B"/>
    <w:rsid w:val="00F476E8"/>
    <w:rsid w:val="00F52210"/>
    <w:rsid w:val="00F541AE"/>
    <w:rsid w:val="00F56792"/>
    <w:rsid w:val="00F571A6"/>
    <w:rsid w:val="00F57C80"/>
    <w:rsid w:val="00F6018B"/>
    <w:rsid w:val="00F60265"/>
    <w:rsid w:val="00F60E32"/>
    <w:rsid w:val="00F644FF"/>
    <w:rsid w:val="00F65ABA"/>
    <w:rsid w:val="00F65E15"/>
    <w:rsid w:val="00F711C0"/>
    <w:rsid w:val="00F7242E"/>
    <w:rsid w:val="00F74B33"/>
    <w:rsid w:val="00F752CA"/>
    <w:rsid w:val="00F810DD"/>
    <w:rsid w:val="00F95E2F"/>
    <w:rsid w:val="00F96DEB"/>
    <w:rsid w:val="00FA0508"/>
    <w:rsid w:val="00FA1872"/>
    <w:rsid w:val="00FA2401"/>
    <w:rsid w:val="00FA4F34"/>
    <w:rsid w:val="00FB2590"/>
    <w:rsid w:val="00FB57FA"/>
    <w:rsid w:val="00FD5A8C"/>
    <w:rsid w:val="00FD634B"/>
    <w:rsid w:val="00FD77A4"/>
    <w:rsid w:val="00FE286E"/>
    <w:rsid w:val="00FE3233"/>
    <w:rsid w:val="00FE4C68"/>
    <w:rsid w:val="00FE5FAF"/>
    <w:rsid w:val="00FE6D74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47235FD-95DE-43F6-BE79-1F68479FF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0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3188"/>
    <w:pPr>
      <w:spacing w:after="0" w:line="240" w:lineRule="auto"/>
    </w:pPr>
    <w:rPr>
      <w:rFonts w:eastAsia="Times New Roman" w:cs="Times New Roman"/>
      <w:szCs w:val="24"/>
    </w:rPr>
  </w:style>
  <w:style w:type="paragraph" w:styleId="Heading1">
    <w:name w:val="heading 1"/>
    <w:basedOn w:val="Normal"/>
    <w:next w:val="Normal"/>
    <w:link w:val="Heading1Char"/>
    <w:qFormat/>
    <w:rsid w:val="00933188"/>
    <w:pPr>
      <w:keepNext/>
      <w:spacing w:before="240" w:after="120"/>
      <w:outlineLvl w:val="0"/>
    </w:pPr>
    <w:rPr>
      <w:rFonts w:cs="Arial"/>
      <w:b/>
      <w:bCs/>
      <w:smallCaps/>
      <w:kern w:val="32"/>
      <w:sz w:val="36"/>
      <w:szCs w:val="32"/>
    </w:rPr>
  </w:style>
  <w:style w:type="paragraph" w:styleId="Heading2">
    <w:name w:val="heading 2"/>
    <w:basedOn w:val="Normal"/>
    <w:next w:val="Normal"/>
    <w:link w:val="Heading2Char"/>
    <w:qFormat/>
    <w:rsid w:val="00E16609"/>
    <w:pPr>
      <w:keepNext/>
      <w:spacing w:before="240" w:after="60"/>
      <w:outlineLvl w:val="1"/>
    </w:pPr>
    <w:rPr>
      <w:rFonts w:ascii="Arial Narrow" w:hAnsi="Arial Narrow" w:cs="Arial"/>
      <w:b/>
      <w:bCs/>
      <w:iCs/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1660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3188"/>
    <w:rPr>
      <w:rFonts w:eastAsia="Times New Roman" w:cs="Arial"/>
      <w:b/>
      <w:bCs/>
      <w:smallCaps/>
      <w:kern w:val="32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E16609"/>
    <w:rPr>
      <w:rFonts w:ascii="Arial Narrow" w:eastAsia="Times New Roman" w:hAnsi="Arial Narrow" w:cs="Arial"/>
      <w:b/>
      <w:bCs/>
      <w:iCs/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E16609"/>
    <w:rPr>
      <w:rFonts w:ascii="Arial" w:eastAsia="Times New Roman" w:hAnsi="Arial" w:cs="Arial"/>
      <w:b/>
      <w:bCs/>
      <w:sz w:val="26"/>
      <w:szCs w:val="26"/>
    </w:rPr>
  </w:style>
  <w:style w:type="paragraph" w:customStyle="1" w:styleId="Reminders">
    <w:name w:val="Reminders"/>
    <w:basedOn w:val="Normal"/>
    <w:link w:val="RemindersChar"/>
    <w:rsid w:val="00E16609"/>
    <w:pPr>
      <w:spacing w:before="40" w:after="40"/>
    </w:pPr>
    <w:rPr>
      <w:rFonts w:ascii="Trebuchet MS" w:hAnsi="Trebuchet MS"/>
      <w:i/>
      <w:color w:val="FF0000"/>
    </w:rPr>
  </w:style>
  <w:style w:type="paragraph" w:customStyle="1" w:styleId="Reminder">
    <w:name w:val="Reminder"/>
    <w:basedOn w:val="Reminders"/>
    <w:link w:val="ReminderChar"/>
    <w:rsid w:val="00E16609"/>
  </w:style>
  <w:style w:type="character" w:customStyle="1" w:styleId="RemindersChar">
    <w:name w:val="Reminders Char"/>
    <w:basedOn w:val="DefaultParagraphFont"/>
    <w:link w:val="Reminders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character" w:customStyle="1" w:styleId="ReminderChar">
    <w:name w:val="Reminder Char"/>
    <w:basedOn w:val="RemindersChar"/>
    <w:link w:val="Reminder"/>
    <w:rsid w:val="00E16609"/>
    <w:rPr>
      <w:rFonts w:ascii="Trebuchet MS" w:eastAsia="Times New Roman" w:hAnsi="Trebuchet MS" w:cs="Times New Roman"/>
      <w:i/>
      <w:color w:val="FF0000"/>
      <w:sz w:val="24"/>
      <w:szCs w:val="24"/>
    </w:rPr>
  </w:style>
  <w:style w:type="table" w:styleId="TableContemporary">
    <w:name w:val="Table Contemporary"/>
    <w:aliases w:val="WP Table"/>
    <w:basedOn w:val="TableNormal"/>
    <w:rsid w:val="00076F5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Caption">
    <w:name w:val="caption"/>
    <w:basedOn w:val="Normal"/>
    <w:next w:val="Normal"/>
    <w:link w:val="CaptionChar"/>
    <w:qFormat/>
    <w:rsid w:val="00E16609"/>
    <w:rPr>
      <w:b/>
      <w:bCs/>
      <w:szCs w:val="3276"/>
    </w:rPr>
  </w:style>
  <w:style w:type="character" w:customStyle="1" w:styleId="CaptionChar">
    <w:name w:val="Caption Char"/>
    <w:basedOn w:val="DefaultParagraphFont"/>
    <w:link w:val="Caption"/>
    <w:rsid w:val="00E16609"/>
    <w:rPr>
      <w:rFonts w:ascii="Times New Roman" w:eastAsia="Times New Roman" w:hAnsi="Times New Roman" w:cs="Times New Roman"/>
      <w:b/>
      <w:bCs/>
      <w:sz w:val="24"/>
      <w:szCs w:val="3276"/>
    </w:rPr>
  </w:style>
  <w:style w:type="character" w:styleId="Hyperlink">
    <w:name w:val="Hyperlink"/>
    <w:basedOn w:val="DefaultParagraphFont"/>
    <w:uiPriority w:val="99"/>
    <w:unhideWhenUsed/>
    <w:rsid w:val="000F130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semiHidden/>
    <w:rsid w:val="000F130A"/>
    <w:pPr>
      <w:ind w:left="360"/>
      <w:jc w:val="both"/>
    </w:pPr>
    <w:rPr>
      <w:rFonts w:ascii="Tahoma" w:hAnsi="Tahoma" w:cs="Tahoma"/>
      <w:bCs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F130A"/>
    <w:rPr>
      <w:rFonts w:ascii="Tahoma" w:eastAsia="Times New Roman" w:hAnsi="Tahoma" w:cs="Tahoma"/>
      <w:bCs/>
      <w:sz w:val="16"/>
      <w:szCs w:val="16"/>
    </w:rPr>
  </w:style>
  <w:style w:type="table" w:styleId="TableGrid">
    <w:name w:val="Table Grid"/>
    <w:basedOn w:val="TableNormal"/>
    <w:rsid w:val="005B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4">
    <w:name w:val="Char Char4"/>
    <w:basedOn w:val="Normal"/>
    <w:rsid w:val="00801F7F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reminders0">
    <w:name w:val="reminders"/>
    <w:basedOn w:val="Normal"/>
    <w:rsid w:val="00DA690B"/>
    <w:rPr>
      <w:rFonts w:ascii="Trebuchet MS" w:hAnsi="Trebuchet MS" w:cs="Arial"/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47D6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6E"/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14715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4715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47155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71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47155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Strong">
    <w:name w:val="Strong"/>
    <w:qFormat/>
    <w:rsid w:val="00290ED8"/>
    <w:rPr>
      <w:rFonts w:ascii="Arial" w:hAnsi="Arial"/>
      <w:b/>
      <w:bCs/>
      <w:sz w:val="22"/>
    </w:rPr>
  </w:style>
  <w:style w:type="character" w:customStyle="1" w:styleId="TitleChar">
    <w:name w:val="Title Char"/>
    <w:locked/>
    <w:rsid w:val="00290ED8"/>
    <w:rPr>
      <w:rFonts w:ascii="Arial" w:hAnsi="Arial"/>
      <w:b/>
      <w:color w:val="17365D"/>
      <w:spacing w:val="5"/>
      <w:kern w:val="28"/>
      <w:sz w:val="48"/>
      <w:szCs w:val="52"/>
      <w:lang w:eastAsia="ko-KR"/>
    </w:rPr>
  </w:style>
  <w:style w:type="character" w:customStyle="1" w:styleId="Strong1">
    <w:name w:val="Strong1"/>
    <w:qFormat/>
    <w:rsid w:val="00290ED8"/>
    <w:rPr>
      <w:b/>
      <w:bCs/>
    </w:rPr>
  </w:style>
  <w:style w:type="table" w:styleId="LightShading">
    <w:name w:val="Light Shading"/>
    <w:basedOn w:val="TableNormal"/>
    <w:uiPriority w:val="60"/>
    <w:rsid w:val="00AC530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styleId="PlaceholderText">
    <w:name w:val="Placeholder Text"/>
    <w:basedOn w:val="DefaultParagraphFont"/>
    <w:uiPriority w:val="99"/>
    <w:semiHidden/>
    <w:rsid w:val="00DE5758"/>
    <w:rPr>
      <w:color w:val="808080"/>
    </w:rPr>
  </w:style>
  <w:style w:type="character" w:customStyle="1" w:styleId="apple-converted-space">
    <w:name w:val="apple-converted-space"/>
    <w:basedOn w:val="DefaultParagraphFont"/>
    <w:rsid w:val="008D3930"/>
  </w:style>
  <w:style w:type="paragraph" w:customStyle="1" w:styleId="WPnumber">
    <w:name w:val="WPnumber"/>
    <w:basedOn w:val="Normal"/>
    <w:link w:val="WPnumberChar"/>
    <w:rsid w:val="00024252"/>
    <w:pPr>
      <w:jc w:val="right"/>
    </w:pPr>
    <w:rPr>
      <w:rFonts w:cstheme="minorHAnsi"/>
      <w:b/>
      <w:sz w:val="48"/>
      <w:szCs w:val="48"/>
    </w:rPr>
  </w:style>
  <w:style w:type="character" w:customStyle="1" w:styleId="WPnumberChar">
    <w:name w:val="WPnumber Char"/>
    <w:basedOn w:val="DefaultParagraphFont"/>
    <w:link w:val="WPnumber"/>
    <w:rsid w:val="00024252"/>
    <w:rPr>
      <w:rFonts w:eastAsia="Times New Roman" w:cstheme="minorHAnsi"/>
      <w:b/>
      <w:sz w:val="48"/>
      <w:szCs w:val="48"/>
    </w:rPr>
  </w:style>
  <w:style w:type="paragraph" w:customStyle="1" w:styleId="Revnumber">
    <w:name w:val="Revnumber"/>
    <w:basedOn w:val="WPnumber"/>
    <w:link w:val="RevnumberChar"/>
    <w:rsid w:val="00285A0D"/>
  </w:style>
  <w:style w:type="paragraph" w:customStyle="1" w:styleId="Datenumber">
    <w:name w:val="Datenumber"/>
    <w:basedOn w:val="Revnumber"/>
    <w:link w:val="DatenumberChar"/>
    <w:rsid w:val="00285A0D"/>
  </w:style>
  <w:style w:type="character" w:customStyle="1" w:styleId="RevnumberChar">
    <w:name w:val="Revnumber Char"/>
    <w:basedOn w:val="WPnumberChar"/>
    <w:link w:val="Revnumber"/>
    <w:rsid w:val="00285A0D"/>
    <w:rPr>
      <w:rFonts w:eastAsia="Times New Roman" w:cstheme="minorHAnsi"/>
      <w:b/>
      <w:sz w:val="48"/>
      <w:szCs w:val="48"/>
    </w:rPr>
  </w:style>
  <w:style w:type="character" w:customStyle="1" w:styleId="DatenumberChar">
    <w:name w:val="Datenumber Char"/>
    <w:basedOn w:val="RevnumberChar"/>
    <w:link w:val="Datenumber"/>
    <w:rsid w:val="00285A0D"/>
    <w:rPr>
      <w:rFonts w:eastAsia="Times New Roman" w:cstheme="minorHAnsi"/>
      <w:b/>
      <w:sz w:val="48"/>
      <w:szCs w:val="48"/>
    </w:rPr>
  </w:style>
  <w:style w:type="paragraph" w:styleId="ListParagraph">
    <w:name w:val="List Paragraph"/>
    <w:basedOn w:val="Normal"/>
    <w:uiPriority w:val="34"/>
    <w:qFormat/>
    <w:rsid w:val="00AC0B1D"/>
    <w:pPr>
      <w:ind w:left="720"/>
      <w:contextualSpacing/>
    </w:pPr>
  </w:style>
  <w:style w:type="table" w:customStyle="1" w:styleId="TableGrid1">
    <w:name w:val="Table Grid1"/>
    <w:basedOn w:val="TableNormal"/>
    <w:next w:val="TableGrid"/>
    <w:rsid w:val="00CE4CDC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rsid w:val="00572D2F"/>
    <w:rPr>
      <w:rFonts w:ascii="Arial" w:hAnsi="Arial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572D2F"/>
    <w:rPr>
      <w:rFonts w:ascii="Arial" w:eastAsia="Times New Roman" w:hAnsi="Arial" w:cs="Times New Roman"/>
      <w:sz w:val="20"/>
      <w:szCs w:val="20"/>
    </w:rPr>
  </w:style>
  <w:style w:type="character" w:styleId="EndnoteReference">
    <w:name w:val="endnote reference"/>
    <w:semiHidden/>
    <w:rsid w:val="00572D2F"/>
    <w:rPr>
      <w:vertAlign w:val="superscript"/>
    </w:rPr>
  </w:style>
  <w:style w:type="table" w:customStyle="1" w:styleId="TableContemporary1">
    <w:name w:val="Table Contemporary1"/>
    <w:basedOn w:val="TableNormal"/>
    <w:next w:val="TableContemporary"/>
    <w:rsid w:val="00E32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TableGridLight1">
    <w:name w:val="Table Grid Light1"/>
    <w:basedOn w:val="TableNormal"/>
    <w:uiPriority w:val="40"/>
    <w:rsid w:val="0064680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InfoExpander">
    <w:name w:val="InfoExpander"/>
    <w:basedOn w:val="Heading3"/>
    <w:link w:val="InfoExpanderChar"/>
    <w:qFormat/>
    <w:rsid w:val="00C05AAF"/>
    <w:pPr>
      <w:tabs>
        <w:tab w:val="num" w:pos="360"/>
      </w:tabs>
      <w:spacing w:before="0" w:after="0"/>
    </w:pPr>
    <w:rPr>
      <w:rFonts w:asciiTheme="minorHAnsi" w:hAnsiTheme="minorHAnsi" w:cstheme="minorHAnsi"/>
      <w:b w:val="0"/>
      <w:sz w:val="22"/>
      <w:szCs w:val="22"/>
      <w:u w:val="single"/>
    </w:rPr>
  </w:style>
  <w:style w:type="character" w:customStyle="1" w:styleId="InfoExpanderChar">
    <w:name w:val="InfoExpander Char"/>
    <w:basedOn w:val="RemindersChar"/>
    <w:link w:val="InfoExpander"/>
    <w:rsid w:val="00C05AAF"/>
    <w:rPr>
      <w:rFonts w:ascii="Trebuchet MS" w:eastAsia="Times New Roman" w:hAnsi="Trebuchet MS" w:cstheme="minorHAnsi"/>
      <w:bCs/>
      <w:i w:val="0"/>
      <w:color w:val="FF0000"/>
      <w:sz w:val="24"/>
      <w:szCs w:val="24"/>
      <w:u w:val="single"/>
    </w:rPr>
  </w:style>
  <w:style w:type="paragraph" w:styleId="NoSpacing">
    <w:name w:val="No Spacing"/>
    <w:uiPriority w:val="1"/>
    <w:qFormat/>
    <w:rsid w:val="00C05AAF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rsid w:val="00A54C66"/>
    <w:pPr>
      <w:numPr>
        <w:numId w:val="18"/>
      </w:numPr>
      <w:contextualSpacing/>
    </w:pPr>
  </w:style>
  <w:style w:type="character" w:styleId="FootnoteReference">
    <w:name w:val="footnote reference"/>
    <w:basedOn w:val="DefaultParagraphFont"/>
    <w:uiPriority w:val="99"/>
    <w:unhideWhenUsed/>
    <w:rsid w:val="00484BF6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77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7AF"/>
    <w:rPr>
      <w:rFonts w:eastAsia="Times New Roman" w:cs="Times New Roman"/>
      <w:sz w:val="20"/>
      <w:szCs w:val="20"/>
    </w:rPr>
  </w:style>
  <w:style w:type="table" w:customStyle="1" w:styleId="TableGrid2">
    <w:name w:val="Table Grid2"/>
    <w:basedOn w:val="TableNormal"/>
    <w:next w:val="TableGrid"/>
    <w:rsid w:val="008C56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rsid w:val="00022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6726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C773F1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773F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24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image" Target="media/image1.tmp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centerpointenergy.com/en-us/Documents/Track%203%20Session%202_New%20and%20Emerging%20Natural%20Gas%20Technologies.pdf" TargetMode="External"/><Relationship Id="rId2" Type="http://schemas.openxmlformats.org/officeDocument/2006/relationships/hyperlink" Target="http://www.gastechnology.org/Expertise/Documents/ETP/Condensing-Roof-Top-Units-Technology-Snapshot-02-2017.pdf" TargetMode="External"/><Relationship Id="rId1" Type="http://schemas.openxmlformats.org/officeDocument/2006/relationships/hyperlink" Target="http://www.gastechnology.org/Expertise/Documents/ETP/ETP-CenterPoint-Energy-Conference-Condensing-RTU-Presentation-05-21-2014.pdf" TargetMode="External"/><Relationship Id="rId5" Type="http://schemas.openxmlformats.org/officeDocument/2006/relationships/hyperlink" Target="http://capabilities.itron.com/CeusWeb/ChartsSF/Default2.aspx" TargetMode="External"/><Relationship Id="rId4" Type="http://schemas.openxmlformats.org/officeDocument/2006/relationships/hyperlink" Target="http://www.energy.ca.gov/ceus/index.htm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AF76D4BA89F40508BA1A114A8B476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12476-36C1-46C6-9BBF-7FC8C09E36C8}"/>
      </w:docPartPr>
      <w:docPartBody>
        <w:p w:rsidR="00F7350A" w:rsidRDefault="00F7350A">
          <w:r w:rsidRPr="0033327F">
            <w:rPr>
              <w:rStyle w:val="PlaceholderText"/>
            </w:rPr>
            <w:t>[Title]</w:t>
          </w:r>
        </w:p>
      </w:docPartBody>
    </w:docPart>
    <w:docPart>
      <w:docPartPr>
        <w:name w:val="96BEE5C1219847A898CB0CD2E0B5BB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72B563-D91D-4B97-B5A9-042CAE314B12}"/>
      </w:docPartPr>
      <w:docPartBody>
        <w:p w:rsidR="00F7350A" w:rsidRDefault="00F7350A">
          <w:r w:rsidRPr="0033327F">
            <w:rPr>
              <w:rStyle w:val="PlaceholderText"/>
            </w:rPr>
            <w:t>[Status]</w:t>
          </w:r>
        </w:p>
      </w:docPartBody>
    </w:docPart>
    <w:docPart>
      <w:docPartPr>
        <w:name w:val="F35B0C5DED46403682E831B0B6DC29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94A3CC-A5DD-4501-A19C-1D08C776C6B5}"/>
      </w:docPartPr>
      <w:docPartBody>
        <w:p w:rsidR="00874653" w:rsidRDefault="006B7FA8" w:rsidP="006B7FA8">
          <w:pPr>
            <w:pStyle w:val="F35B0C5DED46403682E831B0B6DC2920"/>
          </w:pPr>
          <w:r w:rsidRPr="0033327F">
            <w:rPr>
              <w:rStyle w:val="PlaceholderText"/>
            </w:rPr>
            <w:t>[Publish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altName w:val="Times New Roman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350A"/>
    <w:rsid w:val="0004290B"/>
    <w:rsid w:val="00063841"/>
    <w:rsid w:val="00096083"/>
    <w:rsid w:val="00143A8F"/>
    <w:rsid w:val="00146151"/>
    <w:rsid w:val="00204A7F"/>
    <w:rsid w:val="00243F38"/>
    <w:rsid w:val="002B514B"/>
    <w:rsid w:val="002C0C03"/>
    <w:rsid w:val="002D6FAA"/>
    <w:rsid w:val="002E0BA1"/>
    <w:rsid w:val="002F4541"/>
    <w:rsid w:val="002F71CB"/>
    <w:rsid w:val="00311B0D"/>
    <w:rsid w:val="003A131F"/>
    <w:rsid w:val="003B7664"/>
    <w:rsid w:val="004C5747"/>
    <w:rsid w:val="0054665E"/>
    <w:rsid w:val="00556A72"/>
    <w:rsid w:val="00560392"/>
    <w:rsid w:val="00565745"/>
    <w:rsid w:val="005E436D"/>
    <w:rsid w:val="006B7FA8"/>
    <w:rsid w:val="006F702B"/>
    <w:rsid w:val="00745E32"/>
    <w:rsid w:val="007672D5"/>
    <w:rsid w:val="007A172C"/>
    <w:rsid w:val="008211B5"/>
    <w:rsid w:val="00874653"/>
    <w:rsid w:val="008955A7"/>
    <w:rsid w:val="008E20F2"/>
    <w:rsid w:val="009A6AE8"/>
    <w:rsid w:val="00A5022A"/>
    <w:rsid w:val="00AC52EC"/>
    <w:rsid w:val="00AE4C28"/>
    <w:rsid w:val="00B537C6"/>
    <w:rsid w:val="00B73964"/>
    <w:rsid w:val="00B74704"/>
    <w:rsid w:val="00C24F6B"/>
    <w:rsid w:val="00C40210"/>
    <w:rsid w:val="00C947B8"/>
    <w:rsid w:val="00D0496D"/>
    <w:rsid w:val="00D051F5"/>
    <w:rsid w:val="00D115EE"/>
    <w:rsid w:val="00E91B2C"/>
    <w:rsid w:val="00EB1976"/>
    <w:rsid w:val="00EB311A"/>
    <w:rsid w:val="00EB5834"/>
    <w:rsid w:val="00EC1F58"/>
    <w:rsid w:val="00EC59D9"/>
    <w:rsid w:val="00F02123"/>
    <w:rsid w:val="00F32F12"/>
    <w:rsid w:val="00F7350A"/>
    <w:rsid w:val="00FF5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E0BA1"/>
    <w:rPr>
      <w:color w:val="808080"/>
    </w:rPr>
  </w:style>
  <w:style w:type="paragraph" w:customStyle="1" w:styleId="F35B0C5DED46403682E831B0B6DC2920">
    <w:name w:val="F35B0C5DED46403682E831B0B6DC2920"/>
    <w:rsid w:val="006B7FA8"/>
    <w:pPr>
      <w:spacing w:after="160" w:line="259" w:lineRule="auto"/>
    </w:pPr>
  </w:style>
  <w:style w:type="paragraph" w:customStyle="1" w:styleId="F4F72F71CE83490A85DD03B36E552E1D">
    <w:name w:val="F4F72F71CE83490A85DD03B36E552E1D"/>
    <w:rsid w:val="00D051F5"/>
    <w:pPr>
      <w:spacing w:after="160" w:line="259" w:lineRule="auto"/>
    </w:pPr>
  </w:style>
  <w:style w:type="paragraph" w:customStyle="1" w:styleId="CA45D373B496491FAC135DEBCDD45FB2">
    <w:name w:val="CA45D373B496491FAC135DEBCDD45FB2"/>
    <w:rsid w:val="002B514B"/>
    <w:pPr>
      <w:spacing w:after="160" w:line="259" w:lineRule="auto"/>
    </w:pPr>
  </w:style>
  <w:style w:type="paragraph" w:customStyle="1" w:styleId="98241B5D33574DD88B37D7D7DB9C42F2">
    <w:name w:val="98241B5D33574DD88B37D7D7DB9C42F2"/>
    <w:rsid w:val="002B514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2018-07-24T00:00:00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C58AF32-512C-4B5F-B4AD-13E703A0D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11</Pages>
  <Words>1528</Words>
  <Characters>8712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WPSCGNRHC180524A</vt:lpstr>
    </vt:vector>
  </TitlesOfParts>
  <Company>Program Administrator</Company>
  <LinksUpToDate>false</LinksUpToDate>
  <CharactersWithSpaces>10220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WPSCGNRHC180524A</dc:title>
  <dc:creator>Jim Wyatt (PG&amp;E);Jason Wang (SCE)</dc:creator>
  <cp:lastModifiedBy>Mendoza, Matthew D</cp:lastModifiedBy>
  <cp:revision>14</cp:revision>
  <dcterms:created xsi:type="dcterms:W3CDTF">2018-08-02T22:29:00Z</dcterms:created>
  <dcterms:modified xsi:type="dcterms:W3CDTF">2018-09-27T19:53:00Z</dcterms:modified>
  <cp:contentStatus>Revision 0</cp:contentStatus>
</cp:coreProperties>
</file>